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data4.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5.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6.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7.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8.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9.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10.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1.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2.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3.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4.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5.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6.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7.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8.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9.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20.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54958" w:rsidRPr="007E14C5" w:rsidRDefault="00C1093A" w:rsidP="00153229">
      <w:pPr>
        <w:ind w:right="-471"/>
        <w:rPr>
          <w:rFonts w:asciiTheme="majorHAnsi" w:hAnsiTheme="majorHAnsi" w:cstheme="majorHAnsi"/>
          <w:color w:val="002060"/>
          <w:sz w:val="24"/>
          <w:szCs w:val="24"/>
        </w:rPr>
      </w:pPr>
      <w:r w:rsidRPr="007E14C5">
        <w:rPr>
          <w:rFonts w:asciiTheme="majorHAnsi" w:hAnsiTheme="majorHAnsi" w:cstheme="majorHAnsi"/>
          <w:noProof/>
          <w:color w:val="002060"/>
          <w:sz w:val="24"/>
          <w:szCs w:val="24"/>
          <w:lang w:eastAsia="sr-Latn-RS"/>
        </w:rPr>
        <mc:AlternateContent>
          <mc:Choice Requires="wps">
            <w:drawing>
              <wp:anchor distT="0" distB="0" distL="114300" distR="114300" simplePos="0" relativeHeight="251658240" behindDoc="0" locked="0" layoutInCell="1" allowOverlap="1" wp14:anchorId="49E126C2" wp14:editId="5D98BFC9">
                <wp:simplePos x="0" y="0"/>
                <wp:positionH relativeFrom="page">
                  <wp:posOffset>993748</wp:posOffset>
                </wp:positionH>
                <wp:positionV relativeFrom="margin">
                  <wp:posOffset>1025376</wp:posOffset>
                </wp:positionV>
                <wp:extent cx="5988050" cy="4570095"/>
                <wp:effectExtent l="25400" t="25400" r="136525" b="128905"/>
                <wp:wrapTopAndBottom/>
                <wp:docPr id="6" name="Text Box 6" descr="Title, Subtitle, and Abstract"/>
                <wp:cNvGraphicFramePr/>
                <a:graphic xmlns:a="http://schemas.openxmlformats.org/drawingml/2006/main">
                  <a:graphicData uri="http://schemas.microsoft.com/office/word/2010/wordprocessingShape">
                    <wps:wsp>
                      <wps:cNvSpPr txBox="1"/>
                      <wps:spPr>
                        <a:xfrm>
                          <a:off x="0" y="0"/>
                          <a:ext cx="5988050" cy="4570095"/>
                        </a:xfrm>
                        <a:prstGeom prst="rect">
                          <a:avLst/>
                        </a:prstGeom>
                        <a:noFill/>
                        <a:ln w="6350">
                          <a:solidFill>
                            <a:schemeClr val="accent2">
                              <a:lumMod val="75000"/>
                            </a:schemeClr>
                          </a:solidFill>
                        </a:ln>
                        <a:effectLst>
                          <a:outerShdw blurRad="50800" dist="38100" dir="2700000" algn="tl" rotWithShape="0">
                            <a:prstClr val="black">
                              <a:alpha val="40000"/>
                            </a:prstClr>
                          </a:outerShdw>
                        </a:effectLst>
                      </wps:spPr>
                      <wps:txbx>
                        <w:txbxContent>
                          <w:p w:rsidR="00F735BC" w:rsidRDefault="00DC3498" w:rsidP="00914843">
                            <w:pPr>
                              <w:pStyle w:val="Title"/>
                              <w:pBdr>
                                <w:top w:val="single" w:sz="4" w:space="31" w:color="7E97AD" w:themeColor="accent1"/>
                              </w:pBdr>
                              <w:jc w:val="center"/>
                            </w:pPr>
                            <w:sdt>
                              <w:sdtPr>
                                <w:rPr>
                                  <w:b/>
                                  <w:caps w:val="0"/>
                                  <w:outline/>
                                  <w:color w:val="CC8E60" w:themeColor="accent2"/>
                                  <w:spacing w:val="0"/>
                                  <w:sz w:val="88"/>
                                  <w:szCs w:val="8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Title"/>
                                <w:tag w:val=""/>
                                <w:id w:val="1338586074"/>
                                <w:dataBinding w:prefixMappings="xmlns:ns0='http://purl.org/dc/elements/1.1/' xmlns:ns1='http://schemas.openxmlformats.org/package/2006/metadata/core-properties' " w:xpath="/ns1:coreProperties[1]/ns0:title[1]" w:storeItemID="{6C3C8BC8-F283-45AE-878A-BAB7291924A1}"/>
                                <w:text/>
                              </w:sdtPr>
                              <w:sdtEndPr/>
                              <w:sdtContent>
                                <w:r w:rsidR="00F735BC">
                                  <w:rPr>
                                    <w:b/>
                                    <w:caps w:val="0"/>
                                    <w:outline/>
                                    <w:color w:val="CC8E60" w:themeColor="accent2"/>
                                    <w:spacing w:val="0"/>
                                    <w:sz w:val="88"/>
                                    <w:szCs w:val="88"/>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STRATEGIJA REFORME JAVNE UPRAVE</w:t>
                                </w:r>
                              </w:sdtContent>
                            </w:sdt>
                          </w:p>
                          <w:p w:rsidR="00F735BC" w:rsidRPr="00914843" w:rsidRDefault="00F735BC" w:rsidP="00B6673E">
                            <w:pPr>
                              <w:pStyle w:val="Subtitle"/>
                              <w:ind w:left="0" w:right="10"/>
                              <w:jc w:val="center"/>
                              <w:rPr>
                                <w:sz w:val="72"/>
                                <w:szCs w:val="72"/>
                              </w:rPr>
                            </w:pPr>
                            <w:r>
                              <w:rPr>
                                <w:sz w:val="72"/>
                                <w:szCs w:val="72"/>
                              </w:rPr>
                              <w:t>2022 – 2026.</w:t>
                            </w:r>
                          </w:p>
                          <w:p w:rsidR="00F735BC" w:rsidRDefault="00F735BC"/>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49E126C2" id="_x0000_t202" coordsize="21600,21600" o:spt="202" path="m,l,21600r21600,l21600,xe">
                <v:stroke joinstyle="miter"/>
                <v:path gradientshapeok="t" o:connecttype="rect"/>
              </v:shapetype>
              <v:shape id="Text Box 6" o:spid="_x0000_s1026" type="#_x0000_t202" alt="Title, Subtitle, and Abstract" style="position:absolute;margin-left:78.25pt;margin-top:80.75pt;width:471.5pt;height:359.85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" filled="f" strokecolor="#aa6736 [2405]" strokeweight=".5pt">
                <v:shadow on="t" color="black" opacity="26214f" origin="-.5,-.5" offset=".74836mm,.74836mm"/>
                <v:textbox inset="0,0,0,0">
                  <w:txbxContent>
                    <w:p w:rsidR="00F735BC" w:rsidRDefault="00F735BC" w:rsidP="00914843">
                      <w:pPr>
                        <w:pStyle w:val="Title"/>
                        <w:pBdr>
                          <w:top w:val="single" w:sz="4" w:space="31" w:color="7E97AD" w:themeColor="accent1"/>
                        </w:pBdr>
                        <w:jc w:val="center"/>
                      </w:pPr>
                      <w:sdt>
                        <w:sdtPr>
                          <w:rPr>
                            <w:b/>
                            <w:caps w:val="0"/>
                            <w:outline/>
                            <w:color w:val="CC8E60" w:themeColor="accent2"/>
                            <w:spacing w:val="0"/>
                            <w:sz w:val="88"/>
                            <w:szCs w:val="8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Title"/>
                          <w:tag w:val=""/>
                          <w:id w:val="1338586074"/>
                          <w:dataBinding w:prefixMappings="xmlns:ns0='http://purl.org/dc/elements/1.1/' xmlns:ns1='http://schemas.openxmlformats.org/package/2006/metadata/core-properties' " w:xpath="/ns1:coreProperties[1]/ns0:title[1]" w:storeItemID="{6C3C8BC8-F283-45AE-878A-BAB7291924A1}"/>
                          <w:text/>
                        </w:sdtPr>
                        <w:sdtContent>
                          <w:r>
                            <w:rPr>
                              <w:b/>
                              <w:caps w:val="0"/>
                              <w:outline/>
                              <w:color w:val="CC8E60" w:themeColor="accent2"/>
                              <w:spacing w:val="0"/>
                              <w:sz w:val="88"/>
                              <w:szCs w:val="88"/>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STRATEGIJA REFORME JAVNE UPRAVE</w:t>
                          </w:r>
                        </w:sdtContent>
                      </w:sdt>
                    </w:p>
                    <w:p w:rsidR="00F735BC" w:rsidRPr="00914843" w:rsidRDefault="00F735BC" w:rsidP="00B6673E">
                      <w:pPr>
                        <w:pStyle w:val="Subtitle"/>
                        <w:ind w:left="0" w:right="10"/>
                        <w:jc w:val="center"/>
                        <w:rPr>
                          <w:sz w:val="72"/>
                          <w:szCs w:val="72"/>
                        </w:rPr>
                      </w:pPr>
                      <w:r>
                        <w:rPr>
                          <w:sz w:val="72"/>
                          <w:szCs w:val="72"/>
                        </w:rPr>
                        <w:t>2022 – 2026.</w:t>
                      </w:r>
                    </w:p>
                    <w:p w:rsidR="00F735BC" w:rsidRDefault="00F735BC"/>
                  </w:txbxContent>
                </v:textbox>
                <w10:wrap type="topAndBottom" anchorx="page" anchory="margin"/>
              </v:shape>
            </w:pict>
          </mc:Fallback>
        </mc:AlternateContent>
      </w:r>
      <w:r w:rsidRPr="007E14C5">
        <w:rPr>
          <w:rFonts w:asciiTheme="majorHAnsi" w:eastAsiaTheme="majorEastAsia" w:hAnsiTheme="majorHAnsi" w:cstheme="majorHAnsi"/>
          <w:noProof/>
          <w:color w:val="002060"/>
          <w:sz w:val="24"/>
          <w:szCs w:val="24"/>
          <w:lang w:eastAsia="sr-Latn-RS"/>
        </w:rPr>
        <mc:AlternateContent>
          <mc:Choice Requires="wps">
            <w:drawing>
              <wp:anchor distT="0" distB="0" distL="114300" distR="114300" simplePos="0" relativeHeight="251659264" behindDoc="0" locked="0" layoutInCell="0" allowOverlap="0" wp14:anchorId="48025DA8" wp14:editId="1DCFD57E">
                <wp:simplePos x="0" y="0"/>
                <wp:positionH relativeFrom="page">
                  <wp:posOffset>985830</wp:posOffset>
                </wp:positionH>
                <wp:positionV relativeFrom="page">
                  <wp:posOffset>1110399</wp:posOffset>
                </wp:positionV>
                <wp:extent cx="1290320" cy="454660"/>
                <wp:effectExtent l="0" t="0" r="5080" b="0"/>
                <wp:wrapTopAndBottom/>
                <wp:docPr id="3" name="Text Box 3" descr="Company contact information"/>
                <wp:cNvGraphicFramePr/>
                <a:graphic xmlns:a="http://schemas.openxmlformats.org/drawingml/2006/main">
                  <a:graphicData uri="http://schemas.microsoft.com/office/word/2010/wordprocessingShape">
                    <wps:wsp>
                      <wps:cNvSpPr txBox="1"/>
                      <wps:spPr>
                        <a:xfrm>
                          <a:off x="0" y="0"/>
                          <a:ext cx="1290320" cy="454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5BC" w:rsidRPr="006A59A7" w:rsidRDefault="00F735BC">
                            <w:pPr>
                              <w:rPr>
                                <w:color w:val="auto"/>
                                <w:sz w:val="36"/>
                                <w:szCs w:val="36"/>
                              </w:rPr>
                            </w:pPr>
                            <w:r w:rsidRPr="006A59A7">
                              <w:rPr>
                                <w:color w:val="auto"/>
                                <w:sz w:val="36"/>
                                <w:szCs w:val="36"/>
                              </w:rPr>
                              <w:t xml:space="preserve">PREDLOG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15000</wp14:pctHeight>
                </wp14:sizeRelV>
              </wp:anchor>
            </w:drawing>
          </mc:Choice>
          <mc:Fallback>
            <w:pict>
              <v:shape w14:anchorId="48025DA8" id="Text Box 3" o:spid="_x0000_s1027" type="#_x0000_t202" alt="Company contact information" style="position:absolute;margin-left:77.6pt;margin-top:87.45pt;width:101.6pt;height:35.8pt;z-index:251659264;visibility:visible;mso-wrap-style:square;mso-width-percent:0;mso-height-percent:150;mso-wrap-distance-left:9pt;mso-wrap-distance-top:0;mso-wrap-distance-right:9pt;mso-wrap-distance-bottom:0;mso-position-horizontal:absolute;mso-position-horizontal-relative:page;mso-position-vertical:absolute;mso-position-vertical-relative:page;mso-width-percent:0;mso-height-percent:1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" o:allowincell="f" o:allowoverlap="f" filled="f" stroked="f" strokeweight=".5pt">
                <v:textbox style="mso-fit-shape-to-text:t" inset="0,0,0,0">
                  <w:txbxContent>
                    <w:p w:rsidR="00F735BC" w:rsidRPr="006A59A7" w:rsidRDefault="00F735BC">
                      <w:pPr>
                        <w:rPr>
                          <w:color w:val="auto"/>
                          <w:sz w:val="36"/>
                          <w:szCs w:val="36"/>
                        </w:rPr>
                      </w:pPr>
                      <w:r w:rsidRPr="006A59A7">
                        <w:rPr>
                          <w:color w:val="auto"/>
                          <w:sz w:val="36"/>
                          <w:szCs w:val="36"/>
                        </w:rPr>
                        <w:t xml:space="preserve">PREDLOG </w:t>
                      </w:r>
                    </w:p>
                  </w:txbxContent>
                </v:textbox>
                <w10:wrap type="topAndBottom" anchorx="page" anchory="page"/>
              </v:shape>
            </w:pict>
          </mc:Fallback>
        </mc:AlternateContent>
      </w:r>
      <w:r w:rsidR="00AC188A" w:rsidRPr="007E14C5">
        <w:rPr>
          <w:rFonts w:asciiTheme="majorHAnsi" w:hAnsiTheme="majorHAnsi" w:cstheme="majorHAnsi"/>
          <w:noProof/>
          <w:color w:val="002060"/>
          <w:sz w:val="24"/>
          <w:szCs w:val="24"/>
          <w:lang w:eastAsia="sr-Latn-RS"/>
        </w:rPr>
        <mc:AlternateContent>
          <mc:Choice Requires="wps">
            <w:drawing>
              <wp:anchor distT="0" distB="0" distL="114300" distR="114300" simplePos="0" relativeHeight="251660288" behindDoc="0" locked="0" layoutInCell="1" allowOverlap="1" wp14:anchorId="493E05FC" wp14:editId="6B786BC3">
                <wp:simplePos x="0" y="0"/>
                <wp:positionH relativeFrom="margin">
                  <wp:align>center</wp:align>
                </wp:positionH>
                <wp:positionV relativeFrom="paragraph">
                  <wp:posOffset>7312607</wp:posOffset>
                </wp:positionV>
                <wp:extent cx="2571750" cy="541655"/>
                <wp:effectExtent l="0" t="0" r="19050" b="10795"/>
                <wp:wrapNone/>
                <wp:docPr id="1" name="Rectangle 1"/>
                <wp:cNvGraphicFramePr/>
                <a:graphic xmlns:a="http://schemas.openxmlformats.org/drawingml/2006/main">
                  <a:graphicData uri="http://schemas.microsoft.com/office/word/2010/wordprocessingShape">
                    <wps:wsp>
                      <wps:cNvSpPr/>
                      <wps:spPr>
                        <a:xfrm>
                          <a:off x="0" y="0"/>
                          <a:ext cx="2571750" cy="54165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735BC" w:rsidRPr="00B6673E" w:rsidRDefault="00F735BC" w:rsidP="00914843">
                            <w:pPr>
                              <w:spacing w:before="60" w:after="60" w:line="240" w:lineRule="auto"/>
                              <w:jc w:val="center"/>
                              <w:rPr>
                                <w:rFonts w:asciiTheme="majorHAnsi" w:hAnsiTheme="majorHAnsi" w:cstheme="majorHAnsi"/>
                                <w:color w:val="7E97AD" w:themeColor="accent1"/>
                                <w:sz w:val="40"/>
                                <w:szCs w:val="40"/>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r>
                              <w:rPr>
                                <w:rFonts w:asciiTheme="majorHAnsi" w:hAnsiTheme="majorHAnsi" w:cstheme="majorHAnsi"/>
                                <w:color w:val="7E97AD" w:themeColor="accent1"/>
                                <w:sz w:val="40"/>
                                <w:szCs w:val="40"/>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novembar</w:t>
                            </w:r>
                            <w:r w:rsidRPr="00B6673E">
                              <w:rPr>
                                <w:rFonts w:asciiTheme="majorHAnsi" w:hAnsiTheme="majorHAnsi" w:cstheme="majorHAnsi"/>
                                <w:color w:val="7E97AD" w:themeColor="accent1"/>
                                <w:sz w:val="40"/>
                                <w:szCs w:val="40"/>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 xml:space="preserve"> 2021</w:t>
                            </w:r>
                            <w:r>
                              <w:rPr>
                                <w:rFonts w:asciiTheme="majorHAnsi" w:hAnsiTheme="majorHAnsi" w:cstheme="majorHAnsi"/>
                                <w:color w:val="7E97AD" w:themeColor="accent1"/>
                                <w:sz w:val="40"/>
                                <w:szCs w:val="40"/>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 godine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3E05FC" id="Rectangle 1" o:spid="_x0000_s1028" style="position:absolute;margin-left:0;margin-top:575.8pt;width:202.5pt;height:42.6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" fillcolor="white [3201]" strokecolor="#7e97ad [3204]" strokeweight="2pt">
                <v:textbox>
                  <w:txbxContent>
                    <w:p w:rsidR="00F735BC" w:rsidRPr="00B6673E" w:rsidRDefault="00F735BC" w:rsidP="00914843">
                      <w:pPr>
                        <w:spacing w:before="60" w:after="60" w:line="240" w:lineRule="auto"/>
                        <w:jc w:val="center"/>
                        <w:rPr>
                          <w:rFonts w:asciiTheme="majorHAnsi" w:hAnsiTheme="majorHAnsi" w:cstheme="majorHAnsi"/>
                          <w:color w:val="7E97AD" w:themeColor="accent1"/>
                          <w:sz w:val="40"/>
                          <w:szCs w:val="40"/>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pPr>
                      <w:r>
                        <w:rPr>
                          <w:rFonts w:asciiTheme="majorHAnsi" w:hAnsiTheme="majorHAnsi" w:cstheme="majorHAnsi"/>
                          <w:color w:val="7E97AD" w:themeColor="accent1"/>
                          <w:sz w:val="40"/>
                          <w:szCs w:val="40"/>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novembar</w:t>
                      </w:r>
                      <w:r w:rsidRPr="00B6673E">
                        <w:rPr>
                          <w:rFonts w:asciiTheme="majorHAnsi" w:hAnsiTheme="majorHAnsi" w:cstheme="majorHAnsi"/>
                          <w:color w:val="7E97AD" w:themeColor="accent1"/>
                          <w:sz w:val="40"/>
                          <w:szCs w:val="40"/>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 xml:space="preserve"> 2021</w:t>
                      </w:r>
                      <w:r>
                        <w:rPr>
                          <w:rFonts w:asciiTheme="majorHAnsi" w:hAnsiTheme="majorHAnsi" w:cstheme="majorHAnsi"/>
                          <w:color w:val="7E97AD" w:themeColor="accent1"/>
                          <w:sz w:val="40"/>
                          <w:szCs w:val="40"/>
                          <w14:shadow w14:blurRad="50800" w14:dist="38100" w14:dir="8100000" w14:sx="100000" w14:sy="100000" w14:kx="0" w14:ky="0" w14:algn="tr">
                            <w14:srgbClr w14:val="000000">
                              <w14:alpha w14:val="60000"/>
                            </w14:srgbClr>
                          </w14:shadow>
                          <w14:textOutline w14:w="0" w14:cap="flat" w14:cmpd="sng" w14:algn="ctr">
                            <w14:noFill/>
                            <w14:prstDash w14:val="solid"/>
                            <w14:round/>
                          </w14:textOutline>
                        </w:rPr>
                        <w:t>. godine</w:t>
                      </w:r>
                    </w:p>
                  </w:txbxContent>
                </v:textbox>
                <w10:wrap anchorx="margin"/>
              </v:rect>
            </w:pict>
          </mc:Fallback>
        </mc:AlternateContent>
      </w:r>
      <w:sdt>
        <w:sdtPr>
          <w:rPr>
            <w:rFonts w:asciiTheme="majorHAnsi" w:hAnsiTheme="majorHAnsi" w:cstheme="majorHAnsi"/>
            <w:color w:val="002060"/>
            <w:sz w:val="24"/>
            <w:szCs w:val="24"/>
          </w:rPr>
          <w:id w:val="-1724750495"/>
          <w:docPartObj>
            <w:docPartGallery w:val="Cover Pages"/>
            <w:docPartUnique/>
          </w:docPartObj>
        </w:sdtPr>
        <w:sdtEndPr/>
        <w:sdtContent>
          <w:r w:rsidR="00F27301" w:rsidRPr="007E14C5">
            <w:rPr>
              <w:rFonts w:asciiTheme="majorHAnsi" w:hAnsiTheme="majorHAnsi" w:cstheme="majorHAnsi"/>
              <w:color w:val="002060"/>
              <w:sz w:val="24"/>
              <w:szCs w:val="24"/>
            </w:rPr>
            <w:br w:type="page"/>
          </w:r>
        </w:sdtContent>
      </w:sdt>
    </w:p>
    <w:bookmarkStart w:id="1" w:name="_I__UVOD" w:displacedByCustomXml="next"/>
    <w:bookmarkEnd w:id="1" w:displacedByCustomXml="next"/>
    <w:sdt>
      <w:sdtPr>
        <w:rPr>
          <w:color w:val="3A4B5B" w:themeColor="accent1" w:themeShade="80"/>
          <w:sz w:val="20"/>
        </w:rPr>
        <w:id w:val="-1764134003"/>
        <w:docPartObj>
          <w:docPartGallery w:val="Table of Contents"/>
          <w:docPartUnique/>
        </w:docPartObj>
      </w:sdtPr>
      <w:sdtEndPr>
        <w:rPr>
          <w:b/>
          <w:bCs/>
          <w:noProof/>
          <w:color w:val="595959" w:themeColor="text1" w:themeTint="A6"/>
        </w:rPr>
      </w:sdtEndPr>
      <w:sdtContent>
        <w:p w:rsidR="004E2305" w:rsidRPr="00253588" w:rsidRDefault="00F80E94" w:rsidP="00253588">
          <w:pPr>
            <w:pStyle w:val="TOCHeading"/>
            <w:spacing w:after="0"/>
            <w:jc w:val="center"/>
            <w:rPr>
              <w:color w:val="3A4B5B" w:themeColor="accent1" w:themeShade="80"/>
              <w:sz w:val="28"/>
              <w:szCs w:val="28"/>
            </w:rPr>
          </w:pPr>
          <w:r w:rsidRPr="00253588">
            <w:rPr>
              <w:color w:val="3A4B5B" w:themeColor="accent1" w:themeShade="80"/>
              <w:sz w:val="28"/>
              <w:szCs w:val="28"/>
            </w:rPr>
            <w:t xml:space="preserve">      </w:t>
          </w:r>
          <w:r w:rsidR="004E2305" w:rsidRPr="00253588">
            <w:rPr>
              <w:color w:val="3A4B5B" w:themeColor="accent1" w:themeShade="80"/>
              <w:sz w:val="28"/>
              <w:szCs w:val="28"/>
            </w:rPr>
            <w:t>SADRŽAJ</w:t>
          </w:r>
        </w:p>
        <w:p w:rsidR="008A1027" w:rsidRDefault="004E2305">
          <w:pPr>
            <w:pStyle w:val="TOC1"/>
            <w:rPr>
              <w:rFonts w:asciiTheme="minorHAnsi" w:eastAsiaTheme="minorEastAsia" w:hAnsiTheme="minorHAnsi" w:cstheme="minorBidi"/>
              <w:b w:val="0"/>
              <w:kern w:val="0"/>
              <w:sz w:val="22"/>
              <w:szCs w:val="22"/>
              <w:lang w:val="en-US" w:eastAsia="en-US"/>
            </w:rPr>
          </w:pPr>
          <w:r w:rsidRPr="004E2305">
            <w:fldChar w:fldCharType="begin"/>
          </w:r>
          <w:r w:rsidRPr="004E2305">
            <w:instrText xml:space="preserve"> TOC \o "1-3" \h \z \u </w:instrText>
          </w:r>
          <w:r w:rsidRPr="004E2305">
            <w:fldChar w:fldCharType="separate"/>
          </w:r>
          <w:hyperlink w:anchor="_Toc87353386" w:history="1">
            <w:r w:rsidR="008A1027" w:rsidRPr="00931F92">
              <w:rPr>
                <w:rStyle w:val="Hyperlink"/>
              </w:rPr>
              <w:t>I  UVOD</w:t>
            </w:r>
            <w:r w:rsidR="008A1027">
              <w:rPr>
                <w:webHidden/>
              </w:rPr>
              <w:tab/>
            </w:r>
            <w:r w:rsidR="008A1027">
              <w:rPr>
                <w:webHidden/>
              </w:rPr>
              <w:fldChar w:fldCharType="begin"/>
            </w:r>
            <w:r w:rsidR="008A1027">
              <w:rPr>
                <w:webHidden/>
              </w:rPr>
              <w:instrText xml:space="preserve"> PAGEREF _Toc87353386 \h </w:instrText>
            </w:r>
            <w:r w:rsidR="008A1027">
              <w:rPr>
                <w:webHidden/>
              </w:rPr>
            </w:r>
            <w:r w:rsidR="008A1027">
              <w:rPr>
                <w:webHidden/>
              </w:rPr>
              <w:fldChar w:fldCharType="separate"/>
            </w:r>
            <w:r w:rsidR="008A1027">
              <w:rPr>
                <w:webHidden/>
              </w:rPr>
              <w:t>4</w:t>
            </w:r>
            <w:r w:rsidR="008A1027">
              <w:rPr>
                <w:webHidden/>
              </w:rPr>
              <w:fldChar w:fldCharType="end"/>
            </w:r>
          </w:hyperlink>
        </w:p>
        <w:p w:rsidR="008A1027" w:rsidRDefault="00DC3498">
          <w:pPr>
            <w:pStyle w:val="TOC1"/>
            <w:rPr>
              <w:rFonts w:asciiTheme="minorHAnsi" w:eastAsiaTheme="minorEastAsia" w:hAnsiTheme="minorHAnsi" w:cstheme="minorBidi"/>
              <w:b w:val="0"/>
              <w:kern w:val="0"/>
              <w:sz w:val="22"/>
              <w:szCs w:val="22"/>
              <w:lang w:val="en-US" w:eastAsia="en-US"/>
            </w:rPr>
          </w:pPr>
          <w:hyperlink w:anchor="_Toc87353387" w:history="1">
            <w:r w:rsidR="008A1027" w:rsidRPr="00931F92">
              <w:rPr>
                <w:rStyle w:val="Hyperlink"/>
              </w:rPr>
              <w:t>II  VIZIJA REFORME JAVNE UPRAVE</w:t>
            </w:r>
            <w:r w:rsidR="008A1027">
              <w:rPr>
                <w:webHidden/>
              </w:rPr>
              <w:tab/>
            </w:r>
            <w:r w:rsidR="008A1027">
              <w:rPr>
                <w:webHidden/>
              </w:rPr>
              <w:fldChar w:fldCharType="begin"/>
            </w:r>
            <w:r w:rsidR="008A1027">
              <w:rPr>
                <w:webHidden/>
              </w:rPr>
              <w:instrText xml:space="preserve"> PAGEREF _Toc87353387 \h </w:instrText>
            </w:r>
            <w:r w:rsidR="008A1027">
              <w:rPr>
                <w:webHidden/>
              </w:rPr>
            </w:r>
            <w:r w:rsidR="008A1027">
              <w:rPr>
                <w:webHidden/>
              </w:rPr>
              <w:fldChar w:fldCharType="separate"/>
            </w:r>
            <w:r w:rsidR="008A1027">
              <w:rPr>
                <w:webHidden/>
              </w:rPr>
              <w:t>6</w:t>
            </w:r>
            <w:r w:rsidR="008A1027">
              <w:rPr>
                <w:webHidden/>
              </w:rPr>
              <w:fldChar w:fldCharType="end"/>
            </w:r>
          </w:hyperlink>
        </w:p>
        <w:p w:rsidR="008A1027" w:rsidRDefault="00DC3498">
          <w:pPr>
            <w:pStyle w:val="TOC1"/>
            <w:rPr>
              <w:rFonts w:asciiTheme="minorHAnsi" w:eastAsiaTheme="minorEastAsia" w:hAnsiTheme="minorHAnsi" w:cstheme="minorBidi"/>
              <w:b w:val="0"/>
              <w:kern w:val="0"/>
              <w:sz w:val="22"/>
              <w:szCs w:val="22"/>
              <w:lang w:val="en-US" w:eastAsia="en-US"/>
            </w:rPr>
          </w:pPr>
          <w:hyperlink w:anchor="_Toc87353388" w:history="1">
            <w:r w:rsidR="008A1027" w:rsidRPr="00931F92">
              <w:rPr>
                <w:rStyle w:val="Hyperlink"/>
              </w:rPr>
              <w:t>II  ANALIZA STANJA SA STRATEŠKIM I OPERATIVNIM CILJEVIMA</w:t>
            </w:r>
            <w:r w:rsidR="008A1027">
              <w:rPr>
                <w:webHidden/>
              </w:rPr>
              <w:tab/>
            </w:r>
            <w:r w:rsidR="008A1027">
              <w:rPr>
                <w:webHidden/>
              </w:rPr>
              <w:fldChar w:fldCharType="begin"/>
            </w:r>
            <w:r w:rsidR="008A1027">
              <w:rPr>
                <w:webHidden/>
              </w:rPr>
              <w:instrText xml:space="preserve"> PAGEREF _Toc87353388 \h </w:instrText>
            </w:r>
            <w:r w:rsidR="008A1027">
              <w:rPr>
                <w:webHidden/>
              </w:rPr>
            </w:r>
            <w:r w:rsidR="008A1027">
              <w:rPr>
                <w:webHidden/>
              </w:rPr>
              <w:fldChar w:fldCharType="separate"/>
            </w:r>
            <w:r w:rsidR="008A1027">
              <w:rPr>
                <w:webHidden/>
              </w:rPr>
              <w:t>9</w:t>
            </w:r>
            <w:r w:rsidR="008A1027">
              <w:rPr>
                <w:webHidden/>
              </w:rPr>
              <w:fldChar w:fldCharType="end"/>
            </w:r>
          </w:hyperlink>
        </w:p>
        <w:p w:rsidR="008A1027" w:rsidRDefault="00DC3498">
          <w:pPr>
            <w:pStyle w:val="TOC2"/>
            <w:rPr>
              <w:rFonts w:eastAsiaTheme="minorEastAsia"/>
              <w:noProof/>
              <w:color w:val="auto"/>
              <w:kern w:val="0"/>
              <w:sz w:val="22"/>
              <w:szCs w:val="22"/>
              <w:lang w:val="en-US" w:eastAsia="en-US"/>
            </w:rPr>
          </w:pPr>
          <w:hyperlink w:anchor="_Toc87353389" w:history="1">
            <w:r w:rsidR="008A1027" w:rsidRPr="00931F92">
              <w:rPr>
                <w:rStyle w:val="Hyperlink"/>
                <w:rFonts w:cstheme="majorHAnsi"/>
                <w:b/>
                <w:noProof/>
              </w:rPr>
              <w:t>1. ORGANIZACIJA I RAD JAVNE UPRAVE U FUNKCIJI POTREBA GRAĐANA</w:t>
            </w:r>
            <w:r w:rsidR="008A1027">
              <w:rPr>
                <w:noProof/>
                <w:webHidden/>
              </w:rPr>
              <w:tab/>
            </w:r>
            <w:r w:rsidR="008A1027">
              <w:rPr>
                <w:noProof/>
                <w:webHidden/>
              </w:rPr>
              <w:fldChar w:fldCharType="begin"/>
            </w:r>
            <w:r w:rsidR="008A1027">
              <w:rPr>
                <w:noProof/>
                <w:webHidden/>
              </w:rPr>
              <w:instrText xml:space="preserve"> PAGEREF _Toc87353389 \h </w:instrText>
            </w:r>
            <w:r w:rsidR="008A1027">
              <w:rPr>
                <w:noProof/>
                <w:webHidden/>
              </w:rPr>
            </w:r>
            <w:r w:rsidR="008A1027">
              <w:rPr>
                <w:noProof/>
                <w:webHidden/>
              </w:rPr>
              <w:fldChar w:fldCharType="separate"/>
            </w:r>
            <w:r w:rsidR="008A1027">
              <w:rPr>
                <w:noProof/>
                <w:webHidden/>
              </w:rPr>
              <w:t>9</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390" w:history="1">
            <w:r w:rsidR="008A1027" w:rsidRPr="00931F92">
              <w:rPr>
                <w:rStyle w:val="Hyperlink"/>
                <w:rFonts w:ascii="Wingdings" w:eastAsia="Times New Roman" w:hAnsi="Wingdings" w:cstheme="majorHAnsi"/>
                <w:noProof/>
                <w:lang w:eastAsia="en-US"/>
              </w:rPr>
              <w:t></w:t>
            </w:r>
            <w:r w:rsidR="008A1027">
              <w:rPr>
                <w:rFonts w:eastAsiaTheme="minorEastAsia"/>
                <w:noProof/>
                <w:color w:val="auto"/>
                <w:kern w:val="0"/>
                <w:sz w:val="22"/>
                <w:szCs w:val="22"/>
                <w:lang w:val="en-US" w:eastAsia="en-US"/>
              </w:rPr>
              <w:tab/>
            </w:r>
            <w:r w:rsidR="008A1027" w:rsidRPr="00931F92">
              <w:rPr>
                <w:rStyle w:val="Hyperlink"/>
                <w:rFonts w:asciiTheme="majorHAnsi" w:eastAsia="Times New Roman" w:hAnsiTheme="majorHAnsi" w:cstheme="majorHAnsi"/>
                <w:b/>
                <w:noProof/>
                <w:lang w:eastAsia="en-US"/>
              </w:rPr>
              <w:t>STRATEŠKI CILJ</w:t>
            </w:r>
            <w:r w:rsidR="008A1027">
              <w:rPr>
                <w:noProof/>
                <w:webHidden/>
              </w:rPr>
              <w:tab/>
            </w:r>
            <w:r w:rsidR="008A1027">
              <w:rPr>
                <w:noProof/>
                <w:webHidden/>
              </w:rPr>
              <w:fldChar w:fldCharType="begin"/>
            </w:r>
            <w:r w:rsidR="008A1027">
              <w:rPr>
                <w:noProof/>
                <w:webHidden/>
              </w:rPr>
              <w:instrText xml:space="preserve"> PAGEREF _Toc87353390 \h </w:instrText>
            </w:r>
            <w:r w:rsidR="008A1027">
              <w:rPr>
                <w:noProof/>
                <w:webHidden/>
              </w:rPr>
            </w:r>
            <w:r w:rsidR="008A1027">
              <w:rPr>
                <w:noProof/>
                <w:webHidden/>
              </w:rPr>
              <w:fldChar w:fldCharType="separate"/>
            </w:r>
            <w:r w:rsidR="008A1027">
              <w:rPr>
                <w:noProof/>
                <w:webHidden/>
              </w:rPr>
              <w:t>9</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391" w:history="1">
            <w:r w:rsidR="008A1027" w:rsidRPr="00931F92">
              <w:rPr>
                <w:rStyle w:val="Hyperlink"/>
                <w:rFonts w:ascii="Wingdings" w:eastAsia="Times New Roman" w:hAnsi="Wingdings" w:cstheme="majorHAnsi"/>
                <w:noProof/>
                <w:lang w:eastAsia="en-US"/>
              </w:rPr>
              <w:t></w:t>
            </w:r>
            <w:r w:rsidR="008A1027">
              <w:rPr>
                <w:rFonts w:eastAsiaTheme="minorEastAsia"/>
                <w:noProof/>
                <w:color w:val="auto"/>
                <w:kern w:val="0"/>
                <w:sz w:val="22"/>
                <w:szCs w:val="22"/>
                <w:lang w:val="en-US" w:eastAsia="en-US"/>
              </w:rPr>
              <w:tab/>
            </w:r>
            <w:r w:rsidR="008A1027" w:rsidRPr="00931F92">
              <w:rPr>
                <w:rStyle w:val="Hyperlink"/>
                <w:rFonts w:asciiTheme="majorHAnsi" w:eastAsia="Times New Roman" w:hAnsiTheme="majorHAnsi" w:cstheme="majorHAnsi"/>
                <w:b/>
                <w:noProof/>
                <w:lang w:eastAsia="en-US"/>
              </w:rPr>
              <w:t>STANJE U OBLASTI</w:t>
            </w:r>
            <w:r w:rsidR="008A1027">
              <w:rPr>
                <w:noProof/>
                <w:webHidden/>
              </w:rPr>
              <w:tab/>
            </w:r>
            <w:r w:rsidR="008A1027">
              <w:rPr>
                <w:noProof/>
                <w:webHidden/>
              </w:rPr>
              <w:fldChar w:fldCharType="begin"/>
            </w:r>
            <w:r w:rsidR="008A1027">
              <w:rPr>
                <w:noProof/>
                <w:webHidden/>
              </w:rPr>
              <w:instrText xml:space="preserve"> PAGEREF _Toc87353391 \h </w:instrText>
            </w:r>
            <w:r w:rsidR="008A1027">
              <w:rPr>
                <w:noProof/>
                <w:webHidden/>
              </w:rPr>
            </w:r>
            <w:r w:rsidR="008A1027">
              <w:rPr>
                <w:noProof/>
                <w:webHidden/>
              </w:rPr>
              <w:fldChar w:fldCharType="separate"/>
            </w:r>
            <w:r w:rsidR="008A1027">
              <w:rPr>
                <w:noProof/>
                <w:webHidden/>
              </w:rPr>
              <w:t>10</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392" w:history="1">
            <w:r w:rsidR="008A1027" w:rsidRPr="00931F92">
              <w:rPr>
                <w:rStyle w:val="Hyperlink"/>
                <w:rFonts w:ascii="Wingdings" w:eastAsia="Calibri" w:hAnsi="Wingdings" w:cstheme="majorHAnsi"/>
                <w:noProof/>
              </w:rPr>
              <w:t></w:t>
            </w:r>
            <w:r w:rsidR="008A1027">
              <w:rPr>
                <w:rFonts w:eastAsiaTheme="minorEastAsia"/>
                <w:noProof/>
                <w:color w:val="auto"/>
                <w:kern w:val="0"/>
                <w:sz w:val="22"/>
                <w:szCs w:val="22"/>
                <w:lang w:val="en-US" w:eastAsia="en-US"/>
              </w:rPr>
              <w:tab/>
            </w:r>
            <w:r w:rsidR="008A1027" w:rsidRPr="00931F92">
              <w:rPr>
                <w:rStyle w:val="Hyperlink"/>
                <w:rFonts w:asciiTheme="majorHAnsi" w:eastAsia="Calibri" w:hAnsiTheme="majorHAnsi" w:cstheme="majorHAnsi"/>
                <w:b/>
                <w:noProof/>
              </w:rPr>
              <w:t>IDENTIFIKOVANI PROBLEMI</w:t>
            </w:r>
            <w:r w:rsidR="008A1027">
              <w:rPr>
                <w:noProof/>
                <w:webHidden/>
              </w:rPr>
              <w:tab/>
            </w:r>
            <w:r w:rsidR="008A1027">
              <w:rPr>
                <w:noProof/>
                <w:webHidden/>
              </w:rPr>
              <w:fldChar w:fldCharType="begin"/>
            </w:r>
            <w:r w:rsidR="008A1027">
              <w:rPr>
                <w:noProof/>
                <w:webHidden/>
              </w:rPr>
              <w:instrText xml:space="preserve"> PAGEREF _Toc87353392 \h </w:instrText>
            </w:r>
            <w:r w:rsidR="008A1027">
              <w:rPr>
                <w:noProof/>
                <w:webHidden/>
              </w:rPr>
            </w:r>
            <w:r w:rsidR="008A1027">
              <w:rPr>
                <w:noProof/>
                <w:webHidden/>
              </w:rPr>
              <w:fldChar w:fldCharType="separate"/>
            </w:r>
            <w:r w:rsidR="008A1027">
              <w:rPr>
                <w:noProof/>
                <w:webHidden/>
              </w:rPr>
              <w:t>12</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393" w:history="1">
            <w:r w:rsidR="008A1027" w:rsidRPr="00931F92">
              <w:rPr>
                <w:rStyle w:val="Hyperlink"/>
                <w:rFonts w:ascii="Wingdings" w:eastAsia="Calibri" w:hAnsi="Wingdings" w:cstheme="majorHAnsi"/>
                <w:noProof/>
              </w:rPr>
              <w:t></w:t>
            </w:r>
            <w:r w:rsidR="008A1027">
              <w:rPr>
                <w:rFonts w:eastAsiaTheme="minorEastAsia"/>
                <w:noProof/>
                <w:color w:val="auto"/>
                <w:kern w:val="0"/>
                <w:sz w:val="22"/>
                <w:szCs w:val="22"/>
                <w:lang w:val="en-US" w:eastAsia="en-US"/>
              </w:rPr>
              <w:tab/>
            </w:r>
            <w:r w:rsidR="008A1027" w:rsidRPr="00931F92">
              <w:rPr>
                <w:rStyle w:val="Hyperlink"/>
                <w:rFonts w:asciiTheme="majorHAnsi" w:eastAsia="Calibri" w:hAnsiTheme="majorHAnsi" w:cstheme="majorHAnsi"/>
                <w:b/>
                <w:noProof/>
              </w:rPr>
              <w:t>STAKEHOLDER ANALIZA/ ANALIZA ZAINTERESOVANIH STRANA STARTEŠKOG CILJA 1.</w:t>
            </w:r>
            <w:r w:rsidR="008A1027">
              <w:rPr>
                <w:noProof/>
                <w:webHidden/>
              </w:rPr>
              <w:tab/>
            </w:r>
            <w:r w:rsidR="008A1027">
              <w:rPr>
                <w:noProof/>
                <w:webHidden/>
              </w:rPr>
              <w:fldChar w:fldCharType="begin"/>
            </w:r>
            <w:r w:rsidR="008A1027">
              <w:rPr>
                <w:noProof/>
                <w:webHidden/>
              </w:rPr>
              <w:instrText xml:space="preserve"> PAGEREF _Toc87353393 \h </w:instrText>
            </w:r>
            <w:r w:rsidR="008A1027">
              <w:rPr>
                <w:noProof/>
                <w:webHidden/>
              </w:rPr>
            </w:r>
            <w:r w:rsidR="008A1027">
              <w:rPr>
                <w:noProof/>
                <w:webHidden/>
              </w:rPr>
              <w:fldChar w:fldCharType="separate"/>
            </w:r>
            <w:r w:rsidR="008A1027">
              <w:rPr>
                <w:noProof/>
                <w:webHidden/>
              </w:rPr>
              <w:t>19</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394" w:history="1">
            <w:r w:rsidR="008A1027" w:rsidRPr="00931F92">
              <w:rPr>
                <w:rStyle w:val="Hyperlink"/>
                <w:rFonts w:ascii="Wingdings" w:eastAsia="Calibri" w:hAnsi="Wingdings" w:cstheme="majorHAnsi"/>
                <w:noProof/>
              </w:rPr>
              <w:t></w:t>
            </w:r>
            <w:r w:rsidR="008A1027">
              <w:rPr>
                <w:rFonts w:eastAsiaTheme="minorEastAsia"/>
                <w:noProof/>
                <w:color w:val="auto"/>
                <w:kern w:val="0"/>
                <w:sz w:val="22"/>
                <w:szCs w:val="22"/>
                <w:lang w:val="en-US" w:eastAsia="en-US"/>
              </w:rPr>
              <w:tab/>
            </w:r>
            <w:r w:rsidR="008A1027" w:rsidRPr="00931F92">
              <w:rPr>
                <w:rStyle w:val="Hyperlink"/>
                <w:rFonts w:asciiTheme="majorHAnsi" w:eastAsia="Calibri" w:hAnsiTheme="majorHAnsi" w:cstheme="majorHAnsi"/>
                <w:b/>
                <w:noProof/>
              </w:rPr>
              <w:t>OPERATIVNI CILJEVI NA OSNOVU IDENTIFIKOVANIH IZAZOVA</w:t>
            </w:r>
            <w:r w:rsidR="008A1027">
              <w:rPr>
                <w:noProof/>
                <w:webHidden/>
              </w:rPr>
              <w:tab/>
            </w:r>
            <w:r w:rsidR="008A1027">
              <w:rPr>
                <w:noProof/>
                <w:webHidden/>
              </w:rPr>
              <w:fldChar w:fldCharType="begin"/>
            </w:r>
            <w:r w:rsidR="008A1027">
              <w:rPr>
                <w:noProof/>
                <w:webHidden/>
              </w:rPr>
              <w:instrText xml:space="preserve"> PAGEREF _Toc87353394 \h </w:instrText>
            </w:r>
            <w:r w:rsidR="008A1027">
              <w:rPr>
                <w:noProof/>
                <w:webHidden/>
              </w:rPr>
            </w:r>
            <w:r w:rsidR="008A1027">
              <w:rPr>
                <w:noProof/>
                <w:webHidden/>
              </w:rPr>
              <w:fldChar w:fldCharType="separate"/>
            </w:r>
            <w:r w:rsidR="008A1027">
              <w:rPr>
                <w:noProof/>
                <w:webHidden/>
              </w:rPr>
              <w:t>20</w:t>
            </w:r>
            <w:r w:rsidR="008A1027">
              <w:rPr>
                <w:noProof/>
                <w:webHidden/>
              </w:rPr>
              <w:fldChar w:fldCharType="end"/>
            </w:r>
          </w:hyperlink>
        </w:p>
        <w:p w:rsidR="008A1027" w:rsidRDefault="00DC3498">
          <w:pPr>
            <w:pStyle w:val="TOC2"/>
            <w:rPr>
              <w:rFonts w:eastAsiaTheme="minorEastAsia"/>
              <w:noProof/>
              <w:color w:val="auto"/>
              <w:kern w:val="0"/>
              <w:sz w:val="22"/>
              <w:szCs w:val="22"/>
              <w:lang w:val="en-US" w:eastAsia="en-US"/>
            </w:rPr>
          </w:pPr>
          <w:hyperlink w:anchor="_Toc87353395" w:history="1">
            <w:r w:rsidR="008A1027" w:rsidRPr="00931F92">
              <w:rPr>
                <w:rStyle w:val="Hyperlink"/>
                <w:rFonts w:cstheme="majorHAnsi"/>
                <w:b/>
                <w:noProof/>
              </w:rPr>
              <w:t>2. GRAĐANI I PRIVREDA KORISTE KVALITETNE USLUGE JAVNE UPRAVE</w:t>
            </w:r>
            <w:r w:rsidR="008A1027">
              <w:rPr>
                <w:noProof/>
                <w:webHidden/>
              </w:rPr>
              <w:tab/>
            </w:r>
            <w:r w:rsidR="008A1027">
              <w:rPr>
                <w:noProof/>
                <w:webHidden/>
              </w:rPr>
              <w:fldChar w:fldCharType="begin"/>
            </w:r>
            <w:r w:rsidR="008A1027">
              <w:rPr>
                <w:noProof/>
                <w:webHidden/>
              </w:rPr>
              <w:instrText xml:space="preserve"> PAGEREF _Toc87353395 \h </w:instrText>
            </w:r>
            <w:r w:rsidR="008A1027">
              <w:rPr>
                <w:noProof/>
                <w:webHidden/>
              </w:rPr>
            </w:r>
            <w:r w:rsidR="008A1027">
              <w:rPr>
                <w:noProof/>
                <w:webHidden/>
              </w:rPr>
              <w:fldChar w:fldCharType="separate"/>
            </w:r>
            <w:r w:rsidR="008A1027">
              <w:rPr>
                <w:noProof/>
                <w:webHidden/>
              </w:rPr>
              <w:t>24</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396" w:history="1">
            <w:r w:rsidR="008A1027" w:rsidRPr="00931F92">
              <w:rPr>
                <w:rStyle w:val="Hyperlink"/>
                <w:rFonts w:ascii="Wingdings" w:eastAsia="Times New Roman" w:hAnsi="Wingdings" w:cstheme="majorHAnsi"/>
                <w:noProof/>
                <w:lang w:eastAsia="en-US"/>
              </w:rPr>
              <w:t></w:t>
            </w:r>
            <w:r w:rsidR="008A1027">
              <w:rPr>
                <w:rFonts w:eastAsiaTheme="minorEastAsia"/>
                <w:noProof/>
                <w:color w:val="auto"/>
                <w:kern w:val="0"/>
                <w:sz w:val="22"/>
                <w:szCs w:val="22"/>
                <w:lang w:val="en-US" w:eastAsia="en-US"/>
              </w:rPr>
              <w:tab/>
            </w:r>
            <w:r w:rsidR="008A1027" w:rsidRPr="00931F92">
              <w:rPr>
                <w:rStyle w:val="Hyperlink"/>
                <w:rFonts w:asciiTheme="majorHAnsi" w:eastAsia="Times New Roman" w:hAnsiTheme="majorHAnsi" w:cstheme="majorHAnsi"/>
                <w:b/>
                <w:noProof/>
                <w:lang w:eastAsia="en-US"/>
              </w:rPr>
              <w:t>STRATEŠKI CILJ</w:t>
            </w:r>
            <w:r w:rsidR="008A1027">
              <w:rPr>
                <w:noProof/>
                <w:webHidden/>
              </w:rPr>
              <w:tab/>
            </w:r>
            <w:r w:rsidR="008A1027">
              <w:rPr>
                <w:noProof/>
                <w:webHidden/>
              </w:rPr>
              <w:fldChar w:fldCharType="begin"/>
            </w:r>
            <w:r w:rsidR="008A1027">
              <w:rPr>
                <w:noProof/>
                <w:webHidden/>
              </w:rPr>
              <w:instrText xml:space="preserve"> PAGEREF _Toc87353396 \h </w:instrText>
            </w:r>
            <w:r w:rsidR="008A1027">
              <w:rPr>
                <w:noProof/>
                <w:webHidden/>
              </w:rPr>
            </w:r>
            <w:r w:rsidR="008A1027">
              <w:rPr>
                <w:noProof/>
                <w:webHidden/>
              </w:rPr>
              <w:fldChar w:fldCharType="separate"/>
            </w:r>
            <w:r w:rsidR="008A1027">
              <w:rPr>
                <w:noProof/>
                <w:webHidden/>
              </w:rPr>
              <w:t>24</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397" w:history="1">
            <w:r w:rsidR="008A1027" w:rsidRPr="00931F92">
              <w:rPr>
                <w:rStyle w:val="Hyperlink"/>
                <w:rFonts w:ascii="Wingdings" w:eastAsia="Times New Roman" w:hAnsi="Wingdings" w:cstheme="majorHAnsi"/>
                <w:noProof/>
                <w:lang w:eastAsia="en-US"/>
              </w:rPr>
              <w:t></w:t>
            </w:r>
            <w:r w:rsidR="008A1027">
              <w:rPr>
                <w:rFonts w:eastAsiaTheme="minorEastAsia"/>
                <w:noProof/>
                <w:color w:val="auto"/>
                <w:kern w:val="0"/>
                <w:sz w:val="22"/>
                <w:szCs w:val="22"/>
                <w:lang w:val="en-US" w:eastAsia="en-US"/>
              </w:rPr>
              <w:tab/>
            </w:r>
            <w:r w:rsidR="008A1027" w:rsidRPr="00931F92">
              <w:rPr>
                <w:rStyle w:val="Hyperlink"/>
                <w:rFonts w:asciiTheme="majorHAnsi" w:eastAsia="Times New Roman" w:hAnsiTheme="majorHAnsi" w:cstheme="majorHAnsi"/>
                <w:b/>
                <w:noProof/>
                <w:lang w:eastAsia="en-US"/>
              </w:rPr>
              <w:t>STANJE U OBLASTI</w:t>
            </w:r>
            <w:r w:rsidR="008A1027">
              <w:rPr>
                <w:noProof/>
                <w:webHidden/>
              </w:rPr>
              <w:tab/>
            </w:r>
            <w:r w:rsidR="008A1027">
              <w:rPr>
                <w:noProof/>
                <w:webHidden/>
              </w:rPr>
              <w:fldChar w:fldCharType="begin"/>
            </w:r>
            <w:r w:rsidR="008A1027">
              <w:rPr>
                <w:noProof/>
                <w:webHidden/>
              </w:rPr>
              <w:instrText xml:space="preserve"> PAGEREF _Toc87353397 \h </w:instrText>
            </w:r>
            <w:r w:rsidR="008A1027">
              <w:rPr>
                <w:noProof/>
                <w:webHidden/>
              </w:rPr>
            </w:r>
            <w:r w:rsidR="008A1027">
              <w:rPr>
                <w:noProof/>
                <w:webHidden/>
              </w:rPr>
              <w:fldChar w:fldCharType="separate"/>
            </w:r>
            <w:r w:rsidR="008A1027">
              <w:rPr>
                <w:noProof/>
                <w:webHidden/>
              </w:rPr>
              <w:t>24</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398" w:history="1">
            <w:r w:rsidR="008A1027" w:rsidRPr="00931F92">
              <w:rPr>
                <w:rStyle w:val="Hyperlink"/>
                <w:rFonts w:ascii="Wingdings" w:eastAsia="Calibri" w:hAnsi="Wingdings" w:cstheme="majorHAnsi"/>
                <w:noProof/>
              </w:rPr>
              <w:t></w:t>
            </w:r>
            <w:r w:rsidR="008A1027">
              <w:rPr>
                <w:rFonts w:eastAsiaTheme="minorEastAsia"/>
                <w:noProof/>
                <w:color w:val="auto"/>
                <w:kern w:val="0"/>
                <w:sz w:val="22"/>
                <w:szCs w:val="22"/>
                <w:lang w:val="en-US" w:eastAsia="en-US"/>
              </w:rPr>
              <w:tab/>
            </w:r>
            <w:r w:rsidR="008A1027" w:rsidRPr="00931F92">
              <w:rPr>
                <w:rStyle w:val="Hyperlink"/>
                <w:rFonts w:asciiTheme="majorHAnsi" w:eastAsia="Calibri" w:hAnsiTheme="majorHAnsi" w:cstheme="majorHAnsi"/>
                <w:b/>
                <w:noProof/>
              </w:rPr>
              <w:t>IDENTIFIKOVANI PROBLEMI</w:t>
            </w:r>
            <w:r w:rsidR="008A1027">
              <w:rPr>
                <w:noProof/>
                <w:webHidden/>
              </w:rPr>
              <w:tab/>
            </w:r>
            <w:r w:rsidR="008A1027">
              <w:rPr>
                <w:noProof/>
                <w:webHidden/>
              </w:rPr>
              <w:fldChar w:fldCharType="begin"/>
            </w:r>
            <w:r w:rsidR="008A1027">
              <w:rPr>
                <w:noProof/>
                <w:webHidden/>
              </w:rPr>
              <w:instrText xml:space="preserve"> PAGEREF _Toc87353398 \h </w:instrText>
            </w:r>
            <w:r w:rsidR="008A1027">
              <w:rPr>
                <w:noProof/>
                <w:webHidden/>
              </w:rPr>
            </w:r>
            <w:r w:rsidR="008A1027">
              <w:rPr>
                <w:noProof/>
                <w:webHidden/>
              </w:rPr>
              <w:fldChar w:fldCharType="separate"/>
            </w:r>
            <w:r w:rsidR="008A1027">
              <w:rPr>
                <w:noProof/>
                <w:webHidden/>
              </w:rPr>
              <w:t>26</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399" w:history="1">
            <w:r w:rsidR="008A1027" w:rsidRPr="00931F92">
              <w:rPr>
                <w:rStyle w:val="Hyperlink"/>
                <w:rFonts w:ascii="Wingdings" w:eastAsia="Calibri" w:hAnsi="Wingdings" w:cstheme="majorHAnsi"/>
                <w:noProof/>
              </w:rPr>
              <w:t></w:t>
            </w:r>
            <w:r w:rsidR="008A1027">
              <w:rPr>
                <w:rFonts w:eastAsiaTheme="minorEastAsia"/>
                <w:noProof/>
                <w:color w:val="auto"/>
                <w:kern w:val="0"/>
                <w:sz w:val="22"/>
                <w:szCs w:val="22"/>
                <w:lang w:val="en-US" w:eastAsia="en-US"/>
              </w:rPr>
              <w:tab/>
            </w:r>
            <w:r w:rsidR="008A1027" w:rsidRPr="00931F92">
              <w:rPr>
                <w:rStyle w:val="Hyperlink"/>
                <w:rFonts w:asciiTheme="majorHAnsi" w:eastAsia="Calibri" w:hAnsiTheme="majorHAnsi" w:cstheme="majorHAnsi"/>
                <w:b/>
                <w:noProof/>
              </w:rPr>
              <w:t>STAKEHOLDER ANALIZA/ ANALIZA ZAINTERESOVANIH STRANA STRATEŠKOG CILJA 2.</w:t>
            </w:r>
            <w:r w:rsidR="008A1027">
              <w:rPr>
                <w:noProof/>
                <w:webHidden/>
              </w:rPr>
              <w:tab/>
            </w:r>
            <w:r w:rsidR="008A1027">
              <w:rPr>
                <w:noProof/>
                <w:webHidden/>
              </w:rPr>
              <w:fldChar w:fldCharType="begin"/>
            </w:r>
            <w:r w:rsidR="008A1027">
              <w:rPr>
                <w:noProof/>
                <w:webHidden/>
              </w:rPr>
              <w:instrText xml:space="preserve"> PAGEREF _Toc87353399 \h </w:instrText>
            </w:r>
            <w:r w:rsidR="008A1027">
              <w:rPr>
                <w:noProof/>
                <w:webHidden/>
              </w:rPr>
            </w:r>
            <w:r w:rsidR="008A1027">
              <w:rPr>
                <w:noProof/>
                <w:webHidden/>
              </w:rPr>
              <w:fldChar w:fldCharType="separate"/>
            </w:r>
            <w:r w:rsidR="008A1027">
              <w:rPr>
                <w:noProof/>
                <w:webHidden/>
              </w:rPr>
              <w:t>30</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400" w:history="1">
            <w:r w:rsidR="008A1027" w:rsidRPr="00931F92">
              <w:rPr>
                <w:rStyle w:val="Hyperlink"/>
                <w:rFonts w:ascii="Wingdings" w:eastAsia="Calibri" w:hAnsi="Wingdings" w:cstheme="majorHAnsi"/>
                <w:noProof/>
              </w:rPr>
              <w:t></w:t>
            </w:r>
            <w:r w:rsidR="008A1027">
              <w:rPr>
                <w:rFonts w:eastAsiaTheme="minorEastAsia"/>
                <w:noProof/>
                <w:color w:val="auto"/>
                <w:kern w:val="0"/>
                <w:sz w:val="22"/>
                <w:szCs w:val="22"/>
                <w:lang w:val="en-US" w:eastAsia="en-US"/>
              </w:rPr>
              <w:tab/>
            </w:r>
            <w:r w:rsidR="008A1027" w:rsidRPr="00931F92">
              <w:rPr>
                <w:rStyle w:val="Hyperlink"/>
                <w:rFonts w:asciiTheme="majorHAnsi" w:eastAsia="Calibri" w:hAnsiTheme="majorHAnsi" w:cstheme="majorHAnsi"/>
                <w:b/>
                <w:noProof/>
              </w:rPr>
              <w:t>OPERATIVNI CILJEVI NA OSNOVU IDENTIFIKOVANIH IZAZOVA</w:t>
            </w:r>
            <w:r w:rsidR="008A1027">
              <w:rPr>
                <w:noProof/>
                <w:webHidden/>
              </w:rPr>
              <w:tab/>
            </w:r>
            <w:r w:rsidR="008A1027">
              <w:rPr>
                <w:noProof/>
                <w:webHidden/>
              </w:rPr>
              <w:fldChar w:fldCharType="begin"/>
            </w:r>
            <w:r w:rsidR="008A1027">
              <w:rPr>
                <w:noProof/>
                <w:webHidden/>
              </w:rPr>
              <w:instrText xml:space="preserve"> PAGEREF _Toc87353400 \h </w:instrText>
            </w:r>
            <w:r w:rsidR="008A1027">
              <w:rPr>
                <w:noProof/>
                <w:webHidden/>
              </w:rPr>
            </w:r>
            <w:r w:rsidR="008A1027">
              <w:rPr>
                <w:noProof/>
                <w:webHidden/>
              </w:rPr>
              <w:fldChar w:fldCharType="separate"/>
            </w:r>
            <w:r w:rsidR="008A1027">
              <w:rPr>
                <w:noProof/>
                <w:webHidden/>
              </w:rPr>
              <w:t>30</w:t>
            </w:r>
            <w:r w:rsidR="008A1027">
              <w:rPr>
                <w:noProof/>
                <w:webHidden/>
              </w:rPr>
              <w:fldChar w:fldCharType="end"/>
            </w:r>
          </w:hyperlink>
        </w:p>
        <w:p w:rsidR="008A1027" w:rsidRDefault="00DC3498">
          <w:pPr>
            <w:pStyle w:val="TOC2"/>
            <w:rPr>
              <w:rFonts w:eastAsiaTheme="minorEastAsia"/>
              <w:noProof/>
              <w:color w:val="auto"/>
              <w:kern w:val="0"/>
              <w:sz w:val="22"/>
              <w:szCs w:val="22"/>
              <w:lang w:val="en-US" w:eastAsia="en-US"/>
            </w:rPr>
          </w:pPr>
          <w:hyperlink w:anchor="_Toc87353401" w:history="1">
            <w:r w:rsidR="008A1027" w:rsidRPr="00931F92">
              <w:rPr>
                <w:rStyle w:val="Hyperlink"/>
                <w:rFonts w:cstheme="majorHAnsi"/>
                <w:b/>
                <w:noProof/>
              </w:rPr>
              <w:t>3.   PROFESIONALNA JAVNA ADMINISTRACIJA</w:t>
            </w:r>
            <w:r w:rsidR="008A1027">
              <w:rPr>
                <w:noProof/>
                <w:webHidden/>
              </w:rPr>
              <w:tab/>
            </w:r>
            <w:r w:rsidR="008A1027">
              <w:rPr>
                <w:noProof/>
                <w:webHidden/>
              </w:rPr>
              <w:fldChar w:fldCharType="begin"/>
            </w:r>
            <w:r w:rsidR="008A1027">
              <w:rPr>
                <w:noProof/>
                <w:webHidden/>
              </w:rPr>
              <w:instrText xml:space="preserve"> PAGEREF _Toc87353401 \h </w:instrText>
            </w:r>
            <w:r w:rsidR="008A1027">
              <w:rPr>
                <w:noProof/>
                <w:webHidden/>
              </w:rPr>
            </w:r>
            <w:r w:rsidR="008A1027">
              <w:rPr>
                <w:noProof/>
                <w:webHidden/>
              </w:rPr>
              <w:fldChar w:fldCharType="separate"/>
            </w:r>
            <w:r w:rsidR="008A1027">
              <w:rPr>
                <w:noProof/>
                <w:webHidden/>
              </w:rPr>
              <w:t>33</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402" w:history="1">
            <w:r w:rsidR="008A1027" w:rsidRPr="00931F92">
              <w:rPr>
                <w:rStyle w:val="Hyperlink"/>
                <w:rFonts w:ascii="Wingdings" w:eastAsia="Times New Roman" w:hAnsi="Wingdings" w:cstheme="majorHAnsi"/>
                <w:noProof/>
                <w:lang w:eastAsia="en-US"/>
              </w:rPr>
              <w:t></w:t>
            </w:r>
            <w:r w:rsidR="008A1027">
              <w:rPr>
                <w:rFonts w:eastAsiaTheme="minorEastAsia"/>
                <w:noProof/>
                <w:color w:val="auto"/>
                <w:kern w:val="0"/>
                <w:sz w:val="22"/>
                <w:szCs w:val="22"/>
                <w:lang w:val="en-US" w:eastAsia="en-US"/>
              </w:rPr>
              <w:tab/>
            </w:r>
            <w:r w:rsidR="008A1027" w:rsidRPr="00931F92">
              <w:rPr>
                <w:rStyle w:val="Hyperlink"/>
                <w:rFonts w:asciiTheme="majorHAnsi" w:eastAsia="Times New Roman" w:hAnsiTheme="majorHAnsi" w:cstheme="majorHAnsi"/>
                <w:b/>
                <w:noProof/>
                <w:lang w:eastAsia="en-US"/>
              </w:rPr>
              <w:t>STRATEŠKI CILJ</w:t>
            </w:r>
            <w:r w:rsidR="008A1027">
              <w:rPr>
                <w:noProof/>
                <w:webHidden/>
              </w:rPr>
              <w:tab/>
            </w:r>
            <w:r w:rsidR="008A1027">
              <w:rPr>
                <w:noProof/>
                <w:webHidden/>
              </w:rPr>
              <w:fldChar w:fldCharType="begin"/>
            </w:r>
            <w:r w:rsidR="008A1027">
              <w:rPr>
                <w:noProof/>
                <w:webHidden/>
              </w:rPr>
              <w:instrText xml:space="preserve"> PAGEREF _Toc87353402 \h </w:instrText>
            </w:r>
            <w:r w:rsidR="008A1027">
              <w:rPr>
                <w:noProof/>
                <w:webHidden/>
              </w:rPr>
            </w:r>
            <w:r w:rsidR="008A1027">
              <w:rPr>
                <w:noProof/>
                <w:webHidden/>
              </w:rPr>
              <w:fldChar w:fldCharType="separate"/>
            </w:r>
            <w:r w:rsidR="008A1027">
              <w:rPr>
                <w:noProof/>
                <w:webHidden/>
              </w:rPr>
              <w:t>33</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403" w:history="1">
            <w:r w:rsidR="008A1027" w:rsidRPr="00931F92">
              <w:rPr>
                <w:rStyle w:val="Hyperlink"/>
                <w:rFonts w:ascii="Wingdings" w:eastAsia="Times New Roman" w:hAnsi="Wingdings" w:cstheme="majorHAnsi"/>
                <w:noProof/>
                <w:lang w:eastAsia="en-US"/>
              </w:rPr>
              <w:t></w:t>
            </w:r>
            <w:r w:rsidR="008A1027">
              <w:rPr>
                <w:rFonts w:eastAsiaTheme="minorEastAsia"/>
                <w:noProof/>
                <w:color w:val="auto"/>
                <w:kern w:val="0"/>
                <w:sz w:val="22"/>
                <w:szCs w:val="22"/>
                <w:lang w:val="en-US" w:eastAsia="en-US"/>
              </w:rPr>
              <w:tab/>
            </w:r>
            <w:r w:rsidR="008A1027" w:rsidRPr="00931F92">
              <w:rPr>
                <w:rStyle w:val="Hyperlink"/>
                <w:rFonts w:asciiTheme="majorHAnsi" w:eastAsia="Times New Roman" w:hAnsiTheme="majorHAnsi" w:cstheme="majorHAnsi"/>
                <w:b/>
                <w:noProof/>
                <w:lang w:eastAsia="en-US"/>
              </w:rPr>
              <w:t>STANJE U OBLASTI</w:t>
            </w:r>
            <w:r w:rsidR="008A1027">
              <w:rPr>
                <w:noProof/>
                <w:webHidden/>
              </w:rPr>
              <w:tab/>
            </w:r>
            <w:r w:rsidR="008A1027">
              <w:rPr>
                <w:noProof/>
                <w:webHidden/>
              </w:rPr>
              <w:fldChar w:fldCharType="begin"/>
            </w:r>
            <w:r w:rsidR="008A1027">
              <w:rPr>
                <w:noProof/>
                <w:webHidden/>
              </w:rPr>
              <w:instrText xml:space="preserve"> PAGEREF _Toc87353403 \h </w:instrText>
            </w:r>
            <w:r w:rsidR="008A1027">
              <w:rPr>
                <w:noProof/>
                <w:webHidden/>
              </w:rPr>
            </w:r>
            <w:r w:rsidR="008A1027">
              <w:rPr>
                <w:noProof/>
                <w:webHidden/>
              </w:rPr>
              <w:fldChar w:fldCharType="separate"/>
            </w:r>
            <w:r w:rsidR="008A1027">
              <w:rPr>
                <w:noProof/>
                <w:webHidden/>
              </w:rPr>
              <w:t>33</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404" w:history="1">
            <w:r w:rsidR="008A1027" w:rsidRPr="00931F92">
              <w:rPr>
                <w:rStyle w:val="Hyperlink"/>
                <w:rFonts w:ascii="Wingdings" w:eastAsia="Calibri" w:hAnsi="Wingdings" w:cstheme="majorHAnsi"/>
                <w:noProof/>
              </w:rPr>
              <w:t></w:t>
            </w:r>
            <w:r w:rsidR="008A1027">
              <w:rPr>
                <w:rFonts w:eastAsiaTheme="minorEastAsia"/>
                <w:noProof/>
                <w:color w:val="auto"/>
                <w:kern w:val="0"/>
                <w:sz w:val="22"/>
                <w:szCs w:val="22"/>
                <w:lang w:val="en-US" w:eastAsia="en-US"/>
              </w:rPr>
              <w:tab/>
            </w:r>
            <w:r w:rsidR="008A1027" w:rsidRPr="00931F92">
              <w:rPr>
                <w:rStyle w:val="Hyperlink"/>
                <w:rFonts w:asciiTheme="majorHAnsi" w:eastAsia="Calibri" w:hAnsiTheme="majorHAnsi" w:cstheme="majorHAnsi"/>
                <w:b/>
                <w:noProof/>
              </w:rPr>
              <w:t>IDENTIFIKOVANI PROBLEMI</w:t>
            </w:r>
            <w:r w:rsidR="008A1027">
              <w:rPr>
                <w:noProof/>
                <w:webHidden/>
              </w:rPr>
              <w:tab/>
            </w:r>
            <w:r w:rsidR="008A1027">
              <w:rPr>
                <w:noProof/>
                <w:webHidden/>
              </w:rPr>
              <w:fldChar w:fldCharType="begin"/>
            </w:r>
            <w:r w:rsidR="008A1027">
              <w:rPr>
                <w:noProof/>
                <w:webHidden/>
              </w:rPr>
              <w:instrText xml:space="preserve"> PAGEREF _Toc87353404 \h </w:instrText>
            </w:r>
            <w:r w:rsidR="008A1027">
              <w:rPr>
                <w:noProof/>
                <w:webHidden/>
              </w:rPr>
            </w:r>
            <w:r w:rsidR="008A1027">
              <w:rPr>
                <w:noProof/>
                <w:webHidden/>
              </w:rPr>
              <w:fldChar w:fldCharType="separate"/>
            </w:r>
            <w:r w:rsidR="008A1027">
              <w:rPr>
                <w:noProof/>
                <w:webHidden/>
              </w:rPr>
              <w:t>36</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405" w:history="1">
            <w:r w:rsidR="008A1027" w:rsidRPr="00931F92">
              <w:rPr>
                <w:rStyle w:val="Hyperlink"/>
                <w:rFonts w:ascii="Wingdings" w:eastAsia="Calibri" w:hAnsi="Wingdings" w:cstheme="majorHAnsi"/>
                <w:noProof/>
              </w:rPr>
              <w:t></w:t>
            </w:r>
            <w:r w:rsidR="008A1027">
              <w:rPr>
                <w:rFonts w:eastAsiaTheme="minorEastAsia"/>
                <w:noProof/>
                <w:color w:val="auto"/>
                <w:kern w:val="0"/>
                <w:sz w:val="22"/>
                <w:szCs w:val="22"/>
                <w:lang w:val="en-US" w:eastAsia="en-US"/>
              </w:rPr>
              <w:tab/>
            </w:r>
            <w:r w:rsidR="008A1027" w:rsidRPr="00931F92">
              <w:rPr>
                <w:rStyle w:val="Hyperlink"/>
                <w:rFonts w:asciiTheme="majorHAnsi" w:eastAsia="Calibri" w:hAnsiTheme="majorHAnsi" w:cstheme="majorHAnsi"/>
                <w:b/>
                <w:noProof/>
              </w:rPr>
              <w:t>STAKEHOLDER ANALIZA/ ANALIZA ZAINTERESOVANIH STRANA STRATEŠKOG CILJA 3.</w:t>
            </w:r>
            <w:r w:rsidR="008A1027">
              <w:rPr>
                <w:noProof/>
                <w:webHidden/>
              </w:rPr>
              <w:tab/>
            </w:r>
            <w:r w:rsidR="008A1027">
              <w:rPr>
                <w:noProof/>
                <w:webHidden/>
              </w:rPr>
              <w:fldChar w:fldCharType="begin"/>
            </w:r>
            <w:r w:rsidR="008A1027">
              <w:rPr>
                <w:noProof/>
                <w:webHidden/>
              </w:rPr>
              <w:instrText xml:space="preserve"> PAGEREF _Toc87353405 \h </w:instrText>
            </w:r>
            <w:r w:rsidR="008A1027">
              <w:rPr>
                <w:noProof/>
                <w:webHidden/>
              </w:rPr>
            </w:r>
            <w:r w:rsidR="008A1027">
              <w:rPr>
                <w:noProof/>
                <w:webHidden/>
              </w:rPr>
              <w:fldChar w:fldCharType="separate"/>
            </w:r>
            <w:r w:rsidR="008A1027">
              <w:rPr>
                <w:noProof/>
                <w:webHidden/>
              </w:rPr>
              <w:t>42</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406" w:history="1">
            <w:r w:rsidR="008A1027" w:rsidRPr="00931F92">
              <w:rPr>
                <w:rStyle w:val="Hyperlink"/>
                <w:rFonts w:ascii="Wingdings" w:eastAsia="Calibri" w:hAnsi="Wingdings" w:cstheme="majorHAnsi"/>
                <w:noProof/>
              </w:rPr>
              <w:t></w:t>
            </w:r>
            <w:r w:rsidR="008A1027">
              <w:rPr>
                <w:rFonts w:eastAsiaTheme="minorEastAsia"/>
                <w:noProof/>
                <w:color w:val="auto"/>
                <w:kern w:val="0"/>
                <w:sz w:val="22"/>
                <w:szCs w:val="22"/>
                <w:lang w:val="en-US" w:eastAsia="en-US"/>
              </w:rPr>
              <w:tab/>
            </w:r>
            <w:r w:rsidR="008A1027" w:rsidRPr="00931F92">
              <w:rPr>
                <w:rStyle w:val="Hyperlink"/>
                <w:rFonts w:asciiTheme="majorHAnsi" w:eastAsia="Calibri" w:hAnsiTheme="majorHAnsi" w:cstheme="majorHAnsi"/>
                <w:b/>
                <w:noProof/>
              </w:rPr>
              <w:t>OPERATIVNI CILJEVI NA OSNOVU IDENTIFIKOVANIH IZAZOVA</w:t>
            </w:r>
            <w:r w:rsidR="008A1027">
              <w:rPr>
                <w:noProof/>
                <w:webHidden/>
              </w:rPr>
              <w:tab/>
            </w:r>
            <w:r w:rsidR="008A1027">
              <w:rPr>
                <w:noProof/>
                <w:webHidden/>
              </w:rPr>
              <w:fldChar w:fldCharType="begin"/>
            </w:r>
            <w:r w:rsidR="008A1027">
              <w:rPr>
                <w:noProof/>
                <w:webHidden/>
              </w:rPr>
              <w:instrText xml:space="preserve"> PAGEREF _Toc87353406 \h </w:instrText>
            </w:r>
            <w:r w:rsidR="008A1027">
              <w:rPr>
                <w:noProof/>
                <w:webHidden/>
              </w:rPr>
            </w:r>
            <w:r w:rsidR="008A1027">
              <w:rPr>
                <w:noProof/>
                <w:webHidden/>
              </w:rPr>
              <w:fldChar w:fldCharType="separate"/>
            </w:r>
            <w:r w:rsidR="008A1027">
              <w:rPr>
                <w:noProof/>
                <w:webHidden/>
              </w:rPr>
              <w:t>43</w:t>
            </w:r>
            <w:r w:rsidR="008A1027">
              <w:rPr>
                <w:noProof/>
                <w:webHidden/>
              </w:rPr>
              <w:fldChar w:fldCharType="end"/>
            </w:r>
          </w:hyperlink>
        </w:p>
        <w:p w:rsidR="008A1027" w:rsidRDefault="00DC3498">
          <w:pPr>
            <w:pStyle w:val="TOC2"/>
            <w:rPr>
              <w:rFonts w:eastAsiaTheme="minorEastAsia"/>
              <w:noProof/>
              <w:color w:val="auto"/>
              <w:kern w:val="0"/>
              <w:sz w:val="22"/>
              <w:szCs w:val="22"/>
              <w:lang w:val="en-US" w:eastAsia="en-US"/>
            </w:rPr>
          </w:pPr>
          <w:hyperlink w:anchor="_Toc87353407" w:history="1">
            <w:r w:rsidR="008A1027" w:rsidRPr="00931F92">
              <w:rPr>
                <w:rStyle w:val="Hyperlink"/>
                <w:rFonts w:cstheme="majorHAnsi"/>
                <w:b/>
                <w:noProof/>
              </w:rPr>
              <w:t>4.   TRANSPARENTNA I OTVORENA JAVNA UPRAVA</w:t>
            </w:r>
            <w:r w:rsidR="008A1027">
              <w:rPr>
                <w:noProof/>
                <w:webHidden/>
              </w:rPr>
              <w:tab/>
            </w:r>
            <w:r w:rsidR="008A1027">
              <w:rPr>
                <w:noProof/>
                <w:webHidden/>
              </w:rPr>
              <w:fldChar w:fldCharType="begin"/>
            </w:r>
            <w:r w:rsidR="008A1027">
              <w:rPr>
                <w:noProof/>
                <w:webHidden/>
              </w:rPr>
              <w:instrText xml:space="preserve"> PAGEREF _Toc87353407 \h </w:instrText>
            </w:r>
            <w:r w:rsidR="008A1027">
              <w:rPr>
                <w:noProof/>
                <w:webHidden/>
              </w:rPr>
            </w:r>
            <w:r w:rsidR="008A1027">
              <w:rPr>
                <w:noProof/>
                <w:webHidden/>
              </w:rPr>
              <w:fldChar w:fldCharType="separate"/>
            </w:r>
            <w:r w:rsidR="008A1027">
              <w:rPr>
                <w:noProof/>
                <w:webHidden/>
              </w:rPr>
              <w:t>48</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408" w:history="1">
            <w:r w:rsidR="008A1027" w:rsidRPr="00931F92">
              <w:rPr>
                <w:rStyle w:val="Hyperlink"/>
                <w:rFonts w:ascii="Wingdings" w:eastAsia="Times New Roman" w:hAnsi="Wingdings" w:cstheme="majorHAnsi"/>
                <w:noProof/>
                <w:lang w:eastAsia="en-US"/>
              </w:rPr>
              <w:t></w:t>
            </w:r>
            <w:r w:rsidR="008A1027">
              <w:rPr>
                <w:rFonts w:eastAsiaTheme="minorEastAsia"/>
                <w:noProof/>
                <w:color w:val="auto"/>
                <w:kern w:val="0"/>
                <w:sz w:val="22"/>
                <w:szCs w:val="22"/>
                <w:lang w:val="en-US" w:eastAsia="en-US"/>
              </w:rPr>
              <w:tab/>
            </w:r>
            <w:r w:rsidR="008A1027" w:rsidRPr="00931F92">
              <w:rPr>
                <w:rStyle w:val="Hyperlink"/>
                <w:rFonts w:asciiTheme="majorHAnsi" w:eastAsia="Times New Roman" w:hAnsiTheme="majorHAnsi" w:cstheme="majorHAnsi"/>
                <w:b/>
                <w:noProof/>
                <w:lang w:eastAsia="en-US"/>
              </w:rPr>
              <w:t>STRATEŠKI CILJ</w:t>
            </w:r>
            <w:r w:rsidR="008A1027">
              <w:rPr>
                <w:noProof/>
                <w:webHidden/>
              </w:rPr>
              <w:tab/>
            </w:r>
            <w:r w:rsidR="008A1027">
              <w:rPr>
                <w:noProof/>
                <w:webHidden/>
              </w:rPr>
              <w:fldChar w:fldCharType="begin"/>
            </w:r>
            <w:r w:rsidR="008A1027">
              <w:rPr>
                <w:noProof/>
                <w:webHidden/>
              </w:rPr>
              <w:instrText xml:space="preserve"> PAGEREF _Toc87353408 \h </w:instrText>
            </w:r>
            <w:r w:rsidR="008A1027">
              <w:rPr>
                <w:noProof/>
                <w:webHidden/>
              </w:rPr>
            </w:r>
            <w:r w:rsidR="008A1027">
              <w:rPr>
                <w:noProof/>
                <w:webHidden/>
              </w:rPr>
              <w:fldChar w:fldCharType="separate"/>
            </w:r>
            <w:r w:rsidR="008A1027">
              <w:rPr>
                <w:noProof/>
                <w:webHidden/>
              </w:rPr>
              <w:t>48</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409" w:history="1">
            <w:r w:rsidR="008A1027" w:rsidRPr="00931F92">
              <w:rPr>
                <w:rStyle w:val="Hyperlink"/>
                <w:rFonts w:ascii="Wingdings" w:eastAsia="Times New Roman" w:hAnsi="Wingdings" w:cstheme="majorHAnsi"/>
                <w:noProof/>
                <w:lang w:eastAsia="en-US"/>
              </w:rPr>
              <w:t></w:t>
            </w:r>
            <w:r w:rsidR="008A1027">
              <w:rPr>
                <w:rFonts w:eastAsiaTheme="minorEastAsia"/>
                <w:noProof/>
                <w:color w:val="auto"/>
                <w:kern w:val="0"/>
                <w:sz w:val="22"/>
                <w:szCs w:val="22"/>
                <w:lang w:val="en-US" w:eastAsia="en-US"/>
              </w:rPr>
              <w:tab/>
            </w:r>
            <w:r w:rsidR="008A1027" w:rsidRPr="00931F92">
              <w:rPr>
                <w:rStyle w:val="Hyperlink"/>
                <w:rFonts w:asciiTheme="majorHAnsi" w:eastAsia="Times New Roman" w:hAnsiTheme="majorHAnsi" w:cstheme="majorHAnsi"/>
                <w:b/>
                <w:noProof/>
                <w:lang w:eastAsia="en-US"/>
              </w:rPr>
              <w:t>STANJE U OBLASTI</w:t>
            </w:r>
            <w:r w:rsidR="008A1027">
              <w:rPr>
                <w:noProof/>
                <w:webHidden/>
              </w:rPr>
              <w:tab/>
            </w:r>
            <w:r w:rsidR="008A1027">
              <w:rPr>
                <w:noProof/>
                <w:webHidden/>
              </w:rPr>
              <w:fldChar w:fldCharType="begin"/>
            </w:r>
            <w:r w:rsidR="008A1027">
              <w:rPr>
                <w:noProof/>
                <w:webHidden/>
              </w:rPr>
              <w:instrText xml:space="preserve"> PAGEREF _Toc87353409 \h </w:instrText>
            </w:r>
            <w:r w:rsidR="008A1027">
              <w:rPr>
                <w:noProof/>
                <w:webHidden/>
              </w:rPr>
            </w:r>
            <w:r w:rsidR="008A1027">
              <w:rPr>
                <w:noProof/>
                <w:webHidden/>
              </w:rPr>
              <w:fldChar w:fldCharType="separate"/>
            </w:r>
            <w:r w:rsidR="008A1027">
              <w:rPr>
                <w:noProof/>
                <w:webHidden/>
              </w:rPr>
              <w:t>48</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410" w:history="1">
            <w:r w:rsidR="008A1027" w:rsidRPr="00931F92">
              <w:rPr>
                <w:rStyle w:val="Hyperlink"/>
                <w:rFonts w:ascii="Wingdings" w:eastAsia="Calibri" w:hAnsi="Wingdings" w:cstheme="majorHAnsi"/>
                <w:noProof/>
              </w:rPr>
              <w:t></w:t>
            </w:r>
            <w:r w:rsidR="008A1027">
              <w:rPr>
                <w:rFonts w:eastAsiaTheme="minorEastAsia"/>
                <w:noProof/>
                <w:color w:val="auto"/>
                <w:kern w:val="0"/>
                <w:sz w:val="22"/>
                <w:szCs w:val="22"/>
                <w:lang w:val="en-US" w:eastAsia="en-US"/>
              </w:rPr>
              <w:tab/>
            </w:r>
            <w:r w:rsidR="008A1027" w:rsidRPr="00931F92">
              <w:rPr>
                <w:rStyle w:val="Hyperlink"/>
                <w:rFonts w:asciiTheme="majorHAnsi" w:eastAsia="Calibri" w:hAnsiTheme="majorHAnsi" w:cstheme="majorHAnsi"/>
                <w:b/>
                <w:noProof/>
              </w:rPr>
              <w:t>IDENTIFIKOVANI PROBLEMI</w:t>
            </w:r>
            <w:r w:rsidR="008A1027">
              <w:rPr>
                <w:noProof/>
                <w:webHidden/>
              </w:rPr>
              <w:tab/>
            </w:r>
            <w:r w:rsidR="008A1027">
              <w:rPr>
                <w:noProof/>
                <w:webHidden/>
              </w:rPr>
              <w:fldChar w:fldCharType="begin"/>
            </w:r>
            <w:r w:rsidR="008A1027">
              <w:rPr>
                <w:noProof/>
                <w:webHidden/>
              </w:rPr>
              <w:instrText xml:space="preserve"> PAGEREF _Toc87353410 \h </w:instrText>
            </w:r>
            <w:r w:rsidR="008A1027">
              <w:rPr>
                <w:noProof/>
                <w:webHidden/>
              </w:rPr>
            </w:r>
            <w:r w:rsidR="008A1027">
              <w:rPr>
                <w:noProof/>
                <w:webHidden/>
              </w:rPr>
              <w:fldChar w:fldCharType="separate"/>
            </w:r>
            <w:r w:rsidR="008A1027">
              <w:rPr>
                <w:noProof/>
                <w:webHidden/>
              </w:rPr>
              <w:t>49</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411" w:history="1">
            <w:r w:rsidR="008A1027" w:rsidRPr="00931F92">
              <w:rPr>
                <w:rStyle w:val="Hyperlink"/>
                <w:rFonts w:ascii="Wingdings" w:eastAsia="Calibri" w:hAnsi="Wingdings" w:cstheme="majorHAnsi"/>
                <w:noProof/>
              </w:rPr>
              <w:t></w:t>
            </w:r>
            <w:r w:rsidR="008A1027">
              <w:rPr>
                <w:rFonts w:eastAsiaTheme="minorEastAsia"/>
                <w:noProof/>
                <w:color w:val="auto"/>
                <w:kern w:val="0"/>
                <w:sz w:val="22"/>
                <w:szCs w:val="22"/>
                <w:lang w:val="en-US" w:eastAsia="en-US"/>
              </w:rPr>
              <w:tab/>
            </w:r>
            <w:r w:rsidR="008A1027" w:rsidRPr="00931F92">
              <w:rPr>
                <w:rStyle w:val="Hyperlink"/>
                <w:rFonts w:asciiTheme="majorHAnsi" w:eastAsia="Calibri" w:hAnsiTheme="majorHAnsi" w:cstheme="majorHAnsi"/>
                <w:b/>
                <w:noProof/>
              </w:rPr>
              <w:t>STAKEHOLDER ANALIZA/ ANALIZA ZAINTERESOVANIH STRANA STRATEŠKOG CILJA 4.</w:t>
            </w:r>
            <w:r w:rsidR="008A1027">
              <w:rPr>
                <w:noProof/>
                <w:webHidden/>
              </w:rPr>
              <w:tab/>
            </w:r>
            <w:r w:rsidR="008A1027">
              <w:rPr>
                <w:noProof/>
                <w:webHidden/>
              </w:rPr>
              <w:fldChar w:fldCharType="begin"/>
            </w:r>
            <w:r w:rsidR="008A1027">
              <w:rPr>
                <w:noProof/>
                <w:webHidden/>
              </w:rPr>
              <w:instrText xml:space="preserve"> PAGEREF _Toc87353411 \h </w:instrText>
            </w:r>
            <w:r w:rsidR="008A1027">
              <w:rPr>
                <w:noProof/>
                <w:webHidden/>
              </w:rPr>
            </w:r>
            <w:r w:rsidR="008A1027">
              <w:rPr>
                <w:noProof/>
                <w:webHidden/>
              </w:rPr>
              <w:fldChar w:fldCharType="separate"/>
            </w:r>
            <w:r w:rsidR="008A1027">
              <w:rPr>
                <w:noProof/>
                <w:webHidden/>
              </w:rPr>
              <w:t>54</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412" w:history="1">
            <w:r w:rsidR="008A1027" w:rsidRPr="00931F92">
              <w:rPr>
                <w:rStyle w:val="Hyperlink"/>
                <w:rFonts w:ascii="Wingdings" w:eastAsia="Calibri" w:hAnsi="Wingdings" w:cstheme="majorHAnsi"/>
                <w:noProof/>
              </w:rPr>
              <w:t></w:t>
            </w:r>
            <w:r w:rsidR="008A1027">
              <w:rPr>
                <w:rFonts w:eastAsiaTheme="minorEastAsia"/>
                <w:noProof/>
                <w:color w:val="auto"/>
                <w:kern w:val="0"/>
                <w:sz w:val="22"/>
                <w:szCs w:val="22"/>
                <w:lang w:val="en-US" w:eastAsia="en-US"/>
              </w:rPr>
              <w:tab/>
            </w:r>
            <w:r w:rsidR="008A1027" w:rsidRPr="00931F92">
              <w:rPr>
                <w:rStyle w:val="Hyperlink"/>
                <w:rFonts w:asciiTheme="majorHAnsi" w:eastAsia="Calibri" w:hAnsiTheme="majorHAnsi" w:cstheme="majorHAnsi"/>
                <w:b/>
                <w:noProof/>
              </w:rPr>
              <w:t>OPERATIVNI CILJEVI NA OSNOVU IDENTIFIKOVANIH IZAZOVA</w:t>
            </w:r>
            <w:r w:rsidR="008A1027">
              <w:rPr>
                <w:noProof/>
                <w:webHidden/>
              </w:rPr>
              <w:tab/>
            </w:r>
            <w:r w:rsidR="008A1027">
              <w:rPr>
                <w:noProof/>
                <w:webHidden/>
              </w:rPr>
              <w:fldChar w:fldCharType="begin"/>
            </w:r>
            <w:r w:rsidR="008A1027">
              <w:rPr>
                <w:noProof/>
                <w:webHidden/>
              </w:rPr>
              <w:instrText xml:space="preserve"> PAGEREF _Toc87353412 \h </w:instrText>
            </w:r>
            <w:r w:rsidR="008A1027">
              <w:rPr>
                <w:noProof/>
                <w:webHidden/>
              </w:rPr>
            </w:r>
            <w:r w:rsidR="008A1027">
              <w:rPr>
                <w:noProof/>
                <w:webHidden/>
              </w:rPr>
              <w:fldChar w:fldCharType="separate"/>
            </w:r>
            <w:r w:rsidR="008A1027">
              <w:rPr>
                <w:noProof/>
                <w:webHidden/>
              </w:rPr>
              <w:t>54</w:t>
            </w:r>
            <w:r w:rsidR="008A1027">
              <w:rPr>
                <w:noProof/>
                <w:webHidden/>
              </w:rPr>
              <w:fldChar w:fldCharType="end"/>
            </w:r>
          </w:hyperlink>
        </w:p>
        <w:p w:rsidR="008A1027" w:rsidRDefault="00DC3498">
          <w:pPr>
            <w:pStyle w:val="TOC2"/>
            <w:rPr>
              <w:rFonts w:eastAsiaTheme="minorEastAsia"/>
              <w:noProof/>
              <w:color w:val="auto"/>
              <w:kern w:val="0"/>
              <w:sz w:val="22"/>
              <w:szCs w:val="22"/>
              <w:lang w:val="en-US" w:eastAsia="en-US"/>
            </w:rPr>
          </w:pPr>
          <w:hyperlink w:anchor="_Toc87353413" w:history="1">
            <w:r w:rsidR="008A1027" w:rsidRPr="00931F92">
              <w:rPr>
                <w:rStyle w:val="Hyperlink"/>
                <w:rFonts w:cstheme="majorHAnsi"/>
                <w:b/>
                <w:noProof/>
              </w:rPr>
              <w:t>5.   PLANIRANJE POLITIKA SA GRAĐANIMA I ZA GRAĐANE</w:t>
            </w:r>
            <w:r w:rsidR="008A1027">
              <w:rPr>
                <w:noProof/>
                <w:webHidden/>
              </w:rPr>
              <w:tab/>
            </w:r>
            <w:r w:rsidR="008A1027">
              <w:rPr>
                <w:noProof/>
                <w:webHidden/>
              </w:rPr>
              <w:fldChar w:fldCharType="begin"/>
            </w:r>
            <w:r w:rsidR="008A1027">
              <w:rPr>
                <w:noProof/>
                <w:webHidden/>
              </w:rPr>
              <w:instrText xml:space="preserve"> PAGEREF _Toc87353413 \h </w:instrText>
            </w:r>
            <w:r w:rsidR="008A1027">
              <w:rPr>
                <w:noProof/>
                <w:webHidden/>
              </w:rPr>
            </w:r>
            <w:r w:rsidR="008A1027">
              <w:rPr>
                <w:noProof/>
                <w:webHidden/>
              </w:rPr>
              <w:fldChar w:fldCharType="separate"/>
            </w:r>
            <w:r w:rsidR="008A1027">
              <w:rPr>
                <w:noProof/>
                <w:webHidden/>
              </w:rPr>
              <w:t>57</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414" w:history="1">
            <w:r w:rsidR="008A1027" w:rsidRPr="00931F92">
              <w:rPr>
                <w:rStyle w:val="Hyperlink"/>
                <w:rFonts w:ascii="Wingdings" w:eastAsia="Times New Roman" w:hAnsi="Wingdings" w:cstheme="majorHAnsi"/>
                <w:noProof/>
                <w:lang w:eastAsia="en-US"/>
              </w:rPr>
              <w:t></w:t>
            </w:r>
            <w:r w:rsidR="008A1027">
              <w:rPr>
                <w:rFonts w:eastAsiaTheme="minorEastAsia"/>
                <w:noProof/>
                <w:color w:val="auto"/>
                <w:kern w:val="0"/>
                <w:sz w:val="22"/>
                <w:szCs w:val="22"/>
                <w:lang w:val="en-US" w:eastAsia="en-US"/>
              </w:rPr>
              <w:tab/>
            </w:r>
            <w:r w:rsidR="008A1027" w:rsidRPr="00931F92">
              <w:rPr>
                <w:rStyle w:val="Hyperlink"/>
                <w:rFonts w:asciiTheme="majorHAnsi" w:eastAsia="Times New Roman" w:hAnsiTheme="majorHAnsi" w:cstheme="majorHAnsi"/>
                <w:b/>
                <w:noProof/>
                <w:lang w:eastAsia="en-US"/>
              </w:rPr>
              <w:t>STRATEŠKI CILJ</w:t>
            </w:r>
            <w:r w:rsidR="008A1027">
              <w:rPr>
                <w:noProof/>
                <w:webHidden/>
              </w:rPr>
              <w:tab/>
            </w:r>
            <w:r w:rsidR="008A1027">
              <w:rPr>
                <w:noProof/>
                <w:webHidden/>
              </w:rPr>
              <w:fldChar w:fldCharType="begin"/>
            </w:r>
            <w:r w:rsidR="008A1027">
              <w:rPr>
                <w:noProof/>
                <w:webHidden/>
              </w:rPr>
              <w:instrText xml:space="preserve"> PAGEREF _Toc87353414 \h </w:instrText>
            </w:r>
            <w:r w:rsidR="008A1027">
              <w:rPr>
                <w:noProof/>
                <w:webHidden/>
              </w:rPr>
            </w:r>
            <w:r w:rsidR="008A1027">
              <w:rPr>
                <w:noProof/>
                <w:webHidden/>
              </w:rPr>
              <w:fldChar w:fldCharType="separate"/>
            </w:r>
            <w:r w:rsidR="008A1027">
              <w:rPr>
                <w:noProof/>
                <w:webHidden/>
              </w:rPr>
              <w:t>57</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415" w:history="1">
            <w:r w:rsidR="008A1027" w:rsidRPr="00931F92">
              <w:rPr>
                <w:rStyle w:val="Hyperlink"/>
                <w:rFonts w:ascii="Wingdings" w:eastAsia="Times New Roman" w:hAnsi="Wingdings" w:cstheme="majorHAnsi"/>
                <w:noProof/>
                <w:lang w:eastAsia="en-US"/>
              </w:rPr>
              <w:t></w:t>
            </w:r>
            <w:r w:rsidR="008A1027">
              <w:rPr>
                <w:rFonts w:eastAsiaTheme="minorEastAsia"/>
                <w:noProof/>
                <w:color w:val="auto"/>
                <w:kern w:val="0"/>
                <w:sz w:val="22"/>
                <w:szCs w:val="22"/>
                <w:lang w:val="en-US" w:eastAsia="en-US"/>
              </w:rPr>
              <w:tab/>
            </w:r>
            <w:r w:rsidR="008A1027" w:rsidRPr="00931F92">
              <w:rPr>
                <w:rStyle w:val="Hyperlink"/>
                <w:rFonts w:asciiTheme="majorHAnsi" w:eastAsia="Times New Roman" w:hAnsiTheme="majorHAnsi" w:cstheme="majorHAnsi"/>
                <w:b/>
                <w:noProof/>
                <w:lang w:eastAsia="en-US"/>
              </w:rPr>
              <w:t>STANJE U OBLASTI</w:t>
            </w:r>
            <w:r w:rsidR="008A1027">
              <w:rPr>
                <w:noProof/>
                <w:webHidden/>
              </w:rPr>
              <w:tab/>
            </w:r>
            <w:r w:rsidR="008A1027">
              <w:rPr>
                <w:noProof/>
                <w:webHidden/>
              </w:rPr>
              <w:fldChar w:fldCharType="begin"/>
            </w:r>
            <w:r w:rsidR="008A1027">
              <w:rPr>
                <w:noProof/>
                <w:webHidden/>
              </w:rPr>
              <w:instrText xml:space="preserve"> PAGEREF _Toc87353415 \h </w:instrText>
            </w:r>
            <w:r w:rsidR="008A1027">
              <w:rPr>
                <w:noProof/>
                <w:webHidden/>
              </w:rPr>
            </w:r>
            <w:r w:rsidR="008A1027">
              <w:rPr>
                <w:noProof/>
                <w:webHidden/>
              </w:rPr>
              <w:fldChar w:fldCharType="separate"/>
            </w:r>
            <w:r w:rsidR="008A1027">
              <w:rPr>
                <w:noProof/>
                <w:webHidden/>
              </w:rPr>
              <w:t>58</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416" w:history="1">
            <w:r w:rsidR="008A1027" w:rsidRPr="00931F92">
              <w:rPr>
                <w:rStyle w:val="Hyperlink"/>
                <w:rFonts w:ascii="Wingdings" w:eastAsia="Calibri" w:hAnsi="Wingdings" w:cstheme="majorHAnsi"/>
                <w:noProof/>
              </w:rPr>
              <w:t></w:t>
            </w:r>
            <w:r w:rsidR="008A1027">
              <w:rPr>
                <w:rFonts w:eastAsiaTheme="minorEastAsia"/>
                <w:noProof/>
                <w:color w:val="auto"/>
                <w:kern w:val="0"/>
                <w:sz w:val="22"/>
                <w:szCs w:val="22"/>
                <w:lang w:val="en-US" w:eastAsia="en-US"/>
              </w:rPr>
              <w:tab/>
            </w:r>
            <w:r w:rsidR="008A1027" w:rsidRPr="00931F92">
              <w:rPr>
                <w:rStyle w:val="Hyperlink"/>
                <w:rFonts w:asciiTheme="majorHAnsi" w:eastAsia="Calibri" w:hAnsiTheme="majorHAnsi" w:cstheme="majorHAnsi"/>
                <w:b/>
                <w:noProof/>
              </w:rPr>
              <w:t>IDENTIFIKOVANI PROBLEMI</w:t>
            </w:r>
            <w:r w:rsidR="008A1027">
              <w:rPr>
                <w:noProof/>
                <w:webHidden/>
              </w:rPr>
              <w:tab/>
            </w:r>
            <w:r w:rsidR="008A1027">
              <w:rPr>
                <w:noProof/>
                <w:webHidden/>
              </w:rPr>
              <w:fldChar w:fldCharType="begin"/>
            </w:r>
            <w:r w:rsidR="008A1027">
              <w:rPr>
                <w:noProof/>
                <w:webHidden/>
              </w:rPr>
              <w:instrText xml:space="preserve"> PAGEREF _Toc87353416 \h </w:instrText>
            </w:r>
            <w:r w:rsidR="008A1027">
              <w:rPr>
                <w:noProof/>
                <w:webHidden/>
              </w:rPr>
            </w:r>
            <w:r w:rsidR="008A1027">
              <w:rPr>
                <w:noProof/>
                <w:webHidden/>
              </w:rPr>
              <w:fldChar w:fldCharType="separate"/>
            </w:r>
            <w:r w:rsidR="008A1027">
              <w:rPr>
                <w:noProof/>
                <w:webHidden/>
              </w:rPr>
              <w:t>61</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417" w:history="1">
            <w:r w:rsidR="008A1027" w:rsidRPr="00931F92">
              <w:rPr>
                <w:rStyle w:val="Hyperlink"/>
                <w:rFonts w:ascii="Wingdings" w:eastAsia="Calibri" w:hAnsi="Wingdings" w:cstheme="majorHAnsi"/>
                <w:noProof/>
              </w:rPr>
              <w:t></w:t>
            </w:r>
            <w:r w:rsidR="008A1027">
              <w:rPr>
                <w:rFonts w:eastAsiaTheme="minorEastAsia"/>
                <w:noProof/>
                <w:color w:val="auto"/>
                <w:kern w:val="0"/>
                <w:sz w:val="22"/>
                <w:szCs w:val="22"/>
                <w:lang w:val="en-US" w:eastAsia="en-US"/>
              </w:rPr>
              <w:tab/>
            </w:r>
            <w:r w:rsidR="008A1027" w:rsidRPr="00931F92">
              <w:rPr>
                <w:rStyle w:val="Hyperlink"/>
                <w:rFonts w:asciiTheme="majorHAnsi" w:eastAsia="Calibri" w:hAnsiTheme="majorHAnsi" w:cstheme="majorHAnsi"/>
                <w:b/>
                <w:noProof/>
              </w:rPr>
              <w:t>STAKEHOLDER ANALIZA/ ANALIZA ZAINTERESOVANIH STRANA STRATEŠKOG CILJA 5.</w:t>
            </w:r>
            <w:r w:rsidR="008A1027">
              <w:rPr>
                <w:noProof/>
                <w:webHidden/>
              </w:rPr>
              <w:tab/>
            </w:r>
            <w:r w:rsidR="008A1027">
              <w:rPr>
                <w:noProof/>
                <w:webHidden/>
              </w:rPr>
              <w:fldChar w:fldCharType="begin"/>
            </w:r>
            <w:r w:rsidR="008A1027">
              <w:rPr>
                <w:noProof/>
                <w:webHidden/>
              </w:rPr>
              <w:instrText xml:space="preserve"> PAGEREF _Toc87353417 \h </w:instrText>
            </w:r>
            <w:r w:rsidR="008A1027">
              <w:rPr>
                <w:noProof/>
                <w:webHidden/>
              </w:rPr>
            </w:r>
            <w:r w:rsidR="008A1027">
              <w:rPr>
                <w:noProof/>
                <w:webHidden/>
              </w:rPr>
              <w:fldChar w:fldCharType="separate"/>
            </w:r>
            <w:r w:rsidR="008A1027">
              <w:rPr>
                <w:noProof/>
                <w:webHidden/>
              </w:rPr>
              <w:t>66</w:t>
            </w:r>
            <w:r w:rsidR="008A1027">
              <w:rPr>
                <w:noProof/>
                <w:webHidden/>
              </w:rPr>
              <w:fldChar w:fldCharType="end"/>
            </w:r>
          </w:hyperlink>
        </w:p>
        <w:p w:rsidR="008A1027" w:rsidRDefault="00DC3498">
          <w:pPr>
            <w:pStyle w:val="TOC1"/>
            <w:rPr>
              <w:rFonts w:asciiTheme="minorHAnsi" w:eastAsiaTheme="minorEastAsia" w:hAnsiTheme="minorHAnsi" w:cstheme="minorBidi"/>
              <w:b w:val="0"/>
              <w:kern w:val="0"/>
              <w:sz w:val="22"/>
              <w:szCs w:val="22"/>
              <w:lang w:val="en-US" w:eastAsia="en-US"/>
            </w:rPr>
          </w:pPr>
          <w:hyperlink w:anchor="_Toc87353418" w:history="1">
            <w:r w:rsidR="008A1027" w:rsidRPr="00931F92">
              <w:rPr>
                <w:rStyle w:val="Hyperlink"/>
              </w:rPr>
              <w:t>III  HORIZONTALNA PITANJA</w:t>
            </w:r>
            <w:r w:rsidR="008A1027">
              <w:rPr>
                <w:webHidden/>
              </w:rPr>
              <w:tab/>
            </w:r>
            <w:r w:rsidR="008A1027">
              <w:rPr>
                <w:webHidden/>
              </w:rPr>
              <w:fldChar w:fldCharType="begin"/>
            </w:r>
            <w:r w:rsidR="008A1027">
              <w:rPr>
                <w:webHidden/>
              </w:rPr>
              <w:instrText xml:space="preserve"> PAGEREF _Toc87353418 \h </w:instrText>
            </w:r>
            <w:r w:rsidR="008A1027">
              <w:rPr>
                <w:webHidden/>
              </w:rPr>
            </w:r>
            <w:r w:rsidR="008A1027">
              <w:rPr>
                <w:webHidden/>
              </w:rPr>
              <w:fldChar w:fldCharType="separate"/>
            </w:r>
            <w:r w:rsidR="008A1027">
              <w:rPr>
                <w:webHidden/>
              </w:rPr>
              <w:t>71</w:t>
            </w:r>
            <w:r w:rsidR="008A1027">
              <w:rPr>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419" w:history="1">
            <w:r w:rsidR="008A1027" w:rsidRPr="00931F92">
              <w:rPr>
                <w:rStyle w:val="Hyperlink"/>
                <w:rFonts w:ascii="Wingdings" w:eastAsia="Calibri" w:hAnsi="Wingdings" w:cstheme="majorHAnsi"/>
                <w:noProof/>
              </w:rPr>
              <w:t></w:t>
            </w:r>
            <w:r w:rsidR="008A1027">
              <w:rPr>
                <w:rFonts w:eastAsiaTheme="minorEastAsia"/>
                <w:noProof/>
                <w:color w:val="auto"/>
                <w:kern w:val="0"/>
                <w:sz w:val="22"/>
                <w:szCs w:val="22"/>
                <w:lang w:val="en-US" w:eastAsia="en-US"/>
              </w:rPr>
              <w:tab/>
            </w:r>
            <w:r w:rsidR="008A1027" w:rsidRPr="00931F92">
              <w:rPr>
                <w:rStyle w:val="Hyperlink"/>
                <w:rFonts w:asciiTheme="majorHAnsi" w:eastAsia="Calibri" w:hAnsiTheme="majorHAnsi" w:cstheme="majorHAnsi"/>
                <w:b/>
                <w:noProof/>
              </w:rPr>
              <w:t>JAVNA UPRAVA ZASNOVANA NA RAZNOLIKOSTI, RAVNOPRAVNOSTI, INKLUZIJI, ANTIDISKRIMINACIJI I JEDNAKIM MOGUĆNOSTIMA ZA SVE</w:t>
            </w:r>
            <w:r w:rsidR="008A1027">
              <w:rPr>
                <w:noProof/>
                <w:webHidden/>
              </w:rPr>
              <w:tab/>
            </w:r>
            <w:r w:rsidR="008A1027">
              <w:rPr>
                <w:noProof/>
                <w:webHidden/>
              </w:rPr>
              <w:fldChar w:fldCharType="begin"/>
            </w:r>
            <w:r w:rsidR="008A1027">
              <w:rPr>
                <w:noProof/>
                <w:webHidden/>
              </w:rPr>
              <w:instrText xml:space="preserve"> PAGEREF _Toc87353419 \h </w:instrText>
            </w:r>
            <w:r w:rsidR="008A1027">
              <w:rPr>
                <w:noProof/>
                <w:webHidden/>
              </w:rPr>
            </w:r>
            <w:r w:rsidR="008A1027">
              <w:rPr>
                <w:noProof/>
                <w:webHidden/>
              </w:rPr>
              <w:fldChar w:fldCharType="separate"/>
            </w:r>
            <w:r w:rsidR="008A1027">
              <w:rPr>
                <w:noProof/>
                <w:webHidden/>
              </w:rPr>
              <w:t>71</w:t>
            </w:r>
            <w:r w:rsidR="008A1027">
              <w:rPr>
                <w:noProof/>
                <w:webHidden/>
              </w:rPr>
              <w:fldChar w:fldCharType="end"/>
            </w:r>
          </w:hyperlink>
        </w:p>
        <w:p w:rsidR="008A1027" w:rsidRDefault="00DC3498">
          <w:pPr>
            <w:pStyle w:val="TOC3"/>
            <w:rPr>
              <w:rFonts w:eastAsiaTheme="minorEastAsia"/>
              <w:noProof/>
              <w:color w:val="auto"/>
              <w:kern w:val="0"/>
              <w:sz w:val="22"/>
              <w:szCs w:val="22"/>
              <w:lang w:val="en-US" w:eastAsia="en-US"/>
            </w:rPr>
          </w:pPr>
          <w:hyperlink w:anchor="_Toc87353420" w:history="1">
            <w:r w:rsidR="008A1027" w:rsidRPr="00931F92">
              <w:rPr>
                <w:rStyle w:val="Hyperlink"/>
                <w:rFonts w:ascii="Wingdings" w:eastAsia="Calibri" w:hAnsi="Wingdings" w:cstheme="majorHAnsi"/>
                <w:noProof/>
              </w:rPr>
              <w:t></w:t>
            </w:r>
            <w:r w:rsidR="008A1027">
              <w:rPr>
                <w:rFonts w:eastAsiaTheme="minorEastAsia"/>
                <w:noProof/>
                <w:color w:val="auto"/>
                <w:kern w:val="0"/>
                <w:sz w:val="22"/>
                <w:szCs w:val="22"/>
                <w:lang w:val="en-US" w:eastAsia="en-US"/>
              </w:rPr>
              <w:tab/>
            </w:r>
            <w:r w:rsidR="008A1027" w:rsidRPr="00931F92">
              <w:rPr>
                <w:rStyle w:val="Hyperlink"/>
                <w:rFonts w:asciiTheme="majorHAnsi" w:eastAsia="Calibri" w:hAnsiTheme="majorHAnsi" w:cstheme="majorHAnsi"/>
                <w:b/>
                <w:noProof/>
              </w:rPr>
              <w:t>DIGITALIZACIJA U JAVNOJ UPRAVI</w:t>
            </w:r>
            <w:r w:rsidR="008A1027">
              <w:rPr>
                <w:noProof/>
                <w:webHidden/>
              </w:rPr>
              <w:tab/>
            </w:r>
            <w:r w:rsidR="008A1027">
              <w:rPr>
                <w:noProof/>
                <w:webHidden/>
              </w:rPr>
              <w:fldChar w:fldCharType="begin"/>
            </w:r>
            <w:r w:rsidR="008A1027">
              <w:rPr>
                <w:noProof/>
                <w:webHidden/>
              </w:rPr>
              <w:instrText xml:space="preserve"> PAGEREF _Toc87353420 \h </w:instrText>
            </w:r>
            <w:r w:rsidR="008A1027">
              <w:rPr>
                <w:noProof/>
                <w:webHidden/>
              </w:rPr>
            </w:r>
            <w:r w:rsidR="008A1027">
              <w:rPr>
                <w:noProof/>
                <w:webHidden/>
              </w:rPr>
              <w:fldChar w:fldCharType="separate"/>
            </w:r>
            <w:r w:rsidR="008A1027">
              <w:rPr>
                <w:noProof/>
                <w:webHidden/>
              </w:rPr>
              <w:t>72</w:t>
            </w:r>
            <w:r w:rsidR="008A1027">
              <w:rPr>
                <w:noProof/>
                <w:webHidden/>
              </w:rPr>
              <w:fldChar w:fldCharType="end"/>
            </w:r>
          </w:hyperlink>
        </w:p>
        <w:p w:rsidR="008A1027" w:rsidRDefault="00DC3498">
          <w:pPr>
            <w:pStyle w:val="TOC1"/>
            <w:rPr>
              <w:rFonts w:asciiTheme="minorHAnsi" w:eastAsiaTheme="minorEastAsia" w:hAnsiTheme="minorHAnsi" w:cstheme="minorBidi"/>
              <w:b w:val="0"/>
              <w:kern w:val="0"/>
              <w:sz w:val="22"/>
              <w:szCs w:val="22"/>
              <w:lang w:val="en-US" w:eastAsia="en-US"/>
            </w:rPr>
          </w:pPr>
          <w:hyperlink w:anchor="_Toc87353421" w:history="1">
            <w:r w:rsidR="008A1027" w:rsidRPr="00931F92">
              <w:rPr>
                <w:rStyle w:val="Hyperlink"/>
              </w:rPr>
              <w:t>IV   TABELA STRATEŠKIH I OPERATIVNIH CILJEVI STRATEGIJE (sa indikatorima uspjeha)</w:t>
            </w:r>
            <w:r w:rsidR="008A1027">
              <w:rPr>
                <w:webHidden/>
              </w:rPr>
              <w:tab/>
            </w:r>
            <w:r w:rsidR="008A1027">
              <w:rPr>
                <w:webHidden/>
              </w:rPr>
              <w:fldChar w:fldCharType="begin"/>
            </w:r>
            <w:r w:rsidR="008A1027">
              <w:rPr>
                <w:webHidden/>
              </w:rPr>
              <w:instrText xml:space="preserve"> PAGEREF _Toc87353421 \h </w:instrText>
            </w:r>
            <w:r w:rsidR="008A1027">
              <w:rPr>
                <w:webHidden/>
              </w:rPr>
            </w:r>
            <w:r w:rsidR="008A1027">
              <w:rPr>
                <w:webHidden/>
              </w:rPr>
              <w:fldChar w:fldCharType="separate"/>
            </w:r>
            <w:r w:rsidR="008A1027">
              <w:rPr>
                <w:webHidden/>
              </w:rPr>
              <w:t>74</w:t>
            </w:r>
            <w:r w:rsidR="008A1027">
              <w:rPr>
                <w:webHidden/>
              </w:rPr>
              <w:fldChar w:fldCharType="end"/>
            </w:r>
          </w:hyperlink>
        </w:p>
        <w:p w:rsidR="008A1027" w:rsidRDefault="00DC3498">
          <w:pPr>
            <w:pStyle w:val="TOC1"/>
            <w:rPr>
              <w:rFonts w:asciiTheme="minorHAnsi" w:eastAsiaTheme="minorEastAsia" w:hAnsiTheme="minorHAnsi" w:cstheme="minorBidi"/>
              <w:b w:val="0"/>
              <w:kern w:val="0"/>
              <w:sz w:val="22"/>
              <w:szCs w:val="22"/>
              <w:lang w:val="en-US" w:eastAsia="en-US"/>
            </w:rPr>
          </w:pPr>
          <w:hyperlink w:anchor="_Toc87353422" w:history="1">
            <w:r w:rsidR="008A1027" w:rsidRPr="00931F92">
              <w:rPr>
                <w:rStyle w:val="Hyperlink"/>
              </w:rPr>
              <w:t>V MONITORING, IZVJEŠTAVANJE I EVALUACIJA</w:t>
            </w:r>
            <w:r w:rsidR="008A1027">
              <w:rPr>
                <w:webHidden/>
              </w:rPr>
              <w:tab/>
            </w:r>
            <w:r w:rsidR="008A1027">
              <w:rPr>
                <w:webHidden/>
              </w:rPr>
              <w:fldChar w:fldCharType="begin"/>
            </w:r>
            <w:r w:rsidR="008A1027">
              <w:rPr>
                <w:webHidden/>
              </w:rPr>
              <w:instrText xml:space="preserve"> PAGEREF _Toc87353422 \h </w:instrText>
            </w:r>
            <w:r w:rsidR="008A1027">
              <w:rPr>
                <w:webHidden/>
              </w:rPr>
            </w:r>
            <w:r w:rsidR="008A1027">
              <w:rPr>
                <w:webHidden/>
              </w:rPr>
              <w:fldChar w:fldCharType="separate"/>
            </w:r>
            <w:r w:rsidR="008A1027">
              <w:rPr>
                <w:webHidden/>
              </w:rPr>
              <w:t>82</w:t>
            </w:r>
            <w:r w:rsidR="008A1027">
              <w:rPr>
                <w:webHidden/>
              </w:rPr>
              <w:fldChar w:fldCharType="end"/>
            </w:r>
          </w:hyperlink>
        </w:p>
        <w:p w:rsidR="008A1027" w:rsidRDefault="00DC3498">
          <w:pPr>
            <w:pStyle w:val="TOC1"/>
            <w:rPr>
              <w:rFonts w:asciiTheme="minorHAnsi" w:eastAsiaTheme="minorEastAsia" w:hAnsiTheme="minorHAnsi" w:cstheme="minorBidi"/>
              <w:b w:val="0"/>
              <w:kern w:val="0"/>
              <w:sz w:val="22"/>
              <w:szCs w:val="22"/>
              <w:lang w:val="en-US" w:eastAsia="en-US"/>
            </w:rPr>
          </w:pPr>
          <w:hyperlink w:anchor="_Toc87353423" w:history="1">
            <w:r w:rsidR="008A1027" w:rsidRPr="00931F92">
              <w:rPr>
                <w:rStyle w:val="Hyperlink"/>
              </w:rPr>
              <w:t>VI KOMUNIKACIONI PLAN</w:t>
            </w:r>
            <w:r w:rsidR="008A1027">
              <w:rPr>
                <w:webHidden/>
              </w:rPr>
              <w:tab/>
            </w:r>
            <w:r w:rsidR="008A1027">
              <w:rPr>
                <w:webHidden/>
              </w:rPr>
              <w:fldChar w:fldCharType="begin"/>
            </w:r>
            <w:r w:rsidR="008A1027">
              <w:rPr>
                <w:webHidden/>
              </w:rPr>
              <w:instrText xml:space="preserve"> PAGEREF _Toc87353423 \h </w:instrText>
            </w:r>
            <w:r w:rsidR="008A1027">
              <w:rPr>
                <w:webHidden/>
              </w:rPr>
            </w:r>
            <w:r w:rsidR="008A1027">
              <w:rPr>
                <w:webHidden/>
              </w:rPr>
              <w:fldChar w:fldCharType="separate"/>
            </w:r>
            <w:r w:rsidR="008A1027">
              <w:rPr>
                <w:webHidden/>
              </w:rPr>
              <w:t>88</w:t>
            </w:r>
            <w:r w:rsidR="008A1027">
              <w:rPr>
                <w:webHidden/>
              </w:rPr>
              <w:fldChar w:fldCharType="end"/>
            </w:r>
          </w:hyperlink>
        </w:p>
        <w:p w:rsidR="004E2305" w:rsidRPr="007C4CA2" w:rsidRDefault="004E2305">
          <w:pPr>
            <w:rPr>
              <w:rFonts w:asciiTheme="majorHAnsi" w:hAnsiTheme="majorHAnsi" w:cstheme="majorHAnsi"/>
              <w:b/>
              <w:color w:val="3A4B5B" w:themeColor="accent1" w:themeShade="80"/>
              <w:sz w:val="32"/>
              <w:szCs w:val="32"/>
            </w:rPr>
          </w:pPr>
          <w:r w:rsidRPr="004E2305">
            <w:rPr>
              <w:b/>
              <w:bCs/>
              <w:noProof/>
              <w:color w:val="3A4B5B" w:themeColor="accent1" w:themeShade="80"/>
            </w:rPr>
            <w:fldChar w:fldCharType="end"/>
          </w:r>
        </w:p>
      </w:sdtContent>
    </w:sdt>
    <w:p w:rsidR="006C1A12" w:rsidRPr="00C1093A" w:rsidRDefault="000A4020" w:rsidP="00C1093A">
      <w:pPr>
        <w:pStyle w:val="Heading1"/>
        <w:spacing w:before="240" w:after="240"/>
        <w:ind w:right="-475"/>
        <w:jc w:val="center"/>
        <w:rPr>
          <w:rFonts w:asciiTheme="majorHAnsi" w:hAnsiTheme="majorHAnsi" w:cstheme="majorHAnsi"/>
          <w:b/>
          <w:i/>
          <w:color w:val="auto"/>
          <w:sz w:val="32"/>
          <w:szCs w:val="32"/>
        </w:rPr>
      </w:pPr>
      <w:bookmarkStart w:id="2" w:name="_Toc87353386"/>
      <w:r w:rsidRPr="00894907">
        <w:rPr>
          <w:rFonts w:asciiTheme="majorHAnsi" w:hAnsiTheme="majorHAnsi" w:cstheme="majorHAnsi"/>
          <w:b/>
          <w:color w:val="auto"/>
          <w:sz w:val="32"/>
          <w:szCs w:val="32"/>
        </w:rPr>
        <w:lastRenderedPageBreak/>
        <w:t xml:space="preserve">I  </w:t>
      </w:r>
      <w:r w:rsidR="007471E0" w:rsidRPr="00894907">
        <w:rPr>
          <w:rFonts w:asciiTheme="majorHAnsi" w:hAnsiTheme="majorHAnsi" w:cstheme="majorHAnsi"/>
          <w:b/>
          <w:color w:val="auto"/>
          <w:sz w:val="32"/>
          <w:szCs w:val="32"/>
        </w:rPr>
        <w:t>UVOD</w:t>
      </w:r>
      <w:bookmarkEnd w:id="2"/>
    </w:p>
    <w:p w:rsidR="00BF75D0" w:rsidRPr="00C1093A" w:rsidRDefault="006C1A12" w:rsidP="00C1093A">
      <w:pPr>
        <w:spacing w:before="60" w:after="60" w:line="240" w:lineRule="auto"/>
        <w:ind w:right="-475"/>
        <w:jc w:val="both"/>
        <w:rPr>
          <w:rFonts w:asciiTheme="majorHAnsi" w:hAnsiTheme="majorHAnsi" w:cstheme="majorHAnsi"/>
          <w:color w:val="auto"/>
          <w:sz w:val="24"/>
          <w:szCs w:val="24"/>
        </w:rPr>
      </w:pPr>
      <w:r w:rsidRPr="00C1093A">
        <w:rPr>
          <w:rFonts w:asciiTheme="majorHAnsi" w:hAnsiTheme="majorHAnsi" w:cstheme="majorHAnsi"/>
          <w:color w:val="auto"/>
          <w:sz w:val="24"/>
          <w:szCs w:val="24"/>
        </w:rPr>
        <w:t xml:space="preserve">Vlada Crne Gore je u martu 2011. godine usvojila </w:t>
      </w:r>
      <w:r w:rsidRPr="00C1093A">
        <w:rPr>
          <w:rFonts w:asciiTheme="majorHAnsi" w:hAnsiTheme="majorHAnsi" w:cstheme="majorHAnsi"/>
          <w:b/>
          <w:color w:val="auto"/>
          <w:sz w:val="24"/>
          <w:szCs w:val="24"/>
        </w:rPr>
        <w:t>Strategiju reforme javne uprave za period 2011 – 2016</w:t>
      </w:r>
      <w:r w:rsidR="00C4082D" w:rsidRPr="00C1093A">
        <w:rPr>
          <w:rFonts w:asciiTheme="majorHAnsi" w:hAnsiTheme="majorHAnsi" w:cstheme="majorHAnsi"/>
          <w:b/>
          <w:color w:val="auto"/>
          <w:sz w:val="24"/>
          <w:szCs w:val="24"/>
        </w:rPr>
        <w:t>.</w:t>
      </w:r>
      <w:r w:rsidRPr="00C1093A">
        <w:rPr>
          <w:rFonts w:asciiTheme="majorHAnsi" w:hAnsiTheme="majorHAnsi" w:cstheme="majorHAnsi"/>
          <w:b/>
          <w:color w:val="auto"/>
          <w:sz w:val="24"/>
          <w:szCs w:val="24"/>
        </w:rPr>
        <w:t xml:space="preserve"> (AURUM)</w:t>
      </w:r>
      <w:r w:rsidRPr="00C1093A">
        <w:rPr>
          <w:rFonts w:asciiTheme="majorHAnsi" w:hAnsiTheme="majorHAnsi" w:cstheme="majorHAnsi"/>
          <w:color w:val="auto"/>
          <w:sz w:val="24"/>
          <w:szCs w:val="24"/>
        </w:rPr>
        <w:t>,</w:t>
      </w:r>
      <w:r w:rsidR="00784951">
        <w:rPr>
          <w:rStyle w:val="FootnoteReference"/>
          <w:rFonts w:asciiTheme="majorHAnsi" w:hAnsiTheme="majorHAnsi" w:cstheme="majorHAnsi"/>
          <w:color w:val="auto"/>
          <w:sz w:val="24"/>
          <w:szCs w:val="24"/>
        </w:rPr>
        <w:footnoteReference w:id="1"/>
      </w:r>
      <w:r w:rsidRPr="00C1093A">
        <w:rPr>
          <w:rFonts w:asciiTheme="majorHAnsi" w:hAnsiTheme="majorHAnsi" w:cstheme="majorHAnsi"/>
          <w:color w:val="auto"/>
          <w:sz w:val="24"/>
          <w:szCs w:val="24"/>
        </w:rPr>
        <w:t xml:space="preserve"> sa Okvirnim akcionim planom za njenu implementaciju. AURUM-om su bile obuhvaćene dvije podoblasti javne uprave: državna uprava i lokalna samouprava. Osnovni cilj AURUM-a bio je usmjeren na efikasnu, profesionalnu i servisno orjentisanu javnu upravu u funkciji građana i drugih društvenih i privrednih subjekata. Implementacija AURUM-a bila je, između ostalog, usmjerena na izgradnju zakonodavnog okvira javne uprave u Crnoj Gori i taj cilj je u velikoj mjeri ispunjen.</w:t>
      </w:r>
    </w:p>
    <w:p w:rsidR="003F6F26" w:rsidRPr="00C1093A" w:rsidRDefault="006C1A12" w:rsidP="00C1093A">
      <w:pPr>
        <w:spacing w:before="60" w:after="60" w:line="240" w:lineRule="auto"/>
        <w:ind w:right="-475"/>
        <w:jc w:val="both"/>
        <w:rPr>
          <w:rFonts w:asciiTheme="majorHAnsi" w:hAnsiTheme="majorHAnsi" w:cstheme="majorHAnsi"/>
          <w:color w:val="auto"/>
          <w:sz w:val="24"/>
          <w:szCs w:val="24"/>
        </w:rPr>
      </w:pPr>
      <w:r w:rsidRPr="00C1093A">
        <w:rPr>
          <w:rFonts w:asciiTheme="majorHAnsi" w:hAnsiTheme="majorHAnsi" w:cstheme="majorHAnsi"/>
          <w:color w:val="auto"/>
          <w:sz w:val="24"/>
          <w:szCs w:val="24"/>
        </w:rPr>
        <w:t xml:space="preserve">U julu 2016. godine usvojena je </w:t>
      </w:r>
      <w:r w:rsidRPr="00C1093A">
        <w:rPr>
          <w:rFonts w:asciiTheme="majorHAnsi" w:hAnsiTheme="majorHAnsi" w:cstheme="majorHAnsi"/>
          <w:b/>
          <w:color w:val="auto"/>
          <w:sz w:val="24"/>
          <w:szCs w:val="24"/>
        </w:rPr>
        <w:t>Strategija reforma javne uprave Crne Gore 2016 – 2020</w:t>
      </w:r>
      <w:r w:rsidRPr="00C1093A">
        <w:rPr>
          <w:rFonts w:asciiTheme="majorHAnsi" w:hAnsiTheme="majorHAnsi" w:cstheme="majorHAnsi"/>
          <w:color w:val="auto"/>
          <w:sz w:val="24"/>
          <w:szCs w:val="24"/>
        </w:rPr>
        <w:t>. Struktura ove Strategije slijedila je logiku reformskih oblasti onako kako su one postavljene u dokumentu „Principi javne uprave”, koji je izradila SIGMA. Reformske oblasti iz Strategije 2016</w:t>
      </w:r>
      <w:r w:rsidR="00AA5662" w:rsidRPr="00C1093A">
        <w:rPr>
          <w:rFonts w:asciiTheme="majorHAnsi" w:hAnsiTheme="majorHAnsi" w:cstheme="majorHAnsi"/>
          <w:color w:val="auto"/>
          <w:sz w:val="24"/>
          <w:szCs w:val="24"/>
        </w:rPr>
        <w:t xml:space="preserve"> – </w:t>
      </w:r>
      <w:r w:rsidRPr="00C1093A">
        <w:rPr>
          <w:rFonts w:asciiTheme="majorHAnsi" w:hAnsiTheme="majorHAnsi" w:cstheme="majorHAnsi"/>
          <w:color w:val="auto"/>
          <w:sz w:val="24"/>
          <w:szCs w:val="24"/>
        </w:rPr>
        <w:t>2020</w:t>
      </w:r>
      <w:r w:rsidR="00C4082D" w:rsidRPr="00C1093A">
        <w:rPr>
          <w:rFonts w:asciiTheme="majorHAnsi" w:hAnsiTheme="majorHAnsi" w:cstheme="majorHAnsi"/>
          <w:color w:val="auto"/>
          <w:sz w:val="24"/>
          <w:szCs w:val="24"/>
        </w:rPr>
        <w:t>.</w:t>
      </w:r>
      <w:r w:rsidR="00AA5662" w:rsidRPr="00C1093A">
        <w:rPr>
          <w:rFonts w:asciiTheme="majorHAnsi" w:hAnsiTheme="majorHAnsi" w:cstheme="majorHAnsi"/>
          <w:color w:val="auto"/>
          <w:sz w:val="24"/>
          <w:szCs w:val="24"/>
        </w:rPr>
        <w:t xml:space="preserve"> </w:t>
      </w:r>
      <w:r w:rsidRPr="00C1093A">
        <w:rPr>
          <w:rFonts w:asciiTheme="majorHAnsi" w:hAnsiTheme="majorHAnsi" w:cstheme="majorHAnsi"/>
          <w:color w:val="auto"/>
          <w:sz w:val="24"/>
          <w:szCs w:val="24"/>
        </w:rPr>
        <w:t>odnosile su se na sve segmente javne uprave (državna uprava, lokalna samouprava, organizacije sa javnim ovlašćenjima), dok su specifičnosti lokalne samouprave, koje se tiču njenog teritorijalnog, funkcionalnog i finansijskog položaja, dodatno bile razrađene u posebnom poglavlju. Opšti cilj reformskih aktivnosti do 2020. godine bio je usmjeren ka stvaranju efikasne i servisno opredijeljene javne uprave, koju karakteriše rast povjerenja građana u njen rad.</w:t>
      </w:r>
    </w:p>
    <w:p w:rsidR="00DB6B09" w:rsidRPr="00C1093A" w:rsidRDefault="00DB6B09" w:rsidP="00C1093A">
      <w:pPr>
        <w:spacing w:before="120" w:after="120" w:line="240" w:lineRule="auto"/>
        <w:ind w:right="-475"/>
        <w:jc w:val="both"/>
        <w:rPr>
          <w:rFonts w:asciiTheme="majorHAnsi" w:hAnsiTheme="majorHAnsi" w:cstheme="majorHAnsi"/>
          <w:b/>
          <w:color w:val="auto"/>
          <w:sz w:val="24"/>
          <w:szCs w:val="24"/>
          <w:u w:val="single"/>
        </w:rPr>
      </w:pPr>
      <w:r w:rsidRPr="00C1093A">
        <w:rPr>
          <w:rFonts w:asciiTheme="majorHAnsi" w:hAnsiTheme="majorHAnsi" w:cstheme="majorHAnsi"/>
          <w:b/>
          <w:color w:val="auto"/>
          <w:sz w:val="24"/>
          <w:szCs w:val="24"/>
          <w:u w:val="single"/>
        </w:rPr>
        <w:t>Postignuti rezultati u predhodnom strateškom ciklusu</w:t>
      </w:r>
    </w:p>
    <w:p w:rsidR="003E3E78" w:rsidRPr="00C1093A" w:rsidRDefault="003E3E78" w:rsidP="00C1093A">
      <w:pPr>
        <w:spacing w:before="60" w:after="60" w:line="240" w:lineRule="auto"/>
        <w:ind w:right="-475"/>
        <w:jc w:val="both"/>
        <w:rPr>
          <w:rFonts w:asciiTheme="majorHAnsi" w:hAnsiTheme="majorHAnsi" w:cstheme="majorHAnsi"/>
          <w:color w:val="auto"/>
          <w:sz w:val="24"/>
          <w:szCs w:val="24"/>
        </w:rPr>
      </w:pPr>
      <w:r w:rsidRPr="00C1093A">
        <w:rPr>
          <w:rFonts w:asciiTheme="majorHAnsi" w:hAnsiTheme="majorHAnsi" w:cstheme="majorHAnsi"/>
          <w:color w:val="auto"/>
          <w:sz w:val="24"/>
          <w:szCs w:val="24"/>
        </w:rPr>
        <w:t xml:space="preserve">Prema </w:t>
      </w:r>
      <w:r w:rsidRPr="00C1093A">
        <w:rPr>
          <w:rFonts w:asciiTheme="majorHAnsi" w:hAnsiTheme="majorHAnsi" w:cstheme="majorHAnsi"/>
          <w:b/>
          <w:color w:val="auto"/>
          <w:sz w:val="24"/>
          <w:szCs w:val="24"/>
        </w:rPr>
        <w:t>Izvješt</w:t>
      </w:r>
      <w:r w:rsidR="00A666B7" w:rsidRPr="00C1093A">
        <w:rPr>
          <w:rFonts w:asciiTheme="majorHAnsi" w:hAnsiTheme="majorHAnsi" w:cstheme="majorHAnsi"/>
          <w:b/>
          <w:color w:val="auto"/>
          <w:sz w:val="24"/>
          <w:szCs w:val="24"/>
        </w:rPr>
        <w:t>aju o srednjoročnoj evaluaciji S</w:t>
      </w:r>
      <w:r w:rsidRPr="00C1093A">
        <w:rPr>
          <w:rFonts w:asciiTheme="majorHAnsi" w:hAnsiTheme="majorHAnsi" w:cstheme="majorHAnsi"/>
          <w:b/>
          <w:color w:val="auto"/>
          <w:sz w:val="24"/>
          <w:szCs w:val="24"/>
        </w:rPr>
        <w:t>trategije</w:t>
      </w:r>
      <w:r w:rsidR="00A666B7" w:rsidRPr="00C1093A">
        <w:rPr>
          <w:rFonts w:asciiTheme="majorHAnsi" w:hAnsiTheme="majorHAnsi" w:cstheme="majorHAnsi"/>
          <w:b/>
          <w:color w:val="auto"/>
          <w:sz w:val="24"/>
          <w:szCs w:val="24"/>
        </w:rPr>
        <w:t xml:space="preserve"> RJU 2016-2020</w:t>
      </w:r>
      <w:r w:rsidRPr="00C1093A">
        <w:rPr>
          <w:rFonts w:asciiTheme="majorHAnsi" w:hAnsiTheme="majorHAnsi" w:cstheme="majorHAnsi"/>
          <w:color w:val="auto"/>
          <w:sz w:val="24"/>
          <w:szCs w:val="24"/>
        </w:rPr>
        <w:t>,</w:t>
      </w:r>
      <w:r w:rsidR="00784951">
        <w:rPr>
          <w:rStyle w:val="FootnoteReference"/>
          <w:rFonts w:asciiTheme="majorHAnsi" w:hAnsiTheme="majorHAnsi" w:cstheme="majorHAnsi"/>
          <w:color w:val="auto"/>
          <w:sz w:val="24"/>
          <w:szCs w:val="24"/>
        </w:rPr>
        <w:footnoteReference w:id="2"/>
      </w:r>
      <w:r w:rsidRPr="00C1093A">
        <w:rPr>
          <w:rFonts w:asciiTheme="majorHAnsi" w:hAnsiTheme="majorHAnsi" w:cstheme="majorHAnsi"/>
          <w:color w:val="auto"/>
          <w:sz w:val="24"/>
          <w:szCs w:val="24"/>
        </w:rPr>
        <w:t xml:space="preserve"> koja je urađena eksterno, od strane nezavisnog evaluatora</w:t>
      </w:r>
      <w:r w:rsidR="00F530AE" w:rsidRPr="00C1093A">
        <w:rPr>
          <w:rFonts w:asciiTheme="majorHAnsi" w:hAnsiTheme="majorHAnsi" w:cstheme="majorHAnsi"/>
          <w:color w:val="auto"/>
          <w:sz w:val="24"/>
          <w:szCs w:val="24"/>
        </w:rPr>
        <w:t>,</w:t>
      </w:r>
      <w:r w:rsidRPr="00C1093A">
        <w:rPr>
          <w:rFonts w:asciiTheme="majorHAnsi" w:hAnsiTheme="majorHAnsi" w:cstheme="majorHAnsi"/>
          <w:color w:val="auto"/>
          <w:sz w:val="24"/>
          <w:szCs w:val="24"/>
        </w:rPr>
        <w:t xml:space="preserve"> ocijenjen</w:t>
      </w:r>
      <w:r w:rsidR="00F530AE" w:rsidRPr="00C1093A">
        <w:rPr>
          <w:rFonts w:asciiTheme="majorHAnsi" w:hAnsiTheme="majorHAnsi" w:cstheme="majorHAnsi"/>
          <w:color w:val="auto"/>
          <w:sz w:val="24"/>
          <w:szCs w:val="24"/>
        </w:rPr>
        <w:t>o</w:t>
      </w:r>
      <w:r w:rsidRPr="00C1093A">
        <w:rPr>
          <w:rFonts w:asciiTheme="majorHAnsi" w:hAnsiTheme="majorHAnsi" w:cstheme="majorHAnsi"/>
          <w:color w:val="auto"/>
          <w:sz w:val="24"/>
          <w:szCs w:val="24"/>
        </w:rPr>
        <w:t xml:space="preserve"> je da su:</w:t>
      </w:r>
    </w:p>
    <w:p w:rsidR="003E3E78" w:rsidRPr="00C1093A" w:rsidRDefault="003E3E78" w:rsidP="00B43D4E">
      <w:pPr>
        <w:pStyle w:val="NormalWeb"/>
        <w:numPr>
          <w:ilvl w:val="0"/>
          <w:numId w:val="44"/>
        </w:numPr>
        <w:spacing w:before="60" w:after="60" w:line="240" w:lineRule="auto"/>
        <w:ind w:right="-450"/>
        <w:jc w:val="both"/>
        <w:rPr>
          <w:rFonts w:asciiTheme="majorHAnsi" w:hAnsiTheme="majorHAnsi" w:cstheme="majorHAnsi"/>
          <w:noProof/>
          <w:color w:val="auto"/>
          <w:szCs w:val="24"/>
        </w:rPr>
      </w:pPr>
      <w:r w:rsidRPr="00C1093A">
        <w:rPr>
          <w:rFonts w:asciiTheme="majorHAnsi" w:hAnsiTheme="majorHAnsi" w:cstheme="majorHAnsi"/>
          <w:color w:val="auto"/>
          <w:szCs w:val="24"/>
        </w:rPr>
        <w:t xml:space="preserve">Strategija RJU i njeni Akcioni planovi bili </w:t>
      </w:r>
      <w:r w:rsidRPr="00C1093A">
        <w:rPr>
          <w:rFonts w:asciiTheme="majorHAnsi" w:hAnsiTheme="majorHAnsi" w:cstheme="majorHAnsi"/>
          <w:b/>
          <w:i/>
          <w:color w:val="auto"/>
          <w:szCs w:val="24"/>
        </w:rPr>
        <w:t>relevantni</w:t>
      </w:r>
      <w:r w:rsidRPr="00C1093A">
        <w:rPr>
          <w:rFonts w:asciiTheme="majorHAnsi" w:hAnsiTheme="majorHAnsi" w:cstheme="majorHAnsi"/>
          <w:i/>
          <w:color w:val="auto"/>
          <w:szCs w:val="24"/>
        </w:rPr>
        <w:t xml:space="preserve"> instrumenti za odgovor na potrebe kapaciteta javne uprave</w:t>
      </w:r>
      <w:r w:rsidRPr="00C1093A">
        <w:rPr>
          <w:rFonts w:asciiTheme="majorHAnsi" w:hAnsiTheme="majorHAnsi" w:cstheme="majorHAnsi"/>
          <w:color w:val="auto"/>
          <w:szCs w:val="24"/>
        </w:rPr>
        <w:t xml:space="preserve">. Strategija je dala uglavnom </w:t>
      </w:r>
      <w:r w:rsidRPr="00C1093A">
        <w:rPr>
          <w:rFonts w:asciiTheme="majorHAnsi" w:hAnsiTheme="majorHAnsi" w:cstheme="majorHAnsi"/>
          <w:b/>
          <w:color w:val="auto"/>
          <w:szCs w:val="24"/>
        </w:rPr>
        <w:t>adekvatan set intervencija radi povećanja njene efikasnosti i orijentacije ka uslugama</w:t>
      </w:r>
      <w:r w:rsidRPr="00C1093A">
        <w:rPr>
          <w:rFonts w:asciiTheme="majorHAnsi" w:hAnsiTheme="majorHAnsi" w:cstheme="majorHAnsi"/>
          <w:color w:val="auto"/>
          <w:szCs w:val="24"/>
        </w:rPr>
        <w:t>, kao i da djelotvorno funkcioniše unutar okvira Evropskog administrativnog prostora. Prioriteti RJU postavljeni u Strategiji i njenim akcionim planovima (AP RJU 2016-2018</w:t>
      </w:r>
      <w:r w:rsidR="00C4082D" w:rsidRPr="00C1093A">
        <w:rPr>
          <w:rFonts w:asciiTheme="majorHAnsi" w:hAnsiTheme="majorHAnsi" w:cstheme="majorHAnsi"/>
          <w:color w:val="auto"/>
          <w:szCs w:val="24"/>
        </w:rPr>
        <w:t>.</w:t>
      </w:r>
      <w:r w:rsidRPr="00C1093A">
        <w:rPr>
          <w:rFonts w:asciiTheme="majorHAnsi" w:hAnsiTheme="majorHAnsi" w:cstheme="majorHAnsi"/>
          <w:color w:val="auto"/>
          <w:szCs w:val="24"/>
        </w:rPr>
        <w:t xml:space="preserve"> i AP RJU 2019-2020</w:t>
      </w:r>
      <w:r w:rsidR="00C4082D" w:rsidRPr="00C1093A">
        <w:rPr>
          <w:rFonts w:asciiTheme="majorHAnsi" w:hAnsiTheme="majorHAnsi" w:cstheme="majorHAnsi"/>
          <w:color w:val="auto"/>
          <w:szCs w:val="24"/>
        </w:rPr>
        <w:t>.</w:t>
      </w:r>
      <w:r w:rsidRPr="00C1093A">
        <w:rPr>
          <w:rFonts w:asciiTheme="majorHAnsi" w:hAnsiTheme="majorHAnsi" w:cstheme="majorHAnsi"/>
          <w:color w:val="auto"/>
          <w:szCs w:val="24"/>
        </w:rPr>
        <w:t>) prilagođeni su ukupnim nacionalnim i prioritetima pristupanja Crne Gore EU, naročito u pravcu obezbjeđenja sposobnosti vlasti da pruži javne usluge i da podstiče konkurentnost i rast i ispunjavanje preduslova u pravcu eventualnog pristupanja EU. Poseban fokus na razvoj kapaciteta LS bio je veoma relevantan i prijemčiv na potrebe i izazove sa kojima su LS suočene u smislu obezbjeđivanja efikasnog i djelotvornog pružanja usluga. Ipak, neke podsektorske oblasti, kao što su optimizacija i pristup informacijama, obuhvataju pretjerane ambicije i nerealne težnje i indikatore, što predstavlja slabost u strateškom pristupu ovim dvijema oblastima</w:t>
      </w:r>
      <w:r w:rsidRPr="00C1093A">
        <w:rPr>
          <w:rFonts w:asciiTheme="majorHAnsi" w:hAnsiTheme="majorHAnsi" w:cstheme="majorHAnsi"/>
          <w:noProof/>
          <w:color w:val="auto"/>
          <w:szCs w:val="24"/>
        </w:rPr>
        <w:t xml:space="preserve">. </w:t>
      </w:r>
    </w:p>
    <w:p w:rsidR="00A666B7" w:rsidRPr="00C1093A" w:rsidRDefault="003E3E78" w:rsidP="00B43D4E">
      <w:pPr>
        <w:pStyle w:val="NormalWeb"/>
        <w:numPr>
          <w:ilvl w:val="0"/>
          <w:numId w:val="44"/>
        </w:numPr>
        <w:spacing w:before="60" w:after="60" w:line="240" w:lineRule="auto"/>
        <w:ind w:right="-450"/>
        <w:jc w:val="both"/>
        <w:rPr>
          <w:rFonts w:asciiTheme="majorHAnsi" w:hAnsiTheme="majorHAnsi" w:cstheme="majorHAnsi"/>
          <w:noProof/>
          <w:color w:val="auto"/>
          <w:szCs w:val="24"/>
        </w:rPr>
      </w:pPr>
      <w:r w:rsidRPr="00C1093A">
        <w:rPr>
          <w:rFonts w:asciiTheme="majorHAnsi" w:hAnsiTheme="majorHAnsi" w:cstheme="majorHAnsi"/>
          <w:color w:val="auto"/>
          <w:szCs w:val="24"/>
        </w:rPr>
        <w:t xml:space="preserve">Strateško </w:t>
      </w:r>
      <w:r w:rsidRPr="00C1093A">
        <w:rPr>
          <w:rFonts w:asciiTheme="majorHAnsi" w:hAnsiTheme="majorHAnsi" w:cstheme="majorHAnsi"/>
          <w:b/>
          <w:color w:val="auto"/>
          <w:szCs w:val="24"/>
        </w:rPr>
        <w:t xml:space="preserve">ulaganje u jačanje normativnog okvira kao temelj snažnog sistema javne uprave bilo je djelotvoran </w:t>
      </w:r>
      <w:r w:rsidRPr="00C1093A">
        <w:rPr>
          <w:rFonts w:asciiTheme="majorHAnsi" w:hAnsiTheme="majorHAnsi" w:cstheme="majorHAnsi"/>
          <w:color w:val="auto"/>
          <w:szCs w:val="24"/>
        </w:rPr>
        <w:t>put ka poboljšanoj organizaciji i odgovornosti u sistemu javne uprave, naročito kada je riječ o zapošljavanju u službeničkom i javnom sektoru. Uprkos ulaganju u razvoj normativnog okvira Slobodnog pristupa informacijama, primijećeni su izazovi u implementaciji zakonodavstva, posebno zloupotreba mehanizama za zahtijevanje pristupa informacijama i određeni nedostatak jasnoće o tome šta čini javnu informaciju</w:t>
      </w:r>
      <w:r w:rsidRPr="00C1093A">
        <w:rPr>
          <w:rFonts w:asciiTheme="majorHAnsi" w:hAnsiTheme="majorHAnsi" w:cstheme="majorHAnsi"/>
          <w:noProof/>
          <w:color w:val="auto"/>
          <w:szCs w:val="24"/>
        </w:rPr>
        <w:t>.</w:t>
      </w:r>
    </w:p>
    <w:p w:rsidR="00A666B7" w:rsidRPr="00C1093A" w:rsidRDefault="003E3E78" w:rsidP="00B43D4E">
      <w:pPr>
        <w:pStyle w:val="NormalWeb"/>
        <w:numPr>
          <w:ilvl w:val="0"/>
          <w:numId w:val="44"/>
        </w:numPr>
        <w:spacing w:before="60" w:after="60" w:line="240" w:lineRule="auto"/>
        <w:ind w:right="-450"/>
        <w:jc w:val="both"/>
        <w:rPr>
          <w:rFonts w:asciiTheme="majorHAnsi" w:hAnsiTheme="majorHAnsi" w:cstheme="majorHAnsi"/>
          <w:noProof/>
          <w:color w:val="auto"/>
          <w:szCs w:val="24"/>
        </w:rPr>
      </w:pPr>
      <w:r w:rsidRPr="00C1093A">
        <w:rPr>
          <w:rFonts w:asciiTheme="majorHAnsi" w:hAnsiTheme="majorHAnsi" w:cstheme="majorHAnsi"/>
          <w:b/>
          <w:color w:val="auto"/>
          <w:szCs w:val="24"/>
        </w:rPr>
        <w:t>Infrastruktura pružanja usluga doživjela je najsnažnija poboljšanja</w:t>
      </w:r>
      <w:r w:rsidRPr="00C1093A">
        <w:rPr>
          <w:rFonts w:asciiTheme="majorHAnsi" w:hAnsiTheme="majorHAnsi" w:cstheme="majorHAnsi"/>
          <w:color w:val="auto"/>
          <w:szCs w:val="24"/>
        </w:rPr>
        <w:t xml:space="preserve"> širom palete usluga, a naročito u sistemima interoperabilnosti i e-uslugama, što se pokazalo kao n</w:t>
      </w:r>
      <w:r w:rsidR="00A666B7" w:rsidRPr="00C1093A">
        <w:rPr>
          <w:rFonts w:asciiTheme="majorHAnsi" w:hAnsiTheme="majorHAnsi" w:cstheme="majorHAnsi"/>
          <w:color w:val="auto"/>
          <w:szCs w:val="24"/>
        </w:rPr>
        <w:t xml:space="preserve">ajuspješnija oblast </w:t>
      </w:r>
      <w:r w:rsidR="007F4F71" w:rsidRPr="00C1093A">
        <w:rPr>
          <w:rFonts w:asciiTheme="majorHAnsi" w:hAnsiTheme="majorHAnsi" w:cstheme="majorHAnsi"/>
          <w:color w:val="auto"/>
          <w:szCs w:val="24"/>
        </w:rPr>
        <w:t>S</w:t>
      </w:r>
      <w:r w:rsidR="00A666B7" w:rsidRPr="00C1093A">
        <w:rPr>
          <w:rFonts w:asciiTheme="majorHAnsi" w:hAnsiTheme="majorHAnsi" w:cstheme="majorHAnsi"/>
          <w:color w:val="auto"/>
          <w:szCs w:val="24"/>
        </w:rPr>
        <w:t>trategije.</w:t>
      </w:r>
    </w:p>
    <w:p w:rsidR="00A666B7" w:rsidRPr="00C1093A" w:rsidRDefault="003E3E78" w:rsidP="00B43D4E">
      <w:pPr>
        <w:pStyle w:val="NormalWeb"/>
        <w:numPr>
          <w:ilvl w:val="0"/>
          <w:numId w:val="44"/>
        </w:numPr>
        <w:spacing w:before="60" w:after="60" w:line="240" w:lineRule="auto"/>
        <w:ind w:right="-450"/>
        <w:jc w:val="both"/>
        <w:rPr>
          <w:rFonts w:asciiTheme="majorHAnsi" w:hAnsiTheme="majorHAnsi" w:cstheme="majorHAnsi"/>
          <w:noProof/>
          <w:color w:val="auto"/>
          <w:szCs w:val="24"/>
        </w:rPr>
      </w:pPr>
      <w:r w:rsidRPr="00C1093A">
        <w:rPr>
          <w:rFonts w:asciiTheme="majorHAnsi" w:hAnsiTheme="majorHAnsi" w:cstheme="majorHAnsi"/>
          <w:color w:val="auto"/>
          <w:szCs w:val="24"/>
        </w:rPr>
        <w:lastRenderedPageBreak/>
        <w:t xml:space="preserve">Drugi značajan doprinos </w:t>
      </w:r>
      <w:r w:rsidR="00F530AE" w:rsidRPr="00C1093A">
        <w:rPr>
          <w:rFonts w:asciiTheme="majorHAnsi" w:hAnsiTheme="majorHAnsi" w:cstheme="majorHAnsi"/>
          <w:color w:val="auto"/>
          <w:szCs w:val="24"/>
        </w:rPr>
        <w:t>S</w:t>
      </w:r>
      <w:r w:rsidRPr="00C1093A">
        <w:rPr>
          <w:rFonts w:asciiTheme="majorHAnsi" w:hAnsiTheme="majorHAnsi" w:cstheme="majorHAnsi"/>
          <w:color w:val="auto"/>
          <w:szCs w:val="24"/>
        </w:rPr>
        <w:t xml:space="preserve">trategije RJU bio je u smislu </w:t>
      </w:r>
      <w:r w:rsidRPr="00C1093A">
        <w:rPr>
          <w:rFonts w:asciiTheme="majorHAnsi" w:hAnsiTheme="majorHAnsi" w:cstheme="majorHAnsi"/>
          <w:b/>
          <w:color w:val="auto"/>
          <w:szCs w:val="24"/>
        </w:rPr>
        <w:t xml:space="preserve">jačanja sistema planiranja, koordinacije i monitoringa implementacije vladinih politika. </w:t>
      </w:r>
      <w:r w:rsidRPr="00C1093A">
        <w:rPr>
          <w:rFonts w:asciiTheme="majorHAnsi" w:hAnsiTheme="majorHAnsi" w:cstheme="majorHAnsi"/>
          <w:color w:val="auto"/>
          <w:szCs w:val="24"/>
        </w:rPr>
        <w:t>Uspostavljeni okviri, pristupi i metodologije prepoznati su po svom kvalitetu i korisnosti, što je dovelo do poboljšanja prakse izrade politike i boljem kvalitetu dokumenata politike. Međutim, ovi rezultati su krhki jer nijesu dovoljno uzeli maha u smislu svoje institucionalizacije, jer se njima i dalje upravlja kroz projekat finansiran spolja, a ne od strane same javne uprave</w:t>
      </w:r>
      <w:r w:rsidRPr="00C1093A">
        <w:rPr>
          <w:rFonts w:asciiTheme="majorHAnsi" w:hAnsiTheme="majorHAnsi" w:cstheme="majorHAnsi"/>
          <w:noProof/>
          <w:color w:val="auto"/>
          <w:szCs w:val="24"/>
        </w:rPr>
        <w:t xml:space="preserve">. </w:t>
      </w:r>
    </w:p>
    <w:p w:rsidR="003E3E78" w:rsidRPr="00C1093A" w:rsidRDefault="003E3E78" w:rsidP="00B43D4E">
      <w:pPr>
        <w:pStyle w:val="NormalWeb"/>
        <w:numPr>
          <w:ilvl w:val="0"/>
          <w:numId w:val="44"/>
        </w:numPr>
        <w:spacing w:before="60" w:after="60" w:line="240" w:lineRule="auto"/>
        <w:ind w:right="-450"/>
        <w:jc w:val="both"/>
        <w:rPr>
          <w:rFonts w:asciiTheme="majorHAnsi" w:hAnsiTheme="majorHAnsi" w:cstheme="majorHAnsi"/>
          <w:noProof/>
          <w:color w:val="auto"/>
          <w:szCs w:val="24"/>
        </w:rPr>
      </w:pPr>
      <w:r w:rsidRPr="00C1093A">
        <w:rPr>
          <w:rFonts w:asciiTheme="majorHAnsi" w:hAnsiTheme="majorHAnsi" w:cstheme="majorHAnsi"/>
          <w:color w:val="auto"/>
          <w:szCs w:val="24"/>
        </w:rPr>
        <w:t xml:space="preserve">Evaluacijom je konstatovan </w:t>
      </w:r>
      <w:r w:rsidRPr="00C1093A">
        <w:rPr>
          <w:rFonts w:asciiTheme="majorHAnsi" w:hAnsiTheme="majorHAnsi" w:cstheme="majorHAnsi"/>
          <w:b/>
          <w:color w:val="auto"/>
          <w:szCs w:val="24"/>
        </w:rPr>
        <w:t>doprinos u promovisanju i jačanju upravljanja ljudskim resursima</w:t>
      </w:r>
      <w:r w:rsidRPr="00C1093A">
        <w:rPr>
          <w:rFonts w:asciiTheme="majorHAnsi" w:hAnsiTheme="majorHAnsi" w:cstheme="majorHAnsi"/>
          <w:color w:val="auto"/>
          <w:szCs w:val="24"/>
        </w:rPr>
        <w:t xml:space="preserve"> i u opštem smislu službeničkog sistema, a ima dokaza o transformativnim posljedicama u načinu na koji javna administracije funkcioniše, naročito iz perspektive ljudskih resursa. Evaluacijom je utvrđeno da su institucije javne uprave, koje su zadužene za stub strategije koji se tiče upravljanja javnim resursima, mogle da urade više na promovisanju i jačanju sistema zasnovanog na zaslugama u javnoj upravi. Naročito su </w:t>
      </w:r>
      <w:r w:rsidRPr="00C1093A">
        <w:rPr>
          <w:rFonts w:asciiTheme="majorHAnsi" w:hAnsiTheme="majorHAnsi" w:cstheme="majorHAnsi"/>
          <w:b/>
          <w:color w:val="auto"/>
          <w:szCs w:val="24"/>
        </w:rPr>
        <w:t>minimalni rezultati evidentirani u oblasti optimizacije javne uprave</w:t>
      </w:r>
      <w:r w:rsidRPr="00C1093A">
        <w:rPr>
          <w:rFonts w:asciiTheme="majorHAnsi" w:hAnsiTheme="majorHAnsi" w:cstheme="majorHAnsi"/>
          <w:color w:val="auto"/>
          <w:szCs w:val="24"/>
        </w:rPr>
        <w:t xml:space="preserve">, mjerenoj kroz set indikatora unutar </w:t>
      </w:r>
      <w:r w:rsidR="007F4F71" w:rsidRPr="00C1093A">
        <w:rPr>
          <w:rFonts w:asciiTheme="majorHAnsi" w:hAnsiTheme="majorHAnsi" w:cstheme="majorHAnsi"/>
          <w:color w:val="auto"/>
          <w:szCs w:val="24"/>
        </w:rPr>
        <w:t>S</w:t>
      </w:r>
      <w:r w:rsidRPr="00C1093A">
        <w:rPr>
          <w:rFonts w:asciiTheme="majorHAnsi" w:hAnsiTheme="majorHAnsi" w:cstheme="majorHAnsi"/>
          <w:color w:val="auto"/>
          <w:szCs w:val="24"/>
        </w:rPr>
        <w:t>trategije.</w:t>
      </w:r>
      <w:r w:rsidRPr="00C1093A">
        <w:rPr>
          <w:rFonts w:asciiTheme="majorHAnsi" w:hAnsiTheme="majorHAnsi" w:cstheme="majorHAnsi"/>
          <w:noProof/>
          <w:color w:val="auto"/>
          <w:szCs w:val="24"/>
        </w:rPr>
        <w:t xml:space="preserve"> </w:t>
      </w:r>
    </w:p>
    <w:p w:rsidR="00A666B7" w:rsidRPr="00C1093A" w:rsidRDefault="003E3E78" w:rsidP="00B43D4E">
      <w:pPr>
        <w:pStyle w:val="NormalWeb"/>
        <w:numPr>
          <w:ilvl w:val="0"/>
          <w:numId w:val="44"/>
        </w:numPr>
        <w:spacing w:before="60" w:after="60" w:line="240" w:lineRule="auto"/>
        <w:ind w:right="-475"/>
        <w:jc w:val="both"/>
        <w:rPr>
          <w:rFonts w:asciiTheme="majorHAnsi" w:hAnsiTheme="majorHAnsi" w:cstheme="majorHAnsi"/>
          <w:color w:val="auto"/>
          <w:szCs w:val="24"/>
        </w:rPr>
      </w:pPr>
      <w:r w:rsidRPr="00C1093A">
        <w:rPr>
          <w:rFonts w:asciiTheme="majorHAnsi" w:hAnsiTheme="majorHAnsi" w:cstheme="majorHAnsi"/>
          <w:color w:val="auto"/>
          <w:szCs w:val="24"/>
        </w:rPr>
        <w:t xml:space="preserve">Novi/revidirani normativni okviri kreiraju snažan i održiv temelj i spremni su da podstaknu dalju reformu javne uprave. </w:t>
      </w:r>
      <w:r w:rsidRPr="00C1093A">
        <w:rPr>
          <w:rFonts w:asciiTheme="majorHAnsi" w:hAnsiTheme="majorHAnsi" w:cstheme="majorHAnsi"/>
          <w:b/>
          <w:color w:val="auto"/>
          <w:szCs w:val="24"/>
        </w:rPr>
        <w:t>Ulaganje u kapacitete institucija u smislu novog znanja, razumijevanja i vještina, ali i kapaciteta IT je poboljšano</w:t>
      </w:r>
      <w:r w:rsidRPr="00C1093A">
        <w:rPr>
          <w:rFonts w:asciiTheme="majorHAnsi" w:hAnsiTheme="majorHAnsi" w:cstheme="majorHAnsi"/>
          <w:color w:val="auto"/>
          <w:szCs w:val="24"/>
        </w:rPr>
        <w:t xml:space="preserve">, ali njihova održivost zavisi od niza faktora, uključujući fluktuaciju zaposlenih, mehanizme da se prihvati i održi institucionalna memorija, dostupnost (IT) ekspertize, itd. Evaluacijom je konstatovan određeni nivo poboljšanja u smislu efikasnosti javne uprave i orijentisanosti ka uslugama, naročito kada je riječ o efikasnosti javnih službi i modernizaciji. </w:t>
      </w:r>
    </w:p>
    <w:p w:rsidR="0067762A" w:rsidRPr="00C1093A" w:rsidRDefault="00A666B7" w:rsidP="00C1093A">
      <w:pPr>
        <w:pStyle w:val="NormalWeb"/>
        <w:spacing w:before="60" w:after="60" w:line="240" w:lineRule="auto"/>
        <w:ind w:right="-475"/>
        <w:jc w:val="both"/>
        <w:rPr>
          <w:rFonts w:asciiTheme="majorHAnsi" w:hAnsiTheme="majorHAnsi" w:cstheme="majorHAnsi"/>
          <w:color w:val="auto"/>
          <w:szCs w:val="24"/>
        </w:rPr>
      </w:pPr>
      <w:r w:rsidRPr="00C1093A">
        <w:rPr>
          <w:rFonts w:asciiTheme="majorHAnsi" w:hAnsiTheme="majorHAnsi" w:cstheme="majorHAnsi"/>
          <w:b/>
          <w:color w:val="auto"/>
          <w:szCs w:val="24"/>
        </w:rPr>
        <w:t>Finalnim izvještajem</w:t>
      </w:r>
      <w:r w:rsidR="003E3E78" w:rsidRPr="00C1093A">
        <w:rPr>
          <w:rFonts w:asciiTheme="majorHAnsi" w:hAnsiTheme="majorHAnsi" w:cstheme="majorHAnsi"/>
          <w:b/>
          <w:color w:val="auto"/>
          <w:szCs w:val="24"/>
        </w:rPr>
        <w:t xml:space="preserve"> o re</w:t>
      </w:r>
      <w:r w:rsidRPr="00C1093A">
        <w:rPr>
          <w:rFonts w:asciiTheme="majorHAnsi" w:hAnsiTheme="majorHAnsi" w:cstheme="majorHAnsi"/>
          <w:b/>
          <w:color w:val="auto"/>
          <w:szCs w:val="24"/>
        </w:rPr>
        <w:t xml:space="preserve">alizaciji predhodne </w:t>
      </w:r>
      <w:r w:rsidR="00BD793A" w:rsidRPr="00C1093A">
        <w:rPr>
          <w:rFonts w:asciiTheme="majorHAnsi" w:hAnsiTheme="majorHAnsi" w:cstheme="majorHAnsi"/>
          <w:b/>
          <w:color w:val="auto"/>
          <w:szCs w:val="24"/>
        </w:rPr>
        <w:t>Str</w:t>
      </w:r>
      <w:r w:rsidR="007027A4" w:rsidRPr="00C1093A">
        <w:rPr>
          <w:rFonts w:asciiTheme="majorHAnsi" w:hAnsiTheme="majorHAnsi" w:cstheme="majorHAnsi"/>
          <w:b/>
          <w:color w:val="auto"/>
          <w:szCs w:val="24"/>
        </w:rPr>
        <w:t>a</w:t>
      </w:r>
      <w:r w:rsidR="00BD793A" w:rsidRPr="00C1093A">
        <w:rPr>
          <w:rFonts w:asciiTheme="majorHAnsi" w:hAnsiTheme="majorHAnsi" w:cstheme="majorHAnsi"/>
          <w:b/>
          <w:color w:val="auto"/>
          <w:szCs w:val="24"/>
        </w:rPr>
        <w:t xml:space="preserve">tegije </w:t>
      </w:r>
      <w:r w:rsidRPr="00C1093A">
        <w:rPr>
          <w:rFonts w:asciiTheme="majorHAnsi" w:hAnsiTheme="majorHAnsi" w:cstheme="majorHAnsi"/>
          <w:b/>
          <w:color w:val="auto"/>
          <w:szCs w:val="24"/>
        </w:rPr>
        <w:t>r</w:t>
      </w:r>
      <w:r w:rsidR="003E3E78" w:rsidRPr="00C1093A">
        <w:rPr>
          <w:rFonts w:asciiTheme="majorHAnsi" w:hAnsiTheme="majorHAnsi" w:cstheme="majorHAnsi"/>
          <w:b/>
          <w:color w:val="auto"/>
          <w:szCs w:val="24"/>
        </w:rPr>
        <w:t>eforme javne uprave 2016-2020</w:t>
      </w:r>
      <w:r w:rsidR="00C4082D" w:rsidRPr="00C1093A">
        <w:rPr>
          <w:rFonts w:asciiTheme="majorHAnsi" w:hAnsiTheme="majorHAnsi" w:cstheme="majorHAnsi"/>
          <w:b/>
          <w:color w:val="auto"/>
          <w:szCs w:val="24"/>
        </w:rPr>
        <w:t>.</w:t>
      </w:r>
      <w:r w:rsidR="007027A4" w:rsidRPr="00C1093A">
        <w:rPr>
          <w:rStyle w:val="FootnoteReference"/>
          <w:rFonts w:asciiTheme="majorHAnsi" w:hAnsiTheme="majorHAnsi" w:cstheme="majorHAnsi"/>
          <w:b/>
          <w:color w:val="auto"/>
          <w:szCs w:val="24"/>
        </w:rPr>
        <w:footnoteReference w:id="3"/>
      </w:r>
      <w:r w:rsidR="003E3E78" w:rsidRPr="00C1093A">
        <w:rPr>
          <w:rFonts w:asciiTheme="majorHAnsi" w:hAnsiTheme="majorHAnsi" w:cstheme="majorHAnsi"/>
          <w:color w:val="auto"/>
          <w:szCs w:val="24"/>
        </w:rPr>
        <w:t xml:space="preserve"> ocinjenjene su glavne oblasti u kojima je postignut </w:t>
      </w:r>
      <w:r w:rsidRPr="00C1093A">
        <w:rPr>
          <w:rFonts w:asciiTheme="majorHAnsi" w:hAnsiTheme="majorHAnsi" w:cstheme="majorHAnsi"/>
          <w:color w:val="auto"/>
          <w:szCs w:val="24"/>
        </w:rPr>
        <w:t>značajan napredak kroz prethodni četvorogod</w:t>
      </w:r>
      <w:r w:rsidR="003E3E78" w:rsidRPr="00C1093A">
        <w:rPr>
          <w:rFonts w:asciiTheme="majorHAnsi" w:hAnsiTheme="majorHAnsi" w:cstheme="majorHAnsi"/>
          <w:color w:val="auto"/>
          <w:szCs w:val="24"/>
        </w:rPr>
        <w:t>išnji ciklus, kao i oblasti u kojima su prepoznati izazovi u implementaciji</w:t>
      </w:r>
      <w:r w:rsidRPr="00C1093A">
        <w:rPr>
          <w:rFonts w:asciiTheme="majorHAnsi" w:hAnsiTheme="majorHAnsi" w:cstheme="majorHAnsi"/>
          <w:color w:val="auto"/>
          <w:szCs w:val="24"/>
        </w:rPr>
        <w:t xml:space="preserve">. Nakon isteka četvorogodišnjeg perioda važenja Strategije </w:t>
      </w:r>
      <w:r w:rsidR="00EA68CB" w:rsidRPr="00C1093A">
        <w:rPr>
          <w:rFonts w:asciiTheme="majorHAnsi" w:hAnsiTheme="majorHAnsi" w:cstheme="majorHAnsi"/>
          <w:color w:val="auto"/>
          <w:szCs w:val="24"/>
        </w:rPr>
        <w:t>RJU</w:t>
      </w:r>
      <w:r w:rsidRPr="00C1093A">
        <w:rPr>
          <w:rFonts w:asciiTheme="majorHAnsi" w:hAnsiTheme="majorHAnsi" w:cstheme="majorHAnsi"/>
          <w:color w:val="auto"/>
          <w:szCs w:val="24"/>
        </w:rPr>
        <w:t xml:space="preserve"> 2016 -2020. godine, </w:t>
      </w:r>
      <w:r w:rsidR="00EA68CB" w:rsidRPr="00C1093A">
        <w:rPr>
          <w:rFonts w:asciiTheme="majorHAnsi" w:hAnsiTheme="majorHAnsi" w:cstheme="majorHAnsi"/>
          <w:color w:val="auto"/>
          <w:szCs w:val="24"/>
        </w:rPr>
        <w:t xml:space="preserve">konstatovano je da </w:t>
      </w:r>
      <w:r w:rsidRPr="00C1093A">
        <w:rPr>
          <w:rFonts w:asciiTheme="majorHAnsi" w:hAnsiTheme="majorHAnsi" w:cstheme="majorHAnsi"/>
          <w:color w:val="auto"/>
          <w:szCs w:val="24"/>
        </w:rPr>
        <w:t>je javna administracija u Crnoj Gori napravila napredak u reformi javne uprave posebno k</w:t>
      </w:r>
      <w:r w:rsidR="00EA68CB" w:rsidRPr="00C1093A">
        <w:rPr>
          <w:rFonts w:asciiTheme="majorHAnsi" w:hAnsiTheme="majorHAnsi" w:cstheme="majorHAnsi"/>
          <w:color w:val="auto"/>
          <w:szCs w:val="24"/>
        </w:rPr>
        <w:t>roz stvaranje dobrog i evropski usklađ</w:t>
      </w:r>
      <w:r w:rsidRPr="00C1093A">
        <w:rPr>
          <w:rFonts w:asciiTheme="majorHAnsi" w:hAnsiTheme="majorHAnsi" w:cstheme="majorHAnsi"/>
          <w:color w:val="auto"/>
          <w:szCs w:val="24"/>
        </w:rPr>
        <w:t>enog zak</w:t>
      </w:r>
      <w:r w:rsidR="006B40FA" w:rsidRPr="00C1093A">
        <w:rPr>
          <w:rFonts w:asciiTheme="majorHAnsi" w:hAnsiTheme="majorHAnsi" w:cstheme="majorHAnsi"/>
          <w:color w:val="auto"/>
          <w:szCs w:val="24"/>
        </w:rPr>
        <w:t>o</w:t>
      </w:r>
      <w:r w:rsidRPr="00C1093A">
        <w:rPr>
          <w:rFonts w:asciiTheme="majorHAnsi" w:hAnsiTheme="majorHAnsi" w:cstheme="majorHAnsi"/>
          <w:color w:val="auto"/>
          <w:szCs w:val="24"/>
        </w:rPr>
        <w:t>nodavnog okvira u oblasti reorganizacije državne uprave, službeničkog sis</w:t>
      </w:r>
      <w:r w:rsidR="00EA68CB" w:rsidRPr="00C1093A">
        <w:rPr>
          <w:rFonts w:asciiTheme="majorHAnsi" w:hAnsiTheme="majorHAnsi" w:cstheme="majorHAnsi"/>
          <w:color w:val="auto"/>
          <w:szCs w:val="24"/>
        </w:rPr>
        <w:t xml:space="preserve">tema za zapošljavanje na osnovu </w:t>
      </w:r>
      <w:r w:rsidRPr="00C1093A">
        <w:rPr>
          <w:rFonts w:asciiTheme="majorHAnsi" w:hAnsiTheme="majorHAnsi" w:cstheme="majorHAnsi"/>
          <w:color w:val="auto"/>
          <w:szCs w:val="24"/>
        </w:rPr>
        <w:t xml:space="preserve">zasluga i srednjoročnog planiranja. Takođe, tokom cijelog procesa reforme </w:t>
      </w:r>
      <w:r w:rsidRPr="00C1093A">
        <w:rPr>
          <w:rFonts w:asciiTheme="majorHAnsi" w:hAnsiTheme="majorHAnsi" w:cstheme="majorHAnsi"/>
          <w:b/>
          <w:color w:val="auto"/>
          <w:szCs w:val="24"/>
        </w:rPr>
        <w:t>Ministarstvo</w:t>
      </w:r>
      <w:r w:rsidR="00EA68CB" w:rsidRPr="00C1093A">
        <w:rPr>
          <w:rFonts w:asciiTheme="majorHAnsi" w:hAnsiTheme="majorHAnsi" w:cstheme="majorHAnsi"/>
          <w:b/>
          <w:color w:val="auto"/>
          <w:szCs w:val="24"/>
        </w:rPr>
        <w:t xml:space="preserve"> javne uprave je prepoznato kao </w:t>
      </w:r>
      <w:r w:rsidRPr="00C1093A">
        <w:rPr>
          <w:rFonts w:asciiTheme="majorHAnsi" w:hAnsiTheme="majorHAnsi" w:cstheme="majorHAnsi"/>
          <w:b/>
          <w:color w:val="auto"/>
          <w:szCs w:val="24"/>
        </w:rPr>
        <w:t>koordinator procesa</w:t>
      </w:r>
      <w:r w:rsidRPr="00C1093A">
        <w:rPr>
          <w:rFonts w:asciiTheme="majorHAnsi" w:hAnsiTheme="majorHAnsi" w:cstheme="majorHAnsi"/>
          <w:color w:val="auto"/>
          <w:szCs w:val="24"/>
        </w:rPr>
        <w:t xml:space="preserve"> implemetacije i praćenja realizacije S</w:t>
      </w:r>
      <w:r w:rsidR="00EA68CB" w:rsidRPr="00C1093A">
        <w:rPr>
          <w:rFonts w:asciiTheme="majorHAnsi" w:hAnsiTheme="majorHAnsi" w:cstheme="majorHAnsi"/>
          <w:color w:val="auto"/>
          <w:szCs w:val="24"/>
        </w:rPr>
        <w:t xml:space="preserve">trategije reforme javne uprave. </w:t>
      </w:r>
      <w:r w:rsidR="004E278C" w:rsidRPr="00C1093A">
        <w:rPr>
          <w:rFonts w:asciiTheme="majorHAnsi" w:hAnsiTheme="majorHAnsi" w:cstheme="majorHAnsi"/>
          <w:color w:val="auto"/>
          <w:szCs w:val="24"/>
        </w:rPr>
        <w:t xml:space="preserve">Pokazalo se, naročito </w:t>
      </w:r>
      <w:r w:rsidR="004E278C" w:rsidRPr="00C1093A">
        <w:rPr>
          <w:rFonts w:asciiTheme="majorHAnsi" w:hAnsiTheme="majorHAnsi" w:cstheme="majorHAnsi"/>
          <w:b/>
          <w:color w:val="auto"/>
          <w:szCs w:val="24"/>
        </w:rPr>
        <w:t>u periodu pandemije COVID-19, da se javna uprava prilagodila nastaloj situaciji i obezbijedila pružanje tačnih, korisnih i ažurnih informacija.</w:t>
      </w:r>
      <w:r w:rsidR="004E278C" w:rsidRPr="00C1093A">
        <w:rPr>
          <w:rFonts w:asciiTheme="majorHAnsi" w:hAnsiTheme="majorHAnsi" w:cstheme="majorHAnsi"/>
          <w:color w:val="auto"/>
          <w:szCs w:val="24"/>
        </w:rPr>
        <w:t xml:space="preserve"> </w:t>
      </w:r>
      <w:r w:rsidRPr="00C1093A">
        <w:rPr>
          <w:rFonts w:asciiTheme="majorHAnsi" w:hAnsiTheme="majorHAnsi" w:cstheme="majorHAnsi"/>
          <w:color w:val="auto"/>
          <w:szCs w:val="24"/>
        </w:rPr>
        <w:t>Ipak, u procesu reforme su konstatovani i brojni izazovi zbog kojih se Crna Gore i dalje nalaz</w:t>
      </w:r>
      <w:r w:rsidR="00EA68CB" w:rsidRPr="00C1093A">
        <w:rPr>
          <w:rFonts w:asciiTheme="majorHAnsi" w:hAnsiTheme="majorHAnsi" w:cstheme="majorHAnsi"/>
          <w:color w:val="auto"/>
          <w:szCs w:val="24"/>
        </w:rPr>
        <w:t xml:space="preserve">i u statusu administracije koja </w:t>
      </w:r>
      <w:r w:rsidRPr="00C1093A">
        <w:rPr>
          <w:rFonts w:asciiTheme="majorHAnsi" w:hAnsiTheme="majorHAnsi" w:cstheme="majorHAnsi"/>
          <w:color w:val="auto"/>
          <w:szCs w:val="24"/>
        </w:rPr>
        <w:t>je umjereno spremna za reformu javne uprave i u narednom periodu potrebno je uložiti napo</w:t>
      </w:r>
      <w:r w:rsidR="00EA68CB" w:rsidRPr="00C1093A">
        <w:rPr>
          <w:rFonts w:asciiTheme="majorHAnsi" w:hAnsiTheme="majorHAnsi" w:cstheme="majorHAnsi"/>
          <w:color w:val="auto"/>
          <w:szCs w:val="24"/>
        </w:rPr>
        <w:t xml:space="preserve">re i zadobiti političku podršku </w:t>
      </w:r>
      <w:r w:rsidRPr="00C1093A">
        <w:rPr>
          <w:rFonts w:asciiTheme="majorHAnsi" w:hAnsiTheme="majorHAnsi" w:cstheme="majorHAnsi"/>
          <w:color w:val="auto"/>
          <w:szCs w:val="24"/>
        </w:rPr>
        <w:t>kako bi se nastavio proces zapošljavanja i napredovanja na osnovu zasluga, optimizovao proces rada i</w:t>
      </w:r>
      <w:r w:rsidR="00EA68CB" w:rsidRPr="00C1093A">
        <w:rPr>
          <w:rFonts w:asciiTheme="majorHAnsi" w:hAnsiTheme="majorHAnsi" w:cstheme="majorHAnsi"/>
          <w:color w:val="auto"/>
          <w:szCs w:val="24"/>
        </w:rPr>
        <w:t xml:space="preserve"> broj zaposlenih u </w:t>
      </w:r>
      <w:r w:rsidRPr="00C1093A">
        <w:rPr>
          <w:rFonts w:asciiTheme="majorHAnsi" w:hAnsiTheme="majorHAnsi" w:cstheme="majorHAnsi"/>
          <w:color w:val="auto"/>
          <w:szCs w:val="24"/>
        </w:rPr>
        <w:t>javnoj uprave i uspostavio sistem odg</w:t>
      </w:r>
      <w:r w:rsidR="00EA68CB" w:rsidRPr="00C1093A">
        <w:rPr>
          <w:rFonts w:asciiTheme="majorHAnsi" w:hAnsiTheme="majorHAnsi" w:cstheme="majorHAnsi"/>
          <w:color w:val="auto"/>
          <w:szCs w:val="24"/>
        </w:rPr>
        <w:t xml:space="preserve">ovornosti i delegiranja odluka. </w:t>
      </w:r>
    </w:p>
    <w:p w:rsidR="00A666B7" w:rsidRPr="00C1093A" w:rsidRDefault="00EA68CB" w:rsidP="00C1093A">
      <w:pPr>
        <w:pStyle w:val="NormalWeb"/>
        <w:spacing w:before="60" w:after="60" w:line="240" w:lineRule="auto"/>
        <w:ind w:right="-475"/>
        <w:jc w:val="both"/>
        <w:rPr>
          <w:rFonts w:asciiTheme="majorHAnsi" w:hAnsiTheme="majorHAnsi" w:cstheme="majorHAnsi"/>
          <w:color w:val="auto"/>
          <w:szCs w:val="24"/>
        </w:rPr>
      </w:pPr>
      <w:r w:rsidRPr="00C1093A">
        <w:rPr>
          <w:rFonts w:asciiTheme="majorHAnsi" w:hAnsiTheme="majorHAnsi" w:cstheme="majorHAnsi"/>
          <w:color w:val="auto"/>
          <w:szCs w:val="24"/>
        </w:rPr>
        <w:t>Nisu postignuti indikatori učinka u oblasti organizacije i odgovornosti u si</w:t>
      </w:r>
      <w:r w:rsidR="00DA1BC0" w:rsidRPr="00C1093A">
        <w:rPr>
          <w:rFonts w:asciiTheme="majorHAnsi" w:hAnsiTheme="majorHAnsi" w:cstheme="majorHAnsi"/>
          <w:color w:val="auto"/>
          <w:szCs w:val="24"/>
        </w:rPr>
        <w:t>s</w:t>
      </w:r>
      <w:r w:rsidRPr="00C1093A">
        <w:rPr>
          <w:rFonts w:asciiTheme="majorHAnsi" w:hAnsiTheme="majorHAnsi" w:cstheme="majorHAnsi"/>
          <w:color w:val="auto"/>
          <w:szCs w:val="24"/>
        </w:rPr>
        <w:t xml:space="preserve">temu javne uprave koji se odnose na dužinu trajanja upravnog spora koji sa planiranih 4 mjeseca u ovom trenutku iznosi 17 mjeseci; nije obezbijeđen sistem za efikasno ostvarivanje prava na slobodan pristup informacijama i transparetnost javne administracije što pokazuje stalni porast broja zahtjeva za slobodan pristup inforacijama i broj žalbi koji se podnoci Agenciji za slobodan pristup informacijama. U oblasti pružanja usluga nijesu ostvareni </w:t>
      </w:r>
      <w:r w:rsidRPr="00C1093A">
        <w:rPr>
          <w:rFonts w:asciiTheme="majorHAnsi" w:hAnsiTheme="majorHAnsi" w:cstheme="majorHAnsi"/>
          <w:color w:val="auto"/>
          <w:szCs w:val="24"/>
        </w:rPr>
        <w:lastRenderedPageBreak/>
        <w:t>indikatori učinka koji se odnose na postojane sistema redovnog mjerenja zadovoljstva građana pruženim upravnim uslugama, u oblasti službeničkog sistema nijesu ostvarene vrijednosti indikatora u pogledu smanjenja broja zaposlenih na centralnom i lokalnom nivou.</w:t>
      </w:r>
    </w:p>
    <w:p w:rsidR="00895430" w:rsidRPr="00C1093A" w:rsidRDefault="007027A4" w:rsidP="00C1093A">
      <w:pPr>
        <w:pStyle w:val="NormalWeb"/>
        <w:spacing w:before="60" w:after="60" w:line="240" w:lineRule="auto"/>
        <w:ind w:right="-475" w:firstLine="6"/>
        <w:jc w:val="both"/>
        <w:rPr>
          <w:rFonts w:asciiTheme="majorHAnsi" w:hAnsiTheme="majorHAnsi" w:cstheme="majorHAnsi"/>
          <w:color w:val="auto"/>
          <w:szCs w:val="24"/>
        </w:rPr>
      </w:pPr>
      <w:r w:rsidRPr="00C1093A">
        <w:rPr>
          <w:rFonts w:asciiTheme="majorHAnsi" w:hAnsiTheme="majorHAnsi" w:cstheme="majorHAnsi"/>
          <w:color w:val="auto"/>
          <w:szCs w:val="24"/>
        </w:rPr>
        <w:t>U</w:t>
      </w:r>
      <w:r w:rsidR="00E3338F" w:rsidRPr="00C1093A">
        <w:rPr>
          <w:rFonts w:asciiTheme="majorHAnsi" w:hAnsiTheme="majorHAnsi" w:cstheme="majorHAnsi"/>
          <w:color w:val="auto"/>
          <w:szCs w:val="24"/>
        </w:rPr>
        <w:t xml:space="preserve"> </w:t>
      </w:r>
      <w:r w:rsidR="00EA68CB" w:rsidRPr="00C1093A">
        <w:rPr>
          <w:rFonts w:asciiTheme="majorHAnsi" w:hAnsiTheme="majorHAnsi" w:cstheme="majorHAnsi"/>
          <w:b/>
          <w:color w:val="auto"/>
          <w:szCs w:val="24"/>
        </w:rPr>
        <w:t>I</w:t>
      </w:r>
      <w:r w:rsidR="00895430" w:rsidRPr="00C1093A">
        <w:rPr>
          <w:rFonts w:asciiTheme="majorHAnsi" w:hAnsiTheme="majorHAnsi" w:cstheme="majorHAnsi"/>
          <w:b/>
          <w:color w:val="auto"/>
          <w:szCs w:val="24"/>
        </w:rPr>
        <w:t>zvještaj</w:t>
      </w:r>
      <w:r w:rsidR="00E3338F" w:rsidRPr="00C1093A">
        <w:rPr>
          <w:rFonts w:asciiTheme="majorHAnsi" w:hAnsiTheme="majorHAnsi" w:cstheme="majorHAnsi"/>
          <w:b/>
          <w:color w:val="auto"/>
          <w:szCs w:val="24"/>
        </w:rPr>
        <w:t>u</w:t>
      </w:r>
      <w:r w:rsidR="00895430" w:rsidRPr="00C1093A">
        <w:rPr>
          <w:rFonts w:asciiTheme="majorHAnsi" w:hAnsiTheme="majorHAnsi" w:cstheme="majorHAnsi"/>
          <w:b/>
          <w:color w:val="auto"/>
          <w:szCs w:val="24"/>
        </w:rPr>
        <w:t xml:space="preserve"> o napretku CG za 2021</w:t>
      </w:r>
      <w:r w:rsidR="00895430" w:rsidRPr="00C1093A">
        <w:rPr>
          <w:rFonts w:asciiTheme="majorHAnsi" w:hAnsiTheme="majorHAnsi" w:cstheme="majorHAnsi"/>
          <w:color w:val="auto"/>
          <w:szCs w:val="24"/>
        </w:rPr>
        <w:t xml:space="preserve">. </w:t>
      </w:r>
      <w:r w:rsidR="00895430" w:rsidRPr="00C1093A">
        <w:rPr>
          <w:rFonts w:asciiTheme="majorHAnsi" w:hAnsiTheme="majorHAnsi" w:cstheme="majorHAnsi"/>
          <w:b/>
          <w:color w:val="auto"/>
          <w:szCs w:val="24"/>
        </w:rPr>
        <w:t>godinu</w:t>
      </w:r>
      <w:r w:rsidR="003465A2" w:rsidRPr="00C1093A">
        <w:rPr>
          <w:rStyle w:val="FootnoteReference"/>
          <w:rFonts w:asciiTheme="majorHAnsi" w:hAnsiTheme="majorHAnsi" w:cstheme="majorHAnsi"/>
          <w:b/>
          <w:color w:val="auto"/>
          <w:szCs w:val="24"/>
        </w:rPr>
        <w:footnoteReference w:id="4"/>
      </w:r>
      <w:r w:rsidR="00895430" w:rsidRPr="00C1093A">
        <w:rPr>
          <w:rFonts w:asciiTheme="majorHAnsi" w:hAnsiTheme="majorHAnsi" w:cstheme="majorHAnsi"/>
          <w:color w:val="auto"/>
          <w:szCs w:val="24"/>
        </w:rPr>
        <w:t xml:space="preserve"> </w:t>
      </w:r>
      <w:r w:rsidR="00E3338F" w:rsidRPr="00C1093A">
        <w:rPr>
          <w:rFonts w:asciiTheme="majorHAnsi" w:hAnsiTheme="majorHAnsi" w:cstheme="majorHAnsi"/>
          <w:color w:val="auto"/>
          <w:szCs w:val="24"/>
        </w:rPr>
        <w:t>konstatovano je da je Crna Gora umjereno spremna za reformu javne uprave, sa ograničenim napretkom u izveštajnom periodu. Određeni napredak je postignut u oblastima kao što su srednjoročno planiranje politike, elektronska vlada i upravljanje javnim finansijama, kao i transparentnost budžeta. Izm</w:t>
      </w:r>
      <w:r w:rsidR="003465A2" w:rsidRPr="00C1093A">
        <w:rPr>
          <w:rFonts w:asciiTheme="majorHAnsi" w:hAnsiTheme="majorHAnsi" w:cstheme="majorHAnsi"/>
          <w:color w:val="auto"/>
          <w:szCs w:val="24"/>
        </w:rPr>
        <w:t>jenama i dopunama</w:t>
      </w:r>
      <w:r w:rsidR="00E3338F" w:rsidRPr="00C1093A">
        <w:rPr>
          <w:rFonts w:asciiTheme="majorHAnsi" w:hAnsiTheme="majorHAnsi" w:cstheme="majorHAnsi"/>
          <w:color w:val="auto"/>
          <w:szCs w:val="24"/>
        </w:rPr>
        <w:t xml:space="preserve"> Zakona o </w:t>
      </w:r>
      <w:r w:rsidR="003465A2" w:rsidRPr="00C1093A">
        <w:rPr>
          <w:rFonts w:asciiTheme="majorHAnsi" w:hAnsiTheme="majorHAnsi" w:cstheme="majorHAnsi"/>
          <w:color w:val="auto"/>
          <w:szCs w:val="24"/>
        </w:rPr>
        <w:t>d</w:t>
      </w:r>
      <w:r w:rsidR="00E3338F" w:rsidRPr="00C1093A">
        <w:rPr>
          <w:rFonts w:asciiTheme="majorHAnsi" w:hAnsiTheme="majorHAnsi" w:cstheme="majorHAnsi"/>
          <w:color w:val="auto"/>
          <w:szCs w:val="24"/>
        </w:rPr>
        <w:t>ržavni</w:t>
      </w:r>
      <w:r w:rsidR="003465A2" w:rsidRPr="00C1093A">
        <w:rPr>
          <w:rFonts w:asciiTheme="majorHAnsi" w:hAnsiTheme="majorHAnsi" w:cstheme="majorHAnsi"/>
          <w:color w:val="auto"/>
          <w:szCs w:val="24"/>
        </w:rPr>
        <w:t>m</w:t>
      </w:r>
      <w:r w:rsidR="00E3338F" w:rsidRPr="00C1093A">
        <w:rPr>
          <w:rFonts w:asciiTheme="majorHAnsi" w:hAnsiTheme="majorHAnsi" w:cstheme="majorHAnsi"/>
          <w:color w:val="auto"/>
          <w:szCs w:val="24"/>
        </w:rPr>
        <w:t xml:space="preserve"> službenici</w:t>
      </w:r>
      <w:r w:rsidR="003465A2" w:rsidRPr="00C1093A">
        <w:rPr>
          <w:rFonts w:asciiTheme="majorHAnsi" w:hAnsiTheme="majorHAnsi" w:cstheme="majorHAnsi"/>
          <w:color w:val="auto"/>
          <w:szCs w:val="24"/>
        </w:rPr>
        <w:t>ma</w:t>
      </w:r>
      <w:r w:rsidR="00E3338F" w:rsidRPr="00C1093A">
        <w:rPr>
          <w:rFonts w:asciiTheme="majorHAnsi" w:hAnsiTheme="majorHAnsi" w:cstheme="majorHAnsi"/>
          <w:color w:val="auto"/>
          <w:szCs w:val="24"/>
        </w:rPr>
        <w:t xml:space="preserve"> i namještenici</w:t>
      </w:r>
      <w:r w:rsidR="003465A2" w:rsidRPr="00C1093A">
        <w:rPr>
          <w:rFonts w:asciiTheme="majorHAnsi" w:hAnsiTheme="majorHAnsi" w:cstheme="majorHAnsi"/>
          <w:color w:val="auto"/>
          <w:szCs w:val="24"/>
        </w:rPr>
        <w:t>ma</w:t>
      </w:r>
      <w:r w:rsidR="00E3338F" w:rsidRPr="00C1093A">
        <w:rPr>
          <w:rFonts w:asciiTheme="majorHAnsi" w:hAnsiTheme="majorHAnsi" w:cstheme="majorHAnsi"/>
          <w:color w:val="auto"/>
          <w:szCs w:val="24"/>
        </w:rPr>
        <w:t>,</w:t>
      </w:r>
      <w:r w:rsidR="003465A2" w:rsidRPr="00C1093A">
        <w:rPr>
          <w:rFonts w:asciiTheme="majorHAnsi" w:hAnsiTheme="majorHAnsi" w:cstheme="majorHAnsi"/>
          <w:color w:val="auto"/>
          <w:szCs w:val="24"/>
        </w:rPr>
        <w:t xml:space="preserve"> smanjeni su uslovi</w:t>
      </w:r>
      <w:r w:rsidR="00E3338F" w:rsidRPr="00C1093A">
        <w:rPr>
          <w:rFonts w:asciiTheme="majorHAnsi" w:hAnsiTheme="majorHAnsi" w:cstheme="majorHAnsi"/>
          <w:color w:val="auto"/>
          <w:szCs w:val="24"/>
        </w:rPr>
        <w:t xml:space="preserve"> za zapošljavanje na osnovu zasluga, kompetencije i nezavisnost državnih službenika. Reorganizacija javne uprave dovela je do značajn</w:t>
      </w:r>
      <w:r w:rsidR="003465A2" w:rsidRPr="00C1093A">
        <w:rPr>
          <w:rFonts w:asciiTheme="majorHAnsi" w:hAnsiTheme="majorHAnsi" w:cstheme="majorHAnsi"/>
          <w:color w:val="auto"/>
          <w:szCs w:val="24"/>
        </w:rPr>
        <w:t>ih kadrovskih promena, gubit</w:t>
      </w:r>
      <w:r w:rsidR="00E3338F" w:rsidRPr="00C1093A">
        <w:rPr>
          <w:rFonts w:asciiTheme="majorHAnsi" w:hAnsiTheme="majorHAnsi" w:cstheme="majorHAnsi"/>
          <w:color w:val="auto"/>
          <w:szCs w:val="24"/>
        </w:rPr>
        <w:t>ka iskusno</w:t>
      </w:r>
      <w:r w:rsidR="004E278C" w:rsidRPr="00C1093A">
        <w:rPr>
          <w:rFonts w:asciiTheme="majorHAnsi" w:hAnsiTheme="majorHAnsi" w:cstheme="majorHAnsi"/>
          <w:color w:val="auto"/>
          <w:szCs w:val="24"/>
        </w:rPr>
        <w:t>g</w:t>
      </w:r>
      <w:r w:rsidR="00E3338F" w:rsidRPr="00C1093A">
        <w:rPr>
          <w:rFonts w:asciiTheme="majorHAnsi" w:hAnsiTheme="majorHAnsi" w:cstheme="majorHAnsi"/>
          <w:color w:val="auto"/>
          <w:szCs w:val="24"/>
        </w:rPr>
        <w:t xml:space="preserve"> osoblj</w:t>
      </w:r>
      <w:r w:rsidR="004E278C" w:rsidRPr="00C1093A">
        <w:rPr>
          <w:rFonts w:asciiTheme="majorHAnsi" w:hAnsiTheme="majorHAnsi" w:cstheme="majorHAnsi"/>
          <w:color w:val="auto"/>
          <w:szCs w:val="24"/>
        </w:rPr>
        <w:t>a</w:t>
      </w:r>
      <w:r w:rsidR="00E3338F" w:rsidRPr="00C1093A">
        <w:rPr>
          <w:rFonts w:asciiTheme="majorHAnsi" w:hAnsiTheme="majorHAnsi" w:cstheme="majorHAnsi"/>
          <w:color w:val="auto"/>
          <w:szCs w:val="24"/>
        </w:rPr>
        <w:t xml:space="preserve"> u pitanjima vezanim za proces pristupanja EU</w:t>
      </w:r>
      <w:r w:rsidR="003465A2" w:rsidRPr="00C1093A">
        <w:rPr>
          <w:rFonts w:asciiTheme="majorHAnsi" w:hAnsiTheme="majorHAnsi" w:cstheme="majorHAnsi"/>
          <w:color w:val="auto"/>
          <w:szCs w:val="24"/>
        </w:rPr>
        <w:t>. P</w:t>
      </w:r>
      <w:r w:rsidR="00E3338F" w:rsidRPr="00C1093A">
        <w:rPr>
          <w:rFonts w:asciiTheme="majorHAnsi" w:hAnsiTheme="majorHAnsi" w:cstheme="majorHAnsi"/>
          <w:color w:val="auto"/>
          <w:szCs w:val="24"/>
        </w:rPr>
        <w:t>otrebna</w:t>
      </w:r>
      <w:r w:rsidR="003465A2" w:rsidRPr="00C1093A">
        <w:rPr>
          <w:rFonts w:asciiTheme="majorHAnsi" w:hAnsiTheme="majorHAnsi" w:cstheme="majorHAnsi"/>
          <w:color w:val="auto"/>
          <w:szCs w:val="24"/>
        </w:rPr>
        <w:t xml:space="preserve"> je</w:t>
      </w:r>
      <w:r w:rsidR="00E3338F" w:rsidRPr="00C1093A">
        <w:rPr>
          <w:rFonts w:asciiTheme="majorHAnsi" w:hAnsiTheme="majorHAnsi" w:cstheme="majorHAnsi"/>
          <w:color w:val="auto"/>
          <w:szCs w:val="24"/>
        </w:rPr>
        <w:t xml:space="preserve"> jaka politička volja </w:t>
      </w:r>
      <w:r w:rsidR="003465A2" w:rsidRPr="00C1093A">
        <w:rPr>
          <w:rFonts w:asciiTheme="majorHAnsi" w:hAnsiTheme="majorHAnsi" w:cstheme="majorHAnsi"/>
          <w:color w:val="auto"/>
          <w:szCs w:val="24"/>
        </w:rPr>
        <w:t xml:space="preserve">u cilju efikasne </w:t>
      </w:r>
      <w:r w:rsidR="00E3338F" w:rsidRPr="00C1093A">
        <w:rPr>
          <w:rFonts w:asciiTheme="majorHAnsi" w:hAnsiTheme="majorHAnsi" w:cstheme="majorHAnsi"/>
          <w:color w:val="auto"/>
          <w:szCs w:val="24"/>
        </w:rPr>
        <w:t>depolitizacije javnog servisa, optimizacij</w:t>
      </w:r>
      <w:r w:rsidR="0031374C" w:rsidRPr="00C1093A">
        <w:rPr>
          <w:rFonts w:asciiTheme="majorHAnsi" w:hAnsiTheme="majorHAnsi" w:cstheme="majorHAnsi"/>
          <w:color w:val="auto"/>
          <w:szCs w:val="24"/>
        </w:rPr>
        <w:t>e</w:t>
      </w:r>
      <w:r w:rsidR="00E3338F" w:rsidRPr="00C1093A">
        <w:rPr>
          <w:rFonts w:asciiTheme="majorHAnsi" w:hAnsiTheme="majorHAnsi" w:cstheme="majorHAnsi"/>
          <w:color w:val="auto"/>
          <w:szCs w:val="24"/>
        </w:rPr>
        <w:t xml:space="preserve"> držav</w:t>
      </w:r>
      <w:r w:rsidR="0031374C" w:rsidRPr="00C1093A">
        <w:rPr>
          <w:rFonts w:asciiTheme="majorHAnsi" w:hAnsiTheme="majorHAnsi" w:cstheme="majorHAnsi"/>
          <w:color w:val="auto"/>
          <w:szCs w:val="24"/>
        </w:rPr>
        <w:t>n</w:t>
      </w:r>
      <w:r w:rsidR="00E3338F" w:rsidRPr="00C1093A">
        <w:rPr>
          <w:rFonts w:asciiTheme="majorHAnsi" w:hAnsiTheme="majorHAnsi" w:cstheme="majorHAnsi"/>
          <w:color w:val="auto"/>
          <w:szCs w:val="24"/>
        </w:rPr>
        <w:t>e administraci</w:t>
      </w:r>
      <w:r w:rsidR="003465A2" w:rsidRPr="00C1093A">
        <w:rPr>
          <w:rFonts w:asciiTheme="majorHAnsi" w:hAnsiTheme="majorHAnsi" w:cstheme="majorHAnsi"/>
          <w:color w:val="auto"/>
          <w:szCs w:val="24"/>
        </w:rPr>
        <w:t>je</w:t>
      </w:r>
      <w:r w:rsidR="00E3338F" w:rsidRPr="00C1093A">
        <w:rPr>
          <w:rFonts w:asciiTheme="majorHAnsi" w:hAnsiTheme="majorHAnsi" w:cstheme="majorHAnsi"/>
          <w:color w:val="auto"/>
          <w:szCs w:val="24"/>
        </w:rPr>
        <w:t xml:space="preserve"> i efektivn</w:t>
      </w:r>
      <w:r w:rsidR="004E278C" w:rsidRPr="00C1093A">
        <w:rPr>
          <w:rFonts w:asciiTheme="majorHAnsi" w:hAnsiTheme="majorHAnsi" w:cstheme="majorHAnsi"/>
          <w:color w:val="auto"/>
          <w:szCs w:val="24"/>
        </w:rPr>
        <w:t>a</w:t>
      </w:r>
      <w:r w:rsidR="00E3338F" w:rsidRPr="00C1093A">
        <w:rPr>
          <w:rFonts w:asciiTheme="majorHAnsi" w:hAnsiTheme="majorHAnsi" w:cstheme="majorHAnsi"/>
          <w:color w:val="auto"/>
          <w:szCs w:val="24"/>
        </w:rPr>
        <w:t xml:space="preserve"> implementacij</w:t>
      </w:r>
      <w:r w:rsidR="004E278C" w:rsidRPr="00C1093A">
        <w:rPr>
          <w:rFonts w:asciiTheme="majorHAnsi" w:hAnsiTheme="majorHAnsi" w:cstheme="majorHAnsi"/>
          <w:color w:val="auto"/>
          <w:szCs w:val="24"/>
        </w:rPr>
        <w:t>a</w:t>
      </w:r>
      <w:r w:rsidR="00E3338F" w:rsidRPr="00C1093A">
        <w:rPr>
          <w:rFonts w:asciiTheme="majorHAnsi" w:hAnsiTheme="majorHAnsi" w:cstheme="majorHAnsi"/>
          <w:color w:val="auto"/>
          <w:szCs w:val="24"/>
        </w:rPr>
        <w:t xml:space="preserve"> </w:t>
      </w:r>
      <w:r w:rsidR="004E278C" w:rsidRPr="00C1093A">
        <w:rPr>
          <w:rFonts w:asciiTheme="majorHAnsi" w:hAnsiTheme="majorHAnsi" w:cstheme="majorHAnsi"/>
          <w:color w:val="auto"/>
          <w:szCs w:val="24"/>
        </w:rPr>
        <w:t xml:space="preserve">upravljačke </w:t>
      </w:r>
      <w:r w:rsidR="00E3338F" w:rsidRPr="00C1093A">
        <w:rPr>
          <w:rFonts w:asciiTheme="majorHAnsi" w:hAnsiTheme="majorHAnsi" w:cstheme="majorHAnsi"/>
          <w:color w:val="auto"/>
          <w:szCs w:val="24"/>
        </w:rPr>
        <w:t xml:space="preserve">odgovornosti. </w:t>
      </w:r>
    </w:p>
    <w:p w:rsidR="003F6F26" w:rsidRPr="00C1093A" w:rsidRDefault="0001207C" w:rsidP="00C1093A">
      <w:pPr>
        <w:spacing w:before="240" w:after="240" w:line="240" w:lineRule="auto"/>
        <w:ind w:right="-475"/>
        <w:jc w:val="center"/>
        <w:rPr>
          <w:rFonts w:asciiTheme="majorHAnsi" w:hAnsiTheme="majorHAnsi" w:cstheme="majorHAnsi"/>
          <w:b/>
          <w:color w:val="auto"/>
          <w:sz w:val="32"/>
          <w:szCs w:val="32"/>
        </w:rPr>
      </w:pPr>
      <w:r w:rsidRPr="00C1093A">
        <w:rPr>
          <w:rFonts w:asciiTheme="majorHAnsi" w:hAnsiTheme="majorHAnsi" w:cstheme="majorHAnsi"/>
          <w:b/>
          <w:color w:val="auto"/>
          <w:sz w:val="32"/>
          <w:szCs w:val="32"/>
        </w:rPr>
        <w:t>II RAZVOJ NOVOG STRATEŠKOG DOKUMENTA</w:t>
      </w:r>
    </w:p>
    <w:p w:rsidR="00255827" w:rsidRPr="00C1093A" w:rsidRDefault="006C1A12" w:rsidP="00C1093A">
      <w:pPr>
        <w:spacing w:before="60" w:after="60" w:line="240" w:lineRule="auto"/>
        <w:ind w:right="-475"/>
        <w:jc w:val="both"/>
        <w:rPr>
          <w:rFonts w:asciiTheme="majorHAnsi" w:hAnsiTheme="majorHAnsi" w:cstheme="majorHAnsi"/>
          <w:color w:val="auto"/>
          <w:sz w:val="24"/>
          <w:szCs w:val="24"/>
        </w:rPr>
      </w:pPr>
      <w:r w:rsidRPr="00C1093A">
        <w:rPr>
          <w:rFonts w:asciiTheme="majorHAnsi" w:hAnsiTheme="majorHAnsi" w:cstheme="majorHAnsi"/>
          <w:color w:val="auto"/>
          <w:sz w:val="24"/>
          <w:szCs w:val="24"/>
        </w:rPr>
        <w:t>U cilju kontinuiranog nastavka reforme javne uprave, pripremljena je Stra</w:t>
      </w:r>
      <w:r w:rsidR="00446839" w:rsidRPr="00C1093A">
        <w:rPr>
          <w:rFonts w:asciiTheme="majorHAnsi" w:hAnsiTheme="majorHAnsi" w:cstheme="majorHAnsi"/>
          <w:color w:val="auto"/>
          <w:sz w:val="24"/>
          <w:szCs w:val="24"/>
        </w:rPr>
        <w:t>tegija reforme javne uprave 2022 – 2026</w:t>
      </w:r>
      <w:r w:rsidR="00C4082D" w:rsidRPr="00C1093A">
        <w:rPr>
          <w:rFonts w:asciiTheme="majorHAnsi" w:hAnsiTheme="majorHAnsi" w:cstheme="majorHAnsi"/>
          <w:color w:val="auto"/>
          <w:sz w:val="24"/>
          <w:szCs w:val="24"/>
        </w:rPr>
        <w:t>.</w:t>
      </w:r>
      <w:r w:rsidR="00446839" w:rsidRPr="00C1093A">
        <w:rPr>
          <w:rFonts w:asciiTheme="majorHAnsi" w:hAnsiTheme="majorHAnsi" w:cstheme="majorHAnsi"/>
          <w:color w:val="auto"/>
          <w:sz w:val="24"/>
          <w:szCs w:val="24"/>
        </w:rPr>
        <w:t xml:space="preserve"> </w:t>
      </w:r>
      <w:r w:rsidRPr="00C1093A">
        <w:rPr>
          <w:rFonts w:asciiTheme="majorHAnsi" w:hAnsiTheme="majorHAnsi" w:cstheme="majorHAnsi"/>
          <w:color w:val="auto"/>
          <w:sz w:val="24"/>
          <w:szCs w:val="24"/>
        </w:rPr>
        <w:t>(</w:t>
      </w:r>
      <w:r w:rsidR="00446839" w:rsidRPr="00C1093A">
        <w:rPr>
          <w:rFonts w:asciiTheme="majorHAnsi" w:hAnsiTheme="majorHAnsi" w:cstheme="majorHAnsi"/>
          <w:color w:val="auto"/>
          <w:sz w:val="24"/>
          <w:szCs w:val="24"/>
        </w:rPr>
        <w:t>u daljem tekstu: Strategija 2022 – 2026</w:t>
      </w:r>
      <w:r w:rsidR="00C4082D" w:rsidRPr="00C1093A">
        <w:rPr>
          <w:rFonts w:asciiTheme="majorHAnsi" w:hAnsiTheme="majorHAnsi" w:cstheme="majorHAnsi"/>
          <w:color w:val="auto"/>
          <w:sz w:val="24"/>
          <w:szCs w:val="24"/>
        </w:rPr>
        <w:t>.</w:t>
      </w:r>
      <w:r w:rsidR="00AA5662" w:rsidRPr="00C1093A">
        <w:rPr>
          <w:rFonts w:asciiTheme="majorHAnsi" w:hAnsiTheme="majorHAnsi" w:cstheme="majorHAnsi"/>
          <w:color w:val="auto"/>
          <w:sz w:val="24"/>
          <w:szCs w:val="24"/>
        </w:rPr>
        <w:t xml:space="preserve">). </w:t>
      </w:r>
    </w:p>
    <w:p w:rsidR="00BF75D0" w:rsidRPr="00C1093A" w:rsidRDefault="00255827" w:rsidP="00C1093A">
      <w:pPr>
        <w:spacing w:before="60" w:after="60" w:line="240" w:lineRule="auto"/>
        <w:ind w:right="-475"/>
        <w:jc w:val="both"/>
        <w:rPr>
          <w:rFonts w:asciiTheme="majorHAnsi" w:hAnsiTheme="majorHAnsi" w:cstheme="majorHAnsi"/>
          <w:color w:val="auto"/>
          <w:sz w:val="24"/>
          <w:szCs w:val="24"/>
        </w:rPr>
      </w:pPr>
      <w:r w:rsidRPr="00C1093A">
        <w:rPr>
          <w:rFonts w:asciiTheme="majorHAnsi" w:hAnsiTheme="majorHAnsi" w:cstheme="majorHAnsi"/>
          <w:color w:val="auto"/>
          <w:sz w:val="24"/>
          <w:szCs w:val="24"/>
        </w:rPr>
        <w:t xml:space="preserve">Ministarstvo javne uprave je započelo rad na izradi </w:t>
      </w:r>
      <w:r w:rsidR="00C4082D" w:rsidRPr="00C1093A">
        <w:rPr>
          <w:rFonts w:asciiTheme="majorHAnsi" w:hAnsiTheme="majorHAnsi" w:cstheme="majorHAnsi"/>
          <w:color w:val="auto"/>
          <w:sz w:val="24"/>
          <w:szCs w:val="24"/>
        </w:rPr>
        <w:t>N</w:t>
      </w:r>
      <w:r w:rsidRPr="00C1093A">
        <w:rPr>
          <w:rFonts w:asciiTheme="majorHAnsi" w:hAnsiTheme="majorHAnsi" w:cstheme="majorHAnsi"/>
          <w:color w:val="auto"/>
          <w:sz w:val="24"/>
          <w:szCs w:val="24"/>
        </w:rPr>
        <w:t xml:space="preserve">acrta </w:t>
      </w:r>
      <w:r w:rsidR="00C4082D" w:rsidRPr="00C1093A">
        <w:rPr>
          <w:rFonts w:asciiTheme="majorHAnsi" w:hAnsiTheme="majorHAnsi" w:cstheme="majorHAnsi"/>
          <w:color w:val="auto"/>
          <w:sz w:val="24"/>
          <w:szCs w:val="24"/>
        </w:rPr>
        <w:t>s</w:t>
      </w:r>
      <w:r w:rsidRPr="00C1093A">
        <w:rPr>
          <w:rFonts w:asciiTheme="majorHAnsi" w:hAnsiTheme="majorHAnsi" w:cstheme="majorHAnsi"/>
          <w:color w:val="auto"/>
          <w:sz w:val="24"/>
          <w:szCs w:val="24"/>
        </w:rPr>
        <w:t>trategije 20</w:t>
      </w:r>
      <w:r w:rsidR="003465A2" w:rsidRPr="00C1093A">
        <w:rPr>
          <w:rFonts w:asciiTheme="majorHAnsi" w:hAnsiTheme="majorHAnsi" w:cstheme="majorHAnsi"/>
          <w:color w:val="auto"/>
          <w:sz w:val="24"/>
          <w:szCs w:val="24"/>
        </w:rPr>
        <w:t>22-2026</w:t>
      </w:r>
      <w:r w:rsidR="00C4082D" w:rsidRPr="00C1093A">
        <w:rPr>
          <w:rFonts w:asciiTheme="majorHAnsi" w:hAnsiTheme="majorHAnsi" w:cstheme="majorHAnsi"/>
          <w:color w:val="auto"/>
          <w:sz w:val="24"/>
          <w:szCs w:val="24"/>
        </w:rPr>
        <w:t>.</w:t>
      </w:r>
      <w:r w:rsidR="003465A2" w:rsidRPr="00C1093A">
        <w:rPr>
          <w:rFonts w:asciiTheme="majorHAnsi" w:hAnsiTheme="majorHAnsi" w:cstheme="majorHAnsi"/>
          <w:color w:val="auto"/>
          <w:sz w:val="24"/>
          <w:szCs w:val="24"/>
        </w:rPr>
        <w:t xml:space="preserve"> formiranjem Radne </w:t>
      </w:r>
      <w:r w:rsidR="00975F3A" w:rsidRPr="00C1093A">
        <w:rPr>
          <w:rFonts w:asciiTheme="majorHAnsi" w:hAnsiTheme="majorHAnsi" w:cstheme="majorHAnsi"/>
          <w:color w:val="auto"/>
          <w:sz w:val="24"/>
          <w:szCs w:val="24"/>
        </w:rPr>
        <w:t xml:space="preserve">grupe </w:t>
      </w:r>
      <w:r w:rsidRPr="00C1093A">
        <w:rPr>
          <w:rFonts w:asciiTheme="majorHAnsi" w:hAnsiTheme="majorHAnsi" w:cstheme="majorHAnsi"/>
          <w:color w:val="auto"/>
          <w:sz w:val="24"/>
          <w:szCs w:val="24"/>
        </w:rPr>
        <w:t>(RG) u junu 2020. godine. Nakon parlamentarnih izbora u avgustu 2020. godine, došlo je to promjene političke većine u Vladi Crne Gore što je imalo direktan uticaj na reogranizaciju Ministarstva javne uprave, koje sada funkcioniše kao Ministarstvo javne uprave, digitalnog društva i medija (MJUDDM)</w:t>
      </w:r>
      <w:r w:rsidR="00BF42D9" w:rsidRPr="00C1093A">
        <w:rPr>
          <w:rFonts w:asciiTheme="majorHAnsi" w:hAnsiTheme="majorHAnsi" w:cstheme="majorHAnsi"/>
          <w:color w:val="auto"/>
          <w:sz w:val="24"/>
          <w:szCs w:val="24"/>
        </w:rPr>
        <w:t xml:space="preserve">, sa novoosnovanim Direktoratom za strateško planiranje, međunarodnu saradnju i IPA fondove. </w:t>
      </w:r>
      <w:r w:rsidRPr="00C1093A">
        <w:rPr>
          <w:rFonts w:asciiTheme="majorHAnsi" w:hAnsiTheme="majorHAnsi" w:cstheme="majorHAnsi"/>
          <w:color w:val="auto"/>
          <w:sz w:val="24"/>
          <w:szCs w:val="24"/>
        </w:rPr>
        <w:t>Sa prethodnog koncepta podjele nivoa javne uprave (centralnog i lokalnog), u skladu sa kompletnom reogranizacijom MJUDDM, napravio se koncept podjele po sektorskim pitanjima ovog strateškog dokumenta. Adekvatno novom pristupu, članovi RG su izmijenjeni u aprilu 2021. godine</w:t>
      </w:r>
      <w:r w:rsidR="00511B5E" w:rsidRPr="00C1093A">
        <w:rPr>
          <w:rFonts w:asciiTheme="majorHAnsi" w:hAnsiTheme="majorHAnsi" w:cstheme="majorHAnsi"/>
          <w:color w:val="auto"/>
          <w:sz w:val="24"/>
          <w:szCs w:val="24"/>
        </w:rPr>
        <w:t xml:space="preserve"> (predstavnici MJUDDM, Ministarstva finansija i socijalnog staranja</w:t>
      </w:r>
      <w:r w:rsidR="00F709F3" w:rsidRPr="00C1093A">
        <w:rPr>
          <w:rFonts w:asciiTheme="majorHAnsi" w:hAnsiTheme="majorHAnsi" w:cstheme="majorHAnsi"/>
          <w:color w:val="auto"/>
          <w:sz w:val="24"/>
          <w:szCs w:val="24"/>
        </w:rPr>
        <w:t xml:space="preserve"> (MFSS)</w:t>
      </w:r>
      <w:r w:rsidR="00511B5E" w:rsidRPr="00C1093A">
        <w:rPr>
          <w:rFonts w:asciiTheme="majorHAnsi" w:hAnsiTheme="majorHAnsi" w:cstheme="majorHAnsi"/>
          <w:color w:val="auto"/>
          <w:sz w:val="24"/>
          <w:szCs w:val="24"/>
        </w:rPr>
        <w:t>, Ministarstva ekonomskog razvoja</w:t>
      </w:r>
      <w:r w:rsidR="00F709F3" w:rsidRPr="00C1093A">
        <w:rPr>
          <w:rFonts w:asciiTheme="majorHAnsi" w:hAnsiTheme="majorHAnsi" w:cstheme="majorHAnsi"/>
          <w:color w:val="auto"/>
          <w:sz w:val="24"/>
          <w:szCs w:val="24"/>
        </w:rPr>
        <w:t xml:space="preserve"> (MER)</w:t>
      </w:r>
      <w:r w:rsidR="00511B5E" w:rsidRPr="00C1093A">
        <w:rPr>
          <w:rFonts w:asciiTheme="majorHAnsi" w:hAnsiTheme="majorHAnsi" w:cstheme="majorHAnsi"/>
          <w:color w:val="auto"/>
          <w:sz w:val="24"/>
          <w:szCs w:val="24"/>
        </w:rPr>
        <w:t xml:space="preserve">, </w:t>
      </w:r>
      <w:r w:rsidR="005B1476" w:rsidRPr="00C1093A">
        <w:rPr>
          <w:rFonts w:asciiTheme="majorHAnsi" w:hAnsiTheme="majorHAnsi" w:cstheme="majorHAnsi"/>
          <w:color w:val="auto"/>
          <w:sz w:val="24"/>
          <w:szCs w:val="24"/>
        </w:rPr>
        <w:t>Ministarstvo unutrašnjih poslova (MUP), Generalni sekretarijat Vlade (GSV), Uprava za kadrove (UzK), Zajednica</w:t>
      </w:r>
      <w:r w:rsidR="00F709F3" w:rsidRPr="00C1093A">
        <w:rPr>
          <w:rFonts w:asciiTheme="majorHAnsi" w:hAnsiTheme="majorHAnsi" w:cstheme="majorHAnsi"/>
          <w:color w:val="auto"/>
          <w:sz w:val="24"/>
          <w:szCs w:val="24"/>
        </w:rPr>
        <w:t xml:space="preserve"> opština CG</w:t>
      </w:r>
      <w:r w:rsidR="00511B5E" w:rsidRPr="00C1093A">
        <w:rPr>
          <w:rFonts w:asciiTheme="majorHAnsi" w:hAnsiTheme="majorHAnsi" w:cstheme="majorHAnsi"/>
          <w:color w:val="auto"/>
          <w:sz w:val="24"/>
          <w:szCs w:val="24"/>
        </w:rPr>
        <w:t>, predstavnik NVO)</w:t>
      </w:r>
      <w:r w:rsidRPr="00C1093A">
        <w:rPr>
          <w:rFonts w:asciiTheme="majorHAnsi" w:hAnsiTheme="majorHAnsi" w:cstheme="majorHAnsi"/>
          <w:color w:val="auto"/>
          <w:sz w:val="24"/>
          <w:szCs w:val="24"/>
        </w:rPr>
        <w:t xml:space="preserve">, te je inteziviran rad na razvoju djelova strateškog dokumenta u skladu sa </w:t>
      </w:r>
      <w:r w:rsidR="00424323" w:rsidRPr="00C1093A">
        <w:rPr>
          <w:rFonts w:asciiTheme="majorHAnsi" w:hAnsiTheme="majorHAnsi" w:cstheme="majorHAnsi"/>
          <w:color w:val="auto"/>
          <w:sz w:val="24"/>
          <w:szCs w:val="24"/>
        </w:rPr>
        <w:t xml:space="preserve">Uredbom o načinu i postupku izrade, usklađivanja i praćenja sprovođenja strateških dokumenata i pratećom i razvijenom </w:t>
      </w:r>
      <w:r w:rsidRPr="00C1093A">
        <w:rPr>
          <w:rFonts w:asciiTheme="majorHAnsi" w:hAnsiTheme="majorHAnsi" w:cstheme="majorHAnsi"/>
          <w:color w:val="auto"/>
          <w:sz w:val="24"/>
          <w:szCs w:val="24"/>
        </w:rPr>
        <w:t>Metodologijom razvijanja politika, izrade i praćenja sprovođenja strateških dokumenata</w:t>
      </w:r>
      <w:r w:rsidRPr="00C1093A">
        <w:rPr>
          <w:rStyle w:val="FootnoteReference"/>
          <w:rFonts w:asciiTheme="majorHAnsi" w:hAnsiTheme="majorHAnsi" w:cstheme="majorHAnsi"/>
          <w:color w:val="auto"/>
          <w:sz w:val="24"/>
          <w:szCs w:val="24"/>
        </w:rPr>
        <w:footnoteReference w:id="5"/>
      </w:r>
      <w:r w:rsidRPr="00C1093A">
        <w:rPr>
          <w:rFonts w:asciiTheme="majorHAnsi" w:hAnsiTheme="majorHAnsi" w:cstheme="majorHAnsi"/>
          <w:color w:val="auto"/>
          <w:sz w:val="24"/>
          <w:szCs w:val="24"/>
        </w:rPr>
        <w:t xml:space="preserve"> koju je razvio Generalni sekretarijat Vlade (GSV). </w:t>
      </w:r>
    </w:p>
    <w:p w:rsidR="00BF42D9" w:rsidRPr="00C1093A" w:rsidRDefault="00BF42D9" w:rsidP="00C1093A">
      <w:pPr>
        <w:spacing w:before="60" w:after="60" w:line="240" w:lineRule="auto"/>
        <w:ind w:right="-471"/>
        <w:jc w:val="both"/>
        <w:rPr>
          <w:rFonts w:asciiTheme="majorHAnsi" w:hAnsiTheme="majorHAnsi" w:cstheme="majorHAnsi"/>
          <w:color w:val="auto"/>
          <w:sz w:val="24"/>
          <w:szCs w:val="24"/>
        </w:rPr>
      </w:pPr>
      <w:r w:rsidRPr="00C1093A">
        <w:rPr>
          <w:rFonts w:asciiTheme="majorHAnsi" w:hAnsiTheme="majorHAnsi" w:cstheme="majorHAnsi"/>
          <w:color w:val="auto"/>
          <w:sz w:val="24"/>
          <w:szCs w:val="24"/>
        </w:rPr>
        <w:t xml:space="preserve">Rad na izradi novog strateškog dokumenta započeo je organizovanjem širokog okvira konsultacija sa svim relevantnim subjektima u procesu nacrta dokumenta, stvarajući tako potpuno inkluzivan pristup, koji se kao ovakav radi po prvi put. S tim u vezi, od aprila do novembra 2021. godine organizovane su fokus grupe, </w:t>
      </w:r>
      <w:r w:rsidRPr="00C1093A">
        <w:rPr>
          <w:rFonts w:asciiTheme="majorHAnsi" w:hAnsiTheme="majorHAnsi" w:cstheme="majorHAnsi"/>
          <w:i/>
          <w:color w:val="auto"/>
          <w:sz w:val="24"/>
          <w:szCs w:val="24"/>
        </w:rPr>
        <w:t xml:space="preserve">stakeholder </w:t>
      </w:r>
      <w:r w:rsidRPr="00C1093A">
        <w:rPr>
          <w:rFonts w:asciiTheme="majorHAnsi" w:hAnsiTheme="majorHAnsi" w:cstheme="majorHAnsi"/>
          <w:color w:val="auto"/>
          <w:sz w:val="24"/>
          <w:szCs w:val="24"/>
        </w:rPr>
        <w:t>sastanci i radionice</w:t>
      </w:r>
      <w:r w:rsidR="006344B9" w:rsidRPr="00C1093A">
        <w:rPr>
          <w:rFonts w:asciiTheme="majorHAnsi" w:hAnsiTheme="majorHAnsi" w:cstheme="majorHAnsi"/>
          <w:color w:val="auto"/>
          <w:sz w:val="24"/>
          <w:szCs w:val="24"/>
        </w:rPr>
        <w:t xml:space="preserve"> </w:t>
      </w:r>
      <w:r w:rsidRPr="00C1093A">
        <w:rPr>
          <w:rFonts w:asciiTheme="majorHAnsi" w:hAnsiTheme="majorHAnsi" w:cstheme="majorHAnsi"/>
          <w:color w:val="auto"/>
          <w:sz w:val="24"/>
          <w:szCs w:val="24"/>
        </w:rPr>
        <w:t xml:space="preserve">sa zainteresovanim stranama koje su dale svoje predloge, sugestije i </w:t>
      </w:r>
      <w:r w:rsidRPr="00C1093A">
        <w:rPr>
          <w:rFonts w:asciiTheme="majorHAnsi" w:hAnsiTheme="majorHAnsi" w:cstheme="majorHAnsi"/>
          <w:color w:val="auto"/>
          <w:sz w:val="24"/>
          <w:szCs w:val="24"/>
        </w:rPr>
        <w:lastRenderedPageBreak/>
        <w:t>komentare na oblasti Strategije 2022 – 2026</w:t>
      </w:r>
      <w:r w:rsidR="00C4082D" w:rsidRPr="00C1093A">
        <w:rPr>
          <w:rFonts w:asciiTheme="majorHAnsi" w:hAnsiTheme="majorHAnsi" w:cstheme="majorHAnsi"/>
          <w:color w:val="auto"/>
          <w:sz w:val="24"/>
          <w:szCs w:val="24"/>
        </w:rPr>
        <w:t>,</w:t>
      </w:r>
      <w:r w:rsidRPr="00C1093A">
        <w:rPr>
          <w:rStyle w:val="FootnoteReference"/>
          <w:rFonts w:asciiTheme="majorHAnsi" w:hAnsiTheme="majorHAnsi" w:cstheme="majorHAnsi"/>
          <w:color w:val="auto"/>
          <w:sz w:val="24"/>
          <w:szCs w:val="24"/>
        </w:rPr>
        <w:footnoteReference w:id="6"/>
      </w:r>
      <w:r w:rsidR="00424323" w:rsidRPr="00C1093A">
        <w:rPr>
          <w:rFonts w:asciiTheme="majorHAnsi" w:hAnsiTheme="majorHAnsi" w:cstheme="majorHAnsi"/>
          <w:color w:val="auto"/>
          <w:sz w:val="24"/>
          <w:szCs w:val="24"/>
        </w:rPr>
        <w:t xml:space="preserve"> nakon čega je objavljen i Izvještaj sa održanih fokus grupa</w:t>
      </w:r>
      <w:r w:rsidR="00C4082D" w:rsidRPr="00C1093A">
        <w:rPr>
          <w:rFonts w:asciiTheme="majorHAnsi" w:hAnsiTheme="majorHAnsi" w:cstheme="majorHAnsi"/>
          <w:color w:val="auto"/>
          <w:sz w:val="24"/>
          <w:szCs w:val="24"/>
        </w:rPr>
        <w:t>.</w:t>
      </w:r>
      <w:r w:rsidR="00424323" w:rsidRPr="00C1093A">
        <w:rPr>
          <w:rStyle w:val="FootnoteReference"/>
          <w:rFonts w:asciiTheme="majorHAnsi" w:hAnsiTheme="majorHAnsi" w:cstheme="majorHAnsi"/>
          <w:color w:val="auto"/>
          <w:sz w:val="24"/>
          <w:szCs w:val="24"/>
        </w:rPr>
        <w:footnoteReference w:id="7"/>
      </w:r>
      <w:r w:rsidR="00C4082D" w:rsidRPr="00C1093A">
        <w:rPr>
          <w:rFonts w:asciiTheme="majorHAnsi" w:hAnsiTheme="majorHAnsi" w:cstheme="majorHAnsi"/>
          <w:color w:val="auto"/>
          <w:sz w:val="24"/>
          <w:szCs w:val="24"/>
        </w:rPr>
        <w:t xml:space="preserve"> </w:t>
      </w:r>
      <w:r w:rsidRPr="00C1093A">
        <w:rPr>
          <w:rFonts w:asciiTheme="majorHAnsi" w:hAnsiTheme="majorHAnsi" w:cstheme="majorHAnsi"/>
          <w:color w:val="auto"/>
          <w:sz w:val="24"/>
          <w:szCs w:val="24"/>
        </w:rPr>
        <w:t xml:space="preserve">Ovakav način rada/konsultovanja svih </w:t>
      </w:r>
      <w:r w:rsidR="00424323" w:rsidRPr="00C1093A">
        <w:rPr>
          <w:rFonts w:asciiTheme="majorHAnsi" w:hAnsiTheme="majorHAnsi" w:cstheme="majorHAnsi"/>
          <w:color w:val="auto"/>
          <w:sz w:val="24"/>
          <w:szCs w:val="24"/>
        </w:rPr>
        <w:t>zainteresovanih strana</w:t>
      </w:r>
      <w:r w:rsidRPr="00C1093A">
        <w:rPr>
          <w:rFonts w:asciiTheme="majorHAnsi" w:hAnsiTheme="majorHAnsi" w:cstheme="majorHAnsi"/>
          <w:color w:val="auto"/>
          <w:sz w:val="24"/>
          <w:szCs w:val="24"/>
        </w:rPr>
        <w:t xml:space="preserve"> u ranoj fazi nacrta strateškog dokumenta, kao i tokom njegovog razvoja, poslužiće kao najbolja praksa svim relevantnim organima i biće promovisan od strane GSV pri razvoju strateških dokumenata organa javne uprave.</w:t>
      </w:r>
      <w:r w:rsidR="006344B9" w:rsidRPr="00C1093A">
        <w:rPr>
          <w:rFonts w:asciiTheme="majorHAnsi" w:hAnsiTheme="majorHAnsi" w:cstheme="majorHAnsi"/>
          <w:color w:val="auto"/>
          <w:sz w:val="24"/>
          <w:szCs w:val="24"/>
        </w:rPr>
        <w:t xml:space="preserve"> </w:t>
      </w:r>
      <w:r w:rsidR="006344B9" w:rsidRPr="00894907">
        <w:rPr>
          <w:rFonts w:asciiTheme="majorHAnsi" w:hAnsiTheme="majorHAnsi" w:cstheme="majorHAnsi"/>
          <w:color w:val="auto"/>
          <w:sz w:val="24"/>
          <w:szCs w:val="24"/>
        </w:rPr>
        <w:t>Tokom novembra organizovana je javna rasprava..</w:t>
      </w:r>
      <w:r w:rsidR="00894907">
        <w:rPr>
          <w:rFonts w:asciiTheme="majorHAnsi" w:hAnsiTheme="majorHAnsi" w:cstheme="majorHAnsi"/>
          <w:color w:val="auto"/>
          <w:sz w:val="24"/>
          <w:szCs w:val="24"/>
        </w:rPr>
        <w:t>.</w:t>
      </w:r>
      <w:r w:rsidR="006344B9" w:rsidRPr="00C1093A">
        <w:rPr>
          <w:rFonts w:asciiTheme="majorHAnsi" w:hAnsiTheme="majorHAnsi" w:cstheme="majorHAnsi"/>
          <w:color w:val="auto"/>
          <w:sz w:val="24"/>
          <w:szCs w:val="24"/>
        </w:rPr>
        <w:t xml:space="preserve"> </w:t>
      </w:r>
    </w:p>
    <w:p w:rsidR="00BF42D9" w:rsidRPr="00C1093A" w:rsidRDefault="00BF42D9" w:rsidP="00C1093A">
      <w:pPr>
        <w:spacing w:before="60" w:after="60" w:line="240" w:lineRule="auto"/>
        <w:ind w:right="-471"/>
        <w:jc w:val="both"/>
        <w:rPr>
          <w:rFonts w:asciiTheme="majorHAnsi" w:hAnsiTheme="majorHAnsi" w:cstheme="majorHAnsi"/>
          <w:color w:val="auto"/>
          <w:sz w:val="24"/>
          <w:szCs w:val="24"/>
        </w:rPr>
      </w:pPr>
      <w:r w:rsidRPr="00C1093A">
        <w:rPr>
          <w:rFonts w:asciiTheme="majorHAnsi" w:hAnsiTheme="majorHAnsi" w:cstheme="majorHAnsi"/>
          <w:color w:val="auto"/>
          <w:sz w:val="24"/>
          <w:szCs w:val="24"/>
        </w:rPr>
        <w:t>Pri razvoju Str</w:t>
      </w:r>
      <w:r w:rsidR="006966B6" w:rsidRPr="00C1093A">
        <w:rPr>
          <w:rFonts w:asciiTheme="majorHAnsi" w:hAnsiTheme="majorHAnsi" w:cstheme="majorHAnsi"/>
          <w:color w:val="auto"/>
          <w:sz w:val="24"/>
          <w:szCs w:val="24"/>
        </w:rPr>
        <w:t>a</w:t>
      </w:r>
      <w:r w:rsidRPr="00C1093A">
        <w:rPr>
          <w:rFonts w:asciiTheme="majorHAnsi" w:hAnsiTheme="majorHAnsi" w:cstheme="majorHAnsi"/>
          <w:color w:val="auto"/>
          <w:sz w:val="24"/>
          <w:szCs w:val="24"/>
        </w:rPr>
        <w:t>tegije 2022 – 2026</w:t>
      </w:r>
      <w:r w:rsidR="00C4082D" w:rsidRPr="00C1093A">
        <w:rPr>
          <w:rFonts w:asciiTheme="majorHAnsi" w:hAnsiTheme="majorHAnsi" w:cstheme="majorHAnsi"/>
          <w:color w:val="auto"/>
          <w:sz w:val="24"/>
          <w:szCs w:val="24"/>
        </w:rPr>
        <w:t>.</w:t>
      </w:r>
      <w:r w:rsidR="006344B9" w:rsidRPr="00C1093A">
        <w:rPr>
          <w:rFonts w:asciiTheme="majorHAnsi" w:hAnsiTheme="majorHAnsi" w:cstheme="majorHAnsi"/>
          <w:color w:val="auto"/>
          <w:sz w:val="24"/>
          <w:szCs w:val="24"/>
        </w:rPr>
        <w:t xml:space="preserve"> </w:t>
      </w:r>
      <w:r w:rsidRPr="00C1093A">
        <w:rPr>
          <w:rFonts w:asciiTheme="majorHAnsi" w:hAnsiTheme="majorHAnsi" w:cstheme="majorHAnsi"/>
          <w:color w:val="auto"/>
          <w:sz w:val="24"/>
          <w:szCs w:val="24"/>
        </w:rPr>
        <w:t>korišteni su nalazi i preporuke iz svih relevantnih dokumenata</w:t>
      </w:r>
      <w:r w:rsidR="006344B9" w:rsidRPr="00C1093A">
        <w:rPr>
          <w:rStyle w:val="FootnoteReference"/>
          <w:rFonts w:asciiTheme="majorHAnsi" w:hAnsiTheme="majorHAnsi" w:cstheme="majorHAnsi"/>
          <w:color w:val="auto"/>
          <w:sz w:val="24"/>
          <w:szCs w:val="24"/>
        </w:rPr>
        <w:footnoteReference w:id="8"/>
      </w:r>
      <w:r w:rsidR="006344B9" w:rsidRPr="00C1093A">
        <w:rPr>
          <w:rFonts w:asciiTheme="majorHAnsi" w:hAnsiTheme="majorHAnsi" w:cstheme="majorHAnsi"/>
          <w:color w:val="auto"/>
          <w:sz w:val="24"/>
          <w:szCs w:val="24"/>
        </w:rPr>
        <w:t xml:space="preserve"> - izvještaja, analiza i istraživanja razvijenih od strane državnih institucija, NVO organizacija i međunarodnih partnera.</w:t>
      </w:r>
    </w:p>
    <w:p w:rsidR="006344B9" w:rsidRPr="00C1093A" w:rsidRDefault="006344B9" w:rsidP="00C1093A">
      <w:pPr>
        <w:spacing w:before="60" w:after="60" w:line="240" w:lineRule="auto"/>
        <w:ind w:right="-475"/>
        <w:jc w:val="both"/>
        <w:rPr>
          <w:rFonts w:asciiTheme="majorHAnsi" w:hAnsiTheme="majorHAnsi" w:cstheme="majorHAnsi"/>
          <w:color w:val="auto"/>
          <w:sz w:val="24"/>
          <w:szCs w:val="24"/>
        </w:rPr>
      </w:pPr>
      <w:r w:rsidRPr="00C1093A">
        <w:rPr>
          <w:rFonts w:asciiTheme="majorHAnsi" w:hAnsiTheme="majorHAnsi" w:cstheme="majorHAnsi"/>
          <w:color w:val="auto"/>
          <w:sz w:val="24"/>
          <w:szCs w:val="24"/>
        </w:rPr>
        <w:t>Strategija 2022 – 2026</w:t>
      </w:r>
      <w:r w:rsidR="00C4082D" w:rsidRPr="00C1093A">
        <w:rPr>
          <w:rFonts w:asciiTheme="majorHAnsi" w:hAnsiTheme="majorHAnsi" w:cstheme="majorHAnsi"/>
          <w:color w:val="auto"/>
          <w:sz w:val="24"/>
          <w:szCs w:val="24"/>
        </w:rPr>
        <w:t>.</w:t>
      </w:r>
      <w:r w:rsidRPr="00C1093A">
        <w:rPr>
          <w:rFonts w:asciiTheme="majorHAnsi" w:hAnsiTheme="majorHAnsi" w:cstheme="majorHAnsi"/>
          <w:color w:val="auto"/>
          <w:sz w:val="24"/>
          <w:szCs w:val="24"/>
        </w:rPr>
        <w:t xml:space="preserve"> prati ključne ciljeve definisane Godišnjim programom rada Vlade, Programom pristupanja Crne Gore Evropskoj uniji 2021 – 2023, Programom predpristupne podrške IPA III, ciljevima </w:t>
      </w:r>
      <w:r w:rsidR="00A40C70" w:rsidRPr="00C1093A">
        <w:rPr>
          <w:rFonts w:asciiTheme="majorHAnsi" w:hAnsiTheme="majorHAnsi" w:cstheme="majorHAnsi"/>
          <w:color w:val="auto"/>
          <w:sz w:val="24"/>
          <w:szCs w:val="24"/>
        </w:rPr>
        <w:t>Slovenskog</w:t>
      </w:r>
      <w:r w:rsidRPr="00C1093A">
        <w:rPr>
          <w:rFonts w:asciiTheme="majorHAnsi" w:hAnsiTheme="majorHAnsi" w:cstheme="majorHAnsi"/>
          <w:color w:val="auto"/>
          <w:sz w:val="24"/>
          <w:szCs w:val="24"/>
        </w:rPr>
        <w:t xml:space="preserve"> predsjedništva </w:t>
      </w:r>
      <w:r w:rsidR="00A40C70" w:rsidRPr="00C1093A">
        <w:rPr>
          <w:rFonts w:asciiTheme="majorHAnsi" w:hAnsiTheme="majorHAnsi" w:cstheme="majorHAnsi"/>
          <w:color w:val="auto"/>
          <w:sz w:val="24"/>
          <w:szCs w:val="24"/>
        </w:rPr>
        <w:t>EU,</w:t>
      </w:r>
      <w:r w:rsidRPr="00C1093A">
        <w:rPr>
          <w:rFonts w:asciiTheme="majorHAnsi" w:hAnsiTheme="majorHAnsi" w:cstheme="majorHAnsi"/>
          <w:color w:val="auto"/>
          <w:sz w:val="24"/>
          <w:szCs w:val="24"/>
        </w:rPr>
        <w:t xml:space="preserve"> Zaključcima sastanka EU </w:t>
      </w:r>
      <w:r w:rsidR="006966B6" w:rsidRPr="00C1093A">
        <w:rPr>
          <w:rFonts w:asciiTheme="majorHAnsi" w:hAnsiTheme="majorHAnsi" w:cstheme="majorHAnsi"/>
          <w:color w:val="auto"/>
          <w:sz w:val="24"/>
          <w:szCs w:val="24"/>
        </w:rPr>
        <w:t xml:space="preserve">ministara </w:t>
      </w:r>
      <w:r w:rsidRPr="00C1093A">
        <w:rPr>
          <w:rFonts w:asciiTheme="majorHAnsi" w:hAnsiTheme="majorHAnsi" w:cstheme="majorHAnsi"/>
          <w:color w:val="auto"/>
          <w:sz w:val="24"/>
          <w:szCs w:val="24"/>
        </w:rPr>
        <w:t>javne uprave iz juna 2021. godine</w:t>
      </w:r>
      <w:r w:rsidR="00A40C70" w:rsidRPr="00C1093A">
        <w:rPr>
          <w:rFonts w:asciiTheme="majorHAnsi" w:hAnsiTheme="majorHAnsi" w:cstheme="majorHAnsi"/>
          <w:color w:val="auto"/>
          <w:sz w:val="24"/>
          <w:szCs w:val="24"/>
        </w:rPr>
        <w:t xml:space="preserve">, kao i SIGMA </w:t>
      </w:r>
      <w:r w:rsidR="001178A6" w:rsidRPr="00C1093A">
        <w:rPr>
          <w:rFonts w:asciiTheme="majorHAnsi" w:hAnsiTheme="majorHAnsi" w:cstheme="majorHAnsi"/>
          <w:color w:val="auto"/>
          <w:sz w:val="24"/>
          <w:szCs w:val="24"/>
        </w:rPr>
        <w:t>P</w:t>
      </w:r>
      <w:r w:rsidR="00A40C70" w:rsidRPr="00C1093A">
        <w:rPr>
          <w:rFonts w:asciiTheme="majorHAnsi" w:hAnsiTheme="majorHAnsi" w:cstheme="majorHAnsi"/>
          <w:color w:val="auto"/>
          <w:sz w:val="24"/>
          <w:szCs w:val="24"/>
        </w:rPr>
        <w:t>rincip</w:t>
      </w:r>
      <w:r w:rsidR="001178A6" w:rsidRPr="00C1093A">
        <w:rPr>
          <w:rFonts w:asciiTheme="majorHAnsi" w:hAnsiTheme="majorHAnsi" w:cstheme="majorHAnsi"/>
          <w:color w:val="auto"/>
          <w:sz w:val="24"/>
          <w:szCs w:val="24"/>
        </w:rPr>
        <w:t xml:space="preserve">ima </w:t>
      </w:r>
      <w:r w:rsidR="00A40C70" w:rsidRPr="00C1093A">
        <w:rPr>
          <w:rFonts w:asciiTheme="majorHAnsi" w:hAnsiTheme="majorHAnsi" w:cstheme="majorHAnsi"/>
          <w:color w:val="auto"/>
          <w:sz w:val="24"/>
          <w:szCs w:val="24"/>
        </w:rPr>
        <w:t>javne uprave</w:t>
      </w:r>
      <w:r w:rsidRPr="00C1093A">
        <w:rPr>
          <w:rFonts w:asciiTheme="majorHAnsi" w:hAnsiTheme="majorHAnsi" w:cstheme="majorHAnsi"/>
          <w:color w:val="auto"/>
          <w:sz w:val="24"/>
          <w:szCs w:val="24"/>
        </w:rPr>
        <w:t>.</w:t>
      </w:r>
    </w:p>
    <w:p w:rsidR="003465A2" w:rsidRPr="00C1093A" w:rsidRDefault="00A41725" w:rsidP="00C1093A">
      <w:pPr>
        <w:spacing w:before="60" w:after="60" w:line="240" w:lineRule="auto"/>
        <w:ind w:right="-475"/>
        <w:jc w:val="both"/>
        <w:rPr>
          <w:rFonts w:asciiTheme="majorHAnsi" w:hAnsiTheme="majorHAnsi" w:cstheme="majorHAnsi"/>
          <w:color w:val="auto"/>
          <w:sz w:val="24"/>
          <w:szCs w:val="24"/>
        </w:rPr>
      </w:pPr>
      <w:r w:rsidRPr="00C1093A">
        <w:rPr>
          <w:rFonts w:asciiTheme="majorHAnsi" w:hAnsiTheme="majorHAnsi" w:cstheme="majorHAnsi"/>
          <w:color w:val="auto"/>
          <w:sz w:val="24"/>
          <w:szCs w:val="24"/>
        </w:rPr>
        <w:t xml:space="preserve">Operacionalizacija Strategije RJU 2022 – 2026. će biti sprovedena kroz dva akciona plana, prvi </w:t>
      </w:r>
      <w:r w:rsidR="006966B6" w:rsidRPr="00C1093A">
        <w:rPr>
          <w:rFonts w:asciiTheme="majorHAnsi" w:hAnsiTheme="majorHAnsi" w:cstheme="majorHAnsi"/>
          <w:color w:val="auto"/>
          <w:sz w:val="24"/>
          <w:szCs w:val="24"/>
        </w:rPr>
        <w:t>tro</w:t>
      </w:r>
      <w:r w:rsidRPr="00C1093A">
        <w:rPr>
          <w:rFonts w:asciiTheme="majorHAnsi" w:hAnsiTheme="majorHAnsi" w:cstheme="majorHAnsi"/>
          <w:color w:val="auto"/>
          <w:sz w:val="24"/>
          <w:szCs w:val="24"/>
        </w:rPr>
        <w:t>godišnji za period 2022 – 202</w:t>
      </w:r>
      <w:r w:rsidR="006966B6" w:rsidRPr="00C1093A">
        <w:rPr>
          <w:rFonts w:asciiTheme="majorHAnsi" w:hAnsiTheme="majorHAnsi" w:cstheme="majorHAnsi"/>
          <w:color w:val="auto"/>
          <w:sz w:val="24"/>
          <w:szCs w:val="24"/>
        </w:rPr>
        <w:t>4</w:t>
      </w:r>
      <w:r w:rsidRPr="00C1093A">
        <w:rPr>
          <w:rFonts w:asciiTheme="majorHAnsi" w:hAnsiTheme="majorHAnsi" w:cstheme="majorHAnsi"/>
          <w:color w:val="auto"/>
          <w:sz w:val="24"/>
          <w:szCs w:val="24"/>
        </w:rPr>
        <w:t xml:space="preserve">. godina i drugi </w:t>
      </w:r>
      <w:r w:rsidR="006966B6" w:rsidRPr="00C1093A">
        <w:rPr>
          <w:rFonts w:asciiTheme="majorHAnsi" w:hAnsiTheme="majorHAnsi" w:cstheme="majorHAnsi"/>
          <w:color w:val="auto"/>
          <w:sz w:val="24"/>
          <w:szCs w:val="24"/>
        </w:rPr>
        <w:t>dvo</w:t>
      </w:r>
      <w:r w:rsidRPr="00C1093A">
        <w:rPr>
          <w:rFonts w:asciiTheme="majorHAnsi" w:hAnsiTheme="majorHAnsi" w:cstheme="majorHAnsi"/>
          <w:color w:val="auto"/>
          <w:sz w:val="24"/>
          <w:szCs w:val="24"/>
        </w:rPr>
        <w:t>godišnji, za period 202</w:t>
      </w:r>
      <w:r w:rsidR="006966B6" w:rsidRPr="00C1093A">
        <w:rPr>
          <w:rFonts w:asciiTheme="majorHAnsi" w:hAnsiTheme="majorHAnsi" w:cstheme="majorHAnsi"/>
          <w:color w:val="auto"/>
          <w:sz w:val="24"/>
          <w:szCs w:val="24"/>
        </w:rPr>
        <w:t>5</w:t>
      </w:r>
      <w:r w:rsidR="000949FE" w:rsidRPr="00C1093A">
        <w:rPr>
          <w:rFonts w:asciiTheme="majorHAnsi" w:hAnsiTheme="majorHAnsi" w:cstheme="majorHAnsi"/>
          <w:color w:val="auto"/>
          <w:sz w:val="24"/>
          <w:szCs w:val="24"/>
        </w:rPr>
        <w:t xml:space="preserve"> – 2026. godina. </w:t>
      </w:r>
    </w:p>
    <w:p w:rsidR="00732B79" w:rsidRPr="00C1093A" w:rsidRDefault="003F7888" w:rsidP="00C1093A">
      <w:pPr>
        <w:spacing w:before="120" w:after="120" w:line="240" w:lineRule="auto"/>
        <w:ind w:right="-475"/>
        <w:jc w:val="both"/>
        <w:rPr>
          <w:rFonts w:asciiTheme="majorHAnsi" w:hAnsiTheme="majorHAnsi" w:cstheme="majorHAnsi"/>
          <w:b/>
          <w:color w:val="auto"/>
          <w:sz w:val="24"/>
          <w:szCs w:val="24"/>
          <w:u w:val="single"/>
        </w:rPr>
      </w:pPr>
      <w:r w:rsidRPr="00C1093A">
        <w:rPr>
          <w:rFonts w:asciiTheme="majorHAnsi" w:hAnsiTheme="majorHAnsi" w:cstheme="majorHAnsi"/>
          <w:b/>
          <w:color w:val="auto"/>
          <w:sz w:val="24"/>
          <w:szCs w:val="24"/>
          <w:u w:val="single"/>
        </w:rPr>
        <w:t>Opseg strateškog dokumenta</w:t>
      </w:r>
    </w:p>
    <w:p w:rsidR="00156E08" w:rsidRPr="00C1093A" w:rsidRDefault="00895430" w:rsidP="00C1093A">
      <w:pPr>
        <w:spacing w:before="60" w:after="60" w:line="240" w:lineRule="auto"/>
        <w:ind w:right="-471"/>
        <w:jc w:val="both"/>
        <w:rPr>
          <w:rFonts w:asciiTheme="majorHAnsi" w:hAnsiTheme="majorHAnsi" w:cstheme="majorHAnsi"/>
          <w:color w:val="auto"/>
          <w:sz w:val="24"/>
          <w:szCs w:val="24"/>
        </w:rPr>
      </w:pPr>
      <w:r w:rsidRPr="00C1093A">
        <w:rPr>
          <w:rFonts w:asciiTheme="majorHAnsi" w:hAnsiTheme="majorHAnsi" w:cstheme="majorHAnsi"/>
          <w:color w:val="auto"/>
          <w:sz w:val="24"/>
          <w:szCs w:val="24"/>
        </w:rPr>
        <w:t xml:space="preserve">U odnosu na prioritete Vlade CG </w:t>
      </w:r>
      <w:r w:rsidR="004834AB" w:rsidRPr="00C1093A">
        <w:rPr>
          <w:rFonts w:asciiTheme="majorHAnsi" w:hAnsiTheme="majorHAnsi" w:cstheme="majorHAnsi"/>
          <w:color w:val="auto"/>
          <w:sz w:val="24"/>
          <w:szCs w:val="24"/>
        </w:rPr>
        <w:t>definisan je obuhvat</w:t>
      </w:r>
      <w:r w:rsidR="00AA5662" w:rsidRPr="00C1093A">
        <w:rPr>
          <w:rFonts w:asciiTheme="majorHAnsi" w:hAnsiTheme="majorHAnsi" w:cstheme="majorHAnsi"/>
          <w:color w:val="auto"/>
          <w:sz w:val="24"/>
          <w:szCs w:val="24"/>
        </w:rPr>
        <w:t xml:space="preserve"> Strategij</w:t>
      </w:r>
      <w:r w:rsidR="004834AB" w:rsidRPr="00C1093A">
        <w:rPr>
          <w:rFonts w:asciiTheme="majorHAnsi" w:hAnsiTheme="majorHAnsi" w:cstheme="majorHAnsi"/>
          <w:color w:val="auto"/>
          <w:sz w:val="24"/>
          <w:szCs w:val="24"/>
        </w:rPr>
        <w:t>e</w:t>
      </w:r>
      <w:r w:rsidR="00AA5662" w:rsidRPr="00C1093A">
        <w:rPr>
          <w:rFonts w:asciiTheme="majorHAnsi" w:hAnsiTheme="majorHAnsi" w:cstheme="majorHAnsi"/>
          <w:color w:val="auto"/>
          <w:sz w:val="24"/>
          <w:szCs w:val="24"/>
        </w:rPr>
        <w:t xml:space="preserve"> 2022 – 2026</w:t>
      </w:r>
      <w:r w:rsidRPr="00C1093A">
        <w:rPr>
          <w:rFonts w:asciiTheme="majorHAnsi" w:hAnsiTheme="majorHAnsi" w:cstheme="majorHAnsi"/>
          <w:color w:val="auto"/>
          <w:sz w:val="24"/>
          <w:szCs w:val="24"/>
        </w:rPr>
        <w:t>, i to</w:t>
      </w:r>
      <w:r w:rsidR="00156E08" w:rsidRPr="00C1093A">
        <w:rPr>
          <w:rFonts w:asciiTheme="majorHAnsi" w:hAnsiTheme="majorHAnsi" w:cstheme="majorHAnsi"/>
          <w:color w:val="auto"/>
          <w:sz w:val="24"/>
          <w:szCs w:val="24"/>
        </w:rPr>
        <w:t xml:space="preserve"> </w:t>
      </w:r>
      <w:r w:rsidR="00156E08" w:rsidRPr="00C1093A">
        <w:rPr>
          <w:rFonts w:asciiTheme="majorHAnsi" w:hAnsiTheme="majorHAnsi" w:cstheme="majorHAnsi"/>
          <w:b/>
          <w:color w:val="auto"/>
          <w:sz w:val="24"/>
          <w:szCs w:val="24"/>
        </w:rPr>
        <w:t>pod javnom upravom u ovom strateškom dokumentu podrazumijeva se</w:t>
      </w:r>
      <w:r w:rsidR="00156E08" w:rsidRPr="00C1093A">
        <w:rPr>
          <w:rFonts w:asciiTheme="majorHAnsi" w:hAnsiTheme="majorHAnsi" w:cstheme="majorHAnsi"/>
          <w:color w:val="auto"/>
          <w:sz w:val="24"/>
          <w:szCs w:val="24"/>
        </w:rPr>
        <w:t xml:space="preserve">: </w:t>
      </w:r>
    </w:p>
    <w:p w:rsidR="00156E08" w:rsidRPr="00C1093A" w:rsidRDefault="00156E08" w:rsidP="00B43D4E">
      <w:pPr>
        <w:pStyle w:val="ListParagraph"/>
        <w:numPr>
          <w:ilvl w:val="0"/>
          <w:numId w:val="45"/>
        </w:numPr>
        <w:spacing w:before="60" w:after="60" w:line="240" w:lineRule="auto"/>
        <w:ind w:right="-471"/>
        <w:contextualSpacing w:val="0"/>
        <w:jc w:val="both"/>
        <w:rPr>
          <w:rFonts w:asciiTheme="majorHAnsi" w:hAnsiTheme="majorHAnsi" w:cstheme="majorHAnsi"/>
          <w:color w:val="auto"/>
          <w:sz w:val="24"/>
          <w:szCs w:val="24"/>
        </w:rPr>
      </w:pPr>
      <w:r w:rsidRPr="00C1093A">
        <w:rPr>
          <w:rFonts w:asciiTheme="majorHAnsi" w:hAnsiTheme="majorHAnsi" w:cstheme="majorHAnsi"/>
          <w:color w:val="auto"/>
          <w:sz w:val="24"/>
          <w:szCs w:val="24"/>
        </w:rPr>
        <w:t>na centralnom nivou – organi državne uprave, pravna lica koja vrše javna ovlašćenja (fondovi, agencije i dr.) i javne ustanove,</w:t>
      </w:r>
    </w:p>
    <w:p w:rsidR="00156E08" w:rsidRPr="00C1093A" w:rsidRDefault="00156E08" w:rsidP="00B43D4E">
      <w:pPr>
        <w:pStyle w:val="ListParagraph"/>
        <w:numPr>
          <w:ilvl w:val="0"/>
          <w:numId w:val="45"/>
        </w:numPr>
        <w:spacing w:before="60" w:after="60" w:line="240" w:lineRule="auto"/>
        <w:ind w:right="-471"/>
        <w:contextualSpacing w:val="0"/>
        <w:jc w:val="both"/>
        <w:rPr>
          <w:rFonts w:asciiTheme="majorHAnsi" w:hAnsiTheme="majorHAnsi" w:cstheme="majorHAnsi"/>
          <w:color w:val="auto"/>
          <w:sz w:val="24"/>
          <w:szCs w:val="24"/>
        </w:rPr>
      </w:pPr>
      <w:r w:rsidRPr="00C1093A">
        <w:rPr>
          <w:rFonts w:asciiTheme="majorHAnsi" w:hAnsiTheme="majorHAnsi" w:cstheme="majorHAnsi"/>
          <w:color w:val="auto"/>
          <w:sz w:val="24"/>
          <w:szCs w:val="24"/>
        </w:rPr>
        <w:t>na lokalnom nivou – jedinice lokalne samouprave, organi lokalne uprave i ustanove.</w:t>
      </w:r>
      <w:r w:rsidRPr="00C1093A">
        <w:rPr>
          <w:rStyle w:val="FootnoteReference"/>
          <w:rFonts w:asciiTheme="majorHAnsi" w:hAnsiTheme="majorHAnsi" w:cstheme="majorHAnsi"/>
          <w:color w:val="auto"/>
          <w:sz w:val="24"/>
          <w:szCs w:val="24"/>
        </w:rPr>
        <w:footnoteReference w:id="9"/>
      </w:r>
    </w:p>
    <w:p w:rsidR="00156E08" w:rsidRPr="00C1093A" w:rsidRDefault="00156E08" w:rsidP="00C1093A">
      <w:pPr>
        <w:spacing w:before="60" w:after="60" w:line="240" w:lineRule="auto"/>
        <w:ind w:right="-471"/>
        <w:jc w:val="both"/>
        <w:rPr>
          <w:rFonts w:asciiTheme="majorHAnsi" w:hAnsiTheme="majorHAnsi" w:cstheme="majorHAnsi"/>
          <w:b/>
          <w:color w:val="auto"/>
          <w:sz w:val="24"/>
          <w:szCs w:val="24"/>
        </w:rPr>
      </w:pPr>
      <w:r w:rsidRPr="00C1093A">
        <w:rPr>
          <w:rFonts w:asciiTheme="majorHAnsi" w:hAnsiTheme="majorHAnsi" w:cstheme="majorHAnsi"/>
          <w:b/>
          <w:color w:val="auto"/>
          <w:sz w:val="24"/>
          <w:szCs w:val="24"/>
        </w:rPr>
        <w:t>Preduzeća u većinskom vlasništvu države i privredna društva nisu prepoznata kroz obuhvat ovog strateškog dokumenta.</w:t>
      </w:r>
      <w:r w:rsidRPr="00C1093A">
        <w:rPr>
          <w:rFonts w:asciiTheme="majorHAnsi" w:hAnsiTheme="majorHAnsi" w:cstheme="majorHAnsi"/>
          <w:color w:val="auto"/>
          <w:sz w:val="24"/>
          <w:szCs w:val="24"/>
        </w:rPr>
        <w:t xml:space="preserve"> Privredna društva na centralnom nivou su predmet nadzora rada posebno osnovanog privrednog društva </w:t>
      </w:r>
      <w:r w:rsidRPr="00C1093A">
        <w:rPr>
          <w:rFonts w:asciiTheme="majorHAnsi" w:hAnsiTheme="majorHAnsi" w:cstheme="majorHAnsi"/>
          <w:i/>
          <w:color w:val="auto"/>
          <w:sz w:val="24"/>
          <w:szCs w:val="24"/>
        </w:rPr>
        <w:t>„Montenegro Works</w:t>
      </w:r>
      <w:r w:rsidRPr="00C1093A">
        <w:rPr>
          <w:rFonts w:asciiTheme="majorHAnsi" w:hAnsiTheme="majorHAnsi" w:cstheme="majorHAnsi"/>
          <w:color w:val="auto"/>
          <w:sz w:val="24"/>
          <w:szCs w:val="24"/>
        </w:rPr>
        <w:t>“</w:t>
      </w:r>
      <w:r w:rsidRPr="00C1093A">
        <w:rPr>
          <w:rStyle w:val="FootnoteReference"/>
          <w:rFonts w:asciiTheme="majorHAnsi" w:hAnsiTheme="majorHAnsi" w:cstheme="majorHAnsi"/>
          <w:color w:val="auto"/>
          <w:sz w:val="24"/>
          <w:szCs w:val="24"/>
        </w:rPr>
        <w:footnoteReference w:id="10"/>
      </w:r>
      <w:r w:rsidRPr="00C1093A">
        <w:rPr>
          <w:rFonts w:asciiTheme="majorHAnsi" w:hAnsiTheme="majorHAnsi" w:cstheme="majorHAnsi"/>
          <w:color w:val="auto"/>
          <w:sz w:val="24"/>
          <w:szCs w:val="24"/>
        </w:rPr>
        <w:t xml:space="preserve"> od strane Ministarstva finansija i socijalnog staranja (MFSS), koje se bavi praćenjem i analizom finansijskog stanja u privrednim društvima u većinskom </w:t>
      </w:r>
      <w:r w:rsidRPr="00C1093A">
        <w:rPr>
          <w:rFonts w:asciiTheme="majorHAnsi" w:hAnsiTheme="majorHAnsi" w:cstheme="majorHAnsi"/>
          <w:color w:val="auto"/>
          <w:sz w:val="24"/>
          <w:szCs w:val="24"/>
        </w:rPr>
        <w:lastRenderedPageBreak/>
        <w:t xml:space="preserve">vlasništvu države i stručnom podrškom u sprovođenju reformi radi efikasnijeg upravljanja. Kako bi pristup ove reforme bio istovjetan na centralnom i lokalnom nivou, u </w:t>
      </w:r>
      <w:r w:rsidRPr="00C1093A">
        <w:rPr>
          <w:rFonts w:asciiTheme="majorHAnsi" w:hAnsiTheme="majorHAnsi" w:cstheme="majorHAnsi"/>
          <w:b/>
          <w:color w:val="auto"/>
          <w:sz w:val="24"/>
          <w:szCs w:val="24"/>
        </w:rPr>
        <w:t>opseg ovog dokumeta nisu uključena privredna društva koje osniva opština,</w:t>
      </w:r>
      <w:r w:rsidRPr="00C1093A">
        <w:rPr>
          <w:rFonts w:asciiTheme="majorHAnsi" w:hAnsiTheme="majorHAnsi" w:cstheme="majorHAnsi"/>
          <w:color w:val="auto"/>
          <w:sz w:val="24"/>
          <w:szCs w:val="24"/>
        </w:rPr>
        <w:t xml:space="preserve"> obzirom da se radi o društvima koja fukcionišu po tržišnim prinicipima, ostvaruju profit i nisu prepoznata kroz budžet jedinica lokalne samouprave, kao što je to slučaj sa javnim ustanovama.</w:t>
      </w:r>
    </w:p>
    <w:p w:rsidR="004C1858" w:rsidRPr="007E14C5" w:rsidRDefault="004C1858" w:rsidP="0067762A">
      <w:pPr>
        <w:spacing w:before="60" w:after="60" w:line="240" w:lineRule="auto"/>
        <w:ind w:right="-475"/>
        <w:jc w:val="both"/>
        <w:rPr>
          <w:rFonts w:asciiTheme="majorHAnsi" w:hAnsiTheme="majorHAnsi" w:cstheme="majorHAnsi"/>
          <w:color w:val="002060"/>
          <w:sz w:val="24"/>
          <w:szCs w:val="24"/>
        </w:rPr>
      </w:pPr>
    </w:p>
    <w:p w:rsidR="000A0D44" w:rsidRPr="007E14C5" w:rsidRDefault="004834AB" w:rsidP="0067762A">
      <w:pPr>
        <w:spacing w:before="60" w:after="60" w:line="240" w:lineRule="auto"/>
        <w:ind w:right="-475"/>
        <w:jc w:val="both"/>
        <w:rPr>
          <w:rFonts w:asciiTheme="majorHAnsi" w:hAnsiTheme="majorHAnsi" w:cstheme="majorHAnsi"/>
          <w:color w:val="002060"/>
          <w:sz w:val="24"/>
          <w:szCs w:val="24"/>
        </w:rPr>
      </w:pPr>
      <w:r w:rsidRPr="007E14C5">
        <w:rPr>
          <w:rFonts w:asciiTheme="majorHAnsi" w:hAnsiTheme="majorHAnsi" w:cstheme="majorHAnsi"/>
          <w:noProof/>
          <w:color w:val="002060"/>
          <w:sz w:val="24"/>
          <w:szCs w:val="24"/>
          <w:lang w:eastAsia="sr-Latn-RS"/>
        </w:rPr>
        <w:drawing>
          <wp:inline distT="0" distB="0" distL="0" distR="0" wp14:anchorId="05CB022B" wp14:editId="581ED581">
            <wp:extent cx="6229350" cy="2905125"/>
            <wp:effectExtent l="95250" t="19050" r="76200" b="66675"/>
            <wp:docPr id="249" name="Diagram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921085" w:rsidRPr="007E14C5" w:rsidRDefault="00921085" w:rsidP="00F174DB">
      <w:pPr>
        <w:spacing w:before="120" w:after="120" w:line="240" w:lineRule="auto"/>
        <w:ind w:right="-471"/>
        <w:jc w:val="both"/>
        <w:rPr>
          <w:rFonts w:asciiTheme="majorHAnsi" w:hAnsiTheme="majorHAnsi" w:cstheme="majorHAnsi"/>
          <w:b/>
          <w:color w:val="002060"/>
          <w:sz w:val="24"/>
          <w:szCs w:val="24"/>
        </w:rPr>
      </w:pPr>
    </w:p>
    <w:p w:rsidR="00F174DB" w:rsidRPr="00C1093A" w:rsidRDefault="00F174DB" w:rsidP="00C1093A">
      <w:pPr>
        <w:spacing w:before="120" w:after="120" w:line="240" w:lineRule="auto"/>
        <w:ind w:right="-475"/>
        <w:jc w:val="both"/>
        <w:rPr>
          <w:rFonts w:asciiTheme="majorHAnsi" w:hAnsiTheme="majorHAnsi" w:cstheme="majorHAnsi"/>
          <w:b/>
          <w:color w:val="auto"/>
          <w:sz w:val="24"/>
          <w:szCs w:val="24"/>
          <w:u w:val="single"/>
        </w:rPr>
      </w:pPr>
      <w:r w:rsidRPr="00C1093A">
        <w:rPr>
          <w:rFonts w:asciiTheme="majorHAnsi" w:hAnsiTheme="majorHAnsi" w:cstheme="majorHAnsi"/>
          <w:b/>
          <w:color w:val="auto"/>
          <w:sz w:val="24"/>
          <w:szCs w:val="24"/>
          <w:u w:val="single"/>
        </w:rPr>
        <w:t>Uskla</w:t>
      </w:r>
      <w:r w:rsidR="00B3591B" w:rsidRPr="00C1093A">
        <w:rPr>
          <w:rFonts w:asciiTheme="majorHAnsi" w:hAnsiTheme="majorHAnsi" w:cstheme="majorHAnsi"/>
          <w:b/>
          <w:color w:val="auto"/>
          <w:sz w:val="24"/>
          <w:szCs w:val="24"/>
          <w:u w:val="single"/>
        </w:rPr>
        <w:t xml:space="preserve">đenost sa </w:t>
      </w:r>
      <w:r w:rsidRPr="00C1093A">
        <w:rPr>
          <w:rFonts w:asciiTheme="majorHAnsi" w:hAnsiTheme="majorHAnsi" w:cstheme="majorHAnsi"/>
          <w:b/>
          <w:color w:val="auto"/>
          <w:sz w:val="24"/>
          <w:szCs w:val="24"/>
          <w:u w:val="single"/>
        </w:rPr>
        <w:t>postojećim strateškim okvirom</w:t>
      </w:r>
    </w:p>
    <w:p w:rsidR="00F174DB" w:rsidRPr="00C1093A" w:rsidRDefault="00053AA6" w:rsidP="00C1093A">
      <w:pPr>
        <w:spacing w:before="60" w:after="60" w:line="240" w:lineRule="auto"/>
        <w:ind w:right="-471"/>
        <w:jc w:val="both"/>
        <w:rPr>
          <w:rFonts w:asciiTheme="majorHAnsi" w:hAnsiTheme="majorHAnsi" w:cstheme="majorHAnsi"/>
          <w:color w:val="auto"/>
          <w:sz w:val="24"/>
          <w:szCs w:val="24"/>
        </w:rPr>
      </w:pPr>
      <w:r w:rsidRPr="00C1093A">
        <w:rPr>
          <w:rFonts w:asciiTheme="majorHAnsi" w:hAnsiTheme="majorHAnsi" w:cstheme="majorHAnsi"/>
          <w:color w:val="auto"/>
          <w:sz w:val="24"/>
          <w:szCs w:val="24"/>
        </w:rPr>
        <w:t>P</w:t>
      </w:r>
      <w:r w:rsidR="00F174DB" w:rsidRPr="00C1093A">
        <w:rPr>
          <w:rFonts w:asciiTheme="majorHAnsi" w:hAnsiTheme="majorHAnsi" w:cstheme="majorHAnsi"/>
          <w:color w:val="auto"/>
          <w:sz w:val="24"/>
          <w:szCs w:val="24"/>
        </w:rPr>
        <w:t xml:space="preserve">rincip usklađenosti </w:t>
      </w:r>
      <w:r w:rsidRPr="00C1093A">
        <w:rPr>
          <w:rFonts w:asciiTheme="majorHAnsi" w:hAnsiTheme="majorHAnsi" w:cstheme="majorHAnsi"/>
          <w:color w:val="auto"/>
          <w:sz w:val="24"/>
          <w:szCs w:val="24"/>
        </w:rPr>
        <w:t>Strategije 2022-2026</w:t>
      </w:r>
      <w:r w:rsidR="00492F31" w:rsidRPr="00C1093A">
        <w:rPr>
          <w:rFonts w:asciiTheme="majorHAnsi" w:hAnsiTheme="majorHAnsi" w:cstheme="majorHAnsi"/>
          <w:color w:val="auto"/>
          <w:sz w:val="24"/>
          <w:szCs w:val="24"/>
        </w:rPr>
        <w:t>.</w:t>
      </w:r>
      <w:r w:rsidRPr="00C1093A">
        <w:rPr>
          <w:rFonts w:asciiTheme="majorHAnsi" w:hAnsiTheme="majorHAnsi" w:cstheme="majorHAnsi"/>
          <w:color w:val="auto"/>
          <w:sz w:val="24"/>
          <w:szCs w:val="24"/>
        </w:rPr>
        <w:t xml:space="preserve"> </w:t>
      </w:r>
      <w:r w:rsidR="00F174DB" w:rsidRPr="00C1093A">
        <w:rPr>
          <w:rFonts w:asciiTheme="majorHAnsi" w:hAnsiTheme="majorHAnsi" w:cstheme="majorHAnsi"/>
          <w:color w:val="auto"/>
          <w:sz w:val="24"/>
          <w:szCs w:val="24"/>
        </w:rPr>
        <w:t>je iskorišćen tokom planiranja politika, kako u odnosu na krovna strateška dokumenta, tako i u odnosu na srodne sektorske strategije, a posebno se vodilo računa o harmonizaciji sa međunarodnim dokumentima i obavezama iz područja EU integracija.</w:t>
      </w:r>
    </w:p>
    <w:p w:rsidR="00640E1D" w:rsidRPr="00C1093A" w:rsidRDefault="00895430" w:rsidP="00C1093A">
      <w:pPr>
        <w:spacing w:before="60" w:after="60" w:line="240" w:lineRule="auto"/>
        <w:ind w:right="-471"/>
        <w:jc w:val="both"/>
        <w:rPr>
          <w:rFonts w:asciiTheme="majorHAnsi" w:hAnsiTheme="majorHAnsi" w:cstheme="majorHAnsi"/>
          <w:color w:val="auto"/>
          <w:sz w:val="24"/>
          <w:szCs w:val="24"/>
        </w:rPr>
        <w:sectPr w:rsidR="00640E1D" w:rsidRPr="00C1093A" w:rsidSect="00BB620B">
          <w:headerReference w:type="default" r:id="rId16"/>
          <w:footerReference w:type="default" r:id="rId17"/>
          <w:pgSz w:w="12240" w:h="15840" w:code="1"/>
          <w:pgMar w:top="1714" w:right="1170" w:bottom="1620" w:left="1260" w:header="864" w:footer="720" w:gutter="0"/>
          <w:pgNumType w:start="1"/>
          <w:cols w:space="720"/>
          <w:docGrid w:linePitch="360"/>
        </w:sectPr>
      </w:pPr>
      <w:r w:rsidRPr="00C1093A">
        <w:rPr>
          <w:rFonts w:asciiTheme="majorHAnsi" w:hAnsiTheme="majorHAnsi" w:cstheme="majorHAnsi"/>
          <w:b/>
          <w:color w:val="auto"/>
          <w:sz w:val="24"/>
          <w:szCs w:val="24"/>
        </w:rPr>
        <w:t>Vertikalna harmonizacija</w:t>
      </w:r>
      <w:r w:rsidRPr="00C1093A">
        <w:rPr>
          <w:rFonts w:asciiTheme="majorHAnsi" w:hAnsiTheme="majorHAnsi" w:cstheme="majorHAnsi"/>
          <w:color w:val="auto"/>
          <w:sz w:val="24"/>
          <w:szCs w:val="24"/>
        </w:rPr>
        <w:t xml:space="preserve"> u odnosu na </w:t>
      </w:r>
      <w:r w:rsidR="00542FE7" w:rsidRPr="00C1093A">
        <w:rPr>
          <w:rFonts w:asciiTheme="majorHAnsi" w:hAnsiTheme="majorHAnsi" w:cstheme="majorHAnsi"/>
          <w:color w:val="auto"/>
          <w:sz w:val="24"/>
          <w:szCs w:val="24"/>
        </w:rPr>
        <w:t xml:space="preserve">međunarodna i </w:t>
      </w:r>
      <w:r w:rsidR="00940C13" w:rsidRPr="00C1093A">
        <w:rPr>
          <w:rFonts w:asciiTheme="majorHAnsi" w:hAnsiTheme="majorHAnsi" w:cstheme="majorHAnsi"/>
          <w:color w:val="auto"/>
          <w:sz w:val="24"/>
          <w:szCs w:val="24"/>
        </w:rPr>
        <w:t>krovna strateška</w:t>
      </w:r>
      <w:r w:rsidRPr="00C1093A">
        <w:rPr>
          <w:rFonts w:asciiTheme="majorHAnsi" w:hAnsiTheme="majorHAnsi" w:cstheme="majorHAnsi"/>
          <w:color w:val="auto"/>
          <w:sz w:val="24"/>
          <w:szCs w:val="24"/>
        </w:rPr>
        <w:t xml:space="preserve"> dokumenta i njihove prioriteti su dati kroz sledeći grafički prikaz, </w:t>
      </w:r>
      <w:r w:rsidRPr="00C1093A">
        <w:rPr>
          <w:rFonts w:asciiTheme="majorHAnsi" w:hAnsiTheme="majorHAnsi" w:cstheme="majorHAnsi"/>
          <w:b/>
          <w:color w:val="auto"/>
          <w:sz w:val="24"/>
          <w:szCs w:val="24"/>
        </w:rPr>
        <w:t>izdvajajući komplementarne oblasti ovih dokumenata sa Str</w:t>
      </w:r>
      <w:r w:rsidR="00375C5C" w:rsidRPr="00C1093A">
        <w:rPr>
          <w:rFonts w:asciiTheme="majorHAnsi" w:hAnsiTheme="majorHAnsi" w:cstheme="majorHAnsi"/>
          <w:b/>
          <w:color w:val="auto"/>
          <w:sz w:val="24"/>
          <w:szCs w:val="24"/>
        </w:rPr>
        <w:t>a</w:t>
      </w:r>
      <w:r w:rsidRPr="00C1093A">
        <w:rPr>
          <w:rFonts w:asciiTheme="majorHAnsi" w:hAnsiTheme="majorHAnsi" w:cstheme="majorHAnsi"/>
          <w:b/>
          <w:color w:val="auto"/>
          <w:sz w:val="24"/>
          <w:szCs w:val="24"/>
        </w:rPr>
        <w:t>tegijom RJU 2022-2026</w:t>
      </w:r>
      <w:r w:rsidRPr="00C1093A">
        <w:rPr>
          <w:rFonts w:asciiTheme="majorHAnsi" w:hAnsiTheme="majorHAnsi" w:cstheme="majorHAnsi"/>
          <w:color w:val="auto"/>
          <w:sz w:val="24"/>
          <w:szCs w:val="24"/>
        </w:rPr>
        <w:t>:</w:t>
      </w:r>
    </w:p>
    <w:p w:rsidR="00757B31" w:rsidRPr="007E14C5" w:rsidRDefault="001D258A" w:rsidP="00757B31">
      <w:pPr>
        <w:ind w:left="-810" w:right="-810"/>
        <w:rPr>
          <w:rFonts w:asciiTheme="majorHAnsi" w:hAnsiTheme="majorHAnsi" w:cstheme="majorHAnsi"/>
          <w:color w:val="002060"/>
          <w:sz w:val="24"/>
          <w:szCs w:val="24"/>
        </w:rPr>
      </w:pPr>
      <w:r w:rsidRPr="007E14C5">
        <w:rPr>
          <w:rFonts w:asciiTheme="majorHAnsi" w:hAnsiTheme="majorHAnsi" w:cstheme="majorHAnsi"/>
          <w:noProof/>
          <w:color w:val="002060"/>
          <w:sz w:val="24"/>
          <w:szCs w:val="24"/>
          <w:lang w:eastAsia="sr-Latn-RS"/>
        </w:rPr>
        <w:lastRenderedPageBreak/>
        <mc:AlternateContent>
          <mc:Choice Requires="wps">
            <w:drawing>
              <wp:anchor distT="0" distB="0" distL="114300" distR="114300" simplePos="0" relativeHeight="251875328" behindDoc="0" locked="0" layoutInCell="1" allowOverlap="1" wp14:anchorId="31F1A44F" wp14:editId="1E393A80">
                <wp:simplePos x="0" y="0"/>
                <wp:positionH relativeFrom="column">
                  <wp:posOffset>-457200</wp:posOffset>
                </wp:positionH>
                <wp:positionV relativeFrom="paragraph">
                  <wp:posOffset>5316855</wp:posOffset>
                </wp:positionV>
                <wp:extent cx="8886825" cy="1400175"/>
                <wp:effectExtent l="57150" t="38100" r="85725" b="104775"/>
                <wp:wrapNone/>
                <wp:docPr id="242" name="Rounded Rectangle 242"/>
                <wp:cNvGraphicFramePr/>
                <a:graphic xmlns:a="http://schemas.openxmlformats.org/drawingml/2006/main">
                  <a:graphicData uri="http://schemas.microsoft.com/office/word/2010/wordprocessingShape">
                    <wps:wsp>
                      <wps:cNvSpPr/>
                      <wps:spPr>
                        <a:xfrm>
                          <a:off x="0" y="0"/>
                          <a:ext cx="8886825" cy="14001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F735BC" w:rsidRDefault="00F735BC" w:rsidP="007E14C5">
                            <w:pPr>
                              <w:jc w:val="center"/>
                            </w:pPr>
                            <w:r>
                              <w:rPr>
                                <w:rFonts w:asciiTheme="majorHAnsi" w:hAnsiTheme="majorHAnsi" w:cstheme="majorHAnsi"/>
                                <w:noProof/>
                                <w:sz w:val="18"/>
                                <w:szCs w:val="18"/>
                                <w:lang w:eastAsia="sr-Latn-RS"/>
                              </w:rPr>
                              <w:drawing>
                                <wp:inline distT="0" distB="0" distL="0" distR="0" wp14:anchorId="4CDFDC86" wp14:editId="431BDD5E">
                                  <wp:extent cx="8439150" cy="1095375"/>
                                  <wp:effectExtent l="57150" t="0" r="57150" b="666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1A44F" id="Rounded Rectangle 242" o:spid="_x0000_s1029" style="position:absolute;left:0;text-align:left;margin-left:-36pt;margin-top:418.65pt;width:699.75pt;height:110.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" fillcolor="#becbd6 [1620]" strokecolor="#748fa7 [3044]">
                <v:fill color2="#ebeff2 [500]" rotate="t" angle="180" colors="0 #bdd3ea;22938f #d1e0ef;1 #edf3fa" focus="100%" type="gradient"/>
                <v:shadow on="t" color="black" opacity="24903f" origin=",.5" offset="0,.55556mm"/>
                <v:textbox>
                  <w:txbxContent>
                    <w:p w:rsidR="00F735BC" w:rsidRDefault="00F735BC" w:rsidP="007E14C5">
                      <w:pPr>
                        <w:jc w:val="center"/>
                      </w:pPr>
                      <w:r>
                        <w:rPr>
                          <w:rFonts w:asciiTheme="majorHAnsi" w:hAnsiTheme="majorHAnsi" w:cstheme="majorHAnsi"/>
                          <w:noProof/>
                          <w:sz w:val="18"/>
                          <w:szCs w:val="18"/>
                          <w:lang w:eastAsia="sr-Latn-RS"/>
                        </w:rPr>
                        <w:drawing>
                          <wp:inline distT="0" distB="0" distL="0" distR="0" wp14:anchorId="4CDFDC86" wp14:editId="431BDD5E">
                            <wp:extent cx="8439150" cy="1095375"/>
                            <wp:effectExtent l="57150" t="0" r="57150" b="666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19" r:qs="rId20" r:cs="rId21"/>
                              </a:graphicData>
                            </a:graphic>
                          </wp:inline>
                        </w:drawing>
                      </w:r>
                    </w:p>
                  </w:txbxContent>
                </v:textbox>
              </v:roundrect>
            </w:pict>
          </mc:Fallback>
        </mc:AlternateContent>
      </w:r>
      <w:r w:rsidR="00757B31" w:rsidRPr="007E14C5">
        <w:rPr>
          <w:rFonts w:asciiTheme="majorHAnsi" w:hAnsiTheme="majorHAnsi" w:cstheme="majorHAnsi"/>
          <w:noProof/>
          <w:color w:val="002060"/>
          <w:sz w:val="24"/>
          <w:szCs w:val="24"/>
          <w:lang w:eastAsia="sr-Latn-RS"/>
        </w:rPr>
        <w:drawing>
          <wp:inline distT="0" distB="0" distL="0" distR="0" wp14:anchorId="14860523" wp14:editId="747FD1E0">
            <wp:extent cx="8943975" cy="5400675"/>
            <wp:effectExtent l="0" t="0" r="66675" b="952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57B31" w:rsidRPr="007E14C5" w:rsidRDefault="00757B31">
      <w:pPr>
        <w:rPr>
          <w:rFonts w:asciiTheme="majorHAnsi" w:hAnsiTheme="majorHAnsi" w:cstheme="majorHAnsi"/>
          <w:color w:val="002060"/>
          <w:sz w:val="24"/>
          <w:szCs w:val="24"/>
        </w:rPr>
        <w:sectPr w:rsidR="00757B31" w:rsidRPr="007E14C5" w:rsidSect="00BB620B">
          <w:type w:val="oddPage"/>
          <w:pgSz w:w="15840" w:h="12240" w:orient="landscape" w:code="1"/>
          <w:pgMar w:top="720" w:right="1714" w:bottom="450" w:left="1620" w:header="864" w:footer="720" w:gutter="0"/>
          <w:pgNumType w:start="1"/>
          <w:cols w:space="720"/>
          <w:docGrid w:linePitch="360"/>
        </w:sectPr>
      </w:pPr>
    </w:p>
    <w:p w:rsidR="00F174DB" w:rsidRPr="00445D3F" w:rsidRDefault="00F174DB" w:rsidP="00F174DB">
      <w:pPr>
        <w:spacing w:before="60" w:after="60" w:line="240" w:lineRule="auto"/>
        <w:ind w:right="-471"/>
        <w:jc w:val="both"/>
        <w:rPr>
          <w:rFonts w:asciiTheme="majorHAnsi" w:hAnsiTheme="majorHAnsi" w:cstheme="majorHAnsi"/>
          <w:color w:val="auto"/>
          <w:sz w:val="24"/>
          <w:szCs w:val="24"/>
        </w:rPr>
      </w:pPr>
      <w:r w:rsidRPr="00445D3F">
        <w:rPr>
          <w:rFonts w:asciiTheme="majorHAnsi" w:hAnsiTheme="majorHAnsi" w:cstheme="majorHAnsi"/>
          <w:color w:val="auto"/>
          <w:sz w:val="24"/>
          <w:szCs w:val="24"/>
        </w:rPr>
        <w:lastRenderedPageBreak/>
        <w:t xml:space="preserve">Grafički prikaz </w:t>
      </w:r>
      <w:r w:rsidR="00FB2D73" w:rsidRPr="00445D3F">
        <w:rPr>
          <w:rFonts w:asciiTheme="majorHAnsi" w:hAnsiTheme="majorHAnsi" w:cstheme="majorHAnsi"/>
          <w:b/>
          <w:color w:val="auto"/>
          <w:sz w:val="24"/>
          <w:szCs w:val="24"/>
        </w:rPr>
        <w:t>horizontalne usklađ</w:t>
      </w:r>
      <w:r w:rsidR="001C7B49" w:rsidRPr="00445D3F">
        <w:rPr>
          <w:rFonts w:asciiTheme="majorHAnsi" w:hAnsiTheme="majorHAnsi" w:cstheme="majorHAnsi"/>
          <w:b/>
          <w:color w:val="auto"/>
          <w:sz w:val="24"/>
          <w:szCs w:val="24"/>
        </w:rPr>
        <w:t>enosti</w:t>
      </w:r>
      <w:r w:rsidR="001C7B49" w:rsidRPr="00445D3F">
        <w:rPr>
          <w:rFonts w:asciiTheme="majorHAnsi" w:hAnsiTheme="majorHAnsi" w:cstheme="majorHAnsi"/>
          <w:color w:val="auto"/>
          <w:sz w:val="24"/>
          <w:szCs w:val="24"/>
        </w:rPr>
        <w:t xml:space="preserve"> je dat </w:t>
      </w:r>
      <w:r w:rsidR="00EC1E66" w:rsidRPr="00445D3F">
        <w:rPr>
          <w:rFonts w:asciiTheme="majorHAnsi" w:hAnsiTheme="majorHAnsi" w:cstheme="majorHAnsi"/>
          <w:color w:val="auto"/>
          <w:sz w:val="24"/>
          <w:szCs w:val="24"/>
        </w:rPr>
        <w:t>u nastavku</w:t>
      </w:r>
      <w:r w:rsidRPr="00445D3F">
        <w:rPr>
          <w:rFonts w:asciiTheme="majorHAnsi" w:hAnsiTheme="majorHAnsi" w:cstheme="majorHAnsi"/>
          <w:color w:val="auto"/>
          <w:sz w:val="24"/>
          <w:szCs w:val="24"/>
        </w:rPr>
        <w:t>:</w:t>
      </w:r>
    </w:p>
    <w:p w:rsidR="00F174DB" w:rsidRPr="007E14C5" w:rsidRDefault="00F174DB" w:rsidP="00F174DB">
      <w:pPr>
        <w:spacing w:before="60" w:after="60" w:line="240" w:lineRule="auto"/>
        <w:ind w:right="-471"/>
        <w:jc w:val="both"/>
        <w:rPr>
          <w:rFonts w:asciiTheme="majorHAnsi" w:hAnsiTheme="majorHAnsi" w:cstheme="majorHAnsi"/>
          <w:color w:val="002060"/>
          <w:sz w:val="24"/>
          <w:szCs w:val="24"/>
        </w:rPr>
      </w:pPr>
      <w:r w:rsidRPr="007E14C5">
        <w:rPr>
          <w:rFonts w:asciiTheme="majorHAnsi" w:hAnsiTheme="majorHAnsi" w:cstheme="majorHAnsi"/>
          <w:noProof/>
          <w:color w:val="002060"/>
          <w:sz w:val="24"/>
          <w:szCs w:val="24"/>
          <w:lang w:eastAsia="sr-Latn-RS"/>
        </w:rPr>
        <w:drawing>
          <wp:anchor distT="0" distB="0" distL="114300" distR="114300" simplePos="0" relativeHeight="251828224" behindDoc="1" locked="0" layoutInCell="1" allowOverlap="1" wp14:anchorId="66A3671F" wp14:editId="25B80E11">
            <wp:simplePos x="0" y="0"/>
            <wp:positionH relativeFrom="margin">
              <wp:posOffset>296799</wp:posOffset>
            </wp:positionH>
            <wp:positionV relativeFrom="paragraph">
              <wp:posOffset>381</wp:posOffset>
            </wp:positionV>
            <wp:extent cx="6473825" cy="3099435"/>
            <wp:effectExtent l="0" t="0" r="2234565" b="181610"/>
            <wp:wrapTight wrapText="bothSides">
              <wp:wrapPolygon edited="0">
                <wp:start x="541" y="0"/>
                <wp:lineTo x="406" y="5085"/>
                <wp:lineTo x="1082" y="9604"/>
                <wp:lineTo x="1082" y="11299"/>
                <wp:lineTo x="1894" y="14124"/>
                <wp:lineTo x="1353" y="14406"/>
                <wp:lineTo x="406" y="16384"/>
                <wp:lineTo x="406" y="21186"/>
                <wp:lineTo x="3381" y="23163"/>
                <wp:lineTo x="13661" y="24010"/>
                <wp:lineTo x="14337" y="24010"/>
                <wp:lineTo x="14743" y="23163"/>
                <wp:lineTo x="24616" y="21468"/>
                <wp:lineTo x="24887" y="20338"/>
                <wp:lineTo x="20559" y="18643"/>
                <wp:lineTo x="37330" y="16101"/>
                <wp:lineTo x="37330" y="14689"/>
                <wp:lineTo x="22587" y="14124"/>
                <wp:lineTo x="22723" y="11299"/>
                <wp:lineTo x="20423" y="9604"/>
                <wp:lineTo x="22858" y="9322"/>
                <wp:lineTo x="22858" y="8192"/>
                <wp:lineTo x="20423" y="5085"/>
                <wp:lineTo x="20694" y="1977"/>
                <wp:lineTo x="19612" y="1695"/>
                <wp:lineTo x="1353" y="0"/>
                <wp:lineTo x="541" y="0"/>
              </wp:wrapPolygon>
            </wp:wrapTight>
            <wp:docPr id="97" name="Diagram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Pr="007E14C5">
        <w:rPr>
          <w:rFonts w:asciiTheme="majorHAnsi" w:hAnsiTheme="majorHAnsi" w:cstheme="majorHAnsi"/>
          <w:noProof/>
          <w:color w:val="002060"/>
          <w:sz w:val="24"/>
          <w:szCs w:val="24"/>
          <w:lang w:eastAsia="sr-Latn-RS"/>
        </w:rPr>
        <mc:AlternateContent>
          <mc:Choice Requires="wps">
            <w:drawing>
              <wp:anchor distT="0" distB="0" distL="114300" distR="114300" simplePos="0" relativeHeight="251829248" behindDoc="0" locked="0" layoutInCell="1" allowOverlap="1" wp14:anchorId="21007B0B" wp14:editId="2A7D18CF">
                <wp:simplePos x="0" y="0"/>
                <wp:positionH relativeFrom="column">
                  <wp:posOffset>-1361121</wp:posOffset>
                </wp:positionH>
                <wp:positionV relativeFrom="paragraph">
                  <wp:posOffset>1434148</wp:posOffset>
                </wp:positionV>
                <wp:extent cx="2910840" cy="777875"/>
                <wp:effectExtent l="0" t="0" r="3493" b="0"/>
                <wp:wrapNone/>
                <wp:docPr id="90" name="Text Box 90"/>
                <wp:cNvGraphicFramePr/>
                <a:graphic xmlns:a="http://schemas.openxmlformats.org/drawingml/2006/main">
                  <a:graphicData uri="http://schemas.microsoft.com/office/word/2010/wordprocessingShape">
                    <wps:wsp>
                      <wps:cNvSpPr txBox="1"/>
                      <wps:spPr>
                        <a:xfrm rot="16200000">
                          <a:off x="0" y="0"/>
                          <a:ext cx="2910840" cy="777875"/>
                        </a:xfrm>
                        <a:prstGeom prst="rect">
                          <a:avLst/>
                        </a:prstGeom>
                        <a:noFill/>
                        <a:ln>
                          <a:noFill/>
                        </a:ln>
                      </wps:spPr>
                      <wps:txbx>
                        <w:txbxContent>
                          <w:p w:rsidR="00F735BC" w:rsidRPr="00691CC7" w:rsidRDefault="00F735BC" w:rsidP="00F174DB">
                            <w:pPr>
                              <w:spacing w:before="60" w:after="60" w:line="240" w:lineRule="auto"/>
                              <w:jc w:val="center"/>
                              <w:rPr>
                                <w:rFonts w:asciiTheme="majorHAnsi" w:hAnsiTheme="majorHAnsi" w:cstheme="majorHAnsi"/>
                                <w:b/>
                                <w:noProof/>
                                <w:color w:val="FFC000"/>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pPr>
                            <w:r w:rsidRPr="00691CC7">
                              <w:rPr>
                                <w:rFonts w:asciiTheme="majorHAnsi" w:hAnsiTheme="majorHAnsi" w:cstheme="majorHAnsi"/>
                                <w:b/>
                                <w:noProof/>
                                <w:color w:val="FFC000"/>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t>STRATEGIJA REFORME JAVNE UPRAVE 2022-2026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07B0B" id="Text Box 90" o:spid="_x0000_s1030" type="#_x0000_t202" style="position:absolute;left:0;text-align:left;margin-left:-107.15pt;margin-top:112.95pt;width:229.2pt;height:61.25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" filled="f" stroked="f">
                <v:textbox>
                  <w:txbxContent>
                    <w:p w:rsidR="00F735BC" w:rsidRPr="00691CC7" w:rsidRDefault="00F735BC" w:rsidP="00F174DB">
                      <w:pPr>
                        <w:spacing w:before="60" w:after="60" w:line="240" w:lineRule="auto"/>
                        <w:jc w:val="center"/>
                        <w:rPr>
                          <w:rFonts w:asciiTheme="majorHAnsi" w:hAnsiTheme="majorHAnsi" w:cstheme="majorHAnsi"/>
                          <w:b/>
                          <w:noProof/>
                          <w:color w:val="FFC000"/>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pPr>
                      <w:r w:rsidRPr="00691CC7">
                        <w:rPr>
                          <w:rFonts w:asciiTheme="majorHAnsi" w:hAnsiTheme="majorHAnsi" w:cstheme="majorHAnsi"/>
                          <w:b/>
                          <w:noProof/>
                          <w:color w:val="FFC000"/>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t>STRATEGIJA REFORME JAVNE UPRAVE 2022-2026</w:t>
                      </w:r>
                    </w:p>
                  </w:txbxContent>
                </v:textbox>
              </v:shape>
            </w:pict>
          </mc:Fallback>
        </mc:AlternateContent>
      </w:r>
    </w:p>
    <w:p w:rsidR="00F174DB" w:rsidRPr="007E14C5" w:rsidRDefault="00940C13" w:rsidP="00F174DB">
      <w:pPr>
        <w:spacing w:before="60" w:after="60" w:line="240" w:lineRule="auto"/>
        <w:ind w:right="-471"/>
        <w:jc w:val="both"/>
        <w:rPr>
          <w:rFonts w:asciiTheme="majorHAnsi" w:hAnsiTheme="majorHAnsi" w:cstheme="majorHAnsi"/>
          <w:color w:val="002060"/>
          <w:sz w:val="24"/>
          <w:szCs w:val="24"/>
        </w:rPr>
      </w:pPr>
      <w:r w:rsidRPr="007E14C5">
        <w:rPr>
          <w:rFonts w:asciiTheme="majorHAnsi" w:hAnsiTheme="majorHAnsi" w:cstheme="majorHAnsi"/>
          <w:noProof/>
          <w:color w:val="002060"/>
          <w:sz w:val="24"/>
          <w:szCs w:val="24"/>
          <w:lang w:eastAsia="sr-Latn-RS"/>
        </w:rPr>
        <mc:AlternateContent>
          <mc:Choice Requires="wps">
            <w:drawing>
              <wp:anchor distT="45720" distB="45720" distL="114300" distR="114300" simplePos="0" relativeHeight="251830272" behindDoc="0" locked="0" layoutInCell="1" allowOverlap="1" wp14:anchorId="1C2D7F70" wp14:editId="187EB50C">
                <wp:simplePos x="0" y="0"/>
                <wp:positionH relativeFrom="column">
                  <wp:posOffset>564663</wp:posOffset>
                </wp:positionH>
                <wp:positionV relativeFrom="paragraph">
                  <wp:posOffset>123972</wp:posOffset>
                </wp:positionV>
                <wp:extent cx="813435" cy="535305"/>
                <wp:effectExtent l="0" t="0" r="24765" b="17145"/>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535305"/>
                        </a:xfrm>
                        <a:prstGeom prst="rect">
                          <a:avLst/>
                        </a:prstGeom>
                        <a:solidFill>
                          <a:srgbClr val="FFFFFF"/>
                        </a:solidFill>
                        <a:ln w="9525">
                          <a:solidFill>
                            <a:srgbClr val="FFFFFF"/>
                          </a:solidFill>
                          <a:miter lim="800000"/>
                          <a:headEnd/>
                          <a:tailEnd/>
                        </a:ln>
                      </wps:spPr>
                      <wps:txbx>
                        <w:txbxContent>
                          <w:p w:rsidR="00F735BC" w:rsidRPr="00691CC7" w:rsidRDefault="00F735BC" w:rsidP="00F174DB">
                            <w:pPr>
                              <w:spacing w:before="0" w:after="0" w:line="240" w:lineRule="auto"/>
                            </w:pPr>
                            <w:r>
                              <w:t>Krovna strateška</w:t>
                            </w:r>
                            <w:r w:rsidRPr="00691CC7">
                              <w:t xml:space="preserve"> dokumenta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D7F70" id="Text Box 2" o:spid="_x0000_s1031" type="#_x0000_t202" style="position:absolute;left:0;text-align:left;margin-left:44.45pt;margin-top:9.75pt;width:64.05pt;height:42.1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" strokecolor="white">
                <v:textbox>
                  <w:txbxContent>
                    <w:p w:rsidR="00F735BC" w:rsidRPr="00691CC7" w:rsidRDefault="00F735BC" w:rsidP="00F174DB">
                      <w:pPr>
                        <w:spacing w:before="0" w:after="0" w:line="240" w:lineRule="auto"/>
                      </w:pPr>
                      <w:r>
                        <w:t>Krovna strateška</w:t>
                      </w:r>
                      <w:r w:rsidRPr="00691CC7">
                        <w:t xml:space="preserve"> dokumenta</w:t>
                      </w:r>
                    </w:p>
                  </w:txbxContent>
                </v:textbox>
                <w10:wrap type="square"/>
              </v:shape>
            </w:pict>
          </mc:Fallback>
        </mc:AlternateContent>
      </w:r>
    </w:p>
    <w:p w:rsidR="00F174DB" w:rsidRPr="007E14C5" w:rsidRDefault="00F174DB" w:rsidP="00F174DB">
      <w:pPr>
        <w:spacing w:before="60" w:after="60" w:line="240" w:lineRule="auto"/>
        <w:ind w:right="-471"/>
        <w:jc w:val="both"/>
        <w:rPr>
          <w:rFonts w:asciiTheme="majorHAnsi" w:hAnsiTheme="majorHAnsi" w:cstheme="majorHAnsi"/>
          <w:color w:val="002060"/>
          <w:sz w:val="24"/>
          <w:szCs w:val="24"/>
        </w:rPr>
      </w:pPr>
    </w:p>
    <w:p w:rsidR="00F174DB" w:rsidRPr="007E14C5" w:rsidRDefault="00F174DB" w:rsidP="00F174DB">
      <w:pPr>
        <w:spacing w:before="60" w:after="60" w:line="240" w:lineRule="auto"/>
        <w:ind w:right="-471"/>
        <w:jc w:val="both"/>
        <w:rPr>
          <w:rFonts w:asciiTheme="majorHAnsi" w:hAnsiTheme="majorHAnsi" w:cstheme="majorHAnsi"/>
          <w:color w:val="002060"/>
          <w:sz w:val="24"/>
          <w:szCs w:val="24"/>
        </w:rPr>
      </w:pPr>
    </w:p>
    <w:p w:rsidR="00F174DB" w:rsidRPr="007E14C5" w:rsidRDefault="00F174DB" w:rsidP="00F174DB">
      <w:pPr>
        <w:spacing w:before="60" w:after="60" w:line="240" w:lineRule="auto"/>
        <w:ind w:right="-471"/>
        <w:jc w:val="both"/>
        <w:rPr>
          <w:rFonts w:asciiTheme="majorHAnsi" w:hAnsiTheme="majorHAnsi" w:cstheme="majorHAnsi"/>
          <w:color w:val="002060"/>
          <w:sz w:val="24"/>
          <w:szCs w:val="24"/>
        </w:rPr>
      </w:pPr>
    </w:p>
    <w:p w:rsidR="00F174DB" w:rsidRPr="007E14C5" w:rsidRDefault="00F174DB" w:rsidP="00F174DB">
      <w:pPr>
        <w:spacing w:before="60" w:after="60" w:line="240" w:lineRule="auto"/>
        <w:ind w:right="-471"/>
        <w:jc w:val="both"/>
        <w:rPr>
          <w:rFonts w:asciiTheme="majorHAnsi" w:hAnsiTheme="majorHAnsi" w:cstheme="majorHAnsi"/>
          <w:color w:val="002060"/>
          <w:sz w:val="24"/>
          <w:szCs w:val="24"/>
        </w:rPr>
      </w:pPr>
    </w:p>
    <w:p w:rsidR="00F174DB" w:rsidRPr="007E14C5" w:rsidRDefault="00DB6B09" w:rsidP="00F174DB">
      <w:pPr>
        <w:spacing w:before="60" w:after="60" w:line="240" w:lineRule="auto"/>
        <w:ind w:right="-471"/>
        <w:jc w:val="both"/>
        <w:rPr>
          <w:rFonts w:asciiTheme="majorHAnsi" w:hAnsiTheme="majorHAnsi" w:cstheme="majorHAnsi"/>
          <w:color w:val="002060"/>
          <w:sz w:val="24"/>
          <w:szCs w:val="24"/>
        </w:rPr>
      </w:pPr>
      <w:r w:rsidRPr="007E14C5">
        <w:rPr>
          <w:rFonts w:asciiTheme="majorHAnsi" w:hAnsiTheme="majorHAnsi" w:cstheme="majorHAnsi"/>
          <w:noProof/>
          <w:color w:val="002060"/>
          <w:sz w:val="24"/>
          <w:szCs w:val="24"/>
          <w:lang w:eastAsia="sr-Latn-RS"/>
        </w:rPr>
        <mc:AlternateContent>
          <mc:Choice Requires="wps">
            <w:drawing>
              <wp:anchor distT="45720" distB="45720" distL="114300" distR="114300" simplePos="0" relativeHeight="251831296" behindDoc="0" locked="0" layoutInCell="1" allowOverlap="1" wp14:anchorId="4FF43A2A" wp14:editId="67684EEC">
                <wp:simplePos x="0" y="0"/>
                <wp:positionH relativeFrom="column">
                  <wp:posOffset>807070</wp:posOffset>
                </wp:positionH>
                <wp:positionV relativeFrom="paragraph">
                  <wp:posOffset>5715</wp:posOffset>
                </wp:positionV>
                <wp:extent cx="754380" cy="441960"/>
                <wp:effectExtent l="0" t="0" r="26670" b="1524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441960"/>
                        </a:xfrm>
                        <a:prstGeom prst="rect">
                          <a:avLst/>
                        </a:prstGeom>
                        <a:solidFill>
                          <a:srgbClr val="FFFFFF"/>
                        </a:solidFill>
                        <a:ln w="9525">
                          <a:solidFill>
                            <a:srgbClr val="FFFFFF"/>
                          </a:solidFill>
                          <a:miter lim="800000"/>
                          <a:headEnd/>
                          <a:tailEnd/>
                        </a:ln>
                      </wps:spPr>
                      <wps:txbx>
                        <w:txbxContent>
                          <w:p w:rsidR="00F735BC" w:rsidRPr="00691CC7" w:rsidRDefault="00F735BC" w:rsidP="00F174DB">
                            <w:pPr>
                              <w:spacing w:before="0" w:after="0" w:line="240" w:lineRule="auto"/>
                            </w:pPr>
                            <w:r>
                              <w:t>Sektorske strategije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43A2A" id="_x0000_s1032" type="#_x0000_t202" style="position:absolute;left:0;text-align:left;margin-left:63.55pt;margin-top:.45pt;width:59.4pt;height:34.8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" strokecolor="white">
                <v:textbox>
                  <w:txbxContent>
                    <w:p w:rsidR="00F735BC" w:rsidRPr="00691CC7" w:rsidRDefault="00F735BC" w:rsidP="00F174DB">
                      <w:pPr>
                        <w:spacing w:before="0" w:after="0" w:line="240" w:lineRule="auto"/>
                      </w:pPr>
                      <w:r>
                        <w:t>Sektorske strategije</w:t>
                      </w:r>
                    </w:p>
                  </w:txbxContent>
                </v:textbox>
                <w10:wrap type="square"/>
              </v:shape>
            </w:pict>
          </mc:Fallback>
        </mc:AlternateContent>
      </w:r>
    </w:p>
    <w:p w:rsidR="00F174DB" w:rsidRPr="007E14C5" w:rsidRDefault="00F174DB" w:rsidP="00F174DB">
      <w:pPr>
        <w:spacing w:before="60" w:after="60" w:line="240" w:lineRule="auto"/>
        <w:ind w:right="-471"/>
        <w:jc w:val="both"/>
        <w:rPr>
          <w:rFonts w:asciiTheme="majorHAnsi" w:hAnsiTheme="majorHAnsi" w:cstheme="majorHAnsi"/>
          <w:color w:val="002060"/>
          <w:sz w:val="24"/>
          <w:szCs w:val="24"/>
        </w:rPr>
      </w:pPr>
    </w:p>
    <w:p w:rsidR="00F174DB" w:rsidRPr="007E14C5" w:rsidRDefault="00F174DB" w:rsidP="00F174DB">
      <w:pPr>
        <w:spacing w:before="60" w:after="60" w:line="240" w:lineRule="auto"/>
        <w:ind w:right="-471"/>
        <w:jc w:val="both"/>
        <w:rPr>
          <w:rFonts w:asciiTheme="majorHAnsi" w:hAnsiTheme="majorHAnsi" w:cstheme="majorHAnsi"/>
          <w:color w:val="002060"/>
          <w:sz w:val="24"/>
          <w:szCs w:val="24"/>
        </w:rPr>
      </w:pPr>
    </w:p>
    <w:p w:rsidR="00F174DB" w:rsidRPr="007E14C5" w:rsidRDefault="00F174DB" w:rsidP="00F174DB">
      <w:pPr>
        <w:spacing w:before="60" w:after="60" w:line="240" w:lineRule="auto"/>
        <w:ind w:right="-471"/>
        <w:jc w:val="both"/>
        <w:rPr>
          <w:rFonts w:asciiTheme="majorHAnsi" w:hAnsiTheme="majorHAnsi" w:cstheme="majorHAnsi"/>
          <w:color w:val="002060"/>
          <w:sz w:val="24"/>
          <w:szCs w:val="24"/>
        </w:rPr>
      </w:pPr>
    </w:p>
    <w:p w:rsidR="00F174DB" w:rsidRPr="007E14C5" w:rsidRDefault="000949FE" w:rsidP="00F174DB">
      <w:pPr>
        <w:spacing w:before="60" w:after="60" w:line="240" w:lineRule="auto"/>
        <w:ind w:right="-471"/>
        <w:jc w:val="both"/>
        <w:rPr>
          <w:rFonts w:asciiTheme="majorHAnsi" w:hAnsiTheme="majorHAnsi" w:cstheme="majorHAnsi"/>
          <w:color w:val="002060"/>
          <w:sz w:val="24"/>
          <w:szCs w:val="24"/>
        </w:rPr>
      </w:pPr>
      <w:r w:rsidRPr="007E14C5">
        <w:rPr>
          <w:rFonts w:asciiTheme="majorHAnsi" w:hAnsiTheme="majorHAnsi" w:cstheme="majorHAnsi"/>
          <w:noProof/>
          <w:color w:val="002060"/>
          <w:sz w:val="24"/>
          <w:szCs w:val="24"/>
          <w:lang w:eastAsia="sr-Latn-RS"/>
        </w:rPr>
        <mc:AlternateContent>
          <mc:Choice Requires="wps">
            <w:drawing>
              <wp:anchor distT="45720" distB="45720" distL="114300" distR="114300" simplePos="0" relativeHeight="251832320" behindDoc="0" locked="0" layoutInCell="1" allowOverlap="1" wp14:anchorId="27A8A2A1" wp14:editId="0B73CDBD">
                <wp:simplePos x="0" y="0"/>
                <wp:positionH relativeFrom="column">
                  <wp:posOffset>577380</wp:posOffset>
                </wp:positionH>
                <wp:positionV relativeFrom="paragraph">
                  <wp:posOffset>2430</wp:posOffset>
                </wp:positionV>
                <wp:extent cx="815340" cy="434340"/>
                <wp:effectExtent l="0" t="0" r="22860" b="2286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434340"/>
                        </a:xfrm>
                        <a:prstGeom prst="rect">
                          <a:avLst/>
                        </a:prstGeom>
                        <a:solidFill>
                          <a:srgbClr val="FFFFFF"/>
                        </a:solidFill>
                        <a:ln w="9525">
                          <a:solidFill>
                            <a:srgbClr val="FFFFFF"/>
                          </a:solidFill>
                          <a:miter lim="800000"/>
                          <a:headEnd/>
                          <a:tailEnd/>
                        </a:ln>
                      </wps:spPr>
                      <wps:txbx>
                        <w:txbxContent>
                          <w:p w:rsidR="00F735BC" w:rsidRPr="00691CC7" w:rsidRDefault="00F735BC" w:rsidP="00F174DB">
                            <w:pPr>
                              <w:spacing w:before="0" w:after="0" w:line="240" w:lineRule="auto"/>
                            </w:pPr>
                            <w:r>
                              <w:t>Medjunaro.dokumenta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8A2A1" id="_x0000_s1033" type="#_x0000_t202" style="position:absolute;left:0;text-align:left;margin-left:45.45pt;margin-top:.2pt;width:64.2pt;height:34.2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" strokecolor="white">
                <v:textbox>
                  <w:txbxContent>
                    <w:p w:rsidR="00F735BC" w:rsidRPr="00691CC7" w:rsidRDefault="00F735BC" w:rsidP="00F174DB">
                      <w:pPr>
                        <w:spacing w:before="0" w:after="0" w:line="240" w:lineRule="auto"/>
                      </w:pPr>
                      <w:r>
                        <w:t>Medjunaro.dokumenta</w:t>
                      </w:r>
                    </w:p>
                  </w:txbxContent>
                </v:textbox>
                <w10:wrap type="square"/>
              </v:shape>
            </w:pict>
          </mc:Fallback>
        </mc:AlternateContent>
      </w:r>
    </w:p>
    <w:p w:rsidR="00F174DB" w:rsidRPr="007E14C5" w:rsidRDefault="00F174DB" w:rsidP="00F174DB">
      <w:pPr>
        <w:spacing w:before="60" w:after="60" w:line="240" w:lineRule="auto"/>
        <w:ind w:right="-471"/>
        <w:jc w:val="both"/>
        <w:rPr>
          <w:rFonts w:asciiTheme="majorHAnsi" w:hAnsiTheme="majorHAnsi" w:cstheme="majorHAnsi"/>
          <w:color w:val="002060"/>
          <w:sz w:val="24"/>
          <w:szCs w:val="24"/>
        </w:rPr>
      </w:pPr>
    </w:p>
    <w:p w:rsidR="00F174DB" w:rsidRPr="007E14C5" w:rsidRDefault="00F174DB" w:rsidP="00F174DB">
      <w:pPr>
        <w:spacing w:before="60" w:after="60" w:line="240" w:lineRule="auto"/>
        <w:ind w:right="-471"/>
        <w:jc w:val="both"/>
        <w:rPr>
          <w:rFonts w:asciiTheme="majorHAnsi" w:hAnsiTheme="majorHAnsi" w:cstheme="majorHAnsi"/>
          <w:color w:val="002060"/>
          <w:sz w:val="24"/>
          <w:szCs w:val="24"/>
        </w:rPr>
      </w:pPr>
    </w:p>
    <w:p w:rsidR="00F174DB" w:rsidRPr="007E14C5" w:rsidRDefault="00F174DB" w:rsidP="00F174DB">
      <w:pPr>
        <w:spacing w:before="60" w:after="60" w:line="240" w:lineRule="auto"/>
        <w:ind w:right="-471"/>
        <w:jc w:val="both"/>
        <w:rPr>
          <w:rFonts w:asciiTheme="majorHAnsi" w:hAnsiTheme="majorHAnsi" w:cstheme="majorHAnsi"/>
          <w:color w:val="002060"/>
          <w:sz w:val="24"/>
          <w:szCs w:val="24"/>
        </w:rPr>
      </w:pPr>
    </w:p>
    <w:p w:rsidR="00F174DB" w:rsidRPr="007E14C5" w:rsidRDefault="00F174DB" w:rsidP="00F174DB">
      <w:pPr>
        <w:spacing w:before="60" w:after="60" w:line="240" w:lineRule="auto"/>
        <w:ind w:right="-471"/>
        <w:jc w:val="both"/>
        <w:rPr>
          <w:rFonts w:asciiTheme="majorHAnsi" w:hAnsiTheme="majorHAnsi" w:cstheme="majorHAnsi"/>
          <w:color w:val="002060"/>
          <w:sz w:val="24"/>
          <w:szCs w:val="24"/>
        </w:rPr>
      </w:pPr>
    </w:p>
    <w:p w:rsidR="007B237D" w:rsidRPr="00445D3F" w:rsidRDefault="007B237D" w:rsidP="00445D3F">
      <w:pPr>
        <w:spacing w:before="60" w:after="60" w:line="240" w:lineRule="auto"/>
        <w:ind w:right="-471"/>
        <w:jc w:val="both"/>
        <w:rPr>
          <w:rFonts w:asciiTheme="majorHAnsi" w:hAnsiTheme="majorHAnsi" w:cstheme="majorHAnsi"/>
          <w:color w:val="auto"/>
          <w:sz w:val="24"/>
          <w:szCs w:val="24"/>
        </w:rPr>
      </w:pPr>
      <w:r w:rsidRPr="00445D3F">
        <w:rPr>
          <w:rFonts w:asciiTheme="majorHAnsi" w:hAnsiTheme="majorHAnsi" w:cstheme="majorHAnsi"/>
          <w:color w:val="auto"/>
          <w:sz w:val="24"/>
          <w:szCs w:val="24"/>
        </w:rPr>
        <w:t xml:space="preserve">Sveobuhvatna reforma javne uprave, u skladu sa SIGMA principima i stavovima EK, posebno se tretira kroz dva strateška dokumenta – </w:t>
      </w:r>
      <w:r w:rsidRPr="00445D3F">
        <w:rPr>
          <w:rFonts w:asciiTheme="majorHAnsi" w:hAnsiTheme="majorHAnsi" w:cstheme="majorHAnsi"/>
          <w:b/>
          <w:color w:val="auto"/>
          <w:sz w:val="24"/>
          <w:szCs w:val="24"/>
        </w:rPr>
        <w:t>Strategiju reforme javne uprave i</w:t>
      </w:r>
      <w:r w:rsidRPr="00445D3F">
        <w:rPr>
          <w:rFonts w:asciiTheme="majorHAnsi" w:hAnsiTheme="majorHAnsi" w:cstheme="majorHAnsi"/>
          <w:color w:val="auto"/>
          <w:sz w:val="24"/>
          <w:szCs w:val="24"/>
        </w:rPr>
        <w:t xml:space="preserve"> </w:t>
      </w:r>
      <w:r w:rsidRPr="00445D3F">
        <w:rPr>
          <w:rFonts w:asciiTheme="majorHAnsi" w:hAnsiTheme="majorHAnsi" w:cstheme="majorHAnsi"/>
          <w:b/>
          <w:color w:val="auto"/>
          <w:sz w:val="24"/>
          <w:szCs w:val="24"/>
        </w:rPr>
        <w:t>Program reforme javnih finansija</w:t>
      </w:r>
      <w:r w:rsidRPr="00445D3F">
        <w:rPr>
          <w:rFonts w:asciiTheme="majorHAnsi" w:hAnsiTheme="majorHAnsi" w:cstheme="majorHAnsi"/>
          <w:color w:val="auto"/>
          <w:sz w:val="24"/>
          <w:szCs w:val="24"/>
        </w:rPr>
        <w:t>. Izrada oba dokumenta se razvijao kao paralelan, ali komplementaran proces za isti vremenski period 2022 – 2026. S tim u vezi, konstantna komunikacija je održavana sa Ministarstvom finansija i socijalnog staranja (MFSS), kako bi se razvile usklađene aktivnosti, koji su finalno i prikazane kroz oba strateška dokumenta. Nadalje, obzirom da je opseg Strategije 2022 – 2026</w:t>
      </w:r>
      <w:r w:rsidR="004132E3" w:rsidRPr="00445D3F">
        <w:rPr>
          <w:rFonts w:asciiTheme="majorHAnsi" w:hAnsiTheme="majorHAnsi" w:cstheme="majorHAnsi"/>
          <w:color w:val="auto"/>
          <w:sz w:val="24"/>
          <w:szCs w:val="24"/>
        </w:rPr>
        <w:t>.</w:t>
      </w:r>
      <w:r w:rsidRPr="00445D3F">
        <w:rPr>
          <w:rFonts w:asciiTheme="majorHAnsi" w:hAnsiTheme="majorHAnsi" w:cstheme="majorHAnsi"/>
          <w:color w:val="auto"/>
          <w:sz w:val="24"/>
          <w:szCs w:val="24"/>
        </w:rPr>
        <w:t xml:space="preserve"> širi u odnosu na prošlu strategiju, te uključuje i javne ustanove na koje se odnosi Zakon o radu, i Ministarstvo za ekonomski razvoj je bio konstantan partner timu za razvoj Strategije RJU, kao i dio radne grupe. </w:t>
      </w:r>
    </w:p>
    <w:p w:rsidR="007B237D" w:rsidRPr="00445D3F" w:rsidRDefault="007B237D" w:rsidP="00445D3F">
      <w:pPr>
        <w:spacing w:before="60" w:after="60" w:line="240" w:lineRule="auto"/>
        <w:ind w:right="-471"/>
        <w:jc w:val="both"/>
        <w:rPr>
          <w:rFonts w:asciiTheme="majorHAnsi" w:hAnsiTheme="majorHAnsi" w:cstheme="majorHAnsi"/>
          <w:color w:val="auto"/>
          <w:sz w:val="24"/>
          <w:szCs w:val="24"/>
        </w:rPr>
      </w:pPr>
      <w:r w:rsidRPr="00445D3F">
        <w:rPr>
          <w:rFonts w:asciiTheme="majorHAnsi" w:hAnsiTheme="majorHAnsi" w:cstheme="majorHAnsi"/>
          <w:color w:val="auto"/>
          <w:sz w:val="24"/>
          <w:szCs w:val="24"/>
        </w:rPr>
        <w:t xml:space="preserve">U istom vremenskom razdoblju razvoja Strategije RJU, osnovane su i Radne grupe za razvoj </w:t>
      </w:r>
      <w:r w:rsidR="00C174C8" w:rsidRPr="00445D3F">
        <w:rPr>
          <w:rFonts w:asciiTheme="majorHAnsi" w:hAnsiTheme="majorHAnsi" w:cstheme="majorHAnsi"/>
          <w:b/>
          <w:color w:val="auto"/>
          <w:sz w:val="24"/>
          <w:szCs w:val="24"/>
        </w:rPr>
        <w:t>Strategije</w:t>
      </w:r>
      <w:r w:rsidRPr="00445D3F">
        <w:rPr>
          <w:rFonts w:asciiTheme="majorHAnsi" w:hAnsiTheme="majorHAnsi" w:cstheme="majorHAnsi"/>
          <w:b/>
          <w:color w:val="auto"/>
          <w:sz w:val="24"/>
          <w:szCs w:val="24"/>
        </w:rPr>
        <w:t xml:space="preserve"> digitalne </w:t>
      </w:r>
      <w:r w:rsidR="00C174C8" w:rsidRPr="00445D3F">
        <w:rPr>
          <w:rFonts w:asciiTheme="majorHAnsi" w:hAnsiTheme="majorHAnsi" w:cstheme="majorHAnsi"/>
          <w:b/>
          <w:color w:val="auto"/>
          <w:sz w:val="24"/>
          <w:szCs w:val="24"/>
        </w:rPr>
        <w:t>transformacije, kao i Strategije</w:t>
      </w:r>
      <w:r w:rsidRPr="00445D3F">
        <w:rPr>
          <w:rFonts w:asciiTheme="majorHAnsi" w:hAnsiTheme="majorHAnsi" w:cstheme="majorHAnsi"/>
          <w:b/>
          <w:color w:val="auto"/>
          <w:sz w:val="24"/>
          <w:szCs w:val="24"/>
        </w:rPr>
        <w:t xml:space="preserve"> saradnje</w:t>
      </w:r>
      <w:r w:rsidRPr="00445D3F">
        <w:rPr>
          <w:rFonts w:asciiTheme="majorHAnsi" w:hAnsiTheme="majorHAnsi" w:cstheme="majorHAnsi"/>
          <w:color w:val="auto"/>
          <w:sz w:val="24"/>
          <w:szCs w:val="24"/>
        </w:rPr>
        <w:t xml:space="preserve"> </w:t>
      </w:r>
      <w:r w:rsidRPr="00445D3F">
        <w:rPr>
          <w:rFonts w:asciiTheme="majorHAnsi" w:hAnsiTheme="majorHAnsi" w:cstheme="majorHAnsi"/>
          <w:b/>
          <w:color w:val="auto"/>
          <w:sz w:val="24"/>
          <w:szCs w:val="24"/>
        </w:rPr>
        <w:t xml:space="preserve">između organa državne uprave i nevladinih </w:t>
      </w:r>
      <w:r w:rsidRPr="00445D3F">
        <w:rPr>
          <w:rFonts w:asciiTheme="majorHAnsi" w:hAnsiTheme="majorHAnsi" w:cstheme="majorHAnsi"/>
          <w:b/>
          <w:color w:val="auto"/>
          <w:sz w:val="24"/>
          <w:szCs w:val="24"/>
        </w:rPr>
        <w:lastRenderedPageBreak/>
        <w:t>org</w:t>
      </w:r>
      <w:r w:rsidR="007523D2" w:rsidRPr="00445D3F">
        <w:rPr>
          <w:rFonts w:asciiTheme="majorHAnsi" w:hAnsiTheme="majorHAnsi" w:cstheme="majorHAnsi"/>
          <w:b/>
          <w:color w:val="auto"/>
          <w:sz w:val="24"/>
          <w:szCs w:val="24"/>
        </w:rPr>
        <w:t>a</w:t>
      </w:r>
      <w:r w:rsidRPr="00445D3F">
        <w:rPr>
          <w:rFonts w:asciiTheme="majorHAnsi" w:hAnsiTheme="majorHAnsi" w:cstheme="majorHAnsi"/>
          <w:b/>
          <w:color w:val="auto"/>
          <w:sz w:val="24"/>
          <w:szCs w:val="24"/>
        </w:rPr>
        <w:t>nizacija</w:t>
      </w:r>
      <w:r w:rsidRPr="00445D3F">
        <w:rPr>
          <w:rFonts w:asciiTheme="majorHAnsi" w:hAnsiTheme="majorHAnsi" w:cstheme="majorHAnsi"/>
          <w:color w:val="auto"/>
          <w:sz w:val="24"/>
          <w:szCs w:val="24"/>
        </w:rPr>
        <w:t xml:space="preserve"> čiji su ciljevi, indikatori i aktivnosti razvijani na osnovu </w:t>
      </w:r>
      <w:r w:rsidR="00B13F79" w:rsidRPr="00445D3F">
        <w:rPr>
          <w:rFonts w:asciiTheme="majorHAnsi" w:hAnsiTheme="majorHAnsi" w:cstheme="majorHAnsi"/>
          <w:color w:val="auto"/>
          <w:sz w:val="24"/>
          <w:szCs w:val="24"/>
        </w:rPr>
        <w:t xml:space="preserve">Metodologije </w:t>
      </w:r>
      <w:r w:rsidR="007523D2" w:rsidRPr="00445D3F">
        <w:rPr>
          <w:rFonts w:asciiTheme="majorHAnsi" w:hAnsiTheme="majorHAnsi" w:cstheme="majorHAnsi"/>
          <w:color w:val="auto"/>
          <w:sz w:val="24"/>
          <w:szCs w:val="24"/>
        </w:rPr>
        <w:t xml:space="preserve">izrade </w:t>
      </w:r>
      <w:r w:rsidR="00C174C8" w:rsidRPr="00445D3F">
        <w:rPr>
          <w:rFonts w:asciiTheme="majorHAnsi" w:hAnsiTheme="majorHAnsi" w:cstheme="majorHAnsi"/>
          <w:color w:val="auto"/>
          <w:sz w:val="24"/>
          <w:szCs w:val="24"/>
        </w:rPr>
        <w:t>strateških dokumenata</w:t>
      </w:r>
      <w:r w:rsidRPr="00445D3F">
        <w:rPr>
          <w:rFonts w:asciiTheme="majorHAnsi" w:hAnsiTheme="majorHAnsi" w:cstheme="majorHAnsi"/>
          <w:color w:val="auto"/>
          <w:sz w:val="24"/>
          <w:szCs w:val="24"/>
        </w:rPr>
        <w:t xml:space="preserve">. Koordinacija sa ovim radnim grupama uspostavljena </w:t>
      </w:r>
      <w:r w:rsidR="007523D2" w:rsidRPr="00445D3F">
        <w:rPr>
          <w:rFonts w:asciiTheme="majorHAnsi" w:hAnsiTheme="majorHAnsi" w:cstheme="majorHAnsi"/>
          <w:color w:val="auto"/>
          <w:sz w:val="24"/>
          <w:szCs w:val="24"/>
        </w:rPr>
        <w:t xml:space="preserve">je </w:t>
      </w:r>
      <w:r w:rsidRPr="00445D3F">
        <w:rPr>
          <w:rFonts w:asciiTheme="majorHAnsi" w:hAnsiTheme="majorHAnsi" w:cstheme="majorHAnsi"/>
          <w:color w:val="auto"/>
          <w:sz w:val="24"/>
          <w:szCs w:val="24"/>
        </w:rPr>
        <w:t>kako bi se definisao zajednički pravac kretanja u odnosu na Str</w:t>
      </w:r>
      <w:r w:rsidR="007523D2" w:rsidRPr="00445D3F">
        <w:rPr>
          <w:rFonts w:asciiTheme="majorHAnsi" w:hAnsiTheme="majorHAnsi" w:cstheme="majorHAnsi"/>
          <w:color w:val="auto"/>
          <w:sz w:val="24"/>
          <w:szCs w:val="24"/>
        </w:rPr>
        <w:t>a</w:t>
      </w:r>
      <w:r w:rsidRPr="00445D3F">
        <w:rPr>
          <w:rFonts w:asciiTheme="majorHAnsi" w:hAnsiTheme="majorHAnsi" w:cstheme="majorHAnsi"/>
          <w:color w:val="auto"/>
          <w:sz w:val="24"/>
          <w:szCs w:val="24"/>
        </w:rPr>
        <w:t>tegiju RJU.</w:t>
      </w:r>
    </w:p>
    <w:p w:rsidR="00F174DB" w:rsidRDefault="007B237D" w:rsidP="000078E3">
      <w:pPr>
        <w:spacing w:before="60" w:after="60" w:line="240" w:lineRule="auto"/>
        <w:ind w:right="-471"/>
        <w:jc w:val="both"/>
        <w:rPr>
          <w:rFonts w:asciiTheme="majorHAnsi" w:hAnsiTheme="majorHAnsi" w:cstheme="majorHAnsi"/>
          <w:b/>
          <w:color w:val="auto"/>
          <w:sz w:val="24"/>
          <w:szCs w:val="24"/>
        </w:rPr>
      </w:pPr>
      <w:r w:rsidRPr="00445D3F">
        <w:rPr>
          <w:rFonts w:asciiTheme="majorHAnsi" w:hAnsiTheme="majorHAnsi" w:cstheme="majorHAnsi"/>
          <w:color w:val="auto"/>
          <w:sz w:val="24"/>
          <w:szCs w:val="24"/>
        </w:rPr>
        <w:t>Rad na izradi pomenutih strateških dokumenata</w:t>
      </w:r>
      <w:r w:rsidR="00053AA6" w:rsidRPr="00445D3F">
        <w:rPr>
          <w:rFonts w:asciiTheme="majorHAnsi" w:hAnsiTheme="majorHAnsi" w:cstheme="majorHAnsi"/>
          <w:color w:val="auto"/>
          <w:sz w:val="24"/>
          <w:szCs w:val="24"/>
        </w:rPr>
        <w:t xml:space="preserve"> </w:t>
      </w:r>
      <w:r w:rsidR="00693172" w:rsidRPr="00445D3F">
        <w:rPr>
          <w:rFonts w:asciiTheme="majorHAnsi" w:hAnsiTheme="majorHAnsi" w:cstheme="majorHAnsi"/>
          <w:color w:val="auto"/>
          <w:sz w:val="24"/>
          <w:szCs w:val="24"/>
        </w:rPr>
        <w:t xml:space="preserve">bazirao </w:t>
      </w:r>
      <w:r w:rsidRPr="00445D3F">
        <w:rPr>
          <w:rFonts w:asciiTheme="majorHAnsi" w:hAnsiTheme="majorHAnsi" w:cstheme="majorHAnsi"/>
          <w:color w:val="auto"/>
          <w:sz w:val="24"/>
          <w:szCs w:val="24"/>
        </w:rPr>
        <w:t>se na sinergijskom</w:t>
      </w:r>
      <w:r w:rsidR="00053AA6" w:rsidRPr="00445D3F">
        <w:rPr>
          <w:rFonts w:asciiTheme="majorHAnsi" w:hAnsiTheme="majorHAnsi" w:cstheme="majorHAnsi"/>
          <w:color w:val="auto"/>
          <w:sz w:val="24"/>
          <w:szCs w:val="24"/>
        </w:rPr>
        <w:t xml:space="preserve"> pristup</w:t>
      </w:r>
      <w:r w:rsidRPr="00445D3F">
        <w:rPr>
          <w:rFonts w:asciiTheme="majorHAnsi" w:hAnsiTheme="majorHAnsi" w:cstheme="majorHAnsi"/>
          <w:color w:val="auto"/>
          <w:sz w:val="24"/>
          <w:szCs w:val="24"/>
        </w:rPr>
        <w:t xml:space="preserve">u pri razvoju i definisanju ciljeva i pratećih aktivnosti. </w:t>
      </w:r>
      <w:r w:rsidR="00053AA6" w:rsidRPr="00445D3F">
        <w:rPr>
          <w:rFonts w:asciiTheme="majorHAnsi" w:hAnsiTheme="majorHAnsi" w:cstheme="majorHAnsi"/>
          <w:b/>
          <w:color w:val="auto"/>
          <w:sz w:val="24"/>
          <w:szCs w:val="24"/>
        </w:rPr>
        <w:t xml:space="preserve">Definisanjem komplementarnih ciljeva i aktivnosti, </w:t>
      </w:r>
      <w:r w:rsidR="00B13F79" w:rsidRPr="00445D3F">
        <w:rPr>
          <w:rFonts w:asciiTheme="majorHAnsi" w:hAnsiTheme="majorHAnsi" w:cstheme="majorHAnsi"/>
          <w:b/>
          <w:color w:val="auto"/>
          <w:sz w:val="24"/>
          <w:szCs w:val="24"/>
        </w:rPr>
        <w:t xml:space="preserve">utiče se na </w:t>
      </w:r>
      <w:r w:rsidR="00053AA6" w:rsidRPr="00445D3F">
        <w:rPr>
          <w:rFonts w:asciiTheme="majorHAnsi" w:hAnsiTheme="majorHAnsi" w:cstheme="majorHAnsi"/>
          <w:b/>
          <w:color w:val="auto"/>
          <w:sz w:val="24"/>
          <w:szCs w:val="24"/>
        </w:rPr>
        <w:t>stvaranj</w:t>
      </w:r>
      <w:r w:rsidR="00B13F79" w:rsidRPr="00445D3F">
        <w:rPr>
          <w:rFonts w:asciiTheme="majorHAnsi" w:hAnsiTheme="majorHAnsi" w:cstheme="majorHAnsi"/>
          <w:b/>
          <w:color w:val="auto"/>
          <w:sz w:val="24"/>
          <w:szCs w:val="24"/>
        </w:rPr>
        <w:t>e</w:t>
      </w:r>
      <w:r w:rsidR="00053AA6" w:rsidRPr="00445D3F">
        <w:rPr>
          <w:rFonts w:asciiTheme="majorHAnsi" w:hAnsiTheme="majorHAnsi" w:cstheme="majorHAnsi"/>
          <w:b/>
          <w:color w:val="auto"/>
          <w:sz w:val="24"/>
          <w:szCs w:val="24"/>
        </w:rPr>
        <w:t xml:space="preserve"> pristupačne, efikasne, agilne, transparentne javne uprave.</w:t>
      </w:r>
    </w:p>
    <w:p w:rsidR="007B237D" w:rsidRPr="00445D3F" w:rsidRDefault="007B237D" w:rsidP="007B237D">
      <w:pPr>
        <w:spacing w:before="60" w:after="60" w:line="240" w:lineRule="auto"/>
        <w:ind w:right="-471"/>
        <w:jc w:val="both"/>
        <w:rPr>
          <w:rFonts w:asciiTheme="majorHAnsi" w:hAnsiTheme="majorHAnsi" w:cstheme="majorHAnsi"/>
          <w:color w:val="auto"/>
          <w:sz w:val="24"/>
          <w:szCs w:val="24"/>
        </w:rPr>
      </w:pPr>
      <w:r w:rsidRPr="00445D3F">
        <w:rPr>
          <w:rFonts w:asciiTheme="majorHAnsi" w:hAnsiTheme="majorHAnsi" w:cstheme="majorHAnsi"/>
          <w:color w:val="auto"/>
          <w:sz w:val="24"/>
          <w:szCs w:val="24"/>
        </w:rPr>
        <w:t xml:space="preserve">Konkretno, </w:t>
      </w:r>
      <w:r w:rsidRPr="00445D3F">
        <w:rPr>
          <w:rFonts w:asciiTheme="majorHAnsi" w:hAnsiTheme="majorHAnsi" w:cstheme="majorHAnsi"/>
          <w:b/>
          <w:color w:val="auto"/>
          <w:sz w:val="24"/>
          <w:szCs w:val="24"/>
        </w:rPr>
        <w:t>komplementarnost Strategije RJU 2022-2026</w:t>
      </w:r>
      <w:r w:rsidR="004132E3" w:rsidRPr="00445D3F">
        <w:rPr>
          <w:rFonts w:asciiTheme="majorHAnsi" w:hAnsiTheme="majorHAnsi" w:cstheme="majorHAnsi"/>
          <w:b/>
          <w:color w:val="auto"/>
          <w:sz w:val="24"/>
          <w:szCs w:val="24"/>
        </w:rPr>
        <w:t>.</w:t>
      </w:r>
      <w:r w:rsidRPr="00445D3F">
        <w:rPr>
          <w:rFonts w:asciiTheme="majorHAnsi" w:hAnsiTheme="majorHAnsi" w:cstheme="majorHAnsi"/>
          <w:b/>
          <w:color w:val="auto"/>
          <w:sz w:val="24"/>
          <w:szCs w:val="24"/>
        </w:rPr>
        <w:t xml:space="preserve"> i Program</w:t>
      </w:r>
      <w:r w:rsidR="00693172" w:rsidRPr="00445D3F">
        <w:rPr>
          <w:rFonts w:asciiTheme="majorHAnsi" w:hAnsiTheme="majorHAnsi" w:cstheme="majorHAnsi"/>
          <w:b/>
          <w:color w:val="auto"/>
          <w:sz w:val="24"/>
          <w:szCs w:val="24"/>
        </w:rPr>
        <w:t>a</w:t>
      </w:r>
      <w:r w:rsidRPr="00445D3F">
        <w:rPr>
          <w:rFonts w:asciiTheme="majorHAnsi" w:hAnsiTheme="majorHAnsi" w:cstheme="majorHAnsi"/>
          <w:b/>
          <w:color w:val="auto"/>
          <w:sz w:val="24"/>
          <w:szCs w:val="24"/>
        </w:rPr>
        <w:t xml:space="preserve"> reforme javnih finansija 2022-2026</w:t>
      </w:r>
      <w:r w:rsidR="004132E3" w:rsidRPr="00445D3F">
        <w:rPr>
          <w:rFonts w:asciiTheme="majorHAnsi" w:hAnsiTheme="majorHAnsi" w:cstheme="majorHAnsi"/>
          <w:b/>
          <w:color w:val="auto"/>
          <w:sz w:val="24"/>
          <w:szCs w:val="24"/>
        </w:rPr>
        <w:t>.</w:t>
      </w:r>
      <w:r w:rsidRPr="00445D3F">
        <w:rPr>
          <w:rFonts w:asciiTheme="majorHAnsi" w:hAnsiTheme="majorHAnsi" w:cstheme="majorHAnsi"/>
          <w:color w:val="auto"/>
          <w:sz w:val="24"/>
          <w:szCs w:val="24"/>
        </w:rPr>
        <w:t xml:space="preserve"> postignuta je u sledećim oblastima:</w:t>
      </w:r>
    </w:p>
    <w:p w:rsidR="000210CC" w:rsidRPr="007E14C5" w:rsidRDefault="000210CC" w:rsidP="00F174DB">
      <w:pPr>
        <w:spacing w:before="60" w:after="60" w:line="240" w:lineRule="auto"/>
        <w:ind w:right="-471"/>
        <w:jc w:val="both"/>
        <w:rPr>
          <w:rFonts w:asciiTheme="majorHAnsi" w:hAnsiTheme="majorHAnsi" w:cstheme="majorHAnsi"/>
          <w:color w:val="002060"/>
          <w:sz w:val="24"/>
          <w:szCs w:val="24"/>
        </w:rPr>
      </w:pPr>
      <w:r w:rsidRPr="007E14C5">
        <w:rPr>
          <w:rFonts w:asciiTheme="majorHAnsi" w:hAnsiTheme="majorHAnsi" w:cstheme="majorHAnsi"/>
          <w:noProof/>
          <w:color w:val="002060"/>
          <w:sz w:val="24"/>
          <w:szCs w:val="24"/>
          <w:lang w:eastAsia="sr-Latn-RS"/>
        </w:rPr>
        <w:lastRenderedPageBreak/>
        <w:drawing>
          <wp:anchor distT="0" distB="0" distL="114300" distR="114300" simplePos="0" relativeHeight="251841536" behindDoc="1" locked="0" layoutInCell="1" allowOverlap="1" wp14:anchorId="74A87791" wp14:editId="7DFFE072">
            <wp:simplePos x="0" y="0"/>
            <wp:positionH relativeFrom="column">
              <wp:posOffset>4445</wp:posOffset>
            </wp:positionH>
            <wp:positionV relativeFrom="paragraph">
              <wp:posOffset>-2540</wp:posOffset>
            </wp:positionV>
            <wp:extent cx="6428105" cy="5885815"/>
            <wp:effectExtent l="57150" t="38100" r="1189355" b="1615440"/>
            <wp:wrapTight wrapText="bothSides">
              <wp:wrapPolygon edited="0">
                <wp:start x="-409" y="-298"/>
                <wp:lineTo x="-409" y="3273"/>
                <wp:lineTo x="272" y="4760"/>
                <wp:lineTo x="681" y="34066"/>
                <wp:lineTo x="3269" y="34066"/>
                <wp:lineTo x="13350" y="33471"/>
                <wp:lineTo x="12805" y="33322"/>
                <wp:lineTo x="12805" y="28562"/>
                <wp:lineTo x="14167" y="27521"/>
                <wp:lineTo x="14167" y="26479"/>
                <wp:lineTo x="12805" y="26182"/>
                <wp:lineTo x="12941" y="21421"/>
                <wp:lineTo x="28606" y="19041"/>
                <wp:lineTo x="28742" y="19041"/>
                <wp:lineTo x="29832" y="16661"/>
                <wp:lineTo x="29968" y="14876"/>
                <wp:lineTo x="28470" y="14281"/>
                <wp:lineTo x="29696" y="13686"/>
                <wp:lineTo x="29696" y="9967"/>
                <wp:lineTo x="28334" y="9521"/>
                <wp:lineTo x="29424" y="7140"/>
                <wp:lineTo x="28470" y="7140"/>
                <wp:lineTo x="29560" y="5355"/>
                <wp:lineTo x="27925" y="4760"/>
                <wp:lineTo x="21387" y="4760"/>
                <wp:lineTo x="28742" y="3124"/>
                <wp:lineTo x="29151" y="2380"/>
                <wp:lineTo x="24520" y="2380"/>
                <wp:lineTo x="28879" y="1339"/>
                <wp:lineTo x="28470" y="149"/>
                <wp:lineTo x="21795" y="-298"/>
                <wp:lineTo x="-409" y="-298"/>
              </wp:wrapPolygon>
            </wp:wrapTight>
            <wp:docPr id="103" name="Diagram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p>
    <w:p w:rsidR="00053AA6" w:rsidRPr="007E14C5" w:rsidRDefault="00053AA6" w:rsidP="00053AA6">
      <w:pPr>
        <w:spacing w:before="60" w:after="60" w:line="240" w:lineRule="auto"/>
        <w:ind w:right="-471"/>
        <w:jc w:val="both"/>
        <w:rPr>
          <w:rFonts w:asciiTheme="majorHAnsi" w:hAnsiTheme="majorHAnsi" w:cstheme="majorHAnsi"/>
          <w:color w:val="002060"/>
          <w:sz w:val="24"/>
          <w:szCs w:val="24"/>
        </w:rPr>
      </w:pPr>
    </w:p>
    <w:p w:rsidR="00053AA6" w:rsidRPr="007E14C5" w:rsidRDefault="00053AA6" w:rsidP="00053AA6">
      <w:pPr>
        <w:spacing w:before="60" w:after="60" w:line="240" w:lineRule="auto"/>
        <w:ind w:right="-471"/>
        <w:jc w:val="both"/>
        <w:rPr>
          <w:rFonts w:asciiTheme="majorHAnsi" w:hAnsiTheme="majorHAnsi" w:cstheme="majorHAnsi"/>
          <w:color w:val="002060"/>
          <w:sz w:val="24"/>
          <w:szCs w:val="24"/>
        </w:rPr>
      </w:pPr>
    </w:p>
    <w:p w:rsidR="007F1898" w:rsidRPr="007E14C5" w:rsidRDefault="007F1898">
      <w:pPr>
        <w:rPr>
          <w:rFonts w:asciiTheme="majorHAnsi" w:hAnsiTheme="majorHAnsi" w:cstheme="majorHAnsi"/>
          <w:color w:val="002060"/>
          <w:sz w:val="24"/>
          <w:szCs w:val="24"/>
        </w:rPr>
      </w:pPr>
      <w:r w:rsidRPr="007E14C5">
        <w:rPr>
          <w:rFonts w:asciiTheme="majorHAnsi" w:hAnsiTheme="majorHAnsi" w:cstheme="majorHAnsi"/>
          <w:color w:val="002060"/>
          <w:sz w:val="24"/>
          <w:szCs w:val="24"/>
        </w:rPr>
        <w:br w:type="page"/>
      </w:r>
    </w:p>
    <w:p w:rsidR="001C7B49" w:rsidRPr="00445D3F" w:rsidRDefault="00365709" w:rsidP="00F174DB">
      <w:pPr>
        <w:spacing w:before="60" w:after="60" w:line="240" w:lineRule="auto"/>
        <w:ind w:right="-471"/>
        <w:jc w:val="both"/>
        <w:rPr>
          <w:rFonts w:asciiTheme="majorHAnsi" w:hAnsiTheme="majorHAnsi" w:cstheme="majorHAnsi"/>
          <w:color w:val="auto"/>
          <w:sz w:val="24"/>
          <w:szCs w:val="24"/>
        </w:rPr>
      </w:pPr>
      <w:r w:rsidRPr="00445D3F">
        <w:rPr>
          <w:rFonts w:asciiTheme="majorHAnsi" w:hAnsiTheme="majorHAnsi" w:cstheme="majorHAnsi"/>
          <w:color w:val="auto"/>
          <w:sz w:val="24"/>
          <w:szCs w:val="24"/>
        </w:rPr>
        <w:lastRenderedPageBreak/>
        <w:t xml:space="preserve">Dodatno, </w:t>
      </w:r>
      <w:r w:rsidRPr="00445D3F">
        <w:rPr>
          <w:rFonts w:asciiTheme="majorHAnsi" w:hAnsiTheme="majorHAnsi" w:cstheme="majorHAnsi"/>
          <w:b/>
          <w:color w:val="auto"/>
          <w:sz w:val="24"/>
          <w:szCs w:val="24"/>
        </w:rPr>
        <w:t>komplem</w:t>
      </w:r>
      <w:r w:rsidR="009461E5" w:rsidRPr="00445D3F">
        <w:rPr>
          <w:rFonts w:asciiTheme="majorHAnsi" w:hAnsiTheme="majorHAnsi" w:cstheme="majorHAnsi"/>
          <w:b/>
          <w:color w:val="auto"/>
          <w:sz w:val="24"/>
          <w:szCs w:val="24"/>
        </w:rPr>
        <w:t>entarnost je postignuta i sa St</w:t>
      </w:r>
      <w:r w:rsidRPr="00445D3F">
        <w:rPr>
          <w:rFonts w:asciiTheme="majorHAnsi" w:hAnsiTheme="majorHAnsi" w:cstheme="majorHAnsi"/>
          <w:b/>
          <w:color w:val="auto"/>
          <w:sz w:val="24"/>
          <w:szCs w:val="24"/>
        </w:rPr>
        <w:t>r</w:t>
      </w:r>
      <w:r w:rsidR="009461E5" w:rsidRPr="00445D3F">
        <w:rPr>
          <w:rFonts w:asciiTheme="majorHAnsi" w:hAnsiTheme="majorHAnsi" w:cstheme="majorHAnsi"/>
          <w:b/>
          <w:color w:val="auto"/>
          <w:sz w:val="24"/>
          <w:szCs w:val="24"/>
        </w:rPr>
        <w:t>a</w:t>
      </w:r>
      <w:r w:rsidRPr="00445D3F">
        <w:rPr>
          <w:rFonts w:asciiTheme="majorHAnsi" w:hAnsiTheme="majorHAnsi" w:cstheme="majorHAnsi"/>
          <w:b/>
          <w:color w:val="auto"/>
          <w:sz w:val="24"/>
          <w:szCs w:val="24"/>
        </w:rPr>
        <w:t>tegijom digitalne transformacije 2022-2026</w:t>
      </w:r>
      <w:r w:rsidR="004132E3" w:rsidRPr="00445D3F">
        <w:rPr>
          <w:rFonts w:asciiTheme="majorHAnsi" w:hAnsiTheme="majorHAnsi" w:cstheme="majorHAnsi"/>
          <w:b/>
          <w:color w:val="auto"/>
          <w:sz w:val="24"/>
          <w:szCs w:val="24"/>
        </w:rPr>
        <w:t>.</w:t>
      </w:r>
      <w:r w:rsidRPr="00445D3F">
        <w:rPr>
          <w:rFonts w:asciiTheme="majorHAnsi" w:hAnsiTheme="majorHAnsi" w:cstheme="majorHAnsi"/>
          <w:color w:val="auto"/>
          <w:sz w:val="24"/>
          <w:szCs w:val="24"/>
        </w:rPr>
        <w:t xml:space="preserve"> i to u izdvojenim oblastima</w:t>
      </w:r>
      <w:r w:rsidR="00BC76E1" w:rsidRPr="00445D3F">
        <w:rPr>
          <w:rFonts w:asciiTheme="majorHAnsi" w:hAnsiTheme="majorHAnsi" w:cstheme="majorHAnsi"/>
          <w:color w:val="auto"/>
          <w:sz w:val="24"/>
          <w:szCs w:val="24"/>
        </w:rPr>
        <w:t xml:space="preserve"> pružanja e-usluga i transparentnosti rada javne uprave tj. dostupnosti podataka</w:t>
      </w:r>
      <w:r w:rsidRPr="00445D3F">
        <w:rPr>
          <w:rFonts w:asciiTheme="majorHAnsi" w:hAnsiTheme="majorHAnsi" w:cstheme="majorHAnsi"/>
          <w:color w:val="auto"/>
          <w:sz w:val="24"/>
          <w:szCs w:val="24"/>
        </w:rPr>
        <w:t>:</w:t>
      </w:r>
    </w:p>
    <w:p w:rsidR="00F23A51" w:rsidRPr="007E14C5" w:rsidRDefault="00F23A51" w:rsidP="007B237D">
      <w:pPr>
        <w:spacing w:before="60" w:after="60" w:line="240" w:lineRule="auto"/>
        <w:ind w:left="360" w:right="-471"/>
        <w:jc w:val="both"/>
        <w:rPr>
          <w:rFonts w:asciiTheme="majorHAnsi" w:hAnsiTheme="majorHAnsi" w:cstheme="majorHAnsi"/>
          <w:color w:val="002060"/>
          <w:sz w:val="24"/>
          <w:szCs w:val="24"/>
        </w:rPr>
      </w:pPr>
    </w:p>
    <w:p w:rsidR="0048313C" w:rsidRPr="007E14C5" w:rsidRDefault="0048313C" w:rsidP="002A145C">
      <w:pPr>
        <w:pStyle w:val="ListParagraph"/>
        <w:spacing w:before="60" w:after="60" w:line="240" w:lineRule="auto"/>
        <w:ind w:left="0" w:right="-471"/>
        <w:jc w:val="both"/>
        <w:rPr>
          <w:rFonts w:asciiTheme="majorHAnsi" w:hAnsiTheme="majorHAnsi" w:cstheme="majorHAnsi"/>
          <w:color w:val="002060"/>
          <w:sz w:val="24"/>
          <w:szCs w:val="24"/>
        </w:rPr>
      </w:pPr>
      <w:r w:rsidRPr="007E14C5">
        <w:rPr>
          <w:rFonts w:asciiTheme="majorHAnsi" w:hAnsiTheme="majorHAnsi" w:cstheme="majorHAnsi"/>
          <w:noProof/>
          <w:color w:val="002060"/>
          <w:sz w:val="24"/>
          <w:szCs w:val="24"/>
          <w:lang w:eastAsia="sr-Latn-RS"/>
        </w:rPr>
        <w:drawing>
          <wp:inline distT="0" distB="0" distL="0" distR="0" wp14:anchorId="5C526F79" wp14:editId="618B4AC0">
            <wp:extent cx="6487795" cy="3019425"/>
            <wp:effectExtent l="19050" t="38100" r="0" b="47625"/>
            <wp:docPr id="121" name="Diagram 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DC109C" w:rsidRPr="007E14C5" w:rsidRDefault="00DC109C" w:rsidP="00DC109C">
      <w:pPr>
        <w:spacing w:before="60" w:after="60" w:line="240" w:lineRule="auto"/>
        <w:ind w:right="-471"/>
        <w:jc w:val="both"/>
        <w:rPr>
          <w:rFonts w:asciiTheme="majorHAnsi" w:hAnsiTheme="majorHAnsi" w:cstheme="majorHAnsi"/>
          <w:color w:val="002060"/>
          <w:sz w:val="24"/>
          <w:szCs w:val="24"/>
        </w:rPr>
      </w:pPr>
    </w:p>
    <w:p w:rsidR="004C4830" w:rsidRPr="007E14C5" w:rsidRDefault="004C4830" w:rsidP="004C4830">
      <w:pPr>
        <w:spacing w:before="60" w:after="60" w:line="240" w:lineRule="auto"/>
        <w:ind w:right="-471"/>
        <w:jc w:val="both"/>
        <w:rPr>
          <w:rFonts w:asciiTheme="majorHAnsi" w:hAnsiTheme="majorHAnsi" w:cstheme="majorHAnsi"/>
          <w:color w:val="002060"/>
          <w:sz w:val="24"/>
          <w:szCs w:val="24"/>
        </w:rPr>
      </w:pPr>
      <w:r w:rsidRPr="00445D3F">
        <w:rPr>
          <w:rFonts w:asciiTheme="majorHAnsi" w:hAnsiTheme="majorHAnsi" w:cstheme="majorHAnsi"/>
          <w:color w:val="auto"/>
          <w:sz w:val="24"/>
          <w:szCs w:val="24"/>
        </w:rPr>
        <w:t xml:space="preserve">Strategija RJU se takođe izrađuje paralelno sa </w:t>
      </w:r>
      <w:r w:rsidRPr="00445D3F">
        <w:rPr>
          <w:rFonts w:asciiTheme="majorHAnsi" w:hAnsiTheme="majorHAnsi" w:cstheme="majorHAnsi"/>
          <w:b/>
          <w:color w:val="auto"/>
          <w:sz w:val="24"/>
          <w:szCs w:val="24"/>
        </w:rPr>
        <w:t>Strategijom saradnje organa državne uprave i nevladinih organizacija 2022-2026</w:t>
      </w:r>
      <w:r w:rsidRPr="00445D3F">
        <w:rPr>
          <w:rFonts w:asciiTheme="majorHAnsi" w:hAnsiTheme="majorHAnsi" w:cstheme="majorHAnsi"/>
          <w:color w:val="auto"/>
          <w:sz w:val="24"/>
          <w:szCs w:val="24"/>
        </w:rPr>
        <w:t>. Izrada pomenutih dokumenata bazirana je na sinergijskom razvoju, kako bi se zajedničkim djelovanjem došlo do poboljšanja uključivanja zainteresovanih strana u kreiranju javnih politika</w:t>
      </w:r>
      <w:r w:rsidRPr="007E14C5">
        <w:rPr>
          <w:rFonts w:asciiTheme="majorHAnsi" w:hAnsiTheme="majorHAnsi" w:cstheme="majorHAnsi"/>
          <w:color w:val="002060"/>
          <w:sz w:val="24"/>
          <w:szCs w:val="24"/>
        </w:rPr>
        <w:t xml:space="preserve">. </w:t>
      </w:r>
    </w:p>
    <w:p w:rsidR="004C4830" w:rsidRPr="007E14C5" w:rsidRDefault="004C4830" w:rsidP="004C4830">
      <w:pPr>
        <w:spacing w:before="60" w:after="60" w:line="240" w:lineRule="auto"/>
        <w:ind w:right="-471"/>
        <w:jc w:val="both"/>
        <w:rPr>
          <w:rFonts w:asciiTheme="majorHAnsi" w:hAnsiTheme="majorHAnsi" w:cstheme="majorHAnsi"/>
          <w:color w:val="002060"/>
          <w:sz w:val="24"/>
          <w:szCs w:val="24"/>
        </w:rPr>
      </w:pPr>
    </w:p>
    <w:p w:rsidR="00F174DB" w:rsidRPr="007E14C5" w:rsidRDefault="007B237D" w:rsidP="00542FE7">
      <w:pPr>
        <w:spacing w:before="60" w:after="60" w:line="240" w:lineRule="auto"/>
        <w:ind w:right="-471"/>
        <w:jc w:val="both"/>
        <w:rPr>
          <w:rFonts w:asciiTheme="majorHAnsi" w:hAnsiTheme="majorHAnsi" w:cstheme="majorHAnsi"/>
          <w:color w:val="002060"/>
          <w:sz w:val="24"/>
          <w:szCs w:val="24"/>
        </w:rPr>
      </w:pPr>
      <w:r w:rsidRPr="007E14C5">
        <w:rPr>
          <w:rFonts w:asciiTheme="majorHAnsi" w:hAnsiTheme="majorHAnsi" w:cstheme="majorHAnsi"/>
          <w:noProof/>
          <w:color w:val="002060"/>
          <w:sz w:val="24"/>
          <w:szCs w:val="24"/>
          <w:lang w:eastAsia="sr-Latn-RS"/>
        </w:rPr>
        <w:drawing>
          <wp:inline distT="0" distB="0" distL="0" distR="0" wp14:anchorId="37BF80C4" wp14:editId="48BBB0F3">
            <wp:extent cx="6240780" cy="2575560"/>
            <wp:effectExtent l="0" t="76200" r="0" b="16764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EB6A39" w:rsidRPr="00445D3F" w:rsidRDefault="00EB6A39" w:rsidP="00445D3F">
      <w:pPr>
        <w:spacing w:before="60" w:after="60" w:line="240" w:lineRule="auto"/>
        <w:ind w:right="-475"/>
        <w:jc w:val="both"/>
        <w:rPr>
          <w:rFonts w:asciiTheme="majorHAnsi" w:hAnsiTheme="majorHAnsi" w:cstheme="majorHAnsi"/>
          <w:color w:val="auto"/>
          <w:sz w:val="24"/>
          <w:szCs w:val="24"/>
        </w:rPr>
      </w:pPr>
      <w:r w:rsidRPr="00445D3F">
        <w:rPr>
          <w:rFonts w:asciiTheme="majorHAnsi" w:hAnsiTheme="majorHAnsi" w:cstheme="majorHAnsi"/>
          <w:color w:val="auto"/>
          <w:sz w:val="24"/>
          <w:szCs w:val="24"/>
        </w:rPr>
        <w:lastRenderedPageBreak/>
        <w:t>Za razliku od predhodnog strateškog perioda gdje nije postojala komplementarnost u realizaciji aktivnosti, i komplementarnost u postizanju određenih indikatora, prilikom planiranja ovog strateškog dokumenta, fokus je upravio bio na dobroj saradnji i političkoj koordinaciji između MJUDDM, MFSS i MER. Ta koordinacija se najprije ostvarivala kroz zajednič</w:t>
      </w:r>
      <w:r w:rsidR="004B42FC" w:rsidRPr="00445D3F">
        <w:rPr>
          <w:rFonts w:asciiTheme="majorHAnsi" w:hAnsiTheme="majorHAnsi" w:cstheme="majorHAnsi"/>
          <w:color w:val="auto"/>
          <w:sz w:val="24"/>
          <w:szCs w:val="24"/>
        </w:rPr>
        <w:t>k</w:t>
      </w:r>
      <w:r w:rsidRPr="00445D3F">
        <w:rPr>
          <w:rFonts w:asciiTheme="majorHAnsi" w:hAnsiTheme="majorHAnsi" w:cstheme="majorHAnsi"/>
          <w:color w:val="auto"/>
          <w:sz w:val="24"/>
          <w:szCs w:val="24"/>
        </w:rPr>
        <w:t>i rad u okviru radne grupe, koja je osnovana sa pred</w:t>
      </w:r>
      <w:r w:rsidR="004B42FC" w:rsidRPr="00445D3F">
        <w:rPr>
          <w:rFonts w:asciiTheme="majorHAnsi" w:hAnsiTheme="majorHAnsi" w:cstheme="majorHAnsi"/>
          <w:color w:val="auto"/>
          <w:sz w:val="24"/>
          <w:szCs w:val="24"/>
        </w:rPr>
        <w:t>s</w:t>
      </w:r>
      <w:r w:rsidRPr="00445D3F">
        <w:rPr>
          <w:rFonts w:asciiTheme="majorHAnsi" w:hAnsiTheme="majorHAnsi" w:cstheme="majorHAnsi"/>
          <w:color w:val="auto"/>
          <w:sz w:val="24"/>
          <w:szCs w:val="24"/>
        </w:rPr>
        <w:t>tavnicima sva t</w:t>
      </w:r>
      <w:r w:rsidR="004B42FC" w:rsidRPr="00445D3F">
        <w:rPr>
          <w:rFonts w:asciiTheme="majorHAnsi" w:hAnsiTheme="majorHAnsi" w:cstheme="majorHAnsi"/>
          <w:color w:val="auto"/>
          <w:sz w:val="24"/>
          <w:szCs w:val="24"/>
        </w:rPr>
        <w:t>r</w:t>
      </w:r>
      <w:r w:rsidRPr="00445D3F">
        <w:rPr>
          <w:rFonts w:asciiTheme="majorHAnsi" w:hAnsiTheme="majorHAnsi" w:cstheme="majorHAnsi"/>
          <w:color w:val="auto"/>
          <w:sz w:val="24"/>
          <w:szCs w:val="24"/>
        </w:rPr>
        <w:t>i ministarstva, dok je drugi nivo koordinacije postignut na političkom nivou u okviru Savjeta za reformu javne uprave, čiji su članovi ministri ova tri ministarstva</w:t>
      </w:r>
      <w:r w:rsidR="004B42FC" w:rsidRPr="00445D3F">
        <w:rPr>
          <w:rFonts w:asciiTheme="majorHAnsi" w:hAnsiTheme="majorHAnsi" w:cstheme="majorHAnsi"/>
          <w:color w:val="auto"/>
          <w:sz w:val="24"/>
          <w:szCs w:val="24"/>
        </w:rPr>
        <w:t>,</w:t>
      </w:r>
      <w:r w:rsidRPr="00445D3F">
        <w:rPr>
          <w:rFonts w:asciiTheme="majorHAnsi" w:hAnsiTheme="majorHAnsi" w:cstheme="majorHAnsi"/>
          <w:color w:val="auto"/>
          <w:sz w:val="24"/>
          <w:szCs w:val="24"/>
        </w:rPr>
        <w:t xml:space="preserve"> pored osta</w:t>
      </w:r>
      <w:r w:rsidR="004B42FC" w:rsidRPr="00445D3F">
        <w:rPr>
          <w:rFonts w:asciiTheme="majorHAnsi" w:hAnsiTheme="majorHAnsi" w:cstheme="majorHAnsi"/>
          <w:color w:val="auto"/>
          <w:sz w:val="24"/>
          <w:szCs w:val="24"/>
        </w:rPr>
        <w:t>l</w:t>
      </w:r>
      <w:r w:rsidRPr="00445D3F">
        <w:rPr>
          <w:rFonts w:asciiTheme="majorHAnsi" w:hAnsiTheme="majorHAnsi" w:cstheme="majorHAnsi"/>
          <w:color w:val="auto"/>
          <w:sz w:val="24"/>
          <w:szCs w:val="24"/>
        </w:rPr>
        <w:t>ih.</w:t>
      </w:r>
    </w:p>
    <w:p w:rsidR="002D3202" w:rsidRPr="00445D3F" w:rsidRDefault="00EB6A39" w:rsidP="00445D3F">
      <w:pPr>
        <w:spacing w:before="60" w:after="60" w:line="240" w:lineRule="auto"/>
        <w:ind w:right="-475"/>
        <w:jc w:val="both"/>
        <w:rPr>
          <w:rFonts w:asciiTheme="majorHAnsi" w:hAnsiTheme="majorHAnsi" w:cstheme="majorHAnsi"/>
          <w:color w:val="auto"/>
          <w:sz w:val="24"/>
          <w:szCs w:val="24"/>
        </w:rPr>
      </w:pPr>
      <w:r w:rsidRPr="00445D3F">
        <w:rPr>
          <w:rFonts w:asciiTheme="majorHAnsi" w:hAnsiTheme="majorHAnsi" w:cstheme="majorHAnsi"/>
          <w:color w:val="auto"/>
          <w:sz w:val="24"/>
          <w:szCs w:val="24"/>
        </w:rPr>
        <w:t>Komplementarnost aktivnosti,</w:t>
      </w:r>
      <w:r w:rsidR="002D3202" w:rsidRPr="00445D3F">
        <w:rPr>
          <w:rFonts w:asciiTheme="majorHAnsi" w:hAnsiTheme="majorHAnsi" w:cstheme="majorHAnsi"/>
          <w:color w:val="auto"/>
          <w:sz w:val="24"/>
          <w:szCs w:val="24"/>
        </w:rPr>
        <w:t xml:space="preserve"> </w:t>
      </w:r>
      <w:r w:rsidRPr="00445D3F">
        <w:rPr>
          <w:rFonts w:asciiTheme="majorHAnsi" w:hAnsiTheme="majorHAnsi" w:cstheme="majorHAnsi"/>
          <w:color w:val="auto"/>
          <w:sz w:val="24"/>
          <w:szCs w:val="24"/>
        </w:rPr>
        <w:t>a  time i nastojanje da se obezbijedi veća implementacija u praksi, vidi se kroz prošireni opseg</w:t>
      </w:r>
      <w:r w:rsidR="002D3202" w:rsidRPr="00445D3F">
        <w:rPr>
          <w:rFonts w:asciiTheme="majorHAnsi" w:hAnsiTheme="majorHAnsi" w:cstheme="majorHAnsi"/>
          <w:color w:val="auto"/>
          <w:sz w:val="24"/>
          <w:szCs w:val="24"/>
        </w:rPr>
        <w:t xml:space="preserve"> Strategije RJU</w:t>
      </w:r>
      <w:r w:rsidRPr="00445D3F">
        <w:rPr>
          <w:rFonts w:asciiTheme="majorHAnsi" w:hAnsiTheme="majorHAnsi" w:cstheme="majorHAnsi"/>
          <w:color w:val="auto"/>
          <w:sz w:val="24"/>
          <w:szCs w:val="24"/>
        </w:rPr>
        <w:t xml:space="preserve">, u čijoj su osnovi uvedene javne ustanove, koje su definisane Zakonom o radu, i </w:t>
      </w:r>
      <w:r w:rsidR="002D3202" w:rsidRPr="00445D3F">
        <w:rPr>
          <w:rFonts w:asciiTheme="majorHAnsi" w:hAnsiTheme="majorHAnsi" w:cstheme="majorHAnsi"/>
          <w:color w:val="auto"/>
          <w:sz w:val="24"/>
          <w:szCs w:val="24"/>
        </w:rPr>
        <w:t>jednako tretiranje svih zaposlenih koji se finansiraju u javnoj upravi iz budžeta. Dodatno, uvođenjem kvaliteta u javnim uslugama u svim organizacionim oblicima javne uprave, kao kreiranju javnih politika u oblasti pružanja usluga.</w:t>
      </w:r>
    </w:p>
    <w:p w:rsidR="000949FE" w:rsidRPr="00445D3F" w:rsidRDefault="002D3202" w:rsidP="00445D3F">
      <w:pPr>
        <w:spacing w:before="60" w:after="60" w:line="240" w:lineRule="auto"/>
        <w:ind w:right="-475"/>
        <w:jc w:val="both"/>
        <w:rPr>
          <w:rFonts w:asciiTheme="majorHAnsi" w:hAnsiTheme="majorHAnsi" w:cstheme="majorHAnsi"/>
          <w:color w:val="auto"/>
          <w:sz w:val="24"/>
          <w:szCs w:val="24"/>
        </w:rPr>
      </w:pPr>
      <w:r w:rsidRPr="00445D3F">
        <w:rPr>
          <w:rFonts w:asciiTheme="majorHAnsi" w:hAnsiTheme="majorHAnsi" w:cstheme="majorHAnsi"/>
          <w:color w:val="auto"/>
          <w:sz w:val="24"/>
          <w:szCs w:val="24"/>
        </w:rPr>
        <w:t>U odnosu na implementaciju pojedinih ciljeva, kao što je proaktivno objavljivanje podataka, mapiranje procesa rada i optimiz</w:t>
      </w:r>
      <w:r w:rsidR="00961C2E" w:rsidRPr="00445D3F">
        <w:rPr>
          <w:rFonts w:asciiTheme="majorHAnsi" w:hAnsiTheme="majorHAnsi" w:cstheme="majorHAnsi"/>
          <w:color w:val="auto"/>
          <w:sz w:val="24"/>
          <w:szCs w:val="24"/>
        </w:rPr>
        <w:t>a</w:t>
      </w:r>
      <w:r w:rsidRPr="00445D3F">
        <w:rPr>
          <w:rFonts w:asciiTheme="majorHAnsi" w:hAnsiTheme="majorHAnsi" w:cstheme="majorHAnsi"/>
          <w:color w:val="auto"/>
          <w:sz w:val="24"/>
          <w:szCs w:val="24"/>
        </w:rPr>
        <w:t>c</w:t>
      </w:r>
      <w:r w:rsidR="00961C2E" w:rsidRPr="00445D3F">
        <w:rPr>
          <w:rFonts w:asciiTheme="majorHAnsi" w:hAnsiTheme="majorHAnsi" w:cstheme="majorHAnsi"/>
          <w:color w:val="auto"/>
          <w:sz w:val="24"/>
          <w:szCs w:val="24"/>
        </w:rPr>
        <w:t>i</w:t>
      </w:r>
      <w:r w:rsidRPr="00445D3F">
        <w:rPr>
          <w:rFonts w:asciiTheme="majorHAnsi" w:hAnsiTheme="majorHAnsi" w:cstheme="majorHAnsi"/>
          <w:color w:val="auto"/>
          <w:sz w:val="24"/>
          <w:szCs w:val="24"/>
        </w:rPr>
        <w:t>ja će se uvesti poseban mehanizam koordinacije po sektorskom pristupu, gdje će se na nivou sektora izvještavati resorno ministars</w:t>
      </w:r>
      <w:r w:rsidR="00961C2E" w:rsidRPr="00445D3F">
        <w:rPr>
          <w:rFonts w:asciiTheme="majorHAnsi" w:hAnsiTheme="majorHAnsi" w:cstheme="majorHAnsi"/>
          <w:color w:val="auto"/>
          <w:sz w:val="24"/>
          <w:szCs w:val="24"/>
        </w:rPr>
        <w:t>t</w:t>
      </w:r>
      <w:r w:rsidRPr="00445D3F">
        <w:rPr>
          <w:rFonts w:asciiTheme="majorHAnsi" w:hAnsiTheme="majorHAnsi" w:cstheme="majorHAnsi"/>
          <w:color w:val="auto"/>
          <w:sz w:val="24"/>
          <w:szCs w:val="24"/>
        </w:rPr>
        <w:t>vo o po</w:t>
      </w:r>
      <w:r w:rsidR="00961C2E" w:rsidRPr="00445D3F">
        <w:rPr>
          <w:rFonts w:asciiTheme="majorHAnsi" w:hAnsiTheme="majorHAnsi" w:cstheme="majorHAnsi"/>
          <w:color w:val="auto"/>
          <w:sz w:val="24"/>
          <w:szCs w:val="24"/>
        </w:rPr>
        <w:t>d</w:t>
      </w:r>
      <w:r w:rsidRPr="00445D3F">
        <w:rPr>
          <w:rFonts w:asciiTheme="majorHAnsi" w:hAnsiTheme="majorHAnsi" w:cstheme="majorHAnsi"/>
          <w:color w:val="auto"/>
          <w:sz w:val="24"/>
          <w:szCs w:val="24"/>
        </w:rPr>
        <w:t>acima koji su od značaja za postizanje rezultata ove strategije. Ovo će dodatno biti praćeno i formiranjem posebnih timova u okviru Savjeta za reformu javne uprave, u odnosu na pomenute istaknute indikatore/rezultate.</w:t>
      </w:r>
      <w:r w:rsidR="00EB6A39" w:rsidRPr="00445D3F">
        <w:rPr>
          <w:rFonts w:asciiTheme="majorHAnsi" w:hAnsiTheme="majorHAnsi" w:cstheme="majorHAnsi"/>
          <w:color w:val="auto"/>
          <w:sz w:val="24"/>
          <w:szCs w:val="24"/>
        </w:rPr>
        <w:t xml:space="preserve"> </w:t>
      </w:r>
    </w:p>
    <w:p w:rsidR="00F522FF" w:rsidRPr="00445D3F" w:rsidRDefault="00F522FF" w:rsidP="00445D3F">
      <w:pPr>
        <w:spacing w:before="120" w:after="120" w:line="240" w:lineRule="auto"/>
        <w:ind w:right="-475"/>
        <w:jc w:val="both"/>
        <w:rPr>
          <w:rFonts w:asciiTheme="majorHAnsi" w:hAnsiTheme="majorHAnsi" w:cstheme="majorHAnsi"/>
          <w:color w:val="auto"/>
          <w:sz w:val="24"/>
          <w:szCs w:val="24"/>
          <w:u w:val="single"/>
        </w:rPr>
      </w:pPr>
      <w:r w:rsidRPr="00445D3F">
        <w:rPr>
          <w:rFonts w:asciiTheme="majorHAnsi" w:hAnsiTheme="majorHAnsi" w:cstheme="majorHAnsi"/>
          <w:b/>
          <w:color w:val="auto"/>
          <w:sz w:val="24"/>
          <w:szCs w:val="24"/>
          <w:u w:val="single"/>
        </w:rPr>
        <w:t>Posebne okolnosti</w:t>
      </w:r>
    </w:p>
    <w:p w:rsidR="00D81DBF" w:rsidRPr="00445D3F" w:rsidRDefault="00D81DBF" w:rsidP="00445D3F">
      <w:pPr>
        <w:spacing w:before="60" w:after="60" w:line="240" w:lineRule="auto"/>
        <w:ind w:right="-471"/>
        <w:jc w:val="both"/>
        <w:rPr>
          <w:rFonts w:asciiTheme="majorHAnsi" w:hAnsiTheme="majorHAnsi" w:cstheme="majorHAnsi"/>
          <w:color w:val="auto"/>
          <w:sz w:val="24"/>
          <w:szCs w:val="24"/>
        </w:rPr>
      </w:pPr>
      <w:r w:rsidRPr="00445D3F">
        <w:rPr>
          <w:rFonts w:asciiTheme="majorHAnsi" w:hAnsiTheme="majorHAnsi" w:cstheme="majorHAnsi"/>
          <w:color w:val="auto"/>
          <w:sz w:val="24"/>
          <w:szCs w:val="24"/>
        </w:rPr>
        <w:t xml:space="preserve">Izuzetno je važno istaći da se Strategija </w:t>
      </w:r>
      <w:r w:rsidR="00BB0E26" w:rsidRPr="00445D3F">
        <w:rPr>
          <w:rFonts w:asciiTheme="majorHAnsi" w:hAnsiTheme="majorHAnsi" w:cstheme="majorHAnsi"/>
          <w:color w:val="auto"/>
          <w:sz w:val="24"/>
          <w:szCs w:val="24"/>
        </w:rPr>
        <w:t xml:space="preserve">RJU </w:t>
      </w:r>
      <w:r w:rsidRPr="00445D3F">
        <w:rPr>
          <w:rFonts w:asciiTheme="majorHAnsi" w:hAnsiTheme="majorHAnsi" w:cstheme="majorHAnsi"/>
          <w:color w:val="auto"/>
          <w:sz w:val="24"/>
          <w:szCs w:val="24"/>
        </w:rPr>
        <w:t>2022 – 2026</w:t>
      </w:r>
      <w:r w:rsidR="004132E3" w:rsidRPr="00445D3F">
        <w:rPr>
          <w:rFonts w:asciiTheme="majorHAnsi" w:hAnsiTheme="majorHAnsi" w:cstheme="majorHAnsi"/>
          <w:color w:val="auto"/>
          <w:sz w:val="24"/>
          <w:szCs w:val="24"/>
        </w:rPr>
        <w:t>.</w:t>
      </w:r>
      <w:r w:rsidRPr="00445D3F">
        <w:rPr>
          <w:rFonts w:asciiTheme="majorHAnsi" w:hAnsiTheme="majorHAnsi" w:cstheme="majorHAnsi"/>
          <w:color w:val="auto"/>
          <w:sz w:val="24"/>
          <w:szCs w:val="24"/>
        </w:rPr>
        <w:t xml:space="preserve"> razvijala u veoma specifičnom političkom momentu, koji je nakon parlamentarnih izbora u avgustu 2020. godine, a posebno od decembra 2020. </w:t>
      </w:r>
      <w:r w:rsidR="00FB023B" w:rsidRPr="00445D3F">
        <w:rPr>
          <w:rFonts w:asciiTheme="majorHAnsi" w:hAnsiTheme="majorHAnsi" w:cstheme="majorHAnsi"/>
          <w:color w:val="auto"/>
          <w:sz w:val="24"/>
          <w:szCs w:val="24"/>
        </w:rPr>
        <w:t xml:space="preserve">godine </w:t>
      </w:r>
      <w:r w:rsidRPr="00445D3F">
        <w:rPr>
          <w:rFonts w:asciiTheme="majorHAnsi" w:hAnsiTheme="majorHAnsi" w:cstheme="majorHAnsi"/>
          <w:color w:val="auto"/>
          <w:sz w:val="24"/>
          <w:szCs w:val="24"/>
        </w:rPr>
        <w:t>bitno uticao na ukupnu reogranizaciju javne uprave. Konkretno</w:t>
      </w:r>
      <w:r w:rsidR="004E0E40" w:rsidRPr="00445D3F">
        <w:rPr>
          <w:rFonts w:asciiTheme="majorHAnsi" w:hAnsiTheme="majorHAnsi" w:cstheme="majorHAnsi"/>
          <w:color w:val="auto"/>
          <w:sz w:val="24"/>
          <w:szCs w:val="24"/>
        </w:rPr>
        <w:t>,</w:t>
      </w:r>
      <w:r w:rsidRPr="00445D3F">
        <w:rPr>
          <w:rFonts w:asciiTheme="majorHAnsi" w:hAnsiTheme="majorHAnsi" w:cstheme="majorHAnsi"/>
          <w:color w:val="auto"/>
          <w:sz w:val="24"/>
          <w:szCs w:val="24"/>
        </w:rPr>
        <w:t xml:space="preserve"> </w:t>
      </w:r>
      <w:r w:rsidR="00BB0E26" w:rsidRPr="00445D3F">
        <w:rPr>
          <w:rFonts w:asciiTheme="majorHAnsi" w:hAnsiTheme="majorHAnsi" w:cstheme="majorHAnsi"/>
          <w:color w:val="auto"/>
          <w:sz w:val="24"/>
          <w:szCs w:val="24"/>
        </w:rPr>
        <w:t>izmjene</w:t>
      </w:r>
      <w:r w:rsidR="00661AD1" w:rsidRPr="00445D3F">
        <w:rPr>
          <w:rFonts w:asciiTheme="majorHAnsi" w:hAnsiTheme="majorHAnsi" w:cstheme="majorHAnsi"/>
          <w:color w:val="auto"/>
          <w:sz w:val="24"/>
          <w:szCs w:val="24"/>
        </w:rPr>
        <w:t xml:space="preserve"> se ogledaju kako u promjeni rukovodećeg kadra, tako i same strukture javne uprave, sa smanjenim brojem ministars</w:t>
      </w:r>
      <w:r w:rsidR="00246887" w:rsidRPr="00445D3F">
        <w:rPr>
          <w:rFonts w:asciiTheme="majorHAnsi" w:hAnsiTheme="majorHAnsi" w:cstheme="majorHAnsi"/>
          <w:color w:val="auto"/>
          <w:sz w:val="24"/>
          <w:szCs w:val="24"/>
        </w:rPr>
        <w:t>t</w:t>
      </w:r>
      <w:r w:rsidR="00661AD1" w:rsidRPr="00445D3F">
        <w:rPr>
          <w:rFonts w:asciiTheme="majorHAnsi" w:hAnsiTheme="majorHAnsi" w:cstheme="majorHAnsi"/>
          <w:color w:val="auto"/>
          <w:sz w:val="24"/>
          <w:szCs w:val="24"/>
        </w:rPr>
        <w:t xml:space="preserve">ava i organa u </w:t>
      </w:r>
      <w:r w:rsidR="00751B9C" w:rsidRPr="00445D3F">
        <w:rPr>
          <w:rFonts w:asciiTheme="majorHAnsi" w:hAnsiTheme="majorHAnsi" w:cstheme="majorHAnsi"/>
          <w:color w:val="auto"/>
          <w:sz w:val="24"/>
          <w:szCs w:val="24"/>
        </w:rPr>
        <w:t>sastavu, te izmijenjenim i proširenim nadležnostima istih. Novi fokusi i vizija MJUDDM su ink</w:t>
      </w:r>
      <w:r w:rsidR="00961C2E" w:rsidRPr="00445D3F">
        <w:rPr>
          <w:rFonts w:asciiTheme="majorHAnsi" w:hAnsiTheme="majorHAnsi" w:cstheme="majorHAnsi"/>
          <w:color w:val="auto"/>
          <w:sz w:val="24"/>
          <w:szCs w:val="24"/>
        </w:rPr>
        <w:t>o</w:t>
      </w:r>
      <w:r w:rsidR="00751B9C" w:rsidRPr="00445D3F">
        <w:rPr>
          <w:rFonts w:asciiTheme="majorHAnsi" w:hAnsiTheme="majorHAnsi" w:cstheme="majorHAnsi"/>
          <w:color w:val="auto"/>
          <w:sz w:val="24"/>
          <w:szCs w:val="24"/>
        </w:rPr>
        <w:t>porirani u ovaj strateški dokument.</w:t>
      </w:r>
    </w:p>
    <w:p w:rsidR="000949FE" w:rsidRPr="00445D3F" w:rsidRDefault="00FB023B" w:rsidP="00445D3F">
      <w:pPr>
        <w:spacing w:before="60" w:after="60" w:line="240" w:lineRule="auto"/>
        <w:ind w:right="-471"/>
        <w:jc w:val="both"/>
        <w:rPr>
          <w:rFonts w:asciiTheme="majorHAnsi" w:hAnsiTheme="majorHAnsi" w:cstheme="majorHAnsi"/>
          <w:color w:val="auto"/>
          <w:sz w:val="24"/>
          <w:szCs w:val="24"/>
        </w:rPr>
      </w:pPr>
      <w:r w:rsidRPr="00445D3F">
        <w:rPr>
          <w:rFonts w:asciiTheme="majorHAnsi" w:hAnsiTheme="majorHAnsi" w:cstheme="majorHAnsi"/>
          <w:color w:val="auto"/>
          <w:sz w:val="24"/>
          <w:szCs w:val="24"/>
        </w:rPr>
        <w:t>Dodatno, COVID19 pandem</w:t>
      </w:r>
      <w:r w:rsidR="00246887" w:rsidRPr="00445D3F">
        <w:rPr>
          <w:rFonts w:asciiTheme="majorHAnsi" w:hAnsiTheme="majorHAnsi" w:cstheme="majorHAnsi"/>
          <w:color w:val="auto"/>
          <w:sz w:val="24"/>
          <w:szCs w:val="24"/>
        </w:rPr>
        <w:t>ij</w:t>
      </w:r>
      <w:r w:rsidRPr="00445D3F">
        <w:rPr>
          <w:rFonts w:asciiTheme="majorHAnsi" w:hAnsiTheme="majorHAnsi" w:cstheme="majorHAnsi"/>
          <w:color w:val="auto"/>
          <w:sz w:val="24"/>
          <w:szCs w:val="24"/>
        </w:rPr>
        <w:t>a</w:t>
      </w:r>
      <w:r w:rsidR="00751B9C" w:rsidRPr="00445D3F">
        <w:rPr>
          <w:rFonts w:asciiTheme="majorHAnsi" w:hAnsiTheme="majorHAnsi" w:cstheme="majorHAnsi"/>
          <w:color w:val="auto"/>
          <w:sz w:val="24"/>
          <w:szCs w:val="24"/>
        </w:rPr>
        <w:t xml:space="preserve"> je utical</w:t>
      </w:r>
      <w:r w:rsidR="00C174C8" w:rsidRPr="00445D3F">
        <w:rPr>
          <w:rFonts w:asciiTheme="majorHAnsi" w:hAnsiTheme="majorHAnsi" w:cstheme="majorHAnsi"/>
          <w:color w:val="auto"/>
          <w:sz w:val="24"/>
          <w:szCs w:val="24"/>
        </w:rPr>
        <w:t>a na ekonomske</w:t>
      </w:r>
      <w:r w:rsidRPr="00445D3F">
        <w:rPr>
          <w:rFonts w:asciiTheme="majorHAnsi" w:hAnsiTheme="majorHAnsi" w:cstheme="majorHAnsi"/>
          <w:color w:val="auto"/>
          <w:sz w:val="24"/>
          <w:szCs w:val="24"/>
        </w:rPr>
        <w:t xml:space="preserve"> i </w:t>
      </w:r>
      <w:r w:rsidR="00C174C8" w:rsidRPr="00445D3F">
        <w:rPr>
          <w:rFonts w:asciiTheme="majorHAnsi" w:hAnsiTheme="majorHAnsi" w:cstheme="majorHAnsi"/>
          <w:color w:val="auto"/>
          <w:sz w:val="24"/>
          <w:szCs w:val="24"/>
        </w:rPr>
        <w:t>strukturne reforme</w:t>
      </w:r>
      <w:r w:rsidR="00751B9C" w:rsidRPr="00445D3F">
        <w:rPr>
          <w:rFonts w:asciiTheme="majorHAnsi" w:hAnsiTheme="majorHAnsi" w:cstheme="majorHAnsi"/>
          <w:color w:val="auto"/>
          <w:sz w:val="24"/>
          <w:szCs w:val="24"/>
        </w:rPr>
        <w:t xml:space="preserve"> Crne Gore u svim segmentima, a posebno je oteža</w:t>
      </w:r>
      <w:r w:rsidR="00C87CDB" w:rsidRPr="00445D3F">
        <w:rPr>
          <w:rFonts w:asciiTheme="majorHAnsi" w:hAnsiTheme="majorHAnsi" w:cstheme="majorHAnsi"/>
          <w:color w:val="auto"/>
          <w:sz w:val="24"/>
          <w:szCs w:val="24"/>
        </w:rPr>
        <w:t>no funkcionisanje javne uprave.</w:t>
      </w:r>
      <w:r w:rsidR="00751B9C" w:rsidRPr="00445D3F">
        <w:rPr>
          <w:rFonts w:asciiTheme="majorHAnsi" w:hAnsiTheme="majorHAnsi" w:cstheme="majorHAnsi"/>
          <w:color w:val="auto"/>
          <w:sz w:val="24"/>
          <w:szCs w:val="24"/>
        </w:rPr>
        <w:t xml:space="preserve"> </w:t>
      </w:r>
      <w:r w:rsidR="00C174C8" w:rsidRPr="00445D3F">
        <w:rPr>
          <w:rFonts w:asciiTheme="majorHAnsi" w:hAnsiTheme="majorHAnsi" w:cstheme="majorHAnsi"/>
          <w:color w:val="auto"/>
          <w:sz w:val="24"/>
          <w:szCs w:val="24"/>
        </w:rPr>
        <w:t>S tim u vezi Vlada CG je usvojila mjeru rada i pružanja usluga van kancelarije, kako bi se nesmetao nastavio rad svih organa javne uprave. Svakako</w:t>
      </w:r>
      <w:r w:rsidR="00751B9C" w:rsidRPr="00445D3F">
        <w:rPr>
          <w:rFonts w:asciiTheme="majorHAnsi" w:hAnsiTheme="majorHAnsi" w:cstheme="majorHAnsi"/>
          <w:color w:val="auto"/>
          <w:sz w:val="24"/>
          <w:szCs w:val="24"/>
        </w:rPr>
        <w:t xml:space="preserve">, kriza COVID19 ne treba </w:t>
      </w:r>
      <w:r w:rsidRPr="00445D3F">
        <w:rPr>
          <w:rFonts w:asciiTheme="majorHAnsi" w:hAnsiTheme="majorHAnsi" w:cstheme="majorHAnsi"/>
          <w:color w:val="auto"/>
          <w:sz w:val="24"/>
          <w:szCs w:val="24"/>
        </w:rPr>
        <w:t>da uspori</w:t>
      </w:r>
      <w:r w:rsidR="00751B9C" w:rsidRPr="00445D3F">
        <w:rPr>
          <w:rFonts w:asciiTheme="majorHAnsi" w:hAnsiTheme="majorHAnsi" w:cstheme="majorHAnsi"/>
          <w:color w:val="auto"/>
          <w:sz w:val="24"/>
          <w:szCs w:val="24"/>
        </w:rPr>
        <w:t xml:space="preserve"> tempo ka ukupnim ciljevima </w:t>
      </w:r>
      <w:r w:rsidRPr="00445D3F">
        <w:rPr>
          <w:rFonts w:asciiTheme="majorHAnsi" w:hAnsiTheme="majorHAnsi" w:cstheme="majorHAnsi"/>
          <w:color w:val="auto"/>
          <w:sz w:val="24"/>
          <w:szCs w:val="24"/>
        </w:rPr>
        <w:t>MJUDDM</w:t>
      </w:r>
      <w:r w:rsidR="00BF4CEF" w:rsidRPr="00445D3F">
        <w:rPr>
          <w:rFonts w:asciiTheme="majorHAnsi" w:hAnsiTheme="majorHAnsi" w:cstheme="majorHAnsi"/>
          <w:color w:val="auto"/>
          <w:sz w:val="24"/>
          <w:szCs w:val="24"/>
        </w:rPr>
        <w:t xml:space="preserve">, </w:t>
      </w:r>
      <w:r w:rsidR="00BB0E26" w:rsidRPr="00445D3F">
        <w:rPr>
          <w:rFonts w:asciiTheme="majorHAnsi" w:hAnsiTheme="majorHAnsi" w:cstheme="majorHAnsi"/>
          <w:color w:val="auto"/>
          <w:sz w:val="24"/>
          <w:szCs w:val="24"/>
        </w:rPr>
        <w:t xml:space="preserve">a </w:t>
      </w:r>
      <w:r w:rsidR="00BF4CEF" w:rsidRPr="00445D3F">
        <w:rPr>
          <w:rFonts w:asciiTheme="majorHAnsi" w:hAnsiTheme="majorHAnsi" w:cstheme="majorHAnsi"/>
          <w:color w:val="auto"/>
          <w:sz w:val="24"/>
          <w:szCs w:val="24"/>
        </w:rPr>
        <w:t>dodatni napori za oporav</w:t>
      </w:r>
      <w:r w:rsidR="00961C2E" w:rsidRPr="00445D3F">
        <w:rPr>
          <w:rFonts w:asciiTheme="majorHAnsi" w:hAnsiTheme="majorHAnsi" w:cstheme="majorHAnsi"/>
          <w:color w:val="auto"/>
          <w:sz w:val="24"/>
          <w:szCs w:val="24"/>
        </w:rPr>
        <w:t>a</w:t>
      </w:r>
      <w:r w:rsidR="00BF4CEF" w:rsidRPr="00445D3F">
        <w:rPr>
          <w:rFonts w:asciiTheme="majorHAnsi" w:hAnsiTheme="majorHAnsi" w:cstheme="majorHAnsi"/>
          <w:color w:val="auto"/>
          <w:sz w:val="24"/>
          <w:szCs w:val="24"/>
        </w:rPr>
        <w:t>k</w:t>
      </w:r>
      <w:r w:rsidR="00751B9C" w:rsidRPr="00445D3F">
        <w:rPr>
          <w:rFonts w:asciiTheme="majorHAnsi" w:hAnsiTheme="majorHAnsi" w:cstheme="majorHAnsi"/>
          <w:color w:val="auto"/>
          <w:sz w:val="24"/>
          <w:szCs w:val="24"/>
        </w:rPr>
        <w:t xml:space="preserve"> su usmjereni ka viziji otvorenije, transparentnije, efika</w:t>
      </w:r>
      <w:r w:rsidRPr="00445D3F">
        <w:rPr>
          <w:rFonts w:asciiTheme="majorHAnsi" w:hAnsiTheme="majorHAnsi" w:cstheme="majorHAnsi"/>
          <w:color w:val="auto"/>
          <w:sz w:val="24"/>
          <w:szCs w:val="24"/>
        </w:rPr>
        <w:t>snije javne uprave</w:t>
      </w:r>
      <w:r w:rsidR="00751B9C" w:rsidRPr="00445D3F">
        <w:rPr>
          <w:rFonts w:asciiTheme="majorHAnsi" w:hAnsiTheme="majorHAnsi" w:cstheme="majorHAnsi"/>
          <w:color w:val="auto"/>
          <w:sz w:val="24"/>
          <w:szCs w:val="24"/>
        </w:rPr>
        <w:t xml:space="preserve"> „sa pravim ljudima na pravom mjestu“. Javna uprava je temelj i pokretač</w:t>
      </w:r>
      <w:r w:rsidRPr="00445D3F">
        <w:rPr>
          <w:rFonts w:asciiTheme="majorHAnsi" w:hAnsiTheme="majorHAnsi" w:cstheme="majorHAnsi"/>
          <w:color w:val="auto"/>
          <w:sz w:val="24"/>
          <w:szCs w:val="24"/>
        </w:rPr>
        <w:t xml:space="preserve"> obnove društ</w:t>
      </w:r>
      <w:r w:rsidR="00751B9C" w:rsidRPr="00445D3F">
        <w:rPr>
          <w:rFonts w:asciiTheme="majorHAnsi" w:hAnsiTheme="majorHAnsi" w:cstheme="majorHAnsi"/>
          <w:color w:val="auto"/>
          <w:sz w:val="24"/>
          <w:szCs w:val="24"/>
        </w:rPr>
        <w:t xml:space="preserve">va, što zahtijeva nove mehanizme </w:t>
      </w:r>
      <w:r w:rsidR="00C174C8" w:rsidRPr="00445D3F">
        <w:rPr>
          <w:rFonts w:asciiTheme="majorHAnsi" w:hAnsiTheme="majorHAnsi" w:cstheme="majorHAnsi"/>
          <w:color w:val="auto"/>
          <w:sz w:val="24"/>
          <w:szCs w:val="24"/>
        </w:rPr>
        <w:t>kao odgovor na pandemiju</w:t>
      </w:r>
      <w:r w:rsidRPr="00445D3F">
        <w:rPr>
          <w:rFonts w:asciiTheme="majorHAnsi" w:hAnsiTheme="majorHAnsi" w:cstheme="majorHAnsi"/>
          <w:color w:val="auto"/>
          <w:sz w:val="24"/>
          <w:szCs w:val="24"/>
        </w:rPr>
        <w:t>,</w:t>
      </w:r>
      <w:r w:rsidR="00751B9C" w:rsidRPr="00445D3F">
        <w:rPr>
          <w:rFonts w:asciiTheme="majorHAnsi" w:hAnsiTheme="majorHAnsi" w:cstheme="majorHAnsi"/>
          <w:color w:val="auto"/>
          <w:sz w:val="24"/>
          <w:szCs w:val="24"/>
        </w:rPr>
        <w:t xml:space="preserve"> ali i u i</w:t>
      </w:r>
      <w:r w:rsidR="002B1883" w:rsidRPr="00445D3F">
        <w:rPr>
          <w:rFonts w:asciiTheme="majorHAnsi" w:hAnsiTheme="majorHAnsi" w:cstheme="majorHAnsi"/>
          <w:color w:val="auto"/>
          <w:sz w:val="24"/>
          <w:szCs w:val="24"/>
        </w:rPr>
        <w:t>s</w:t>
      </w:r>
      <w:r w:rsidR="00751B9C" w:rsidRPr="00445D3F">
        <w:rPr>
          <w:rFonts w:asciiTheme="majorHAnsi" w:hAnsiTheme="majorHAnsi" w:cstheme="majorHAnsi"/>
          <w:color w:val="auto"/>
          <w:sz w:val="24"/>
          <w:szCs w:val="24"/>
        </w:rPr>
        <w:t>to vrijeme mehanizme za bolje funkcionisanje javne administracije u službi građana/ki.</w:t>
      </w:r>
    </w:p>
    <w:p w:rsidR="001A1838" w:rsidRPr="00445D3F" w:rsidRDefault="00F96A2C" w:rsidP="00445D3F">
      <w:pPr>
        <w:spacing w:before="60" w:after="60" w:line="240" w:lineRule="auto"/>
        <w:ind w:right="-471"/>
        <w:jc w:val="both"/>
        <w:rPr>
          <w:rFonts w:asciiTheme="majorHAnsi" w:hAnsiTheme="majorHAnsi" w:cstheme="majorHAnsi"/>
          <w:color w:val="auto"/>
          <w:sz w:val="24"/>
          <w:szCs w:val="24"/>
          <w:u w:val="single"/>
        </w:rPr>
      </w:pPr>
      <w:r w:rsidRPr="00445D3F">
        <w:rPr>
          <w:rFonts w:asciiTheme="majorHAnsi" w:hAnsiTheme="majorHAnsi" w:cstheme="majorHAnsi"/>
          <w:b/>
          <w:color w:val="auto"/>
          <w:sz w:val="24"/>
          <w:szCs w:val="24"/>
          <w:u w:val="single"/>
        </w:rPr>
        <w:t xml:space="preserve">Finansijska </w:t>
      </w:r>
      <w:r w:rsidR="004E0E40" w:rsidRPr="00445D3F">
        <w:rPr>
          <w:rFonts w:asciiTheme="majorHAnsi" w:hAnsiTheme="majorHAnsi" w:cstheme="majorHAnsi"/>
          <w:b/>
          <w:color w:val="auto"/>
          <w:sz w:val="24"/>
          <w:szCs w:val="24"/>
          <w:u w:val="single"/>
        </w:rPr>
        <w:t>održivost procesa reforme javne uprave i donorska koordinacija</w:t>
      </w:r>
    </w:p>
    <w:p w:rsidR="001A1838" w:rsidRPr="00445D3F" w:rsidRDefault="00BB0E26" w:rsidP="00445D3F">
      <w:pPr>
        <w:spacing w:before="60" w:after="60" w:line="240" w:lineRule="auto"/>
        <w:ind w:right="-471"/>
        <w:jc w:val="both"/>
        <w:rPr>
          <w:rFonts w:asciiTheme="majorHAnsi" w:hAnsiTheme="majorHAnsi" w:cstheme="majorHAnsi"/>
          <w:color w:val="auto"/>
          <w:sz w:val="24"/>
          <w:szCs w:val="24"/>
        </w:rPr>
      </w:pPr>
      <w:r w:rsidRPr="00445D3F">
        <w:rPr>
          <w:rFonts w:asciiTheme="majorHAnsi" w:hAnsiTheme="majorHAnsi" w:cstheme="majorHAnsi"/>
          <w:color w:val="auto"/>
          <w:sz w:val="24"/>
          <w:szCs w:val="24"/>
        </w:rPr>
        <w:t>Pored budžetski opredijeljenih sred</w:t>
      </w:r>
      <w:r w:rsidR="00961C2E" w:rsidRPr="00445D3F">
        <w:rPr>
          <w:rFonts w:asciiTheme="majorHAnsi" w:hAnsiTheme="majorHAnsi" w:cstheme="majorHAnsi"/>
          <w:color w:val="auto"/>
          <w:sz w:val="24"/>
          <w:szCs w:val="24"/>
        </w:rPr>
        <w:t>s</w:t>
      </w:r>
      <w:r w:rsidRPr="00445D3F">
        <w:rPr>
          <w:rFonts w:asciiTheme="majorHAnsi" w:hAnsiTheme="majorHAnsi" w:cstheme="majorHAnsi"/>
          <w:color w:val="auto"/>
          <w:sz w:val="24"/>
          <w:szCs w:val="24"/>
        </w:rPr>
        <w:t xml:space="preserve">tava, </w:t>
      </w:r>
      <w:r w:rsidR="00F96A2C" w:rsidRPr="00445D3F">
        <w:rPr>
          <w:rFonts w:asciiTheme="majorHAnsi" w:hAnsiTheme="majorHAnsi" w:cstheme="majorHAnsi"/>
          <w:color w:val="auto"/>
          <w:sz w:val="24"/>
          <w:szCs w:val="24"/>
        </w:rPr>
        <w:t>St</w:t>
      </w:r>
      <w:r w:rsidR="004E0E40" w:rsidRPr="00445D3F">
        <w:rPr>
          <w:rFonts w:asciiTheme="majorHAnsi" w:hAnsiTheme="majorHAnsi" w:cstheme="majorHAnsi"/>
          <w:color w:val="auto"/>
          <w:sz w:val="24"/>
          <w:szCs w:val="24"/>
        </w:rPr>
        <w:t>rategija</w:t>
      </w:r>
      <w:r w:rsidR="00F96A2C" w:rsidRPr="00445D3F">
        <w:rPr>
          <w:rFonts w:asciiTheme="majorHAnsi" w:hAnsiTheme="majorHAnsi" w:cstheme="majorHAnsi"/>
          <w:color w:val="auto"/>
          <w:sz w:val="24"/>
          <w:szCs w:val="24"/>
        </w:rPr>
        <w:t xml:space="preserve"> reforme javne uprave 2016 – 2020</w:t>
      </w:r>
      <w:r w:rsidR="004132E3" w:rsidRPr="00445D3F">
        <w:rPr>
          <w:rFonts w:asciiTheme="majorHAnsi" w:hAnsiTheme="majorHAnsi" w:cstheme="majorHAnsi"/>
          <w:color w:val="auto"/>
          <w:sz w:val="24"/>
          <w:szCs w:val="24"/>
        </w:rPr>
        <w:t>.</w:t>
      </w:r>
      <w:r w:rsidR="00F96A2C" w:rsidRPr="00445D3F">
        <w:rPr>
          <w:rFonts w:asciiTheme="majorHAnsi" w:hAnsiTheme="majorHAnsi" w:cstheme="majorHAnsi"/>
          <w:color w:val="auto"/>
          <w:sz w:val="24"/>
          <w:szCs w:val="24"/>
        </w:rPr>
        <w:t xml:space="preserve"> je finansijski podržana </w:t>
      </w:r>
      <w:r w:rsidRPr="00445D3F">
        <w:rPr>
          <w:rFonts w:asciiTheme="majorHAnsi" w:hAnsiTheme="majorHAnsi" w:cstheme="majorHAnsi"/>
          <w:color w:val="auto"/>
          <w:sz w:val="24"/>
          <w:szCs w:val="24"/>
        </w:rPr>
        <w:t xml:space="preserve">i </w:t>
      </w:r>
      <w:r w:rsidR="00F96A2C" w:rsidRPr="00445D3F">
        <w:rPr>
          <w:rFonts w:asciiTheme="majorHAnsi" w:hAnsiTheme="majorHAnsi" w:cstheme="majorHAnsi"/>
          <w:color w:val="auto"/>
          <w:sz w:val="24"/>
          <w:szCs w:val="24"/>
        </w:rPr>
        <w:t>fondovima Evropske unije, konkretno Sekto</w:t>
      </w:r>
      <w:r w:rsidR="00765552" w:rsidRPr="00445D3F">
        <w:rPr>
          <w:rFonts w:asciiTheme="majorHAnsi" w:hAnsiTheme="majorHAnsi" w:cstheme="majorHAnsi"/>
          <w:color w:val="auto"/>
          <w:sz w:val="24"/>
          <w:szCs w:val="24"/>
        </w:rPr>
        <w:t>rskom budž</w:t>
      </w:r>
      <w:r w:rsidR="00F96A2C" w:rsidRPr="00445D3F">
        <w:rPr>
          <w:rFonts w:asciiTheme="majorHAnsi" w:hAnsiTheme="majorHAnsi" w:cstheme="majorHAnsi"/>
          <w:color w:val="auto"/>
          <w:sz w:val="24"/>
          <w:szCs w:val="24"/>
        </w:rPr>
        <w:t>etskom pomoću</w:t>
      </w:r>
      <w:r w:rsidR="00765552" w:rsidRPr="00445D3F">
        <w:rPr>
          <w:rFonts w:asciiTheme="majorHAnsi" w:hAnsiTheme="majorHAnsi" w:cstheme="majorHAnsi"/>
          <w:color w:val="auto"/>
          <w:sz w:val="24"/>
          <w:szCs w:val="24"/>
        </w:rPr>
        <w:t xml:space="preserve"> (SBP)</w:t>
      </w:r>
      <w:r w:rsidR="00F96A2C" w:rsidRPr="00445D3F">
        <w:rPr>
          <w:rFonts w:asciiTheme="majorHAnsi" w:hAnsiTheme="majorHAnsi" w:cstheme="majorHAnsi"/>
          <w:color w:val="auto"/>
          <w:sz w:val="24"/>
          <w:szCs w:val="24"/>
        </w:rPr>
        <w:t xml:space="preserve"> sa </w:t>
      </w:r>
      <w:r w:rsidR="00C174C8" w:rsidRPr="00445D3F">
        <w:rPr>
          <w:rFonts w:asciiTheme="majorHAnsi" w:hAnsiTheme="majorHAnsi" w:cstheme="majorHAnsi"/>
          <w:color w:val="auto"/>
          <w:sz w:val="24"/>
          <w:szCs w:val="24"/>
        </w:rPr>
        <w:t>opredijeljenim</w:t>
      </w:r>
      <w:r w:rsidR="00F96A2C" w:rsidRPr="00445D3F">
        <w:rPr>
          <w:rFonts w:asciiTheme="majorHAnsi" w:hAnsiTheme="majorHAnsi" w:cstheme="majorHAnsi"/>
          <w:color w:val="auto"/>
          <w:sz w:val="24"/>
          <w:szCs w:val="24"/>
        </w:rPr>
        <w:t xml:space="preserve"> iznosom od </w:t>
      </w:r>
      <w:r w:rsidR="008F5779" w:rsidRPr="00445D3F">
        <w:rPr>
          <w:rFonts w:asciiTheme="majorHAnsi" w:hAnsiTheme="majorHAnsi" w:cstheme="majorHAnsi"/>
          <w:color w:val="auto"/>
          <w:sz w:val="24"/>
          <w:szCs w:val="24"/>
        </w:rPr>
        <w:t>15 mil EUR, od kojih je 4,9</w:t>
      </w:r>
      <w:r w:rsidR="00F96A2C" w:rsidRPr="00445D3F">
        <w:rPr>
          <w:rFonts w:asciiTheme="majorHAnsi" w:hAnsiTheme="majorHAnsi" w:cstheme="majorHAnsi"/>
          <w:color w:val="auto"/>
          <w:sz w:val="24"/>
          <w:szCs w:val="24"/>
        </w:rPr>
        <w:t xml:space="preserve"> mil EUR </w:t>
      </w:r>
      <w:r w:rsidR="000F5E6D" w:rsidRPr="00445D3F">
        <w:rPr>
          <w:rFonts w:asciiTheme="majorHAnsi" w:hAnsiTheme="majorHAnsi" w:cstheme="majorHAnsi"/>
          <w:color w:val="auto"/>
          <w:sz w:val="24"/>
          <w:szCs w:val="24"/>
        </w:rPr>
        <w:t>realizovano</w:t>
      </w:r>
      <w:r w:rsidR="00F96A2C" w:rsidRPr="00445D3F">
        <w:rPr>
          <w:rFonts w:asciiTheme="majorHAnsi" w:hAnsiTheme="majorHAnsi" w:cstheme="majorHAnsi"/>
          <w:color w:val="auto"/>
          <w:sz w:val="24"/>
          <w:szCs w:val="24"/>
        </w:rPr>
        <w:t xml:space="preserve"> kroz </w:t>
      </w:r>
      <w:r w:rsidR="008F5779" w:rsidRPr="00445D3F">
        <w:rPr>
          <w:rFonts w:asciiTheme="majorHAnsi" w:hAnsiTheme="majorHAnsi" w:cstheme="majorHAnsi"/>
          <w:color w:val="auto"/>
          <w:sz w:val="24"/>
          <w:szCs w:val="24"/>
          <w:shd w:val="clear" w:color="auto" w:fill="FFFFFF" w:themeFill="background1"/>
        </w:rPr>
        <w:t xml:space="preserve">15 </w:t>
      </w:r>
      <w:r w:rsidR="00F96A2C" w:rsidRPr="00445D3F">
        <w:rPr>
          <w:rFonts w:asciiTheme="majorHAnsi" w:hAnsiTheme="majorHAnsi" w:cstheme="majorHAnsi"/>
          <w:color w:val="auto"/>
          <w:sz w:val="24"/>
          <w:szCs w:val="24"/>
          <w:shd w:val="clear" w:color="auto" w:fill="FFFFFF" w:themeFill="background1"/>
        </w:rPr>
        <w:t>projekata (</w:t>
      </w:r>
      <w:r w:rsidR="00F96A2C" w:rsidRPr="00445D3F">
        <w:rPr>
          <w:rFonts w:asciiTheme="majorHAnsi" w:hAnsiTheme="majorHAnsi" w:cstheme="majorHAnsi"/>
          <w:color w:val="auto"/>
          <w:sz w:val="24"/>
          <w:szCs w:val="24"/>
        </w:rPr>
        <w:t>komplementarni dio</w:t>
      </w:r>
      <w:r w:rsidR="00C174C8" w:rsidRPr="00445D3F">
        <w:rPr>
          <w:rFonts w:asciiTheme="majorHAnsi" w:hAnsiTheme="majorHAnsi" w:cstheme="majorHAnsi"/>
          <w:color w:val="auto"/>
          <w:sz w:val="24"/>
          <w:szCs w:val="24"/>
        </w:rPr>
        <w:t xml:space="preserve"> – tehnička podrđka</w:t>
      </w:r>
      <w:r w:rsidR="00F96A2C" w:rsidRPr="00445D3F">
        <w:rPr>
          <w:rFonts w:asciiTheme="majorHAnsi" w:hAnsiTheme="majorHAnsi" w:cstheme="majorHAnsi"/>
          <w:color w:val="auto"/>
          <w:sz w:val="24"/>
          <w:szCs w:val="24"/>
        </w:rPr>
        <w:t>), a ostatak dire</w:t>
      </w:r>
      <w:r w:rsidR="00BF4CEF" w:rsidRPr="00445D3F">
        <w:rPr>
          <w:rFonts w:asciiTheme="majorHAnsi" w:hAnsiTheme="majorHAnsi" w:cstheme="majorHAnsi"/>
          <w:color w:val="auto"/>
          <w:sz w:val="24"/>
          <w:szCs w:val="24"/>
        </w:rPr>
        <w:t>k</w:t>
      </w:r>
      <w:r w:rsidR="00F96A2C" w:rsidRPr="00445D3F">
        <w:rPr>
          <w:rFonts w:asciiTheme="majorHAnsi" w:hAnsiTheme="majorHAnsi" w:cstheme="majorHAnsi"/>
          <w:color w:val="auto"/>
          <w:sz w:val="24"/>
          <w:szCs w:val="24"/>
        </w:rPr>
        <w:t xml:space="preserve">tnim budžetskim transferima u odnosu na % ispunjenosti indikatora definisanim kroz </w:t>
      </w:r>
      <w:r w:rsidRPr="00445D3F">
        <w:rPr>
          <w:rFonts w:asciiTheme="majorHAnsi" w:hAnsiTheme="majorHAnsi" w:cstheme="majorHAnsi"/>
          <w:color w:val="auto"/>
          <w:sz w:val="24"/>
          <w:szCs w:val="24"/>
        </w:rPr>
        <w:t>ovaj mehanizam.</w:t>
      </w:r>
      <w:r w:rsidR="00F96A2C" w:rsidRPr="00445D3F">
        <w:rPr>
          <w:rFonts w:asciiTheme="majorHAnsi" w:hAnsiTheme="majorHAnsi" w:cstheme="majorHAnsi"/>
          <w:color w:val="auto"/>
          <w:sz w:val="24"/>
          <w:szCs w:val="24"/>
        </w:rPr>
        <w:t xml:space="preserve"> </w:t>
      </w:r>
    </w:p>
    <w:p w:rsidR="00BB0E26" w:rsidRPr="00445D3F" w:rsidRDefault="00E11593" w:rsidP="00445D3F">
      <w:pPr>
        <w:spacing w:before="60" w:after="60" w:line="240" w:lineRule="auto"/>
        <w:ind w:right="-471"/>
        <w:jc w:val="both"/>
        <w:rPr>
          <w:rFonts w:asciiTheme="majorHAnsi" w:hAnsiTheme="majorHAnsi" w:cstheme="majorHAnsi"/>
          <w:color w:val="auto"/>
          <w:sz w:val="24"/>
          <w:szCs w:val="24"/>
        </w:rPr>
      </w:pPr>
      <w:r w:rsidRPr="00445D3F">
        <w:rPr>
          <w:rFonts w:asciiTheme="majorHAnsi" w:hAnsiTheme="majorHAnsi" w:cstheme="majorHAnsi"/>
          <w:color w:val="auto"/>
          <w:sz w:val="24"/>
          <w:szCs w:val="24"/>
        </w:rPr>
        <w:t>U Crnoj Gori je uspostavljen programski budžet, tj. poseban podprogram koji se odnosi na oblast reforme javne uprave.</w:t>
      </w:r>
      <w:r w:rsidR="00C4082D" w:rsidRPr="00445D3F">
        <w:rPr>
          <w:rFonts w:asciiTheme="majorHAnsi" w:hAnsiTheme="majorHAnsi" w:cstheme="majorHAnsi"/>
          <w:color w:val="auto"/>
          <w:sz w:val="24"/>
          <w:szCs w:val="24"/>
        </w:rPr>
        <w:t xml:space="preserve"> </w:t>
      </w:r>
      <w:r w:rsidR="00AB7753" w:rsidRPr="00445D3F">
        <w:rPr>
          <w:rFonts w:asciiTheme="majorHAnsi" w:hAnsiTheme="majorHAnsi" w:cstheme="majorHAnsi"/>
          <w:color w:val="auto"/>
          <w:sz w:val="24"/>
          <w:szCs w:val="24"/>
        </w:rPr>
        <w:t>Kroz Budžet za 2022</w:t>
      </w:r>
      <w:r w:rsidR="00BB0E26" w:rsidRPr="00445D3F">
        <w:rPr>
          <w:rFonts w:asciiTheme="majorHAnsi" w:hAnsiTheme="majorHAnsi" w:cstheme="majorHAnsi"/>
          <w:color w:val="auto"/>
          <w:sz w:val="24"/>
          <w:szCs w:val="24"/>
        </w:rPr>
        <w:t xml:space="preserve">. godinu predviđena su finansijska sredstva za implementaciju Strategije RJU 2022-2026, i to definisanjem oblasti reforme javne uprave kroz razvoj </w:t>
      </w:r>
      <w:r w:rsidR="00BB0E26" w:rsidRPr="00445D3F">
        <w:rPr>
          <w:rFonts w:asciiTheme="majorHAnsi" w:hAnsiTheme="majorHAnsi" w:cstheme="majorHAnsi"/>
          <w:color w:val="auto"/>
          <w:sz w:val="24"/>
          <w:szCs w:val="24"/>
        </w:rPr>
        <w:lastRenderedPageBreak/>
        <w:t>programskog budžeta. Srazmjerno definisanim aktivnostima Startegije RJU 2022-2026</w:t>
      </w:r>
      <w:r w:rsidR="004132E3" w:rsidRPr="00445D3F">
        <w:rPr>
          <w:rFonts w:asciiTheme="majorHAnsi" w:hAnsiTheme="majorHAnsi" w:cstheme="majorHAnsi"/>
          <w:color w:val="auto"/>
          <w:sz w:val="24"/>
          <w:szCs w:val="24"/>
        </w:rPr>
        <w:t>.</w:t>
      </w:r>
      <w:r w:rsidR="00BB0E26" w:rsidRPr="00445D3F">
        <w:rPr>
          <w:rFonts w:asciiTheme="majorHAnsi" w:hAnsiTheme="majorHAnsi" w:cstheme="majorHAnsi"/>
          <w:color w:val="auto"/>
          <w:sz w:val="24"/>
          <w:szCs w:val="24"/>
        </w:rPr>
        <w:t xml:space="preserve"> i neophodnim finansijskim resursima za realizaciju istih, predviđeno je da se kroz naredne 4 godine za postizanje svih operativnih ciljeva izdvoje finansijska sredstva u ukupnom iznosu od 20 miliona EUR. </w:t>
      </w:r>
      <w:r w:rsidR="00BB0E26" w:rsidRPr="00160D6C">
        <w:rPr>
          <w:rFonts w:asciiTheme="majorHAnsi" w:hAnsiTheme="majorHAnsi" w:cstheme="majorHAnsi"/>
          <w:color w:val="auto"/>
          <w:sz w:val="24"/>
          <w:szCs w:val="24"/>
        </w:rPr>
        <w:t xml:space="preserve">Proporcionalno definisanim AP za 2022-2024. godinu predviđen je utrošak </w:t>
      </w:r>
      <w:r w:rsidR="00C046D3" w:rsidRPr="00160D6C">
        <w:rPr>
          <w:rFonts w:asciiTheme="majorHAnsi" w:hAnsiTheme="majorHAnsi" w:cstheme="majorHAnsi"/>
          <w:color w:val="auto"/>
          <w:sz w:val="24"/>
          <w:szCs w:val="24"/>
        </w:rPr>
        <w:t xml:space="preserve">oko </w:t>
      </w:r>
      <w:r w:rsidR="00C046D3" w:rsidRPr="00160D6C">
        <w:rPr>
          <w:rFonts w:asciiTheme="majorHAnsi" w:hAnsiTheme="majorHAnsi" w:cstheme="majorHAnsi"/>
          <w:color w:val="auto"/>
          <w:sz w:val="24"/>
          <w:szCs w:val="24"/>
          <w:u w:val="single"/>
        </w:rPr>
        <w:t xml:space="preserve">4 miliona </w:t>
      </w:r>
      <w:r w:rsidR="00BB0E26" w:rsidRPr="00160D6C">
        <w:rPr>
          <w:rFonts w:asciiTheme="majorHAnsi" w:hAnsiTheme="majorHAnsi" w:cstheme="majorHAnsi"/>
          <w:color w:val="auto"/>
          <w:sz w:val="24"/>
          <w:szCs w:val="24"/>
          <w:u w:val="single"/>
        </w:rPr>
        <w:t>EUR</w:t>
      </w:r>
      <w:r w:rsidR="00BB0E26" w:rsidRPr="00160D6C">
        <w:rPr>
          <w:rFonts w:asciiTheme="majorHAnsi" w:hAnsiTheme="majorHAnsi" w:cstheme="majorHAnsi"/>
          <w:color w:val="auto"/>
          <w:sz w:val="24"/>
          <w:szCs w:val="24"/>
        </w:rPr>
        <w:t xml:space="preserve">, dok će se sledećim Akcionim planom za 2024-2026. godinu </w:t>
      </w:r>
      <w:r w:rsidR="008851B0" w:rsidRPr="00160D6C">
        <w:rPr>
          <w:rFonts w:asciiTheme="majorHAnsi" w:hAnsiTheme="majorHAnsi" w:cstheme="majorHAnsi"/>
          <w:color w:val="auto"/>
          <w:sz w:val="24"/>
          <w:szCs w:val="24"/>
        </w:rPr>
        <w:t>pripremiti</w:t>
      </w:r>
      <w:r w:rsidR="00BB0E26" w:rsidRPr="00160D6C">
        <w:rPr>
          <w:rFonts w:asciiTheme="majorHAnsi" w:hAnsiTheme="majorHAnsi" w:cstheme="majorHAnsi"/>
          <w:color w:val="auto"/>
          <w:sz w:val="24"/>
          <w:szCs w:val="24"/>
        </w:rPr>
        <w:t xml:space="preserve"> </w:t>
      </w:r>
      <w:r w:rsidR="008851B0" w:rsidRPr="00160D6C">
        <w:rPr>
          <w:rFonts w:asciiTheme="majorHAnsi" w:hAnsiTheme="majorHAnsi" w:cstheme="majorHAnsi"/>
          <w:color w:val="auto"/>
          <w:sz w:val="24"/>
          <w:szCs w:val="24"/>
        </w:rPr>
        <w:t>finansijska alokacija za preostala sredst</w:t>
      </w:r>
      <w:r w:rsidR="00BB0E26" w:rsidRPr="00160D6C">
        <w:rPr>
          <w:rFonts w:asciiTheme="majorHAnsi" w:hAnsiTheme="majorHAnsi" w:cstheme="majorHAnsi"/>
          <w:color w:val="auto"/>
          <w:sz w:val="24"/>
          <w:szCs w:val="24"/>
        </w:rPr>
        <w:t>va.</w:t>
      </w:r>
    </w:p>
    <w:p w:rsidR="00F96A2C" w:rsidRPr="00445D3F" w:rsidRDefault="00BB0E26" w:rsidP="00445D3F">
      <w:pPr>
        <w:spacing w:before="60" w:after="60" w:line="240" w:lineRule="auto"/>
        <w:ind w:right="-471"/>
        <w:jc w:val="both"/>
        <w:rPr>
          <w:rFonts w:asciiTheme="majorHAnsi" w:hAnsiTheme="majorHAnsi" w:cstheme="majorHAnsi"/>
          <w:color w:val="auto"/>
          <w:sz w:val="24"/>
          <w:szCs w:val="24"/>
        </w:rPr>
      </w:pPr>
      <w:r w:rsidRPr="00445D3F">
        <w:rPr>
          <w:rFonts w:asciiTheme="majorHAnsi" w:hAnsiTheme="majorHAnsi" w:cstheme="majorHAnsi"/>
          <w:color w:val="auto"/>
          <w:sz w:val="24"/>
          <w:szCs w:val="24"/>
        </w:rPr>
        <w:t>Strategija RJU 2022 – 2026</w:t>
      </w:r>
      <w:r w:rsidR="004132E3" w:rsidRPr="00445D3F">
        <w:rPr>
          <w:rFonts w:asciiTheme="majorHAnsi" w:hAnsiTheme="majorHAnsi" w:cstheme="majorHAnsi"/>
          <w:color w:val="auto"/>
          <w:sz w:val="24"/>
          <w:szCs w:val="24"/>
        </w:rPr>
        <w:t>.</w:t>
      </w:r>
      <w:r w:rsidRPr="00445D3F">
        <w:rPr>
          <w:rFonts w:asciiTheme="majorHAnsi" w:hAnsiTheme="majorHAnsi" w:cstheme="majorHAnsi"/>
          <w:color w:val="auto"/>
          <w:sz w:val="24"/>
          <w:szCs w:val="24"/>
        </w:rPr>
        <w:t xml:space="preserve"> će biti podržana </w:t>
      </w:r>
      <w:r w:rsidR="008851B0" w:rsidRPr="00445D3F">
        <w:rPr>
          <w:rFonts w:asciiTheme="majorHAnsi" w:hAnsiTheme="majorHAnsi" w:cstheme="majorHAnsi"/>
          <w:color w:val="auto"/>
          <w:sz w:val="24"/>
          <w:szCs w:val="24"/>
        </w:rPr>
        <w:t xml:space="preserve">novom SBP, koja se razvija paralelno u skladu sa finalnim nacrtom Strategije. </w:t>
      </w:r>
      <w:r w:rsidR="00F96A2C" w:rsidRPr="00445D3F">
        <w:rPr>
          <w:rFonts w:asciiTheme="majorHAnsi" w:hAnsiTheme="majorHAnsi" w:cstheme="majorHAnsi"/>
          <w:color w:val="auto"/>
          <w:sz w:val="24"/>
          <w:szCs w:val="24"/>
        </w:rPr>
        <w:t xml:space="preserve">U skladu sa naučenim lekcijama o implementaciji </w:t>
      </w:r>
      <w:r w:rsidRPr="00445D3F">
        <w:rPr>
          <w:rFonts w:asciiTheme="majorHAnsi" w:hAnsiTheme="majorHAnsi" w:cstheme="majorHAnsi"/>
          <w:color w:val="auto"/>
          <w:sz w:val="24"/>
          <w:szCs w:val="24"/>
        </w:rPr>
        <w:t xml:space="preserve">predhodne </w:t>
      </w:r>
      <w:r w:rsidR="00F96A2C" w:rsidRPr="00445D3F">
        <w:rPr>
          <w:rFonts w:asciiTheme="majorHAnsi" w:hAnsiTheme="majorHAnsi" w:cstheme="majorHAnsi"/>
          <w:color w:val="auto"/>
          <w:sz w:val="24"/>
          <w:szCs w:val="24"/>
        </w:rPr>
        <w:t xml:space="preserve">pomoći, ojačanim kapacitetima o sprovođenju ovog programa, MJUDDM će uz manji broj projekata kroz komplementarnu liniju (koja je kroz </w:t>
      </w:r>
      <w:r w:rsidR="00F96A2C" w:rsidRPr="00445D3F">
        <w:rPr>
          <w:rFonts w:asciiTheme="majorHAnsi" w:hAnsiTheme="majorHAnsi" w:cstheme="majorHAnsi"/>
          <w:i/>
          <w:color w:val="auto"/>
          <w:sz w:val="24"/>
          <w:szCs w:val="24"/>
        </w:rPr>
        <w:t>Window 2</w:t>
      </w:r>
      <w:r w:rsidR="00F96A2C" w:rsidRPr="00445D3F">
        <w:rPr>
          <w:rFonts w:asciiTheme="majorHAnsi" w:hAnsiTheme="majorHAnsi" w:cstheme="majorHAnsi"/>
          <w:color w:val="auto"/>
          <w:sz w:val="24"/>
          <w:szCs w:val="24"/>
        </w:rPr>
        <w:t xml:space="preserve"> Akcionog dokumenta predviđena zajedno za reformu javnih finansija i reformu javne uprave), sa osnovnim ciljem direktne usmjerenosti na dostizanje novih indikatora, u saradnji sa </w:t>
      </w:r>
      <w:r w:rsidR="00C174C8" w:rsidRPr="00445D3F">
        <w:rPr>
          <w:rFonts w:asciiTheme="majorHAnsi" w:hAnsiTheme="majorHAnsi" w:cstheme="majorHAnsi"/>
          <w:color w:val="auto"/>
          <w:sz w:val="24"/>
          <w:szCs w:val="24"/>
        </w:rPr>
        <w:t>Evropskom Komisijom (EK)</w:t>
      </w:r>
      <w:r w:rsidR="00765552" w:rsidRPr="00445D3F">
        <w:rPr>
          <w:rFonts w:asciiTheme="majorHAnsi" w:hAnsiTheme="majorHAnsi" w:cstheme="majorHAnsi"/>
          <w:color w:val="auto"/>
          <w:sz w:val="24"/>
          <w:szCs w:val="24"/>
        </w:rPr>
        <w:t xml:space="preserve"> i D</w:t>
      </w:r>
      <w:r w:rsidR="00C174C8" w:rsidRPr="00445D3F">
        <w:rPr>
          <w:rFonts w:asciiTheme="majorHAnsi" w:hAnsiTheme="majorHAnsi" w:cstheme="majorHAnsi"/>
          <w:color w:val="auto"/>
          <w:sz w:val="24"/>
          <w:szCs w:val="24"/>
        </w:rPr>
        <w:t xml:space="preserve">elegacijom </w:t>
      </w:r>
      <w:r w:rsidR="00765552" w:rsidRPr="00445D3F">
        <w:rPr>
          <w:rFonts w:asciiTheme="majorHAnsi" w:hAnsiTheme="majorHAnsi" w:cstheme="majorHAnsi"/>
          <w:color w:val="auto"/>
          <w:sz w:val="24"/>
          <w:szCs w:val="24"/>
        </w:rPr>
        <w:t>E</w:t>
      </w:r>
      <w:r w:rsidR="00C174C8" w:rsidRPr="00445D3F">
        <w:rPr>
          <w:rFonts w:asciiTheme="majorHAnsi" w:hAnsiTheme="majorHAnsi" w:cstheme="majorHAnsi"/>
          <w:color w:val="auto"/>
          <w:sz w:val="24"/>
          <w:szCs w:val="24"/>
        </w:rPr>
        <w:t xml:space="preserve">vropske </w:t>
      </w:r>
      <w:r w:rsidR="00765552" w:rsidRPr="00445D3F">
        <w:rPr>
          <w:rFonts w:asciiTheme="majorHAnsi" w:hAnsiTheme="majorHAnsi" w:cstheme="majorHAnsi"/>
          <w:color w:val="auto"/>
          <w:sz w:val="24"/>
          <w:szCs w:val="24"/>
        </w:rPr>
        <w:t>U</w:t>
      </w:r>
      <w:r w:rsidR="00C174C8" w:rsidRPr="00445D3F">
        <w:rPr>
          <w:rFonts w:asciiTheme="majorHAnsi" w:hAnsiTheme="majorHAnsi" w:cstheme="majorHAnsi"/>
          <w:color w:val="auto"/>
          <w:sz w:val="24"/>
          <w:szCs w:val="24"/>
        </w:rPr>
        <w:t>nije u Crnoj Gori (DEU)</w:t>
      </w:r>
      <w:r w:rsidR="00765552" w:rsidRPr="00445D3F">
        <w:rPr>
          <w:rFonts w:asciiTheme="majorHAnsi" w:hAnsiTheme="majorHAnsi" w:cstheme="majorHAnsi"/>
          <w:color w:val="auto"/>
          <w:sz w:val="24"/>
          <w:szCs w:val="24"/>
        </w:rPr>
        <w:t>, razviti i</w:t>
      </w:r>
      <w:r w:rsidR="008851B0" w:rsidRPr="00445D3F">
        <w:rPr>
          <w:rFonts w:asciiTheme="majorHAnsi" w:hAnsiTheme="majorHAnsi" w:cstheme="majorHAnsi"/>
          <w:color w:val="auto"/>
          <w:sz w:val="24"/>
          <w:szCs w:val="24"/>
        </w:rPr>
        <w:t xml:space="preserve"> indikatore uspješnosti za realizaciju novog Akcionog </w:t>
      </w:r>
      <w:r w:rsidR="00765552" w:rsidRPr="00445D3F">
        <w:rPr>
          <w:rFonts w:asciiTheme="majorHAnsi" w:hAnsiTheme="majorHAnsi" w:cstheme="majorHAnsi"/>
          <w:color w:val="auto"/>
          <w:sz w:val="24"/>
          <w:szCs w:val="24"/>
        </w:rPr>
        <w:t>dokument za implementaciju SBP</w:t>
      </w:r>
      <w:r w:rsidR="008851B0" w:rsidRPr="00445D3F">
        <w:rPr>
          <w:rFonts w:asciiTheme="majorHAnsi" w:hAnsiTheme="majorHAnsi" w:cstheme="majorHAnsi"/>
          <w:color w:val="auto"/>
          <w:sz w:val="24"/>
          <w:szCs w:val="24"/>
        </w:rPr>
        <w:t>.</w:t>
      </w:r>
    </w:p>
    <w:p w:rsidR="001750DE" w:rsidRPr="00445D3F" w:rsidRDefault="001750DE" w:rsidP="00445D3F">
      <w:pPr>
        <w:pStyle w:val="Heading1"/>
        <w:spacing w:before="240" w:after="240"/>
        <w:ind w:right="-475"/>
        <w:jc w:val="center"/>
        <w:rPr>
          <w:rFonts w:asciiTheme="majorHAnsi" w:hAnsiTheme="majorHAnsi" w:cstheme="majorHAnsi"/>
          <w:b/>
          <w:color w:val="auto"/>
          <w:sz w:val="32"/>
          <w:szCs w:val="32"/>
        </w:rPr>
      </w:pPr>
      <w:bookmarkStart w:id="3" w:name="_Toc87353387"/>
      <w:r w:rsidRPr="00445D3F">
        <w:rPr>
          <w:rFonts w:asciiTheme="majorHAnsi" w:hAnsiTheme="majorHAnsi" w:cstheme="majorHAnsi"/>
          <w:b/>
          <w:color w:val="auto"/>
          <w:sz w:val="32"/>
          <w:szCs w:val="32"/>
        </w:rPr>
        <w:lastRenderedPageBreak/>
        <w:t xml:space="preserve">II  </w:t>
      </w:r>
      <w:r w:rsidR="00256BA3" w:rsidRPr="00445D3F">
        <w:rPr>
          <w:rFonts w:asciiTheme="majorHAnsi" w:hAnsiTheme="majorHAnsi" w:cstheme="majorHAnsi"/>
          <w:b/>
          <w:color w:val="auto"/>
          <w:sz w:val="32"/>
          <w:szCs w:val="32"/>
        </w:rPr>
        <w:t>VIZIJA REFORME JAVNE UPRAVE</w:t>
      </w:r>
      <w:bookmarkEnd w:id="3"/>
    </w:p>
    <w:p w:rsidR="00256BA3" w:rsidRPr="00445D3F" w:rsidRDefault="00256BA3" w:rsidP="00445D3F">
      <w:pPr>
        <w:spacing w:before="120" w:after="120" w:line="240" w:lineRule="auto"/>
        <w:rPr>
          <w:rFonts w:asciiTheme="majorHAnsi" w:hAnsiTheme="majorHAnsi" w:cstheme="majorHAnsi"/>
          <w:b/>
          <w:color w:val="auto"/>
          <w:sz w:val="24"/>
          <w:szCs w:val="24"/>
          <w:u w:val="single"/>
        </w:rPr>
      </w:pPr>
      <w:r w:rsidRPr="00445D3F">
        <w:rPr>
          <w:rFonts w:asciiTheme="majorHAnsi" w:hAnsiTheme="majorHAnsi" w:cstheme="majorHAnsi"/>
          <w:b/>
          <w:color w:val="auto"/>
          <w:sz w:val="24"/>
          <w:szCs w:val="24"/>
          <w:u w:val="single"/>
        </w:rPr>
        <w:t>Vizija i vrijednosti reforme</w:t>
      </w:r>
    </w:p>
    <w:p w:rsidR="0031374C" w:rsidRPr="00445D3F" w:rsidRDefault="0041664A" w:rsidP="00445D3F">
      <w:pPr>
        <w:spacing w:before="60" w:after="60" w:line="240" w:lineRule="auto"/>
        <w:ind w:right="-475"/>
        <w:jc w:val="both"/>
        <w:rPr>
          <w:rFonts w:asciiTheme="majorHAnsi" w:hAnsiTheme="majorHAnsi" w:cstheme="majorHAnsi"/>
          <w:color w:val="auto"/>
          <w:sz w:val="24"/>
          <w:szCs w:val="24"/>
        </w:rPr>
      </w:pPr>
      <w:r w:rsidRPr="00445D3F">
        <w:rPr>
          <w:rFonts w:asciiTheme="majorHAnsi" w:hAnsiTheme="majorHAnsi" w:cstheme="majorHAnsi"/>
          <w:color w:val="auto"/>
          <w:sz w:val="24"/>
          <w:szCs w:val="24"/>
        </w:rPr>
        <w:t>Vizija</w:t>
      </w:r>
      <w:r w:rsidR="008851B0" w:rsidRPr="00445D3F">
        <w:rPr>
          <w:rFonts w:asciiTheme="majorHAnsi" w:hAnsiTheme="majorHAnsi" w:cstheme="majorHAnsi"/>
          <w:color w:val="auto"/>
          <w:sz w:val="24"/>
          <w:szCs w:val="24"/>
        </w:rPr>
        <w:t xml:space="preserve"> S</w:t>
      </w:r>
      <w:r w:rsidR="001C41B3" w:rsidRPr="00445D3F">
        <w:rPr>
          <w:rFonts w:asciiTheme="majorHAnsi" w:hAnsiTheme="majorHAnsi" w:cstheme="majorHAnsi"/>
          <w:color w:val="auto"/>
          <w:sz w:val="24"/>
          <w:szCs w:val="24"/>
        </w:rPr>
        <w:t>tr</w:t>
      </w:r>
      <w:r w:rsidR="00883524" w:rsidRPr="00445D3F">
        <w:rPr>
          <w:rFonts w:asciiTheme="majorHAnsi" w:hAnsiTheme="majorHAnsi" w:cstheme="majorHAnsi"/>
          <w:color w:val="auto"/>
          <w:sz w:val="24"/>
          <w:szCs w:val="24"/>
        </w:rPr>
        <w:t>a</w:t>
      </w:r>
      <w:r w:rsidR="001C41B3" w:rsidRPr="00445D3F">
        <w:rPr>
          <w:rFonts w:asciiTheme="majorHAnsi" w:hAnsiTheme="majorHAnsi" w:cstheme="majorHAnsi"/>
          <w:color w:val="auto"/>
          <w:sz w:val="24"/>
          <w:szCs w:val="24"/>
        </w:rPr>
        <w:t xml:space="preserve">tegije </w:t>
      </w:r>
      <w:r w:rsidR="00883524" w:rsidRPr="00445D3F">
        <w:rPr>
          <w:rFonts w:asciiTheme="majorHAnsi" w:hAnsiTheme="majorHAnsi" w:cstheme="majorHAnsi"/>
          <w:color w:val="auto"/>
          <w:sz w:val="24"/>
          <w:szCs w:val="24"/>
        </w:rPr>
        <w:t xml:space="preserve">reforme </w:t>
      </w:r>
      <w:r w:rsidR="001C41B3" w:rsidRPr="00445D3F">
        <w:rPr>
          <w:rFonts w:asciiTheme="majorHAnsi" w:hAnsiTheme="majorHAnsi" w:cstheme="majorHAnsi"/>
          <w:color w:val="auto"/>
          <w:sz w:val="24"/>
          <w:szCs w:val="24"/>
        </w:rPr>
        <w:t xml:space="preserve">javne uprave 2022-2026 je </w:t>
      </w:r>
      <w:r w:rsidR="00D720E2" w:rsidRPr="00445D3F">
        <w:rPr>
          <w:rFonts w:asciiTheme="majorHAnsi" w:hAnsiTheme="majorHAnsi" w:cstheme="majorHAnsi"/>
          <w:color w:val="auto"/>
          <w:sz w:val="24"/>
          <w:szCs w:val="24"/>
        </w:rPr>
        <w:t>profesionalna</w:t>
      </w:r>
      <w:r w:rsidR="001C41B3" w:rsidRPr="00445D3F">
        <w:rPr>
          <w:rFonts w:asciiTheme="majorHAnsi" w:hAnsiTheme="majorHAnsi" w:cstheme="majorHAnsi"/>
          <w:color w:val="auto"/>
          <w:sz w:val="24"/>
          <w:szCs w:val="24"/>
        </w:rPr>
        <w:t xml:space="preserve"> </w:t>
      </w:r>
      <w:r w:rsidR="00883524" w:rsidRPr="00445D3F">
        <w:rPr>
          <w:rFonts w:asciiTheme="majorHAnsi" w:hAnsiTheme="majorHAnsi" w:cstheme="majorHAnsi"/>
          <w:color w:val="auto"/>
          <w:sz w:val="24"/>
          <w:szCs w:val="24"/>
        </w:rPr>
        <w:t xml:space="preserve">javna uprava </w:t>
      </w:r>
      <w:r w:rsidR="00012E9B" w:rsidRPr="00445D3F">
        <w:rPr>
          <w:rFonts w:asciiTheme="majorHAnsi" w:hAnsiTheme="majorHAnsi" w:cstheme="majorHAnsi"/>
          <w:color w:val="auto"/>
          <w:sz w:val="24"/>
          <w:szCs w:val="24"/>
        </w:rPr>
        <w:t>koja kvalitetno pruža usluge krajnjim korisnicima i ima adekvatne</w:t>
      </w:r>
      <w:r w:rsidR="001C41B3" w:rsidRPr="00445D3F">
        <w:rPr>
          <w:rFonts w:asciiTheme="majorHAnsi" w:hAnsiTheme="majorHAnsi" w:cstheme="majorHAnsi"/>
          <w:color w:val="auto"/>
          <w:sz w:val="24"/>
          <w:szCs w:val="24"/>
        </w:rPr>
        <w:t xml:space="preserve"> </w:t>
      </w:r>
      <w:r w:rsidR="00012E9B" w:rsidRPr="00445D3F">
        <w:rPr>
          <w:rFonts w:asciiTheme="majorHAnsi" w:hAnsiTheme="majorHAnsi" w:cstheme="majorHAnsi"/>
          <w:color w:val="auto"/>
          <w:sz w:val="24"/>
          <w:szCs w:val="24"/>
        </w:rPr>
        <w:t xml:space="preserve">kapacitete </w:t>
      </w:r>
      <w:r w:rsidR="001C41B3" w:rsidRPr="00445D3F">
        <w:rPr>
          <w:rFonts w:asciiTheme="majorHAnsi" w:hAnsiTheme="majorHAnsi" w:cstheme="majorHAnsi"/>
          <w:color w:val="auto"/>
          <w:sz w:val="24"/>
          <w:szCs w:val="24"/>
        </w:rPr>
        <w:t>za pristupanje Evropskoj uniji</w:t>
      </w:r>
      <w:r w:rsidR="00F974C9" w:rsidRPr="00445D3F">
        <w:rPr>
          <w:rFonts w:asciiTheme="majorHAnsi" w:hAnsiTheme="majorHAnsi" w:cstheme="majorHAnsi"/>
          <w:color w:val="auto"/>
          <w:sz w:val="24"/>
          <w:szCs w:val="24"/>
        </w:rPr>
        <w:t>.</w:t>
      </w:r>
    </w:p>
    <w:p w:rsidR="00256BA3" w:rsidRPr="00445D3F" w:rsidRDefault="003A7E67" w:rsidP="00445D3F">
      <w:pPr>
        <w:spacing w:before="60" w:after="240" w:line="240" w:lineRule="auto"/>
        <w:rPr>
          <w:rFonts w:asciiTheme="majorHAnsi" w:hAnsiTheme="majorHAnsi" w:cstheme="majorHAnsi"/>
          <w:color w:val="auto"/>
          <w:sz w:val="24"/>
          <w:szCs w:val="24"/>
        </w:rPr>
      </w:pPr>
      <w:r w:rsidRPr="00445D3F">
        <w:rPr>
          <w:rFonts w:asciiTheme="majorHAnsi" w:hAnsiTheme="majorHAnsi" w:cstheme="majorHAnsi"/>
          <w:color w:val="auto"/>
          <w:sz w:val="24"/>
          <w:szCs w:val="24"/>
        </w:rPr>
        <w:t>Vrijednosti na kojima počiva</w:t>
      </w:r>
      <w:r w:rsidR="00C41C7D" w:rsidRPr="00445D3F">
        <w:rPr>
          <w:rFonts w:asciiTheme="majorHAnsi" w:hAnsiTheme="majorHAnsi" w:cstheme="majorHAnsi"/>
          <w:color w:val="auto"/>
          <w:sz w:val="24"/>
          <w:szCs w:val="24"/>
        </w:rPr>
        <w:t>ju</w:t>
      </w:r>
      <w:r w:rsidRPr="00445D3F">
        <w:rPr>
          <w:rFonts w:asciiTheme="majorHAnsi" w:hAnsiTheme="majorHAnsi" w:cstheme="majorHAnsi"/>
          <w:color w:val="auto"/>
          <w:sz w:val="24"/>
          <w:szCs w:val="24"/>
        </w:rPr>
        <w:t xml:space="preserve"> </w:t>
      </w:r>
      <w:r w:rsidR="00E62F27" w:rsidRPr="00445D3F">
        <w:rPr>
          <w:rFonts w:asciiTheme="majorHAnsi" w:hAnsiTheme="majorHAnsi" w:cstheme="majorHAnsi"/>
          <w:color w:val="auto"/>
          <w:sz w:val="24"/>
          <w:szCs w:val="24"/>
        </w:rPr>
        <w:t xml:space="preserve">vizija </w:t>
      </w:r>
      <w:r w:rsidRPr="00445D3F">
        <w:rPr>
          <w:rFonts w:asciiTheme="majorHAnsi" w:hAnsiTheme="majorHAnsi" w:cstheme="majorHAnsi"/>
          <w:color w:val="auto"/>
          <w:sz w:val="24"/>
          <w:szCs w:val="24"/>
        </w:rPr>
        <w:t>i cilj</w:t>
      </w:r>
      <w:r w:rsidR="00E62F27" w:rsidRPr="00445D3F">
        <w:rPr>
          <w:rFonts w:asciiTheme="majorHAnsi" w:hAnsiTheme="majorHAnsi" w:cstheme="majorHAnsi"/>
          <w:color w:val="auto"/>
          <w:sz w:val="24"/>
          <w:szCs w:val="24"/>
        </w:rPr>
        <w:t>evi</w:t>
      </w:r>
      <w:r w:rsidRPr="00445D3F">
        <w:rPr>
          <w:rFonts w:asciiTheme="majorHAnsi" w:hAnsiTheme="majorHAnsi" w:cstheme="majorHAnsi"/>
          <w:color w:val="auto"/>
          <w:sz w:val="24"/>
          <w:szCs w:val="24"/>
        </w:rPr>
        <w:t xml:space="preserve"> </w:t>
      </w:r>
      <w:r w:rsidR="00883524" w:rsidRPr="00445D3F">
        <w:rPr>
          <w:rFonts w:asciiTheme="majorHAnsi" w:hAnsiTheme="majorHAnsi" w:cstheme="majorHAnsi"/>
          <w:color w:val="auto"/>
          <w:sz w:val="24"/>
          <w:szCs w:val="24"/>
        </w:rPr>
        <w:t>S</w:t>
      </w:r>
      <w:r w:rsidRPr="00445D3F">
        <w:rPr>
          <w:rFonts w:asciiTheme="majorHAnsi" w:hAnsiTheme="majorHAnsi" w:cstheme="majorHAnsi"/>
          <w:color w:val="auto"/>
          <w:sz w:val="24"/>
          <w:szCs w:val="24"/>
        </w:rPr>
        <w:t xml:space="preserve">trategije su: </w:t>
      </w:r>
    </w:p>
    <w:p w:rsidR="005A239E" w:rsidRPr="007E14C5" w:rsidRDefault="00F974C9" w:rsidP="003A7E67">
      <w:pPr>
        <w:spacing w:before="60" w:after="60" w:line="240" w:lineRule="auto"/>
        <w:ind w:right="-471"/>
        <w:jc w:val="center"/>
        <w:rPr>
          <w:rFonts w:asciiTheme="majorHAnsi" w:hAnsiTheme="majorHAnsi" w:cstheme="majorHAnsi"/>
          <w:color w:val="002060"/>
          <w:sz w:val="24"/>
          <w:szCs w:val="24"/>
        </w:rPr>
      </w:pPr>
      <w:r w:rsidRPr="007E14C5">
        <w:rPr>
          <w:rFonts w:asciiTheme="majorHAnsi" w:hAnsiTheme="majorHAnsi" w:cstheme="majorHAnsi"/>
          <w:noProof/>
          <w:color w:val="002060"/>
          <w:sz w:val="24"/>
          <w:szCs w:val="24"/>
          <w:lang w:eastAsia="sr-Latn-RS"/>
        </w:rPr>
        <w:drawing>
          <wp:inline distT="0" distB="0" distL="0" distR="0" wp14:anchorId="63803AA2" wp14:editId="49564952">
            <wp:extent cx="5486400" cy="3200400"/>
            <wp:effectExtent l="0" t="0" r="0" b="1905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256BA3" w:rsidRPr="00445D3F" w:rsidRDefault="00256BA3" w:rsidP="00445D3F">
      <w:pPr>
        <w:spacing w:before="240" w:after="120" w:line="240" w:lineRule="auto"/>
        <w:rPr>
          <w:rFonts w:asciiTheme="majorHAnsi" w:hAnsiTheme="majorHAnsi" w:cstheme="majorHAnsi"/>
          <w:b/>
          <w:color w:val="auto"/>
          <w:sz w:val="24"/>
          <w:szCs w:val="24"/>
          <w:u w:val="single"/>
        </w:rPr>
      </w:pPr>
      <w:r w:rsidRPr="00445D3F">
        <w:rPr>
          <w:rFonts w:asciiTheme="majorHAnsi" w:hAnsiTheme="majorHAnsi" w:cstheme="majorHAnsi"/>
          <w:b/>
          <w:color w:val="auto"/>
          <w:sz w:val="24"/>
          <w:szCs w:val="24"/>
          <w:u w:val="single"/>
        </w:rPr>
        <w:t>Cilj reforme</w:t>
      </w:r>
    </w:p>
    <w:p w:rsidR="00D720E2" w:rsidRPr="00445D3F" w:rsidRDefault="005F6FEC">
      <w:pPr>
        <w:spacing w:before="120" w:after="120" w:line="240" w:lineRule="auto"/>
        <w:ind w:right="-450"/>
        <w:jc w:val="both"/>
        <w:rPr>
          <w:rFonts w:asciiTheme="majorHAnsi" w:hAnsiTheme="majorHAnsi" w:cstheme="majorHAnsi"/>
          <w:color w:val="auto"/>
          <w:sz w:val="24"/>
          <w:szCs w:val="24"/>
        </w:rPr>
      </w:pPr>
      <w:r w:rsidRPr="00445D3F">
        <w:rPr>
          <w:rFonts w:asciiTheme="majorHAnsi" w:hAnsiTheme="majorHAnsi" w:cstheme="majorHAnsi"/>
          <w:noProof/>
          <w:color w:val="auto"/>
          <w:sz w:val="24"/>
          <w:szCs w:val="24"/>
          <w:lang w:eastAsia="sr-Latn-RS"/>
        </w:rPr>
        <mc:AlternateContent>
          <mc:Choice Requires="wps">
            <w:drawing>
              <wp:anchor distT="91440" distB="91440" distL="114300" distR="114300" simplePos="0" relativeHeight="251840512" behindDoc="0" locked="0" layoutInCell="1" allowOverlap="1" wp14:anchorId="0E479AEB" wp14:editId="6C0EF1D3">
                <wp:simplePos x="0" y="0"/>
                <wp:positionH relativeFrom="page">
                  <wp:posOffset>1182370</wp:posOffset>
                </wp:positionH>
                <wp:positionV relativeFrom="paragraph">
                  <wp:posOffset>678180</wp:posOffset>
                </wp:positionV>
                <wp:extent cx="5981700" cy="707390"/>
                <wp:effectExtent l="0" t="0" r="0" b="444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07390"/>
                        </a:xfrm>
                        <a:prstGeom prst="rect">
                          <a:avLst/>
                        </a:prstGeom>
                        <a:noFill/>
                        <a:ln w="9525">
                          <a:noFill/>
                          <a:miter lim="800000"/>
                          <a:headEnd/>
                          <a:tailEnd/>
                        </a:ln>
                      </wps:spPr>
                      <wps:txbx>
                        <w:txbxContent>
                          <w:p w:rsidR="00F735BC" w:rsidRPr="00A47E1E" w:rsidRDefault="00F735BC" w:rsidP="0067762A">
                            <w:pPr>
                              <w:pBdr>
                                <w:top w:val="single" w:sz="24" w:space="8" w:color="7E97AD" w:themeColor="accent1"/>
                                <w:bottom w:val="single" w:sz="24" w:space="8" w:color="7E97AD" w:themeColor="accent1"/>
                              </w:pBdr>
                              <w:spacing w:before="0" w:after="0" w:line="240" w:lineRule="auto"/>
                              <w:jc w:val="center"/>
                              <w:rPr>
                                <w:b/>
                                <w:i/>
                                <w:iCs/>
                                <w:color w:val="3A4B5B" w:themeColor="accent1" w:themeShade="80"/>
                                <w:sz w:val="22"/>
                                <w:szCs w:val="22"/>
                              </w:rPr>
                            </w:pPr>
                            <w:r w:rsidRPr="00A47E1E">
                              <w:rPr>
                                <w:b/>
                                <w:i/>
                                <w:iCs/>
                                <w:color w:val="3A4B5B" w:themeColor="accent1" w:themeShade="80"/>
                                <w:sz w:val="22"/>
                                <w:szCs w:val="22"/>
                              </w:rPr>
                              <w:t>Osnovni cilj Strategije 2022-2026 je zajedničko građenje odgovorne, efikasne, transparentne javne uprave, okrenute potrebama građana i privrede.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79AEB" id="_x0000_s1034" type="#_x0000_t202" style="position:absolute;left:0;text-align:left;margin-left:93.1pt;margin-top:53.4pt;width:471pt;height:55.7pt;z-index:2518405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" filled="f" stroked="f">
                <v:textbox style="mso-fit-shape-to-text:t">
                  <w:txbxContent>
                    <w:p w:rsidR="00F735BC" w:rsidRPr="00A47E1E" w:rsidRDefault="00F735BC" w:rsidP="0067762A">
                      <w:pPr>
                        <w:pBdr>
                          <w:top w:val="single" w:sz="24" w:space="8" w:color="7E97AD" w:themeColor="accent1"/>
                          <w:bottom w:val="single" w:sz="24" w:space="8" w:color="7E97AD" w:themeColor="accent1"/>
                        </w:pBdr>
                        <w:spacing w:before="0" w:after="0" w:line="240" w:lineRule="auto"/>
                        <w:jc w:val="center"/>
                        <w:rPr>
                          <w:b/>
                          <w:i/>
                          <w:iCs/>
                          <w:color w:val="3A4B5B" w:themeColor="accent1" w:themeShade="80"/>
                          <w:sz w:val="22"/>
                          <w:szCs w:val="22"/>
                        </w:rPr>
                      </w:pPr>
                      <w:r w:rsidRPr="00A47E1E">
                        <w:rPr>
                          <w:b/>
                          <w:i/>
                          <w:iCs/>
                          <w:color w:val="3A4B5B" w:themeColor="accent1" w:themeShade="80"/>
                          <w:sz w:val="22"/>
                          <w:szCs w:val="22"/>
                        </w:rPr>
                        <w:t>Osnovni cilj Strategije 2022-2026 je zajedničko građenje odgovorne, efikasne, transparentne javne uprave, okrenute potrebama građana i privrede.</w:t>
                      </w:r>
                    </w:p>
                  </w:txbxContent>
                </v:textbox>
                <w10:wrap type="topAndBottom" anchorx="page"/>
              </v:shape>
            </w:pict>
          </mc:Fallback>
        </mc:AlternateContent>
      </w:r>
      <w:r w:rsidR="00D720E2" w:rsidRPr="00445D3F">
        <w:rPr>
          <w:rFonts w:asciiTheme="majorHAnsi" w:hAnsiTheme="majorHAnsi" w:cstheme="majorHAnsi"/>
          <w:color w:val="auto"/>
          <w:sz w:val="24"/>
          <w:szCs w:val="24"/>
        </w:rPr>
        <w:t>Ova strategija se nastavlja na rezultate postignute u predhodnom starteškom ciklusu od 2016. do 2020. godine, dok se sam proces razvijanja novog dokumenta iskoristio za sagledavanja neispunjenih ciljeva i razmatranju novih pravaca u cilju prevazilaženja</w:t>
      </w:r>
      <w:r w:rsidR="008851B0" w:rsidRPr="00445D3F">
        <w:rPr>
          <w:rFonts w:asciiTheme="majorHAnsi" w:hAnsiTheme="majorHAnsi" w:cstheme="majorHAnsi"/>
          <w:color w:val="auto"/>
          <w:sz w:val="24"/>
          <w:szCs w:val="24"/>
        </w:rPr>
        <w:t xml:space="preserve"> izazova sa kojima se susrela j</w:t>
      </w:r>
      <w:r w:rsidR="00D720E2" w:rsidRPr="00445D3F">
        <w:rPr>
          <w:rFonts w:asciiTheme="majorHAnsi" w:hAnsiTheme="majorHAnsi" w:cstheme="majorHAnsi"/>
          <w:color w:val="auto"/>
          <w:sz w:val="24"/>
          <w:szCs w:val="24"/>
        </w:rPr>
        <w:t>a</w:t>
      </w:r>
      <w:r w:rsidR="008851B0" w:rsidRPr="00445D3F">
        <w:rPr>
          <w:rFonts w:asciiTheme="majorHAnsi" w:hAnsiTheme="majorHAnsi" w:cstheme="majorHAnsi"/>
          <w:color w:val="auto"/>
          <w:sz w:val="24"/>
          <w:szCs w:val="24"/>
        </w:rPr>
        <w:t>v</w:t>
      </w:r>
      <w:r w:rsidR="00D720E2" w:rsidRPr="00445D3F">
        <w:rPr>
          <w:rFonts w:asciiTheme="majorHAnsi" w:hAnsiTheme="majorHAnsi" w:cstheme="majorHAnsi"/>
          <w:color w:val="auto"/>
          <w:sz w:val="24"/>
          <w:szCs w:val="24"/>
        </w:rPr>
        <w:t>na uprava.</w:t>
      </w:r>
    </w:p>
    <w:p w:rsidR="005A239E" w:rsidRPr="00445D3F" w:rsidRDefault="003A7E67" w:rsidP="00445D3F">
      <w:pPr>
        <w:spacing w:before="60" w:after="60" w:line="240" w:lineRule="auto"/>
        <w:ind w:right="-446"/>
        <w:jc w:val="both"/>
        <w:rPr>
          <w:rFonts w:asciiTheme="majorHAnsi" w:hAnsiTheme="majorHAnsi" w:cstheme="majorHAnsi"/>
          <w:color w:val="auto"/>
          <w:sz w:val="24"/>
          <w:szCs w:val="24"/>
        </w:rPr>
      </w:pPr>
      <w:r w:rsidRPr="00445D3F">
        <w:rPr>
          <w:rFonts w:asciiTheme="majorHAnsi" w:hAnsiTheme="majorHAnsi" w:cstheme="majorHAnsi"/>
          <w:color w:val="auto"/>
          <w:sz w:val="24"/>
          <w:szCs w:val="24"/>
        </w:rPr>
        <w:t xml:space="preserve">U skladu sa SIGMA </w:t>
      </w:r>
      <w:r w:rsidR="003D4AD0" w:rsidRPr="00445D3F">
        <w:rPr>
          <w:rFonts w:asciiTheme="majorHAnsi" w:hAnsiTheme="majorHAnsi" w:cstheme="majorHAnsi"/>
          <w:color w:val="auto"/>
          <w:sz w:val="24"/>
          <w:szCs w:val="24"/>
        </w:rPr>
        <w:t>P</w:t>
      </w:r>
      <w:r w:rsidRPr="00445D3F">
        <w:rPr>
          <w:rFonts w:asciiTheme="majorHAnsi" w:hAnsiTheme="majorHAnsi" w:cstheme="majorHAnsi"/>
          <w:color w:val="auto"/>
          <w:sz w:val="24"/>
          <w:szCs w:val="24"/>
        </w:rPr>
        <w:t>rincipi</w:t>
      </w:r>
      <w:r w:rsidR="00A47E1E" w:rsidRPr="00445D3F">
        <w:rPr>
          <w:rFonts w:asciiTheme="majorHAnsi" w:hAnsiTheme="majorHAnsi" w:cstheme="majorHAnsi"/>
          <w:color w:val="auto"/>
          <w:sz w:val="24"/>
          <w:szCs w:val="24"/>
        </w:rPr>
        <w:t>ma</w:t>
      </w:r>
      <w:r w:rsidRPr="00445D3F">
        <w:rPr>
          <w:rFonts w:asciiTheme="majorHAnsi" w:hAnsiTheme="majorHAnsi" w:cstheme="majorHAnsi"/>
          <w:color w:val="auto"/>
          <w:sz w:val="24"/>
          <w:szCs w:val="24"/>
        </w:rPr>
        <w:t xml:space="preserve"> javne uprave koji </w:t>
      </w:r>
      <w:r w:rsidR="00F974C9" w:rsidRPr="00445D3F">
        <w:rPr>
          <w:rFonts w:asciiTheme="majorHAnsi" w:hAnsiTheme="majorHAnsi" w:cstheme="majorHAnsi"/>
          <w:color w:val="auto"/>
          <w:sz w:val="24"/>
          <w:szCs w:val="24"/>
        </w:rPr>
        <w:t xml:space="preserve">definišu šta dobro upravljanje podrazumijeva u praksi i navode zahtjeve koji trebaju slijediti zemlje tokom procesa </w:t>
      </w:r>
      <w:r w:rsidR="006966B6" w:rsidRPr="00445D3F">
        <w:rPr>
          <w:rFonts w:asciiTheme="majorHAnsi" w:hAnsiTheme="majorHAnsi" w:cstheme="majorHAnsi"/>
          <w:color w:val="auto"/>
          <w:sz w:val="24"/>
          <w:szCs w:val="24"/>
        </w:rPr>
        <w:t xml:space="preserve">pristupanja </w:t>
      </w:r>
      <w:r w:rsidR="00F974C9" w:rsidRPr="00445D3F">
        <w:rPr>
          <w:rFonts w:asciiTheme="majorHAnsi" w:hAnsiTheme="majorHAnsi" w:cstheme="majorHAnsi"/>
          <w:color w:val="auto"/>
          <w:sz w:val="24"/>
          <w:szCs w:val="24"/>
        </w:rPr>
        <w:t xml:space="preserve">EU, a obuhvataju ključne horizontalne slojeve u sistemu upravljanja </w:t>
      </w:r>
      <w:r w:rsidR="007E4E7C" w:rsidRPr="00445D3F">
        <w:rPr>
          <w:rFonts w:asciiTheme="majorHAnsi" w:hAnsiTheme="majorHAnsi" w:cstheme="majorHAnsi"/>
          <w:color w:val="auto"/>
          <w:sz w:val="24"/>
          <w:szCs w:val="24"/>
        </w:rPr>
        <w:t>–</w:t>
      </w:r>
      <w:r w:rsidR="00F974C9" w:rsidRPr="00445D3F">
        <w:rPr>
          <w:rFonts w:asciiTheme="majorHAnsi" w:hAnsiTheme="majorHAnsi" w:cstheme="majorHAnsi"/>
          <w:color w:val="auto"/>
          <w:sz w:val="24"/>
          <w:szCs w:val="24"/>
        </w:rPr>
        <w:t xml:space="preserve"> </w:t>
      </w:r>
      <w:r w:rsidR="007E4E7C" w:rsidRPr="00445D3F">
        <w:rPr>
          <w:rFonts w:asciiTheme="majorHAnsi" w:hAnsiTheme="majorHAnsi" w:cstheme="majorHAnsi"/>
          <w:color w:val="auto"/>
          <w:sz w:val="24"/>
          <w:szCs w:val="24"/>
        </w:rPr>
        <w:t xml:space="preserve">razvoj </w:t>
      </w:r>
      <w:r w:rsidR="003D4AD0" w:rsidRPr="00445D3F">
        <w:rPr>
          <w:rFonts w:asciiTheme="majorHAnsi" w:hAnsiTheme="majorHAnsi" w:cstheme="majorHAnsi"/>
          <w:color w:val="auto"/>
          <w:sz w:val="24"/>
          <w:szCs w:val="24"/>
        </w:rPr>
        <w:t>st</w:t>
      </w:r>
      <w:r w:rsidR="00C41C7D" w:rsidRPr="00445D3F">
        <w:rPr>
          <w:rFonts w:asciiTheme="majorHAnsi" w:hAnsiTheme="majorHAnsi" w:cstheme="majorHAnsi"/>
          <w:color w:val="auto"/>
          <w:sz w:val="24"/>
          <w:szCs w:val="24"/>
        </w:rPr>
        <w:t>rate</w:t>
      </w:r>
      <w:r w:rsidR="003D4AD0" w:rsidRPr="00445D3F">
        <w:rPr>
          <w:rFonts w:asciiTheme="majorHAnsi" w:hAnsiTheme="majorHAnsi" w:cstheme="majorHAnsi"/>
          <w:color w:val="auto"/>
          <w:sz w:val="24"/>
          <w:szCs w:val="24"/>
        </w:rPr>
        <w:t>škog okvira</w:t>
      </w:r>
      <w:r w:rsidR="007E4E7C" w:rsidRPr="00445D3F">
        <w:rPr>
          <w:rFonts w:asciiTheme="majorHAnsi" w:hAnsiTheme="majorHAnsi" w:cstheme="majorHAnsi"/>
          <w:color w:val="auto"/>
          <w:sz w:val="24"/>
          <w:szCs w:val="24"/>
        </w:rPr>
        <w:t xml:space="preserve"> reforme javne uprave, koordinacija i razvoj politika, javna služba i upravljanje kadrovima, odgovornost, pružanje usluga i upravljanje javnim finansijama; </w:t>
      </w:r>
      <w:r w:rsidR="005A239E" w:rsidRPr="00445D3F">
        <w:rPr>
          <w:rFonts w:asciiTheme="majorHAnsi" w:hAnsiTheme="majorHAnsi" w:cstheme="majorHAnsi"/>
          <w:color w:val="auto"/>
          <w:sz w:val="24"/>
          <w:szCs w:val="24"/>
        </w:rPr>
        <w:t xml:space="preserve">gradimo javnu </w:t>
      </w:r>
      <w:r w:rsidR="003D4AD0" w:rsidRPr="00445D3F">
        <w:rPr>
          <w:rFonts w:asciiTheme="majorHAnsi" w:hAnsiTheme="majorHAnsi" w:cstheme="majorHAnsi"/>
          <w:color w:val="auto"/>
          <w:sz w:val="24"/>
          <w:szCs w:val="24"/>
        </w:rPr>
        <w:t xml:space="preserve">upravu </w:t>
      </w:r>
      <w:r w:rsidR="005A239E" w:rsidRPr="00445D3F">
        <w:rPr>
          <w:rFonts w:asciiTheme="majorHAnsi" w:hAnsiTheme="majorHAnsi" w:cstheme="majorHAnsi"/>
          <w:color w:val="auto"/>
          <w:sz w:val="24"/>
          <w:szCs w:val="24"/>
        </w:rPr>
        <w:t xml:space="preserve">po </w:t>
      </w:r>
      <w:r w:rsidRPr="00445D3F">
        <w:rPr>
          <w:rFonts w:asciiTheme="majorHAnsi" w:hAnsiTheme="majorHAnsi" w:cstheme="majorHAnsi"/>
          <w:color w:val="auto"/>
          <w:sz w:val="24"/>
          <w:szCs w:val="24"/>
        </w:rPr>
        <w:t>evropskim standardima i najboljim praksama.</w:t>
      </w:r>
    </w:p>
    <w:p w:rsidR="000F441E" w:rsidRPr="00445D3F" w:rsidRDefault="005A239E" w:rsidP="00445D3F">
      <w:pPr>
        <w:spacing w:before="60" w:after="240" w:line="240" w:lineRule="auto"/>
        <w:ind w:right="-446"/>
        <w:jc w:val="both"/>
        <w:rPr>
          <w:rFonts w:asciiTheme="majorHAnsi" w:hAnsiTheme="majorHAnsi" w:cstheme="majorHAnsi"/>
          <w:color w:val="auto"/>
          <w:sz w:val="24"/>
          <w:szCs w:val="24"/>
        </w:rPr>
      </w:pPr>
      <w:r w:rsidRPr="00445D3F">
        <w:rPr>
          <w:rFonts w:asciiTheme="majorHAnsi" w:hAnsiTheme="majorHAnsi" w:cstheme="majorHAnsi"/>
          <w:color w:val="auto"/>
          <w:sz w:val="24"/>
          <w:szCs w:val="24"/>
        </w:rPr>
        <w:t xml:space="preserve">Strategija RJU 2022-2026 promoviše veću dostupnost informacijama kako bi se olakšao život građanima, posebno kroz stvaranje digitalizovanih usluga i interoperabilnih registara. Takođe, efikasno </w:t>
      </w:r>
      <w:r w:rsidRPr="00445D3F">
        <w:rPr>
          <w:rFonts w:asciiTheme="majorHAnsi" w:hAnsiTheme="majorHAnsi" w:cstheme="majorHAnsi"/>
          <w:color w:val="auto"/>
          <w:sz w:val="24"/>
          <w:szCs w:val="24"/>
        </w:rPr>
        <w:lastRenderedPageBreak/>
        <w:t xml:space="preserve">planiranje i zapošljavanje državnih službenika u skladu sa stvarnim potrebama organa, te omogućavanje razmjene službenika u javnoj upravi, upotreba tehnologije kroz rad na daljinu će biti u fokusu sledećeg četvorogodišnjeg perioda implementacije </w:t>
      </w:r>
      <w:r w:rsidR="003D4AD0" w:rsidRPr="00445D3F">
        <w:rPr>
          <w:rFonts w:asciiTheme="majorHAnsi" w:hAnsiTheme="majorHAnsi" w:cstheme="majorHAnsi"/>
          <w:color w:val="auto"/>
          <w:sz w:val="24"/>
          <w:szCs w:val="24"/>
        </w:rPr>
        <w:t>S</w:t>
      </w:r>
      <w:r w:rsidRPr="00445D3F">
        <w:rPr>
          <w:rFonts w:asciiTheme="majorHAnsi" w:hAnsiTheme="majorHAnsi" w:cstheme="majorHAnsi"/>
          <w:color w:val="auto"/>
          <w:sz w:val="24"/>
          <w:szCs w:val="24"/>
        </w:rPr>
        <w:t>trategije. Promocija raznolikosti</w:t>
      </w:r>
      <w:r w:rsidR="003D4AD0" w:rsidRPr="00445D3F">
        <w:rPr>
          <w:rFonts w:asciiTheme="majorHAnsi" w:hAnsiTheme="majorHAnsi" w:cstheme="majorHAnsi"/>
          <w:color w:val="auto"/>
          <w:sz w:val="24"/>
          <w:szCs w:val="24"/>
        </w:rPr>
        <w:t xml:space="preserve"> </w:t>
      </w:r>
      <w:r w:rsidRPr="00445D3F">
        <w:rPr>
          <w:rFonts w:asciiTheme="majorHAnsi" w:hAnsiTheme="majorHAnsi" w:cstheme="majorHAnsi"/>
          <w:color w:val="auto"/>
          <w:sz w:val="24"/>
          <w:szCs w:val="24"/>
        </w:rPr>
        <w:t>i uključivanje svih zainteresovanih strana u rad javne uprave, afirmacija iskazanih potreba građana kroz učešće u javne rasprave, ali i direktnog uticaja na rad organa ima za cilj razvijanje politika organa na osnovu identifikovanih potreba građana i privrede u direktnoj komunikaciji i saradnji.</w:t>
      </w:r>
    </w:p>
    <w:p w:rsidR="005F6FEC" w:rsidRDefault="00A44BC4" w:rsidP="005F6FEC">
      <w:pPr>
        <w:spacing w:before="120" w:after="120" w:line="240" w:lineRule="auto"/>
        <w:jc w:val="both"/>
        <w:rPr>
          <w:rFonts w:asciiTheme="majorHAnsi" w:hAnsiTheme="majorHAnsi" w:cstheme="majorHAnsi"/>
          <w:color w:val="002060"/>
          <w:sz w:val="24"/>
          <w:szCs w:val="24"/>
        </w:rPr>
      </w:pPr>
      <w:r w:rsidRPr="007E14C5">
        <w:rPr>
          <w:rFonts w:asciiTheme="majorHAnsi" w:hAnsiTheme="majorHAnsi" w:cstheme="majorHAnsi"/>
          <w:noProof/>
          <w:color w:val="002060"/>
          <w:sz w:val="24"/>
          <w:szCs w:val="24"/>
          <w:lang w:eastAsia="sr-Latn-RS"/>
        </w:rPr>
        <w:drawing>
          <wp:inline distT="0" distB="0" distL="0" distR="0" wp14:anchorId="14601E4C" wp14:editId="4676F9CA">
            <wp:extent cx="6477000" cy="3987800"/>
            <wp:effectExtent l="0" t="0" r="1905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5F6FEC" w:rsidRDefault="005F6FEC" w:rsidP="005F6FEC">
      <w:pPr>
        <w:spacing w:before="120" w:after="120" w:line="240" w:lineRule="auto"/>
        <w:jc w:val="both"/>
        <w:rPr>
          <w:rFonts w:asciiTheme="majorHAnsi" w:hAnsiTheme="majorHAnsi" w:cstheme="majorHAnsi"/>
          <w:color w:val="002060"/>
          <w:sz w:val="24"/>
          <w:szCs w:val="24"/>
        </w:rPr>
      </w:pPr>
    </w:p>
    <w:p w:rsidR="005F6FEC" w:rsidRDefault="005F6FEC" w:rsidP="005F6FEC">
      <w:pPr>
        <w:spacing w:before="120" w:after="120" w:line="240" w:lineRule="auto"/>
        <w:jc w:val="both"/>
        <w:rPr>
          <w:rFonts w:asciiTheme="majorHAnsi" w:hAnsiTheme="majorHAnsi" w:cstheme="majorHAnsi"/>
          <w:color w:val="002060"/>
          <w:sz w:val="24"/>
          <w:szCs w:val="24"/>
        </w:rPr>
      </w:pPr>
    </w:p>
    <w:p w:rsidR="005F6FEC" w:rsidRDefault="005F6FEC" w:rsidP="005F6FEC">
      <w:pPr>
        <w:spacing w:before="120" w:after="120" w:line="240" w:lineRule="auto"/>
        <w:jc w:val="both"/>
        <w:rPr>
          <w:rFonts w:asciiTheme="majorHAnsi" w:hAnsiTheme="majorHAnsi" w:cstheme="majorHAnsi"/>
          <w:color w:val="002060"/>
          <w:sz w:val="24"/>
          <w:szCs w:val="24"/>
        </w:rPr>
      </w:pPr>
    </w:p>
    <w:p w:rsidR="005F6FEC" w:rsidRDefault="005F6FEC" w:rsidP="005F6FEC">
      <w:pPr>
        <w:spacing w:before="120" w:after="120" w:line="240" w:lineRule="auto"/>
        <w:jc w:val="both"/>
        <w:rPr>
          <w:rFonts w:asciiTheme="majorHAnsi" w:hAnsiTheme="majorHAnsi" w:cstheme="majorHAnsi"/>
          <w:color w:val="002060"/>
          <w:sz w:val="24"/>
          <w:szCs w:val="24"/>
        </w:rPr>
      </w:pPr>
    </w:p>
    <w:p w:rsidR="005F6FEC" w:rsidRDefault="005F6FEC" w:rsidP="005F6FEC">
      <w:pPr>
        <w:spacing w:before="120" w:after="120" w:line="240" w:lineRule="auto"/>
        <w:jc w:val="both"/>
        <w:rPr>
          <w:rFonts w:asciiTheme="majorHAnsi" w:hAnsiTheme="majorHAnsi" w:cstheme="majorHAnsi"/>
          <w:color w:val="002060"/>
          <w:sz w:val="24"/>
          <w:szCs w:val="24"/>
        </w:rPr>
      </w:pPr>
    </w:p>
    <w:p w:rsidR="005F6FEC" w:rsidRDefault="005F6FEC" w:rsidP="005F6FEC">
      <w:pPr>
        <w:spacing w:before="120" w:after="120" w:line="240" w:lineRule="auto"/>
        <w:jc w:val="both"/>
        <w:rPr>
          <w:rFonts w:asciiTheme="majorHAnsi" w:hAnsiTheme="majorHAnsi" w:cstheme="majorHAnsi"/>
          <w:color w:val="002060"/>
          <w:sz w:val="24"/>
          <w:szCs w:val="24"/>
        </w:rPr>
      </w:pPr>
    </w:p>
    <w:p w:rsidR="005F6FEC" w:rsidRDefault="005F6FEC" w:rsidP="005F6FEC">
      <w:pPr>
        <w:spacing w:before="120" w:after="120" w:line="240" w:lineRule="auto"/>
        <w:jc w:val="both"/>
        <w:rPr>
          <w:rFonts w:asciiTheme="majorHAnsi" w:hAnsiTheme="majorHAnsi" w:cstheme="majorHAnsi"/>
          <w:color w:val="002060"/>
          <w:sz w:val="24"/>
          <w:szCs w:val="24"/>
        </w:rPr>
      </w:pPr>
    </w:p>
    <w:p w:rsidR="005F6FEC" w:rsidRPr="005F6FEC" w:rsidRDefault="005F6FEC" w:rsidP="005F6FEC">
      <w:pPr>
        <w:spacing w:before="120" w:after="120" w:line="240" w:lineRule="auto"/>
        <w:jc w:val="both"/>
        <w:rPr>
          <w:rFonts w:asciiTheme="majorHAnsi" w:hAnsiTheme="majorHAnsi" w:cstheme="majorHAnsi"/>
          <w:color w:val="002060"/>
          <w:sz w:val="24"/>
          <w:szCs w:val="24"/>
        </w:rPr>
      </w:pPr>
    </w:p>
    <w:p w:rsidR="00445D3F" w:rsidRDefault="00445D3F" w:rsidP="00D8388B">
      <w:pPr>
        <w:spacing w:before="120" w:after="120" w:line="240" w:lineRule="auto"/>
        <w:ind w:right="-475"/>
        <w:jc w:val="both"/>
        <w:rPr>
          <w:rFonts w:asciiTheme="majorHAnsi" w:hAnsiTheme="majorHAnsi" w:cstheme="majorHAnsi"/>
          <w:b/>
          <w:color w:val="002060"/>
          <w:sz w:val="24"/>
          <w:szCs w:val="24"/>
        </w:rPr>
      </w:pPr>
    </w:p>
    <w:p w:rsidR="00445D3F" w:rsidRDefault="00445D3F" w:rsidP="00D8388B">
      <w:pPr>
        <w:spacing w:before="120" w:after="120" w:line="240" w:lineRule="auto"/>
        <w:ind w:right="-475"/>
        <w:jc w:val="both"/>
        <w:rPr>
          <w:rFonts w:asciiTheme="majorHAnsi" w:hAnsiTheme="majorHAnsi" w:cstheme="majorHAnsi"/>
          <w:b/>
          <w:color w:val="002060"/>
          <w:sz w:val="24"/>
          <w:szCs w:val="24"/>
        </w:rPr>
      </w:pPr>
    </w:p>
    <w:p w:rsidR="00785532" w:rsidRPr="00445D3F" w:rsidRDefault="00B3591B" w:rsidP="00D8388B">
      <w:pPr>
        <w:spacing w:before="120" w:after="120" w:line="240" w:lineRule="auto"/>
        <w:ind w:right="-475"/>
        <w:jc w:val="both"/>
        <w:rPr>
          <w:rFonts w:asciiTheme="majorHAnsi" w:hAnsiTheme="majorHAnsi" w:cstheme="majorHAnsi"/>
          <w:color w:val="auto"/>
          <w:sz w:val="24"/>
          <w:szCs w:val="24"/>
          <w:u w:val="single"/>
        </w:rPr>
      </w:pPr>
      <w:r w:rsidRPr="00445D3F">
        <w:rPr>
          <w:rFonts w:asciiTheme="majorHAnsi" w:hAnsiTheme="majorHAnsi" w:cstheme="majorHAnsi"/>
          <w:b/>
          <w:color w:val="auto"/>
          <w:sz w:val="24"/>
          <w:szCs w:val="24"/>
          <w:u w:val="single"/>
        </w:rPr>
        <w:lastRenderedPageBreak/>
        <w:t xml:space="preserve">Ključni strateški </w:t>
      </w:r>
      <w:r w:rsidR="006966B6" w:rsidRPr="00445D3F">
        <w:rPr>
          <w:rFonts w:asciiTheme="majorHAnsi" w:hAnsiTheme="majorHAnsi" w:cstheme="majorHAnsi"/>
          <w:b/>
          <w:color w:val="auto"/>
          <w:sz w:val="24"/>
          <w:szCs w:val="24"/>
          <w:u w:val="single"/>
        </w:rPr>
        <w:t>ciljevi</w:t>
      </w:r>
    </w:p>
    <w:p w:rsidR="00FD1C25" w:rsidRPr="00445D3F" w:rsidRDefault="00D8388B" w:rsidP="00D8388B">
      <w:pPr>
        <w:spacing w:before="60" w:after="60" w:line="240" w:lineRule="auto"/>
        <w:ind w:right="-471"/>
        <w:jc w:val="both"/>
        <w:rPr>
          <w:rFonts w:asciiTheme="majorHAnsi" w:hAnsiTheme="majorHAnsi" w:cstheme="majorHAnsi"/>
          <w:color w:val="auto"/>
          <w:sz w:val="24"/>
          <w:szCs w:val="24"/>
        </w:rPr>
      </w:pPr>
      <w:r w:rsidRPr="00445D3F">
        <w:rPr>
          <w:rFonts w:asciiTheme="majorHAnsi" w:hAnsiTheme="majorHAnsi" w:cstheme="majorHAnsi"/>
          <w:color w:val="auto"/>
          <w:sz w:val="24"/>
          <w:szCs w:val="24"/>
        </w:rPr>
        <w:t>Ovim strateškim dokumentom definisano je 5 strateških ciljeva</w:t>
      </w:r>
      <w:r w:rsidR="005B009B" w:rsidRPr="00445D3F">
        <w:rPr>
          <w:rFonts w:asciiTheme="majorHAnsi" w:hAnsiTheme="majorHAnsi" w:cstheme="majorHAnsi"/>
          <w:color w:val="auto"/>
          <w:sz w:val="24"/>
          <w:szCs w:val="24"/>
        </w:rPr>
        <w:t xml:space="preserve">, a u nastavku je razvijena analiza stanja za svaki strateški cilj, identifikovani </w:t>
      </w:r>
      <w:r w:rsidR="00C41C7D" w:rsidRPr="00445D3F">
        <w:rPr>
          <w:rFonts w:asciiTheme="majorHAnsi" w:hAnsiTheme="majorHAnsi" w:cstheme="majorHAnsi"/>
          <w:color w:val="auto"/>
          <w:sz w:val="24"/>
          <w:szCs w:val="24"/>
        </w:rPr>
        <w:t>izazovi</w:t>
      </w:r>
      <w:r w:rsidR="005B009B" w:rsidRPr="00445D3F">
        <w:rPr>
          <w:rFonts w:asciiTheme="majorHAnsi" w:hAnsiTheme="majorHAnsi" w:cstheme="majorHAnsi"/>
          <w:color w:val="auto"/>
          <w:sz w:val="24"/>
          <w:szCs w:val="24"/>
        </w:rPr>
        <w:t xml:space="preserve"> i definisani</w:t>
      </w:r>
      <w:r w:rsidRPr="00445D3F">
        <w:rPr>
          <w:rFonts w:asciiTheme="majorHAnsi" w:hAnsiTheme="majorHAnsi" w:cstheme="majorHAnsi"/>
          <w:color w:val="auto"/>
          <w:sz w:val="24"/>
          <w:szCs w:val="24"/>
        </w:rPr>
        <w:t xml:space="preserve"> operativni ciljevi kao i indikatori, u skladu sa Metodologijom GSV-a.</w:t>
      </w:r>
      <w:r w:rsidR="00EE4244" w:rsidRPr="00445D3F">
        <w:rPr>
          <w:rFonts w:asciiTheme="majorHAnsi" w:hAnsiTheme="majorHAnsi" w:cstheme="majorHAnsi"/>
          <w:color w:val="auto"/>
          <w:sz w:val="24"/>
          <w:szCs w:val="24"/>
        </w:rPr>
        <w:t xml:space="preserve"> </w:t>
      </w:r>
    </w:p>
    <w:p w:rsidR="004C1858" w:rsidRPr="007E14C5" w:rsidRDefault="004C1858" w:rsidP="00D8388B">
      <w:pPr>
        <w:spacing w:before="60" w:after="60" w:line="240" w:lineRule="auto"/>
        <w:ind w:right="-471"/>
        <w:jc w:val="both"/>
        <w:rPr>
          <w:rFonts w:asciiTheme="majorHAnsi" w:hAnsiTheme="majorHAnsi" w:cstheme="majorHAnsi"/>
          <w:color w:val="002060"/>
          <w:sz w:val="24"/>
          <w:szCs w:val="24"/>
        </w:rPr>
      </w:pPr>
    </w:p>
    <w:p w:rsidR="004C1858" w:rsidRPr="007E14C5" w:rsidRDefault="004C1858" w:rsidP="00D8388B">
      <w:pPr>
        <w:spacing w:before="60" w:after="60" w:line="240" w:lineRule="auto"/>
        <w:ind w:right="-471"/>
        <w:jc w:val="both"/>
        <w:rPr>
          <w:rFonts w:asciiTheme="majorHAnsi" w:hAnsiTheme="majorHAnsi" w:cstheme="majorHAnsi"/>
          <w:color w:val="002060"/>
          <w:sz w:val="24"/>
          <w:szCs w:val="24"/>
        </w:rPr>
      </w:pPr>
      <w:r w:rsidRPr="007E14C5">
        <w:rPr>
          <w:rFonts w:asciiTheme="majorHAnsi" w:hAnsiTheme="majorHAnsi" w:cstheme="majorHAnsi"/>
          <w:noProof/>
          <w:color w:val="002060"/>
          <w:sz w:val="24"/>
          <w:szCs w:val="24"/>
          <w:lang w:eastAsia="sr-Latn-RS"/>
        </w:rPr>
        <w:drawing>
          <wp:inline distT="0" distB="0" distL="0" distR="0" wp14:anchorId="5D598C5A" wp14:editId="4F6A4DF5">
            <wp:extent cx="6000750" cy="1740258"/>
            <wp:effectExtent l="19050" t="0" r="19050" b="127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4C1858" w:rsidRPr="007E14C5" w:rsidRDefault="004C1858" w:rsidP="00D8388B">
      <w:pPr>
        <w:spacing w:before="60" w:after="60" w:line="240" w:lineRule="auto"/>
        <w:ind w:right="-471"/>
        <w:jc w:val="both"/>
        <w:rPr>
          <w:rFonts w:asciiTheme="majorHAnsi" w:hAnsiTheme="majorHAnsi" w:cstheme="majorHAnsi"/>
          <w:color w:val="002060"/>
          <w:sz w:val="24"/>
          <w:szCs w:val="24"/>
        </w:rPr>
      </w:pPr>
    </w:p>
    <w:p w:rsidR="004C1858" w:rsidRPr="007E14C5" w:rsidRDefault="004C1858" w:rsidP="00D8388B">
      <w:pPr>
        <w:spacing w:before="60" w:after="60" w:line="240" w:lineRule="auto"/>
        <w:ind w:right="-471"/>
        <w:jc w:val="both"/>
        <w:rPr>
          <w:rFonts w:asciiTheme="majorHAnsi" w:hAnsiTheme="majorHAnsi" w:cstheme="majorHAnsi"/>
          <w:color w:val="002060"/>
          <w:sz w:val="24"/>
          <w:szCs w:val="24"/>
        </w:rPr>
      </w:pPr>
    </w:p>
    <w:p w:rsidR="00C07ECE" w:rsidRPr="007E14C5" w:rsidRDefault="00C07ECE" w:rsidP="0091256B">
      <w:pPr>
        <w:spacing w:before="120" w:after="0" w:line="240" w:lineRule="auto"/>
        <w:ind w:right="-471"/>
        <w:jc w:val="both"/>
        <w:rPr>
          <w:rFonts w:asciiTheme="majorHAnsi" w:eastAsia="Times New Roman" w:hAnsiTheme="majorHAnsi" w:cstheme="majorHAnsi"/>
          <w:color w:val="002060"/>
          <w:kern w:val="0"/>
          <w:sz w:val="24"/>
          <w:szCs w:val="24"/>
          <w:lang w:eastAsia="en-US"/>
        </w:rPr>
      </w:pPr>
    </w:p>
    <w:p w:rsidR="00C07ECE" w:rsidRPr="007E14C5" w:rsidRDefault="00C07ECE" w:rsidP="00153229">
      <w:pPr>
        <w:spacing w:before="120" w:after="120" w:line="240" w:lineRule="auto"/>
        <w:ind w:right="-471"/>
        <w:jc w:val="both"/>
        <w:rPr>
          <w:rFonts w:asciiTheme="majorHAnsi" w:hAnsiTheme="majorHAnsi" w:cstheme="majorHAnsi"/>
          <w:b/>
          <w:color w:val="002060"/>
          <w:sz w:val="24"/>
          <w:szCs w:val="24"/>
        </w:rPr>
      </w:pPr>
    </w:p>
    <w:p w:rsidR="00C07ECE" w:rsidRPr="007E14C5" w:rsidRDefault="00C07ECE" w:rsidP="00153229">
      <w:pPr>
        <w:spacing w:before="120" w:after="120" w:line="240" w:lineRule="auto"/>
        <w:ind w:right="-471"/>
        <w:jc w:val="both"/>
        <w:rPr>
          <w:rFonts w:asciiTheme="majorHAnsi" w:hAnsiTheme="majorHAnsi" w:cstheme="majorHAnsi"/>
          <w:b/>
          <w:color w:val="002060"/>
          <w:sz w:val="24"/>
          <w:szCs w:val="24"/>
        </w:rPr>
      </w:pPr>
    </w:p>
    <w:p w:rsidR="00B327EE" w:rsidRPr="00445D3F" w:rsidRDefault="000A4020" w:rsidP="00445D3F">
      <w:pPr>
        <w:pStyle w:val="Heading1"/>
        <w:spacing w:before="240" w:after="240"/>
        <w:ind w:right="-475"/>
        <w:jc w:val="center"/>
        <w:rPr>
          <w:rFonts w:asciiTheme="majorHAnsi" w:hAnsiTheme="majorHAnsi" w:cstheme="majorHAnsi"/>
          <w:b/>
          <w:color w:val="auto"/>
          <w:sz w:val="32"/>
          <w:szCs w:val="32"/>
        </w:rPr>
      </w:pPr>
      <w:bookmarkStart w:id="4" w:name="_Toc87353388"/>
      <w:r w:rsidRPr="00445D3F">
        <w:rPr>
          <w:rFonts w:asciiTheme="majorHAnsi" w:hAnsiTheme="majorHAnsi" w:cstheme="majorHAnsi"/>
          <w:b/>
          <w:color w:val="auto"/>
          <w:sz w:val="32"/>
          <w:szCs w:val="32"/>
        </w:rPr>
        <w:lastRenderedPageBreak/>
        <w:t xml:space="preserve">II  </w:t>
      </w:r>
      <w:r w:rsidR="00842176" w:rsidRPr="00445D3F">
        <w:rPr>
          <w:rFonts w:asciiTheme="majorHAnsi" w:hAnsiTheme="majorHAnsi" w:cstheme="majorHAnsi"/>
          <w:b/>
          <w:color w:val="auto"/>
          <w:sz w:val="32"/>
          <w:szCs w:val="32"/>
        </w:rPr>
        <w:t xml:space="preserve">ANALIZA STANJA </w:t>
      </w:r>
      <w:r w:rsidR="00C03BFB" w:rsidRPr="00445D3F">
        <w:rPr>
          <w:rFonts w:asciiTheme="majorHAnsi" w:hAnsiTheme="majorHAnsi" w:cstheme="majorHAnsi"/>
          <w:b/>
          <w:color w:val="auto"/>
          <w:sz w:val="32"/>
          <w:szCs w:val="32"/>
        </w:rPr>
        <w:t>SA STRATEŠKIM I OPERATIVNIM CILJEVIMA</w:t>
      </w:r>
      <w:bookmarkEnd w:id="4"/>
    </w:p>
    <w:p w:rsidR="002F030C" w:rsidRPr="00445D3F" w:rsidRDefault="00DB0093" w:rsidP="00445D3F">
      <w:pPr>
        <w:pStyle w:val="Heading2"/>
        <w:spacing w:before="240" w:after="240"/>
        <w:ind w:right="-475"/>
        <w:jc w:val="both"/>
        <w:rPr>
          <w:rFonts w:cstheme="majorHAnsi"/>
          <w:b/>
          <w:color w:val="auto"/>
          <w:sz w:val="28"/>
          <w:szCs w:val="28"/>
        </w:rPr>
      </w:pPr>
      <w:bookmarkStart w:id="5" w:name="_Toc87353389"/>
      <w:r w:rsidRPr="00445D3F">
        <w:rPr>
          <w:rFonts w:cstheme="majorHAnsi"/>
          <w:b/>
          <w:color w:val="auto"/>
          <w:szCs w:val="24"/>
        </w:rPr>
        <w:t xml:space="preserve">1. </w:t>
      </w:r>
      <w:r w:rsidR="002F030C" w:rsidRPr="00445D3F">
        <w:rPr>
          <w:rFonts w:cstheme="majorHAnsi"/>
          <w:b/>
          <w:color w:val="auto"/>
          <w:sz w:val="28"/>
          <w:szCs w:val="28"/>
        </w:rPr>
        <w:t>ORGANIZACIJA I RAD JAVNE UPRAVE U FU</w:t>
      </w:r>
      <w:r w:rsidR="009C077B" w:rsidRPr="00445D3F">
        <w:rPr>
          <w:rFonts w:cstheme="majorHAnsi"/>
          <w:b/>
          <w:color w:val="auto"/>
          <w:sz w:val="28"/>
          <w:szCs w:val="28"/>
        </w:rPr>
        <w:t>N</w:t>
      </w:r>
      <w:r w:rsidR="002F030C" w:rsidRPr="00445D3F">
        <w:rPr>
          <w:rFonts w:cstheme="majorHAnsi"/>
          <w:b/>
          <w:color w:val="auto"/>
          <w:sz w:val="28"/>
          <w:szCs w:val="28"/>
        </w:rPr>
        <w:t>KCIJI POTREBA GRAĐANA</w:t>
      </w:r>
      <w:bookmarkEnd w:id="5"/>
    </w:p>
    <w:p w:rsidR="00EB7DBC" w:rsidRPr="00445D3F" w:rsidRDefault="00EB7DBC" w:rsidP="00B43D4E">
      <w:pPr>
        <w:pStyle w:val="ListParagraph"/>
        <w:keepNext/>
        <w:keepLines/>
        <w:numPr>
          <w:ilvl w:val="0"/>
          <w:numId w:val="20"/>
        </w:numPr>
        <w:spacing w:before="120" w:after="120" w:line="240" w:lineRule="auto"/>
        <w:ind w:right="-475"/>
        <w:contextualSpacing w:val="0"/>
        <w:outlineLvl w:val="2"/>
        <w:rPr>
          <w:rFonts w:asciiTheme="majorHAnsi" w:eastAsia="Times New Roman" w:hAnsiTheme="majorHAnsi" w:cstheme="majorHAnsi"/>
          <w:b/>
          <w:color w:val="auto"/>
          <w:kern w:val="0"/>
          <w:sz w:val="24"/>
          <w:szCs w:val="24"/>
          <w:lang w:eastAsia="en-US"/>
        </w:rPr>
      </w:pPr>
      <w:bookmarkStart w:id="6" w:name="_Toc87353390"/>
      <w:r w:rsidRPr="00445D3F">
        <w:rPr>
          <w:rFonts w:asciiTheme="majorHAnsi" w:eastAsia="Times New Roman" w:hAnsiTheme="majorHAnsi" w:cstheme="majorHAnsi"/>
          <w:b/>
          <w:color w:val="auto"/>
          <w:kern w:val="0"/>
          <w:sz w:val="24"/>
          <w:szCs w:val="24"/>
          <w:lang w:eastAsia="en-US"/>
        </w:rPr>
        <w:t>STRATEŠKI CILJ</w:t>
      </w:r>
      <w:bookmarkEnd w:id="6"/>
    </w:p>
    <w:p w:rsidR="0036379A" w:rsidRPr="00445D3F" w:rsidRDefault="006B2FB2" w:rsidP="00445D3F">
      <w:pPr>
        <w:spacing w:before="60" w:after="60" w:line="240" w:lineRule="auto"/>
        <w:ind w:right="-471"/>
        <w:jc w:val="both"/>
        <w:rPr>
          <w:rFonts w:asciiTheme="majorHAnsi" w:eastAsia="Calibri" w:hAnsiTheme="majorHAnsi" w:cstheme="majorHAnsi"/>
          <w:b/>
          <w:color w:val="auto"/>
          <w:kern w:val="0"/>
          <w:sz w:val="24"/>
          <w:szCs w:val="24"/>
          <w:lang w:eastAsia="en-US"/>
        </w:rPr>
      </w:pPr>
      <w:r w:rsidRPr="00445D3F">
        <w:rPr>
          <w:rFonts w:asciiTheme="majorHAnsi" w:eastAsia="Calibri" w:hAnsiTheme="majorHAnsi" w:cstheme="majorHAnsi"/>
          <w:color w:val="auto"/>
          <w:kern w:val="0"/>
          <w:sz w:val="24"/>
          <w:szCs w:val="24"/>
          <w:lang w:eastAsia="en-US"/>
        </w:rPr>
        <w:t>Odgovornost treba da bude osnovna, mjerljiva i konkretna vrijednost za rad svakog pojedinca</w:t>
      </w:r>
      <w:r w:rsidR="000613E8" w:rsidRPr="00445D3F">
        <w:rPr>
          <w:rFonts w:asciiTheme="majorHAnsi" w:eastAsia="Calibri" w:hAnsiTheme="majorHAnsi" w:cstheme="majorHAnsi"/>
          <w:color w:val="auto"/>
          <w:kern w:val="0"/>
          <w:sz w:val="24"/>
          <w:szCs w:val="24"/>
          <w:lang w:eastAsia="en-US"/>
        </w:rPr>
        <w:t xml:space="preserve"> i institucije</w:t>
      </w:r>
      <w:r w:rsidRPr="00445D3F">
        <w:rPr>
          <w:rFonts w:asciiTheme="majorHAnsi" w:eastAsia="Calibri" w:hAnsiTheme="majorHAnsi" w:cstheme="majorHAnsi"/>
          <w:color w:val="auto"/>
          <w:kern w:val="0"/>
          <w:sz w:val="24"/>
          <w:szCs w:val="24"/>
          <w:lang w:eastAsia="en-US"/>
        </w:rPr>
        <w:t xml:space="preserve"> u javnoj upravi</w:t>
      </w:r>
      <w:r w:rsidR="004D71C4" w:rsidRPr="00445D3F">
        <w:rPr>
          <w:rFonts w:asciiTheme="majorHAnsi" w:eastAsia="Calibri" w:hAnsiTheme="majorHAnsi" w:cstheme="majorHAnsi"/>
          <w:color w:val="auto"/>
          <w:kern w:val="0"/>
          <w:sz w:val="24"/>
          <w:szCs w:val="24"/>
          <w:lang w:eastAsia="en-US"/>
        </w:rPr>
        <w:t xml:space="preserve">. </w:t>
      </w:r>
      <w:r w:rsidR="00826B81" w:rsidRPr="00445D3F">
        <w:rPr>
          <w:rFonts w:asciiTheme="majorHAnsi" w:eastAsia="Calibri" w:hAnsiTheme="majorHAnsi" w:cstheme="majorHAnsi"/>
          <w:color w:val="auto"/>
          <w:kern w:val="0"/>
          <w:sz w:val="24"/>
          <w:szCs w:val="24"/>
          <w:lang w:eastAsia="en-US"/>
        </w:rPr>
        <w:t>Potrebno je</w:t>
      </w:r>
      <w:r w:rsidR="00826B81" w:rsidRPr="00445D3F">
        <w:rPr>
          <w:rFonts w:asciiTheme="majorHAnsi" w:eastAsia="Calibri" w:hAnsiTheme="majorHAnsi" w:cstheme="majorHAnsi"/>
          <w:b/>
          <w:color w:val="auto"/>
          <w:kern w:val="0"/>
          <w:sz w:val="24"/>
          <w:szCs w:val="24"/>
          <w:lang w:eastAsia="en-US"/>
        </w:rPr>
        <w:t xml:space="preserve"> unaprijediti sistem spoljne</w:t>
      </w:r>
      <w:r w:rsidR="00826B81" w:rsidRPr="00445D3F">
        <w:rPr>
          <w:rFonts w:asciiTheme="majorHAnsi" w:eastAsia="Calibri" w:hAnsiTheme="majorHAnsi" w:cstheme="majorHAnsi"/>
          <w:color w:val="auto"/>
          <w:kern w:val="0"/>
          <w:sz w:val="24"/>
          <w:szCs w:val="24"/>
          <w:lang w:eastAsia="en-US"/>
        </w:rPr>
        <w:t xml:space="preserve"> </w:t>
      </w:r>
      <w:r w:rsidR="00826B81" w:rsidRPr="00445D3F">
        <w:rPr>
          <w:rFonts w:asciiTheme="majorHAnsi" w:eastAsia="Calibri" w:hAnsiTheme="majorHAnsi" w:cstheme="majorHAnsi"/>
          <w:b/>
          <w:color w:val="auto"/>
          <w:kern w:val="0"/>
          <w:sz w:val="24"/>
          <w:szCs w:val="24"/>
          <w:lang w:eastAsia="en-US"/>
        </w:rPr>
        <w:t>kontrole</w:t>
      </w:r>
      <w:r w:rsidR="00826B81" w:rsidRPr="00445D3F">
        <w:rPr>
          <w:rFonts w:asciiTheme="majorHAnsi" w:eastAsia="Calibri" w:hAnsiTheme="majorHAnsi" w:cstheme="majorHAnsi"/>
          <w:color w:val="auto"/>
          <w:kern w:val="0"/>
          <w:sz w:val="24"/>
          <w:szCs w:val="24"/>
          <w:lang w:eastAsia="en-US"/>
        </w:rPr>
        <w:t xml:space="preserve"> (sudovi, </w:t>
      </w:r>
      <w:r w:rsidR="00151E66" w:rsidRPr="00445D3F">
        <w:rPr>
          <w:rFonts w:asciiTheme="majorHAnsi" w:eastAsia="Calibri" w:hAnsiTheme="majorHAnsi" w:cstheme="majorHAnsi"/>
          <w:color w:val="auto"/>
          <w:kern w:val="0"/>
          <w:sz w:val="24"/>
          <w:szCs w:val="24"/>
          <w:lang w:eastAsia="en-US"/>
        </w:rPr>
        <w:t xml:space="preserve">Državna revizorska institucija, </w:t>
      </w:r>
      <w:r w:rsidR="00826B81" w:rsidRPr="00445D3F">
        <w:rPr>
          <w:rFonts w:asciiTheme="majorHAnsi" w:eastAsia="Calibri" w:hAnsiTheme="majorHAnsi" w:cstheme="majorHAnsi"/>
          <w:color w:val="auto"/>
          <w:kern w:val="0"/>
          <w:sz w:val="24"/>
          <w:szCs w:val="24"/>
          <w:lang w:eastAsia="en-US"/>
        </w:rPr>
        <w:t>Zaštitnik</w:t>
      </w:r>
      <w:r w:rsidR="000949FE" w:rsidRPr="00445D3F">
        <w:rPr>
          <w:rFonts w:asciiTheme="majorHAnsi" w:eastAsia="Calibri" w:hAnsiTheme="majorHAnsi" w:cstheme="majorHAnsi"/>
          <w:color w:val="auto"/>
          <w:kern w:val="0"/>
          <w:sz w:val="24"/>
          <w:szCs w:val="24"/>
          <w:lang w:eastAsia="en-US"/>
        </w:rPr>
        <w:t xml:space="preserve"> ljudskih prava i sloboda – Ombudsman</w:t>
      </w:r>
      <w:r w:rsidR="00151E66" w:rsidRPr="00445D3F">
        <w:rPr>
          <w:rFonts w:asciiTheme="majorHAnsi" w:hAnsiTheme="majorHAnsi" w:cstheme="majorHAnsi"/>
          <w:bCs/>
          <w:color w:val="auto"/>
          <w:sz w:val="24"/>
          <w:szCs w:val="24"/>
          <w:shd w:val="clear" w:color="auto" w:fill="FAFAFA"/>
        </w:rPr>
        <w:t>,</w:t>
      </w:r>
      <w:r w:rsidR="00826B81" w:rsidRPr="00445D3F">
        <w:rPr>
          <w:rFonts w:asciiTheme="majorHAnsi" w:eastAsia="Calibri" w:hAnsiTheme="majorHAnsi" w:cstheme="majorHAnsi"/>
          <w:color w:val="auto"/>
          <w:kern w:val="0"/>
          <w:sz w:val="24"/>
          <w:szCs w:val="24"/>
          <w:lang w:eastAsia="en-US"/>
        </w:rPr>
        <w:t xml:space="preserve"> </w:t>
      </w:r>
      <w:r w:rsidR="00826B81" w:rsidRPr="00445D3F">
        <w:rPr>
          <w:rFonts w:asciiTheme="majorHAnsi" w:hAnsiTheme="majorHAnsi" w:cstheme="majorHAnsi"/>
          <w:bCs/>
          <w:color w:val="auto"/>
          <w:sz w:val="24"/>
          <w:szCs w:val="24"/>
          <w:shd w:val="clear" w:color="auto" w:fill="FFFFFF"/>
        </w:rPr>
        <w:t>Zaštitnik imovinsko-pravnih interesa</w:t>
      </w:r>
      <w:r w:rsidR="00826B81" w:rsidRPr="00445D3F">
        <w:rPr>
          <w:rFonts w:asciiTheme="majorHAnsi" w:eastAsia="Calibri" w:hAnsiTheme="majorHAnsi" w:cstheme="majorHAnsi"/>
          <w:color w:val="auto"/>
          <w:kern w:val="0"/>
          <w:sz w:val="24"/>
          <w:szCs w:val="24"/>
          <w:lang w:eastAsia="en-US"/>
        </w:rPr>
        <w:t>)</w:t>
      </w:r>
      <w:r w:rsidR="00826B81" w:rsidRPr="00445D3F">
        <w:rPr>
          <w:rFonts w:asciiTheme="majorHAnsi" w:eastAsia="Calibri" w:hAnsiTheme="majorHAnsi" w:cstheme="majorHAnsi"/>
          <w:b/>
          <w:color w:val="auto"/>
          <w:kern w:val="0"/>
          <w:sz w:val="24"/>
          <w:szCs w:val="24"/>
          <w:lang w:eastAsia="en-US"/>
        </w:rPr>
        <w:t xml:space="preserve"> i unutrašnje kontrole i nadzora </w:t>
      </w:r>
      <w:r w:rsidR="00826B81" w:rsidRPr="00445D3F">
        <w:rPr>
          <w:rFonts w:asciiTheme="majorHAnsi" w:eastAsia="Calibri" w:hAnsiTheme="majorHAnsi" w:cstheme="majorHAnsi"/>
          <w:color w:val="auto"/>
          <w:kern w:val="0"/>
          <w:sz w:val="24"/>
          <w:szCs w:val="24"/>
          <w:lang w:eastAsia="en-US"/>
        </w:rPr>
        <w:t>(inspekcije</w:t>
      </w:r>
      <w:r w:rsidR="00C972EA" w:rsidRPr="00445D3F">
        <w:rPr>
          <w:rFonts w:asciiTheme="majorHAnsi" w:eastAsia="Calibri" w:hAnsiTheme="majorHAnsi" w:cstheme="majorHAnsi"/>
          <w:color w:val="auto"/>
          <w:kern w:val="0"/>
          <w:sz w:val="24"/>
          <w:szCs w:val="24"/>
          <w:lang w:eastAsia="en-US"/>
        </w:rPr>
        <w:t>,</w:t>
      </w:r>
      <w:r w:rsidR="00826B81" w:rsidRPr="00445D3F">
        <w:rPr>
          <w:rFonts w:asciiTheme="majorHAnsi" w:eastAsia="Calibri" w:hAnsiTheme="majorHAnsi" w:cstheme="majorHAnsi"/>
          <w:color w:val="auto"/>
          <w:kern w:val="0"/>
          <w:sz w:val="24"/>
          <w:szCs w:val="24"/>
          <w:lang w:eastAsia="en-US"/>
        </w:rPr>
        <w:t xml:space="preserve"> </w:t>
      </w:r>
      <w:r w:rsidR="00826B81" w:rsidRPr="00445D3F">
        <w:rPr>
          <w:rFonts w:asciiTheme="majorHAnsi" w:hAnsiTheme="majorHAnsi" w:cstheme="majorHAnsi"/>
          <w:color w:val="auto"/>
          <w:sz w:val="24"/>
          <w:szCs w:val="24"/>
        </w:rPr>
        <w:t>nadzor hijerarhijski višeg organa nad hij</w:t>
      </w:r>
      <w:r w:rsidR="00C972EA" w:rsidRPr="00445D3F">
        <w:rPr>
          <w:rFonts w:asciiTheme="majorHAnsi" w:hAnsiTheme="majorHAnsi" w:cstheme="majorHAnsi"/>
          <w:color w:val="auto"/>
          <w:sz w:val="24"/>
          <w:szCs w:val="24"/>
        </w:rPr>
        <w:t>erarhijski nižim organom uprave,</w:t>
      </w:r>
      <w:r w:rsidR="00826B81" w:rsidRPr="00445D3F">
        <w:rPr>
          <w:rFonts w:asciiTheme="majorHAnsi" w:hAnsiTheme="majorHAnsi" w:cstheme="majorHAnsi"/>
          <w:color w:val="auto"/>
          <w:sz w:val="24"/>
          <w:szCs w:val="24"/>
        </w:rPr>
        <w:t xml:space="preserve"> kontrola</w:t>
      </w:r>
      <w:r w:rsidR="00B13060" w:rsidRPr="00445D3F">
        <w:rPr>
          <w:rFonts w:asciiTheme="majorHAnsi" w:hAnsiTheme="majorHAnsi" w:cstheme="majorHAnsi"/>
          <w:color w:val="auto"/>
          <w:sz w:val="24"/>
          <w:szCs w:val="24"/>
        </w:rPr>
        <w:t xml:space="preserve"> zakonitosti javnopravnih akata</w:t>
      </w:r>
      <w:r w:rsidR="00151E66" w:rsidRPr="00445D3F">
        <w:rPr>
          <w:rFonts w:asciiTheme="majorHAnsi" w:hAnsiTheme="majorHAnsi" w:cstheme="majorHAnsi"/>
          <w:color w:val="auto"/>
          <w:sz w:val="24"/>
          <w:szCs w:val="24"/>
        </w:rPr>
        <w:t xml:space="preserve"> u upravnom postupku</w:t>
      </w:r>
      <w:r w:rsidR="00826B81" w:rsidRPr="00445D3F">
        <w:rPr>
          <w:rFonts w:asciiTheme="majorHAnsi" w:hAnsiTheme="majorHAnsi" w:cstheme="majorHAnsi"/>
          <w:color w:val="auto"/>
          <w:sz w:val="24"/>
          <w:szCs w:val="24"/>
        </w:rPr>
        <w:t xml:space="preserve"> u okviru prava na žalbu u upravnom postupku, kontrola organa državne uprave nad organima lokalne uprave i drugim </w:t>
      </w:r>
      <w:r w:rsidR="004813EA" w:rsidRPr="00445D3F">
        <w:rPr>
          <w:rFonts w:asciiTheme="majorHAnsi" w:hAnsiTheme="majorHAnsi" w:cstheme="majorHAnsi"/>
          <w:color w:val="auto"/>
          <w:sz w:val="24"/>
          <w:szCs w:val="24"/>
        </w:rPr>
        <w:t>nosiocima</w:t>
      </w:r>
      <w:r w:rsidR="00826B81" w:rsidRPr="00445D3F">
        <w:rPr>
          <w:rFonts w:asciiTheme="majorHAnsi" w:hAnsiTheme="majorHAnsi" w:cstheme="majorHAnsi"/>
          <w:color w:val="auto"/>
          <w:sz w:val="24"/>
          <w:szCs w:val="24"/>
        </w:rPr>
        <w:t xml:space="preserve"> javnih ovlašćenja). </w:t>
      </w:r>
      <w:r w:rsidR="004D71C4" w:rsidRPr="00445D3F">
        <w:rPr>
          <w:rFonts w:asciiTheme="majorHAnsi" w:eastAsia="Calibri" w:hAnsiTheme="majorHAnsi" w:cstheme="majorHAnsi"/>
          <w:color w:val="auto"/>
          <w:kern w:val="0"/>
          <w:sz w:val="24"/>
          <w:szCs w:val="24"/>
          <w:lang w:eastAsia="en-US"/>
        </w:rPr>
        <w:t xml:space="preserve">Radi poboljšanja odgovornosti institucija, potrebno je unaprijediti </w:t>
      </w:r>
      <w:r w:rsidR="004D71C4" w:rsidRPr="00445D3F">
        <w:rPr>
          <w:rFonts w:asciiTheme="majorHAnsi" w:eastAsia="Calibri" w:hAnsiTheme="majorHAnsi" w:cstheme="majorHAnsi"/>
          <w:b/>
          <w:color w:val="auto"/>
          <w:kern w:val="0"/>
          <w:sz w:val="24"/>
          <w:szCs w:val="24"/>
          <w:lang w:eastAsia="en-US"/>
        </w:rPr>
        <w:t>planiranje i</w:t>
      </w:r>
      <w:r w:rsidR="004D71C4" w:rsidRPr="00445D3F">
        <w:rPr>
          <w:rFonts w:asciiTheme="majorHAnsi" w:eastAsia="Calibri" w:hAnsiTheme="majorHAnsi" w:cstheme="majorHAnsi"/>
          <w:color w:val="auto"/>
          <w:kern w:val="0"/>
          <w:sz w:val="24"/>
          <w:szCs w:val="24"/>
          <w:lang w:eastAsia="en-US"/>
        </w:rPr>
        <w:t xml:space="preserve"> </w:t>
      </w:r>
      <w:r w:rsidR="004D71C4" w:rsidRPr="00445D3F">
        <w:rPr>
          <w:rFonts w:asciiTheme="majorHAnsi" w:eastAsia="Calibri" w:hAnsiTheme="majorHAnsi" w:cstheme="majorHAnsi"/>
          <w:b/>
          <w:color w:val="auto"/>
          <w:kern w:val="0"/>
          <w:sz w:val="24"/>
          <w:szCs w:val="24"/>
          <w:lang w:eastAsia="en-US"/>
        </w:rPr>
        <w:t>izvještavanje o radu organa državne uprave i drugih nosilaca javnih ovlašćenja</w:t>
      </w:r>
      <w:r w:rsidR="004D71C4" w:rsidRPr="00445D3F">
        <w:rPr>
          <w:rFonts w:asciiTheme="majorHAnsi" w:eastAsia="Calibri" w:hAnsiTheme="majorHAnsi" w:cstheme="majorHAnsi"/>
          <w:color w:val="auto"/>
          <w:kern w:val="0"/>
          <w:sz w:val="24"/>
          <w:szCs w:val="24"/>
          <w:lang w:eastAsia="en-US"/>
        </w:rPr>
        <w:t>, zasnovanog na mjerljivim ciljevima, pokazateljima učinka i ciljnim vrijednostima (</w:t>
      </w:r>
      <w:r w:rsidR="004D71C4" w:rsidRPr="00445D3F">
        <w:rPr>
          <w:rFonts w:asciiTheme="majorHAnsi" w:eastAsia="Calibri" w:hAnsiTheme="majorHAnsi" w:cstheme="majorHAnsi"/>
          <w:i/>
          <w:color w:val="auto"/>
          <w:kern w:val="0"/>
          <w:sz w:val="24"/>
          <w:szCs w:val="24"/>
          <w:lang w:eastAsia="en-US"/>
        </w:rPr>
        <w:t>outcome-based</w:t>
      </w:r>
      <w:r w:rsidR="004D71C4" w:rsidRPr="00445D3F">
        <w:rPr>
          <w:rFonts w:asciiTheme="majorHAnsi" w:eastAsia="Calibri" w:hAnsiTheme="majorHAnsi" w:cstheme="majorHAnsi"/>
          <w:color w:val="auto"/>
          <w:kern w:val="0"/>
          <w:sz w:val="24"/>
          <w:szCs w:val="24"/>
          <w:lang w:eastAsia="en-US"/>
        </w:rPr>
        <w:t xml:space="preserve">). Fokus je na daljem </w:t>
      </w:r>
      <w:r w:rsidR="004D71C4" w:rsidRPr="00445D3F">
        <w:rPr>
          <w:rFonts w:asciiTheme="majorHAnsi" w:eastAsia="Calibri" w:hAnsiTheme="majorHAnsi" w:cstheme="majorHAnsi"/>
          <w:b/>
          <w:color w:val="auto"/>
          <w:kern w:val="0"/>
          <w:sz w:val="24"/>
          <w:szCs w:val="24"/>
          <w:lang w:eastAsia="en-US"/>
        </w:rPr>
        <w:t>delegiranju ovlašćenja i razvijanju koncepta upravljačke odgovornosti kroz obuke i</w:t>
      </w:r>
      <w:r w:rsidR="00A524E6" w:rsidRPr="00445D3F">
        <w:rPr>
          <w:rFonts w:asciiTheme="majorHAnsi" w:eastAsia="Calibri" w:hAnsiTheme="majorHAnsi" w:cstheme="majorHAnsi"/>
          <w:b/>
          <w:color w:val="auto"/>
          <w:kern w:val="0"/>
          <w:sz w:val="24"/>
          <w:szCs w:val="24"/>
          <w:lang w:eastAsia="en-US"/>
        </w:rPr>
        <w:t xml:space="preserve"> dalja normativna rješenja.</w:t>
      </w:r>
    </w:p>
    <w:p w:rsidR="0036379A" w:rsidRPr="00445D3F" w:rsidRDefault="001A2BDC" w:rsidP="00445D3F">
      <w:pPr>
        <w:spacing w:before="60" w:after="60" w:line="240" w:lineRule="auto"/>
        <w:ind w:right="-471"/>
        <w:jc w:val="both"/>
        <w:rPr>
          <w:rFonts w:asciiTheme="majorHAnsi" w:eastAsia="Calibri" w:hAnsiTheme="majorHAnsi" w:cstheme="majorHAnsi"/>
          <w:color w:val="auto"/>
          <w:kern w:val="0"/>
          <w:sz w:val="24"/>
          <w:szCs w:val="24"/>
          <w:lang w:eastAsia="en-US"/>
        </w:rPr>
      </w:pPr>
      <w:r w:rsidRPr="00445D3F">
        <w:rPr>
          <w:rFonts w:asciiTheme="majorHAnsi" w:eastAsia="Calibri" w:hAnsiTheme="majorHAnsi" w:cstheme="majorHAnsi"/>
          <w:color w:val="auto"/>
          <w:kern w:val="0"/>
          <w:sz w:val="24"/>
          <w:szCs w:val="24"/>
          <w:lang w:eastAsia="en-US"/>
        </w:rPr>
        <w:t>Daljim razvojem zakonskih i podzakonskih rešenja, a posebno donošenjem Zakona o Vladi i Zakona o javnim ustanovama, obezbijediće se stvaranje odgovarajućeg pravnog sistema koji omogućava djelotvorniju institucionalnu koordinaciju, efikasniju javnu potrošnju i povećanu odgovornost rada javne uprave. Uz utvrđen opseg javne uprave (462 institucije na centalnom nivou i 3</w:t>
      </w:r>
      <w:r w:rsidR="00D04FB6" w:rsidRPr="00445D3F">
        <w:rPr>
          <w:rFonts w:asciiTheme="majorHAnsi" w:eastAsia="Calibri" w:hAnsiTheme="majorHAnsi" w:cstheme="majorHAnsi"/>
          <w:color w:val="auto"/>
          <w:kern w:val="0"/>
          <w:sz w:val="24"/>
          <w:szCs w:val="24"/>
          <w:lang w:eastAsia="en-US"/>
        </w:rPr>
        <w:t>3</w:t>
      </w:r>
      <w:r w:rsidRPr="00445D3F">
        <w:rPr>
          <w:rFonts w:asciiTheme="majorHAnsi" w:eastAsia="Calibri" w:hAnsiTheme="majorHAnsi" w:cstheme="majorHAnsi"/>
          <w:color w:val="auto"/>
          <w:kern w:val="0"/>
          <w:sz w:val="24"/>
          <w:szCs w:val="24"/>
          <w:lang w:eastAsia="en-US"/>
        </w:rPr>
        <w:t xml:space="preserve">2 na lokalnom nivou), </w:t>
      </w:r>
      <w:r w:rsidR="00F976B6" w:rsidRPr="00445D3F">
        <w:rPr>
          <w:rFonts w:asciiTheme="majorHAnsi" w:eastAsia="Calibri" w:hAnsiTheme="majorHAnsi" w:cstheme="majorHAnsi"/>
          <w:color w:val="auto"/>
          <w:kern w:val="0"/>
          <w:sz w:val="24"/>
          <w:szCs w:val="24"/>
          <w:lang w:eastAsia="en-US"/>
        </w:rPr>
        <w:t>proširiće se opseg</w:t>
      </w:r>
      <w:r w:rsidRPr="00445D3F">
        <w:rPr>
          <w:rFonts w:asciiTheme="majorHAnsi" w:eastAsia="Calibri" w:hAnsiTheme="majorHAnsi" w:cstheme="majorHAnsi"/>
          <w:color w:val="auto"/>
          <w:kern w:val="0"/>
          <w:sz w:val="24"/>
          <w:szCs w:val="24"/>
          <w:lang w:eastAsia="en-US"/>
        </w:rPr>
        <w:t xml:space="preserve"> upravn</w:t>
      </w:r>
      <w:r w:rsidR="00F976B6" w:rsidRPr="00445D3F">
        <w:rPr>
          <w:rFonts w:asciiTheme="majorHAnsi" w:eastAsia="Calibri" w:hAnsiTheme="majorHAnsi" w:cstheme="majorHAnsi"/>
          <w:color w:val="auto"/>
          <w:kern w:val="0"/>
          <w:sz w:val="24"/>
          <w:szCs w:val="24"/>
          <w:lang w:eastAsia="en-US"/>
        </w:rPr>
        <w:t xml:space="preserve">og </w:t>
      </w:r>
      <w:r w:rsidRPr="00445D3F">
        <w:rPr>
          <w:rFonts w:asciiTheme="majorHAnsi" w:eastAsia="Calibri" w:hAnsiTheme="majorHAnsi" w:cstheme="majorHAnsi"/>
          <w:color w:val="auto"/>
          <w:kern w:val="0"/>
          <w:sz w:val="24"/>
          <w:szCs w:val="24"/>
          <w:lang w:eastAsia="en-US"/>
        </w:rPr>
        <w:t>nadzor</w:t>
      </w:r>
      <w:r w:rsidR="00F976B6" w:rsidRPr="00445D3F">
        <w:rPr>
          <w:rFonts w:asciiTheme="majorHAnsi" w:eastAsia="Calibri" w:hAnsiTheme="majorHAnsi" w:cstheme="majorHAnsi"/>
          <w:color w:val="auto"/>
          <w:kern w:val="0"/>
          <w:sz w:val="24"/>
          <w:szCs w:val="24"/>
          <w:lang w:eastAsia="en-US"/>
        </w:rPr>
        <w:t>a</w:t>
      </w:r>
      <w:r w:rsidRPr="00445D3F">
        <w:rPr>
          <w:rFonts w:asciiTheme="majorHAnsi" w:eastAsia="Calibri" w:hAnsiTheme="majorHAnsi" w:cstheme="majorHAnsi"/>
          <w:color w:val="auto"/>
          <w:kern w:val="0"/>
          <w:sz w:val="24"/>
          <w:szCs w:val="24"/>
          <w:lang w:eastAsia="en-US"/>
        </w:rPr>
        <w:t>, a posebno nadzor</w:t>
      </w:r>
      <w:r w:rsidR="00F976B6" w:rsidRPr="00445D3F">
        <w:rPr>
          <w:rFonts w:asciiTheme="majorHAnsi" w:eastAsia="Calibri" w:hAnsiTheme="majorHAnsi" w:cstheme="majorHAnsi"/>
          <w:color w:val="auto"/>
          <w:kern w:val="0"/>
          <w:sz w:val="24"/>
          <w:szCs w:val="24"/>
          <w:lang w:eastAsia="en-US"/>
        </w:rPr>
        <w:t>a</w:t>
      </w:r>
      <w:r w:rsidRPr="00445D3F">
        <w:rPr>
          <w:rFonts w:asciiTheme="majorHAnsi" w:eastAsia="Calibri" w:hAnsiTheme="majorHAnsi" w:cstheme="majorHAnsi"/>
          <w:color w:val="auto"/>
          <w:kern w:val="0"/>
          <w:sz w:val="24"/>
          <w:szCs w:val="24"/>
          <w:lang w:eastAsia="en-US"/>
        </w:rPr>
        <w:t xml:space="preserve"> nad zakonitošću i cjelishodnošću rada organa uprave, uz jačanje uloge, kapaciteta i rada Uprave za inspekcijske poslove i Upravne inspekcije.</w:t>
      </w:r>
      <w:r w:rsidR="00B13060" w:rsidRPr="00445D3F">
        <w:rPr>
          <w:rFonts w:asciiTheme="majorHAnsi" w:eastAsia="Calibri" w:hAnsiTheme="majorHAnsi" w:cstheme="majorHAnsi"/>
          <w:color w:val="auto"/>
          <w:kern w:val="0"/>
          <w:sz w:val="24"/>
          <w:szCs w:val="24"/>
          <w:lang w:eastAsia="en-US"/>
        </w:rPr>
        <w:t xml:space="preserve"> Radiće se na jačanju zakonitosti prilikom odlučivanja u up</w:t>
      </w:r>
      <w:r w:rsidR="00D04FB6" w:rsidRPr="00445D3F">
        <w:rPr>
          <w:rFonts w:asciiTheme="majorHAnsi" w:eastAsia="Calibri" w:hAnsiTheme="majorHAnsi" w:cstheme="majorHAnsi"/>
          <w:color w:val="auto"/>
          <w:kern w:val="0"/>
          <w:sz w:val="24"/>
          <w:szCs w:val="24"/>
          <w:lang w:eastAsia="en-US"/>
        </w:rPr>
        <w:t>r</w:t>
      </w:r>
      <w:r w:rsidR="00B13060" w:rsidRPr="00445D3F">
        <w:rPr>
          <w:rFonts w:asciiTheme="majorHAnsi" w:eastAsia="Calibri" w:hAnsiTheme="majorHAnsi" w:cstheme="majorHAnsi"/>
          <w:color w:val="auto"/>
          <w:kern w:val="0"/>
          <w:sz w:val="24"/>
          <w:szCs w:val="24"/>
          <w:lang w:eastAsia="en-US"/>
        </w:rPr>
        <w:t>avno – javnim postupcima i daljem smanjenju procenta upravno – javnih akata poništenih od strane Upravnog suda.</w:t>
      </w:r>
      <w:r w:rsidR="00F976B6" w:rsidRPr="00445D3F">
        <w:rPr>
          <w:rFonts w:asciiTheme="majorHAnsi" w:eastAsia="Calibri" w:hAnsiTheme="majorHAnsi" w:cstheme="majorHAnsi"/>
          <w:color w:val="auto"/>
          <w:kern w:val="0"/>
          <w:sz w:val="24"/>
          <w:szCs w:val="24"/>
          <w:lang w:eastAsia="en-US"/>
        </w:rPr>
        <w:t xml:space="preserve"> </w:t>
      </w:r>
      <w:r w:rsidR="0036379A" w:rsidRPr="00445D3F">
        <w:rPr>
          <w:rFonts w:asciiTheme="majorHAnsi" w:eastAsia="Calibri" w:hAnsiTheme="majorHAnsi" w:cstheme="majorHAnsi"/>
          <w:color w:val="auto"/>
          <w:kern w:val="0"/>
          <w:sz w:val="24"/>
          <w:szCs w:val="24"/>
          <w:lang w:eastAsia="en-US"/>
        </w:rPr>
        <w:t xml:space="preserve">Dodatno, </w:t>
      </w:r>
      <w:r w:rsidR="00F976B6" w:rsidRPr="00445D3F">
        <w:rPr>
          <w:rFonts w:asciiTheme="majorHAnsi" w:eastAsia="Calibri" w:hAnsiTheme="majorHAnsi" w:cstheme="majorHAnsi"/>
          <w:color w:val="auto"/>
          <w:kern w:val="0"/>
          <w:sz w:val="24"/>
          <w:szCs w:val="24"/>
          <w:lang w:eastAsia="en-US"/>
        </w:rPr>
        <w:t>cilj je poboljšati</w:t>
      </w:r>
      <w:r w:rsidR="0036379A" w:rsidRPr="00445D3F">
        <w:rPr>
          <w:rFonts w:asciiTheme="majorHAnsi" w:eastAsia="Calibri" w:hAnsiTheme="majorHAnsi" w:cstheme="majorHAnsi"/>
          <w:color w:val="auto"/>
          <w:kern w:val="0"/>
          <w:sz w:val="24"/>
          <w:szCs w:val="24"/>
          <w:lang w:eastAsia="en-US"/>
        </w:rPr>
        <w:t xml:space="preserve"> implementacij</w:t>
      </w:r>
      <w:r w:rsidR="00F976B6" w:rsidRPr="00445D3F">
        <w:rPr>
          <w:rFonts w:asciiTheme="majorHAnsi" w:eastAsia="Calibri" w:hAnsiTheme="majorHAnsi" w:cstheme="majorHAnsi"/>
          <w:color w:val="auto"/>
          <w:kern w:val="0"/>
          <w:sz w:val="24"/>
          <w:szCs w:val="24"/>
          <w:lang w:eastAsia="en-US"/>
        </w:rPr>
        <w:t>u</w:t>
      </w:r>
      <w:r w:rsidR="0036379A" w:rsidRPr="00445D3F">
        <w:rPr>
          <w:rFonts w:asciiTheme="majorHAnsi" w:eastAsia="Calibri" w:hAnsiTheme="majorHAnsi" w:cstheme="majorHAnsi"/>
          <w:color w:val="auto"/>
          <w:kern w:val="0"/>
          <w:sz w:val="24"/>
          <w:szCs w:val="24"/>
          <w:lang w:eastAsia="en-US"/>
        </w:rPr>
        <w:t xml:space="preserve"> preporuka</w:t>
      </w:r>
      <w:r w:rsidR="003D267F" w:rsidRPr="00445D3F">
        <w:rPr>
          <w:rFonts w:asciiTheme="majorHAnsi" w:eastAsia="Calibri" w:hAnsiTheme="majorHAnsi" w:cstheme="majorHAnsi"/>
          <w:color w:val="auto"/>
          <w:kern w:val="0"/>
          <w:sz w:val="24"/>
          <w:szCs w:val="24"/>
          <w:lang w:eastAsia="en-US"/>
        </w:rPr>
        <w:t>, Zaštitnika</w:t>
      </w:r>
      <w:r w:rsidR="000949FE" w:rsidRPr="00445D3F">
        <w:rPr>
          <w:rFonts w:asciiTheme="majorHAnsi" w:eastAsia="Calibri" w:hAnsiTheme="majorHAnsi" w:cstheme="majorHAnsi"/>
          <w:color w:val="auto"/>
          <w:kern w:val="0"/>
          <w:sz w:val="24"/>
          <w:szCs w:val="24"/>
          <w:lang w:eastAsia="en-US"/>
        </w:rPr>
        <w:t xml:space="preserve"> ljudskih prava i sloboda -</w:t>
      </w:r>
      <w:r w:rsidR="0036379A" w:rsidRPr="00445D3F">
        <w:rPr>
          <w:rFonts w:asciiTheme="majorHAnsi" w:eastAsia="Calibri" w:hAnsiTheme="majorHAnsi" w:cstheme="majorHAnsi"/>
          <w:color w:val="auto"/>
          <w:kern w:val="0"/>
          <w:sz w:val="24"/>
          <w:szCs w:val="24"/>
          <w:lang w:eastAsia="en-US"/>
        </w:rPr>
        <w:t xml:space="preserve"> Ombudsmana</w:t>
      </w:r>
      <w:r w:rsidR="00B13060" w:rsidRPr="00445D3F">
        <w:rPr>
          <w:rFonts w:asciiTheme="majorHAnsi" w:eastAsia="Calibri" w:hAnsiTheme="majorHAnsi" w:cstheme="majorHAnsi"/>
          <w:color w:val="auto"/>
          <w:kern w:val="0"/>
          <w:sz w:val="24"/>
          <w:szCs w:val="24"/>
          <w:lang w:eastAsia="en-US"/>
        </w:rPr>
        <w:t>, kao</w:t>
      </w:r>
      <w:r w:rsidR="0036379A" w:rsidRPr="00445D3F">
        <w:rPr>
          <w:rFonts w:asciiTheme="majorHAnsi" w:eastAsia="Calibri" w:hAnsiTheme="majorHAnsi" w:cstheme="majorHAnsi"/>
          <w:color w:val="auto"/>
          <w:kern w:val="0"/>
          <w:sz w:val="24"/>
          <w:szCs w:val="24"/>
          <w:lang w:eastAsia="en-US"/>
        </w:rPr>
        <w:t xml:space="preserve"> i rada Zaštitnika za imovinsko-pravni interes.</w:t>
      </w:r>
    </w:p>
    <w:p w:rsidR="00657D06" w:rsidRPr="00445D3F" w:rsidRDefault="00657D06" w:rsidP="00445D3F">
      <w:pPr>
        <w:spacing w:before="60" w:after="60" w:line="240" w:lineRule="auto"/>
        <w:ind w:right="-471"/>
        <w:jc w:val="both"/>
        <w:rPr>
          <w:rFonts w:asciiTheme="majorHAnsi" w:eastAsia="Calibri" w:hAnsiTheme="majorHAnsi" w:cstheme="majorHAnsi"/>
          <w:color w:val="auto"/>
          <w:kern w:val="0"/>
          <w:sz w:val="24"/>
          <w:szCs w:val="24"/>
          <w:lang w:eastAsia="en-US"/>
        </w:rPr>
      </w:pPr>
      <w:r w:rsidRPr="00445D3F">
        <w:rPr>
          <w:rFonts w:asciiTheme="majorHAnsi" w:eastAsia="Calibri" w:hAnsiTheme="majorHAnsi" w:cstheme="majorHAnsi"/>
          <w:color w:val="auto"/>
          <w:kern w:val="0"/>
          <w:sz w:val="24"/>
          <w:szCs w:val="24"/>
          <w:lang w:eastAsia="en-US"/>
        </w:rPr>
        <w:t xml:space="preserve">U cilju što ravnomjernijeg razvoja jedinica lokalne samouprave (JLS) fokus je na </w:t>
      </w:r>
      <w:r w:rsidRPr="00445D3F">
        <w:rPr>
          <w:rFonts w:asciiTheme="majorHAnsi" w:eastAsia="Calibri" w:hAnsiTheme="majorHAnsi" w:cstheme="majorHAnsi"/>
          <w:b/>
          <w:color w:val="auto"/>
          <w:kern w:val="0"/>
          <w:sz w:val="24"/>
          <w:szCs w:val="24"/>
          <w:lang w:eastAsia="en-US"/>
        </w:rPr>
        <w:t>obezbijeđivanju adekvatnog mehanizma povjeravanja i prenošenja poslova lokalnim upravama uz propisana sredstva</w:t>
      </w:r>
      <w:r w:rsidRPr="00445D3F">
        <w:rPr>
          <w:rFonts w:asciiTheme="majorHAnsi" w:eastAsia="Calibri" w:hAnsiTheme="majorHAnsi" w:cstheme="majorHAnsi"/>
          <w:color w:val="auto"/>
          <w:kern w:val="0"/>
          <w:sz w:val="24"/>
          <w:szCs w:val="24"/>
          <w:lang w:eastAsia="en-US"/>
        </w:rPr>
        <w:t xml:space="preserve"> za obavljanje istih, </w:t>
      </w:r>
      <w:r w:rsidRPr="00445D3F">
        <w:rPr>
          <w:rFonts w:asciiTheme="majorHAnsi" w:eastAsia="Calibri" w:hAnsiTheme="majorHAnsi" w:cstheme="majorHAnsi"/>
          <w:b/>
          <w:color w:val="auto"/>
          <w:kern w:val="0"/>
          <w:sz w:val="24"/>
          <w:szCs w:val="24"/>
          <w:lang w:eastAsia="en-US"/>
        </w:rPr>
        <w:t>efikasniju naplatu sopstvenih prihoda i jačanje mehanizma međuopštinske saradnje</w:t>
      </w:r>
      <w:r w:rsidRPr="00445D3F">
        <w:rPr>
          <w:rFonts w:asciiTheme="majorHAnsi" w:eastAsia="Calibri" w:hAnsiTheme="majorHAnsi" w:cstheme="majorHAnsi"/>
          <w:color w:val="auto"/>
          <w:kern w:val="0"/>
          <w:sz w:val="24"/>
          <w:szCs w:val="24"/>
          <w:lang w:eastAsia="en-US"/>
        </w:rPr>
        <w:t xml:space="preserve"> radi obavljanja poslova koji su od značaja za više JLS. Takođe, </w:t>
      </w:r>
      <w:r w:rsidRPr="00445D3F">
        <w:rPr>
          <w:rFonts w:asciiTheme="majorHAnsi" w:eastAsia="Calibri" w:hAnsiTheme="majorHAnsi" w:cstheme="majorHAnsi"/>
          <w:b/>
          <w:color w:val="auto"/>
          <w:kern w:val="0"/>
          <w:sz w:val="24"/>
          <w:szCs w:val="24"/>
          <w:lang w:eastAsia="en-US"/>
        </w:rPr>
        <w:t>unaprijediće se sprovođenje upravnog nadzora nad JLS</w:t>
      </w:r>
      <w:r w:rsidRPr="00445D3F">
        <w:rPr>
          <w:rFonts w:asciiTheme="majorHAnsi" w:eastAsia="Calibri" w:hAnsiTheme="majorHAnsi" w:cstheme="majorHAnsi"/>
          <w:color w:val="auto"/>
          <w:kern w:val="0"/>
          <w:sz w:val="24"/>
          <w:szCs w:val="24"/>
          <w:lang w:eastAsia="en-US"/>
        </w:rPr>
        <w:t xml:space="preserve">. </w:t>
      </w:r>
    </w:p>
    <w:p w:rsidR="00657D06" w:rsidRPr="00445D3F" w:rsidRDefault="00657D06" w:rsidP="00445D3F">
      <w:pPr>
        <w:spacing w:before="60" w:after="60" w:line="240" w:lineRule="auto"/>
        <w:ind w:right="-471"/>
        <w:jc w:val="both"/>
        <w:rPr>
          <w:rFonts w:asciiTheme="majorHAnsi" w:hAnsiTheme="majorHAnsi" w:cstheme="majorHAnsi"/>
          <w:color w:val="auto"/>
          <w:sz w:val="24"/>
          <w:szCs w:val="24"/>
        </w:rPr>
      </w:pPr>
      <w:r w:rsidRPr="00445D3F">
        <w:rPr>
          <w:rFonts w:asciiTheme="majorHAnsi" w:eastAsia="Calibri" w:hAnsiTheme="majorHAnsi" w:cstheme="majorHAnsi"/>
          <w:color w:val="auto"/>
          <w:kern w:val="0"/>
          <w:sz w:val="24"/>
          <w:szCs w:val="24"/>
          <w:lang w:eastAsia="en-US"/>
        </w:rPr>
        <w:t xml:space="preserve">Dodatno, potrebno je poboljšati </w:t>
      </w:r>
      <w:r w:rsidRPr="00445D3F">
        <w:rPr>
          <w:rFonts w:asciiTheme="majorHAnsi" w:eastAsia="Calibri" w:hAnsiTheme="majorHAnsi" w:cstheme="majorHAnsi"/>
          <w:b/>
          <w:color w:val="auto"/>
          <w:kern w:val="0"/>
          <w:sz w:val="24"/>
          <w:szCs w:val="24"/>
          <w:lang w:eastAsia="en-US"/>
        </w:rPr>
        <w:t>elektronsku komunikaciju unutar uprave</w:t>
      </w:r>
      <w:r w:rsidRPr="00445D3F">
        <w:rPr>
          <w:rFonts w:asciiTheme="majorHAnsi" w:eastAsia="Calibri" w:hAnsiTheme="majorHAnsi" w:cstheme="majorHAnsi"/>
          <w:color w:val="auto"/>
          <w:kern w:val="0"/>
          <w:sz w:val="24"/>
          <w:szCs w:val="24"/>
          <w:lang w:eastAsia="en-US"/>
        </w:rPr>
        <w:t xml:space="preserve"> radi stvaranja uprave koja smanjeno ili uopšte ne koristi papir u međusobnoj komunikaciji.</w:t>
      </w:r>
    </w:p>
    <w:p w:rsidR="000949FE" w:rsidRPr="00445D3F" w:rsidRDefault="00B03AAB" w:rsidP="00445D3F">
      <w:pPr>
        <w:spacing w:before="60" w:after="60" w:line="240" w:lineRule="auto"/>
        <w:ind w:right="-475"/>
        <w:jc w:val="both"/>
        <w:rPr>
          <w:rFonts w:asciiTheme="majorHAnsi" w:hAnsiTheme="majorHAnsi" w:cstheme="majorHAnsi"/>
          <w:b/>
          <w:color w:val="auto"/>
          <w:sz w:val="24"/>
          <w:szCs w:val="24"/>
        </w:rPr>
      </w:pPr>
      <w:r w:rsidRPr="00445D3F">
        <w:rPr>
          <w:rFonts w:asciiTheme="majorHAnsi" w:hAnsiTheme="majorHAnsi" w:cstheme="majorHAnsi"/>
          <w:b/>
          <w:color w:val="auto"/>
          <w:sz w:val="24"/>
          <w:szCs w:val="24"/>
        </w:rPr>
        <w:t>STRATEŠKI CILJ SE OSTVARUJE KROZ SLEDEĆE OPERATIVNE CILJEVE</w:t>
      </w:r>
      <w:r w:rsidR="00422E84" w:rsidRPr="00445D3F">
        <w:rPr>
          <w:rFonts w:asciiTheme="majorHAnsi" w:hAnsiTheme="majorHAnsi" w:cstheme="majorHAnsi"/>
          <w:b/>
          <w:color w:val="auto"/>
          <w:sz w:val="24"/>
          <w:szCs w:val="24"/>
        </w:rPr>
        <w:t xml:space="preserve">: </w:t>
      </w:r>
    </w:p>
    <w:p w:rsidR="000949FE" w:rsidRPr="00445D3F" w:rsidRDefault="00422E84" w:rsidP="00B43D4E">
      <w:pPr>
        <w:pStyle w:val="ListParagraph"/>
        <w:numPr>
          <w:ilvl w:val="0"/>
          <w:numId w:val="49"/>
        </w:numPr>
        <w:spacing w:before="60" w:after="60" w:line="240" w:lineRule="auto"/>
        <w:ind w:right="-475"/>
        <w:contextualSpacing w:val="0"/>
        <w:jc w:val="both"/>
        <w:rPr>
          <w:rFonts w:asciiTheme="majorHAnsi" w:eastAsia="Times New Roman" w:hAnsiTheme="majorHAnsi" w:cstheme="majorHAnsi"/>
          <w:color w:val="auto"/>
          <w:kern w:val="0"/>
          <w:sz w:val="24"/>
          <w:szCs w:val="24"/>
          <w:lang w:eastAsia="en-US"/>
        </w:rPr>
      </w:pPr>
      <w:r w:rsidRPr="00445D3F">
        <w:rPr>
          <w:rFonts w:asciiTheme="majorHAnsi" w:eastAsia="Times New Roman" w:hAnsiTheme="majorHAnsi" w:cstheme="majorHAnsi"/>
          <w:color w:val="auto"/>
          <w:kern w:val="0"/>
          <w:sz w:val="24"/>
          <w:szCs w:val="24"/>
          <w:lang w:eastAsia="en-US"/>
        </w:rPr>
        <w:t>funkcionalna javna uprava sa efikasnim nadzorom nad njenim radom i primjenom kon</w:t>
      </w:r>
      <w:r w:rsidR="000949FE" w:rsidRPr="00445D3F">
        <w:rPr>
          <w:rFonts w:asciiTheme="majorHAnsi" w:eastAsia="Times New Roman" w:hAnsiTheme="majorHAnsi" w:cstheme="majorHAnsi"/>
          <w:color w:val="auto"/>
          <w:kern w:val="0"/>
          <w:sz w:val="24"/>
          <w:szCs w:val="24"/>
          <w:lang w:eastAsia="en-US"/>
        </w:rPr>
        <w:t>cepta upravljačke odgovornosti</w:t>
      </w:r>
    </w:p>
    <w:p w:rsidR="000949FE" w:rsidRPr="00445D3F" w:rsidRDefault="00422E84" w:rsidP="00B43D4E">
      <w:pPr>
        <w:pStyle w:val="ListParagraph"/>
        <w:numPr>
          <w:ilvl w:val="0"/>
          <w:numId w:val="49"/>
        </w:numPr>
        <w:spacing w:before="60" w:after="60" w:line="240" w:lineRule="auto"/>
        <w:ind w:right="-475"/>
        <w:contextualSpacing w:val="0"/>
        <w:jc w:val="both"/>
        <w:rPr>
          <w:rFonts w:asciiTheme="majorHAnsi" w:eastAsia="Times New Roman" w:hAnsiTheme="majorHAnsi" w:cstheme="majorHAnsi"/>
          <w:color w:val="auto"/>
          <w:kern w:val="0"/>
          <w:sz w:val="24"/>
          <w:szCs w:val="24"/>
          <w:lang w:eastAsia="en-US"/>
        </w:rPr>
      </w:pPr>
      <w:r w:rsidRPr="00445D3F">
        <w:rPr>
          <w:rFonts w:asciiTheme="majorHAnsi" w:eastAsia="Times New Roman" w:hAnsiTheme="majorHAnsi" w:cstheme="majorHAnsi"/>
          <w:color w:val="auto"/>
          <w:kern w:val="0"/>
          <w:sz w:val="24"/>
          <w:szCs w:val="24"/>
          <w:lang w:eastAsia="en-US"/>
        </w:rPr>
        <w:t>administracija koja međusobno komunicira bez ili sa što manje papira</w:t>
      </w:r>
    </w:p>
    <w:p w:rsidR="00422E84" w:rsidRPr="00445D3F" w:rsidRDefault="00422E84" w:rsidP="00B43D4E">
      <w:pPr>
        <w:pStyle w:val="ListParagraph"/>
        <w:numPr>
          <w:ilvl w:val="0"/>
          <w:numId w:val="49"/>
        </w:numPr>
        <w:spacing w:before="60" w:after="60" w:line="240" w:lineRule="auto"/>
        <w:ind w:right="-475"/>
        <w:contextualSpacing w:val="0"/>
        <w:jc w:val="both"/>
        <w:rPr>
          <w:rFonts w:asciiTheme="majorHAnsi" w:eastAsia="Times New Roman" w:hAnsiTheme="majorHAnsi" w:cstheme="majorHAnsi"/>
          <w:color w:val="auto"/>
          <w:kern w:val="0"/>
          <w:sz w:val="24"/>
          <w:szCs w:val="24"/>
          <w:lang w:eastAsia="en-US"/>
        </w:rPr>
      </w:pPr>
      <w:r w:rsidRPr="00445D3F">
        <w:rPr>
          <w:rFonts w:asciiTheme="majorHAnsi" w:eastAsia="Times New Roman" w:hAnsiTheme="majorHAnsi" w:cstheme="majorHAnsi"/>
          <w:color w:val="auto"/>
          <w:kern w:val="0"/>
          <w:sz w:val="24"/>
          <w:szCs w:val="24"/>
          <w:lang w:eastAsia="en-US"/>
        </w:rPr>
        <w:t>jačanje funkcionalnih i finansijski nezavisnih opština u cilju obezbijeđivanja ravnomjernijeg razvoja svih jedinica lokalne uprave.</w:t>
      </w:r>
    </w:p>
    <w:p w:rsidR="00DB0093" w:rsidRPr="00445D3F" w:rsidRDefault="00E77433" w:rsidP="00B43D4E">
      <w:pPr>
        <w:pStyle w:val="ListParagraph"/>
        <w:keepNext/>
        <w:keepLines/>
        <w:numPr>
          <w:ilvl w:val="0"/>
          <w:numId w:val="20"/>
        </w:numPr>
        <w:spacing w:before="120" w:after="120" w:line="240" w:lineRule="auto"/>
        <w:ind w:right="-475"/>
        <w:contextualSpacing w:val="0"/>
        <w:outlineLvl w:val="2"/>
        <w:rPr>
          <w:rFonts w:asciiTheme="majorHAnsi" w:eastAsia="Times New Roman" w:hAnsiTheme="majorHAnsi" w:cstheme="majorHAnsi"/>
          <w:b/>
          <w:color w:val="auto"/>
          <w:kern w:val="0"/>
          <w:sz w:val="24"/>
          <w:szCs w:val="24"/>
          <w:lang w:eastAsia="en-US"/>
        </w:rPr>
      </w:pPr>
      <w:bookmarkStart w:id="7" w:name="_Toc87353391"/>
      <w:r w:rsidRPr="00445D3F">
        <w:rPr>
          <w:rFonts w:asciiTheme="majorHAnsi" w:eastAsia="Times New Roman" w:hAnsiTheme="majorHAnsi" w:cstheme="majorHAnsi"/>
          <w:b/>
          <w:color w:val="auto"/>
          <w:kern w:val="0"/>
          <w:sz w:val="24"/>
          <w:szCs w:val="24"/>
          <w:lang w:eastAsia="en-US"/>
        </w:rPr>
        <w:lastRenderedPageBreak/>
        <w:t>STANJE U OBLASTI</w:t>
      </w:r>
      <w:bookmarkEnd w:id="7"/>
    </w:p>
    <w:p w:rsidR="001917C8" w:rsidRPr="00445D3F" w:rsidRDefault="001917C8" w:rsidP="00445D3F">
      <w:pPr>
        <w:spacing w:before="60" w:after="60" w:line="240" w:lineRule="auto"/>
        <w:ind w:right="-471"/>
        <w:jc w:val="both"/>
        <w:rPr>
          <w:rFonts w:asciiTheme="majorHAnsi" w:eastAsia="Calibri" w:hAnsiTheme="majorHAnsi" w:cstheme="majorHAnsi"/>
          <w:color w:val="auto"/>
          <w:kern w:val="0"/>
          <w:sz w:val="24"/>
          <w:szCs w:val="24"/>
          <w:lang w:eastAsia="en-US"/>
        </w:rPr>
      </w:pPr>
      <w:r w:rsidRPr="00445D3F">
        <w:rPr>
          <w:rFonts w:asciiTheme="majorHAnsi" w:eastAsia="Calibri" w:hAnsiTheme="majorHAnsi" w:cstheme="majorHAnsi"/>
          <w:b/>
          <w:color w:val="auto"/>
          <w:kern w:val="0"/>
          <w:sz w:val="24"/>
          <w:szCs w:val="24"/>
          <w:lang w:eastAsia="en-US"/>
        </w:rPr>
        <w:t>Javna uprava</w:t>
      </w:r>
      <w:r w:rsidRPr="00445D3F">
        <w:rPr>
          <w:rFonts w:asciiTheme="majorHAnsi" w:eastAsia="Calibri" w:hAnsiTheme="majorHAnsi" w:cstheme="majorHAnsi"/>
          <w:color w:val="auto"/>
          <w:kern w:val="0"/>
          <w:sz w:val="24"/>
          <w:szCs w:val="24"/>
          <w:lang w:eastAsia="en-US"/>
        </w:rPr>
        <w:t xml:space="preserve"> u skladu sa ovim strateškim dokumentom </w:t>
      </w:r>
      <w:r w:rsidRPr="00445D3F">
        <w:rPr>
          <w:rFonts w:asciiTheme="majorHAnsi" w:eastAsia="Calibri" w:hAnsiTheme="majorHAnsi" w:cstheme="majorHAnsi"/>
          <w:b/>
          <w:color w:val="auto"/>
          <w:kern w:val="0"/>
          <w:sz w:val="24"/>
          <w:szCs w:val="24"/>
          <w:lang w:eastAsia="en-US"/>
        </w:rPr>
        <w:t>obuhvata organe</w:t>
      </w:r>
      <w:r w:rsidR="000949FE" w:rsidRPr="00445D3F">
        <w:rPr>
          <w:rFonts w:asciiTheme="majorHAnsi" w:eastAsia="Calibri" w:hAnsiTheme="majorHAnsi" w:cstheme="majorHAnsi"/>
          <w:b/>
          <w:color w:val="auto"/>
          <w:kern w:val="0"/>
          <w:sz w:val="24"/>
          <w:szCs w:val="24"/>
          <w:lang w:eastAsia="en-US"/>
        </w:rPr>
        <w:t xml:space="preserve"> državne uprave</w:t>
      </w:r>
      <w:r w:rsidRPr="00445D3F">
        <w:rPr>
          <w:rFonts w:asciiTheme="majorHAnsi" w:eastAsia="Calibri" w:hAnsiTheme="majorHAnsi" w:cstheme="majorHAnsi"/>
          <w:b/>
          <w:color w:val="auto"/>
          <w:kern w:val="0"/>
          <w:sz w:val="24"/>
          <w:szCs w:val="24"/>
          <w:lang w:eastAsia="en-US"/>
        </w:rPr>
        <w:t xml:space="preserve">, opštine (jedinice lokalne samouprave), pravna lica koja vrše javna </w:t>
      </w:r>
      <w:r w:rsidR="00F71149" w:rsidRPr="00445D3F">
        <w:rPr>
          <w:rFonts w:asciiTheme="majorHAnsi" w:eastAsia="Calibri" w:hAnsiTheme="majorHAnsi" w:cstheme="majorHAnsi"/>
          <w:b/>
          <w:color w:val="auto"/>
          <w:kern w:val="0"/>
          <w:sz w:val="24"/>
          <w:szCs w:val="24"/>
          <w:lang w:eastAsia="en-US"/>
        </w:rPr>
        <w:t xml:space="preserve">ovlašćenja </w:t>
      </w:r>
      <w:r w:rsidRPr="00445D3F">
        <w:rPr>
          <w:rFonts w:asciiTheme="majorHAnsi" w:eastAsia="Calibri" w:hAnsiTheme="majorHAnsi" w:cstheme="majorHAnsi"/>
          <w:b/>
          <w:color w:val="auto"/>
          <w:kern w:val="0"/>
          <w:sz w:val="24"/>
          <w:szCs w:val="24"/>
          <w:lang w:eastAsia="en-US"/>
        </w:rPr>
        <w:t>(fondovi, agencije, i dr.) i javne ustanove</w:t>
      </w:r>
      <w:r w:rsidR="00D04FB6" w:rsidRPr="00445D3F">
        <w:rPr>
          <w:rFonts w:asciiTheme="majorHAnsi" w:eastAsia="Calibri" w:hAnsiTheme="majorHAnsi" w:cstheme="majorHAnsi"/>
          <w:b/>
          <w:color w:val="auto"/>
          <w:kern w:val="0"/>
          <w:sz w:val="24"/>
          <w:szCs w:val="24"/>
          <w:lang w:eastAsia="en-US"/>
        </w:rPr>
        <w:t xml:space="preserve"> (</w:t>
      </w:r>
      <w:r w:rsidR="000949FE" w:rsidRPr="00445D3F">
        <w:rPr>
          <w:rFonts w:asciiTheme="majorHAnsi" w:eastAsia="Calibri" w:hAnsiTheme="majorHAnsi" w:cstheme="majorHAnsi"/>
          <w:b/>
          <w:color w:val="auto"/>
          <w:kern w:val="0"/>
          <w:sz w:val="24"/>
          <w:szCs w:val="24"/>
          <w:lang w:eastAsia="en-US"/>
        </w:rPr>
        <w:t xml:space="preserve">JU </w:t>
      </w:r>
      <w:r w:rsidR="00D04FB6" w:rsidRPr="00445D3F">
        <w:rPr>
          <w:rFonts w:asciiTheme="majorHAnsi" w:eastAsia="Calibri" w:hAnsiTheme="majorHAnsi" w:cstheme="majorHAnsi"/>
          <w:b/>
          <w:color w:val="auto"/>
          <w:kern w:val="0"/>
          <w:sz w:val="24"/>
          <w:szCs w:val="24"/>
          <w:lang w:eastAsia="en-US"/>
        </w:rPr>
        <w:t xml:space="preserve">na centralnom nivou i </w:t>
      </w:r>
      <w:r w:rsidR="000949FE" w:rsidRPr="00445D3F">
        <w:rPr>
          <w:rFonts w:asciiTheme="majorHAnsi" w:eastAsia="Calibri" w:hAnsiTheme="majorHAnsi" w:cstheme="majorHAnsi"/>
          <w:b/>
          <w:color w:val="auto"/>
          <w:kern w:val="0"/>
          <w:sz w:val="24"/>
          <w:szCs w:val="24"/>
          <w:lang w:eastAsia="en-US"/>
        </w:rPr>
        <w:t>JU</w:t>
      </w:r>
      <w:r w:rsidR="00D04FB6" w:rsidRPr="00445D3F">
        <w:rPr>
          <w:rFonts w:asciiTheme="majorHAnsi" w:eastAsia="Calibri" w:hAnsiTheme="majorHAnsi" w:cstheme="majorHAnsi"/>
          <w:b/>
          <w:color w:val="auto"/>
          <w:kern w:val="0"/>
          <w:sz w:val="24"/>
          <w:szCs w:val="24"/>
          <w:lang w:eastAsia="en-US"/>
        </w:rPr>
        <w:t xml:space="preserve"> koje su osnovale opštine)</w:t>
      </w:r>
      <w:r w:rsidRPr="00445D3F">
        <w:rPr>
          <w:rFonts w:asciiTheme="majorHAnsi" w:eastAsia="Calibri" w:hAnsiTheme="majorHAnsi" w:cstheme="majorHAnsi"/>
          <w:color w:val="auto"/>
          <w:kern w:val="0"/>
          <w:sz w:val="24"/>
          <w:szCs w:val="24"/>
          <w:lang w:eastAsia="en-US"/>
        </w:rPr>
        <w:t>. Organizacija, poslovi, položaj i uloga, kao i druga pitanja u vezi sa organizacijom i radom u javnoj upravi Crne Gore posebno su regulisani Ustavom Crne Gore</w:t>
      </w:r>
      <w:r w:rsidRPr="00445D3F">
        <w:rPr>
          <w:rFonts w:asciiTheme="majorHAnsi" w:eastAsia="Calibri" w:hAnsiTheme="majorHAnsi" w:cstheme="majorHAnsi"/>
          <w:color w:val="auto"/>
          <w:kern w:val="0"/>
          <w:sz w:val="24"/>
          <w:szCs w:val="24"/>
          <w:vertAlign w:val="superscript"/>
          <w:lang w:eastAsia="en-US"/>
        </w:rPr>
        <w:footnoteReference w:id="11"/>
      </w:r>
      <w:r w:rsidRPr="00445D3F">
        <w:rPr>
          <w:rFonts w:asciiTheme="majorHAnsi" w:eastAsia="Calibri" w:hAnsiTheme="majorHAnsi" w:cstheme="majorHAnsi"/>
          <w:color w:val="auto"/>
          <w:kern w:val="0"/>
          <w:sz w:val="24"/>
          <w:szCs w:val="24"/>
          <w:lang w:eastAsia="en-US"/>
        </w:rPr>
        <w:t>, Zakonom o državoj upravi</w:t>
      </w:r>
      <w:r w:rsidR="001D4DC1" w:rsidRPr="00445D3F">
        <w:rPr>
          <w:rFonts w:asciiTheme="majorHAnsi" w:eastAsia="Calibri" w:hAnsiTheme="majorHAnsi" w:cstheme="majorHAnsi"/>
          <w:color w:val="auto"/>
          <w:kern w:val="0"/>
          <w:sz w:val="24"/>
          <w:szCs w:val="24"/>
          <w:lang w:eastAsia="en-US"/>
        </w:rPr>
        <w:t xml:space="preserve"> </w:t>
      </w:r>
      <w:r w:rsidR="001D4DC1" w:rsidRPr="00445D3F">
        <w:rPr>
          <w:rStyle w:val="FootnoteReference"/>
          <w:rFonts w:asciiTheme="majorHAnsi" w:eastAsia="Calibri" w:hAnsiTheme="majorHAnsi" w:cstheme="majorHAnsi"/>
          <w:color w:val="auto"/>
          <w:kern w:val="0"/>
          <w:sz w:val="24"/>
          <w:szCs w:val="24"/>
          <w:lang w:eastAsia="en-US"/>
        </w:rPr>
        <w:footnoteReference w:id="12"/>
      </w:r>
      <w:r w:rsidR="00F71149" w:rsidRPr="00445D3F">
        <w:rPr>
          <w:rFonts w:asciiTheme="majorHAnsi" w:eastAsia="Calibri" w:hAnsiTheme="majorHAnsi" w:cstheme="majorHAnsi"/>
          <w:color w:val="auto"/>
          <w:kern w:val="0"/>
          <w:sz w:val="24"/>
          <w:szCs w:val="24"/>
          <w:lang w:eastAsia="en-US"/>
        </w:rPr>
        <w:t xml:space="preserve"> </w:t>
      </w:r>
      <w:r w:rsidRPr="00445D3F">
        <w:rPr>
          <w:rFonts w:asciiTheme="majorHAnsi" w:eastAsia="Calibri" w:hAnsiTheme="majorHAnsi" w:cstheme="majorHAnsi"/>
          <w:color w:val="auto"/>
          <w:kern w:val="0"/>
          <w:sz w:val="24"/>
          <w:szCs w:val="24"/>
          <w:lang w:eastAsia="en-US"/>
        </w:rPr>
        <w:t>i Uredbom o organizacij</w:t>
      </w:r>
      <w:r w:rsidR="001D4DC1" w:rsidRPr="00445D3F">
        <w:rPr>
          <w:rFonts w:asciiTheme="majorHAnsi" w:eastAsia="Calibri" w:hAnsiTheme="majorHAnsi" w:cstheme="majorHAnsi"/>
          <w:color w:val="auto"/>
          <w:kern w:val="0"/>
          <w:sz w:val="24"/>
          <w:szCs w:val="24"/>
          <w:lang w:eastAsia="en-US"/>
        </w:rPr>
        <w:t>i i načinu rada državne uprave</w:t>
      </w:r>
      <w:r w:rsidRPr="00445D3F">
        <w:rPr>
          <w:rFonts w:asciiTheme="majorHAnsi" w:eastAsia="Calibri" w:hAnsiTheme="majorHAnsi" w:cstheme="majorHAnsi"/>
          <w:color w:val="auto"/>
          <w:kern w:val="0"/>
          <w:sz w:val="24"/>
          <w:szCs w:val="24"/>
          <w:vertAlign w:val="superscript"/>
          <w:lang w:eastAsia="en-US"/>
        </w:rPr>
        <w:footnoteReference w:id="13"/>
      </w:r>
      <w:r w:rsidRPr="00445D3F">
        <w:rPr>
          <w:rFonts w:asciiTheme="majorHAnsi" w:eastAsia="Calibri" w:hAnsiTheme="majorHAnsi" w:cstheme="majorHAnsi"/>
          <w:color w:val="auto"/>
          <w:kern w:val="0"/>
          <w:sz w:val="24"/>
          <w:szCs w:val="24"/>
          <w:lang w:eastAsia="en-US"/>
        </w:rPr>
        <w:t>, Zakonom o lokalnoj samoupravi</w:t>
      </w:r>
      <w:r w:rsidRPr="00445D3F">
        <w:rPr>
          <w:rFonts w:asciiTheme="majorHAnsi" w:eastAsia="Calibri" w:hAnsiTheme="majorHAnsi" w:cstheme="majorHAnsi"/>
          <w:color w:val="auto"/>
          <w:kern w:val="0"/>
          <w:sz w:val="24"/>
          <w:szCs w:val="24"/>
          <w:vertAlign w:val="superscript"/>
          <w:lang w:eastAsia="en-US"/>
        </w:rPr>
        <w:footnoteReference w:id="14"/>
      </w:r>
      <w:r w:rsidRPr="00445D3F">
        <w:rPr>
          <w:rFonts w:asciiTheme="majorHAnsi" w:eastAsia="Calibri" w:hAnsiTheme="majorHAnsi" w:cstheme="majorHAnsi"/>
          <w:color w:val="auto"/>
          <w:kern w:val="0"/>
          <w:sz w:val="24"/>
          <w:szCs w:val="24"/>
          <w:lang w:eastAsia="en-US"/>
        </w:rPr>
        <w:t>, Zakonom o teritorijalnoj organizaciji Crne Gore</w:t>
      </w:r>
      <w:r w:rsidRPr="00445D3F">
        <w:rPr>
          <w:rFonts w:asciiTheme="majorHAnsi" w:eastAsia="Calibri" w:hAnsiTheme="majorHAnsi" w:cstheme="majorHAnsi"/>
          <w:color w:val="auto"/>
          <w:kern w:val="0"/>
          <w:sz w:val="24"/>
          <w:szCs w:val="24"/>
          <w:vertAlign w:val="superscript"/>
          <w:lang w:eastAsia="en-US"/>
        </w:rPr>
        <w:footnoteReference w:id="15"/>
      </w:r>
      <w:r w:rsidRPr="00445D3F">
        <w:rPr>
          <w:rFonts w:asciiTheme="majorHAnsi" w:eastAsia="Calibri" w:hAnsiTheme="majorHAnsi" w:cstheme="majorHAnsi"/>
          <w:color w:val="auto"/>
          <w:kern w:val="0"/>
          <w:sz w:val="24"/>
          <w:szCs w:val="24"/>
          <w:lang w:eastAsia="en-US"/>
        </w:rPr>
        <w:t xml:space="preserve"> kao i drugim propisima koji se odnose na ovu oblast. </w:t>
      </w:r>
    </w:p>
    <w:p w:rsidR="001917C8" w:rsidRDefault="001917C8" w:rsidP="00445D3F">
      <w:pPr>
        <w:spacing w:before="60" w:after="60" w:line="240" w:lineRule="auto"/>
        <w:ind w:right="-471"/>
        <w:jc w:val="both"/>
        <w:rPr>
          <w:rFonts w:asciiTheme="majorHAnsi" w:eastAsia="Calibri" w:hAnsiTheme="majorHAnsi" w:cstheme="majorHAnsi"/>
          <w:color w:val="auto"/>
          <w:kern w:val="0"/>
          <w:sz w:val="24"/>
          <w:szCs w:val="24"/>
          <w:lang w:eastAsia="en-US"/>
        </w:rPr>
      </w:pPr>
      <w:r w:rsidRPr="00445D3F">
        <w:rPr>
          <w:rFonts w:asciiTheme="majorHAnsi" w:eastAsia="Calibri" w:hAnsiTheme="majorHAnsi" w:cstheme="majorHAnsi"/>
          <w:b/>
          <w:color w:val="auto"/>
          <w:kern w:val="0"/>
          <w:sz w:val="24"/>
          <w:szCs w:val="24"/>
          <w:lang w:eastAsia="en-US"/>
        </w:rPr>
        <w:t>Sistem državne uprave</w:t>
      </w:r>
      <w:r w:rsidRPr="00445D3F">
        <w:rPr>
          <w:rFonts w:asciiTheme="majorHAnsi" w:eastAsia="Calibri" w:hAnsiTheme="majorHAnsi" w:cstheme="majorHAnsi"/>
          <w:color w:val="auto"/>
          <w:kern w:val="0"/>
          <w:sz w:val="24"/>
          <w:szCs w:val="24"/>
          <w:lang w:eastAsia="en-US"/>
        </w:rPr>
        <w:t xml:space="preserve"> u Crnoj Gori čine </w:t>
      </w:r>
      <w:r w:rsidRPr="00445D3F">
        <w:rPr>
          <w:rFonts w:asciiTheme="majorHAnsi" w:eastAsia="Calibri" w:hAnsiTheme="majorHAnsi" w:cstheme="majorHAnsi"/>
          <w:b/>
          <w:color w:val="auto"/>
          <w:kern w:val="0"/>
          <w:sz w:val="24"/>
          <w:szCs w:val="24"/>
          <w:lang w:eastAsia="en-US"/>
        </w:rPr>
        <w:t>ministarstva i organi uprave</w:t>
      </w:r>
      <w:r w:rsidRPr="00445D3F">
        <w:rPr>
          <w:rFonts w:asciiTheme="majorHAnsi" w:eastAsia="Calibri" w:hAnsiTheme="majorHAnsi" w:cstheme="majorHAnsi"/>
          <w:color w:val="auto"/>
          <w:kern w:val="0"/>
          <w:sz w:val="24"/>
          <w:szCs w:val="24"/>
          <w:lang w:eastAsia="en-US"/>
        </w:rPr>
        <w:t xml:space="preserve"> koji imaju stručnu i upravljačku samostalnost u skladu sa zakonom, a njihova odgovornost je podređena resornom ministru za upravnu oblast u kojoj se vrše poslovi. Poslove državne uprave vrše ministarstva i drugi organi uprave. Pojedine poslove državne uprave vrši </w:t>
      </w:r>
      <w:r w:rsidR="009C077B" w:rsidRPr="00445D3F">
        <w:rPr>
          <w:rFonts w:asciiTheme="majorHAnsi" w:eastAsia="Calibri" w:hAnsiTheme="majorHAnsi" w:cstheme="majorHAnsi"/>
          <w:color w:val="auto"/>
          <w:kern w:val="0"/>
          <w:sz w:val="24"/>
          <w:szCs w:val="24"/>
          <w:lang w:eastAsia="en-US"/>
        </w:rPr>
        <w:t>lokalna samouprava</w:t>
      </w:r>
      <w:r w:rsidRPr="00445D3F">
        <w:rPr>
          <w:rFonts w:asciiTheme="majorHAnsi" w:eastAsia="Calibri" w:hAnsiTheme="majorHAnsi" w:cstheme="majorHAnsi"/>
          <w:color w:val="auto"/>
          <w:kern w:val="0"/>
          <w:sz w:val="24"/>
          <w:szCs w:val="24"/>
          <w:lang w:eastAsia="en-US"/>
        </w:rPr>
        <w:t xml:space="preserve"> ili drugo pravno lice, kada su im ti poslovi preneseni zakonom, odnosno povjereni aktom Vlade. Uredbom o organizaciji i načinu rada državne uprave</w:t>
      </w:r>
      <w:r w:rsidRPr="00445D3F">
        <w:rPr>
          <w:rStyle w:val="FootnoteReference"/>
          <w:rFonts w:asciiTheme="majorHAnsi" w:eastAsia="Calibri" w:hAnsiTheme="majorHAnsi" w:cstheme="majorHAnsi"/>
          <w:color w:val="auto"/>
          <w:kern w:val="0"/>
          <w:sz w:val="24"/>
          <w:szCs w:val="24"/>
          <w:lang w:eastAsia="en-US"/>
        </w:rPr>
        <w:footnoteReference w:id="16"/>
      </w:r>
      <w:r w:rsidRPr="00445D3F">
        <w:rPr>
          <w:rFonts w:asciiTheme="majorHAnsi" w:eastAsia="Calibri" w:hAnsiTheme="majorHAnsi" w:cstheme="majorHAnsi"/>
          <w:color w:val="auto"/>
          <w:kern w:val="0"/>
          <w:sz w:val="24"/>
          <w:szCs w:val="24"/>
          <w:lang w:eastAsia="en-US"/>
        </w:rPr>
        <w:t>, koja je donijeta nakon formiranja 42. Vlade Crne Gore (u daljem tekstu: Vlada)</w:t>
      </w:r>
      <w:r w:rsidR="00F71149" w:rsidRPr="00445D3F">
        <w:rPr>
          <w:rFonts w:asciiTheme="majorHAnsi" w:eastAsia="Calibri" w:hAnsiTheme="majorHAnsi" w:cstheme="majorHAnsi"/>
          <w:color w:val="auto"/>
          <w:kern w:val="0"/>
          <w:sz w:val="24"/>
          <w:szCs w:val="24"/>
          <w:lang w:eastAsia="en-US"/>
        </w:rPr>
        <w:t>,</w:t>
      </w:r>
      <w:r w:rsidRPr="00445D3F">
        <w:rPr>
          <w:rFonts w:asciiTheme="majorHAnsi" w:eastAsia="Calibri" w:hAnsiTheme="majorHAnsi" w:cstheme="majorHAnsi"/>
          <w:color w:val="auto"/>
          <w:kern w:val="0"/>
          <w:sz w:val="24"/>
          <w:szCs w:val="24"/>
          <w:vertAlign w:val="superscript"/>
          <w:lang w:eastAsia="en-US"/>
        </w:rPr>
        <w:footnoteReference w:id="17"/>
      </w:r>
      <w:r w:rsidRPr="00445D3F">
        <w:rPr>
          <w:rFonts w:asciiTheme="majorHAnsi" w:eastAsia="Calibri" w:hAnsiTheme="majorHAnsi" w:cstheme="majorHAnsi"/>
          <w:color w:val="auto"/>
          <w:kern w:val="0"/>
          <w:sz w:val="24"/>
          <w:szCs w:val="24"/>
          <w:lang w:eastAsia="en-US"/>
        </w:rPr>
        <w:t xml:space="preserve"> organizacija državne uprave je bitno izmijenjena. Novom Uredbom osnovano je ukupno 12 ministarstava</w:t>
      </w:r>
      <w:r w:rsidRPr="00445D3F">
        <w:rPr>
          <w:rFonts w:asciiTheme="majorHAnsi" w:eastAsia="Calibri" w:hAnsiTheme="majorHAnsi" w:cstheme="majorHAnsi"/>
          <w:color w:val="auto"/>
          <w:kern w:val="0"/>
          <w:sz w:val="24"/>
          <w:szCs w:val="24"/>
          <w:vertAlign w:val="superscript"/>
          <w:lang w:eastAsia="en-US"/>
        </w:rPr>
        <w:footnoteReference w:id="18"/>
      </w:r>
      <w:r w:rsidRPr="00445D3F">
        <w:rPr>
          <w:rFonts w:asciiTheme="majorHAnsi" w:eastAsia="Calibri" w:hAnsiTheme="majorHAnsi" w:cstheme="majorHAnsi"/>
          <w:color w:val="auto"/>
          <w:kern w:val="0"/>
          <w:sz w:val="24"/>
          <w:szCs w:val="24"/>
          <w:lang w:eastAsia="en-US"/>
        </w:rPr>
        <w:t xml:space="preserve"> i 27 organa uprave</w:t>
      </w:r>
      <w:r w:rsidRPr="00445D3F">
        <w:rPr>
          <w:rFonts w:asciiTheme="majorHAnsi" w:eastAsia="Calibri" w:hAnsiTheme="majorHAnsi" w:cstheme="majorHAnsi"/>
          <w:color w:val="auto"/>
          <w:kern w:val="0"/>
          <w:sz w:val="24"/>
          <w:szCs w:val="24"/>
          <w:vertAlign w:val="superscript"/>
          <w:lang w:eastAsia="en-US"/>
        </w:rPr>
        <w:footnoteReference w:id="19"/>
      </w:r>
      <w:r w:rsidRPr="00445D3F">
        <w:rPr>
          <w:rFonts w:asciiTheme="majorHAnsi" w:eastAsia="Calibri" w:hAnsiTheme="majorHAnsi" w:cstheme="majorHAnsi"/>
          <w:color w:val="auto"/>
          <w:kern w:val="0"/>
          <w:sz w:val="24"/>
          <w:szCs w:val="24"/>
          <w:lang w:eastAsia="en-US"/>
        </w:rPr>
        <w:t xml:space="preserve"> i definisan je nadzor relevantnih ministarst</w:t>
      </w:r>
      <w:r w:rsidR="009C077B" w:rsidRPr="00445D3F">
        <w:rPr>
          <w:rFonts w:asciiTheme="majorHAnsi" w:eastAsia="Calibri" w:hAnsiTheme="majorHAnsi" w:cstheme="majorHAnsi"/>
          <w:color w:val="auto"/>
          <w:kern w:val="0"/>
          <w:sz w:val="24"/>
          <w:szCs w:val="24"/>
          <w:lang w:eastAsia="en-US"/>
        </w:rPr>
        <w:t>a</w:t>
      </w:r>
      <w:r w:rsidRPr="00445D3F">
        <w:rPr>
          <w:rFonts w:asciiTheme="majorHAnsi" w:eastAsia="Calibri" w:hAnsiTheme="majorHAnsi" w:cstheme="majorHAnsi"/>
          <w:color w:val="auto"/>
          <w:kern w:val="0"/>
          <w:sz w:val="24"/>
          <w:szCs w:val="24"/>
          <w:lang w:eastAsia="en-US"/>
        </w:rPr>
        <w:t>va koji vrše nad zakonitošću i cjelishodnošću rada organa uprave i zakonitošću upravnih akata i drugih upravnih aktivnosti organa uprave u upravnim oblastima za koja su osnovani. U odnosu na prethodnu org</w:t>
      </w:r>
      <w:r w:rsidR="001D4DC1" w:rsidRPr="00445D3F">
        <w:rPr>
          <w:rFonts w:asciiTheme="majorHAnsi" w:eastAsia="Calibri" w:hAnsiTheme="majorHAnsi" w:cstheme="majorHAnsi"/>
          <w:color w:val="auto"/>
          <w:kern w:val="0"/>
          <w:sz w:val="24"/>
          <w:szCs w:val="24"/>
          <w:lang w:eastAsia="en-US"/>
        </w:rPr>
        <w:t>anizaciju (17 ministarstava i 29</w:t>
      </w:r>
      <w:r w:rsidRPr="00445D3F">
        <w:rPr>
          <w:rFonts w:asciiTheme="majorHAnsi" w:eastAsia="Calibri" w:hAnsiTheme="majorHAnsi" w:cstheme="majorHAnsi"/>
          <w:color w:val="auto"/>
          <w:kern w:val="0"/>
          <w:sz w:val="24"/>
          <w:szCs w:val="24"/>
          <w:lang w:eastAsia="en-US"/>
        </w:rPr>
        <w:t xml:space="preserve"> organa uprave) novom Uredbom je sprovedeno racionalno uređenje (organizacija) državne uprave, te smanjen broj ministarstava za 5, dok je izmjenama pomenute Uredbe broj </w:t>
      </w:r>
      <w:r w:rsidR="001D4DC1" w:rsidRPr="00445D3F">
        <w:rPr>
          <w:rFonts w:asciiTheme="majorHAnsi" w:eastAsia="Calibri" w:hAnsiTheme="majorHAnsi" w:cstheme="majorHAnsi"/>
          <w:color w:val="auto"/>
          <w:kern w:val="0"/>
          <w:sz w:val="24"/>
          <w:szCs w:val="24"/>
          <w:lang w:eastAsia="en-US"/>
        </w:rPr>
        <w:t>organa uprave smanjen na 27</w:t>
      </w:r>
      <w:r w:rsidRPr="00445D3F">
        <w:rPr>
          <w:rFonts w:asciiTheme="majorHAnsi" w:eastAsia="Calibri" w:hAnsiTheme="majorHAnsi" w:cstheme="majorHAnsi"/>
          <w:color w:val="auto"/>
          <w:kern w:val="0"/>
          <w:sz w:val="24"/>
          <w:szCs w:val="24"/>
          <w:lang w:eastAsia="en-US"/>
        </w:rPr>
        <w:t>. Donošenjem Zakona o državnoj upravi 2018. godine u sistemu državne uprave se, pored ministarstava i organa uprave, po prvi put uvode državne agencije i fondovi kao nosioci javnih ovlašćenja</w:t>
      </w:r>
      <w:r w:rsidRPr="00445D3F">
        <w:rPr>
          <w:rFonts w:asciiTheme="majorHAnsi" w:eastAsia="Calibri" w:hAnsiTheme="majorHAnsi" w:cstheme="majorHAnsi"/>
          <w:color w:val="auto"/>
          <w:kern w:val="0"/>
          <w:sz w:val="24"/>
          <w:szCs w:val="24"/>
          <w:vertAlign w:val="superscript"/>
          <w:lang w:eastAsia="en-US"/>
        </w:rPr>
        <w:footnoteReference w:id="20"/>
      </w:r>
      <w:r w:rsidRPr="00445D3F">
        <w:rPr>
          <w:rFonts w:asciiTheme="majorHAnsi" w:eastAsia="Calibri" w:hAnsiTheme="majorHAnsi" w:cstheme="majorHAnsi"/>
          <w:color w:val="auto"/>
          <w:kern w:val="0"/>
          <w:sz w:val="24"/>
          <w:szCs w:val="24"/>
          <w:lang w:eastAsia="en-US"/>
        </w:rPr>
        <w:t xml:space="preserve"> koji vrše poslove državne uprave i osnivaju se posebnim zakonima. U postupku pripreme ovih zakona, o ispunjenosti kriterijuma propisanih Zakonom o državnoj upravi, pribavlja se mišljenje Ministarstva javne uprave, digitalnog društva i medija.</w:t>
      </w:r>
    </w:p>
    <w:p w:rsidR="00102556" w:rsidRPr="00445D3F" w:rsidRDefault="00102556" w:rsidP="00445D3F">
      <w:pPr>
        <w:spacing w:before="60" w:after="60" w:line="240" w:lineRule="auto"/>
        <w:ind w:right="-475"/>
        <w:jc w:val="both"/>
        <w:rPr>
          <w:rFonts w:asciiTheme="majorHAnsi" w:eastAsia="Calibri" w:hAnsiTheme="majorHAnsi" w:cstheme="majorHAnsi"/>
          <w:color w:val="auto"/>
          <w:kern w:val="0"/>
          <w:sz w:val="24"/>
          <w:szCs w:val="24"/>
          <w:lang w:eastAsia="en-US"/>
        </w:rPr>
      </w:pPr>
      <w:r w:rsidRPr="00445D3F">
        <w:rPr>
          <w:rFonts w:asciiTheme="majorHAnsi" w:eastAsia="Calibri" w:hAnsiTheme="majorHAnsi" w:cstheme="majorHAnsi"/>
          <w:color w:val="auto"/>
          <w:kern w:val="0"/>
          <w:sz w:val="24"/>
          <w:szCs w:val="24"/>
          <w:lang w:eastAsia="en-US"/>
        </w:rPr>
        <w:t xml:space="preserve">U cilju pregleda svih državnih organa i institucija, na jednom mjestu uspostavljen je </w:t>
      </w:r>
      <w:r w:rsidRPr="00445D3F">
        <w:rPr>
          <w:rFonts w:asciiTheme="majorHAnsi" w:eastAsia="Calibri" w:hAnsiTheme="majorHAnsi" w:cstheme="majorHAnsi"/>
          <w:b/>
          <w:color w:val="auto"/>
          <w:kern w:val="0"/>
          <w:sz w:val="24"/>
          <w:szCs w:val="24"/>
          <w:lang w:eastAsia="en-US"/>
        </w:rPr>
        <w:t>Registar državnih organa i institucija</w:t>
      </w:r>
      <w:r w:rsidRPr="00445D3F">
        <w:rPr>
          <w:rFonts w:asciiTheme="majorHAnsi" w:eastAsia="Calibri" w:hAnsiTheme="majorHAnsi" w:cstheme="majorHAnsi"/>
          <w:color w:val="auto"/>
          <w:kern w:val="0"/>
          <w:sz w:val="24"/>
          <w:szCs w:val="24"/>
          <w:lang w:eastAsia="en-US"/>
        </w:rPr>
        <w:t xml:space="preserve">, koji je javno dostupan </w:t>
      </w:r>
      <w:hyperlink r:id="rId64" w:history="1">
        <w:r w:rsidRPr="00445D3F">
          <w:rPr>
            <w:rFonts w:asciiTheme="majorHAnsi" w:eastAsia="Calibri" w:hAnsiTheme="majorHAnsi" w:cstheme="majorHAnsi"/>
            <w:color w:val="auto"/>
            <w:kern w:val="0"/>
            <w:sz w:val="24"/>
            <w:szCs w:val="24"/>
            <w:u w:val="single"/>
            <w:lang w:eastAsia="en-US"/>
          </w:rPr>
          <w:t>https://drzavniorgani.gov.me/</w:t>
        </w:r>
      </w:hyperlink>
      <w:r w:rsidRPr="00445D3F">
        <w:rPr>
          <w:rFonts w:asciiTheme="majorHAnsi" w:eastAsia="Calibri" w:hAnsiTheme="majorHAnsi" w:cstheme="majorHAnsi"/>
          <w:color w:val="auto"/>
          <w:kern w:val="0"/>
          <w:sz w:val="24"/>
          <w:szCs w:val="24"/>
          <w:lang w:eastAsia="en-US"/>
        </w:rPr>
        <w:t xml:space="preserve"> i korisnicima omogućava pregled svih državnih organa i institucija po vrstama organa, nadležnosti i oblastima rada kao i </w:t>
      </w:r>
      <w:r w:rsidRPr="00445D3F">
        <w:rPr>
          <w:rFonts w:asciiTheme="majorHAnsi" w:eastAsia="Calibri" w:hAnsiTheme="majorHAnsi" w:cstheme="majorHAnsi"/>
          <w:color w:val="auto"/>
          <w:kern w:val="0"/>
          <w:sz w:val="24"/>
          <w:szCs w:val="24"/>
          <w:lang w:eastAsia="en-US"/>
        </w:rPr>
        <w:lastRenderedPageBreak/>
        <w:t xml:space="preserve">standardnoj pretrazi po ključnim riječima kojima se opisuje svaki organ. Ovaj registar ne obuhvata jedinice lokalne samouprave i javne službe na lokalnom nivou. Prema Registru, trenutno postoji 462 institucije na centralnom nivou (uključujući i javna preduzeća) od čega su 332 javne ustanove, odnosno pravna lica koja imaju javna ovlašćenja. </w:t>
      </w:r>
    </w:p>
    <w:p w:rsidR="00102556" w:rsidRPr="00445D3F" w:rsidRDefault="00102556" w:rsidP="00102556">
      <w:pPr>
        <w:spacing w:before="60" w:after="60" w:line="240" w:lineRule="auto"/>
        <w:ind w:right="-471"/>
        <w:jc w:val="both"/>
        <w:rPr>
          <w:rFonts w:asciiTheme="majorHAnsi" w:eastAsia="Calibri" w:hAnsiTheme="majorHAnsi" w:cstheme="majorHAnsi"/>
          <w:color w:val="auto"/>
          <w:sz w:val="24"/>
          <w:szCs w:val="24"/>
        </w:rPr>
      </w:pPr>
      <w:r w:rsidRPr="00445D3F">
        <w:rPr>
          <w:rFonts w:asciiTheme="majorHAnsi" w:eastAsia="Calibri" w:hAnsiTheme="majorHAnsi" w:cstheme="majorHAnsi"/>
          <w:color w:val="auto"/>
          <w:kern w:val="0"/>
          <w:sz w:val="24"/>
          <w:szCs w:val="24"/>
          <w:lang w:eastAsia="en-US"/>
        </w:rPr>
        <w:t xml:space="preserve">Sistem </w:t>
      </w:r>
      <w:r w:rsidRPr="00445D3F">
        <w:rPr>
          <w:rFonts w:asciiTheme="majorHAnsi" w:eastAsia="Calibri" w:hAnsiTheme="majorHAnsi" w:cstheme="majorHAnsi"/>
          <w:b/>
          <w:color w:val="auto"/>
          <w:kern w:val="0"/>
          <w:sz w:val="24"/>
          <w:szCs w:val="24"/>
          <w:lang w:eastAsia="en-US"/>
        </w:rPr>
        <w:t>javnih ustanova</w:t>
      </w:r>
      <w:r w:rsidRPr="00445D3F">
        <w:rPr>
          <w:rFonts w:asciiTheme="majorHAnsi" w:eastAsia="Calibri" w:hAnsiTheme="majorHAnsi" w:cstheme="majorHAnsi"/>
          <w:color w:val="auto"/>
          <w:kern w:val="0"/>
          <w:sz w:val="24"/>
          <w:szCs w:val="24"/>
          <w:lang w:eastAsia="en-US"/>
        </w:rPr>
        <w:t xml:space="preserve"> u Crnoj Gori je veoma kompleksan, i obuhvata javne službe koje pružaju usluge građanima i pravnim licima. Javne ustanove se osnivaju na državnom i lokalnom nivou, a obuhvata oblike organizovanja i pružanja javnih usluga građanima i pravnim licima kako u oblasti društvenih djelatnosti (zdravstvo, obrazovanje, kultura, sport, socijalna i dječja zaštita, penzijsko i invalidsko osiguranje, itd). Crna Gora nema Zakon o javnim ustanovama, kao što ga imaju zemlje okruženja, već se dijelom uređuju „sektorskim zakonima“ u oblasti društvenih djelatnosti.</w:t>
      </w:r>
      <w:r w:rsidRPr="00445D3F">
        <w:rPr>
          <w:rStyle w:val="FootnoteReference"/>
          <w:rFonts w:asciiTheme="majorHAnsi" w:eastAsia="Calibri" w:hAnsiTheme="majorHAnsi" w:cstheme="majorHAnsi"/>
          <w:color w:val="auto"/>
          <w:kern w:val="0"/>
          <w:sz w:val="24"/>
          <w:szCs w:val="24"/>
          <w:lang w:eastAsia="en-US"/>
        </w:rPr>
        <w:footnoteReference w:id="21"/>
      </w:r>
      <w:r w:rsidRPr="00445D3F">
        <w:rPr>
          <w:rFonts w:asciiTheme="majorHAnsi" w:eastAsia="Calibri" w:hAnsiTheme="majorHAnsi" w:cstheme="majorHAnsi"/>
          <w:color w:val="auto"/>
          <w:kern w:val="0"/>
          <w:sz w:val="24"/>
          <w:szCs w:val="24"/>
          <w:lang w:eastAsia="en-US"/>
        </w:rPr>
        <w:t xml:space="preserve"> </w:t>
      </w:r>
      <w:r w:rsidRPr="00445D3F">
        <w:rPr>
          <w:rFonts w:asciiTheme="majorHAnsi" w:eastAsia="Calibri" w:hAnsiTheme="majorHAnsi" w:cstheme="majorHAnsi"/>
          <w:color w:val="auto"/>
          <w:sz w:val="24"/>
          <w:szCs w:val="24"/>
        </w:rPr>
        <w:t>Kada je riječ o</w:t>
      </w:r>
      <w:r w:rsidRPr="00445D3F">
        <w:rPr>
          <w:rFonts w:asciiTheme="majorHAnsi" w:eastAsia="Calibri" w:hAnsiTheme="majorHAnsi" w:cstheme="majorHAnsi"/>
          <w:b/>
          <w:color w:val="auto"/>
          <w:sz w:val="24"/>
          <w:szCs w:val="24"/>
        </w:rPr>
        <w:t xml:space="preserve"> </w:t>
      </w:r>
      <w:r w:rsidRPr="00445D3F">
        <w:rPr>
          <w:rFonts w:asciiTheme="majorHAnsi" w:eastAsia="Calibri" w:hAnsiTheme="majorHAnsi" w:cstheme="majorHAnsi"/>
          <w:color w:val="auto"/>
          <w:sz w:val="24"/>
          <w:szCs w:val="24"/>
        </w:rPr>
        <w:t xml:space="preserve">javnim ustanovama čiji je osnivač država, ministarstva vrše kontrolu opštih akata koje one donose, upozoravaju njihove organe da opšti akti nijesu saglasni sa Ustavom ili zakonom i predlažu odgovarajuća rješenja, radi usklađivanja. Kako je to propisano odredbom člana 76 Zakona o držanoj upravi, ako javna ustanova čiji je osnivač država, ne postupi po upozorenju, Vlada može, na predlog ministarstva, da obustavi primjenu takvog akta, ako bi njegovom primjenom mogle nastupiti teže štetne posledice i pokrenuti postupak pred Ustavnim sudom Crne Gore za ocjenu ustavnosti i zakonitosti tog akta. Dalje, u postupku kontrole ministarstvo vrši neposredan uvid u rad javne ustanove čiji je osnivač država i zahtijeva dostavljanje izvještaja, obavještenja, mišljenja i potrebnih podataka. Takođe, </w:t>
      </w:r>
      <w:r w:rsidR="00D04FB6" w:rsidRPr="00445D3F">
        <w:rPr>
          <w:rFonts w:asciiTheme="majorHAnsi" w:eastAsia="Calibri" w:hAnsiTheme="majorHAnsi" w:cstheme="majorHAnsi"/>
          <w:color w:val="auto"/>
          <w:sz w:val="24"/>
          <w:szCs w:val="24"/>
        </w:rPr>
        <w:t>m</w:t>
      </w:r>
      <w:r w:rsidRPr="00445D3F">
        <w:rPr>
          <w:rFonts w:asciiTheme="majorHAnsi" w:eastAsia="Calibri" w:hAnsiTheme="majorHAnsi" w:cstheme="majorHAnsi"/>
          <w:color w:val="auto"/>
          <w:sz w:val="24"/>
          <w:szCs w:val="24"/>
        </w:rPr>
        <w:t>inistarstvo odlučuje po žalbi na pojedinačna upravna akta koja u prvom stepenu donose javne ustanove čiji je osnivač država i vrši druge poslove koje po zakonu ima drugostepeni organ u upravnom postupku.</w:t>
      </w:r>
    </w:p>
    <w:p w:rsidR="00FA6DE1" w:rsidRPr="00445D3F" w:rsidRDefault="00523732" w:rsidP="00523732">
      <w:pPr>
        <w:spacing w:before="60" w:after="60" w:line="240" w:lineRule="auto"/>
        <w:ind w:right="-471"/>
        <w:jc w:val="both"/>
        <w:rPr>
          <w:rFonts w:asciiTheme="majorHAnsi" w:eastAsia="Calibri" w:hAnsiTheme="majorHAnsi" w:cstheme="majorHAnsi"/>
          <w:color w:val="auto"/>
          <w:kern w:val="0"/>
          <w:sz w:val="24"/>
          <w:szCs w:val="24"/>
          <w:lang w:eastAsia="en-US"/>
        </w:rPr>
      </w:pPr>
      <w:r w:rsidRPr="00445D3F">
        <w:rPr>
          <w:rFonts w:asciiTheme="majorHAnsi" w:eastAsia="Calibri" w:hAnsiTheme="majorHAnsi" w:cstheme="majorHAnsi"/>
          <w:color w:val="auto"/>
          <w:kern w:val="0"/>
          <w:sz w:val="24"/>
          <w:szCs w:val="24"/>
          <w:lang w:eastAsia="en-US"/>
        </w:rPr>
        <w:t xml:space="preserve">Veliku ulogu u praćenju zakonitosti rada organa javne uprave, a saglasno članu 17. Zakona o državnoj upravi, ima upravni nadzor koji obuhvata tri vrste nadzora, i to: </w:t>
      </w:r>
    </w:p>
    <w:p w:rsidR="00FA6DE1" w:rsidRPr="00445D3F" w:rsidRDefault="00523732" w:rsidP="00B43D4E">
      <w:pPr>
        <w:pStyle w:val="ListParagraph"/>
        <w:numPr>
          <w:ilvl w:val="0"/>
          <w:numId w:val="46"/>
        </w:numPr>
        <w:spacing w:before="0" w:after="0" w:line="240" w:lineRule="auto"/>
        <w:ind w:right="-475"/>
        <w:contextualSpacing w:val="0"/>
        <w:jc w:val="both"/>
        <w:rPr>
          <w:rFonts w:asciiTheme="majorHAnsi" w:eastAsia="Calibri" w:hAnsiTheme="majorHAnsi" w:cstheme="majorHAnsi"/>
          <w:color w:val="auto"/>
          <w:kern w:val="0"/>
          <w:sz w:val="24"/>
          <w:szCs w:val="24"/>
          <w:lang w:eastAsia="en-US"/>
        </w:rPr>
      </w:pPr>
      <w:r w:rsidRPr="00445D3F">
        <w:rPr>
          <w:rFonts w:asciiTheme="majorHAnsi" w:eastAsia="Calibri" w:hAnsiTheme="majorHAnsi" w:cstheme="majorHAnsi"/>
          <w:color w:val="auto"/>
          <w:kern w:val="0"/>
          <w:sz w:val="24"/>
          <w:szCs w:val="24"/>
          <w:lang w:eastAsia="en-US"/>
        </w:rPr>
        <w:t xml:space="preserve">nadzor nad zakonitošću upravnih akata i drugih upravnih aktivnosti, </w:t>
      </w:r>
    </w:p>
    <w:p w:rsidR="00FA6DE1" w:rsidRPr="00445D3F" w:rsidRDefault="00523732" w:rsidP="00B43D4E">
      <w:pPr>
        <w:pStyle w:val="ListParagraph"/>
        <w:numPr>
          <w:ilvl w:val="0"/>
          <w:numId w:val="46"/>
        </w:numPr>
        <w:spacing w:before="0" w:after="0" w:line="240" w:lineRule="auto"/>
        <w:ind w:right="-475"/>
        <w:contextualSpacing w:val="0"/>
        <w:jc w:val="both"/>
        <w:rPr>
          <w:rFonts w:asciiTheme="majorHAnsi" w:eastAsia="Calibri" w:hAnsiTheme="majorHAnsi" w:cstheme="majorHAnsi"/>
          <w:color w:val="auto"/>
          <w:kern w:val="0"/>
          <w:sz w:val="24"/>
          <w:szCs w:val="24"/>
          <w:lang w:eastAsia="en-US"/>
        </w:rPr>
      </w:pPr>
      <w:r w:rsidRPr="00445D3F">
        <w:rPr>
          <w:rFonts w:asciiTheme="majorHAnsi" w:eastAsia="Calibri" w:hAnsiTheme="majorHAnsi" w:cstheme="majorHAnsi"/>
          <w:color w:val="auto"/>
          <w:kern w:val="0"/>
          <w:sz w:val="24"/>
          <w:szCs w:val="24"/>
          <w:lang w:eastAsia="en-US"/>
        </w:rPr>
        <w:t xml:space="preserve">nadzor nad zakonitošću i cjelishodnošću rada organa uprave, lokalne uprave i drugih pravnih lica u vršenju prenijetih odnosno povjerenih poslova i </w:t>
      </w:r>
    </w:p>
    <w:p w:rsidR="00102556" w:rsidRPr="00445D3F" w:rsidRDefault="00523732" w:rsidP="00B43D4E">
      <w:pPr>
        <w:pStyle w:val="ListParagraph"/>
        <w:numPr>
          <w:ilvl w:val="0"/>
          <w:numId w:val="46"/>
        </w:numPr>
        <w:spacing w:before="0" w:after="0" w:line="240" w:lineRule="auto"/>
        <w:ind w:right="-475"/>
        <w:contextualSpacing w:val="0"/>
        <w:jc w:val="both"/>
        <w:rPr>
          <w:rFonts w:asciiTheme="majorHAnsi" w:eastAsia="Calibri" w:hAnsiTheme="majorHAnsi" w:cstheme="majorHAnsi"/>
          <w:color w:val="auto"/>
          <w:kern w:val="0"/>
          <w:sz w:val="24"/>
          <w:szCs w:val="24"/>
          <w:lang w:eastAsia="en-US"/>
        </w:rPr>
      </w:pPr>
      <w:r w:rsidRPr="00445D3F">
        <w:rPr>
          <w:rFonts w:asciiTheme="majorHAnsi" w:eastAsia="Calibri" w:hAnsiTheme="majorHAnsi" w:cstheme="majorHAnsi"/>
          <w:color w:val="auto"/>
          <w:kern w:val="0"/>
          <w:sz w:val="24"/>
          <w:szCs w:val="24"/>
          <w:lang w:eastAsia="en-US"/>
        </w:rPr>
        <w:t xml:space="preserve">inspekcijski nadzor. </w:t>
      </w:r>
    </w:p>
    <w:p w:rsidR="00102556" w:rsidRPr="00445D3F" w:rsidRDefault="0036142C" w:rsidP="00153229">
      <w:pPr>
        <w:spacing w:before="60" w:after="60" w:line="240" w:lineRule="auto"/>
        <w:ind w:right="-471"/>
        <w:jc w:val="both"/>
        <w:rPr>
          <w:rFonts w:asciiTheme="majorHAnsi" w:eastAsia="Calibri" w:hAnsiTheme="majorHAnsi" w:cstheme="majorHAnsi"/>
          <w:color w:val="auto"/>
          <w:kern w:val="0"/>
          <w:sz w:val="24"/>
          <w:szCs w:val="24"/>
          <w:lang w:eastAsia="en-US"/>
        </w:rPr>
      </w:pPr>
      <w:r w:rsidRPr="00445D3F">
        <w:rPr>
          <w:rFonts w:asciiTheme="majorHAnsi" w:eastAsia="Calibri" w:hAnsiTheme="majorHAnsi" w:cstheme="majorHAnsi"/>
          <w:color w:val="auto"/>
          <w:kern w:val="0"/>
          <w:sz w:val="24"/>
          <w:szCs w:val="24"/>
          <w:lang w:eastAsia="en-US"/>
        </w:rPr>
        <w:t xml:space="preserve">Što se tiče međusobne komunikacije organa, </w:t>
      </w:r>
      <w:r w:rsidRPr="00445D3F">
        <w:rPr>
          <w:rFonts w:asciiTheme="majorHAnsi" w:eastAsia="Calibri" w:hAnsiTheme="majorHAnsi" w:cstheme="majorHAnsi"/>
          <w:b/>
          <w:color w:val="auto"/>
          <w:kern w:val="0"/>
          <w:sz w:val="24"/>
          <w:szCs w:val="24"/>
          <w:lang w:eastAsia="en-US"/>
        </w:rPr>
        <w:t>s</w:t>
      </w:r>
      <w:r w:rsidR="00DB0093" w:rsidRPr="00445D3F">
        <w:rPr>
          <w:rFonts w:asciiTheme="majorHAnsi" w:eastAsia="Calibri" w:hAnsiTheme="majorHAnsi" w:cstheme="majorHAnsi"/>
          <w:b/>
          <w:color w:val="auto"/>
          <w:kern w:val="0"/>
          <w:sz w:val="24"/>
          <w:szCs w:val="24"/>
          <w:lang w:eastAsia="en-US"/>
        </w:rPr>
        <w:t>istem za elektronsko upravljanje dokumentima (eDMS)</w:t>
      </w:r>
      <w:r w:rsidR="00DB0093" w:rsidRPr="00445D3F">
        <w:rPr>
          <w:rFonts w:asciiTheme="majorHAnsi" w:eastAsia="Calibri" w:hAnsiTheme="majorHAnsi" w:cstheme="majorHAnsi"/>
          <w:color w:val="auto"/>
          <w:kern w:val="0"/>
          <w:sz w:val="24"/>
          <w:szCs w:val="24"/>
          <w:lang w:eastAsia="en-US"/>
        </w:rPr>
        <w:t xml:space="preserve"> pokre</w:t>
      </w:r>
      <w:r w:rsidR="003563FD" w:rsidRPr="00445D3F">
        <w:rPr>
          <w:rFonts w:asciiTheme="majorHAnsi" w:eastAsia="Calibri" w:hAnsiTheme="majorHAnsi" w:cstheme="majorHAnsi"/>
          <w:color w:val="auto"/>
          <w:kern w:val="0"/>
          <w:sz w:val="24"/>
          <w:szCs w:val="24"/>
          <w:lang w:eastAsia="en-US"/>
        </w:rPr>
        <w:t>nut je 2009. godine odnosno 2011</w:t>
      </w:r>
      <w:r w:rsidR="00DB0093" w:rsidRPr="00445D3F">
        <w:rPr>
          <w:rFonts w:asciiTheme="majorHAnsi" w:eastAsia="Calibri" w:hAnsiTheme="majorHAnsi" w:cstheme="majorHAnsi"/>
          <w:color w:val="auto"/>
          <w:kern w:val="0"/>
          <w:sz w:val="24"/>
          <w:szCs w:val="24"/>
          <w:lang w:eastAsia="en-US"/>
        </w:rPr>
        <w:t xml:space="preserve">. godine pušten u produkciju, a u zaključno sa 2020. godinom implementiran u svim ministarstvima u Crnoj Gori. </w:t>
      </w:r>
      <w:r w:rsidR="00DB0093" w:rsidRPr="00445D3F">
        <w:rPr>
          <w:rFonts w:asciiTheme="majorHAnsi" w:eastAsia="Calibri" w:hAnsiTheme="majorHAnsi" w:cstheme="majorHAnsi"/>
          <w:color w:val="auto"/>
          <w:kern w:val="0"/>
          <w:sz w:val="24"/>
          <w:szCs w:val="24"/>
          <w:shd w:val="clear" w:color="auto" w:fill="FFFFFF"/>
          <w:lang w:eastAsia="zh-CN"/>
        </w:rPr>
        <w:t>Novom Uredbom o organizaciji i načinu rada državne uprave, došlo do izmjene u organizaciji ministarstava, koju je bilo neophodno implem</w:t>
      </w:r>
      <w:r w:rsidR="007F23FE" w:rsidRPr="00445D3F">
        <w:rPr>
          <w:rFonts w:asciiTheme="majorHAnsi" w:eastAsia="Calibri" w:hAnsiTheme="majorHAnsi" w:cstheme="majorHAnsi"/>
          <w:color w:val="auto"/>
          <w:kern w:val="0"/>
          <w:sz w:val="24"/>
          <w:szCs w:val="24"/>
          <w:shd w:val="clear" w:color="auto" w:fill="FFFFFF"/>
          <w:lang w:eastAsia="zh-CN"/>
        </w:rPr>
        <w:t>entirati u sistemu (umjesto pr</w:t>
      </w:r>
      <w:r w:rsidR="00DB0093" w:rsidRPr="00445D3F">
        <w:rPr>
          <w:rFonts w:asciiTheme="majorHAnsi" w:eastAsia="Calibri" w:hAnsiTheme="majorHAnsi" w:cstheme="majorHAnsi"/>
          <w:color w:val="auto"/>
          <w:kern w:val="0"/>
          <w:sz w:val="24"/>
          <w:szCs w:val="24"/>
          <w:shd w:val="clear" w:color="auto" w:fill="FFFFFF"/>
          <w:lang w:eastAsia="zh-CN"/>
        </w:rPr>
        <w:t>ethodnih 17, u 2021. godini postoji 12 ministarstava), a pored ministarstava, sistem je implementiran u Upravi policije, Zaštitniku imovinsko pravnih interesa</w:t>
      </w:r>
      <w:r w:rsidR="001917C8" w:rsidRPr="00445D3F">
        <w:rPr>
          <w:rFonts w:asciiTheme="majorHAnsi" w:eastAsia="Calibri" w:hAnsiTheme="majorHAnsi" w:cstheme="majorHAnsi"/>
          <w:color w:val="auto"/>
          <w:kern w:val="0"/>
          <w:sz w:val="24"/>
          <w:szCs w:val="24"/>
          <w:shd w:val="clear" w:color="auto" w:fill="FFFFFF"/>
          <w:lang w:eastAsia="zh-CN"/>
        </w:rPr>
        <w:t xml:space="preserve"> Crne Gore</w:t>
      </w:r>
      <w:r w:rsidR="00DB0093" w:rsidRPr="00445D3F">
        <w:rPr>
          <w:rFonts w:asciiTheme="majorHAnsi" w:eastAsia="Calibri" w:hAnsiTheme="majorHAnsi" w:cstheme="majorHAnsi"/>
          <w:color w:val="auto"/>
          <w:kern w:val="0"/>
          <w:sz w:val="24"/>
          <w:szCs w:val="24"/>
          <w:shd w:val="clear" w:color="auto" w:fill="FFFFFF"/>
          <w:lang w:eastAsia="zh-CN"/>
        </w:rPr>
        <w:t>, Sekretarijatu za zakonodavstvo</w:t>
      </w:r>
      <w:r w:rsidR="00D04FB6" w:rsidRPr="00445D3F">
        <w:rPr>
          <w:rFonts w:asciiTheme="majorHAnsi" w:eastAsia="Calibri" w:hAnsiTheme="majorHAnsi" w:cstheme="majorHAnsi"/>
          <w:color w:val="auto"/>
          <w:kern w:val="0"/>
          <w:sz w:val="24"/>
          <w:szCs w:val="24"/>
          <w:shd w:val="clear" w:color="auto" w:fill="FFFFFF"/>
          <w:lang w:eastAsia="zh-CN"/>
        </w:rPr>
        <w:t>,</w:t>
      </w:r>
      <w:r w:rsidR="001F78D5" w:rsidRPr="00445D3F">
        <w:rPr>
          <w:rFonts w:asciiTheme="majorHAnsi" w:eastAsia="Calibri" w:hAnsiTheme="majorHAnsi" w:cstheme="majorHAnsi"/>
          <w:color w:val="auto"/>
          <w:kern w:val="0"/>
          <w:sz w:val="24"/>
          <w:szCs w:val="24"/>
          <w:shd w:val="clear" w:color="auto" w:fill="FFFFFF"/>
          <w:lang w:eastAsia="zh-CN"/>
        </w:rPr>
        <w:t xml:space="preserve"> Upravi za kadrove</w:t>
      </w:r>
      <w:r w:rsidR="009C077B" w:rsidRPr="00445D3F">
        <w:rPr>
          <w:rFonts w:asciiTheme="majorHAnsi" w:eastAsia="Calibri" w:hAnsiTheme="majorHAnsi" w:cstheme="majorHAnsi"/>
          <w:color w:val="auto"/>
          <w:kern w:val="0"/>
          <w:sz w:val="24"/>
          <w:szCs w:val="24"/>
          <w:shd w:val="clear" w:color="auto" w:fill="FFFFFF"/>
          <w:lang w:eastAsia="zh-CN"/>
        </w:rPr>
        <w:t xml:space="preserve"> i Upravi z</w:t>
      </w:r>
      <w:r w:rsidR="003563FD" w:rsidRPr="00445D3F">
        <w:rPr>
          <w:rFonts w:asciiTheme="majorHAnsi" w:eastAsia="Calibri" w:hAnsiTheme="majorHAnsi" w:cstheme="majorHAnsi"/>
          <w:color w:val="auto"/>
          <w:kern w:val="0"/>
          <w:sz w:val="24"/>
          <w:szCs w:val="24"/>
          <w:shd w:val="clear" w:color="auto" w:fill="FFFFFF"/>
          <w:lang w:eastAsia="zh-CN"/>
        </w:rPr>
        <w:t>a sport i mlade</w:t>
      </w:r>
      <w:r w:rsidR="00DB0093" w:rsidRPr="00445D3F">
        <w:rPr>
          <w:rFonts w:asciiTheme="majorHAnsi" w:eastAsia="Calibri" w:hAnsiTheme="majorHAnsi" w:cstheme="majorHAnsi"/>
          <w:color w:val="auto"/>
          <w:kern w:val="0"/>
          <w:sz w:val="24"/>
          <w:szCs w:val="24"/>
          <w:shd w:val="clear" w:color="auto" w:fill="FFFFFF"/>
          <w:lang w:eastAsia="zh-CN"/>
        </w:rPr>
        <w:t>.</w:t>
      </w:r>
      <w:r w:rsidR="00DB0093" w:rsidRPr="00445D3F">
        <w:rPr>
          <w:rFonts w:asciiTheme="majorHAnsi" w:eastAsia="Calibri" w:hAnsiTheme="majorHAnsi" w:cstheme="majorHAnsi"/>
          <w:color w:val="auto"/>
          <w:kern w:val="0"/>
          <w:sz w:val="24"/>
          <w:szCs w:val="24"/>
          <w:shd w:val="clear" w:color="auto" w:fill="FFFFFF"/>
          <w:vertAlign w:val="superscript"/>
          <w:lang w:eastAsia="zh-CN"/>
        </w:rPr>
        <w:footnoteReference w:id="22"/>
      </w:r>
    </w:p>
    <w:p w:rsidR="0031303E" w:rsidRDefault="00DB0093" w:rsidP="00153229">
      <w:pPr>
        <w:spacing w:before="60" w:after="60" w:line="240" w:lineRule="auto"/>
        <w:ind w:right="-471"/>
        <w:jc w:val="both"/>
        <w:rPr>
          <w:rFonts w:asciiTheme="majorHAnsi" w:eastAsia="Calibri" w:hAnsiTheme="majorHAnsi" w:cstheme="majorHAnsi"/>
          <w:color w:val="auto"/>
          <w:kern w:val="0"/>
          <w:sz w:val="24"/>
          <w:szCs w:val="24"/>
          <w:lang w:eastAsia="en-US"/>
        </w:rPr>
      </w:pPr>
      <w:r w:rsidRPr="00445D3F">
        <w:rPr>
          <w:rFonts w:asciiTheme="majorHAnsi" w:eastAsia="Calibri" w:hAnsiTheme="majorHAnsi" w:cstheme="majorHAnsi"/>
          <w:color w:val="auto"/>
          <w:kern w:val="0"/>
          <w:sz w:val="24"/>
          <w:szCs w:val="24"/>
          <w:lang w:eastAsia="en-US"/>
        </w:rPr>
        <w:t xml:space="preserve">Na nivou </w:t>
      </w:r>
      <w:r w:rsidRPr="00445D3F">
        <w:rPr>
          <w:rFonts w:asciiTheme="majorHAnsi" w:eastAsia="Calibri" w:hAnsiTheme="majorHAnsi" w:cstheme="majorHAnsi"/>
          <w:b/>
          <w:color w:val="auto"/>
          <w:kern w:val="0"/>
          <w:sz w:val="24"/>
          <w:szCs w:val="24"/>
          <w:lang w:eastAsia="en-US"/>
        </w:rPr>
        <w:t xml:space="preserve">jedinica lokalne samouprave </w:t>
      </w:r>
      <w:r w:rsidRPr="00445D3F">
        <w:rPr>
          <w:rFonts w:asciiTheme="majorHAnsi" w:eastAsia="Calibri" w:hAnsiTheme="majorHAnsi" w:cstheme="majorHAnsi"/>
          <w:color w:val="auto"/>
          <w:kern w:val="0"/>
          <w:sz w:val="24"/>
          <w:szCs w:val="24"/>
          <w:lang w:eastAsia="en-US"/>
        </w:rPr>
        <w:t>(</w:t>
      </w:r>
      <w:r w:rsidR="00D03918" w:rsidRPr="00445D3F">
        <w:rPr>
          <w:rFonts w:asciiTheme="majorHAnsi" w:eastAsia="Calibri" w:hAnsiTheme="majorHAnsi" w:cstheme="majorHAnsi"/>
          <w:color w:val="auto"/>
          <w:kern w:val="0"/>
          <w:sz w:val="24"/>
          <w:szCs w:val="24"/>
          <w:lang w:eastAsia="en-US"/>
        </w:rPr>
        <w:t>JLS</w:t>
      </w:r>
      <w:r w:rsidRPr="00445D3F">
        <w:rPr>
          <w:rFonts w:asciiTheme="majorHAnsi" w:eastAsia="Calibri" w:hAnsiTheme="majorHAnsi" w:cstheme="majorHAnsi"/>
          <w:color w:val="auto"/>
          <w:kern w:val="0"/>
          <w:sz w:val="24"/>
          <w:szCs w:val="24"/>
          <w:lang w:eastAsia="en-US"/>
        </w:rPr>
        <w:t>), u prethodnom periodu fokus je bio na implementaciji zakonskog i strateškog okvira koji bi obezbijedio finansijsku održivost crnogorskih opština. Svih 25 crnogorskih opština</w:t>
      </w:r>
      <w:r w:rsidR="00381601" w:rsidRPr="00445D3F">
        <w:rPr>
          <w:rStyle w:val="FootnoteReference"/>
          <w:rFonts w:asciiTheme="majorHAnsi" w:eastAsia="Calibri" w:hAnsiTheme="majorHAnsi" w:cstheme="majorHAnsi"/>
          <w:color w:val="auto"/>
          <w:kern w:val="0"/>
          <w:sz w:val="24"/>
          <w:szCs w:val="24"/>
          <w:lang w:eastAsia="en-US"/>
        </w:rPr>
        <w:footnoteReference w:id="23"/>
      </w:r>
      <w:r w:rsidR="00B01F32" w:rsidRPr="00445D3F">
        <w:rPr>
          <w:rFonts w:asciiTheme="majorHAnsi" w:eastAsia="Calibri" w:hAnsiTheme="majorHAnsi" w:cstheme="majorHAnsi"/>
          <w:color w:val="auto"/>
          <w:kern w:val="0"/>
          <w:sz w:val="24"/>
          <w:szCs w:val="24"/>
          <w:lang w:eastAsia="en-US"/>
        </w:rPr>
        <w:t xml:space="preserve"> </w:t>
      </w:r>
      <w:r w:rsidRPr="00445D3F">
        <w:rPr>
          <w:rFonts w:asciiTheme="majorHAnsi" w:eastAsia="Calibri" w:hAnsiTheme="majorHAnsi" w:cstheme="majorHAnsi"/>
          <w:color w:val="auto"/>
          <w:kern w:val="0"/>
          <w:sz w:val="24"/>
          <w:szCs w:val="24"/>
          <w:lang w:eastAsia="en-US"/>
        </w:rPr>
        <w:t xml:space="preserve">usvojile su i uskladile akte – statut, poslovnik o radu Skupštine opštine, odluku o načinu rada organa lokalne uprave – u skladu sa novim Zakonom o lokalnoj samoupravi. Usvojen je </w:t>
      </w:r>
      <w:r w:rsidRPr="00445D3F">
        <w:rPr>
          <w:rFonts w:asciiTheme="majorHAnsi" w:eastAsia="Calibri" w:hAnsiTheme="majorHAnsi" w:cstheme="majorHAnsi"/>
          <w:color w:val="auto"/>
          <w:kern w:val="0"/>
          <w:sz w:val="24"/>
          <w:szCs w:val="24"/>
          <w:lang w:eastAsia="en-US"/>
        </w:rPr>
        <w:lastRenderedPageBreak/>
        <w:t>Zakon o izmjenama i dopunama Zakona o komunalnim djelatnostima.</w:t>
      </w:r>
      <w:r w:rsidRPr="00445D3F">
        <w:rPr>
          <w:rFonts w:asciiTheme="majorHAnsi" w:eastAsia="Calibri" w:hAnsiTheme="majorHAnsi" w:cstheme="majorHAnsi"/>
          <w:color w:val="auto"/>
          <w:kern w:val="0"/>
          <w:sz w:val="24"/>
          <w:szCs w:val="24"/>
          <w:vertAlign w:val="superscript"/>
          <w:lang w:eastAsia="en-US"/>
        </w:rPr>
        <w:footnoteReference w:id="24"/>
      </w:r>
      <w:r w:rsidRPr="00445D3F">
        <w:rPr>
          <w:rFonts w:asciiTheme="majorHAnsi" w:eastAsia="Calibri" w:hAnsiTheme="majorHAnsi" w:cstheme="majorHAnsi"/>
          <w:color w:val="auto"/>
          <w:kern w:val="0"/>
          <w:sz w:val="24"/>
          <w:szCs w:val="24"/>
          <w:lang w:eastAsia="en-US"/>
        </w:rPr>
        <w:t xml:space="preserve"> Zakonom o finansiranju lokalne samouprave, uspostavljen je Fond za podršku opštinama za predfinansiranje donatorskih projekata koji funkcioniše po takozvanom revolving modelu i čija je svrha stvaranje mogućnosti da se opštinama u vidu pozajmice opredijele sredstva neophodna za predfinansiranje projekata koji se finansiraju iz donatorskih sredstava. Time je uspostavljen dodatni, podsticajni mehanizam za jedinice lokalne samouprave u cilju što boljeg korišćenja dostupnih donatorskih sredstava za realizaciju važnih projekata od interesa za sve građane.</w:t>
      </w:r>
    </w:p>
    <w:p w:rsidR="00B26604" w:rsidRPr="00445D3F" w:rsidRDefault="00B26604" w:rsidP="00B26604">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B44628">
        <w:rPr>
          <w:rFonts w:asciiTheme="majorHAnsi" w:eastAsia="Calibri" w:hAnsiTheme="majorHAnsi" w:cstheme="majorHAnsi"/>
          <w:color w:val="auto"/>
          <w:kern w:val="0"/>
          <w:sz w:val="24"/>
          <w:szCs w:val="24"/>
          <w:lang w:eastAsia="zh-CN"/>
        </w:rPr>
        <w:t xml:space="preserve">Ukupan broj </w:t>
      </w:r>
      <w:r w:rsidRPr="00B26604">
        <w:rPr>
          <w:rFonts w:asciiTheme="majorHAnsi" w:eastAsia="Calibri" w:hAnsiTheme="majorHAnsi" w:cstheme="majorHAnsi"/>
          <w:b/>
          <w:color w:val="auto"/>
          <w:kern w:val="0"/>
          <w:sz w:val="24"/>
          <w:szCs w:val="24"/>
          <w:lang w:eastAsia="zh-CN"/>
        </w:rPr>
        <w:t>lokalnih javnih službi u Crnoj Gori nikad nije stalan</w:t>
      </w:r>
      <w:r w:rsidRPr="00B44628">
        <w:rPr>
          <w:rFonts w:asciiTheme="majorHAnsi" w:eastAsia="Calibri" w:hAnsiTheme="majorHAnsi" w:cstheme="majorHAnsi"/>
          <w:color w:val="auto"/>
          <w:kern w:val="0"/>
          <w:sz w:val="24"/>
          <w:szCs w:val="24"/>
          <w:lang w:eastAsia="zh-CN"/>
        </w:rPr>
        <w:t>. Taj broj na kraju 2020. godine u Crnoj Gori obuhvata 63 javne ustanove (ustanove kulture, dječije i socijalne zaštite, muzejske i bibliotečke djelatnosti)</w:t>
      </w:r>
      <w:r w:rsidR="001F1CBA">
        <w:rPr>
          <w:rFonts w:asciiTheme="majorHAnsi" w:eastAsia="Calibri" w:hAnsiTheme="majorHAnsi" w:cstheme="majorHAnsi"/>
          <w:color w:val="auto"/>
          <w:kern w:val="0"/>
          <w:sz w:val="24"/>
          <w:szCs w:val="24"/>
          <w:lang w:eastAsia="zh-CN"/>
        </w:rPr>
        <w:t xml:space="preserve"> i</w:t>
      </w:r>
      <w:r w:rsidRPr="00B44628">
        <w:rPr>
          <w:rFonts w:asciiTheme="majorHAnsi" w:eastAsia="Calibri" w:hAnsiTheme="majorHAnsi" w:cstheme="majorHAnsi"/>
          <w:color w:val="auto"/>
          <w:kern w:val="0"/>
          <w:sz w:val="24"/>
          <w:szCs w:val="24"/>
          <w:lang w:eastAsia="zh-CN"/>
        </w:rPr>
        <w:t xml:space="preserve"> 23 lokalne turističke organizacije. Podaci o njihovom tačnom broju, poslovanju, broju zaposlenih, visini zarada nigdje nijesu sistematizovani i uglavnom nijesu transparentni, izuzev finansijskih iskaza koje su dužni da dostavljaju Poreskoj upravi. Takođe, u svim službama primjenju se različite računovodstvene politike i politike zarada, odnosno nedostaje unificiranost na nivou sistema. Lokalnim samoupravama treba stvoriti adekvatne mehanizme za vršenje upravnog nadzora nad radom javnih službi ciji je osnivač.</w:t>
      </w:r>
    </w:p>
    <w:p w:rsidR="00102556" w:rsidRPr="007B43C4" w:rsidRDefault="00DB0093" w:rsidP="007B43C4">
      <w:pPr>
        <w:spacing w:before="60" w:after="60" w:line="240" w:lineRule="auto"/>
        <w:ind w:right="-471"/>
        <w:jc w:val="both"/>
        <w:rPr>
          <w:rFonts w:asciiTheme="majorHAnsi" w:eastAsia="Calibri" w:hAnsiTheme="majorHAnsi" w:cstheme="majorHAnsi"/>
          <w:color w:val="auto"/>
          <w:kern w:val="0"/>
          <w:sz w:val="24"/>
          <w:szCs w:val="24"/>
          <w:lang w:eastAsia="en-US"/>
        </w:rPr>
      </w:pPr>
      <w:r w:rsidRPr="00445D3F">
        <w:rPr>
          <w:rFonts w:asciiTheme="majorHAnsi" w:eastAsia="Calibri" w:hAnsiTheme="majorHAnsi" w:cstheme="majorHAnsi"/>
          <w:color w:val="auto"/>
          <w:kern w:val="0"/>
          <w:sz w:val="24"/>
          <w:szCs w:val="24"/>
          <w:lang w:eastAsia="en-US"/>
        </w:rPr>
        <w:t xml:space="preserve">Opštine su proaktivno potpisale 20 sporazuma o </w:t>
      </w:r>
      <w:r w:rsidRPr="00445D3F">
        <w:rPr>
          <w:rFonts w:asciiTheme="majorHAnsi" w:eastAsia="Calibri" w:hAnsiTheme="majorHAnsi" w:cstheme="majorHAnsi"/>
          <w:b/>
          <w:color w:val="auto"/>
          <w:kern w:val="0"/>
          <w:sz w:val="24"/>
          <w:szCs w:val="24"/>
          <w:lang w:eastAsia="en-US"/>
        </w:rPr>
        <w:t>među</w:t>
      </w:r>
      <w:r w:rsidR="00BF4CEF" w:rsidRPr="00445D3F">
        <w:rPr>
          <w:rFonts w:asciiTheme="majorHAnsi" w:eastAsia="Calibri" w:hAnsiTheme="majorHAnsi" w:cstheme="majorHAnsi"/>
          <w:b/>
          <w:color w:val="auto"/>
          <w:kern w:val="0"/>
          <w:sz w:val="24"/>
          <w:szCs w:val="24"/>
          <w:lang w:eastAsia="en-US"/>
        </w:rPr>
        <w:t>opštinsko</w:t>
      </w:r>
      <w:r w:rsidRPr="00445D3F">
        <w:rPr>
          <w:rFonts w:asciiTheme="majorHAnsi" w:eastAsia="Calibri" w:hAnsiTheme="majorHAnsi" w:cstheme="majorHAnsi"/>
          <w:b/>
          <w:color w:val="auto"/>
          <w:kern w:val="0"/>
          <w:sz w:val="24"/>
          <w:szCs w:val="24"/>
          <w:lang w:eastAsia="en-US"/>
        </w:rPr>
        <w:t>j saradnji</w:t>
      </w:r>
      <w:r w:rsidRPr="00445D3F">
        <w:rPr>
          <w:rFonts w:asciiTheme="majorHAnsi" w:eastAsia="Calibri" w:hAnsiTheme="majorHAnsi" w:cstheme="majorHAnsi"/>
          <w:color w:val="auto"/>
          <w:kern w:val="0"/>
          <w:sz w:val="24"/>
          <w:szCs w:val="24"/>
          <w:lang w:eastAsia="en-US"/>
        </w:rPr>
        <w:t xml:space="preserve"> </w:t>
      </w:r>
      <w:r w:rsidR="001D4DC1" w:rsidRPr="00445D3F">
        <w:rPr>
          <w:rFonts w:asciiTheme="majorHAnsi" w:eastAsia="Calibri" w:hAnsiTheme="majorHAnsi" w:cstheme="majorHAnsi"/>
          <w:color w:val="auto"/>
          <w:kern w:val="0"/>
          <w:sz w:val="24"/>
          <w:szCs w:val="24"/>
          <w:lang w:eastAsia="en-US"/>
        </w:rPr>
        <w:t xml:space="preserve">u 2019. godini, </w:t>
      </w:r>
      <w:r w:rsidRPr="00445D3F">
        <w:rPr>
          <w:rFonts w:asciiTheme="majorHAnsi" w:eastAsia="Calibri" w:hAnsiTheme="majorHAnsi" w:cstheme="majorHAnsi"/>
          <w:color w:val="auto"/>
          <w:kern w:val="0"/>
          <w:sz w:val="24"/>
          <w:szCs w:val="24"/>
          <w:lang w:eastAsia="en-US"/>
        </w:rPr>
        <w:t>najčešće u oblasti komunalnih i administrativnih poslova.</w:t>
      </w:r>
      <w:r w:rsidRPr="00445D3F">
        <w:rPr>
          <w:rFonts w:asciiTheme="majorHAnsi" w:eastAsia="Calibri" w:hAnsiTheme="majorHAnsi" w:cstheme="majorHAnsi"/>
          <w:color w:val="auto"/>
          <w:kern w:val="0"/>
          <w:sz w:val="24"/>
          <w:szCs w:val="24"/>
          <w:vertAlign w:val="superscript"/>
          <w:lang w:eastAsia="en-US"/>
        </w:rPr>
        <w:footnoteReference w:id="25"/>
      </w:r>
      <w:r w:rsidRPr="00445D3F">
        <w:rPr>
          <w:rFonts w:asciiTheme="majorHAnsi" w:eastAsia="Calibri" w:hAnsiTheme="majorHAnsi" w:cstheme="majorHAnsi"/>
          <w:color w:val="auto"/>
          <w:kern w:val="0"/>
          <w:sz w:val="24"/>
          <w:szCs w:val="24"/>
          <w:lang w:eastAsia="en-US"/>
        </w:rPr>
        <w:t xml:space="preserve"> 30% </w:t>
      </w:r>
      <w:r w:rsidR="00D03918" w:rsidRPr="00445D3F">
        <w:rPr>
          <w:rFonts w:asciiTheme="majorHAnsi" w:eastAsia="Calibri" w:hAnsiTheme="majorHAnsi" w:cstheme="majorHAnsi"/>
          <w:color w:val="auto"/>
          <w:kern w:val="0"/>
          <w:sz w:val="24"/>
          <w:szCs w:val="24"/>
          <w:lang w:eastAsia="en-US"/>
        </w:rPr>
        <w:t>JLS</w:t>
      </w:r>
      <w:r w:rsidRPr="00445D3F">
        <w:rPr>
          <w:rFonts w:asciiTheme="majorHAnsi" w:eastAsia="Calibri" w:hAnsiTheme="majorHAnsi" w:cstheme="majorHAnsi"/>
          <w:color w:val="auto"/>
          <w:kern w:val="0"/>
          <w:sz w:val="24"/>
          <w:szCs w:val="24"/>
          <w:lang w:eastAsia="en-US"/>
        </w:rPr>
        <w:t xml:space="preserve"> sprovode neki od oblika međuopštinske saradnje.</w:t>
      </w:r>
      <w:r w:rsidRPr="00445D3F">
        <w:rPr>
          <w:rFonts w:asciiTheme="majorHAnsi" w:eastAsia="Calibri" w:hAnsiTheme="majorHAnsi" w:cstheme="majorHAnsi"/>
          <w:color w:val="auto"/>
          <w:kern w:val="0"/>
          <w:sz w:val="24"/>
          <w:szCs w:val="24"/>
          <w:vertAlign w:val="superscript"/>
          <w:lang w:eastAsia="en-US"/>
        </w:rPr>
        <w:footnoteReference w:id="26"/>
      </w:r>
      <w:r w:rsidRPr="00445D3F">
        <w:rPr>
          <w:rFonts w:asciiTheme="majorHAnsi" w:eastAsia="Calibri" w:hAnsiTheme="majorHAnsi" w:cstheme="majorHAnsi"/>
          <w:color w:val="auto"/>
          <w:kern w:val="0"/>
          <w:sz w:val="24"/>
          <w:szCs w:val="24"/>
          <w:lang w:eastAsia="en-US"/>
        </w:rPr>
        <w:t xml:space="preserve"> Razvijen je Predlog plana podsticajnih mjera, kao i modeli ugovora i sporazuma o </w:t>
      </w:r>
      <w:r w:rsidRPr="007B43C4">
        <w:rPr>
          <w:rFonts w:asciiTheme="majorHAnsi" w:eastAsia="Calibri" w:hAnsiTheme="majorHAnsi" w:cstheme="majorHAnsi"/>
          <w:color w:val="auto"/>
          <w:kern w:val="0"/>
          <w:sz w:val="24"/>
          <w:szCs w:val="24"/>
          <w:lang w:eastAsia="en-US"/>
        </w:rPr>
        <w:t>međuopštinskoj saradnji za poslove.</w:t>
      </w:r>
      <w:r w:rsidR="000949FE" w:rsidRPr="007B43C4">
        <w:rPr>
          <w:rFonts w:asciiTheme="majorHAnsi" w:eastAsia="Calibri" w:hAnsiTheme="majorHAnsi" w:cstheme="majorHAnsi"/>
          <w:color w:val="auto"/>
          <w:kern w:val="0"/>
          <w:sz w:val="24"/>
          <w:szCs w:val="24"/>
          <w:lang w:eastAsia="en-US"/>
        </w:rPr>
        <w:t xml:space="preserve"> </w:t>
      </w:r>
    </w:p>
    <w:p w:rsidR="00DB0093" w:rsidRPr="007B43C4" w:rsidRDefault="00DB0093" w:rsidP="00B43D4E">
      <w:pPr>
        <w:pStyle w:val="ListParagraph"/>
        <w:keepNext/>
        <w:keepLines/>
        <w:numPr>
          <w:ilvl w:val="0"/>
          <w:numId w:val="21"/>
        </w:numPr>
        <w:spacing w:before="120" w:after="120" w:line="240" w:lineRule="auto"/>
        <w:ind w:right="-475"/>
        <w:contextualSpacing w:val="0"/>
        <w:outlineLvl w:val="2"/>
        <w:rPr>
          <w:rFonts w:asciiTheme="majorHAnsi" w:eastAsia="Calibri" w:hAnsiTheme="majorHAnsi" w:cstheme="majorHAnsi"/>
          <w:b/>
          <w:color w:val="auto"/>
          <w:kern w:val="0"/>
          <w:sz w:val="24"/>
          <w:szCs w:val="24"/>
        </w:rPr>
      </w:pPr>
      <w:bookmarkStart w:id="8" w:name="_Toc87050704"/>
      <w:bookmarkStart w:id="9" w:name="_Toc87050705"/>
      <w:bookmarkStart w:id="10" w:name="_Toc87050706"/>
      <w:bookmarkStart w:id="11" w:name="_Toc87050707"/>
      <w:bookmarkStart w:id="12" w:name="_Toc87353392"/>
      <w:bookmarkEnd w:id="8"/>
      <w:bookmarkEnd w:id="9"/>
      <w:bookmarkEnd w:id="10"/>
      <w:bookmarkEnd w:id="11"/>
      <w:r w:rsidRPr="007B43C4">
        <w:rPr>
          <w:rFonts w:asciiTheme="majorHAnsi" w:eastAsia="Calibri" w:hAnsiTheme="majorHAnsi" w:cstheme="majorHAnsi"/>
          <w:b/>
          <w:color w:val="auto"/>
          <w:kern w:val="0"/>
          <w:sz w:val="24"/>
          <w:szCs w:val="24"/>
        </w:rPr>
        <w:t>IDENTIFIKOVANI PROBLEMI</w:t>
      </w:r>
      <w:bookmarkEnd w:id="12"/>
    </w:p>
    <w:p w:rsidR="001B5236" w:rsidRPr="007B43C4" w:rsidRDefault="00DB0093" w:rsidP="00B43D4E">
      <w:pPr>
        <w:pStyle w:val="ListParagraph"/>
        <w:numPr>
          <w:ilvl w:val="0"/>
          <w:numId w:val="22"/>
        </w:numPr>
        <w:tabs>
          <w:tab w:val="left" w:pos="850"/>
          <w:tab w:val="left" w:pos="1531"/>
        </w:tabs>
        <w:spacing w:before="60" w:after="60" w:line="240" w:lineRule="auto"/>
        <w:ind w:left="90" w:right="-471" w:firstLine="0"/>
        <w:contextualSpacing w:val="0"/>
        <w:jc w:val="both"/>
        <w:rPr>
          <w:rFonts w:asciiTheme="majorHAnsi" w:eastAsia="Calibri" w:hAnsiTheme="majorHAnsi" w:cstheme="majorHAnsi"/>
          <w:b/>
          <w:i/>
          <w:color w:val="auto"/>
          <w:kern w:val="0"/>
          <w:sz w:val="24"/>
          <w:szCs w:val="24"/>
        </w:rPr>
      </w:pPr>
      <w:r w:rsidRPr="007B43C4">
        <w:rPr>
          <w:rFonts w:asciiTheme="majorHAnsi" w:eastAsia="Calibri" w:hAnsiTheme="majorHAnsi" w:cstheme="majorHAnsi"/>
          <w:b/>
          <w:i/>
          <w:color w:val="auto"/>
          <w:kern w:val="0"/>
          <w:sz w:val="24"/>
          <w:szCs w:val="24"/>
          <w:lang w:eastAsia="en-US"/>
        </w:rPr>
        <w:t xml:space="preserve">Nedovoljni mehanizmi praćenja rada, odgovornosti i kontrole </w:t>
      </w:r>
      <w:r w:rsidR="001B5236" w:rsidRPr="007B43C4">
        <w:rPr>
          <w:rFonts w:asciiTheme="majorHAnsi" w:eastAsia="Calibri" w:hAnsiTheme="majorHAnsi" w:cstheme="majorHAnsi"/>
          <w:b/>
          <w:i/>
          <w:color w:val="auto"/>
          <w:kern w:val="0"/>
          <w:sz w:val="24"/>
          <w:szCs w:val="24"/>
          <w:lang w:eastAsia="en-US"/>
        </w:rPr>
        <w:t xml:space="preserve">(nadzor) </w:t>
      </w:r>
      <w:r w:rsidRPr="007B43C4">
        <w:rPr>
          <w:rFonts w:asciiTheme="majorHAnsi" w:eastAsia="Calibri" w:hAnsiTheme="majorHAnsi" w:cstheme="majorHAnsi"/>
          <w:b/>
          <w:i/>
          <w:color w:val="auto"/>
          <w:kern w:val="0"/>
          <w:sz w:val="24"/>
          <w:szCs w:val="24"/>
          <w:lang w:eastAsia="en-US"/>
        </w:rPr>
        <w:t xml:space="preserve">zakonitosti rada javne uprave  </w:t>
      </w:r>
    </w:p>
    <w:p w:rsidR="00662875" w:rsidRPr="007B43C4" w:rsidRDefault="0081073F" w:rsidP="007B43C4">
      <w:pPr>
        <w:spacing w:before="60" w:after="60" w:line="240" w:lineRule="auto"/>
        <w:ind w:right="-471"/>
        <w:jc w:val="both"/>
        <w:rPr>
          <w:rFonts w:asciiTheme="majorHAnsi" w:eastAsia="Calibri" w:hAnsiTheme="majorHAnsi" w:cstheme="majorHAnsi"/>
          <w:b/>
          <w:color w:val="auto"/>
          <w:kern w:val="0"/>
          <w:sz w:val="24"/>
          <w:szCs w:val="24"/>
          <w:u w:val="single"/>
          <w:lang w:eastAsia="en-US"/>
        </w:rPr>
      </w:pPr>
      <w:r w:rsidRPr="007B43C4">
        <w:rPr>
          <w:rFonts w:asciiTheme="majorHAnsi" w:eastAsia="Calibri" w:hAnsiTheme="majorHAnsi" w:cstheme="majorHAnsi"/>
          <w:color w:val="auto"/>
          <w:kern w:val="0"/>
          <w:sz w:val="24"/>
          <w:szCs w:val="24"/>
          <w:lang w:eastAsia="en-US"/>
        </w:rPr>
        <w:t>U</w:t>
      </w:r>
      <w:r w:rsidR="0007699A" w:rsidRPr="007B43C4">
        <w:rPr>
          <w:rFonts w:asciiTheme="majorHAnsi" w:eastAsia="Calibri" w:hAnsiTheme="majorHAnsi" w:cstheme="majorHAnsi"/>
          <w:color w:val="auto"/>
          <w:kern w:val="0"/>
          <w:sz w:val="24"/>
          <w:szCs w:val="24"/>
          <w:lang w:eastAsia="en-US"/>
        </w:rPr>
        <w:t>svajanjem propisa u pravni sistem</w:t>
      </w:r>
      <w:r w:rsidRPr="007B43C4">
        <w:rPr>
          <w:rFonts w:asciiTheme="majorHAnsi" w:eastAsia="Calibri" w:hAnsiTheme="majorHAnsi" w:cstheme="majorHAnsi"/>
          <w:color w:val="auto"/>
          <w:kern w:val="0"/>
          <w:sz w:val="24"/>
          <w:szCs w:val="24"/>
          <w:lang w:eastAsia="en-US"/>
        </w:rPr>
        <w:t xml:space="preserve"> u oblasti reforme javne uprave</w:t>
      </w:r>
      <w:r w:rsidR="0007699A" w:rsidRPr="007B43C4">
        <w:rPr>
          <w:rFonts w:asciiTheme="majorHAnsi" w:eastAsia="Calibri" w:hAnsiTheme="majorHAnsi" w:cstheme="majorHAnsi"/>
          <w:color w:val="auto"/>
          <w:kern w:val="0"/>
          <w:sz w:val="24"/>
          <w:szCs w:val="24"/>
          <w:lang w:eastAsia="en-US"/>
        </w:rPr>
        <w:t xml:space="preserve"> su inkorporirani principi i standardi dobre javne uprave tzv. Evropskog upravnog prostora. Međutim, ocjena Evropske unije da izostaje </w:t>
      </w:r>
      <w:r w:rsidRPr="007B43C4">
        <w:rPr>
          <w:rFonts w:asciiTheme="majorHAnsi" w:eastAsia="Calibri" w:hAnsiTheme="majorHAnsi" w:cstheme="majorHAnsi"/>
          <w:color w:val="auto"/>
          <w:kern w:val="0"/>
          <w:sz w:val="24"/>
          <w:szCs w:val="24"/>
          <w:lang w:eastAsia="en-US"/>
        </w:rPr>
        <w:t xml:space="preserve">efikasna </w:t>
      </w:r>
      <w:r w:rsidR="0007699A" w:rsidRPr="007B43C4">
        <w:rPr>
          <w:rFonts w:asciiTheme="majorHAnsi" w:eastAsia="Calibri" w:hAnsiTheme="majorHAnsi" w:cstheme="majorHAnsi"/>
          <w:color w:val="auto"/>
          <w:kern w:val="0"/>
          <w:sz w:val="24"/>
          <w:szCs w:val="24"/>
          <w:lang w:eastAsia="en-US"/>
        </w:rPr>
        <w:t xml:space="preserve">implementacija ukazuje </w:t>
      </w:r>
      <w:r w:rsidR="001D2268" w:rsidRPr="007B43C4">
        <w:rPr>
          <w:rFonts w:asciiTheme="majorHAnsi" w:eastAsia="Calibri" w:hAnsiTheme="majorHAnsi" w:cstheme="majorHAnsi"/>
          <w:color w:val="auto"/>
          <w:kern w:val="0"/>
          <w:sz w:val="24"/>
          <w:szCs w:val="24"/>
          <w:lang w:eastAsia="en-US"/>
        </w:rPr>
        <w:t xml:space="preserve">da ne postoje </w:t>
      </w:r>
      <w:r w:rsidR="0007699A" w:rsidRPr="007B43C4">
        <w:rPr>
          <w:rFonts w:asciiTheme="majorHAnsi" w:eastAsia="Calibri" w:hAnsiTheme="majorHAnsi" w:cstheme="majorHAnsi"/>
          <w:color w:val="auto"/>
          <w:kern w:val="0"/>
          <w:sz w:val="24"/>
          <w:szCs w:val="24"/>
          <w:lang w:eastAsia="en-US"/>
        </w:rPr>
        <w:t>dovoljno razvijen</w:t>
      </w:r>
      <w:r w:rsidR="001D2268" w:rsidRPr="007B43C4">
        <w:rPr>
          <w:rFonts w:asciiTheme="majorHAnsi" w:eastAsia="Calibri" w:hAnsiTheme="majorHAnsi" w:cstheme="majorHAnsi"/>
          <w:color w:val="auto"/>
          <w:kern w:val="0"/>
          <w:sz w:val="24"/>
          <w:szCs w:val="24"/>
          <w:lang w:eastAsia="en-US"/>
        </w:rPr>
        <w:t>i</w:t>
      </w:r>
      <w:r w:rsidR="0007699A" w:rsidRPr="007B43C4">
        <w:rPr>
          <w:rFonts w:asciiTheme="majorHAnsi" w:eastAsia="Calibri" w:hAnsiTheme="majorHAnsi" w:cstheme="majorHAnsi"/>
          <w:color w:val="auto"/>
          <w:kern w:val="0"/>
          <w:sz w:val="24"/>
          <w:szCs w:val="24"/>
          <w:lang w:eastAsia="en-US"/>
        </w:rPr>
        <w:t xml:space="preserve"> sistemsk</w:t>
      </w:r>
      <w:r w:rsidR="001D2268" w:rsidRPr="007B43C4">
        <w:rPr>
          <w:rFonts w:asciiTheme="majorHAnsi" w:eastAsia="Calibri" w:hAnsiTheme="majorHAnsi" w:cstheme="majorHAnsi"/>
          <w:color w:val="auto"/>
          <w:kern w:val="0"/>
          <w:sz w:val="24"/>
          <w:szCs w:val="24"/>
          <w:lang w:eastAsia="en-US"/>
        </w:rPr>
        <w:t>i</w:t>
      </w:r>
      <w:r w:rsidR="0007699A" w:rsidRPr="007B43C4">
        <w:rPr>
          <w:rFonts w:asciiTheme="majorHAnsi" w:eastAsia="Calibri" w:hAnsiTheme="majorHAnsi" w:cstheme="majorHAnsi"/>
          <w:color w:val="auto"/>
          <w:kern w:val="0"/>
          <w:sz w:val="24"/>
          <w:szCs w:val="24"/>
          <w:lang w:eastAsia="en-US"/>
        </w:rPr>
        <w:t xml:space="preserve"> mehanizm</w:t>
      </w:r>
      <w:r w:rsidR="001D2268" w:rsidRPr="007B43C4">
        <w:rPr>
          <w:rFonts w:asciiTheme="majorHAnsi" w:eastAsia="Calibri" w:hAnsiTheme="majorHAnsi" w:cstheme="majorHAnsi"/>
          <w:color w:val="auto"/>
          <w:kern w:val="0"/>
          <w:sz w:val="24"/>
          <w:szCs w:val="24"/>
          <w:lang w:eastAsia="en-US"/>
        </w:rPr>
        <w:t>i</w:t>
      </w:r>
      <w:r w:rsidR="0007699A" w:rsidRPr="007B43C4">
        <w:rPr>
          <w:rFonts w:asciiTheme="majorHAnsi" w:eastAsia="Calibri" w:hAnsiTheme="majorHAnsi" w:cstheme="majorHAnsi"/>
          <w:color w:val="auto"/>
          <w:kern w:val="0"/>
          <w:sz w:val="24"/>
          <w:szCs w:val="24"/>
          <w:lang w:eastAsia="en-US"/>
        </w:rPr>
        <w:t xml:space="preserve"> za praćenje primjene propisa</w:t>
      </w:r>
      <w:r w:rsidR="001D2268" w:rsidRPr="007B43C4">
        <w:rPr>
          <w:rFonts w:asciiTheme="majorHAnsi" w:eastAsia="Calibri" w:hAnsiTheme="majorHAnsi" w:cstheme="majorHAnsi"/>
          <w:color w:val="auto"/>
          <w:kern w:val="0"/>
          <w:sz w:val="24"/>
          <w:szCs w:val="24"/>
          <w:lang w:eastAsia="en-US"/>
        </w:rPr>
        <w:t xml:space="preserve">, rada javne uprave </w:t>
      </w:r>
      <w:r w:rsidR="0007699A" w:rsidRPr="007B43C4">
        <w:rPr>
          <w:rFonts w:asciiTheme="majorHAnsi" w:eastAsia="Calibri" w:hAnsiTheme="majorHAnsi" w:cstheme="majorHAnsi"/>
          <w:color w:val="auto"/>
          <w:kern w:val="0"/>
          <w:sz w:val="24"/>
          <w:szCs w:val="24"/>
          <w:lang w:eastAsia="en-US"/>
        </w:rPr>
        <w:t xml:space="preserve"> i principa dobre uprave. Od strane MJUDDM u ovom dijelu prepoznati su sljedeći izazovi</w:t>
      </w:r>
      <w:r w:rsidR="00CE1D04" w:rsidRPr="007B43C4">
        <w:rPr>
          <w:rFonts w:asciiTheme="majorHAnsi" w:eastAsia="Calibri" w:hAnsiTheme="majorHAnsi" w:cstheme="majorHAnsi"/>
          <w:color w:val="auto"/>
          <w:kern w:val="0"/>
          <w:sz w:val="24"/>
          <w:szCs w:val="24"/>
          <w:lang w:eastAsia="en-US"/>
        </w:rPr>
        <w:t xml:space="preserve"> u </w:t>
      </w:r>
      <w:r w:rsidR="00985023" w:rsidRPr="007B43C4">
        <w:rPr>
          <w:rFonts w:asciiTheme="majorHAnsi" w:hAnsiTheme="majorHAnsi" w:cstheme="majorHAnsi"/>
          <w:b/>
          <w:color w:val="auto"/>
          <w:sz w:val="24"/>
          <w:szCs w:val="24"/>
          <w:u w:val="single"/>
          <w:lang w:eastAsia="en-US"/>
        </w:rPr>
        <w:t>unutrašnjem nadzoru i kontroli</w:t>
      </w:r>
      <w:r w:rsidR="000949FE" w:rsidRPr="007B43C4">
        <w:rPr>
          <w:rFonts w:asciiTheme="majorHAnsi" w:eastAsia="Calibri" w:hAnsiTheme="majorHAnsi" w:cstheme="majorHAnsi"/>
          <w:b/>
          <w:color w:val="auto"/>
          <w:kern w:val="0"/>
          <w:sz w:val="24"/>
          <w:szCs w:val="24"/>
          <w:u w:val="single"/>
          <w:lang w:eastAsia="en-US"/>
        </w:rPr>
        <w:t>:</w:t>
      </w:r>
    </w:p>
    <w:p w:rsidR="0007699A" w:rsidRPr="007B43C4" w:rsidRDefault="0007699A" w:rsidP="00B43D4E">
      <w:pPr>
        <w:pStyle w:val="ListParagraph"/>
        <w:numPr>
          <w:ilvl w:val="0"/>
          <w:numId w:val="42"/>
        </w:numPr>
        <w:spacing w:before="60" w:after="60" w:line="240" w:lineRule="auto"/>
        <w:ind w:right="-385"/>
        <w:contextualSpacing w:val="0"/>
        <w:jc w:val="both"/>
        <w:rPr>
          <w:rFonts w:asciiTheme="majorHAnsi" w:eastAsia="Calibri" w:hAnsiTheme="majorHAnsi" w:cstheme="majorHAnsi"/>
          <w:b/>
          <w:color w:val="auto"/>
          <w:kern w:val="0"/>
          <w:sz w:val="24"/>
          <w:szCs w:val="24"/>
          <w:lang w:eastAsia="en-US"/>
        </w:rPr>
      </w:pPr>
      <w:r w:rsidRPr="007B43C4">
        <w:rPr>
          <w:rFonts w:asciiTheme="majorHAnsi" w:eastAsia="Calibri" w:hAnsiTheme="majorHAnsi" w:cstheme="majorHAnsi"/>
          <w:color w:val="auto"/>
          <w:kern w:val="0"/>
          <w:sz w:val="24"/>
          <w:szCs w:val="24"/>
          <w:lang w:eastAsia="en-US"/>
        </w:rPr>
        <w:lastRenderedPageBreak/>
        <w:t xml:space="preserve">Nije zaživio u praksi nadzor nad zakonitošću i cjelishodnočću rada organa uprave što znači da </w:t>
      </w:r>
      <w:r w:rsidRPr="007B43C4">
        <w:rPr>
          <w:rFonts w:asciiTheme="majorHAnsi" w:eastAsia="Calibri" w:hAnsiTheme="majorHAnsi" w:cstheme="majorHAnsi"/>
          <w:b/>
          <w:color w:val="auto"/>
          <w:kern w:val="0"/>
          <w:sz w:val="24"/>
          <w:szCs w:val="24"/>
          <w:lang w:eastAsia="en-US"/>
        </w:rPr>
        <w:t>ne postoje</w:t>
      </w:r>
      <w:r w:rsidRPr="007B43C4">
        <w:rPr>
          <w:rFonts w:asciiTheme="majorHAnsi" w:eastAsia="Calibri" w:hAnsiTheme="majorHAnsi" w:cstheme="majorHAnsi"/>
          <w:color w:val="auto"/>
          <w:kern w:val="0"/>
          <w:sz w:val="24"/>
          <w:szCs w:val="24"/>
          <w:lang w:eastAsia="en-US"/>
        </w:rPr>
        <w:t xml:space="preserve"> </w:t>
      </w:r>
      <w:r w:rsidRPr="007B43C4">
        <w:rPr>
          <w:rFonts w:asciiTheme="majorHAnsi" w:eastAsia="Calibri" w:hAnsiTheme="majorHAnsi" w:cstheme="majorHAnsi"/>
          <w:b/>
          <w:color w:val="auto"/>
          <w:kern w:val="0"/>
          <w:sz w:val="24"/>
          <w:szCs w:val="24"/>
          <w:lang w:eastAsia="en-US"/>
        </w:rPr>
        <w:t>dovoljni mehanizmi praćenja rada</w:t>
      </w:r>
      <w:r w:rsidRPr="007B43C4">
        <w:rPr>
          <w:rFonts w:asciiTheme="majorHAnsi" w:eastAsia="Calibri" w:hAnsiTheme="majorHAnsi" w:cstheme="majorHAnsi"/>
          <w:color w:val="auto"/>
          <w:kern w:val="0"/>
          <w:sz w:val="24"/>
          <w:szCs w:val="24"/>
          <w:lang w:eastAsia="en-US"/>
        </w:rPr>
        <w:t xml:space="preserve"> </w:t>
      </w:r>
      <w:r w:rsidRPr="007B43C4">
        <w:rPr>
          <w:rFonts w:asciiTheme="majorHAnsi" w:eastAsia="Calibri" w:hAnsiTheme="majorHAnsi" w:cstheme="majorHAnsi"/>
          <w:b/>
          <w:color w:val="auto"/>
          <w:kern w:val="0"/>
          <w:sz w:val="24"/>
          <w:szCs w:val="24"/>
          <w:lang w:eastAsia="en-US"/>
        </w:rPr>
        <w:t>vertikalno hijerahijski nižih tijela</w:t>
      </w:r>
      <w:r w:rsidRPr="007B43C4">
        <w:rPr>
          <w:rFonts w:asciiTheme="majorHAnsi" w:eastAsia="Calibri" w:hAnsiTheme="majorHAnsi" w:cstheme="majorHAnsi"/>
          <w:color w:val="auto"/>
          <w:kern w:val="0"/>
          <w:sz w:val="24"/>
          <w:szCs w:val="24"/>
          <w:lang w:eastAsia="en-US"/>
        </w:rPr>
        <w:t xml:space="preserve">. Prema SIGMA procjeni od 2021. godine, samo 62,5% uzorka hijerahijski nižih upravnih vlasti podnosi svoj godišnji izvještaj odgovarajućem ministarstvu na odobrenje. Polovina uzorka hijerahijski nižih institucija podnosi svoj predlog budžeta direktno Ministarstvu finansija, bez odobrenja odgovarajućeg ministarstva ili </w:t>
      </w:r>
      <w:r w:rsidR="0081073F" w:rsidRPr="007B43C4">
        <w:rPr>
          <w:rFonts w:asciiTheme="majorHAnsi" w:eastAsia="Calibri" w:hAnsiTheme="majorHAnsi" w:cstheme="majorHAnsi"/>
          <w:color w:val="auto"/>
          <w:kern w:val="0"/>
          <w:sz w:val="24"/>
          <w:szCs w:val="24"/>
          <w:lang w:eastAsia="en-US"/>
        </w:rPr>
        <w:t>institucije</w:t>
      </w:r>
      <w:r w:rsidRPr="007B43C4">
        <w:rPr>
          <w:rFonts w:asciiTheme="majorHAnsi" w:eastAsia="Calibri" w:hAnsiTheme="majorHAnsi" w:cstheme="majorHAnsi"/>
          <w:color w:val="auto"/>
          <w:kern w:val="0"/>
          <w:sz w:val="24"/>
          <w:szCs w:val="24"/>
          <w:lang w:eastAsia="en-US"/>
        </w:rPr>
        <w:t xml:space="preserve">koja je za njih nadležna. </w:t>
      </w:r>
      <w:r w:rsidRPr="007B43C4">
        <w:rPr>
          <w:rFonts w:asciiTheme="majorHAnsi" w:eastAsia="Calibri" w:hAnsiTheme="majorHAnsi" w:cstheme="majorHAnsi"/>
          <w:b/>
          <w:color w:val="auto"/>
          <w:kern w:val="0"/>
          <w:sz w:val="24"/>
          <w:szCs w:val="24"/>
          <w:lang w:eastAsia="en-US"/>
        </w:rPr>
        <w:t>Godišnji planovi hijerahijski nižih institucija ne uključuju ciljeve povezane sa pokazateljima na nivou ishoda i ciljeve koji bi omogućili praćenje postizanja rezultata</w:t>
      </w:r>
      <w:r w:rsidRPr="007B43C4">
        <w:rPr>
          <w:rFonts w:asciiTheme="majorHAnsi" w:eastAsia="Calibri" w:hAnsiTheme="majorHAnsi" w:cstheme="majorHAnsi"/>
          <w:color w:val="auto"/>
          <w:kern w:val="0"/>
          <w:sz w:val="24"/>
          <w:szCs w:val="24"/>
          <w:lang w:eastAsia="en-US"/>
        </w:rPr>
        <w:t xml:space="preserve">. Ne postoje redovne rasprave između ministarstva i hijerahijski niže institucije u vezi s postizanjem dogovorenih rezultata. To ukazuje da </w:t>
      </w:r>
      <w:r w:rsidRPr="007B43C4">
        <w:rPr>
          <w:rFonts w:asciiTheme="majorHAnsi" w:eastAsia="Calibri" w:hAnsiTheme="majorHAnsi" w:cstheme="majorHAnsi"/>
          <w:b/>
          <w:color w:val="auto"/>
          <w:kern w:val="0"/>
          <w:sz w:val="24"/>
          <w:szCs w:val="24"/>
          <w:lang w:eastAsia="en-US"/>
        </w:rPr>
        <w:t>izostaje praćenje efektivnosti rada kroz stepen ostvarenosti Programa rada i ostvarenja budžeta</w:t>
      </w:r>
      <w:r w:rsidR="00911560" w:rsidRPr="007B43C4">
        <w:rPr>
          <w:rFonts w:asciiTheme="majorHAnsi" w:eastAsia="Calibri" w:hAnsiTheme="majorHAnsi" w:cstheme="majorHAnsi"/>
          <w:b/>
          <w:color w:val="auto"/>
          <w:kern w:val="0"/>
          <w:sz w:val="24"/>
          <w:szCs w:val="24"/>
          <w:lang w:eastAsia="en-US"/>
        </w:rPr>
        <w:t>.</w:t>
      </w:r>
      <w:r w:rsidRPr="007B43C4">
        <w:rPr>
          <w:rFonts w:asciiTheme="majorHAnsi" w:eastAsia="Calibri" w:hAnsiTheme="majorHAnsi" w:cstheme="majorHAnsi"/>
          <w:b/>
          <w:strike/>
          <w:color w:val="auto"/>
          <w:kern w:val="0"/>
          <w:sz w:val="24"/>
          <w:szCs w:val="24"/>
          <w:lang w:eastAsia="en-US"/>
        </w:rPr>
        <w:t xml:space="preserve"> </w:t>
      </w:r>
    </w:p>
    <w:p w:rsidR="00D44880" w:rsidRPr="007B43C4" w:rsidRDefault="00911560" w:rsidP="00B43D4E">
      <w:pPr>
        <w:pStyle w:val="ListParagraph"/>
        <w:numPr>
          <w:ilvl w:val="0"/>
          <w:numId w:val="42"/>
        </w:numPr>
        <w:spacing w:before="60" w:after="60" w:line="240" w:lineRule="auto"/>
        <w:ind w:right="-471"/>
        <w:contextualSpacing w:val="0"/>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b/>
          <w:color w:val="auto"/>
          <w:kern w:val="0"/>
          <w:sz w:val="24"/>
          <w:szCs w:val="24"/>
          <w:lang w:eastAsia="en-US"/>
        </w:rPr>
        <w:t>N</w:t>
      </w:r>
      <w:r w:rsidR="00D44880" w:rsidRPr="007B43C4">
        <w:rPr>
          <w:rFonts w:asciiTheme="majorHAnsi" w:eastAsia="Calibri" w:hAnsiTheme="majorHAnsi" w:cstheme="majorHAnsi"/>
          <w:b/>
          <w:color w:val="auto"/>
          <w:kern w:val="0"/>
          <w:sz w:val="24"/>
          <w:szCs w:val="24"/>
          <w:lang w:eastAsia="en-US"/>
        </w:rPr>
        <w:t>e postoji sistemsko praćenje primjene propisa od strane ministarstava</w:t>
      </w:r>
      <w:r w:rsidR="00D44880" w:rsidRPr="007B43C4">
        <w:rPr>
          <w:rFonts w:asciiTheme="majorHAnsi" w:eastAsia="Calibri" w:hAnsiTheme="majorHAnsi" w:cstheme="majorHAnsi"/>
          <w:color w:val="auto"/>
          <w:kern w:val="0"/>
          <w:sz w:val="24"/>
          <w:szCs w:val="24"/>
          <w:lang w:eastAsia="en-US"/>
        </w:rPr>
        <w:t xml:space="preserve">, iako je to zakonska obaveza (u svim zakonima propisuje se obaveza da nadzor nad primjenom zakona vrši ministarstvo). Usljed toga, dolazi do </w:t>
      </w:r>
      <w:r w:rsidR="00D44880" w:rsidRPr="007B43C4">
        <w:rPr>
          <w:rFonts w:asciiTheme="majorHAnsi" w:eastAsia="Calibri" w:hAnsiTheme="majorHAnsi" w:cstheme="majorHAnsi"/>
          <w:b/>
          <w:color w:val="auto"/>
          <w:kern w:val="0"/>
          <w:sz w:val="24"/>
          <w:szCs w:val="24"/>
          <w:lang w:eastAsia="en-US"/>
        </w:rPr>
        <w:t xml:space="preserve">čestih </w:t>
      </w:r>
      <w:r w:rsidR="00D44880" w:rsidRPr="007B43C4">
        <w:rPr>
          <w:rFonts w:asciiTheme="majorHAnsi" w:eastAsia="Calibri" w:hAnsiTheme="majorHAnsi" w:cstheme="majorHAnsi"/>
          <w:b/>
          <w:i/>
          <w:color w:val="auto"/>
          <w:kern w:val="0"/>
          <w:sz w:val="24"/>
          <w:szCs w:val="24"/>
          <w:lang w:eastAsia="en-US"/>
        </w:rPr>
        <w:t>ad hoc</w:t>
      </w:r>
      <w:r w:rsidR="00D44880" w:rsidRPr="007B43C4">
        <w:rPr>
          <w:rFonts w:asciiTheme="majorHAnsi" w:eastAsia="Calibri" w:hAnsiTheme="majorHAnsi" w:cstheme="majorHAnsi"/>
          <w:b/>
          <w:color w:val="auto"/>
          <w:kern w:val="0"/>
          <w:sz w:val="24"/>
          <w:szCs w:val="24"/>
          <w:lang w:eastAsia="en-US"/>
        </w:rPr>
        <w:t xml:space="preserve"> promjena zakona</w:t>
      </w:r>
      <w:r w:rsidR="00D44880" w:rsidRPr="007B43C4">
        <w:rPr>
          <w:rFonts w:asciiTheme="majorHAnsi" w:eastAsia="Calibri" w:hAnsiTheme="majorHAnsi" w:cstheme="majorHAnsi"/>
          <w:color w:val="auto"/>
          <w:kern w:val="0"/>
          <w:sz w:val="24"/>
          <w:szCs w:val="24"/>
          <w:lang w:eastAsia="en-US"/>
        </w:rPr>
        <w:t xml:space="preserve"> koje nijesu zasnovane na kontinuiranom praćenju i analizi primjene istih. </w:t>
      </w:r>
    </w:p>
    <w:p w:rsidR="00D44880" w:rsidRPr="007B43C4" w:rsidRDefault="00662875" w:rsidP="007B43C4">
      <w:pPr>
        <w:pStyle w:val="ListParagraph"/>
        <w:spacing w:before="60" w:after="60" w:line="240" w:lineRule="auto"/>
        <w:ind w:right="-471"/>
        <w:contextualSpacing w:val="0"/>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noProof/>
          <w:color w:val="auto"/>
          <w:kern w:val="0"/>
          <w:sz w:val="24"/>
          <w:szCs w:val="24"/>
          <w:lang w:eastAsia="sr-Latn-RS"/>
        </w:rPr>
        <mc:AlternateContent>
          <mc:Choice Requires="wpg">
            <w:drawing>
              <wp:anchor distT="0" distB="0" distL="228600" distR="228600" simplePos="0" relativeHeight="251877376" behindDoc="0" locked="0" layoutInCell="1" allowOverlap="1" wp14:anchorId="3C3D941C" wp14:editId="2167C36D">
                <wp:simplePos x="0" y="0"/>
                <wp:positionH relativeFrom="margin">
                  <wp:posOffset>3219450</wp:posOffset>
                </wp:positionH>
                <wp:positionV relativeFrom="page">
                  <wp:posOffset>1901825</wp:posOffset>
                </wp:positionV>
                <wp:extent cx="3001645" cy="2338705"/>
                <wp:effectExtent l="0" t="0" r="8255" b="4445"/>
                <wp:wrapSquare wrapText="bothSides"/>
                <wp:docPr id="22" name="Group 22"/>
                <wp:cNvGraphicFramePr/>
                <a:graphic xmlns:a="http://schemas.openxmlformats.org/drawingml/2006/main">
                  <a:graphicData uri="http://schemas.microsoft.com/office/word/2010/wordprocessingGroup">
                    <wpg:wgp>
                      <wpg:cNvGrpSpPr/>
                      <wpg:grpSpPr>
                        <a:xfrm>
                          <a:off x="0" y="0"/>
                          <a:ext cx="3001645" cy="2338705"/>
                          <a:chOff x="0" y="0"/>
                          <a:chExt cx="3273142" cy="2028766"/>
                        </a:xfrm>
                      </wpg:grpSpPr>
                      <wps:wsp>
                        <wps:cNvPr id="243" name="Rectangle 243"/>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4" name="Group 244"/>
                        <wpg:cNvGrpSpPr/>
                        <wpg:grpSpPr>
                          <a:xfrm>
                            <a:off x="0" y="19050"/>
                            <a:ext cx="2249424" cy="832104"/>
                            <a:chOff x="228600" y="0"/>
                            <a:chExt cx="1472184" cy="1024128"/>
                          </a:xfrm>
                        </wpg:grpSpPr>
                        <wps:wsp>
                          <wps:cNvPr id="24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228600" y="0"/>
                              <a:ext cx="1472184" cy="1024128"/>
                            </a:xfrm>
                            <a:prstGeom prst="rect">
                              <a:avLst/>
                            </a:prstGeom>
                            <a:blipFill>
                              <a:blip r:embed="rId6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8" name="Text Box 248"/>
                        <wps:cNvSpPr txBox="1"/>
                        <wps:spPr>
                          <a:xfrm>
                            <a:off x="134845" y="257851"/>
                            <a:ext cx="3138297" cy="1770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5BC" w:rsidRPr="00E170CD" w:rsidRDefault="00F735BC" w:rsidP="00662875">
                              <w:pPr>
                                <w:spacing w:after="0" w:line="240" w:lineRule="auto"/>
                                <w:ind w:left="504"/>
                                <w:jc w:val="right"/>
                                <w:rPr>
                                  <w:smallCaps/>
                                  <w:color w:val="333C3D" w:themeColor="accent5" w:themeShade="80"/>
                                  <w:sz w:val="18"/>
                                  <w:szCs w:val="18"/>
                                </w:rPr>
                              </w:pPr>
                              <w:r w:rsidRPr="00E170CD">
                                <w:rPr>
                                  <w:smallCaps/>
                                  <w:color w:val="333C3D" w:themeColor="accent5" w:themeShade="80"/>
                                  <w:sz w:val="18"/>
                                  <w:szCs w:val="18"/>
                                </w:rPr>
                                <w:t>Sistem i organizacija državne uprave se izvlače iz ustava; zakonski okvir je ograničen, tako da nam državni organi imaju samoregulativnu funkciju. Postoji samo odokativna metoda shodno kojoj se donose propisi, a na osnovu partijskih interesa se formiraju državni organi. Nikad nije urađena funkcionalna analiza državne uprave. Dakle, osnovne pretpostavke za pravilan razvoj javne uprave ne postoje. Još uvijek nismo rasčistili šta je zapravo javna uprava. Državna uprava je jedan mali segment mnogo</w:t>
                              </w:r>
                              <w:r w:rsidRPr="00E170CD">
                                <w:rPr>
                                  <w:smallCaps/>
                                  <w:color w:val="333C3D" w:themeColor="accent5" w:themeShade="80"/>
                                  <w:sz w:val="28"/>
                                  <w:szCs w:val="28"/>
                                </w:rPr>
                                <w:t xml:space="preserve"> </w:t>
                              </w:r>
                              <w:r w:rsidRPr="00E170CD">
                                <w:rPr>
                                  <w:smallCaps/>
                                  <w:color w:val="333C3D" w:themeColor="accent5" w:themeShade="80"/>
                                  <w:sz w:val="18"/>
                                  <w:szCs w:val="18"/>
                                </w:rPr>
                                <w:t>šire, javne uprave. Potrebno je odvojiti javnu službu od drugih javnih tijela. Najveći problem je odsustvo pravnog statusa</w:t>
                              </w:r>
                            </w:p>
                            <w:p w:rsidR="00F735BC" w:rsidRDefault="00F735BC" w:rsidP="00662875">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3D941C" id="Group 22" o:spid="_x0000_s1035" style="position:absolute;left:0;text-align:left;margin-left:253.5pt;margin-top:149.75pt;width:236.35pt;height:184.15pt;z-index:251877376;mso-wrap-distance-left:18pt;mso-wrap-distance-right:18pt;mso-position-horizontal-relative:margin;mso-position-vertical-relative:page;mso-width-relative:margin;mso-height-relative:margin" coordsize="32731,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">
                <v:rect id="Rectangle 243" o:spid="_x0000_s103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" fillcolor="white [3212]" stroked="f" strokeweight="2pt">
                  <v:fill opacity="0"/>
                </v:rect>
                <v:group id="Group 244" o:spid="_x0000_s103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Rectangle 10" o:spid="_x0000_s103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" path="m,l2240281,,1659256,222885,,822960,,xe" fillcolor="#7e97ad [3204]" stroked="f" strokeweight="2pt">
                    <v:path arrowok="t" o:connecttype="custom" o:connectlocs="0,0;1466258,0;1085979,274158;0,1012274;0,0" o:connectangles="0,0,0,0,0"/>
                  </v:shape>
                  <v:rect id="Rectangle 246" o:spid="_x0000_s103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" stroked="f" strokeweight="2pt">
                    <v:fill r:id="rId69" o:title="" recolor="t" rotate="t" type="frame"/>
                  </v:rect>
                </v:group>
                <v:shape id="Text Box 248" o:spid="_x0000_s1040" type="#_x0000_t202" style="position:absolute;left:1348;top:2578;width:31383;height:1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" filled="f" stroked="f" strokeweight=".5pt">
                  <v:textbox inset="3.6pt,7.2pt,0,0">
                    <w:txbxContent>
                      <w:p w:rsidR="00F735BC" w:rsidRPr="00E170CD" w:rsidRDefault="00F735BC" w:rsidP="00662875">
                        <w:pPr>
                          <w:spacing w:after="0" w:line="240" w:lineRule="auto"/>
                          <w:ind w:left="504"/>
                          <w:jc w:val="right"/>
                          <w:rPr>
                            <w:smallCaps/>
                            <w:color w:val="333C3D" w:themeColor="accent5" w:themeShade="80"/>
                            <w:sz w:val="18"/>
                            <w:szCs w:val="18"/>
                          </w:rPr>
                        </w:pPr>
                        <w:r w:rsidRPr="00E170CD">
                          <w:rPr>
                            <w:smallCaps/>
                            <w:color w:val="333C3D" w:themeColor="accent5" w:themeShade="80"/>
                            <w:sz w:val="18"/>
                            <w:szCs w:val="18"/>
                          </w:rPr>
                          <w:t>Sistem i organizacija državne uprave se izvlače iz ustava; zakonski okvir je ograničen, tako da nam državni organi imaju samoregulativnu funkciju. Postoji samo odokativna metoda shodno kojoj se donose propisi, a na osnovu partijskih interesa se formiraju državni organi. Nikad nije urađena funkcionalna analiza državne uprave. Dakle, osnovne pretpostavke za pravilan razvoj javne uprave ne postoje. Još uvijek nismo rasčistili šta je zapravo javna uprava. Državna uprava je jedan mali segment mnogo</w:t>
                        </w:r>
                        <w:r w:rsidRPr="00E170CD">
                          <w:rPr>
                            <w:smallCaps/>
                            <w:color w:val="333C3D" w:themeColor="accent5" w:themeShade="80"/>
                            <w:sz w:val="28"/>
                            <w:szCs w:val="28"/>
                          </w:rPr>
                          <w:t xml:space="preserve"> </w:t>
                        </w:r>
                        <w:r w:rsidRPr="00E170CD">
                          <w:rPr>
                            <w:smallCaps/>
                            <w:color w:val="333C3D" w:themeColor="accent5" w:themeShade="80"/>
                            <w:sz w:val="18"/>
                            <w:szCs w:val="18"/>
                          </w:rPr>
                          <w:t>šire, javne uprave. Potrebno je odvojiti javnu službu od drugih javnih tijela. Najveći problem je odsustvo pravnog statusa</w:t>
                        </w:r>
                      </w:p>
                      <w:p w:rsidR="00F735BC" w:rsidRDefault="00F735BC" w:rsidP="00662875">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v:textbox>
                </v:shape>
                <w10:wrap type="square" anchorx="margin" anchory="page"/>
              </v:group>
            </w:pict>
          </mc:Fallback>
        </mc:AlternateContent>
      </w:r>
      <w:r w:rsidR="00D44880" w:rsidRPr="007B43C4">
        <w:rPr>
          <w:rFonts w:asciiTheme="majorHAnsi" w:eastAsia="Calibri" w:hAnsiTheme="majorHAnsi" w:cstheme="majorHAnsi"/>
          <w:color w:val="auto"/>
          <w:kern w:val="0"/>
          <w:sz w:val="24"/>
          <w:szCs w:val="24"/>
          <w:lang w:eastAsia="en-US"/>
        </w:rPr>
        <w:t xml:space="preserve">Dodatno, </w:t>
      </w:r>
      <w:r w:rsidR="002229F5" w:rsidRPr="007B43C4">
        <w:rPr>
          <w:rFonts w:asciiTheme="majorHAnsi" w:eastAsia="Calibri" w:hAnsiTheme="majorHAnsi" w:cstheme="majorHAnsi"/>
          <w:b/>
          <w:color w:val="auto"/>
          <w:kern w:val="0"/>
          <w:sz w:val="24"/>
          <w:szCs w:val="24"/>
          <w:lang w:eastAsia="en-US"/>
        </w:rPr>
        <w:t>prilikom pripreme posebnih zakona kojim se predlaže osnivanje novih organa nije predviđena izrada analize za potrebom osnivanja od strane kreatora politika</w:t>
      </w:r>
      <w:r w:rsidR="002229F5" w:rsidRPr="007B43C4">
        <w:rPr>
          <w:rFonts w:asciiTheme="majorHAnsi" w:eastAsia="Calibri" w:hAnsiTheme="majorHAnsi" w:cstheme="majorHAnsi"/>
          <w:color w:val="auto"/>
          <w:kern w:val="0"/>
          <w:sz w:val="24"/>
          <w:szCs w:val="24"/>
          <w:lang w:eastAsia="en-US"/>
        </w:rPr>
        <w:t>.</w:t>
      </w:r>
      <w:r w:rsidR="009E35B8" w:rsidRPr="007B43C4">
        <w:rPr>
          <w:rFonts w:asciiTheme="majorHAnsi" w:eastAsia="Calibri" w:hAnsiTheme="majorHAnsi" w:cstheme="majorHAnsi"/>
          <w:color w:val="auto"/>
          <w:kern w:val="0"/>
          <w:sz w:val="24"/>
          <w:szCs w:val="24"/>
          <w:lang w:eastAsia="en-US"/>
        </w:rPr>
        <w:t xml:space="preserve"> </w:t>
      </w:r>
      <w:r w:rsidR="002229F5" w:rsidRPr="007B43C4">
        <w:rPr>
          <w:rFonts w:asciiTheme="majorHAnsi" w:eastAsia="Calibri" w:hAnsiTheme="majorHAnsi" w:cstheme="majorHAnsi"/>
          <w:color w:val="auto"/>
          <w:kern w:val="0"/>
          <w:sz w:val="24"/>
          <w:szCs w:val="24"/>
          <w:lang w:eastAsia="en-US"/>
        </w:rPr>
        <w:t>P</w:t>
      </w:r>
      <w:r w:rsidR="00D44880" w:rsidRPr="007B43C4">
        <w:rPr>
          <w:rFonts w:asciiTheme="majorHAnsi" w:eastAsia="Calibri" w:hAnsiTheme="majorHAnsi" w:cstheme="majorHAnsi"/>
          <w:color w:val="auto"/>
          <w:kern w:val="0"/>
          <w:sz w:val="24"/>
          <w:szCs w:val="24"/>
          <w:lang w:eastAsia="en-US"/>
        </w:rPr>
        <w:t>rocenat organa na državnom nivou</w:t>
      </w:r>
      <w:r w:rsidR="009E35B8" w:rsidRPr="007B43C4">
        <w:rPr>
          <w:rFonts w:asciiTheme="majorHAnsi" w:eastAsia="Calibri" w:hAnsiTheme="majorHAnsi" w:cstheme="majorHAnsi"/>
          <w:color w:val="auto"/>
          <w:kern w:val="0"/>
          <w:sz w:val="24"/>
          <w:szCs w:val="24"/>
          <w:lang w:eastAsia="en-US"/>
        </w:rPr>
        <w:t>,</w:t>
      </w:r>
      <w:r w:rsidR="00D44880" w:rsidRPr="007B43C4">
        <w:rPr>
          <w:rFonts w:asciiTheme="majorHAnsi" w:eastAsia="Calibri" w:hAnsiTheme="majorHAnsi" w:cstheme="majorHAnsi"/>
          <w:color w:val="auto"/>
          <w:kern w:val="0"/>
          <w:sz w:val="24"/>
          <w:szCs w:val="24"/>
          <w:lang w:eastAsia="en-US"/>
        </w:rPr>
        <w:t xml:space="preserve"> koji su osnovani shodno jedinstvenim pravilima za osnivanje propisanim Zakonom o državnoj upravi</w:t>
      </w:r>
      <w:r w:rsidR="009E35B8" w:rsidRPr="007B43C4">
        <w:rPr>
          <w:rFonts w:asciiTheme="majorHAnsi" w:eastAsia="Calibri" w:hAnsiTheme="majorHAnsi" w:cstheme="majorHAnsi"/>
          <w:color w:val="auto"/>
          <w:kern w:val="0"/>
          <w:sz w:val="24"/>
          <w:szCs w:val="24"/>
          <w:lang w:eastAsia="en-US"/>
        </w:rPr>
        <w:t>,</w:t>
      </w:r>
      <w:r w:rsidR="00D44880" w:rsidRPr="007B43C4">
        <w:rPr>
          <w:rFonts w:asciiTheme="majorHAnsi" w:eastAsia="Calibri" w:hAnsiTheme="majorHAnsi" w:cstheme="majorHAnsi"/>
          <w:color w:val="auto"/>
          <w:kern w:val="0"/>
          <w:sz w:val="24"/>
          <w:szCs w:val="24"/>
          <w:lang w:eastAsia="en-US"/>
        </w:rPr>
        <w:t xml:space="preserve"> je 98,14%, prema poslednjem Završnom izvještaju o implementaciji Strategije reforme javne uprave 2016 – 2020.</w:t>
      </w:r>
      <w:r w:rsidR="00D44880" w:rsidRPr="007B43C4">
        <w:rPr>
          <w:rFonts w:asciiTheme="majorHAnsi" w:hAnsiTheme="majorHAnsi" w:cstheme="majorHAnsi"/>
          <w:color w:val="auto"/>
          <w:sz w:val="24"/>
          <w:szCs w:val="24"/>
          <w:vertAlign w:val="superscript"/>
          <w:lang w:eastAsia="en-US"/>
        </w:rPr>
        <w:footnoteReference w:id="27"/>
      </w:r>
      <w:r w:rsidR="00D44880" w:rsidRPr="007B43C4">
        <w:rPr>
          <w:rFonts w:asciiTheme="majorHAnsi" w:eastAsia="Calibri" w:hAnsiTheme="majorHAnsi" w:cstheme="majorHAnsi"/>
          <w:color w:val="auto"/>
          <w:kern w:val="0"/>
          <w:sz w:val="24"/>
          <w:szCs w:val="24"/>
          <w:lang w:eastAsia="en-US"/>
        </w:rPr>
        <w:t xml:space="preserve"> Član 87. Zakona o državnoj upravi izričito propisuje da odredbe posebnih zakona kojima su osnivane 8 agencija i fondova</w:t>
      </w:r>
      <w:r w:rsidR="00D44880" w:rsidRPr="007B43C4">
        <w:rPr>
          <w:rFonts w:asciiTheme="majorHAnsi" w:hAnsiTheme="majorHAnsi" w:cstheme="majorHAnsi"/>
          <w:color w:val="auto"/>
          <w:sz w:val="24"/>
          <w:szCs w:val="24"/>
          <w:vertAlign w:val="superscript"/>
          <w:lang w:eastAsia="en-US"/>
        </w:rPr>
        <w:footnoteReference w:id="28"/>
      </w:r>
      <w:r w:rsidR="00D44880" w:rsidRPr="007B43C4">
        <w:rPr>
          <w:rFonts w:asciiTheme="majorHAnsi" w:eastAsia="Calibri" w:hAnsiTheme="majorHAnsi" w:cstheme="majorHAnsi"/>
          <w:color w:val="auto"/>
          <w:kern w:val="0"/>
          <w:sz w:val="24"/>
          <w:szCs w:val="24"/>
          <w:lang w:eastAsia="en-US"/>
        </w:rPr>
        <w:t xml:space="preserve"> moraju biti usklađeni sa Zakonom o državnoj upravi u roku od 12 mjeseci od dana stupanja na snagu ovog zakona, odnosno tokom 2019. godine. To između ostalog znači da bi navedeni nosioci javnih ovlašćenja do kraja 2019. morali biti podređeni isključivo Vladi. Međutim, u 2021. godini dvije agencije</w:t>
      </w:r>
      <w:r w:rsidR="0081073F" w:rsidRPr="007B43C4">
        <w:rPr>
          <w:rFonts w:asciiTheme="majorHAnsi" w:eastAsia="Calibri" w:hAnsiTheme="majorHAnsi" w:cstheme="majorHAnsi"/>
          <w:color w:val="auto"/>
          <w:kern w:val="0"/>
          <w:sz w:val="24"/>
          <w:szCs w:val="24"/>
          <w:lang w:eastAsia="en-US"/>
        </w:rPr>
        <w:t xml:space="preserve"> su</w:t>
      </w:r>
      <w:r w:rsidR="00D44880" w:rsidRPr="007B43C4">
        <w:rPr>
          <w:rFonts w:asciiTheme="majorHAnsi" w:eastAsia="Calibri" w:hAnsiTheme="majorHAnsi" w:cstheme="majorHAnsi"/>
          <w:color w:val="auto"/>
          <w:kern w:val="0"/>
          <w:sz w:val="24"/>
          <w:szCs w:val="24"/>
          <w:lang w:eastAsia="en-US"/>
        </w:rPr>
        <w:t xml:space="preserve"> podređene Skupštini (Agencija za elektronske komunikacije i poštansku djelatnost i Agencija za nadzor osiguranja), a jedna je podređena i Skupštini i Vladi (Agencija za zaštitu konkurencije), te je u narednom periodu neophodno izvršiti usklađivanje posebnih zakona kojima su osnovane navedene agencije sa Zakonom o državnoj upravi, nakon čega možemo govoriti o potpunoj implementaciji Zakona o državnoj upravi u ovoj oblasti.  </w:t>
      </w:r>
    </w:p>
    <w:p w:rsidR="005310C4" w:rsidRPr="007B43C4" w:rsidRDefault="0007699A" w:rsidP="00B43D4E">
      <w:pPr>
        <w:pStyle w:val="CommentText"/>
        <w:numPr>
          <w:ilvl w:val="0"/>
          <w:numId w:val="42"/>
        </w:numPr>
        <w:spacing w:before="60" w:after="60"/>
        <w:ind w:right="-385"/>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lastRenderedPageBreak/>
        <w:t xml:space="preserve">U dijelu </w:t>
      </w:r>
      <w:r w:rsidRPr="007B43C4">
        <w:rPr>
          <w:rFonts w:asciiTheme="majorHAnsi" w:eastAsia="Calibri" w:hAnsiTheme="majorHAnsi" w:cstheme="majorHAnsi"/>
          <w:b/>
          <w:color w:val="auto"/>
          <w:kern w:val="0"/>
          <w:sz w:val="24"/>
          <w:szCs w:val="24"/>
          <w:lang w:eastAsia="en-US"/>
        </w:rPr>
        <w:t>upravnog inspekcijskog nadzora</w:t>
      </w:r>
      <w:r w:rsidRPr="007B43C4">
        <w:rPr>
          <w:rFonts w:asciiTheme="majorHAnsi" w:eastAsia="Calibri" w:hAnsiTheme="majorHAnsi" w:cstheme="majorHAnsi"/>
          <w:color w:val="auto"/>
          <w:kern w:val="0"/>
          <w:sz w:val="24"/>
          <w:szCs w:val="24"/>
          <w:lang w:eastAsia="en-US"/>
        </w:rPr>
        <w:t xml:space="preserve"> prepoznati su izazovi koji se odnose na </w:t>
      </w:r>
      <w:r w:rsidRPr="007B43C4">
        <w:rPr>
          <w:rFonts w:asciiTheme="majorHAnsi" w:eastAsia="Calibri" w:hAnsiTheme="majorHAnsi" w:cstheme="majorHAnsi"/>
          <w:b/>
          <w:color w:val="auto"/>
          <w:kern w:val="0"/>
          <w:sz w:val="24"/>
          <w:szCs w:val="24"/>
          <w:lang w:eastAsia="en-US"/>
        </w:rPr>
        <w:t>smanjene kadrovske kapacitete,</w:t>
      </w:r>
      <w:r w:rsidR="00EA0E06" w:rsidRPr="007B43C4">
        <w:rPr>
          <w:rFonts w:asciiTheme="majorHAnsi" w:eastAsia="Calibri" w:hAnsiTheme="majorHAnsi" w:cstheme="majorHAnsi"/>
          <w:b/>
          <w:color w:val="auto"/>
          <w:kern w:val="0"/>
          <w:sz w:val="24"/>
          <w:szCs w:val="24"/>
          <w:lang w:eastAsia="en-US"/>
        </w:rPr>
        <w:t xml:space="preserve"> nedovoljnu transparetnost u radu,</w:t>
      </w:r>
      <w:r w:rsidRPr="007B43C4">
        <w:rPr>
          <w:rFonts w:asciiTheme="majorHAnsi" w:eastAsia="Calibri" w:hAnsiTheme="majorHAnsi" w:cstheme="majorHAnsi"/>
          <w:b/>
          <w:color w:val="auto"/>
          <w:kern w:val="0"/>
          <w:sz w:val="24"/>
          <w:szCs w:val="24"/>
          <w:lang w:eastAsia="en-US"/>
        </w:rPr>
        <w:t xml:space="preserve"> kao i nepostojanje registra rizika za subjekte nadzora</w:t>
      </w:r>
      <w:r w:rsidRPr="007B43C4">
        <w:rPr>
          <w:rFonts w:asciiTheme="majorHAnsi" w:eastAsia="Calibri" w:hAnsiTheme="majorHAnsi" w:cstheme="majorHAnsi"/>
          <w:color w:val="auto"/>
          <w:kern w:val="0"/>
          <w:sz w:val="24"/>
          <w:szCs w:val="24"/>
          <w:lang w:eastAsia="en-US"/>
        </w:rPr>
        <w:t xml:space="preserve"> koji bi trebalo da sadrži sve nedostatke u primjeni propisa i izazove koji se otkriju posredstvom upravnog nadzora (nadzora nad zakonitošću i cjelishodnošću rada i nadzora nad primjenom propisa), kako bi se podaci koristili kao jedan od glavnih inputa za vršenje inspekcijskog nadzora i planiranje dalje strateške izmjene i dorade propisa. Uz to, postojeća metodologija po kojoj se sačinjavaju izvještaji o radu Upravne inspekcije ne prikazuje efekte upravnog inspekcijskog nadzora u punom smislu, kao ni ključne nedostatke u implementaciji propisa do kojih se dođe u vršenju upravnog inspekcijskog nadzora.</w:t>
      </w:r>
      <w:r w:rsidR="00D44880" w:rsidRPr="007B43C4">
        <w:rPr>
          <w:rFonts w:asciiTheme="majorHAnsi" w:eastAsia="Times New Roman" w:hAnsiTheme="majorHAnsi" w:cstheme="majorHAnsi"/>
          <w:color w:val="auto"/>
          <w:kern w:val="0"/>
          <w:sz w:val="24"/>
          <w:szCs w:val="24"/>
          <w:lang w:eastAsia="en-GB"/>
        </w:rPr>
        <w:t xml:space="preserve"> </w:t>
      </w:r>
    </w:p>
    <w:p w:rsidR="0007699A" w:rsidRPr="007B43C4" w:rsidRDefault="00D44880" w:rsidP="007B43C4">
      <w:pPr>
        <w:pStyle w:val="CommentText"/>
        <w:spacing w:before="60" w:after="60"/>
        <w:ind w:left="720" w:right="-385"/>
        <w:jc w:val="both"/>
        <w:rPr>
          <w:rFonts w:asciiTheme="majorHAnsi" w:eastAsia="Calibri" w:hAnsiTheme="majorHAnsi" w:cstheme="majorHAnsi"/>
          <w:color w:val="auto"/>
          <w:kern w:val="0"/>
          <w:sz w:val="24"/>
          <w:szCs w:val="24"/>
          <w:lang w:eastAsia="en-US"/>
        </w:rPr>
      </w:pPr>
      <w:r w:rsidRPr="007B43C4">
        <w:rPr>
          <w:rFonts w:asciiTheme="majorHAnsi" w:eastAsia="Times New Roman" w:hAnsiTheme="majorHAnsi" w:cstheme="majorHAnsi"/>
          <w:color w:val="auto"/>
          <w:kern w:val="0"/>
          <w:sz w:val="24"/>
          <w:szCs w:val="24"/>
          <w:lang w:eastAsia="en-GB"/>
        </w:rPr>
        <w:t xml:space="preserve">Uloga i položaj </w:t>
      </w:r>
      <w:r w:rsidRPr="007B43C4">
        <w:rPr>
          <w:rFonts w:asciiTheme="majorHAnsi" w:eastAsia="Times New Roman" w:hAnsiTheme="majorHAnsi" w:cstheme="majorHAnsi"/>
          <w:b/>
          <w:color w:val="auto"/>
          <w:kern w:val="0"/>
          <w:sz w:val="24"/>
          <w:szCs w:val="24"/>
          <w:lang w:eastAsia="en-GB"/>
        </w:rPr>
        <w:t>Uprave za inspekcijske poslove kao centralizovanog organa</w:t>
      </w:r>
      <w:r w:rsidRPr="007B43C4">
        <w:rPr>
          <w:rFonts w:asciiTheme="majorHAnsi" w:eastAsia="Times New Roman" w:hAnsiTheme="majorHAnsi" w:cstheme="majorHAnsi"/>
          <w:color w:val="auto"/>
          <w:kern w:val="0"/>
          <w:sz w:val="24"/>
          <w:szCs w:val="24"/>
          <w:lang w:eastAsia="en-GB"/>
        </w:rPr>
        <w:t xml:space="preserve"> omogućava identifikovanje većine problema u vezi sa vršenjem inspekcijskog nadzora, </w:t>
      </w:r>
      <w:r w:rsidR="005310C4" w:rsidRPr="007B43C4">
        <w:rPr>
          <w:rFonts w:asciiTheme="majorHAnsi" w:eastAsia="Times New Roman" w:hAnsiTheme="majorHAnsi" w:cstheme="majorHAnsi"/>
          <w:color w:val="auto"/>
          <w:kern w:val="0"/>
          <w:sz w:val="24"/>
          <w:szCs w:val="24"/>
          <w:lang w:eastAsia="en-GB"/>
        </w:rPr>
        <w:t xml:space="preserve">ali je potrebno </w:t>
      </w:r>
      <w:r w:rsidRPr="007B43C4">
        <w:rPr>
          <w:rFonts w:asciiTheme="majorHAnsi" w:eastAsia="Times New Roman" w:hAnsiTheme="majorHAnsi" w:cstheme="majorHAnsi"/>
          <w:color w:val="auto"/>
          <w:kern w:val="0"/>
          <w:sz w:val="24"/>
          <w:szCs w:val="24"/>
          <w:lang w:eastAsia="en-GB"/>
        </w:rPr>
        <w:t>uspostavljanje novih metoda rad</w:t>
      </w:r>
      <w:r w:rsidR="005310C4" w:rsidRPr="007B43C4">
        <w:rPr>
          <w:rFonts w:asciiTheme="majorHAnsi" w:eastAsia="Times New Roman" w:hAnsiTheme="majorHAnsi" w:cstheme="majorHAnsi"/>
          <w:color w:val="auto"/>
          <w:kern w:val="0"/>
          <w:sz w:val="24"/>
          <w:szCs w:val="24"/>
          <w:lang w:eastAsia="en-GB"/>
        </w:rPr>
        <w:t>a</w:t>
      </w:r>
      <w:r w:rsidRPr="007B43C4">
        <w:rPr>
          <w:rFonts w:asciiTheme="majorHAnsi" w:eastAsia="Times New Roman" w:hAnsiTheme="majorHAnsi" w:cstheme="majorHAnsi"/>
          <w:color w:val="auto"/>
          <w:kern w:val="0"/>
          <w:sz w:val="24"/>
          <w:szCs w:val="24"/>
          <w:lang w:eastAsia="en-GB"/>
        </w:rPr>
        <w:t xml:space="preserve"> i funkcionisanja koji za rezultat imaju brže postupanje po inicijativama građana (lakše identifikovanje nadležne inspekcije, standardizovanje procedura, jedinstvenu primjenu zakona i kaznene politike, kvalitetnije izvještavanje, prije svega o rezultatima i efektima u odnosu na zacrtane strateške ciljeve). </w:t>
      </w:r>
      <w:r w:rsidR="005310C4" w:rsidRPr="007B43C4">
        <w:rPr>
          <w:rFonts w:asciiTheme="majorHAnsi" w:eastAsia="Times New Roman" w:hAnsiTheme="majorHAnsi" w:cstheme="majorHAnsi"/>
          <w:color w:val="auto"/>
          <w:kern w:val="0"/>
          <w:sz w:val="24"/>
          <w:szCs w:val="24"/>
          <w:lang w:eastAsia="en-GB"/>
        </w:rPr>
        <w:t>A</w:t>
      </w:r>
      <w:r w:rsidRPr="007B43C4">
        <w:rPr>
          <w:rFonts w:asciiTheme="majorHAnsi" w:eastAsia="Times New Roman" w:hAnsiTheme="majorHAnsi" w:cstheme="majorHAnsi"/>
          <w:color w:val="auto"/>
          <w:kern w:val="0"/>
          <w:sz w:val="24"/>
          <w:szCs w:val="24"/>
          <w:lang w:eastAsia="en-GB"/>
        </w:rPr>
        <w:t>nalizom položaja inspekcijskih organa</w:t>
      </w:r>
      <w:r w:rsidR="00F17100">
        <w:rPr>
          <w:rStyle w:val="FootnoteReference"/>
          <w:rFonts w:asciiTheme="majorHAnsi" w:eastAsia="Times New Roman" w:hAnsiTheme="majorHAnsi" w:cstheme="majorHAnsi"/>
          <w:color w:val="auto"/>
          <w:kern w:val="0"/>
          <w:sz w:val="24"/>
          <w:szCs w:val="24"/>
          <w:lang w:eastAsia="en-GB"/>
        </w:rPr>
        <w:footnoteReference w:id="29"/>
      </w:r>
      <w:r w:rsidRPr="007B43C4">
        <w:rPr>
          <w:rFonts w:asciiTheme="majorHAnsi" w:eastAsia="Times New Roman" w:hAnsiTheme="majorHAnsi" w:cstheme="majorHAnsi"/>
          <w:color w:val="auto"/>
          <w:kern w:val="0"/>
          <w:sz w:val="24"/>
          <w:szCs w:val="24"/>
          <w:lang w:eastAsia="en-GB"/>
        </w:rPr>
        <w:t xml:space="preserve"> ukazano je na </w:t>
      </w:r>
      <w:r w:rsidRPr="007B43C4">
        <w:rPr>
          <w:rFonts w:asciiTheme="majorHAnsi" w:eastAsia="Times New Roman" w:hAnsiTheme="majorHAnsi" w:cstheme="majorHAnsi"/>
          <w:b/>
          <w:color w:val="auto"/>
          <w:kern w:val="0"/>
          <w:sz w:val="24"/>
          <w:szCs w:val="24"/>
          <w:lang w:eastAsia="en-GB"/>
        </w:rPr>
        <w:t>potrebu kombinovane metode u organizaciji inspekcijskih službi u pojedinim resorima</w:t>
      </w:r>
      <w:r w:rsidRPr="007B43C4">
        <w:rPr>
          <w:rFonts w:asciiTheme="majorHAnsi" w:eastAsia="Times New Roman" w:hAnsiTheme="majorHAnsi" w:cstheme="majorHAnsi"/>
          <w:color w:val="auto"/>
          <w:kern w:val="0"/>
          <w:sz w:val="24"/>
          <w:szCs w:val="24"/>
          <w:lang w:eastAsia="en-GB"/>
        </w:rPr>
        <w:t xml:space="preserve"> kako bi se doprinijelo jačoj povezanosti, efikasnosti rada i dogovornosti, kao i unapređenju nadzora u pojedinim upravnim oblastima.</w:t>
      </w:r>
    </w:p>
    <w:p w:rsidR="0007699A" w:rsidRPr="007B43C4" w:rsidRDefault="0007699A" w:rsidP="00B43D4E">
      <w:pPr>
        <w:pStyle w:val="CommentText"/>
        <w:numPr>
          <w:ilvl w:val="0"/>
          <w:numId w:val="42"/>
        </w:numPr>
        <w:spacing w:before="60" w:after="60"/>
        <w:ind w:right="-385"/>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Kada je riječ o </w:t>
      </w:r>
      <w:r w:rsidRPr="007B43C4">
        <w:rPr>
          <w:rFonts w:asciiTheme="majorHAnsi" w:eastAsia="Calibri" w:hAnsiTheme="majorHAnsi" w:cstheme="majorHAnsi"/>
          <w:b/>
          <w:color w:val="auto"/>
          <w:kern w:val="0"/>
          <w:sz w:val="24"/>
          <w:szCs w:val="24"/>
          <w:lang w:eastAsia="en-US"/>
        </w:rPr>
        <w:t>nadzoru nad jedinicama lokalne samouprave</w:t>
      </w:r>
      <w:r w:rsidRPr="007B43C4">
        <w:rPr>
          <w:rFonts w:asciiTheme="majorHAnsi" w:eastAsia="Calibri" w:hAnsiTheme="majorHAnsi" w:cstheme="majorHAnsi"/>
          <w:color w:val="auto"/>
          <w:kern w:val="0"/>
          <w:sz w:val="24"/>
          <w:szCs w:val="24"/>
          <w:lang w:eastAsia="en-US"/>
        </w:rPr>
        <w:t xml:space="preserve"> izazov</w:t>
      </w:r>
      <w:r w:rsidR="00A214A8" w:rsidRPr="007B43C4">
        <w:rPr>
          <w:rFonts w:asciiTheme="majorHAnsi" w:eastAsia="Calibri" w:hAnsiTheme="majorHAnsi" w:cstheme="majorHAnsi"/>
          <w:color w:val="auto"/>
          <w:kern w:val="0"/>
          <w:sz w:val="24"/>
          <w:szCs w:val="24"/>
          <w:lang w:eastAsia="en-US"/>
        </w:rPr>
        <w:t>i su</w:t>
      </w:r>
      <w:r w:rsidRPr="007B43C4">
        <w:rPr>
          <w:rFonts w:asciiTheme="majorHAnsi" w:eastAsia="Calibri" w:hAnsiTheme="majorHAnsi" w:cstheme="majorHAnsi"/>
          <w:color w:val="auto"/>
          <w:kern w:val="0"/>
          <w:sz w:val="24"/>
          <w:szCs w:val="24"/>
          <w:lang w:eastAsia="en-US"/>
        </w:rPr>
        <w:t>:</w:t>
      </w:r>
    </w:p>
    <w:p w:rsidR="007B43C4" w:rsidRDefault="0007699A" w:rsidP="00B43D4E">
      <w:pPr>
        <w:pStyle w:val="CommentText"/>
        <w:numPr>
          <w:ilvl w:val="0"/>
          <w:numId w:val="54"/>
        </w:numPr>
        <w:tabs>
          <w:tab w:val="left" w:pos="1170"/>
        </w:tabs>
        <w:spacing w:before="60" w:after="60"/>
        <w:ind w:right="-446"/>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nepostojanje sistemskog praćenja prenesenih i povjerenih državnih poslova lokalnoj samoupravi;</w:t>
      </w:r>
    </w:p>
    <w:p w:rsidR="007B43C4" w:rsidRDefault="0007699A" w:rsidP="00B43D4E">
      <w:pPr>
        <w:pStyle w:val="CommentText"/>
        <w:numPr>
          <w:ilvl w:val="0"/>
          <w:numId w:val="54"/>
        </w:numPr>
        <w:tabs>
          <w:tab w:val="left" w:pos="1170"/>
        </w:tabs>
        <w:spacing w:before="60" w:after="60"/>
        <w:ind w:right="-446"/>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nedovoljno razvijeni mehanizmi za sprovođenje upravnog nadzora nad jedinicama lokalne samouprave.</w:t>
      </w:r>
    </w:p>
    <w:p w:rsidR="00A66669" w:rsidRPr="007B43C4" w:rsidRDefault="00E83ED2" w:rsidP="00B43D4E">
      <w:pPr>
        <w:pStyle w:val="CommentText"/>
        <w:numPr>
          <w:ilvl w:val="0"/>
          <w:numId w:val="54"/>
        </w:numPr>
        <w:tabs>
          <w:tab w:val="left" w:pos="1170"/>
        </w:tabs>
        <w:spacing w:before="60" w:after="60"/>
        <w:ind w:right="-446"/>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Zakon o lokalnoj samoupravi ne predvidja vr</w:t>
      </w:r>
      <w:r w:rsidR="00EA0E06" w:rsidRPr="007B43C4">
        <w:rPr>
          <w:rFonts w:asciiTheme="majorHAnsi" w:eastAsia="Calibri" w:hAnsiTheme="majorHAnsi" w:cstheme="majorHAnsi"/>
          <w:color w:val="auto"/>
          <w:kern w:val="0"/>
          <w:sz w:val="24"/>
          <w:szCs w:val="24"/>
          <w:lang w:eastAsia="en-US"/>
        </w:rPr>
        <w:t>š</w:t>
      </w:r>
      <w:r w:rsidRPr="007B43C4">
        <w:rPr>
          <w:rFonts w:asciiTheme="majorHAnsi" w:eastAsia="Calibri" w:hAnsiTheme="majorHAnsi" w:cstheme="majorHAnsi"/>
          <w:color w:val="auto"/>
          <w:kern w:val="0"/>
          <w:sz w:val="24"/>
          <w:szCs w:val="24"/>
          <w:lang w:eastAsia="en-US"/>
        </w:rPr>
        <w:t>enje upravnog nadzora nad javnim slu</w:t>
      </w:r>
      <w:r w:rsidR="00EA0E06" w:rsidRPr="007B43C4">
        <w:rPr>
          <w:rFonts w:asciiTheme="majorHAnsi" w:eastAsia="Calibri" w:hAnsiTheme="majorHAnsi" w:cstheme="majorHAnsi"/>
          <w:color w:val="auto"/>
          <w:kern w:val="0"/>
          <w:sz w:val="24"/>
          <w:szCs w:val="24"/>
          <w:lang w:eastAsia="en-US"/>
        </w:rPr>
        <w:t>ž</w:t>
      </w:r>
      <w:r w:rsidR="00985023" w:rsidRPr="007B43C4">
        <w:rPr>
          <w:rFonts w:asciiTheme="majorHAnsi" w:eastAsia="Calibri" w:hAnsiTheme="majorHAnsi" w:cstheme="majorHAnsi"/>
          <w:color w:val="auto"/>
          <w:kern w:val="0"/>
          <w:sz w:val="24"/>
          <w:szCs w:val="24"/>
          <w:lang w:eastAsia="en-US"/>
        </w:rPr>
        <w:t>bama, već</w:t>
      </w:r>
      <w:r w:rsidRPr="007B43C4">
        <w:rPr>
          <w:rFonts w:asciiTheme="majorHAnsi" w:eastAsia="Calibri" w:hAnsiTheme="majorHAnsi" w:cstheme="majorHAnsi"/>
          <w:color w:val="auto"/>
          <w:kern w:val="0"/>
          <w:sz w:val="24"/>
          <w:szCs w:val="24"/>
          <w:lang w:eastAsia="en-US"/>
        </w:rPr>
        <w:t xml:space="preserve"> se to pitanje rije</w:t>
      </w:r>
      <w:r w:rsidR="00985023" w:rsidRPr="007B43C4">
        <w:rPr>
          <w:rFonts w:asciiTheme="majorHAnsi" w:eastAsia="Calibri" w:hAnsiTheme="majorHAnsi" w:cstheme="majorHAnsi"/>
          <w:color w:val="auto"/>
          <w:kern w:val="0"/>
          <w:sz w:val="24"/>
          <w:szCs w:val="24"/>
          <w:lang w:eastAsia="en-US"/>
        </w:rPr>
        <w:t>sava Statutom opš</w:t>
      </w:r>
      <w:r w:rsidRPr="007B43C4">
        <w:rPr>
          <w:rFonts w:asciiTheme="majorHAnsi" w:eastAsia="Calibri" w:hAnsiTheme="majorHAnsi" w:cstheme="majorHAnsi"/>
          <w:color w:val="auto"/>
          <w:kern w:val="0"/>
          <w:sz w:val="24"/>
          <w:szCs w:val="24"/>
          <w:lang w:eastAsia="en-US"/>
        </w:rPr>
        <w:t>tine, tj. z</w:t>
      </w:r>
      <w:r w:rsidRPr="007B43C4">
        <w:rPr>
          <w:rFonts w:asciiTheme="majorHAnsi" w:eastAsia="Times New Roman" w:hAnsiTheme="majorHAnsi" w:cstheme="majorHAnsi"/>
          <w:color w:val="auto"/>
          <w:kern w:val="0"/>
          <w:sz w:val="24"/>
          <w:szCs w:val="24"/>
          <w:lang w:eastAsia="sr-Latn-ME"/>
        </w:rPr>
        <w:t xml:space="preserve">a osnivanje </w:t>
      </w:r>
      <w:r w:rsidRPr="007B43C4">
        <w:rPr>
          <w:rFonts w:asciiTheme="majorHAnsi" w:eastAsia="Times New Roman" w:hAnsiTheme="majorHAnsi" w:cstheme="majorHAnsi"/>
          <w:color w:val="auto"/>
          <w:sz w:val="24"/>
          <w:szCs w:val="24"/>
          <w:lang w:eastAsia="sr-Latn-ME"/>
        </w:rPr>
        <w:t xml:space="preserve">javne službe </w:t>
      </w:r>
      <w:r w:rsidRPr="007B43C4">
        <w:rPr>
          <w:rFonts w:asciiTheme="majorHAnsi" w:eastAsia="Times New Roman" w:hAnsiTheme="majorHAnsi" w:cstheme="majorHAnsi"/>
          <w:color w:val="auto"/>
          <w:kern w:val="0"/>
          <w:sz w:val="24"/>
          <w:szCs w:val="24"/>
          <w:lang w:eastAsia="sr-Latn-ME"/>
        </w:rPr>
        <w:t xml:space="preserve">nije propisano dobijanje saglasnosti od nadležnog ministarstva ili Vlade Crne Gore već prilikom osnivanja potrebno je donošenje skupštinske odluke lokalne javne službe o osnivanju. </w:t>
      </w:r>
    </w:p>
    <w:p w:rsidR="00D44880" w:rsidRPr="007B43C4" w:rsidRDefault="007B43C4" w:rsidP="007B43C4">
      <w:pPr>
        <w:pStyle w:val="CommentText"/>
        <w:tabs>
          <w:tab w:val="left" w:pos="1170"/>
        </w:tabs>
        <w:spacing w:before="60" w:after="60"/>
        <w:ind w:right="-446"/>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noProof/>
          <w:color w:val="auto"/>
          <w:kern w:val="0"/>
          <w:sz w:val="24"/>
          <w:szCs w:val="24"/>
          <w:lang w:eastAsia="sr-Latn-RS"/>
        </w:rPr>
        <mc:AlternateContent>
          <mc:Choice Requires="wpg">
            <w:drawing>
              <wp:anchor distT="0" distB="0" distL="228600" distR="228600" simplePos="0" relativeHeight="251881472" behindDoc="0" locked="0" layoutInCell="1" allowOverlap="1" wp14:anchorId="24C0EA7E" wp14:editId="17F0989A">
                <wp:simplePos x="0" y="0"/>
                <wp:positionH relativeFrom="margin">
                  <wp:posOffset>3285165</wp:posOffset>
                </wp:positionH>
                <wp:positionV relativeFrom="page">
                  <wp:posOffset>4583135</wp:posOffset>
                </wp:positionV>
                <wp:extent cx="2857500" cy="769620"/>
                <wp:effectExtent l="0" t="0" r="0" b="11430"/>
                <wp:wrapSquare wrapText="bothSides"/>
                <wp:docPr id="76" name="Group 76"/>
                <wp:cNvGraphicFramePr/>
                <a:graphic xmlns:a="http://schemas.openxmlformats.org/drawingml/2006/main">
                  <a:graphicData uri="http://schemas.microsoft.com/office/word/2010/wordprocessingGroup">
                    <wpg:wgp>
                      <wpg:cNvGrpSpPr/>
                      <wpg:grpSpPr>
                        <a:xfrm>
                          <a:off x="0" y="0"/>
                          <a:ext cx="2857500" cy="769620"/>
                          <a:chOff x="0" y="0"/>
                          <a:chExt cx="3218688" cy="2028766"/>
                        </a:xfrm>
                      </wpg:grpSpPr>
                      <wps:wsp>
                        <wps:cNvPr id="77" name="Rectangle 77"/>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 name="Group 78"/>
                        <wpg:cNvGrpSpPr/>
                        <wpg:grpSpPr>
                          <a:xfrm>
                            <a:off x="0" y="19050"/>
                            <a:ext cx="2249424" cy="832104"/>
                            <a:chOff x="228600" y="0"/>
                            <a:chExt cx="1472184" cy="1024128"/>
                          </a:xfrm>
                        </wpg:grpSpPr>
                        <wps:wsp>
                          <wps:cNvPr id="80"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 name="Text Box 83"/>
                        <wps:cNvSpPr txBox="1"/>
                        <wps:spPr>
                          <a:xfrm>
                            <a:off x="0" y="195717"/>
                            <a:ext cx="3205004" cy="1833049"/>
                          </a:xfrm>
                          <a:prstGeom prst="rect">
                            <a:avLst/>
                          </a:prstGeom>
                          <a:noFill/>
                          <a:ln w="6350">
                            <a:noFill/>
                          </a:ln>
                          <a:effectLst/>
                        </wps:spPr>
                        <wps:txbx>
                          <w:txbxContent>
                            <w:p w:rsidR="00F735BC" w:rsidRDefault="00F735BC" w:rsidP="00662875">
                              <w:pPr>
                                <w:pStyle w:val="NoSpacing"/>
                                <w:spacing w:before="0"/>
                                <w:ind w:left="360"/>
                                <w:jc w:val="right"/>
                                <w:rPr>
                                  <w:color w:val="7E97AD" w:themeColor="accent1"/>
                                  <w:sz w:val="18"/>
                                  <w:szCs w:val="18"/>
                                  <w:lang w:val="sr-Latn-RS"/>
                                </w:rPr>
                              </w:pPr>
                              <w:r w:rsidRPr="00E904A1">
                                <w:rPr>
                                  <w:smallCaps/>
                                  <w:color w:val="333C3D" w:themeColor="accent5" w:themeShade="80"/>
                                  <w:kern w:val="20"/>
                                  <w:lang w:val="sr-Latn-RS"/>
                                </w:rPr>
                                <w:t>Niko ne traži savršenu javnu upravu već onu koja profesionalno radi za građane i privredu</w:t>
                              </w:r>
                              <w:r>
                                <w:rPr>
                                  <w:smallCaps/>
                                  <w:color w:val="333C3D" w:themeColor="accent5" w:themeShade="80"/>
                                  <w:kern w:val="20"/>
                                  <w:lang w:val="sr-Latn-RS"/>
                                </w:rPr>
                                <w:t>,</w:t>
                              </w:r>
                              <w:r w:rsidRPr="00E904A1">
                                <w:rPr>
                                  <w:smallCaps/>
                                  <w:color w:val="333C3D" w:themeColor="accent5" w:themeShade="80"/>
                                  <w:kern w:val="20"/>
                                  <w:lang w:val="sr-Latn-RS"/>
                                </w:rPr>
                                <w:t xml:space="preserve"> a kada napravi grešku, prizna je i trudi se da je ispravi</w:t>
                              </w:r>
                            </w:p>
                            <w:p w:rsidR="00F735BC" w:rsidRDefault="00F735BC" w:rsidP="00662875">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C0EA7E" id="Group 76" o:spid="_x0000_s1041" style="position:absolute;left:0;text-align:left;margin-left:258.65pt;margin-top:360.9pt;width:225pt;height:60.6pt;z-index:251881472;mso-wrap-distance-left:18pt;mso-wrap-distance-right:18p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">
                <v:rect id="Rectangle 77" o:spid="_x0000_s104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" stroked="f" strokeweight="2pt">
                  <v:fill opacity="0"/>
                </v:rect>
                <v:group id="Group 78" o:spid="_x0000_s104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Rectangle 10" o:spid="_x0000_s104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" path="m,l2240281,,1659256,222885,,822960,,xe" fillcolor="#7e97ad" stroked="f" strokeweight="2pt">
                    <v:path arrowok="t" o:connecttype="custom" o:connectlocs="0,0;1466258,0;1085979,274158;0,1012274;0,0" o:connectangles="0,0,0,0,0"/>
                  </v:shape>
                  <v:rect id="Rectangle 81" o:spid="_x0000_s104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" stroked="f" strokeweight="2pt">
                    <v:fill r:id="rId69" o:title="" recolor="t" rotate="t" type="frame"/>
                  </v:rect>
                </v:group>
                <v:shape id="Text Box 83" o:spid="_x0000_s1046" type="#_x0000_t202" style="position:absolute;top:1957;width:32050;height:18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" filled="f" stroked="f" strokeweight=".5pt">
                  <v:textbox inset="3.6pt,7.2pt,0,0">
                    <w:txbxContent>
                      <w:p w:rsidR="00F735BC" w:rsidRDefault="00F735BC" w:rsidP="00662875">
                        <w:pPr>
                          <w:pStyle w:val="NoSpacing"/>
                          <w:spacing w:before="0"/>
                          <w:ind w:left="360"/>
                          <w:jc w:val="right"/>
                          <w:rPr>
                            <w:color w:val="7E97AD" w:themeColor="accent1"/>
                            <w:sz w:val="18"/>
                            <w:szCs w:val="18"/>
                            <w:lang w:val="sr-Latn-RS"/>
                          </w:rPr>
                        </w:pPr>
                        <w:r w:rsidRPr="00E904A1">
                          <w:rPr>
                            <w:smallCaps/>
                            <w:color w:val="333C3D" w:themeColor="accent5" w:themeShade="80"/>
                            <w:kern w:val="20"/>
                            <w:lang w:val="sr-Latn-RS"/>
                          </w:rPr>
                          <w:t>Niko ne traži savršenu javnu upravu već onu koja profesionalno radi za građane i privredu</w:t>
                        </w:r>
                        <w:r>
                          <w:rPr>
                            <w:smallCaps/>
                            <w:color w:val="333C3D" w:themeColor="accent5" w:themeShade="80"/>
                            <w:kern w:val="20"/>
                            <w:lang w:val="sr-Latn-RS"/>
                          </w:rPr>
                          <w:t>,</w:t>
                        </w:r>
                        <w:r w:rsidRPr="00E904A1">
                          <w:rPr>
                            <w:smallCaps/>
                            <w:color w:val="333C3D" w:themeColor="accent5" w:themeShade="80"/>
                            <w:kern w:val="20"/>
                            <w:lang w:val="sr-Latn-RS"/>
                          </w:rPr>
                          <w:t xml:space="preserve"> a kada napravi grešku, prizna je i trudi se da je ispravi</w:t>
                        </w:r>
                      </w:p>
                      <w:p w:rsidR="00F735BC" w:rsidRDefault="00F735BC" w:rsidP="00662875">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v:textbox>
                </v:shape>
                <w10:wrap type="square" anchorx="margin" anchory="page"/>
              </v:group>
            </w:pict>
          </mc:Fallback>
        </mc:AlternateContent>
      </w:r>
      <w:r w:rsidR="00D44880" w:rsidRPr="007B43C4">
        <w:rPr>
          <w:rFonts w:asciiTheme="majorHAnsi" w:hAnsiTheme="majorHAnsi" w:cstheme="majorHAnsi"/>
          <w:color w:val="auto"/>
          <w:sz w:val="24"/>
          <w:szCs w:val="24"/>
          <w:lang w:eastAsia="en-US"/>
        </w:rPr>
        <w:t>Efikasnost i zakonitost u radu organa javne uprave podliježe spoljnom i unutrašnjem nadzoru i kontrol</w:t>
      </w:r>
      <w:r w:rsidR="00D44880" w:rsidRPr="00B26604">
        <w:rPr>
          <w:rFonts w:asciiTheme="majorHAnsi" w:hAnsiTheme="majorHAnsi" w:cstheme="majorHAnsi"/>
          <w:color w:val="auto"/>
          <w:sz w:val="24"/>
          <w:szCs w:val="24"/>
          <w:lang w:eastAsia="en-US"/>
        </w:rPr>
        <w:t>i</w:t>
      </w:r>
      <w:r w:rsidR="00B26604">
        <w:rPr>
          <w:rFonts w:asciiTheme="majorHAnsi" w:hAnsiTheme="majorHAnsi" w:cstheme="majorHAnsi"/>
          <w:color w:val="auto"/>
          <w:sz w:val="24"/>
          <w:szCs w:val="24"/>
          <w:lang w:eastAsia="en-US"/>
        </w:rPr>
        <w:t xml:space="preserve">. </w:t>
      </w:r>
      <w:r w:rsidRPr="007B43C4">
        <w:rPr>
          <w:rFonts w:asciiTheme="majorHAnsi" w:hAnsiTheme="majorHAnsi" w:cstheme="majorHAnsi"/>
          <w:b/>
          <w:color w:val="auto"/>
          <w:sz w:val="24"/>
          <w:szCs w:val="24"/>
          <w:lang w:eastAsia="en-US"/>
        </w:rPr>
        <w:t>Spoljnu kontrolu</w:t>
      </w:r>
      <w:r w:rsidR="00D44880" w:rsidRPr="007B43C4">
        <w:rPr>
          <w:rFonts w:asciiTheme="majorHAnsi" w:hAnsiTheme="majorHAnsi" w:cstheme="majorHAnsi"/>
          <w:b/>
          <w:color w:val="auto"/>
          <w:sz w:val="24"/>
          <w:szCs w:val="24"/>
          <w:lang w:eastAsia="en-US"/>
        </w:rPr>
        <w:t xml:space="preserve"> </w:t>
      </w:r>
      <w:r w:rsidR="00D44880" w:rsidRPr="007B43C4">
        <w:rPr>
          <w:rFonts w:asciiTheme="majorHAnsi" w:hAnsiTheme="majorHAnsi" w:cstheme="majorHAnsi"/>
          <w:color w:val="auto"/>
          <w:sz w:val="24"/>
          <w:szCs w:val="24"/>
          <w:lang w:eastAsia="en-US"/>
        </w:rPr>
        <w:t>sprovode Upravni i Ustavni sud, Zaštitnik ljudskih prava i sloboda CG – Ombudsman,</w:t>
      </w:r>
      <w:r w:rsidR="00D44880" w:rsidRPr="007B43C4">
        <w:rPr>
          <w:rFonts w:asciiTheme="majorHAnsi" w:eastAsia="Calibri" w:hAnsiTheme="majorHAnsi" w:cstheme="majorHAnsi"/>
          <w:color w:val="auto"/>
          <w:kern w:val="0"/>
          <w:sz w:val="24"/>
          <w:szCs w:val="24"/>
          <w:lang w:eastAsia="en-US"/>
        </w:rPr>
        <w:t xml:space="preserve"> Državna revizorska institucija, </w:t>
      </w:r>
      <w:r w:rsidR="00D44880" w:rsidRPr="007B43C4">
        <w:rPr>
          <w:rFonts w:asciiTheme="majorHAnsi" w:hAnsiTheme="majorHAnsi" w:cstheme="majorHAnsi"/>
          <w:bCs/>
          <w:color w:val="auto"/>
          <w:sz w:val="24"/>
          <w:szCs w:val="24"/>
          <w:shd w:val="clear" w:color="auto" w:fill="FFFFFF"/>
        </w:rPr>
        <w:t>Zaštitnik imovinsko-pravnih interesa.</w:t>
      </w:r>
    </w:p>
    <w:p w:rsidR="00D625B3" w:rsidRPr="007B43C4" w:rsidRDefault="00D44880" w:rsidP="007B43C4">
      <w:pPr>
        <w:tabs>
          <w:tab w:val="left" w:pos="850"/>
          <w:tab w:val="left" w:pos="1531"/>
        </w:tabs>
        <w:spacing w:before="60" w:after="60" w:line="240" w:lineRule="auto"/>
        <w:ind w:right="-475"/>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b/>
          <w:color w:val="auto"/>
          <w:kern w:val="0"/>
          <w:sz w:val="24"/>
          <w:szCs w:val="24"/>
          <w:lang w:eastAsia="en-US"/>
        </w:rPr>
        <w:t>S</w:t>
      </w:r>
      <w:r w:rsidR="000B2DC3" w:rsidRPr="007B43C4">
        <w:rPr>
          <w:rFonts w:asciiTheme="majorHAnsi" w:eastAsia="Calibri" w:hAnsiTheme="majorHAnsi" w:cstheme="majorHAnsi"/>
          <w:b/>
          <w:color w:val="auto"/>
          <w:kern w:val="0"/>
          <w:sz w:val="24"/>
          <w:szCs w:val="24"/>
          <w:lang w:eastAsia="en-US"/>
        </w:rPr>
        <w:t>udska kontrola zakonitosti upravnih akata od strane Upravnog suda Crne Gore</w:t>
      </w:r>
      <w:r w:rsidR="000B2DC3" w:rsidRPr="007B43C4">
        <w:rPr>
          <w:rFonts w:asciiTheme="majorHAnsi" w:eastAsia="Calibri" w:hAnsiTheme="majorHAnsi" w:cstheme="majorHAnsi"/>
          <w:color w:val="auto"/>
          <w:kern w:val="0"/>
          <w:sz w:val="24"/>
          <w:szCs w:val="24"/>
          <w:lang w:eastAsia="en-US"/>
        </w:rPr>
        <w:t xml:space="preserve"> pokazuje da je i dalje veliki priliv predmeta, da zbog toga značajno je povećana dužina trajanja upravnih sporova</w:t>
      </w:r>
      <w:r w:rsidR="00135174" w:rsidRPr="007B43C4">
        <w:rPr>
          <w:rFonts w:asciiTheme="majorHAnsi" w:eastAsia="Calibri" w:hAnsiTheme="majorHAnsi" w:cstheme="majorHAnsi"/>
          <w:color w:val="auto"/>
          <w:kern w:val="0"/>
          <w:sz w:val="24"/>
          <w:szCs w:val="24"/>
          <w:lang w:eastAsia="en-US"/>
        </w:rPr>
        <w:t xml:space="preserve"> ( sa planiranih 4 mjeseca, prosječna dužina upravnog spora pred Upravnim sudom je 17 mjeseci)</w:t>
      </w:r>
      <w:r w:rsidR="000B2DC3" w:rsidRPr="007B43C4">
        <w:rPr>
          <w:rFonts w:asciiTheme="majorHAnsi" w:eastAsia="Calibri" w:hAnsiTheme="majorHAnsi" w:cstheme="majorHAnsi"/>
          <w:color w:val="auto"/>
          <w:kern w:val="0"/>
          <w:sz w:val="24"/>
          <w:szCs w:val="24"/>
          <w:lang w:eastAsia="en-US"/>
        </w:rPr>
        <w:t xml:space="preserve">, ali je nivo zakonitosti u odlučivanju zadovoljavajući. U postupku preispitivanja zakonitosti odluka organa od strane Upravnog suda, povećan je procenat poništenih rješenja. </w:t>
      </w:r>
      <w:r w:rsidR="00D625B3" w:rsidRPr="007B43C4">
        <w:rPr>
          <w:rFonts w:asciiTheme="majorHAnsi" w:eastAsia="Times New Roman" w:hAnsiTheme="majorHAnsi" w:cstheme="majorHAnsi"/>
          <w:color w:val="auto"/>
          <w:kern w:val="0"/>
          <w:sz w:val="24"/>
          <w:szCs w:val="24"/>
          <w:lang w:eastAsia="en-GB"/>
        </w:rPr>
        <w:t xml:space="preserve">Procenat upravnih akata koji su </w:t>
      </w:r>
      <w:r w:rsidR="00D625B3" w:rsidRPr="007B43C4">
        <w:rPr>
          <w:rFonts w:asciiTheme="majorHAnsi" w:eastAsia="Times New Roman" w:hAnsiTheme="majorHAnsi" w:cstheme="majorHAnsi"/>
          <w:color w:val="auto"/>
          <w:kern w:val="0"/>
          <w:sz w:val="24"/>
          <w:szCs w:val="24"/>
          <w:lang w:eastAsia="en-GB"/>
        </w:rPr>
        <w:lastRenderedPageBreak/>
        <w:t xml:space="preserve">poništeni od strane Upravnog suda u odnosu na ukupan broj podnijetih tužbi porastao je sa </w:t>
      </w:r>
      <w:r w:rsidR="00D625B3" w:rsidRPr="007B43C4">
        <w:rPr>
          <w:rFonts w:asciiTheme="majorHAnsi" w:eastAsia="Calibri" w:hAnsiTheme="majorHAnsi" w:cstheme="majorHAnsi"/>
          <w:color w:val="auto"/>
          <w:kern w:val="0"/>
          <w:sz w:val="24"/>
          <w:szCs w:val="24"/>
          <w:lang w:eastAsia="en-US"/>
        </w:rPr>
        <w:t>15,17% (2018. godina) na</w:t>
      </w:r>
      <w:r w:rsidR="00D625B3" w:rsidRPr="007B43C4">
        <w:rPr>
          <w:rFonts w:asciiTheme="majorHAnsi" w:eastAsia="Times New Roman" w:hAnsiTheme="majorHAnsi" w:cstheme="majorHAnsi"/>
          <w:color w:val="auto"/>
          <w:kern w:val="0"/>
          <w:sz w:val="24"/>
          <w:szCs w:val="24"/>
          <w:lang w:eastAsia="en-GB"/>
        </w:rPr>
        <w:t xml:space="preserve"> 20,33% u 2020. godini</w:t>
      </w:r>
      <w:r w:rsidR="00D625B3" w:rsidRPr="007B43C4">
        <w:rPr>
          <w:rFonts w:asciiTheme="majorHAnsi" w:eastAsia="Calibri" w:hAnsiTheme="majorHAnsi" w:cstheme="majorHAnsi"/>
          <w:color w:val="auto"/>
          <w:kern w:val="0"/>
          <w:sz w:val="24"/>
          <w:szCs w:val="24"/>
          <w:lang w:eastAsia="en-US"/>
        </w:rPr>
        <w:t>.</w:t>
      </w:r>
      <w:r w:rsidR="00D625B3" w:rsidRPr="007B43C4">
        <w:rPr>
          <w:rFonts w:asciiTheme="majorHAnsi" w:eastAsia="Calibri" w:hAnsiTheme="majorHAnsi" w:cstheme="majorHAnsi"/>
          <w:color w:val="auto"/>
          <w:sz w:val="24"/>
          <w:szCs w:val="24"/>
          <w:vertAlign w:val="superscript"/>
          <w:lang w:eastAsia="en-US"/>
        </w:rPr>
        <w:footnoteReference w:id="30"/>
      </w:r>
      <w:r w:rsidR="00D625B3" w:rsidRPr="007B43C4">
        <w:rPr>
          <w:rFonts w:asciiTheme="majorHAnsi" w:eastAsia="Calibri" w:hAnsiTheme="majorHAnsi" w:cstheme="majorHAnsi"/>
          <w:color w:val="auto"/>
          <w:kern w:val="0"/>
          <w:sz w:val="24"/>
          <w:szCs w:val="24"/>
          <w:lang w:eastAsia="en-US"/>
        </w:rPr>
        <w:t xml:space="preserve"> </w:t>
      </w:r>
    </w:p>
    <w:p w:rsidR="000B2DC3" w:rsidRPr="007B43C4" w:rsidRDefault="00D44880" w:rsidP="007B43C4">
      <w:pPr>
        <w:spacing w:before="60" w:after="60" w:line="240" w:lineRule="auto"/>
        <w:ind w:right="-475"/>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I</w:t>
      </w:r>
      <w:r w:rsidR="000B2DC3" w:rsidRPr="007B43C4">
        <w:rPr>
          <w:rFonts w:asciiTheme="majorHAnsi" w:eastAsia="Calibri" w:hAnsiTheme="majorHAnsi" w:cstheme="majorHAnsi"/>
          <w:color w:val="auto"/>
          <w:kern w:val="0"/>
          <w:sz w:val="24"/>
          <w:szCs w:val="24"/>
          <w:lang w:eastAsia="en-US"/>
        </w:rPr>
        <w:t xml:space="preserve">znos </w:t>
      </w:r>
      <w:r w:rsidR="000B2DC3" w:rsidRPr="007B43C4">
        <w:rPr>
          <w:rFonts w:asciiTheme="majorHAnsi" w:eastAsia="Calibri" w:hAnsiTheme="majorHAnsi" w:cstheme="majorHAnsi"/>
          <w:b/>
          <w:color w:val="auto"/>
          <w:kern w:val="0"/>
          <w:sz w:val="24"/>
          <w:szCs w:val="24"/>
          <w:lang w:eastAsia="en-US"/>
        </w:rPr>
        <w:t>sudskih presuda plaćenih</w:t>
      </w:r>
      <w:r w:rsidR="000B2DC3" w:rsidRPr="007B43C4">
        <w:rPr>
          <w:rFonts w:asciiTheme="majorHAnsi" w:eastAsia="Calibri" w:hAnsiTheme="majorHAnsi" w:cstheme="majorHAnsi"/>
          <w:color w:val="auto"/>
          <w:kern w:val="0"/>
          <w:sz w:val="24"/>
          <w:szCs w:val="24"/>
          <w:lang w:eastAsia="en-US"/>
        </w:rPr>
        <w:t xml:space="preserve"> od strane države u 2018. godini iznosi 15.401.122,21€,</w:t>
      </w:r>
      <w:r w:rsidR="000B2DC3" w:rsidRPr="007B43C4">
        <w:rPr>
          <w:rFonts w:asciiTheme="majorHAnsi" w:eastAsia="Calibri" w:hAnsiTheme="majorHAnsi" w:cstheme="majorHAnsi"/>
          <w:color w:val="auto"/>
          <w:kern w:val="0"/>
          <w:sz w:val="24"/>
          <w:szCs w:val="24"/>
          <w:vertAlign w:val="superscript"/>
          <w:lang w:eastAsia="en-US"/>
        </w:rPr>
        <w:footnoteReference w:id="31"/>
      </w:r>
      <w:r w:rsidR="000B2DC3" w:rsidRPr="007B43C4">
        <w:rPr>
          <w:rFonts w:asciiTheme="majorHAnsi" w:eastAsia="Calibri" w:hAnsiTheme="majorHAnsi" w:cstheme="majorHAnsi"/>
          <w:color w:val="auto"/>
          <w:kern w:val="0"/>
          <w:sz w:val="24"/>
          <w:szCs w:val="24"/>
          <w:lang w:eastAsia="en-US"/>
        </w:rPr>
        <w:t xml:space="preserve"> a u 2020. godini raste na 17.818.124.22€.</w:t>
      </w:r>
      <w:r w:rsidR="000B2DC3" w:rsidRPr="007B43C4">
        <w:rPr>
          <w:rFonts w:asciiTheme="majorHAnsi" w:eastAsia="Calibri" w:hAnsiTheme="majorHAnsi" w:cstheme="majorHAnsi"/>
          <w:color w:val="auto"/>
          <w:kern w:val="0"/>
          <w:sz w:val="24"/>
          <w:szCs w:val="24"/>
          <w:vertAlign w:val="superscript"/>
          <w:lang w:eastAsia="en-US"/>
        </w:rPr>
        <w:footnoteReference w:id="32"/>
      </w:r>
      <w:r w:rsidR="00E83DEC">
        <w:rPr>
          <w:rFonts w:asciiTheme="majorHAnsi" w:eastAsia="Calibri" w:hAnsiTheme="majorHAnsi" w:cstheme="majorHAnsi"/>
          <w:color w:val="auto"/>
          <w:kern w:val="0"/>
          <w:sz w:val="24"/>
          <w:szCs w:val="24"/>
          <w:lang w:eastAsia="en-US"/>
        </w:rPr>
        <w:t>.</w:t>
      </w:r>
      <w:r w:rsidR="000B2DC3" w:rsidRPr="007B43C4">
        <w:rPr>
          <w:rFonts w:asciiTheme="majorHAnsi" w:eastAsia="Calibri" w:hAnsiTheme="majorHAnsi" w:cstheme="majorHAnsi"/>
          <w:color w:val="auto"/>
          <w:kern w:val="0"/>
          <w:sz w:val="24"/>
          <w:szCs w:val="24"/>
          <w:lang w:eastAsia="en-US"/>
        </w:rPr>
        <w:t>To ukazuje da izazovi u obezbjeđenju zakonitosti i efikasnosti javne uprave predstavljaju teret za državni budžet, a to posljedično znači ograničenje raspoloživih resursa za pružanje javnih usluga široj javnosti.</w:t>
      </w:r>
      <w:r w:rsidR="00662875" w:rsidRPr="007B43C4">
        <w:rPr>
          <w:rFonts w:asciiTheme="majorHAnsi" w:eastAsia="Calibri" w:hAnsiTheme="majorHAnsi" w:cstheme="majorHAnsi"/>
          <w:noProof/>
          <w:color w:val="auto"/>
          <w:kern w:val="0"/>
          <w:sz w:val="24"/>
          <w:szCs w:val="24"/>
          <w:lang w:eastAsia="en-US"/>
        </w:rPr>
        <w:t xml:space="preserve"> </w:t>
      </w:r>
    </w:p>
    <w:p w:rsidR="002970EE" w:rsidRPr="007B43C4" w:rsidRDefault="00DB0093" w:rsidP="007B43C4">
      <w:pPr>
        <w:spacing w:before="60" w:after="60" w:line="240" w:lineRule="auto"/>
        <w:ind w:right="-475"/>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Pored toga, </w:t>
      </w:r>
      <w:r w:rsidRPr="007B43C4">
        <w:rPr>
          <w:rFonts w:asciiTheme="majorHAnsi" w:eastAsia="Calibri" w:hAnsiTheme="majorHAnsi" w:cstheme="majorHAnsi"/>
          <w:b/>
          <w:color w:val="auto"/>
          <w:kern w:val="0"/>
          <w:sz w:val="24"/>
          <w:szCs w:val="24"/>
          <w:lang w:eastAsia="en-US"/>
        </w:rPr>
        <w:t>broj pritužbi</w:t>
      </w:r>
      <w:r w:rsidRPr="007B43C4">
        <w:rPr>
          <w:rFonts w:asciiTheme="majorHAnsi" w:eastAsia="Calibri" w:hAnsiTheme="majorHAnsi" w:cstheme="majorHAnsi"/>
          <w:color w:val="auto"/>
          <w:kern w:val="0"/>
          <w:sz w:val="24"/>
          <w:szCs w:val="24"/>
          <w:lang w:eastAsia="en-US"/>
        </w:rPr>
        <w:t xml:space="preserve"> Zaštitniku ljudskih prava i sloboda</w:t>
      </w:r>
      <w:r w:rsidR="00D44880" w:rsidRPr="007B43C4">
        <w:rPr>
          <w:rFonts w:asciiTheme="majorHAnsi" w:eastAsia="Calibri" w:hAnsiTheme="majorHAnsi" w:cstheme="majorHAnsi"/>
          <w:color w:val="auto"/>
          <w:kern w:val="0"/>
          <w:sz w:val="24"/>
          <w:szCs w:val="24"/>
          <w:lang w:eastAsia="en-US"/>
        </w:rPr>
        <w:t xml:space="preserve"> – </w:t>
      </w:r>
      <w:r w:rsidR="00D44880" w:rsidRPr="007B43C4">
        <w:rPr>
          <w:rFonts w:asciiTheme="majorHAnsi" w:eastAsia="Calibri" w:hAnsiTheme="majorHAnsi" w:cstheme="majorHAnsi"/>
          <w:b/>
          <w:color w:val="auto"/>
          <w:kern w:val="0"/>
          <w:sz w:val="24"/>
          <w:szCs w:val="24"/>
          <w:lang w:eastAsia="en-US"/>
        </w:rPr>
        <w:t>Ombudsmanu</w:t>
      </w:r>
      <w:r w:rsidR="00D44880" w:rsidRPr="007B43C4">
        <w:rPr>
          <w:rFonts w:asciiTheme="majorHAnsi" w:eastAsia="Calibri" w:hAnsiTheme="majorHAnsi" w:cstheme="majorHAnsi"/>
          <w:color w:val="auto"/>
          <w:kern w:val="0"/>
          <w:sz w:val="24"/>
          <w:szCs w:val="24"/>
          <w:lang w:eastAsia="en-US"/>
        </w:rPr>
        <w:t>,</w:t>
      </w:r>
      <w:r w:rsidRPr="007B43C4">
        <w:rPr>
          <w:rFonts w:asciiTheme="majorHAnsi" w:eastAsia="Calibri" w:hAnsiTheme="majorHAnsi" w:cstheme="majorHAnsi"/>
          <w:color w:val="auto"/>
          <w:kern w:val="0"/>
          <w:sz w:val="24"/>
          <w:szCs w:val="24"/>
          <w:lang w:eastAsia="en-US"/>
        </w:rPr>
        <w:t xml:space="preserve"> na državne organe, organe lokalne uprave, javne službe i druge nosioce javnih ovlašćenja</w:t>
      </w:r>
      <w:r w:rsidR="00D44880" w:rsidRPr="007B43C4">
        <w:rPr>
          <w:rFonts w:asciiTheme="majorHAnsi" w:eastAsia="Calibri" w:hAnsiTheme="majorHAnsi" w:cstheme="majorHAnsi"/>
          <w:color w:val="auto"/>
          <w:kern w:val="0"/>
          <w:sz w:val="24"/>
          <w:szCs w:val="24"/>
          <w:lang w:eastAsia="en-US"/>
        </w:rPr>
        <w:t>,</w:t>
      </w:r>
      <w:r w:rsidRPr="007B43C4">
        <w:rPr>
          <w:rFonts w:asciiTheme="majorHAnsi" w:eastAsia="Calibri" w:hAnsiTheme="majorHAnsi" w:cstheme="majorHAnsi"/>
          <w:color w:val="auto"/>
          <w:kern w:val="0"/>
          <w:sz w:val="24"/>
          <w:szCs w:val="24"/>
          <w:lang w:eastAsia="en-US"/>
        </w:rPr>
        <w:t xml:space="preserve"> </w:t>
      </w:r>
      <w:r w:rsidRPr="007B43C4">
        <w:rPr>
          <w:rFonts w:asciiTheme="majorHAnsi" w:eastAsia="Calibri" w:hAnsiTheme="majorHAnsi" w:cstheme="majorHAnsi"/>
          <w:b/>
          <w:color w:val="auto"/>
          <w:kern w:val="0"/>
          <w:sz w:val="24"/>
          <w:szCs w:val="24"/>
          <w:lang w:eastAsia="en-US"/>
        </w:rPr>
        <w:t>raste</w:t>
      </w:r>
      <w:r w:rsidRPr="007B43C4">
        <w:rPr>
          <w:rFonts w:asciiTheme="majorHAnsi" w:eastAsia="Calibri" w:hAnsiTheme="majorHAnsi" w:cstheme="majorHAnsi"/>
          <w:color w:val="auto"/>
          <w:kern w:val="0"/>
          <w:sz w:val="24"/>
          <w:szCs w:val="24"/>
          <w:lang w:eastAsia="en-US"/>
        </w:rPr>
        <w:t xml:space="preserve"> (224 pritužbe u 2019. godini, 269 u 2020. godini). Zaštitnik ukazuje da u najvećem broju podnešenih pritužbi nije naveden organ na čije se postupanje podnosioci žale, već su se takve pritužbe u najvećem broju odnosile na nemogućnost stranke da ostvari neko svoje pravo, ili zahtjeve da im se pomogne/posreduje u ostvarivanju potencijalnog prava.  Primijećen je porast broja pritužbi vezano za rad i odlučivanje komisija za obeštećenje (Bar, Podgorica, Bijelo Polje), kao i područnih jedinica Uprave za nekretnine u kojima je identifikovan problem dugog trajanja postupaka, kao i nekorišćenje zakonske mogućnosti od strane drugostepenih organa (kao i Upravnog suda Crne Gore), da sami riješe upravnu stvar, koji problem će biti kasnije razrađen u okviru prava koje je prekršeno u konkretnom slučaju, zajedno sa preporukom u cilju prevazilaženja problema. </w:t>
      </w:r>
      <w:r w:rsidR="00CF1C35" w:rsidRPr="007B43C4">
        <w:rPr>
          <w:rFonts w:asciiTheme="majorHAnsi" w:eastAsia="Calibri" w:hAnsiTheme="majorHAnsi" w:cstheme="majorHAnsi"/>
          <w:color w:val="auto"/>
          <w:kern w:val="0"/>
          <w:sz w:val="24"/>
          <w:szCs w:val="24"/>
          <w:lang w:eastAsia="en-US"/>
        </w:rPr>
        <w:t>U</w:t>
      </w:r>
      <w:r w:rsidRPr="007B43C4">
        <w:rPr>
          <w:rFonts w:asciiTheme="majorHAnsi" w:eastAsia="Calibri" w:hAnsiTheme="majorHAnsi" w:cstheme="majorHAnsi"/>
          <w:color w:val="auto"/>
          <w:kern w:val="0"/>
          <w:sz w:val="24"/>
          <w:szCs w:val="24"/>
          <w:lang w:eastAsia="en-US"/>
        </w:rPr>
        <w:t xml:space="preserve"> određenom broju predmeta forimiranih po pritužbi uočeno</w:t>
      </w:r>
      <w:r w:rsidR="002751F0" w:rsidRPr="007B43C4">
        <w:rPr>
          <w:rFonts w:asciiTheme="majorHAnsi" w:eastAsia="Calibri" w:hAnsiTheme="majorHAnsi" w:cstheme="majorHAnsi"/>
          <w:color w:val="auto"/>
          <w:kern w:val="0"/>
          <w:sz w:val="24"/>
          <w:szCs w:val="24"/>
          <w:lang w:eastAsia="en-US"/>
        </w:rPr>
        <w:t xml:space="preserve"> je </w:t>
      </w:r>
      <w:r w:rsidRPr="007B43C4">
        <w:rPr>
          <w:rFonts w:asciiTheme="majorHAnsi" w:eastAsia="Calibri" w:hAnsiTheme="majorHAnsi" w:cstheme="majorHAnsi"/>
          <w:color w:val="auto"/>
          <w:kern w:val="0"/>
          <w:sz w:val="24"/>
          <w:szCs w:val="24"/>
          <w:lang w:eastAsia="en-US"/>
        </w:rPr>
        <w:t>da nije bilo riječi o složenom pravnom pitanju koje bi opravdalo tako dugo trajanje ovih upravnih postupaka. U pogledu rada inspekcijskih službi, iako je Zaštitnik zapazio njihov aktivniji rad, Zaštitnik ukazuje da je neophodno njihovo proaktivnije djelovanje. Nedovoljan broj inspektora otežava rad inspekcije, i to je, po njihovim navodima jedan od razloga zašto dovoljno ne postupaju po službenoj dužnosti.</w:t>
      </w:r>
      <w:r w:rsidRPr="007B43C4">
        <w:rPr>
          <w:rFonts w:asciiTheme="majorHAnsi" w:eastAsia="Calibri" w:hAnsiTheme="majorHAnsi" w:cstheme="majorHAnsi"/>
          <w:color w:val="auto"/>
          <w:sz w:val="24"/>
          <w:szCs w:val="24"/>
          <w:vertAlign w:val="superscript"/>
          <w:lang w:eastAsia="en-US"/>
        </w:rPr>
        <w:footnoteReference w:id="33"/>
      </w:r>
      <w:r w:rsidRPr="007B43C4">
        <w:rPr>
          <w:rFonts w:asciiTheme="majorHAnsi" w:eastAsia="Calibri" w:hAnsiTheme="majorHAnsi" w:cstheme="majorHAnsi"/>
          <w:color w:val="auto"/>
          <w:kern w:val="0"/>
          <w:sz w:val="24"/>
          <w:szCs w:val="24"/>
          <w:lang w:eastAsia="en-US"/>
        </w:rPr>
        <w:t xml:space="preserve"> Dodatno, nije ustanovljen mehanizam za praćenje sprovođenja preporuka Zaštitnika, pa ne postoji kompletna statistika koliko organa zaista postupa po preporukama Zaštitnika.</w:t>
      </w:r>
    </w:p>
    <w:p w:rsidR="00E83DEC" w:rsidRPr="00E83DEC" w:rsidRDefault="00E83DEC" w:rsidP="007B43C4">
      <w:pPr>
        <w:spacing w:before="60" w:after="60" w:line="240" w:lineRule="auto"/>
        <w:ind w:right="-471"/>
        <w:jc w:val="both"/>
        <w:rPr>
          <w:rFonts w:asciiTheme="majorHAnsi" w:hAnsiTheme="majorHAnsi" w:cstheme="majorHAnsi"/>
          <w:color w:val="auto"/>
          <w:sz w:val="24"/>
          <w:szCs w:val="24"/>
        </w:rPr>
      </w:pPr>
      <w:r w:rsidRPr="00E83DEC">
        <w:rPr>
          <w:rFonts w:asciiTheme="majorHAnsi" w:hAnsiTheme="majorHAnsi" w:cstheme="majorHAnsi"/>
          <w:b/>
          <w:color w:val="auto"/>
          <w:sz w:val="24"/>
          <w:szCs w:val="24"/>
        </w:rPr>
        <w:t xml:space="preserve">Upravljačka odgovornost </w:t>
      </w:r>
      <w:r w:rsidRPr="000078E3">
        <w:rPr>
          <w:rFonts w:asciiTheme="majorHAnsi" w:hAnsiTheme="majorHAnsi" w:cstheme="majorHAnsi"/>
          <w:color w:val="auto"/>
          <w:sz w:val="24"/>
          <w:szCs w:val="24"/>
        </w:rPr>
        <w:t xml:space="preserve">predstavlja osnovu za bolji kvalitet usluga državne uprave, davanje ocjene menadžmenta i mjerenje učinka u većini državnih organa Crne Gore.  Upravljačka odgovornost je ključni alat nadzora koji će koristiti Vlada Crne Gore kako bi doprinijela kvalitetu državne uprave i </w:t>
      </w:r>
      <w:r>
        <w:rPr>
          <w:rFonts w:asciiTheme="majorHAnsi" w:hAnsiTheme="majorHAnsi" w:cstheme="majorHAnsi"/>
          <w:color w:val="auto"/>
          <w:sz w:val="24"/>
          <w:szCs w:val="24"/>
        </w:rPr>
        <w:t>postizanju definisanih ciljeva.</w:t>
      </w:r>
      <w:r w:rsidR="00977301" w:rsidRPr="00977301">
        <w:rPr>
          <w:rFonts w:asciiTheme="majorHAnsi" w:hAnsiTheme="majorHAnsi" w:cstheme="majorHAnsi"/>
          <w:color w:val="auto"/>
          <w:sz w:val="24"/>
          <w:szCs w:val="24"/>
        </w:rPr>
        <w:t xml:space="preserve"> </w:t>
      </w:r>
      <w:r w:rsidR="00977301" w:rsidRPr="000078E3">
        <w:rPr>
          <w:rFonts w:asciiTheme="majorHAnsi" w:hAnsiTheme="majorHAnsi" w:cstheme="majorHAnsi"/>
          <w:color w:val="auto"/>
          <w:sz w:val="24"/>
          <w:szCs w:val="24"/>
        </w:rPr>
        <w:t xml:space="preserve">Sa jasno definisanim sistemom prenošenja ovlašćenja i uspostavljanjem odgovarajućih linija izvještavanja, uključujući i jasne ciljeve i pokazatelje učinka, rukovodilac može da zadrži opštu ulogu nadzora i kontrole i da ostvari mnogo više, uzevši u obzir da se bez dnevnih administrativnih poslova može jasno fokusirati na strateški okvir i postizanje ciljeva subjekta. Takva organizacija može rukovodioca subjekta u razumnoj mjeri uvjeriti da će ciljevi biti ostvareni u skladu sa </w:t>
      </w:r>
      <w:r w:rsidR="00977301" w:rsidRPr="000078E3">
        <w:rPr>
          <w:rFonts w:asciiTheme="majorHAnsi" w:hAnsiTheme="majorHAnsi" w:cstheme="majorHAnsi"/>
          <w:color w:val="auto"/>
          <w:sz w:val="24"/>
          <w:szCs w:val="24"/>
        </w:rPr>
        <w:lastRenderedPageBreak/>
        <w:t>planiranim budžetom, da će poslovni procesi biti efektivno i efikasno sprovedeni, da se relevantni zakoni i propisi poštuju i da se odluke donose u javnom interesu.</w:t>
      </w:r>
    </w:p>
    <w:p w:rsidR="00402A69" w:rsidRDefault="00E83DEC" w:rsidP="007B43C4">
      <w:pPr>
        <w:spacing w:before="60" w:after="60" w:line="240" w:lineRule="auto"/>
        <w:ind w:right="-471"/>
        <w:jc w:val="both"/>
        <w:rPr>
          <w:rFonts w:asciiTheme="majorHAnsi" w:eastAsia="Times New Roman" w:hAnsiTheme="majorHAnsi" w:cstheme="majorHAnsi"/>
          <w:color w:val="auto"/>
          <w:kern w:val="0"/>
          <w:sz w:val="24"/>
          <w:szCs w:val="24"/>
          <w:lang w:eastAsia="sr-Latn-ME"/>
        </w:rPr>
      </w:pPr>
      <w:r>
        <w:rPr>
          <w:rFonts w:asciiTheme="majorHAnsi" w:eastAsia="Times New Roman" w:hAnsiTheme="majorHAnsi" w:cstheme="majorHAnsi"/>
          <w:color w:val="auto"/>
          <w:kern w:val="0"/>
          <w:sz w:val="24"/>
          <w:szCs w:val="24"/>
          <w:lang w:eastAsia="sr-Latn-ME"/>
        </w:rPr>
        <w:t>Medjutim,</w:t>
      </w:r>
      <w:r w:rsidRPr="00E83DEC">
        <w:rPr>
          <w:rFonts w:asciiTheme="majorHAnsi" w:eastAsia="Calibri" w:hAnsiTheme="majorHAnsi" w:cstheme="majorHAnsi"/>
          <w:color w:val="auto"/>
          <w:kern w:val="0"/>
          <w:sz w:val="24"/>
          <w:szCs w:val="24"/>
          <w:lang w:eastAsia="en-US"/>
        </w:rPr>
        <w:t xml:space="preserve"> </w:t>
      </w:r>
      <w:r w:rsidRPr="007B43C4">
        <w:rPr>
          <w:rFonts w:asciiTheme="majorHAnsi" w:eastAsia="Calibri" w:hAnsiTheme="majorHAnsi" w:cstheme="majorHAnsi"/>
          <w:color w:val="auto"/>
          <w:kern w:val="0"/>
          <w:sz w:val="24"/>
          <w:szCs w:val="24"/>
          <w:lang w:eastAsia="en-US"/>
        </w:rPr>
        <w:t xml:space="preserve">I pored toga </w:t>
      </w:r>
      <w:r w:rsidRPr="007B43C4">
        <w:rPr>
          <w:rFonts w:asciiTheme="majorHAnsi" w:eastAsia="Times New Roman" w:hAnsiTheme="majorHAnsi" w:cstheme="majorHAnsi"/>
          <w:color w:val="auto"/>
          <w:kern w:val="0"/>
          <w:sz w:val="24"/>
          <w:szCs w:val="24"/>
          <w:lang w:eastAsia="sr-Latn-ME"/>
        </w:rPr>
        <w:t xml:space="preserve">što je zakonodavni okvir za implementiranje </w:t>
      </w:r>
      <w:r w:rsidRPr="00E83DEC">
        <w:rPr>
          <w:rFonts w:asciiTheme="majorHAnsi" w:eastAsia="Times New Roman" w:hAnsiTheme="majorHAnsi" w:cstheme="majorHAnsi"/>
          <w:color w:val="auto"/>
          <w:kern w:val="0"/>
          <w:sz w:val="24"/>
          <w:szCs w:val="24"/>
          <w:lang w:eastAsia="sr-Latn-ME"/>
        </w:rPr>
        <w:t xml:space="preserve">koncepta upravljačke odgovornosti </w:t>
      </w:r>
      <w:r w:rsidR="00977301">
        <w:rPr>
          <w:rFonts w:asciiTheme="majorHAnsi" w:eastAsia="Times New Roman" w:hAnsiTheme="majorHAnsi" w:cstheme="majorHAnsi"/>
          <w:color w:val="auto"/>
          <w:kern w:val="0"/>
          <w:sz w:val="24"/>
          <w:szCs w:val="24"/>
          <w:lang w:eastAsia="sr-Latn-ME"/>
        </w:rPr>
        <w:t xml:space="preserve">u Crnoj Gori </w:t>
      </w:r>
      <w:r w:rsidRPr="007B43C4">
        <w:rPr>
          <w:rFonts w:asciiTheme="majorHAnsi" w:eastAsia="Times New Roman" w:hAnsiTheme="majorHAnsi" w:cstheme="majorHAnsi"/>
          <w:color w:val="auto"/>
          <w:kern w:val="0"/>
          <w:sz w:val="24"/>
          <w:szCs w:val="24"/>
          <w:lang w:eastAsia="sr-Latn-ME"/>
        </w:rPr>
        <w:t xml:space="preserve">uspostavljen, implementacija koncepta i dalje predstavlja izazov. </w:t>
      </w:r>
      <w:r>
        <w:rPr>
          <w:rFonts w:asciiTheme="majorHAnsi" w:eastAsia="Times New Roman" w:hAnsiTheme="majorHAnsi" w:cstheme="majorHAnsi"/>
          <w:color w:val="auto"/>
          <w:kern w:val="0"/>
          <w:sz w:val="24"/>
          <w:szCs w:val="24"/>
          <w:lang w:eastAsia="sr-Latn-ME"/>
        </w:rPr>
        <w:t xml:space="preserve"> </w:t>
      </w:r>
      <w:r w:rsidR="00402A69" w:rsidRPr="007B43C4">
        <w:rPr>
          <w:rFonts w:asciiTheme="majorHAnsi" w:eastAsia="Times New Roman" w:hAnsiTheme="majorHAnsi" w:cstheme="majorHAnsi"/>
          <w:color w:val="auto"/>
          <w:kern w:val="0"/>
          <w:sz w:val="24"/>
          <w:szCs w:val="24"/>
          <w:lang w:eastAsia="sr-Latn-ME"/>
        </w:rPr>
        <w:t>Prema podacima za 2020. godinu iz Završnog izvještaja o implementaciji Strategije reforme javne uprave 2016–2020. samo 8,3% ministarstava je povjerilo odgovornosti i ovlašćenja za finansijsko upravljanje.</w:t>
      </w:r>
      <w:r w:rsidR="00402A69" w:rsidRPr="007B43C4">
        <w:rPr>
          <w:rFonts w:asciiTheme="majorHAnsi" w:eastAsia="Times New Roman" w:hAnsiTheme="majorHAnsi" w:cstheme="majorHAnsi"/>
          <w:color w:val="auto"/>
          <w:kern w:val="0"/>
          <w:sz w:val="24"/>
          <w:szCs w:val="24"/>
          <w:vertAlign w:val="superscript"/>
          <w:lang w:eastAsia="sr-Latn-ME"/>
        </w:rPr>
        <w:footnoteReference w:id="34"/>
      </w:r>
    </w:p>
    <w:p w:rsidR="00E77433" w:rsidRPr="007B43C4" w:rsidRDefault="00DB0093" w:rsidP="007B43C4">
      <w:pPr>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Times New Roman" w:hAnsiTheme="majorHAnsi" w:cstheme="majorHAnsi"/>
          <w:color w:val="auto"/>
          <w:kern w:val="0"/>
          <w:sz w:val="24"/>
          <w:szCs w:val="24"/>
          <w:lang w:eastAsia="sr-Latn-ME"/>
        </w:rPr>
        <w:t xml:space="preserve">Razlozi za </w:t>
      </w:r>
      <w:r w:rsidR="00E0397B" w:rsidRPr="007B43C4">
        <w:rPr>
          <w:rFonts w:asciiTheme="majorHAnsi" w:eastAsia="Times New Roman" w:hAnsiTheme="majorHAnsi" w:cstheme="majorHAnsi"/>
          <w:color w:val="auto"/>
          <w:kern w:val="0"/>
          <w:sz w:val="24"/>
          <w:szCs w:val="24"/>
          <w:lang w:eastAsia="sr-Latn-ME"/>
        </w:rPr>
        <w:t>izostanak</w:t>
      </w:r>
      <w:r w:rsidRPr="007B43C4">
        <w:rPr>
          <w:rFonts w:asciiTheme="majorHAnsi" w:eastAsia="Times New Roman" w:hAnsiTheme="majorHAnsi" w:cstheme="majorHAnsi"/>
          <w:color w:val="auto"/>
          <w:kern w:val="0"/>
          <w:sz w:val="24"/>
          <w:szCs w:val="24"/>
          <w:lang w:eastAsia="sr-Latn-ME"/>
        </w:rPr>
        <w:t>primjene</w:t>
      </w:r>
      <w:r w:rsidR="00E0397B" w:rsidRPr="007B43C4">
        <w:rPr>
          <w:rFonts w:asciiTheme="majorHAnsi" w:eastAsia="Times New Roman" w:hAnsiTheme="majorHAnsi" w:cstheme="majorHAnsi"/>
          <w:color w:val="auto"/>
          <w:kern w:val="0"/>
          <w:sz w:val="24"/>
          <w:szCs w:val="24"/>
          <w:lang w:eastAsia="sr-Latn-ME"/>
        </w:rPr>
        <w:t xml:space="preserve"> navedenog</w:t>
      </w:r>
      <w:r w:rsidRPr="007B43C4">
        <w:rPr>
          <w:rFonts w:asciiTheme="majorHAnsi" w:eastAsia="Times New Roman" w:hAnsiTheme="majorHAnsi" w:cstheme="majorHAnsi"/>
          <w:color w:val="auto"/>
          <w:kern w:val="0"/>
          <w:sz w:val="24"/>
          <w:szCs w:val="24"/>
          <w:lang w:eastAsia="sr-Latn-ME"/>
        </w:rPr>
        <w:t xml:space="preserve"> koncepta su </w:t>
      </w:r>
      <w:r w:rsidRPr="007B43C4">
        <w:rPr>
          <w:rFonts w:asciiTheme="majorHAnsi" w:eastAsia="Times New Roman" w:hAnsiTheme="majorHAnsi" w:cstheme="majorHAnsi"/>
          <w:b/>
          <w:color w:val="auto"/>
          <w:kern w:val="0"/>
          <w:sz w:val="24"/>
          <w:szCs w:val="24"/>
          <w:lang w:eastAsia="sr-Latn-ME"/>
        </w:rPr>
        <w:t>nedovoljno razvijeni mehanizmi planiranja i izvještavanja</w:t>
      </w:r>
      <w:r w:rsidRPr="007B43C4">
        <w:rPr>
          <w:rFonts w:asciiTheme="majorHAnsi" w:eastAsia="Times New Roman" w:hAnsiTheme="majorHAnsi" w:cstheme="majorHAnsi"/>
          <w:color w:val="auto"/>
          <w:kern w:val="0"/>
          <w:sz w:val="24"/>
          <w:szCs w:val="24"/>
          <w:lang w:eastAsia="sr-Latn-ME"/>
        </w:rPr>
        <w:t xml:space="preserve"> na nivou organizacija javne uprave. Planiranje politika kojima se postižu ci</w:t>
      </w:r>
      <w:r w:rsidR="009C077B" w:rsidRPr="007B43C4">
        <w:rPr>
          <w:rFonts w:asciiTheme="majorHAnsi" w:eastAsia="Times New Roman" w:hAnsiTheme="majorHAnsi" w:cstheme="majorHAnsi"/>
          <w:color w:val="auto"/>
          <w:kern w:val="0"/>
          <w:sz w:val="24"/>
          <w:szCs w:val="24"/>
          <w:lang w:eastAsia="sr-Latn-ME"/>
        </w:rPr>
        <w:t>ljevi koje vlada postavlja, upr</w:t>
      </w:r>
      <w:r w:rsidRPr="007B43C4">
        <w:rPr>
          <w:rFonts w:asciiTheme="majorHAnsi" w:eastAsia="Times New Roman" w:hAnsiTheme="majorHAnsi" w:cstheme="majorHAnsi"/>
          <w:color w:val="auto"/>
          <w:kern w:val="0"/>
          <w:sz w:val="24"/>
          <w:szCs w:val="24"/>
          <w:lang w:eastAsia="sr-Latn-ME"/>
        </w:rPr>
        <w:t xml:space="preserve">kos ostvarenom </w:t>
      </w:r>
      <w:r w:rsidR="009C077B" w:rsidRPr="007B43C4">
        <w:rPr>
          <w:rFonts w:asciiTheme="majorHAnsi" w:eastAsia="Times New Roman" w:hAnsiTheme="majorHAnsi" w:cstheme="majorHAnsi"/>
          <w:color w:val="auto"/>
          <w:kern w:val="0"/>
          <w:sz w:val="24"/>
          <w:szCs w:val="24"/>
          <w:lang w:eastAsia="sr-Latn-ME"/>
        </w:rPr>
        <w:t>napretku u planiranju na nivou V</w:t>
      </w:r>
      <w:r w:rsidRPr="007B43C4">
        <w:rPr>
          <w:rFonts w:asciiTheme="majorHAnsi" w:eastAsia="Times New Roman" w:hAnsiTheme="majorHAnsi" w:cstheme="majorHAnsi"/>
          <w:color w:val="auto"/>
          <w:kern w:val="0"/>
          <w:sz w:val="24"/>
          <w:szCs w:val="24"/>
          <w:lang w:eastAsia="sr-Latn-ME"/>
        </w:rPr>
        <w:t xml:space="preserve">lade, još uvijek nije primijenjeno, dok je primjena programskog budžeta u ranoj fazi. Shodno tome ključni izazov za primjenu koncepta predstavlja </w:t>
      </w:r>
      <w:r w:rsidRPr="007B43C4">
        <w:rPr>
          <w:rFonts w:asciiTheme="majorHAnsi" w:eastAsia="Times New Roman" w:hAnsiTheme="majorHAnsi" w:cstheme="majorHAnsi"/>
          <w:b/>
          <w:color w:val="auto"/>
          <w:kern w:val="0"/>
          <w:sz w:val="24"/>
          <w:szCs w:val="24"/>
          <w:lang w:eastAsia="sr-Latn-ME"/>
        </w:rPr>
        <w:t>unutrašnja organizacija izvještavanja i kontrola</w:t>
      </w:r>
      <w:r w:rsidRPr="007B43C4">
        <w:rPr>
          <w:rFonts w:asciiTheme="majorHAnsi" w:eastAsia="Times New Roman" w:hAnsiTheme="majorHAnsi" w:cstheme="majorHAnsi"/>
          <w:color w:val="auto"/>
          <w:kern w:val="0"/>
          <w:sz w:val="24"/>
          <w:szCs w:val="24"/>
          <w:lang w:eastAsia="sr-Latn-ME"/>
        </w:rPr>
        <w:t xml:space="preserve"> koja će pružiti razumnu uvjerenost rukovodiocima o prenesenim ovlašćenjima. Dodatno izazovi su i povezivanje budžeta i odgovornosti, planiranje na nivou organizacije aktivnosti i ciljeva, utvrđivanje budžeta na nivou organizacionih jedinica kao i delegiranje ovlašćenja za potrošnju. </w:t>
      </w:r>
    </w:p>
    <w:p w:rsidR="008D5CF4" w:rsidRPr="007B43C4" w:rsidRDefault="008D5CF4" w:rsidP="007B43C4">
      <w:pPr>
        <w:spacing w:before="60" w:after="60" w:line="240" w:lineRule="auto"/>
        <w:ind w:right="-471"/>
        <w:jc w:val="both"/>
        <w:rPr>
          <w:rFonts w:asciiTheme="majorHAnsi" w:eastAsia="Times New Roman" w:hAnsiTheme="majorHAnsi" w:cstheme="majorHAnsi"/>
          <w:color w:val="auto"/>
          <w:kern w:val="0"/>
          <w:sz w:val="24"/>
          <w:szCs w:val="24"/>
          <w:lang w:eastAsia="sr-Latn-ME"/>
        </w:rPr>
      </w:pPr>
      <w:r w:rsidRPr="007B43C4">
        <w:rPr>
          <w:rFonts w:asciiTheme="majorHAnsi" w:eastAsia="Times New Roman" w:hAnsiTheme="majorHAnsi" w:cstheme="majorHAnsi"/>
          <w:color w:val="auto"/>
          <w:kern w:val="0"/>
          <w:sz w:val="24"/>
          <w:szCs w:val="24"/>
          <w:lang w:eastAsia="sr-Latn-ME"/>
        </w:rPr>
        <w:t>Fokus unutrašnje revizije je do sada uglavnom bio na ocjeni procesa i unutrašnjih kontrola, dok se sa revizijama upravljanja tek započelo i to samo u pilot institucijama uz stručnu pomoć eksperata.</w:t>
      </w:r>
    </w:p>
    <w:p w:rsidR="00E77433" w:rsidRPr="007B43C4" w:rsidRDefault="00DB0093" w:rsidP="007B43C4">
      <w:pPr>
        <w:spacing w:before="60" w:after="60" w:line="240" w:lineRule="auto"/>
        <w:ind w:right="-471"/>
        <w:jc w:val="both"/>
        <w:rPr>
          <w:rFonts w:asciiTheme="majorHAnsi" w:eastAsia="Times New Roman" w:hAnsiTheme="majorHAnsi" w:cstheme="majorHAnsi"/>
          <w:color w:val="auto"/>
          <w:kern w:val="0"/>
          <w:sz w:val="24"/>
          <w:szCs w:val="24"/>
          <w:lang w:eastAsia="en-GB"/>
        </w:rPr>
      </w:pPr>
      <w:r w:rsidRPr="007B43C4">
        <w:rPr>
          <w:rFonts w:asciiTheme="majorHAnsi" w:eastAsia="Times New Roman" w:hAnsiTheme="majorHAnsi" w:cstheme="majorHAnsi"/>
          <w:color w:val="auto"/>
          <w:kern w:val="0"/>
          <w:sz w:val="24"/>
          <w:szCs w:val="24"/>
          <w:lang w:eastAsia="en-GB"/>
        </w:rPr>
        <w:t xml:space="preserve">Procenat organa državne uprave u kojima struktura budžetskog programa odgovara strukturi menadžmenta je 5% prema poslednjem </w:t>
      </w:r>
      <w:r w:rsidRPr="007B43C4">
        <w:rPr>
          <w:rFonts w:asciiTheme="majorHAnsi" w:eastAsia="Calibri" w:hAnsiTheme="majorHAnsi" w:cstheme="majorHAnsi"/>
          <w:color w:val="auto"/>
          <w:kern w:val="0"/>
          <w:sz w:val="24"/>
          <w:szCs w:val="24"/>
          <w:lang w:eastAsia="en-US"/>
        </w:rPr>
        <w:t>Završnom izvještaju o implementaciji Strategije reforme javne uprave 2016 –2020</w:t>
      </w:r>
      <w:r w:rsidRPr="007B43C4">
        <w:rPr>
          <w:rFonts w:asciiTheme="majorHAnsi" w:eastAsia="Times New Roman" w:hAnsiTheme="majorHAnsi" w:cstheme="majorHAnsi"/>
          <w:color w:val="auto"/>
          <w:kern w:val="0"/>
          <w:sz w:val="24"/>
          <w:szCs w:val="24"/>
          <w:lang w:eastAsia="en-GB"/>
        </w:rPr>
        <w:t>.</w:t>
      </w:r>
      <w:r w:rsidRPr="007B43C4">
        <w:rPr>
          <w:rFonts w:asciiTheme="majorHAnsi" w:eastAsia="Times New Roman" w:hAnsiTheme="majorHAnsi" w:cstheme="majorHAnsi"/>
          <w:color w:val="auto"/>
          <w:kern w:val="0"/>
          <w:sz w:val="24"/>
          <w:szCs w:val="24"/>
          <w:vertAlign w:val="superscript"/>
          <w:lang w:eastAsia="en-GB"/>
        </w:rPr>
        <w:footnoteReference w:id="35"/>
      </w:r>
      <w:r w:rsidRPr="007B43C4">
        <w:rPr>
          <w:rFonts w:asciiTheme="majorHAnsi" w:eastAsia="Times New Roman" w:hAnsiTheme="majorHAnsi" w:cstheme="majorHAnsi"/>
          <w:color w:val="auto"/>
          <w:kern w:val="0"/>
          <w:sz w:val="24"/>
          <w:szCs w:val="24"/>
          <w:lang w:eastAsia="en-GB"/>
        </w:rPr>
        <w:t xml:space="preserve"> </w:t>
      </w:r>
      <w:r w:rsidRPr="007B43C4">
        <w:rPr>
          <w:rFonts w:asciiTheme="majorHAnsi" w:eastAsia="Calibri" w:hAnsiTheme="majorHAnsi" w:cstheme="majorHAnsi"/>
          <w:color w:val="auto"/>
          <w:kern w:val="0"/>
          <w:sz w:val="24"/>
          <w:szCs w:val="24"/>
          <w:lang w:eastAsia="en-US"/>
        </w:rPr>
        <w:t>U sistemu državne uprave nedostaje jasnija slika o</w:t>
      </w:r>
      <w:r w:rsidRPr="007B43C4">
        <w:rPr>
          <w:rFonts w:asciiTheme="majorHAnsi" w:eastAsia="Calibri" w:hAnsiTheme="majorHAnsi" w:cstheme="majorHAnsi"/>
          <w:b/>
          <w:color w:val="auto"/>
          <w:kern w:val="0"/>
          <w:sz w:val="24"/>
          <w:szCs w:val="24"/>
          <w:lang w:eastAsia="en-US"/>
        </w:rPr>
        <w:t xml:space="preserve"> postignutom učinku </w:t>
      </w:r>
      <w:r w:rsidR="007B43C4" w:rsidRPr="007B43C4">
        <w:rPr>
          <w:rFonts w:asciiTheme="majorHAnsi" w:eastAsia="Calibri" w:hAnsiTheme="majorHAnsi" w:cstheme="majorHAnsi"/>
          <w:noProof/>
          <w:color w:val="auto"/>
          <w:kern w:val="0"/>
          <w:sz w:val="24"/>
          <w:szCs w:val="24"/>
          <w:lang w:eastAsia="sr-Latn-RS"/>
        </w:rPr>
        <mc:AlternateContent>
          <mc:Choice Requires="wpg">
            <w:drawing>
              <wp:anchor distT="0" distB="0" distL="228600" distR="228600" simplePos="0" relativeHeight="251732992" behindDoc="0" locked="0" layoutInCell="1" allowOverlap="1" wp14:anchorId="041B0199" wp14:editId="1B190029">
                <wp:simplePos x="0" y="0"/>
                <wp:positionH relativeFrom="margin">
                  <wp:posOffset>3731260</wp:posOffset>
                </wp:positionH>
                <wp:positionV relativeFrom="page">
                  <wp:posOffset>1214120</wp:posOffset>
                </wp:positionV>
                <wp:extent cx="2461260" cy="948055"/>
                <wp:effectExtent l="0" t="0" r="0" b="4445"/>
                <wp:wrapSquare wrapText="bothSides"/>
                <wp:docPr id="34" name="Group 34"/>
                <wp:cNvGraphicFramePr/>
                <a:graphic xmlns:a="http://schemas.openxmlformats.org/drawingml/2006/main">
                  <a:graphicData uri="http://schemas.microsoft.com/office/word/2010/wordprocessingGroup">
                    <wpg:wgp>
                      <wpg:cNvGrpSpPr/>
                      <wpg:grpSpPr>
                        <a:xfrm>
                          <a:off x="0" y="0"/>
                          <a:ext cx="2461260" cy="948055"/>
                          <a:chOff x="0" y="0"/>
                          <a:chExt cx="3218688" cy="2125270"/>
                        </a:xfrm>
                      </wpg:grpSpPr>
                      <wps:wsp>
                        <wps:cNvPr id="36" name="Rectangle 36"/>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oup 46"/>
                        <wpg:cNvGrpSpPr/>
                        <wpg:grpSpPr>
                          <a:xfrm>
                            <a:off x="0" y="19050"/>
                            <a:ext cx="2249424" cy="832104"/>
                            <a:chOff x="228600" y="0"/>
                            <a:chExt cx="1472184" cy="1024128"/>
                          </a:xfrm>
                        </wpg:grpSpPr>
                        <wps:wsp>
                          <wps:cNvPr id="4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 name="Text Box 49"/>
                        <wps:cNvSpPr txBox="1"/>
                        <wps:spPr>
                          <a:xfrm>
                            <a:off x="66708" y="113339"/>
                            <a:ext cx="3138297" cy="2011931"/>
                          </a:xfrm>
                          <a:prstGeom prst="rect">
                            <a:avLst/>
                          </a:prstGeom>
                          <a:noFill/>
                          <a:ln w="6350">
                            <a:noFill/>
                          </a:ln>
                          <a:effectLst/>
                        </wps:spPr>
                        <wps:txbx>
                          <w:txbxContent>
                            <w:p w:rsidR="00F735BC" w:rsidRPr="001D4DC1" w:rsidRDefault="00F735BC" w:rsidP="001D4DC1">
                              <w:pPr>
                                <w:jc w:val="right"/>
                                <w:rPr>
                                  <w:smallCaps/>
                                  <w:color w:val="333C3D" w:themeColor="accent5" w:themeShade="80"/>
                                </w:rPr>
                              </w:pPr>
                              <w:r w:rsidRPr="001D4DC1">
                                <w:rPr>
                                  <w:smallCaps/>
                                  <w:color w:val="333C3D" w:themeColor="accent5" w:themeShade="80"/>
                                </w:rPr>
                                <w:t xml:space="preserve">Pandemija je pokazala koliko je važno da pružamo online usluge, a da se ne </w:t>
                              </w:r>
                              <w:r>
                                <w:rPr>
                                  <w:smallCaps/>
                                  <w:color w:val="333C3D" w:themeColor="accent5" w:themeShade="80"/>
                                </w:rPr>
                                <w:t>gubi na kvalitetu i sigurnosti.</w:t>
                              </w:r>
                              <w:r w:rsidRPr="001D4DC1">
                                <w:rPr>
                                  <w:smallCaps/>
                                  <w:color w:val="333C3D" w:themeColor="accent5" w:themeShade="80"/>
                                </w:rPr>
                                <w:t xml:space="preserve"> </w:t>
                              </w:r>
                            </w:p>
                            <w:p w:rsidR="00F735BC" w:rsidRDefault="00F735BC" w:rsidP="003E1741">
                              <w:pPr>
                                <w:pStyle w:val="NoSpacing"/>
                                <w:spacing w:before="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1B0199" id="Group 34" o:spid="_x0000_s1047" style="position:absolute;left:0;text-align:left;margin-left:293.8pt;margin-top:95.6pt;width:193.8pt;height:74.65pt;z-index:251732992;mso-wrap-distance-left:18pt;mso-wrap-distance-right:18pt;mso-position-horizontal-relative:margin;mso-position-vertical-relative:page;mso-width-relative:margin;mso-height-relative:margin" coordsize="32186,21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">
                <v:rect id="Rectangle 36" o:spid="_x0000_s104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" stroked="f" strokeweight="2pt">
                  <v:fill opacity="0"/>
                </v:rect>
                <v:group id="Group 46" o:spid="_x0000_s104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Rectangle 10" o:spid="_x0000_s105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" path="m,l2240281,,1659256,222885,,822960,,xe" fillcolor="#7e97ad" stroked="f" strokeweight="2pt">
                    <v:path arrowok="t" o:connecttype="custom" o:connectlocs="0,0;1466258,0;1085979,274158;0,1012274;0,0" o:connectangles="0,0,0,0,0"/>
                  </v:shape>
                  <v:rect id="Rectangle 48" o:spid="_x0000_s105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" stroked="f" strokeweight="2pt">
                    <v:fill r:id="rId69" o:title="" recolor="t" rotate="t" type="frame"/>
                  </v:rect>
                </v:group>
                <v:shape id="Text Box 49" o:spid="_x0000_s1052" type="#_x0000_t202" style="position:absolute;left:667;top:1133;width:31383;height:20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" filled="f" stroked="f" strokeweight=".5pt">
                  <v:textbox inset="3.6pt,7.2pt,0,0">
                    <w:txbxContent>
                      <w:p w:rsidR="00F735BC" w:rsidRPr="001D4DC1" w:rsidRDefault="00F735BC" w:rsidP="001D4DC1">
                        <w:pPr>
                          <w:jc w:val="right"/>
                          <w:rPr>
                            <w:smallCaps/>
                            <w:color w:val="333C3D" w:themeColor="accent5" w:themeShade="80"/>
                          </w:rPr>
                        </w:pPr>
                        <w:r w:rsidRPr="001D4DC1">
                          <w:rPr>
                            <w:smallCaps/>
                            <w:color w:val="333C3D" w:themeColor="accent5" w:themeShade="80"/>
                          </w:rPr>
                          <w:t xml:space="preserve">Pandemija je pokazala koliko je važno da pružamo online usluge, a da se ne </w:t>
                        </w:r>
                        <w:r>
                          <w:rPr>
                            <w:smallCaps/>
                            <w:color w:val="333C3D" w:themeColor="accent5" w:themeShade="80"/>
                          </w:rPr>
                          <w:t>gubi na kvalitetu i sigurnosti.</w:t>
                        </w:r>
                        <w:r w:rsidRPr="001D4DC1">
                          <w:rPr>
                            <w:smallCaps/>
                            <w:color w:val="333C3D" w:themeColor="accent5" w:themeShade="80"/>
                          </w:rPr>
                          <w:t xml:space="preserve"> </w:t>
                        </w:r>
                      </w:p>
                      <w:p w:rsidR="00F735BC" w:rsidRDefault="00F735BC" w:rsidP="003E1741">
                        <w:pPr>
                          <w:pStyle w:val="NoSpacing"/>
                          <w:spacing w:before="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v:textbox>
                </v:shape>
                <w10:wrap type="square" anchorx="margin" anchory="page"/>
              </v:group>
            </w:pict>
          </mc:Fallback>
        </mc:AlternateContent>
      </w:r>
      <w:r w:rsidRPr="007B43C4">
        <w:rPr>
          <w:rFonts w:asciiTheme="majorHAnsi" w:eastAsia="Calibri" w:hAnsiTheme="majorHAnsi" w:cstheme="majorHAnsi"/>
          <w:b/>
          <w:color w:val="auto"/>
          <w:kern w:val="0"/>
          <w:sz w:val="24"/>
          <w:szCs w:val="24"/>
          <w:lang w:eastAsia="en-US"/>
        </w:rPr>
        <w:t xml:space="preserve">(outcome) </w:t>
      </w:r>
      <w:r w:rsidRPr="007B43C4">
        <w:rPr>
          <w:rFonts w:asciiTheme="majorHAnsi" w:eastAsia="Calibri" w:hAnsiTheme="majorHAnsi" w:cstheme="majorHAnsi"/>
          <w:color w:val="auto"/>
          <w:kern w:val="0"/>
          <w:sz w:val="24"/>
          <w:szCs w:val="24"/>
          <w:lang w:eastAsia="en-US"/>
        </w:rPr>
        <w:t xml:space="preserve">organa, kao i veza između pripreme Predloga zakona o budžetu koji Skupština Crne Gore donosi do 31. decembra tekuće godine za narednu godinu i planiranja aktivnosti Programa rada Vlade Crne Gore za narednu godinu koji se donosi  početkom te godine i tekućim strateškim planiranjima. </w:t>
      </w:r>
      <w:r w:rsidR="005C1DCB" w:rsidRPr="007B43C4">
        <w:rPr>
          <w:rFonts w:asciiTheme="majorHAnsi" w:eastAsia="Calibri" w:hAnsiTheme="majorHAnsi" w:cstheme="majorHAnsi"/>
          <w:color w:val="auto"/>
          <w:kern w:val="0"/>
          <w:sz w:val="24"/>
          <w:szCs w:val="24"/>
          <w:lang w:eastAsia="en-US"/>
        </w:rPr>
        <w:t>Mehanizme praćenja ispunjavanja programa rada organa javne uprave nedostaju i u tom dijelu bi trebalo planirati izmjene Zakona o državnoj upravi.</w:t>
      </w:r>
    </w:p>
    <w:p w:rsidR="00E77433" w:rsidRPr="007B43C4" w:rsidRDefault="00DB0093" w:rsidP="00B43D4E">
      <w:pPr>
        <w:pStyle w:val="ListParagraph"/>
        <w:numPr>
          <w:ilvl w:val="0"/>
          <w:numId w:val="23"/>
        </w:numPr>
        <w:spacing w:before="120" w:after="120" w:line="240" w:lineRule="auto"/>
        <w:ind w:left="274" w:right="-471" w:hanging="274"/>
        <w:contextualSpacing w:val="0"/>
        <w:jc w:val="both"/>
        <w:rPr>
          <w:rFonts w:asciiTheme="majorHAnsi" w:eastAsia="Times New Roman" w:hAnsiTheme="majorHAnsi" w:cstheme="majorHAnsi"/>
          <w:color w:val="auto"/>
          <w:kern w:val="0"/>
          <w:sz w:val="24"/>
          <w:szCs w:val="24"/>
          <w:lang w:eastAsia="en-GB"/>
        </w:rPr>
      </w:pPr>
      <w:r w:rsidRPr="007B43C4">
        <w:rPr>
          <w:rFonts w:asciiTheme="majorHAnsi" w:eastAsia="Calibri" w:hAnsiTheme="majorHAnsi" w:cstheme="majorHAnsi"/>
          <w:b/>
          <w:i/>
          <w:color w:val="auto"/>
          <w:kern w:val="0"/>
          <w:sz w:val="24"/>
          <w:szCs w:val="24"/>
          <w:lang w:eastAsia="en-US"/>
        </w:rPr>
        <w:t xml:space="preserve">Paralelno postojanje elektronskog i papirnog upravljanja dokumentima, što zahtjeva više resursa, ograničavajući postizanje pune koristi od potpune digitalizacije </w:t>
      </w:r>
    </w:p>
    <w:p w:rsidR="00BF2139" w:rsidRPr="007B43C4" w:rsidRDefault="00DB0093" w:rsidP="00153229">
      <w:pPr>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b/>
          <w:color w:val="auto"/>
          <w:kern w:val="0"/>
          <w:sz w:val="24"/>
          <w:szCs w:val="24"/>
          <w:lang w:eastAsia="en-US"/>
        </w:rPr>
        <w:t>Sistem za elektronsko upravljanje dokumentima (eDMS)</w:t>
      </w:r>
      <w:r w:rsidR="007F23FE" w:rsidRPr="007B43C4">
        <w:rPr>
          <w:rFonts w:asciiTheme="majorHAnsi" w:eastAsia="Calibri" w:hAnsiTheme="majorHAnsi" w:cstheme="majorHAnsi"/>
          <w:color w:val="auto"/>
          <w:kern w:val="0"/>
          <w:sz w:val="24"/>
          <w:szCs w:val="24"/>
          <w:lang w:eastAsia="en-US"/>
        </w:rPr>
        <w:t>,</w:t>
      </w:r>
      <w:r w:rsidR="007F23FE" w:rsidRPr="007B43C4">
        <w:rPr>
          <w:rFonts w:asciiTheme="majorHAnsi" w:hAnsiTheme="majorHAnsi" w:cstheme="majorHAnsi"/>
          <w:color w:val="auto"/>
          <w:sz w:val="24"/>
          <w:szCs w:val="24"/>
        </w:rPr>
        <w:t xml:space="preserve"> </w:t>
      </w:r>
      <w:r w:rsidR="007F23FE" w:rsidRPr="007B43C4">
        <w:rPr>
          <w:rFonts w:asciiTheme="majorHAnsi" w:eastAsia="Calibri" w:hAnsiTheme="majorHAnsi" w:cstheme="majorHAnsi"/>
          <w:color w:val="auto"/>
          <w:kern w:val="0"/>
          <w:sz w:val="24"/>
          <w:szCs w:val="24"/>
          <w:lang w:eastAsia="en-US"/>
        </w:rPr>
        <w:t>odnosno elektronske pisarnice,</w:t>
      </w:r>
      <w:r w:rsidRPr="007B43C4">
        <w:rPr>
          <w:rFonts w:asciiTheme="majorHAnsi" w:eastAsia="Calibri" w:hAnsiTheme="majorHAnsi" w:cstheme="majorHAnsi"/>
          <w:color w:val="auto"/>
          <w:kern w:val="0"/>
          <w:sz w:val="24"/>
          <w:szCs w:val="24"/>
          <w:lang w:eastAsia="en-US"/>
        </w:rPr>
        <w:t xml:space="preserve"> </w:t>
      </w:r>
      <w:r w:rsidR="001917C8" w:rsidRPr="007B43C4">
        <w:rPr>
          <w:rFonts w:asciiTheme="majorHAnsi" w:eastAsia="Calibri" w:hAnsiTheme="majorHAnsi" w:cstheme="majorHAnsi"/>
          <w:color w:val="auto"/>
          <w:kern w:val="0"/>
          <w:sz w:val="24"/>
          <w:szCs w:val="24"/>
          <w:lang w:eastAsia="en-US"/>
        </w:rPr>
        <w:t>nije u potpunosti iskorišćen</w:t>
      </w:r>
      <w:r w:rsidR="007F23FE" w:rsidRPr="007B43C4">
        <w:rPr>
          <w:rFonts w:asciiTheme="majorHAnsi" w:eastAsia="Calibri" w:hAnsiTheme="majorHAnsi" w:cstheme="majorHAnsi"/>
          <w:color w:val="auto"/>
          <w:kern w:val="0"/>
          <w:sz w:val="24"/>
          <w:szCs w:val="24"/>
          <w:lang w:eastAsia="en-US"/>
        </w:rPr>
        <w:t xml:space="preserve"> i ministarstva ga ugl</w:t>
      </w:r>
      <w:r w:rsidR="009C077B" w:rsidRPr="007B43C4">
        <w:rPr>
          <w:rFonts w:asciiTheme="majorHAnsi" w:eastAsia="Calibri" w:hAnsiTheme="majorHAnsi" w:cstheme="majorHAnsi"/>
          <w:color w:val="auto"/>
          <w:kern w:val="0"/>
          <w:sz w:val="24"/>
          <w:szCs w:val="24"/>
          <w:lang w:eastAsia="en-US"/>
        </w:rPr>
        <w:t>a</w:t>
      </w:r>
      <w:r w:rsidR="007F23FE" w:rsidRPr="007B43C4">
        <w:rPr>
          <w:rFonts w:asciiTheme="majorHAnsi" w:eastAsia="Calibri" w:hAnsiTheme="majorHAnsi" w:cstheme="majorHAnsi"/>
          <w:color w:val="auto"/>
          <w:kern w:val="0"/>
          <w:sz w:val="24"/>
          <w:szCs w:val="24"/>
          <w:lang w:eastAsia="en-US"/>
        </w:rPr>
        <w:t>vnom koriste u dijelu kancelarijskog poslovanja unutar svoje institucije ali ne i za</w:t>
      </w:r>
      <w:r w:rsidR="001917C8" w:rsidRPr="007B43C4">
        <w:rPr>
          <w:rFonts w:asciiTheme="majorHAnsi" w:eastAsia="Calibri" w:hAnsiTheme="majorHAnsi" w:cstheme="majorHAnsi"/>
          <w:color w:val="auto"/>
          <w:kern w:val="0"/>
          <w:sz w:val="24"/>
          <w:szCs w:val="24"/>
          <w:lang w:eastAsia="en-US"/>
        </w:rPr>
        <w:t xml:space="preserve">  dostavljanja dokumenata izmeđ</w:t>
      </w:r>
      <w:r w:rsidR="007F23FE" w:rsidRPr="007B43C4">
        <w:rPr>
          <w:rFonts w:asciiTheme="majorHAnsi" w:eastAsia="Calibri" w:hAnsiTheme="majorHAnsi" w:cstheme="majorHAnsi"/>
          <w:color w:val="auto"/>
          <w:kern w:val="0"/>
          <w:sz w:val="24"/>
          <w:szCs w:val="24"/>
          <w:lang w:eastAsia="en-US"/>
        </w:rPr>
        <w:t>u insti</w:t>
      </w:r>
      <w:r w:rsidR="001917C8" w:rsidRPr="007B43C4">
        <w:rPr>
          <w:rFonts w:asciiTheme="majorHAnsi" w:eastAsia="Calibri" w:hAnsiTheme="majorHAnsi" w:cstheme="majorHAnsi"/>
          <w:color w:val="auto"/>
          <w:kern w:val="0"/>
          <w:sz w:val="24"/>
          <w:szCs w:val="24"/>
          <w:lang w:eastAsia="en-US"/>
        </w:rPr>
        <w:t>t</w:t>
      </w:r>
      <w:r w:rsidR="007F23FE" w:rsidRPr="007B43C4">
        <w:rPr>
          <w:rFonts w:asciiTheme="majorHAnsi" w:eastAsia="Calibri" w:hAnsiTheme="majorHAnsi" w:cstheme="majorHAnsi"/>
          <w:color w:val="auto"/>
          <w:kern w:val="0"/>
          <w:sz w:val="24"/>
          <w:szCs w:val="24"/>
          <w:lang w:eastAsia="en-US"/>
        </w:rPr>
        <w:t>ucija odnosno ministarst</w:t>
      </w:r>
      <w:r w:rsidR="009C077B" w:rsidRPr="007B43C4">
        <w:rPr>
          <w:rFonts w:asciiTheme="majorHAnsi" w:eastAsia="Calibri" w:hAnsiTheme="majorHAnsi" w:cstheme="majorHAnsi"/>
          <w:color w:val="auto"/>
          <w:kern w:val="0"/>
          <w:sz w:val="24"/>
          <w:szCs w:val="24"/>
          <w:lang w:eastAsia="en-US"/>
        </w:rPr>
        <w:t>a</w:t>
      </w:r>
      <w:r w:rsidR="007F23FE" w:rsidRPr="007B43C4">
        <w:rPr>
          <w:rFonts w:asciiTheme="majorHAnsi" w:eastAsia="Calibri" w:hAnsiTheme="majorHAnsi" w:cstheme="majorHAnsi"/>
          <w:color w:val="auto"/>
          <w:kern w:val="0"/>
          <w:sz w:val="24"/>
          <w:szCs w:val="24"/>
          <w:lang w:eastAsia="en-US"/>
        </w:rPr>
        <w:t>va</w:t>
      </w:r>
      <w:r w:rsidRPr="007B43C4">
        <w:rPr>
          <w:rFonts w:asciiTheme="majorHAnsi" w:eastAsia="Calibri" w:hAnsiTheme="majorHAnsi" w:cstheme="majorHAnsi"/>
          <w:color w:val="auto"/>
          <w:kern w:val="0"/>
          <w:sz w:val="24"/>
          <w:szCs w:val="24"/>
          <w:lang w:eastAsia="en-US"/>
        </w:rPr>
        <w:t xml:space="preserve">. Prema </w:t>
      </w:r>
      <w:r w:rsidR="001D4DC1" w:rsidRPr="007B43C4">
        <w:rPr>
          <w:rFonts w:asciiTheme="majorHAnsi" w:eastAsia="Calibri" w:hAnsiTheme="majorHAnsi" w:cstheme="majorHAnsi"/>
          <w:color w:val="auto"/>
          <w:kern w:val="0"/>
          <w:sz w:val="24"/>
          <w:szCs w:val="24"/>
          <w:lang w:eastAsia="en-US"/>
        </w:rPr>
        <w:t xml:space="preserve">završnom </w:t>
      </w:r>
      <w:r w:rsidRPr="007B43C4">
        <w:rPr>
          <w:rFonts w:asciiTheme="majorHAnsi" w:eastAsia="Calibri" w:hAnsiTheme="majorHAnsi" w:cstheme="majorHAnsi"/>
          <w:color w:val="auto"/>
          <w:kern w:val="0"/>
          <w:sz w:val="24"/>
          <w:szCs w:val="24"/>
          <w:lang w:eastAsia="en-US"/>
        </w:rPr>
        <w:t xml:space="preserve">Izvještaju o implementaciji Strategije reforme javne uprave 2016–2020, 100% ministarstava je implementiralo eDMS, ali se sistem i dalje koristi paralelno sa potpisivanjem i dostavom dokumenata unutar javne uprave. Pored toga, podređena tijela javne uprave, agencije, fondovi i druge javne institucije još uvijek nemaju uspostavljen eDMS. Kao rezultat toga, institucije sprovode paralelne i preklapajuće procese upravljanja dokumentima (elektronskim putem i na papiru), koji zahtijevaju više </w:t>
      </w:r>
      <w:r w:rsidRPr="007B43C4">
        <w:rPr>
          <w:rFonts w:asciiTheme="majorHAnsi" w:eastAsia="Calibri" w:hAnsiTheme="majorHAnsi" w:cstheme="majorHAnsi"/>
          <w:color w:val="auto"/>
          <w:kern w:val="0"/>
          <w:sz w:val="24"/>
          <w:szCs w:val="24"/>
          <w:lang w:eastAsia="en-US"/>
        </w:rPr>
        <w:lastRenderedPageBreak/>
        <w:t xml:space="preserve">resursa, ograničavajući </w:t>
      </w:r>
      <w:r w:rsidR="00662875" w:rsidRPr="007B43C4">
        <w:rPr>
          <w:rFonts w:asciiTheme="majorHAnsi" w:eastAsia="Calibri" w:hAnsiTheme="majorHAnsi" w:cstheme="majorHAnsi"/>
          <w:color w:val="auto"/>
          <w:kern w:val="0"/>
          <w:sz w:val="24"/>
          <w:szCs w:val="24"/>
          <w:lang w:eastAsia="en-US"/>
        </w:rPr>
        <w:t xml:space="preserve"> </w:t>
      </w:r>
      <w:r w:rsidRPr="007B43C4">
        <w:rPr>
          <w:rFonts w:asciiTheme="majorHAnsi" w:eastAsia="Calibri" w:hAnsiTheme="majorHAnsi" w:cstheme="majorHAnsi"/>
          <w:color w:val="auto"/>
          <w:kern w:val="0"/>
          <w:sz w:val="24"/>
          <w:szCs w:val="24"/>
          <w:lang w:eastAsia="en-US"/>
        </w:rPr>
        <w:t>postizanje pune koristi od potpune digitalizacije (manji troškovi papira, brža komunikacija s drugim državnim tijelima pomoću eDMS-a).</w:t>
      </w:r>
    </w:p>
    <w:p w:rsidR="00E904A1" w:rsidRPr="007B43C4" w:rsidRDefault="00985023" w:rsidP="007B43C4">
      <w:pPr>
        <w:spacing w:before="60" w:after="60" w:line="240" w:lineRule="auto"/>
        <w:ind w:right="-475"/>
        <w:jc w:val="both"/>
        <w:rPr>
          <w:rFonts w:asciiTheme="majorHAnsi" w:eastAsia="Calibri" w:hAnsiTheme="majorHAnsi" w:cstheme="majorHAnsi"/>
          <w:color w:val="auto"/>
          <w:kern w:val="0"/>
          <w:sz w:val="24"/>
          <w:szCs w:val="24"/>
          <w:shd w:val="clear" w:color="auto" w:fill="FFFFFF"/>
          <w:lang w:eastAsia="zh-CN"/>
        </w:rPr>
      </w:pPr>
      <w:r w:rsidRPr="007B43C4">
        <w:rPr>
          <w:rFonts w:asciiTheme="majorHAnsi" w:eastAsia="Calibri" w:hAnsiTheme="majorHAnsi" w:cstheme="majorHAnsi"/>
          <w:noProof/>
          <w:color w:val="auto"/>
          <w:kern w:val="0"/>
          <w:sz w:val="24"/>
          <w:szCs w:val="24"/>
          <w:lang w:eastAsia="sr-Latn-RS"/>
        </w:rPr>
        <mc:AlternateContent>
          <mc:Choice Requires="wpg">
            <w:drawing>
              <wp:anchor distT="0" distB="0" distL="228600" distR="228600" simplePos="0" relativeHeight="251879424" behindDoc="0" locked="0" layoutInCell="1" allowOverlap="1" wp14:anchorId="2927D380" wp14:editId="77E9AE96">
                <wp:simplePos x="0" y="0"/>
                <wp:positionH relativeFrom="margin">
                  <wp:posOffset>3653598</wp:posOffset>
                </wp:positionH>
                <wp:positionV relativeFrom="page">
                  <wp:posOffset>6713457</wp:posOffset>
                </wp:positionV>
                <wp:extent cx="2539365" cy="626110"/>
                <wp:effectExtent l="0" t="0" r="0" b="2540"/>
                <wp:wrapSquare wrapText="bothSides"/>
                <wp:docPr id="250" name="Group 250"/>
                <wp:cNvGraphicFramePr/>
                <a:graphic xmlns:a="http://schemas.openxmlformats.org/drawingml/2006/main">
                  <a:graphicData uri="http://schemas.microsoft.com/office/word/2010/wordprocessingGroup">
                    <wpg:wgp>
                      <wpg:cNvGrpSpPr/>
                      <wpg:grpSpPr>
                        <a:xfrm>
                          <a:off x="0" y="0"/>
                          <a:ext cx="2539365" cy="626110"/>
                          <a:chOff x="0" y="0"/>
                          <a:chExt cx="3218688" cy="2028766"/>
                        </a:xfrm>
                      </wpg:grpSpPr>
                      <wps:wsp>
                        <wps:cNvPr id="251" name="Rectangle 251"/>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2" name="Group 252"/>
                        <wpg:cNvGrpSpPr/>
                        <wpg:grpSpPr>
                          <a:xfrm>
                            <a:off x="0" y="19050"/>
                            <a:ext cx="2249424" cy="832104"/>
                            <a:chOff x="228600" y="0"/>
                            <a:chExt cx="1472184" cy="1024128"/>
                          </a:xfrm>
                        </wpg:grpSpPr>
                        <wps:wsp>
                          <wps:cNvPr id="25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5" name="Text Box 255"/>
                        <wps:cNvSpPr txBox="1"/>
                        <wps:spPr>
                          <a:xfrm>
                            <a:off x="66708" y="195717"/>
                            <a:ext cx="3138297" cy="1833049"/>
                          </a:xfrm>
                          <a:prstGeom prst="rect">
                            <a:avLst/>
                          </a:prstGeom>
                          <a:noFill/>
                          <a:ln w="6350">
                            <a:noFill/>
                          </a:ln>
                          <a:effectLst/>
                        </wps:spPr>
                        <wps:txbx>
                          <w:txbxContent>
                            <w:p w:rsidR="00F735BC" w:rsidRDefault="00F735BC" w:rsidP="00662875">
                              <w:pPr>
                                <w:pStyle w:val="NoSpacing"/>
                                <w:spacing w:before="0"/>
                                <w:ind w:left="360"/>
                                <w:jc w:val="right"/>
                                <w:rPr>
                                  <w:color w:val="7E97AD" w:themeColor="accent1"/>
                                  <w:sz w:val="18"/>
                                  <w:szCs w:val="18"/>
                                  <w:lang w:val="sr-Latn-RS"/>
                                </w:rPr>
                              </w:pPr>
                              <w:r w:rsidRPr="00E904A1">
                                <w:rPr>
                                  <w:smallCaps/>
                                  <w:color w:val="333C3D" w:themeColor="accent5" w:themeShade="80"/>
                                  <w:kern w:val="20"/>
                                  <w:lang w:val="sr-Latn-RS"/>
                                </w:rPr>
                                <w:t>Potrebno je unaprijeđenje elektronske k</w:t>
                              </w:r>
                              <w:r>
                                <w:rPr>
                                  <w:smallCaps/>
                                  <w:color w:val="333C3D" w:themeColor="accent5" w:themeShade="80"/>
                                  <w:kern w:val="20"/>
                                  <w:lang w:val="sr-Latn-RS"/>
                                </w:rPr>
                                <w:t>omunikacije izmedju institucija</w:t>
                              </w:r>
                            </w:p>
                            <w:p w:rsidR="00F735BC" w:rsidRDefault="00F735BC" w:rsidP="00662875">
                              <w:pPr>
                                <w:pStyle w:val="NoSpacing"/>
                                <w:spacing w:before="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27D380" id="Group 250" o:spid="_x0000_s1053" style="position:absolute;left:0;text-align:left;margin-left:287.7pt;margin-top:528.6pt;width:199.95pt;height:49.3pt;z-index:251879424;mso-wrap-distance-left:18pt;mso-wrap-distance-right:18p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">
                <v:rect id="Rectangle 251" o:spid="_x0000_s105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" stroked="f" strokeweight="2pt">
                  <v:fill opacity="0"/>
                </v:rect>
                <v:group id="Group 252" o:spid="_x0000_s105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Rectangle 10" o:spid="_x0000_s105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" path="m,l2240281,,1659256,222885,,822960,,xe" fillcolor="#7e97ad" stroked="f" strokeweight="2pt">
                    <v:path arrowok="t" o:connecttype="custom" o:connectlocs="0,0;1466258,0;1085979,274158;0,1012274;0,0" o:connectangles="0,0,0,0,0"/>
                  </v:shape>
                  <v:rect id="Rectangle 254" o:spid="_x0000_s105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" stroked="f" strokeweight="2pt">
                    <v:fill r:id="rId69" o:title="" recolor="t" rotate="t" type="frame"/>
                  </v:rect>
                </v:group>
                <v:shape id="Text Box 255" o:spid="_x0000_s1058" type="#_x0000_t202" style="position:absolute;left:667;top:1957;width:31383;height:18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" filled="f" stroked="f" strokeweight=".5pt">
                  <v:textbox inset="3.6pt,7.2pt,0,0">
                    <w:txbxContent>
                      <w:p w:rsidR="00F735BC" w:rsidRDefault="00F735BC" w:rsidP="00662875">
                        <w:pPr>
                          <w:pStyle w:val="NoSpacing"/>
                          <w:spacing w:before="0"/>
                          <w:ind w:left="360"/>
                          <w:jc w:val="right"/>
                          <w:rPr>
                            <w:color w:val="7E97AD" w:themeColor="accent1"/>
                            <w:sz w:val="18"/>
                            <w:szCs w:val="18"/>
                            <w:lang w:val="sr-Latn-RS"/>
                          </w:rPr>
                        </w:pPr>
                        <w:r w:rsidRPr="00E904A1">
                          <w:rPr>
                            <w:smallCaps/>
                            <w:color w:val="333C3D" w:themeColor="accent5" w:themeShade="80"/>
                            <w:kern w:val="20"/>
                            <w:lang w:val="sr-Latn-RS"/>
                          </w:rPr>
                          <w:t>Potrebno je unaprijeđenje elektronske k</w:t>
                        </w:r>
                        <w:r>
                          <w:rPr>
                            <w:smallCaps/>
                            <w:color w:val="333C3D" w:themeColor="accent5" w:themeShade="80"/>
                            <w:kern w:val="20"/>
                            <w:lang w:val="sr-Latn-RS"/>
                          </w:rPr>
                          <w:t>omunikacije izmedju institucija</w:t>
                        </w:r>
                      </w:p>
                      <w:p w:rsidR="00F735BC" w:rsidRDefault="00F735BC" w:rsidP="00662875">
                        <w:pPr>
                          <w:pStyle w:val="NoSpacing"/>
                          <w:spacing w:before="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v:textbox>
                </v:shape>
                <w10:wrap type="square" anchorx="margin" anchory="page"/>
              </v:group>
            </w:pict>
          </mc:Fallback>
        </mc:AlternateContent>
      </w:r>
      <w:r w:rsidR="00755E36" w:rsidRPr="007B43C4">
        <w:rPr>
          <w:rFonts w:asciiTheme="majorHAnsi" w:eastAsia="Calibri" w:hAnsiTheme="majorHAnsi" w:cstheme="majorHAnsi"/>
          <w:color w:val="auto"/>
          <w:kern w:val="0"/>
          <w:sz w:val="24"/>
          <w:szCs w:val="24"/>
          <w:lang w:eastAsia="en-US"/>
        </w:rPr>
        <w:t xml:space="preserve">Trenutno postoji </w:t>
      </w:r>
      <w:r w:rsidR="00755E36" w:rsidRPr="007B43C4">
        <w:rPr>
          <w:rFonts w:asciiTheme="majorHAnsi" w:eastAsia="Calibri" w:hAnsiTheme="majorHAnsi" w:cstheme="majorHAnsi"/>
          <w:color w:val="auto"/>
          <w:kern w:val="0"/>
          <w:sz w:val="24"/>
          <w:szCs w:val="24"/>
          <w:shd w:val="clear" w:color="auto" w:fill="FFFFFF"/>
          <w:lang w:eastAsia="zh-CN"/>
        </w:rPr>
        <w:t xml:space="preserve">poluautomatizacija obrade zahtjeva koje krajnji korisnici podnesu preko Portala e-uprave, jer službenici koji obrađuju elektronski pristigle zahtjeve preko Portala e-uprave (iako dobijaju notifikaciju o pristiglim e-zahtjevima) moraju da se identifikuju na sistem e-uprave i da pristigle elektronske zahtjeve odštampaju i ponesu na arhivu svoje institucije gdje se vrši obrada zahtjeva. Nakon obrađenog </w:t>
      </w:r>
      <w:r w:rsidR="00BF4CEF" w:rsidRPr="007B43C4">
        <w:rPr>
          <w:rFonts w:asciiTheme="majorHAnsi" w:eastAsia="Calibri" w:hAnsiTheme="majorHAnsi" w:cstheme="majorHAnsi"/>
          <w:color w:val="auto"/>
          <w:kern w:val="0"/>
          <w:sz w:val="24"/>
          <w:szCs w:val="24"/>
          <w:shd w:val="clear" w:color="auto" w:fill="FFFFFF"/>
          <w:lang w:eastAsia="zh-CN"/>
        </w:rPr>
        <w:t>zah</w:t>
      </w:r>
      <w:r w:rsidR="00755E36" w:rsidRPr="007B43C4">
        <w:rPr>
          <w:rFonts w:asciiTheme="majorHAnsi" w:eastAsia="Calibri" w:hAnsiTheme="majorHAnsi" w:cstheme="majorHAnsi"/>
          <w:color w:val="auto"/>
          <w:kern w:val="0"/>
          <w:sz w:val="24"/>
          <w:szCs w:val="24"/>
          <w:shd w:val="clear" w:color="auto" w:fill="FFFFFF"/>
          <w:lang w:eastAsia="zh-CN"/>
        </w:rPr>
        <w:t>tjeva, isti se unosi u sistem e-uprave, i krajnji korisnik dobija notifikaciju o svim promjenama na svom podnešenom zahtjevu odnosno predmetu. Potrebno je da se uvezivanjem Portala e-uprave sa eDMS sistemom obezbjedi da, elektronski podnešeni zahtjev preko Portala e-uprave, elektronski procesuira na arhivu eDMS, gdje se vrši prijem, signiranje, obrada zahtjeva, digitalno potpisivanje i konačno obrađen zahjev se preko arhive eDMS a otprema na Portal e-uprave. Na taj način bi se izbjegla poluautomatizacija obrade zahtjeva koji se elektronski podnose i preuzimaju preko Portala.</w:t>
      </w:r>
      <w:r w:rsidR="00897194" w:rsidRPr="007B43C4">
        <w:rPr>
          <w:rFonts w:asciiTheme="majorHAnsi" w:eastAsia="Calibri" w:hAnsiTheme="majorHAnsi" w:cstheme="majorHAnsi"/>
          <w:color w:val="auto"/>
          <w:kern w:val="0"/>
          <w:sz w:val="24"/>
          <w:szCs w:val="24"/>
          <w:shd w:val="clear" w:color="auto" w:fill="FFFFFF"/>
          <w:lang w:eastAsia="zh-CN"/>
        </w:rPr>
        <w:t xml:space="preserve"> Dodatno, eDMS ministarstava nije povezan sa elektronskim sistemom za dostavljanje dokumenta za sednice Vlade.</w:t>
      </w:r>
    </w:p>
    <w:p w:rsidR="00E77433" w:rsidRPr="007B43C4" w:rsidRDefault="00DB0093" w:rsidP="007B43C4">
      <w:pPr>
        <w:spacing w:before="60" w:after="60" w:line="240" w:lineRule="auto"/>
        <w:ind w:right="-475"/>
        <w:jc w:val="both"/>
        <w:rPr>
          <w:rFonts w:asciiTheme="majorHAnsi" w:eastAsia="Times New Roman" w:hAnsiTheme="majorHAnsi" w:cstheme="majorHAnsi"/>
          <w:color w:val="auto"/>
          <w:kern w:val="0"/>
          <w:sz w:val="24"/>
          <w:szCs w:val="24"/>
          <w:lang w:eastAsia="en-GB"/>
        </w:rPr>
      </w:pPr>
      <w:r w:rsidRPr="007B43C4">
        <w:rPr>
          <w:rFonts w:asciiTheme="majorHAnsi" w:eastAsia="Calibri" w:hAnsiTheme="majorHAnsi" w:cstheme="majorHAnsi"/>
          <w:color w:val="auto"/>
          <w:kern w:val="0"/>
          <w:sz w:val="24"/>
          <w:szCs w:val="24"/>
          <w:lang w:eastAsia="en-US"/>
        </w:rPr>
        <w:t xml:space="preserve">U okviru lokalne samouprave, u više od </w:t>
      </w:r>
      <w:r w:rsidRPr="007B43C4">
        <w:rPr>
          <w:rFonts w:asciiTheme="majorHAnsi" w:eastAsia="Times New Roman" w:hAnsiTheme="majorHAnsi" w:cstheme="majorHAnsi"/>
          <w:color w:val="auto"/>
          <w:kern w:val="0"/>
          <w:sz w:val="24"/>
          <w:szCs w:val="24"/>
          <w:lang w:eastAsia="en-US"/>
        </w:rPr>
        <w:t>4</w:t>
      </w:r>
      <w:r w:rsidR="00FD3AF1" w:rsidRPr="007B43C4">
        <w:rPr>
          <w:rFonts w:asciiTheme="majorHAnsi" w:eastAsia="Times New Roman" w:hAnsiTheme="majorHAnsi" w:cstheme="majorHAnsi"/>
          <w:color w:val="auto"/>
          <w:kern w:val="0"/>
          <w:sz w:val="24"/>
          <w:szCs w:val="24"/>
          <w:lang w:eastAsia="en-US"/>
        </w:rPr>
        <w:t>5,8</w:t>
      </w:r>
      <w:r w:rsidRPr="007B43C4">
        <w:rPr>
          <w:rFonts w:asciiTheme="majorHAnsi" w:eastAsia="Times New Roman" w:hAnsiTheme="majorHAnsi" w:cstheme="majorHAnsi"/>
          <w:color w:val="auto"/>
          <w:kern w:val="0"/>
          <w:sz w:val="24"/>
          <w:szCs w:val="24"/>
          <w:lang w:eastAsia="en-US"/>
        </w:rPr>
        <w:t>% od ukupnog broja opština postoji sistem u kojem se vrši elektronska evidencija podataka ili dokumenata (11 opština ima razvijen neki vi</w:t>
      </w:r>
      <w:r w:rsidR="009C077B" w:rsidRPr="007B43C4">
        <w:rPr>
          <w:rFonts w:asciiTheme="majorHAnsi" w:eastAsia="Times New Roman" w:hAnsiTheme="majorHAnsi" w:cstheme="majorHAnsi"/>
          <w:color w:val="auto"/>
          <w:kern w:val="0"/>
          <w:sz w:val="24"/>
          <w:szCs w:val="24"/>
          <w:lang w:eastAsia="en-US"/>
        </w:rPr>
        <w:t>d sistema za elektronsku eviden</w:t>
      </w:r>
      <w:r w:rsidRPr="007B43C4">
        <w:rPr>
          <w:rFonts w:asciiTheme="majorHAnsi" w:eastAsia="Times New Roman" w:hAnsiTheme="majorHAnsi" w:cstheme="majorHAnsi"/>
          <w:color w:val="auto"/>
          <w:kern w:val="0"/>
          <w:sz w:val="24"/>
          <w:szCs w:val="24"/>
          <w:lang w:eastAsia="en-US"/>
        </w:rPr>
        <w:t xml:space="preserve">ciju), dok ostalih 13 opština nemaju razvijene sisteme, odnosno vode evidenciju na tradicionalan način uz upotrebu pomoćnih knjiga u papirnom obliku. </w:t>
      </w:r>
      <w:r w:rsidRPr="007B43C4">
        <w:rPr>
          <w:rFonts w:asciiTheme="majorHAnsi" w:eastAsia="Calibri" w:hAnsiTheme="majorHAnsi" w:cstheme="majorHAnsi"/>
          <w:color w:val="auto"/>
          <w:kern w:val="0"/>
          <w:sz w:val="24"/>
          <w:szCs w:val="24"/>
          <w:lang w:eastAsia="en-US"/>
        </w:rPr>
        <w:t>Ključni razlog za nepostojanje sistema za elektronsko upravljanje dokume</w:t>
      </w:r>
      <w:r w:rsidR="002C1296" w:rsidRPr="007B43C4">
        <w:rPr>
          <w:rFonts w:asciiTheme="majorHAnsi" w:eastAsia="Calibri" w:hAnsiTheme="majorHAnsi" w:cstheme="majorHAnsi"/>
          <w:color w:val="auto"/>
          <w:kern w:val="0"/>
          <w:sz w:val="24"/>
          <w:szCs w:val="24"/>
          <w:lang w:eastAsia="en-US"/>
        </w:rPr>
        <w:t>n</w:t>
      </w:r>
      <w:r w:rsidRPr="007B43C4">
        <w:rPr>
          <w:rFonts w:asciiTheme="majorHAnsi" w:eastAsia="Calibri" w:hAnsiTheme="majorHAnsi" w:cstheme="majorHAnsi"/>
          <w:color w:val="auto"/>
          <w:kern w:val="0"/>
          <w:sz w:val="24"/>
          <w:szCs w:val="24"/>
          <w:lang w:eastAsia="en-US"/>
        </w:rPr>
        <w:t xml:space="preserve">tima uglavnom je finansijski nedostatak, nedostatak IT kadrova ili nedovoljna informatička pismenost zaposlenih. </w:t>
      </w:r>
      <w:r w:rsidRPr="007B43C4">
        <w:rPr>
          <w:rFonts w:asciiTheme="majorHAnsi" w:eastAsia="Times New Roman" w:hAnsiTheme="majorHAnsi" w:cstheme="majorHAnsi"/>
          <w:color w:val="auto"/>
          <w:kern w:val="0"/>
          <w:sz w:val="24"/>
          <w:szCs w:val="24"/>
          <w:lang w:eastAsia="en-US"/>
        </w:rPr>
        <w:t>Posebno treba istaći da su opštine sa manjim brojem stanovnika istakle nedostatak tehničkih kapaciteta. Sa druge strane prepoznat je problem nedostatka ljudskih resursa koji bi mogli podržati elektronski način poslovanja, bilo da je u pitanju nedostatak IT kadrova ili nedovoljna informatička pismenost zaposlenih.</w:t>
      </w:r>
      <w:r w:rsidRPr="007B43C4">
        <w:rPr>
          <w:rFonts w:asciiTheme="majorHAnsi" w:eastAsia="Times New Roman" w:hAnsiTheme="majorHAnsi" w:cstheme="majorHAnsi"/>
          <w:color w:val="auto"/>
          <w:kern w:val="0"/>
          <w:sz w:val="24"/>
          <w:szCs w:val="24"/>
          <w:vertAlign w:val="superscript"/>
          <w:lang w:eastAsia="en-US"/>
        </w:rPr>
        <w:footnoteReference w:id="36"/>
      </w:r>
      <w:r w:rsidRPr="007B43C4">
        <w:rPr>
          <w:rFonts w:asciiTheme="majorHAnsi" w:eastAsia="Times New Roman" w:hAnsiTheme="majorHAnsi" w:cstheme="majorHAnsi"/>
          <w:color w:val="auto"/>
          <w:kern w:val="0"/>
          <w:sz w:val="24"/>
          <w:szCs w:val="24"/>
          <w:lang w:eastAsia="en-US"/>
        </w:rPr>
        <w:t xml:space="preserve"> </w:t>
      </w:r>
    </w:p>
    <w:p w:rsidR="00E77433" w:rsidRPr="007B43C4" w:rsidRDefault="00DB0093" w:rsidP="00B43D4E">
      <w:pPr>
        <w:pStyle w:val="ListParagraph"/>
        <w:numPr>
          <w:ilvl w:val="0"/>
          <w:numId w:val="24"/>
        </w:numPr>
        <w:spacing w:before="60" w:after="60" w:line="240" w:lineRule="auto"/>
        <w:ind w:left="270" w:right="-475" w:hanging="270"/>
        <w:contextualSpacing w:val="0"/>
        <w:jc w:val="both"/>
        <w:rPr>
          <w:rFonts w:asciiTheme="majorHAnsi" w:eastAsia="Times New Roman" w:hAnsiTheme="majorHAnsi" w:cstheme="majorHAnsi"/>
          <w:b/>
          <w:color w:val="auto"/>
          <w:kern w:val="0"/>
          <w:sz w:val="24"/>
          <w:szCs w:val="24"/>
          <w:lang w:eastAsia="en-GB"/>
        </w:rPr>
      </w:pPr>
      <w:r w:rsidRPr="007B43C4">
        <w:rPr>
          <w:rFonts w:asciiTheme="majorHAnsi" w:eastAsia="Times New Roman" w:hAnsiTheme="majorHAnsi" w:cstheme="majorHAnsi"/>
          <w:b/>
          <w:i/>
          <w:color w:val="auto"/>
          <w:kern w:val="0"/>
          <w:sz w:val="24"/>
          <w:szCs w:val="24"/>
          <w:lang w:eastAsia="sr-Latn-ME"/>
        </w:rPr>
        <w:t xml:space="preserve">Finansijska i kadrovska neodrživost </w:t>
      </w:r>
      <w:r w:rsidR="00D03918" w:rsidRPr="007B43C4">
        <w:rPr>
          <w:rFonts w:asciiTheme="majorHAnsi" w:eastAsia="Times New Roman" w:hAnsiTheme="majorHAnsi" w:cstheme="majorHAnsi"/>
          <w:b/>
          <w:i/>
          <w:color w:val="auto"/>
          <w:kern w:val="0"/>
          <w:sz w:val="24"/>
          <w:szCs w:val="24"/>
          <w:lang w:eastAsia="sr-Latn-ME"/>
        </w:rPr>
        <w:t>JLS</w:t>
      </w:r>
      <w:r w:rsidRPr="007B43C4">
        <w:rPr>
          <w:rFonts w:asciiTheme="majorHAnsi" w:eastAsia="Times New Roman" w:hAnsiTheme="majorHAnsi" w:cstheme="majorHAnsi"/>
          <w:b/>
          <w:i/>
          <w:color w:val="auto"/>
          <w:kern w:val="0"/>
          <w:sz w:val="24"/>
          <w:szCs w:val="24"/>
          <w:lang w:eastAsia="sr-Latn-ME"/>
        </w:rPr>
        <w:t xml:space="preserve"> i neujednačeni kapaciteti </w:t>
      </w:r>
      <w:r w:rsidR="00D03918" w:rsidRPr="007B43C4">
        <w:rPr>
          <w:rFonts w:asciiTheme="majorHAnsi" w:eastAsia="Times New Roman" w:hAnsiTheme="majorHAnsi" w:cstheme="majorHAnsi"/>
          <w:b/>
          <w:i/>
          <w:color w:val="auto"/>
          <w:kern w:val="0"/>
          <w:sz w:val="24"/>
          <w:szCs w:val="24"/>
          <w:lang w:eastAsia="sr-Latn-ME"/>
        </w:rPr>
        <w:t>JLS</w:t>
      </w:r>
    </w:p>
    <w:p w:rsidR="00E77433" w:rsidRPr="007B43C4" w:rsidRDefault="00DB0093" w:rsidP="007B43C4">
      <w:pPr>
        <w:spacing w:before="60" w:after="60" w:line="240" w:lineRule="auto"/>
        <w:ind w:right="-475"/>
        <w:jc w:val="both"/>
        <w:rPr>
          <w:rFonts w:asciiTheme="majorHAnsi" w:eastAsia="Times New Roman" w:hAnsiTheme="majorHAnsi" w:cstheme="majorHAnsi"/>
          <w:color w:val="auto"/>
          <w:kern w:val="0"/>
          <w:sz w:val="24"/>
          <w:szCs w:val="24"/>
          <w:lang w:eastAsia="en-GB"/>
        </w:rPr>
      </w:pPr>
      <w:r w:rsidRPr="007B43C4">
        <w:rPr>
          <w:rFonts w:asciiTheme="majorHAnsi" w:eastAsia="Times New Roman" w:hAnsiTheme="majorHAnsi" w:cstheme="majorHAnsi"/>
          <w:color w:val="auto"/>
          <w:kern w:val="0"/>
          <w:sz w:val="24"/>
          <w:szCs w:val="24"/>
          <w:lang w:eastAsia="sr-Latn-ME"/>
        </w:rPr>
        <w:t xml:space="preserve">Prema predlozima dobijenih od strane </w:t>
      </w:r>
      <w:r w:rsidR="001349AB" w:rsidRPr="007B43C4">
        <w:rPr>
          <w:rFonts w:asciiTheme="majorHAnsi" w:eastAsia="Times New Roman" w:hAnsiTheme="majorHAnsi" w:cstheme="majorHAnsi"/>
          <w:color w:val="auto"/>
          <w:kern w:val="0"/>
          <w:sz w:val="24"/>
          <w:szCs w:val="24"/>
          <w:lang w:eastAsia="sr-Latn-ME"/>
        </w:rPr>
        <w:t>Zajednice opština Crne Gore (</w:t>
      </w:r>
      <w:r w:rsidRPr="007B43C4">
        <w:rPr>
          <w:rFonts w:asciiTheme="majorHAnsi" w:eastAsia="Times New Roman" w:hAnsiTheme="majorHAnsi" w:cstheme="majorHAnsi"/>
          <w:color w:val="auto"/>
          <w:kern w:val="0"/>
          <w:sz w:val="24"/>
          <w:szCs w:val="24"/>
          <w:lang w:eastAsia="sr-Latn-ME"/>
        </w:rPr>
        <w:t>ZOCG</w:t>
      </w:r>
      <w:r w:rsidR="001349AB" w:rsidRPr="007B43C4">
        <w:rPr>
          <w:rFonts w:asciiTheme="majorHAnsi" w:eastAsia="Times New Roman" w:hAnsiTheme="majorHAnsi" w:cstheme="majorHAnsi"/>
          <w:color w:val="auto"/>
          <w:kern w:val="0"/>
          <w:sz w:val="24"/>
          <w:szCs w:val="24"/>
          <w:lang w:eastAsia="sr-Latn-ME"/>
        </w:rPr>
        <w:t>)</w:t>
      </w:r>
      <w:r w:rsidRPr="007B43C4">
        <w:rPr>
          <w:rFonts w:asciiTheme="majorHAnsi" w:eastAsia="Times New Roman" w:hAnsiTheme="majorHAnsi" w:cstheme="majorHAnsi"/>
          <w:color w:val="auto"/>
          <w:kern w:val="0"/>
          <w:sz w:val="24"/>
          <w:szCs w:val="24"/>
          <w:lang w:eastAsia="sr-Latn-ME"/>
        </w:rPr>
        <w:t xml:space="preserve"> i </w:t>
      </w:r>
      <w:r w:rsidR="001349AB" w:rsidRPr="007B43C4">
        <w:rPr>
          <w:rFonts w:asciiTheme="majorHAnsi" w:eastAsia="Times New Roman" w:hAnsiTheme="majorHAnsi" w:cstheme="majorHAnsi"/>
          <w:color w:val="auto"/>
          <w:kern w:val="0"/>
          <w:sz w:val="24"/>
          <w:szCs w:val="24"/>
          <w:lang w:eastAsia="sr-Latn-ME"/>
        </w:rPr>
        <w:t>jedinica lokalne uprave (</w:t>
      </w:r>
      <w:r w:rsidR="00D03918" w:rsidRPr="007B43C4">
        <w:rPr>
          <w:rFonts w:asciiTheme="majorHAnsi" w:eastAsia="Times New Roman" w:hAnsiTheme="majorHAnsi" w:cstheme="majorHAnsi"/>
          <w:color w:val="auto"/>
          <w:kern w:val="0"/>
          <w:sz w:val="24"/>
          <w:szCs w:val="24"/>
          <w:lang w:eastAsia="sr-Latn-ME"/>
        </w:rPr>
        <w:t>JLS</w:t>
      </w:r>
      <w:r w:rsidR="001349AB" w:rsidRPr="007B43C4">
        <w:rPr>
          <w:rFonts w:asciiTheme="majorHAnsi" w:eastAsia="Times New Roman" w:hAnsiTheme="majorHAnsi" w:cstheme="majorHAnsi"/>
          <w:color w:val="auto"/>
          <w:kern w:val="0"/>
          <w:sz w:val="24"/>
          <w:szCs w:val="24"/>
          <w:lang w:eastAsia="sr-Latn-ME"/>
        </w:rPr>
        <w:t>)</w:t>
      </w:r>
      <w:r w:rsidRPr="007B43C4">
        <w:rPr>
          <w:rFonts w:asciiTheme="majorHAnsi" w:eastAsia="Times New Roman" w:hAnsiTheme="majorHAnsi" w:cstheme="majorHAnsi"/>
          <w:color w:val="auto"/>
          <w:kern w:val="0"/>
          <w:sz w:val="24"/>
          <w:szCs w:val="24"/>
          <w:lang w:eastAsia="sr-Latn-ME"/>
        </w:rPr>
        <w:t xml:space="preserve">, iskustva funkcionisanja </w:t>
      </w:r>
      <w:r w:rsidRPr="007B43C4">
        <w:rPr>
          <w:rFonts w:asciiTheme="majorHAnsi" w:eastAsia="Times New Roman" w:hAnsiTheme="majorHAnsi" w:cstheme="majorHAnsi"/>
          <w:b/>
          <w:color w:val="auto"/>
          <w:kern w:val="0"/>
          <w:sz w:val="24"/>
          <w:szCs w:val="24"/>
          <w:lang w:eastAsia="sr-Latn-ME"/>
        </w:rPr>
        <w:t>monotipskog sistema</w:t>
      </w:r>
      <w:r w:rsidRPr="007B43C4">
        <w:rPr>
          <w:rFonts w:asciiTheme="majorHAnsi" w:eastAsia="Times New Roman" w:hAnsiTheme="majorHAnsi" w:cstheme="majorHAnsi"/>
          <w:color w:val="auto"/>
          <w:kern w:val="0"/>
          <w:sz w:val="24"/>
          <w:szCs w:val="24"/>
          <w:lang w:eastAsia="sr-Latn-ME"/>
        </w:rPr>
        <w:t xml:space="preserve"> lokalne samouprave u CG, u kojem sve jedinice lokalne samouprave, od najmanje do najveće, imaju iste nadležnosti i vrše iste poslove, imaju istu ili sličnu organizaciju, pri čemu su lokalne samouprave veoma različite, kako po broju stanovnika, površini, razuđenosti teritorije, fiskalnim, administrativnim i drugim kapacitetima, pokazuju da je potrebno izvršiti preispitivanja istog. </w:t>
      </w:r>
    </w:p>
    <w:p w:rsidR="002206F7" w:rsidRDefault="00DB0093" w:rsidP="007B43C4">
      <w:pPr>
        <w:spacing w:before="60" w:after="60" w:line="240" w:lineRule="auto"/>
        <w:ind w:right="-475"/>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Jedan od prepoznatih izazova je i utvrđivanje tj. </w:t>
      </w:r>
      <w:r w:rsidRPr="007B43C4">
        <w:rPr>
          <w:rFonts w:asciiTheme="majorHAnsi" w:eastAsia="Calibri" w:hAnsiTheme="majorHAnsi" w:cstheme="majorHAnsi"/>
          <w:b/>
          <w:color w:val="auto"/>
          <w:kern w:val="0"/>
          <w:sz w:val="24"/>
          <w:szCs w:val="24"/>
          <w:lang w:eastAsia="en-US"/>
        </w:rPr>
        <w:t>prebacivanje nadležnosti</w:t>
      </w:r>
      <w:r w:rsidRPr="007B43C4">
        <w:rPr>
          <w:rFonts w:asciiTheme="majorHAnsi" w:eastAsia="Calibri" w:hAnsiTheme="majorHAnsi" w:cstheme="majorHAnsi"/>
          <w:color w:val="auto"/>
          <w:kern w:val="0"/>
          <w:sz w:val="24"/>
          <w:szCs w:val="24"/>
          <w:lang w:eastAsia="en-US"/>
        </w:rPr>
        <w:t xml:space="preserve"> i poslova sa centralnog na lokalni nivo kroz strateške akte suprotno zakonskim rešenjima bez adekvatne finansijske podrške, a posebno decentralizacija poslova iz nadležnosti države, posebno u oblasti socijalne i dječje zaštite, na lokalni nivo suprotno zakonu i bez adekvatne finansijske podrške kroz zakone i strateška akta. </w:t>
      </w:r>
    </w:p>
    <w:p w:rsidR="00424323" w:rsidRPr="002206F7" w:rsidRDefault="00424323" w:rsidP="007B43C4">
      <w:pPr>
        <w:spacing w:before="60" w:after="60" w:line="240" w:lineRule="auto"/>
        <w:ind w:right="-475"/>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U ovom grafiku dat je pregled prihoda JLS u Crnoj Gori u ukupnim prihodima za period od posljednjih 10 godina.</w:t>
      </w:r>
    </w:p>
    <w:p w:rsidR="00424323" w:rsidRDefault="00B26604" w:rsidP="007B43C4">
      <w:pPr>
        <w:spacing w:before="60" w:after="60" w:line="240" w:lineRule="auto"/>
        <w:ind w:right="-475"/>
        <w:jc w:val="both"/>
        <w:rPr>
          <w:rFonts w:asciiTheme="majorHAnsi" w:eastAsia="Calibri" w:hAnsiTheme="majorHAnsi" w:cstheme="majorHAnsi"/>
          <w:color w:val="auto"/>
          <w:kern w:val="0"/>
          <w:sz w:val="24"/>
          <w:szCs w:val="24"/>
          <w:lang w:eastAsia="en-US"/>
        </w:rPr>
      </w:pPr>
      <w:r w:rsidRPr="007B43C4">
        <w:rPr>
          <w:rFonts w:asciiTheme="majorHAnsi" w:hAnsiTheme="majorHAnsi" w:cstheme="majorHAnsi"/>
          <w:noProof/>
          <w:color w:val="auto"/>
          <w:sz w:val="24"/>
          <w:szCs w:val="24"/>
          <w:lang w:eastAsia="sr-Latn-RS"/>
        </w:rPr>
        <w:lastRenderedPageBreak/>
        <w:drawing>
          <wp:anchor distT="0" distB="0" distL="114300" distR="114300" simplePos="0" relativeHeight="251865088" behindDoc="0" locked="0" layoutInCell="1" allowOverlap="1" wp14:anchorId="5ADBAF92" wp14:editId="38EB5047">
            <wp:simplePos x="0" y="0"/>
            <wp:positionH relativeFrom="margin">
              <wp:posOffset>619125</wp:posOffset>
            </wp:positionH>
            <wp:positionV relativeFrom="paragraph">
              <wp:posOffset>8890</wp:posOffset>
            </wp:positionV>
            <wp:extent cx="4972050" cy="245872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extLst>
                        <a:ext uri="{28A0092B-C50C-407E-A947-70E740481C1C}">
                          <a14:useLocalDpi xmlns:a14="http://schemas.microsoft.com/office/drawing/2010/main" val="0"/>
                        </a:ext>
                      </a:extLst>
                    </a:blip>
                    <a:srcRect l="15814" t="24050" r="17223" b="9614"/>
                    <a:stretch/>
                  </pic:blipFill>
                  <pic:spPr bwMode="auto">
                    <a:xfrm>
                      <a:off x="0" y="0"/>
                      <a:ext cx="4972050" cy="245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06F7" w:rsidRDefault="002206F7" w:rsidP="007B43C4">
      <w:pPr>
        <w:spacing w:before="60" w:after="60" w:line="240" w:lineRule="auto"/>
        <w:ind w:right="-475"/>
        <w:jc w:val="both"/>
        <w:rPr>
          <w:rFonts w:asciiTheme="majorHAnsi" w:eastAsia="Calibri" w:hAnsiTheme="majorHAnsi" w:cstheme="majorHAnsi"/>
          <w:color w:val="auto"/>
          <w:kern w:val="0"/>
          <w:sz w:val="24"/>
          <w:szCs w:val="24"/>
          <w:lang w:eastAsia="en-US"/>
        </w:rPr>
      </w:pPr>
    </w:p>
    <w:p w:rsidR="002206F7" w:rsidRDefault="002206F7" w:rsidP="007B43C4">
      <w:pPr>
        <w:spacing w:before="60" w:after="60" w:line="240" w:lineRule="auto"/>
        <w:ind w:right="-475"/>
        <w:jc w:val="both"/>
        <w:rPr>
          <w:rFonts w:asciiTheme="majorHAnsi" w:eastAsia="Calibri" w:hAnsiTheme="majorHAnsi" w:cstheme="majorHAnsi"/>
          <w:color w:val="auto"/>
          <w:kern w:val="0"/>
          <w:sz w:val="24"/>
          <w:szCs w:val="24"/>
          <w:lang w:eastAsia="en-US"/>
        </w:rPr>
      </w:pPr>
    </w:p>
    <w:p w:rsidR="002206F7" w:rsidRDefault="002206F7" w:rsidP="007B43C4">
      <w:pPr>
        <w:spacing w:before="60" w:after="60" w:line="240" w:lineRule="auto"/>
        <w:ind w:right="-475"/>
        <w:jc w:val="both"/>
        <w:rPr>
          <w:rFonts w:asciiTheme="majorHAnsi" w:eastAsia="Calibri" w:hAnsiTheme="majorHAnsi" w:cstheme="majorHAnsi"/>
          <w:color w:val="auto"/>
          <w:kern w:val="0"/>
          <w:sz w:val="24"/>
          <w:szCs w:val="24"/>
          <w:lang w:eastAsia="en-US"/>
        </w:rPr>
      </w:pPr>
    </w:p>
    <w:p w:rsidR="002206F7" w:rsidRDefault="002206F7" w:rsidP="007B43C4">
      <w:pPr>
        <w:spacing w:before="60" w:after="60" w:line="240" w:lineRule="auto"/>
        <w:ind w:right="-475"/>
        <w:jc w:val="both"/>
        <w:rPr>
          <w:rFonts w:asciiTheme="majorHAnsi" w:eastAsia="Calibri" w:hAnsiTheme="majorHAnsi" w:cstheme="majorHAnsi"/>
          <w:color w:val="auto"/>
          <w:kern w:val="0"/>
          <w:sz w:val="24"/>
          <w:szCs w:val="24"/>
          <w:lang w:eastAsia="en-US"/>
        </w:rPr>
      </w:pPr>
    </w:p>
    <w:p w:rsidR="002206F7" w:rsidRPr="007B43C4" w:rsidRDefault="002206F7" w:rsidP="007B43C4">
      <w:pPr>
        <w:spacing w:before="60" w:after="60" w:line="240" w:lineRule="auto"/>
        <w:ind w:right="-475"/>
        <w:jc w:val="both"/>
        <w:rPr>
          <w:rFonts w:asciiTheme="majorHAnsi" w:eastAsia="Calibri" w:hAnsiTheme="majorHAnsi" w:cstheme="majorHAnsi"/>
          <w:color w:val="auto"/>
          <w:kern w:val="0"/>
          <w:sz w:val="24"/>
          <w:szCs w:val="24"/>
          <w:lang w:eastAsia="en-US"/>
        </w:rPr>
      </w:pPr>
    </w:p>
    <w:p w:rsidR="002206F7" w:rsidRDefault="002206F7" w:rsidP="007B43C4">
      <w:pPr>
        <w:spacing w:before="60" w:after="60" w:line="240" w:lineRule="auto"/>
        <w:ind w:right="-475"/>
        <w:jc w:val="both"/>
        <w:rPr>
          <w:rFonts w:asciiTheme="majorHAnsi" w:eastAsia="Calibri" w:hAnsiTheme="majorHAnsi" w:cstheme="majorHAnsi"/>
          <w:i/>
          <w:color w:val="auto"/>
          <w:kern w:val="0"/>
          <w:sz w:val="16"/>
          <w:szCs w:val="16"/>
          <w:lang w:eastAsia="en-US"/>
        </w:rPr>
      </w:pPr>
      <w:r>
        <w:rPr>
          <w:rFonts w:asciiTheme="majorHAnsi" w:eastAsia="Calibri" w:hAnsiTheme="majorHAnsi" w:cstheme="majorHAnsi"/>
          <w:i/>
          <w:color w:val="auto"/>
          <w:kern w:val="0"/>
          <w:sz w:val="16"/>
          <w:szCs w:val="16"/>
          <w:lang w:eastAsia="en-US"/>
        </w:rPr>
        <w:t xml:space="preserve">                                           </w:t>
      </w:r>
    </w:p>
    <w:p w:rsidR="002206F7" w:rsidRDefault="002206F7" w:rsidP="007B43C4">
      <w:pPr>
        <w:spacing w:before="60" w:after="60" w:line="240" w:lineRule="auto"/>
        <w:ind w:right="-475"/>
        <w:jc w:val="both"/>
        <w:rPr>
          <w:rFonts w:asciiTheme="majorHAnsi" w:eastAsia="Calibri" w:hAnsiTheme="majorHAnsi" w:cstheme="majorHAnsi"/>
          <w:i/>
          <w:color w:val="auto"/>
          <w:kern w:val="0"/>
          <w:sz w:val="16"/>
          <w:szCs w:val="16"/>
          <w:lang w:eastAsia="en-US"/>
        </w:rPr>
      </w:pPr>
    </w:p>
    <w:p w:rsidR="002206F7" w:rsidRDefault="002206F7" w:rsidP="007B43C4">
      <w:pPr>
        <w:spacing w:before="60" w:after="60" w:line="240" w:lineRule="auto"/>
        <w:ind w:right="-475"/>
        <w:jc w:val="both"/>
        <w:rPr>
          <w:rFonts w:asciiTheme="majorHAnsi" w:eastAsia="Calibri" w:hAnsiTheme="majorHAnsi" w:cstheme="majorHAnsi"/>
          <w:i/>
          <w:color w:val="auto"/>
          <w:kern w:val="0"/>
          <w:sz w:val="16"/>
          <w:szCs w:val="16"/>
          <w:lang w:eastAsia="en-US"/>
        </w:rPr>
      </w:pPr>
    </w:p>
    <w:p w:rsidR="00C046D3" w:rsidRDefault="002206F7" w:rsidP="007B43C4">
      <w:pPr>
        <w:spacing w:before="60" w:after="60" w:line="240" w:lineRule="auto"/>
        <w:ind w:right="-475"/>
        <w:jc w:val="both"/>
        <w:rPr>
          <w:rFonts w:asciiTheme="majorHAnsi" w:eastAsia="Calibri" w:hAnsiTheme="majorHAnsi" w:cstheme="majorHAnsi"/>
          <w:i/>
          <w:color w:val="auto"/>
          <w:kern w:val="0"/>
          <w:sz w:val="16"/>
          <w:szCs w:val="16"/>
          <w:lang w:eastAsia="en-US"/>
        </w:rPr>
      </w:pPr>
      <w:r>
        <w:rPr>
          <w:rFonts w:asciiTheme="majorHAnsi" w:eastAsia="Calibri" w:hAnsiTheme="majorHAnsi" w:cstheme="majorHAnsi"/>
          <w:i/>
          <w:color w:val="auto"/>
          <w:kern w:val="0"/>
          <w:sz w:val="16"/>
          <w:szCs w:val="16"/>
          <w:lang w:eastAsia="en-US"/>
        </w:rPr>
        <w:t xml:space="preserve">   </w:t>
      </w:r>
    </w:p>
    <w:p w:rsidR="00C046D3" w:rsidRDefault="00C046D3" w:rsidP="007B43C4">
      <w:pPr>
        <w:spacing w:before="60" w:after="60" w:line="240" w:lineRule="auto"/>
        <w:ind w:right="-475"/>
        <w:jc w:val="both"/>
        <w:rPr>
          <w:rFonts w:asciiTheme="majorHAnsi" w:eastAsia="Calibri" w:hAnsiTheme="majorHAnsi" w:cstheme="majorHAnsi"/>
          <w:i/>
          <w:color w:val="auto"/>
          <w:kern w:val="0"/>
          <w:sz w:val="16"/>
          <w:szCs w:val="16"/>
          <w:lang w:eastAsia="en-US"/>
        </w:rPr>
      </w:pPr>
    </w:p>
    <w:p w:rsidR="00162C8F" w:rsidRDefault="00C046D3" w:rsidP="007B43C4">
      <w:pPr>
        <w:spacing w:before="60" w:after="60" w:line="240" w:lineRule="auto"/>
        <w:ind w:right="-475"/>
        <w:jc w:val="both"/>
        <w:rPr>
          <w:rFonts w:asciiTheme="majorHAnsi" w:eastAsia="Calibri" w:hAnsiTheme="majorHAnsi" w:cstheme="majorHAnsi"/>
          <w:i/>
          <w:color w:val="auto"/>
          <w:kern w:val="0"/>
          <w:sz w:val="16"/>
          <w:szCs w:val="16"/>
          <w:lang w:eastAsia="en-US"/>
        </w:rPr>
      </w:pPr>
      <w:r>
        <w:rPr>
          <w:rFonts w:asciiTheme="majorHAnsi" w:eastAsia="Calibri" w:hAnsiTheme="majorHAnsi" w:cstheme="majorHAnsi"/>
          <w:i/>
          <w:color w:val="auto"/>
          <w:kern w:val="0"/>
          <w:sz w:val="16"/>
          <w:szCs w:val="16"/>
          <w:lang w:eastAsia="en-US"/>
        </w:rPr>
        <w:t xml:space="preserve">                                      </w:t>
      </w:r>
      <w:r w:rsidR="002206F7">
        <w:rPr>
          <w:rFonts w:asciiTheme="majorHAnsi" w:eastAsia="Calibri" w:hAnsiTheme="majorHAnsi" w:cstheme="majorHAnsi"/>
          <w:i/>
          <w:color w:val="auto"/>
          <w:kern w:val="0"/>
          <w:sz w:val="16"/>
          <w:szCs w:val="16"/>
          <w:lang w:eastAsia="en-US"/>
        </w:rPr>
        <w:t xml:space="preserve"> </w:t>
      </w:r>
    </w:p>
    <w:p w:rsidR="00162C8F" w:rsidRDefault="00162C8F" w:rsidP="007B43C4">
      <w:pPr>
        <w:spacing w:before="60" w:after="60" w:line="240" w:lineRule="auto"/>
        <w:ind w:right="-475"/>
        <w:jc w:val="both"/>
        <w:rPr>
          <w:rFonts w:asciiTheme="majorHAnsi" w:eastAsia="Calibri" w:hAnsiTheme="majorHAnsi" w:cstheme="majorHAnsi"/>
          <w:i/>
          <w:color w:val="auto"/>
          <w:kern w:val="0"/>
          <w:sz w:val="16"/>
          <w:szCs w:val="16"/>
          <w:lang w:eastAsia="en-US"/>
        </w:rPr>
      </w:pPr>
    </w:p>
    <w:p w:rsidR="00424323" w:rsidRPr="007B43C4" w:rsidRDefault="00424323" w:rsidP="00162C8F">
      <w:pPr>
        <w:spacing w:before="60" w:after="60" w:line="240" w:lineRule="auto"/>
        <w:ind w:left="2880" w:right="-475" w:firstLine="720"/>
        <w:jc w:val="both"/>
        <w:rPr>
          <w:rFonts w:asciiTheme="majorHAnsi" w:eastAsia="Calibri" w:hAnsiTheme="majorHAnsi" w:cstheme="majorHAnsi"/>
          <w:i/>
          <w:color w:val="auto"/>
          <w:kern w:val="0"/>
          <w:sz w:val="16"/>
          <w:szCs w:val="16"/>
          <w:lang w:eastAsia="en-US"/>
        </w:rPr>
      </w:pPr>
      <w:r w:rsidRPr="007B43C4">
        <w:rPr>
          <w:rFonts w:asciiTheme="majorHAnsi" w:eastAsia="Calibri" w:hAnsiTheme="majorHAnsi" w:cstheme="majorHAnsi"/>
          <w:i/>
          <w:color w:val="auto"/>
          <w:kern w:val="0"/>
          <w:sz w:val="16"/>
          <w:szCs w:val="16"/>
          <w:lang w:eastAsia="en-US"/>
        </w:rPr>
        <w:t>Izvor: NALAS Fiscal decentralization report</w:t>
      </w:r>
    </w:p>
    <w:p w:rsidR="00FB3B55" w:rsidRPr="007B43C4" w:rsidRDefault="00694EAE" w:rsidP="007B43C4">
      <w:pPr>
        <w:spacing w:before="60" w:after="60" w:line="240" w:lineRule="auto"/>
        <w:ind w:right="-475"/>
        <w:jc w:val="both"/>
        <w:rPr>
          <w:rFonts w:asciiTheme="majorHAnsi" w:eastAsia="Times New Roman" w:hAnsiTheme="majorHAnsi" w:cstheme="majorHAnsi"/>
          <w:color w:val="auto"/>
          <w:kern w:val="0"/>
          <w:sz w:val="24"/>
          <w:szCs w:val="24"/>
          <w:lang w:eastAsia="sr-Latn-ME"/>
        </w:rPr>
      </w:pPr>
      <w:r w:rsidRPr="007B43C4">
        <w:rPr>
          <w:rFonts w:asciiTheme="majorHAnsi" w:eastAsia="Calibri" w:hAnsiTheme="majorHAnsi" w:cstheme="majorHAnsi"/>
          <w:color w:val="auto"/>
          <w:kern w:val="0"/>
          <w:sz w:val="24"/>
          <w:szCs w:val="24"/>
          <w:lang w:eastAsia="en-US"/>
        </w:rPr>
        <w:t xml:space="preserve">Određeni broj lokalnih samouprava ima značajne </w:t>
      </w:r>
      <w:r w:rsidR="00A64614" w:rsidRPr="007B43C4">
        <w:rPr>
          <w:rFonts w:asciiTheme="majorHAnsi" w:eastAsia="Calibri" w:hAnsiTheme="majorHAnsi" w:cstheme="majorHAnsi"/>
          <w:color w:val="auto"/>
          <w:kern w:val="0"/>
          <w:sz w:val="24"/>
          <w:szCs w:val="24"/>
          <w:lang w:eastAsia="en-US"/>
        </w:rPr>
        <w:t>p</w:t>
      </w:r>
      <w:r w:rsidRPr="007B43C4">
        <w:rPr>
          <w:rFonts w:asciiTheme="majorHAnsi" w:eastAsia="Calibri" w:hAnsiTheme="majorHAnsi" w:cstheme="majorHAnsi"/>
          <w:color w:val="auto"/>
          <w:kern w:val="0"/>
          <w:sz w:val="24"/>
          <w:szCs w:val="24"/>
          <w:lang w:eastAsia="en-US"/>
        </w:rPr>
        <w:t>robleme u finansiranju svojih zakonskih i drugih obaveza bez obzira na činjenicu što je početkom 2019. godine stupio na snagu novi Zakon o finansiranju lokalne samouprave čija primjena je uticala na povećanje prihoda lokalnih samouprava, prije svega onih koje pripadaju Sjevernom regionu Crne Gore. Analiza finansijskih pokazatelja lokalnih samouprava u periodu od 2019. do polovine 2021. godine pokazuje određeni nivo fiskalne nediscipline koji je posebno izražen kod pojedinih lokalnih samouprava. Naime,</w:t>
      </w:r>
      <w:r w:rsidR="009C077B" w:rsidRPr="007B43C4">
        <w:rPr>
          <w:rFonts w:asciiTheme="majorHAnsi" w:eastAsia="Calibri" w:hAnsiTheme="majorHAnsi" w:cstheme="majorHAnsi"/>
          <w:color w:val="auto"/>
          <w:kern w:val="0"/>
          <w:sz w:val="24"/>
          <w:szCs w:val="24"/>
          <w:lang w:eastAsia="en-US"/>
        </w:rPr>
        <w:t xml:space="preserve"> u </w:t>
      </w:r>
      <w:r w:rsidRPr="007B43C4">
        <w:rPr>
          <w:rFonts w:asciiTheme="majorHAnsi" w:eastAsia="Calibri" w:hAnsiTheme="majorHAnsi" w:cstheme="majorHAnsi"/>
          <w:color w:val="auto"/>
          <w:kern w:val="0"/>
          <w:sz w:val="24"/>
          <w:szCs w:val="24"/>
          <w:lang w:eastAsia="en-US"/>
        </w:rPr>
        <w:t>posmatranom periodu evidentan je rast neizmirenih obaveza</w:t>
      </w:r>
      <w:r w:rsidR="001A6FE2" w:rsidRPr="007B43C4">
        <w:rPr>
          <w:rFonts w:asciiTheme="majorHAnsi" w:eastAsia="Calibri" w:hAnsiTheme="majorHAnsi" w:cstheme="majorHAnsi"/>
          <w:color w:val="auto"/>
          <w:kern w:val="0"/>
          <w:sz w:val="24"/>
          <w:szCs w:val="24"/>
          <w:lang w:eastAsia="en-US"/>
        </w:rPr>
        <w:t>.</w:t>
      </w:r>
      <w:r w:rsidRPr="007B43C4">
        <w:rPr>
          <w:rFonts w:asciiTheme="majorHAnsi" w:eastAsia="Calibri" w:hAnsiTheme="majorHAnsi" w:cstheme="majorHAnsi"/>
          <w:color w:val="auto"/>
          <w:kern w:val="0"/>
          <w:sz w:val="24"/>
          <w:szCs w:val="24"/>
          <w:lang w:eastAsia="en-US"/>
        </w:rPr>
        <w:t xml:space="preserve"> Ukupan iznos neizmirenih obaveza na kraju 2019. godine iznosio je 68,90 mil. € dok na kraju 2020. godine iznosi preko 78 mil € (izvor: </w:t>
      </w:r>
      <w:hyperlink r:id="rId71" w:history="1">
        <w:r w:rsidRPr="007B43C4">
          <w:rPr>
            <w:rFonts w:asciiTheme="majorHAnsi" w:eastAsia="Calibri" w:hAnsiTheme="majorHAnsi" w:cstheme="majorHAnsi"/>
            <w:color w:val="auto"/>
            <w:kern w:val="0"/>
            <w:sz w:val="24"/>
            <w:szCs w:val="24"/>
            <w:u w:val="single"/>
            <w:lang w:eastAsia="en-US"/>
          </w:rPr>
          <w:t>https://lokalnefinansije.me/uporedni-pregled/?t=obaveze</w:t>
        </w:r>
      </w:hyperlink>
      <w:r w:rsidRPr="007B43C4">
        <w:rPr>
          <w:rFonts w:asciiTheme="majorHAnsi" w:eastAsia="Calibri" w:hAnsiTheme="majorHAnsi" w:cstheme="majorHAnsi"/>
          <w:color w:val="auto"/>
          <w:kern w:val="0"/>
          <w:sz w:val="24"/>
          <w:szCs w:val="24"/>
          <w:lang w:eastAsia="en-US"/>
        </w:rPr>
        <w:t>),  a javni dug, iako ima tendenciju pada u prethodnim godinama, i dalje je visok.</w:t>
      </w:r>
      <w:r w:rsidRPr="007B43C4">
        <w:rPr>
          <w:rFonts w:asciiTheme="majorHAnsi" w:eastAsia="Calibri" w:hAnsiTheme="majorHAnsi" w:cstheme="majorHAnsi"/>
          <w:color w:val="auto"/>
          <w:kern w:val="0"/>
          <w:sz w:val="24"/>
          <w:szCs w:val="24"/>
          <w:vertAlign w:val="superscript"/>
          <w:lang w:eastAsia="en-US"/>
        </w:rPr>
        <w:footnoteReference w:id="37"/>
      </w:r>
      <w:r w:rsidRPr="007B43C4">
        <w:rPr>
          <w:rFonts w:asciiTheme="majorHAnsi" w:eastAsia="Calibri" w:hAnsiTheme="majorHAnsi" w:cstheme="majorHAnsi"/>
          <w:color w:val="auto"/>
          <w:kern w:val="0"/>
          <w:sz w:val="24"/>
          <w:szCs w:val="24"/>
          <w:lang w:eastAsia="en-US"/>
        </w:rPr>
        <w:t xml:space="preserve"> Osim navedenog, podaci kojima raspolaže Ministarstvo finansija i socijalnog staranja ukazuju na nizak stepen naplate sopstvenih prihoda kod većine lokalnih samouprava, što potvrđuje i izvještaj Državne revizorske institucije o naplati i evidenciji sopstvenih prihoda u lokalnim samoupravama u okviru kategorije 71 – tekući prihodi u 2019. godini.</w:t>
      </w:r>
      <w:r w:rsidRPr="007B43C4">
        <w:rPr>
          <w:rStyle w:val="FootnoteReference"/>
          <w:rFonts w:asciiTheme="majorHAnsi" w:eastAsia="Calibri" w:hAnsiTheme="majorHAnsi" w:cstheme="majorHAnsi"/>
          <w:color w:val="auto"/>
          <w:kern w:val="0"/>
          <w:sz w:val="24"/>
          <w:szCs w:val="24"/>
          <w:lang w:eastAsia="en-US"/>
        </w:rPr>
        <w:footnoteReference w:id="38"/>
      </w:r>
      <w:r w:rsidRPr="007B43C4">
        <w:rPr>
          <w:rFonts w:asciiTheme="majorHAnsi" w:eastAsia="Calibri" w:hAnsiTheme="majorHAnsi" w:cstheme="majorHAnsi"/>
          <w:color w:val="auto"/>
          <w:kern w:val="0"/>
          <w:sz w:val="24"/>
          <w:szCs w:val="24"/>
          <w:lang w:eastAsia="en-US"/>
        </w:rPr>
        <w:t xml:space="preserve">  </w:t>
      </w:r>
    </w:p>
    <w:p w:rsidR="00E904A1" w:rsidRPr="007B43C4" w:rsidRDefault="00DB0093" w:rsidP="00153229">
      <w:pPr>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b/>
          <w:color w:val="auto"/>
          <w:kern w:val="0"/>
          <w:sz w:val="24"/>
          <w:szCs w:val="24"/>
          <w:lang w:eastAsia="en-US"/>
        </w:rPr>
        <w:t>Međuopštinska saradnja</w:t>
      </w:r>
      <w:r w:rsidRPr="007B43C4">
        <w:rPr>
          <w:rFonts w:asciiTheme="majorHAnsi" w:eastAsia="Calibri" w:hAnsiTheme="majorHAnsi" w:cstheme="majorHAnsi"/>
          <w:color w:val="auto"/>
          <w:kern w:val="0"/>
          <w:sz w:val="24"/>
          <w:szCs w:val="24"/>
          <w:lang w:eastAsia="en-US"/>
        </w:rPr>
        <w:t xml:space="preserve"> kao mehanizam saradnje kojim mogu da se nadomjeste neujednačeni kapaciteti opština za sprovođenje Zakonom propisanih poslova i da se riješavaju zajednički problemi koji prevazilaze granice </w:t>
      </w:r>
      <w:r w:rsidR="00D03918" w:rsidRPr="007B43C4">
        <w:rPr>
          <w:rFonts w:asciiTheme="majorHAnsi" w:eastAsia="Calibri" w:hAnsiTheme="majorHAnsi" w:cstheme="majorHAnsi"/>
          <w:color w:val="auto"/>
          <w:kern w:val="0"/>
          <w:sz w:val="24"/>
          <w:szCs w:val="24"/>
          <w:lang w:eastAsia="en-US"/>
        </w:rPr>
        <w:t>JLS</w:t>
      </w:r>
      <w:r w:rsidRPr="007B43C4">
        <w:rPr>
          <w:rFonts w:asciiTheme="majorHAnsi" w:eastAsia="Calibri" w:hAnsiTheme="majorHAnsi" w:cstheme="majorHAnsi"/>
          <w:color w:val="auto"/>
          <w:kern w:val="0"/>
          <w:sz w:val="24"/>
          <w:szCs w:val="24"/>
          <w:lang w:eastAsia="en-US"/>
        </w:rPr>
        <w:t>, i dalje se suočava sa sledećim izazovima: nedovoljno definisan zakonodavni okvir za uspostavljanje međuopštinske saradnje u djelu omogućavanja saradnje i u prenesenim i povjerenim poslovima</w:t>
      </w:r>
      <w:r w:rsidR="004100E3" w:rsidRPr="007B43C4">
        <w:rPr>
          <w:rFonts w:asciiTheme="majorHAnsi" w:eastAsia="Calibri" w:hAnsiTheme="majorHAnsi" w:cstheme="majorHAnsi"/>
          <w:color w:val="auto"/>
          <w:kern w:val="0"/>
          <w:sz w:val="24"/>
          <w:szCs w:val="24"/>
          <w:lang w:eastAsia="en-US"/>
        </w:rPr>
        <w:t xml:space="preserve"> (</w:t>
      </w:r>
      <w:r w:rsidR="004100E3" w:rsidRPr="007B43C4">
        <w:rPr>
          <w:rFonts w:asciiTheme="majorHAnsi" w:hAnsiTheme="majorHAnsi" w:cstheme="majorHAnsi"/>
          <w:color w:val="auto"/>
          <w:sz w:val="24"/>
          <w:szCs w:val="24"/>
        </w:rPr>
        <w:t>p</w:t>
      </w:r>
      <w:r w:rsidR="004100E3" w:rsidRPr="007B43C4">
        <w:rPr>
          <w:rFonts w:asciiTheme="majorHAnsi" w:eastAsia="Times New Roman" w:hAnsiTheme="majorHAnsi" w:cstheme="majorHAnsi"/>
          <w:color w:val="auto"/>
          <w:sz w:val="24"/>
          <w:szCs w:val="24"/>
        </w:rPr>
        <w:t xml:space="preserve">ostojeći pravni okvir ne sprečava </w:t>
      </w:r>
      <w:r w:rsidR="004100E3" w:rsidRPr="007B43C4">
        <w:rPr>
          <w:rFonts w:asciiTheme="majorHAnsi" w:hAnsiTheme="majorHAnsi" w:cstheme="majorHAnsi"/>
          <w:color w:val="auto"/>
          <w:sz w:val="24"/>
          <w:szCs w:val="24"/>
          <w:shd w:val="clear" w:color="auto" w:fill="FFFFFF"/>
        </w:rPr>
        <w:t xml:space="preserve">međuopštinsku saradnju u </w:t>
      </w:r>
      <w:r w:rsidR="004100E3" w:rsidRPr="007B43C4">
        <w:rPr>
          <w:rFonts w:asciiTheme="majorHAnsi" w:eastAsia="Times New Roman" w:hAnsiTheme="majorHAnsi" w:cstheme="majorHAnsi"/>
          <w:color w:val="auto"/>
          <w:sz w:val="24"/>
          <w:szCs w:val="24"/>
        </w:rPr>
        <w:t>vršenju sopstvenih poslova, ali ona nije moguća u sprovođenju poslova prenesenih i povjernih sa višeg nivoa vlasti)</w:t>
      </w:r>
      <w:r w:rsidRPr="007B43C4">
        <w:rPr>
          <w:rFonts w:asciiTheme="majorHAnsi" w:eastAsia="Calibri" w:hAnsiTheme="majorHAnsi" w:cstheme="majorHAnsi"/>
          <w:color w:val="auto"/>
          <w:kern w:val="0"/>
          <w:sz w:val="24"/>
          <w:szCs w:val="24"/>
          <w:lang w:eastAsia="en-US"/>
        </w:rPr>
        <w:t>,</w:t>
      </w:r>
      <w:r w:rsidRPr="007B43C4">
        <w:rPr>
          <w:rFonts w:asciiTheme="majorHAnsi" w:eastAsia="Calibri" w:hAnsiTheme="majorHAnsi" w:cstheme="majorHAnsi"/>
          <w:color w:val="auto"/>
          <w:kern w:val="0"/>
          <w:sz w:val="24"/>
          <w:szCs w:val="24"/>
          <w:vertAlign w:val="superscript"/>
          <w:lang w:eastAsia="en-US"/>
        </w:rPr>
        <w:footnoteReference w:id="39"/>
      </w:r>
      <w:r w:rsidRPr="007B43C4">
        <w:rPr>
          <w:rFonts w:asciiTheme="majorHAnsi" w:eastAsia="Calibri" w:hAnsiTheme="majorHAnsi" w:cstheme="majorHAnsi"/>
          <w:color w:val="auto"/>
          <w:kern w:val="0"/>
          <w:sz w:val="24"/>
          <w:szCs w:val="24"/>
          <w:lang w:eastAsia="en-US"/>
        </w:rPr>
        <w:t xml:space="preserve"> nedovoljna svijest o značaju i korišćenju mehanizama međuopštinske saradnje, nedostatak </w:t>
      </w:r>
      <w:r w:rsidRPr="007B43C4">
        <w:rPr>
          <w:rFonts w:asciiTheme="majorHAnsi" w:eastAsia="Calibri" w:hAnsiTheme="majorHAnsi" w:cstheme="majorHAnsi"/>
          <w:color w:val="auto"/>
          <w:kern w:val="0"/>
          <w:sz w:val="24"/>
          <w:szCs w:val="24"/>
          <w:lang w:eastAsia="en-US"/>
        </w:rPr>
        <w:lastRenderedPageBreak/>
        <w:t>podsticajnih mjera od strane države projektima međuopštinske saradnje sa posebnim fokusom na one koji doprinose razvoju regiona.</w:t>
      </w:r>
    </w:p>
    <w:p w:rsidR="005A6E16" w:rsidRPr="007E14C5" w:rsidRDefault="005A6E16" w:rsidP="00153229">
      <w:pPr>
        <w:pStyle w:val="ListParagraph"/>
        <w:spacing w:before="120" w:after="120" w:line="240" w:lineRule="auto"/>
        <w:ind w:left="270" w:right="-471"/>
        <w:jc w:val="both"/>
        <w:rPr>
          <w:rFonts w:asciiTheme="majorHAnsi" w:eastAsia="Times New Roman" w:hAnsiTheme="majorHAnsi" w:cstheme="majorHAnsi"/>
          <w:color w:val="002060"/>
          <w:kern w:val="0"/>
          <w:sz w:val="24"/>
          <w:szCs w:val="24"/>
          <w:lang w:eastAsia="en-GB"/>
        </w:rPr>
      </w:pPr>
    </w:p>
    <w:bookmarkStart w:id="13" w:name="_Toc87353393"/>
    <w:p w:rsidR="005A6E16" w:rsidRPr="007B43C4" w:rsidRDefault="007B43C4" w:rsidP="00B43D4E">
      <w:pPr>
        <w:pStyle w:val="ListParagraph"/>
        <w:keepNext/>
        <w:keepLines/>
        <w:numPr>
          <w:ilvl w:val="0"/>
          <w:numId w:val="21"/>
        </w:numPr>
        <w:spacing w:before="240" w:after="240" w:line="240" w:lineRule="auto"/>
        <w:ind w:right="-471"/>
        <w:contextualSpacing w:val="0"/>
        <w:outlineLvl w:val="2"/>
        <w:rPr>
          <w:rFonts w:asciiTheme="majorHAnsi" w:eastAsia="Calibri" w:hAnsiTheme="majorHAnsi" w:cstheme="majorHAnsi"/>
          <w:b/>
          <w:color w:val="auto"/>
          <w:kern w:val="0"/>
          <w:sz w:val="24"/>
          <w:szCs w:val="24"/>
        </w:rPr>
      </w:pPr>
      <w:r w:rsidRPr="007B43C4">
        <w:rPr>
          <w:rFonts w:asciiTheme="majorHAnsi" w:hAnsiTheme="majorHAnsi" w:cstheme="majorHAnsi"/>
          <w:noProof/>
          <w:color w:val="auto"/>
          <w:sz w:val="24"/>
          <w:szCs w:val="24"/>
          <w:lang w:eastAsia="sr-Latn-RS"/>
        </w:rPr>
        <mc:AlternateContent>
          <mc:Choice Requires="wps">
            <w:drawing>
              <wp:anchor distT="45720" distB="45720" distL="114300" distR="114300" simplePos="0" relativeHeight="251680768" behindDoc="0" locked="0" layoutInCell="1" allowOverlap="1" wp14:anchorId="36737E46" wp14:editId="07C00C0A">
                <wp:simplePos x="0" y="0"/>
                <wp:positionH relativeFrom="column">
                  <wp:posOffset>3727450</wp:posOffset>
                </wp:positionH>
                <wp:positionV relativeFrom="paragraph">
                  <wp:posOffset>342900</wp:posOffset>
                </wp:positionV>
                <wp:extent cx="2732405" cy="4433570"/>
                <wp:effectExtent l="0" t="0" r="10795" b="241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405" cy="4433570"/>
                        </a:xfrm>
                        <a:prstGeom prst="rect">
                          <a:avLst/>
                        </a:prstGeom>
                        <a:solidFill>
                          <a:srgbClr val="FFFFFF"/>
                        </a:solidFill>
                        <a:ln w="9525">
                          <a:solidFill>
                            <a:schemeClr val="bg1"/>
                          </a:solidFill>
                          <a:miter lim="800000"/>
                          <a:headEnd/>
                          <a:tailEnd/>
                        </a:ln>
                      </wps:spPr>
                      <wps:txbx>
                        <w:txbxContent>
                          <w:p w:rsidR="00F735BC" w:rsidRPr="007B43C4" w:rsidRDefault="00F735BC" w:rsidP="007B43C4">
                            <w:pPr>
                              <w:tabs>
                                <w:tab w:val="left" w:pos="3330"/>
                              </w:tabs>
                              <w:spacing w:after="40" w:line="240" w:lineRule="auto"/>
                              <w:ind w:right="294"/>
                              <w:jc w:val="both"/>
                              <w:rPr>
                                <w:rFonts w:asciiTheme="majorHAnsi" w:hAnsiTheme="majorHAnsi" w:cstheme="majorHAnsi"/>
                                <w:bCs/>
                                <w:color w:val="auto"/>
                                <w:sz w:val="24"/>
                                <w:szCs w:val="24"/>
                              </w:rPr>
                            </w:pPr>
                            <w:r w:rsidRPr="007B43C4">
                              <w:rPr>
                                <w:rFonts w:asciiTheme="majorHAnsi" w:hAnsiTheme="majorHAnsi" w:cstheme="majorHAnsi"/>
                                <w:bCs/>
                                <w:color w:val="auto"/>
                                <w:sz w:val="24"/>
                                <w:szCs w:val="24"/>
                              </w:rPr>
                              <w:t>Prikazani grafik daje sažet prikaz analize zainteresovanih strana, prema kojem se uočava veliki interes svih relevantnih aktera. Pitanje organizacije i rada javne uprave ima uticaj na cjelokupno društvo. U matrici su pozicionirane institucije koje su neposredno uključene u sam proces reforme organizacije javne uprave koje u najvećnoj mjeri i utiču na kreiranje politika u ovoj oblasti kao i njenoj implementaciji: Vlada Crne Gore, Ministarstvo javne uprave, digitalnog društva i medija, Ministarstvo finansija i socijalnog staranja, Ministarstvo za ekonomski razvoj, Uprava za kadrove, Upravni sud, Upravna inspekcija, DRI, jedinice lokalne samouprave, ZOCG, zaposleni u javnoj upravi; dok se sva ostala ministarstva, javne ustanove, fondovi, kao i međunarodne organizacije – EU, SIGMA, OECD, UN posmatraju kao najvažniji partneri.</w:t>
                            </w:r>
                          </w:p>
                          <w:p w:rsidR="00F735BC" w:rsidRDefault="00F735BC" w:rsidP="0031303E">
                            <w:pPr>
                              <w:ind w:righ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37E46" id="_x0000_s1059" type="#_x0000_t202" style="position:absolute;left:0;text-align:left;margin-left:293.5pt;margin-top:27pt;width:215.15pt;height:349.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" strokecolor="white [3212]">
                <v:textbox>
                  <w:txbxContent>
                    <w:p w:rsidR="00F735BC" w:rsidRPr="007B43C4" w:rsidRDefault="00F735BC" w:rsidP="007B43C4">
                      <w:pPr>
                        <w:tabs>
                          <w:tab w:val="left" w:pos="3330"/>
                        </w:tabs>
                        <w:spacing w:after="40" w:line="240" w:lineRule="auto"/>
                        <w:ind w:right="294"/>
                        <w:jc w:val="both"/>
                        <w:rPr>
                          <w:rFonts w:asciiTheme="majorHAnsi" w:hAnsiTheme="majorHAnsi" w:cstheme="majorHAnsi"/>
                          <w:bCs/>
                          <w:color w:val="auto"/>
                          <w:sz w:val="24"/>
                          <w:szCs w:val="24"/>
                        </w:rPr>
                      </w:pPr>
                      <w:r w:rsidRPr="007B43C4">
                        <w:rPr>
                          <w:rFonts w:asciiTheme="majorHAnsi" w:hAnsiTheme="majorHAnsi" w:cstheme="majorHAnsi"/>
                          <w:bCs/>
                          <w:color w:val="auto"/>
                          <w:sz w:val="24"/>
                          <w:szCs w:val="24"/>
                        </w:rPr>
                        <w:t>Prikazani grafik daje sažet prikaz analize zainteresovanih strana, prema kojem se uočava veliki interes svih relevantnih aktera. Pitanje organizacije i rada javne uprave ima uticaj na cjelokupno društvo. U matrici su pozicionirane institucije koje su neposredno uključene u sam proces reforme organizacije javne uprave koje u najvećnoj mjeri i utiču na kreiranje politika u ovoj oblasti kao i njenoj implementaciji: Vlada Crne Gore, Ministarstvo javne uprave, digitalnog društva i medija, Ministarstvo finansija i socijalnog staranja, Ministarstvo za ekonomski razvoj, Uprava za kadrove, Upravni sud, Upravna inspekcija, DRI, jedinice lokalne samouprave, ZOCG, zaposleni u javnoj upravi; dok se sva ostala ministarstva, javne ustanove, fondovi, kao i međunarodne organizacije – EU, SIGMA, OECD, UN posmatraju kao najvažniji partneri.</w:t>
                      </w:r>
                    </w:p>
                    <w:p w:rsidR="00F735BC" w:rsidRDefault="00F735BC" w:rsidP="0031303E">
                      <w:pPr>
                        <w:ind w:right="-66"/>
                      </w:pPr>
                    </w:p>
                  </w:txbxContent>
                </v:textbox>
                <w10:wrap type="square"/>
              </v:shape>
            </w:pict>
          </mc:Fallback>
        </mc:AlternateContent>
      </w:r>
      <w:r w:rsidR="005A6E16" w:rsidRPr="007B43C4">
        <w:rPr>
          <w:rFonts w:asciiTheme="majorHAnsi" w:eastAsia="Calibri" w:hAnsiTheme="majorHAnsi" w:cstheme="majorHAnsi"/>
          <w:b/>
          <w:color w:val="auto"/>
          <w:kern w:val="0"/>
          <w:sz w:val="24"/>
          <w:szCs w:val="24"/>
        </w:rPr>
        <w:t>STAKEHOLDER ANALIZA/ ANALIZA ZAINTERESOVANIH STRANA</w:t>
      </w:r>
      <w:r w:rsidR="00404CEC" w:rsidRPr="007B43C4">
        <w:rPr>
          <w:rFonts w:asciiTheme="majorHAnsi" w:eastAsia="Calibri" w:hAnsiTheme="majorHAnsi" w:cstheme="majorHAnsi"/>
          <w:b/>
          <w:color w:val="auto"/>
          <w:kern w:val="0"/>
          <w:sz w:val="24"/>
          <w:szCs w:val="24"/>
        </w:rPr>
        <w:t xml:space="preserve"> STARTEŠKOG CILJA 1.</w:t>
      </w:r>
      <w:bookmarkEnd w:id="13"/>
    </w:p>
    <w:p w:rsidR="0031303E" w:rsidRPr="007E14C5" w:rsidRDefault="001D4DC1" w:rsidP="007E14C5">
      <w:pPr>
        <w:rPr>
          <w:rFonts w:asciiTheme="majorHAnsi" w:hAnsiTheme="majorHAnsi" w:cstheme="majorHAnsi"/>
          <w:color w:val="002060"/>
          <w:sz w:val="24"/>
          <w:szCs w:val="24"/>
        </w:rPr>
      </w:pPr>
      <w:r w:rsidRPr="007E14C5">
        <w:rPr>
          <w:rFonts w:asciiTheme="majorHAnsi" w:hAnsiTheme="majorHAnsi" w:cstheme="majorHAnsi"/>
          <w:bCs/>
          <w:noProof/>
          <w:color w:val="002060"/>
          <w:sz w:val="24"/>
          <w:szCs w:val="24"/>
          <w:lang w:eastAsia="sr-Latn-RS"/>
        </w:rPr>
        <w:drawing>
          <wp:anchor distT="0" distB="0" distL="114300" distR="114300" simplePos="0" relativeHeight="251676672" behindDoc="1" locked="0" layoutInCell="1" allowOverlap="1" wp14:anchorId="6D9A8F7B" wp14:editId="5D7F5632">
            <wp:simplePos x="0" y="0"/>
            <wp:positionH relativeFrom="column">
              <wp:posOffset>191135</wp:posOffset>
            </wp:positionH>
            <wp:positionV relativeFrom="paragraph">
              <wp:posOffset>201930</wp:posOffset>
            </wp:positionV>
            <wp:extent cx="3268980" cy="3208020"/>
            <wp:effectExtent l="190500" t="0" r="140970" b="0"/>
            <wp:wrapTight wrapText="bothSides">
              <wp:wrapPolygon edited="0">
                <wp:start x="10448" y="0"/>
                <wp:lineTo x="-503" y="0"/>
                <wp:lineTo x="-503" y="8209"/>
                <wp:lineTo x="-1007" y="8209"/>
                <wp:lineTo x="-1259" y="10518"/>
                <wp:lineTo x="-1259" y="12314"/>
                <wp:lineTo x="-252" y="12314"/>
                <wp:lineTo x="-378" y="20523"/>
                <wp:lineTo x="378" y="20523"/>
                <wp:lineTo x="378" y="21420"/>
                <wp:lineTo x="10322" y="21420"/>
                <wp:lineTo x="11077" y="21420"/>
                <wp:lineTo x="13343" y="21420"/>
                <wp:lineTo x="20895" y="20779"/>
                <wp:lineTo x="20895" y="20523"/>
                <wp:lineTo x="21399" y="18599"/>
                <wp:lineTo x="21399" y="12314"/>
                <wp:lineTo x="22406" y="10390"/>
                <wp:lineTo x="22154" y="898"/>
                <wp:lineTo x="19007" y="257"/>
                <wp:lineTo x="11077" y="0"/>
                <wp:lineTo x="10448" y="0"/>
              </wp:wrapPolygon>
            </wp:wrapTight>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page">
              <wp14:pctWidth>0</wp14:pctWidth>
            </wp14:sizeRelH>
            <wp14:sizeRelV relativeFrom="page">
              <wp14:pctHeight>0</wp14:pctHeight>
            </wp14:sizeRelV>
          </wp:anchor>
        </w:drawing>
      </w:r>
      <w:r w:rsidR="0031303E" w:rsidRPr="007E14C5">
        <w:rPr>
          <w:rFonts w:asciiTheme="majorHAnsi" w:hAnsiTheme="majorHAnsi" w:cstheme="majorHAnsi"/>
          <w:noProof/>
          <w:color w:val="002060"/>
          <w:sz w:val="24"/>
          <w:szCs w:val="24"/>
          <w:lang w:eastAsia="sr-Latn-RS"/>
        </w:rPr>
        <mc:AlternateContent>
          <mc:Choice Requires="wps">
            <w:drawing>
              <wp:anchor distT="0" distB="0" distL="114300" distR="114300" simplePos="0" relativeHeight="251667456" behindDoc="0" locked="0" layoutInCell="1" allowOverlap="1" wp14:anchorId="791AA762" wp14:editId="0E945809">
                <wp:simplePos x="0" y="0"/>
                <wp:positionH relativeFrom="column">
                  <wp:posOffset>-50165</wp:posOffset>
                </wp:positionH>
                <wp:positionV relativeFrom="paragraph">
                  <wp:posOffset>492125</wp:posOffset>
                </wp:positionV>
                <wp:extent cx="15240" cy="2659380"/>
                <wp:effectExtent l="57150" t="38100" r="118110" b="102870"/>
                <wp:wrapNone/>
                <wp:docPr id="10" name="Straight Arrow Connector 10"/>
                <wp:cNvGraphicFramePr/>
                <a:graphic xmlns:a="http://schemas.openxmlformats.org/drawingml/2006/main">
                  <a:graphicData uri="http://schemas.microsoft.com/office/word/2010/wordprocessingShape">
                    <wps:wsp>
                      <wps:cNvCnPr/>
                      <wps:spPr>
                        <a:xfrm flipV="1">
                          <a:off x="0" y="0"/>
                          <a:ext cx="15240" cy="2659380"/>
                        </a:xfrm>
                        <a:prstGeom prst="straightConnector1">
                          <a:avLst/>
                        </a:prstGeom>
                        <a:noFill/>
                        <a:ln w="9525" cap="flat" cmpd="sng" algn="ctr">
                          <a:solidFill>
                            <a:srgbClr val="7030A0"/>
                          </a:solidFill>
                          <a:prstDash val="solid"/>
                          <a:tailEnd type="triangle"/>
                        </a:ln>
                        <a:effectLst>
                          <a:outerShdw blurRad="50800" dist="38100" dir="2700000" algn="tl" rotWithShape="0">
                            <a:prstClr val="black">
                              <a:alpha val="40000"/>
                            </a:prstClr>
                          </a:outerShdw>
                        </a:effectLst>
                      </wps:spPr>
                      <wps:bodyPr/>
                    </wps:wsp>
                  </a:graphicData>
                </a:graphic>
              </wp:anchor>
            </w:drawing>
          </mc:Choice>
          <mc:Fallback>
            <w:pict>
              <v:shapetype w14:anchorId="2A0F502E" id="_x0000_t32" coordsize="21600,21600" o:spt="32" o:oned="t" path="m,l21600,21600e" filled="f">
                <v:path arrowok="t" fillok="f" o:connecttype="none"/>
                <o:lock v:ext="edit" shapetype="t"/>
              </v:shapetype>
              <v:shape id="Straight Arrow Connector 10" o:spid="_x0000_s1026" type="#_x0000_t32" style="position:absolute;margin-left:-3.95pt;margin-top:38.75pt;width:1.2pt;height:209.4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" strokecolor="#7030a0">
                <v:stroke endarrow="block"/>
                <v:shadow on="t" color="black" opacity="26214f" origin="-.5,-.5" offset=".74836mm,.74836mm"/>
              </v:shape>
            </w:pict>
          </mc:Fallback>
        </mc:AlternateContent>
      </w:r>
      <w:r w:rsidR="0031303E" w:rsidRPr="007E14C5">
        <w:rPr>
          <w:rFonts w:asciiTheme="majorHAnsi" w:hAnsiTheme="majorHAnsi" w:cstheme="majorHAnsi"/>
          <w:noProof/>
          <w:color w:val="002060"/>
          <w:sz w:val="24"/>
          <w:szCs w:val="24"/>
          <w:lang w:eastAsia="sr-Latn-RS"/>
        </w:rPr>
        <mc:AlternateContent>
          <mc:Choice Requires="wps">
            <w:drawing>
              <wp:anchor distT="45720" distB="45720" distL="114300" distR="114300" simplePos="0" relativeHeight="251668480" behindDoc="0" locked="0" layoutInCell="1" allowOverlap="1" wp14:anchorId="6C020771" wp14:editId="24E46068">
                <wp:simplePos x="0" y="0"/>
                <wp:positionH relativeFrom="margin">
                  <wp:posOffset>-396240</wp:posOffset>
                </wp:positionH>
                <wp:positionV relativeFrom="paragraph">
                  <wp:posOffset>584835</wp:posOffset>
                </wp:positionV>
                <wp:extent cx="297180" cy="182118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821180"/>
                        </a:xfrm>
                        <a:prstGeom prst="rect">
                          <a:avLst/>
                        </a:prstGeom>
                        <a:noFill/>
                        <a:ln w="9525">
                          <a:noFill/>
                          <a:miter lim="800000"/>
                          <a:headEnd/>
                          <a:tailEnd/>
                        </a:ln>
                      </wps:spPr>
                      <wps:txbx>
                        <w:txbxContent>
                          <w:p w:rsidR="00F735BC" w:rsidRPr="0031303E" w:rsidRDefault="00F735BC" w:rsidP="007432C6">
                            <w:pPr>
                              <w:ind w:right="-12"/>
                              <w:rPr>
                                <w:color w:val="7030A0"/>
                                <w:sz w:val="24"/>
                                <w:szCs w:val="24"/>
                              </w:rPr>
                            </w:pPr>
                            <w:r w:rsidRPr="0031303E">
                              <w:rPr>
                                <w:color w:val="7030A0"/>
                                <w:sz w:val="24"/>
                                <w:szCs w:val="24"/>
                              </w:rPr>
                              <w:t>INTERES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20771" id="_x0000_s1060" type="#_x0000_t202" style="position:absolute;margin-left:-31.2pt;margin-top:46.05pt;width:23.4pt;height:143.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" filled="f" stroked="f">
                <v:textbox>
                  <w:txbxContent>
                    <w:p w:rsidR="00F735BC" w:rsidRPr="0031303E" w:rsidRDefault="00F735BC" w:rsidP="007432C6">
                      <w:pPr>
                        <w:ind w:right="-12"/>
                        <w:rPr>
                          <w:color w:val="7030A0"/>
                          <w:sz w:val="24"/>
                          <w:szCs w:val="24"/>
                        </w:rPr>
                      </w:pPr>
                      <w:r w:rsidRPr="0031303E">
                        <w:rPr>
                          <w:color w:val="7030A0"/>
                          <w:sz w:val="24"/>
                          <w:szCs w:val="24"/>
                        </w:rPr>
                        <w:t>INTERES</w:t>
                      </w:r>
                    </w:p>
                  </w:txbxContent>
                </v:textbox>
                <w10:wrap type="square" anchorx="margin"/>
              </v:shape>
            </w:pict>
          </mc:Fallback>
        </mc:AlternateContent>
      </w:r>
    </w:p>
    <w:p w:rsidR="0031303E" w:rsidRPr="007E14C5" w:rsidRDefault="0031303E" w:rsidP="00153229">
      <w:pPr>
        <w:spacing w:after="40" w:line="240" w:lineRule="auto"/>
        <w:ind w:right="-471"/>
        <w:jc w:val="both"/>
        <w:rPr>
          <w:rFonts w:asciiTheme="majorHAnsi" w:hAnsiTheme="majorHAnsi" w:cstheme="majorHAnsi"/>
          <w:bCs/>
          <w:color w:val="002060"/>
          <w:sz w:val="24"/>
          <w:szCs w:val="24"/>
        </w:rPr>
      </w:pPr>
      <w:r w:rsidRPr="007E14C5">
        <w:rPr>
          <w:rFonts w:asciiTheme="majorHAnsi" w:hAnsiTheme="majorHAnsi" w:cstheme="majorHAnsi"/>
          <w:bCs/>
          <w:noProof/>
          <w:color w:val="002060"/>
          <w:sz w:val="24"/>
          <w:szCs w:val="24"/>
          <w:lang w:eastAsia="sr-Latn-RS"/>
        </w:rPr>
        <mc:AlternateContent>
          <mc:Choice Requires="wps">
            <w:drawing>
              <wp:anchor distT="0" distB="0" distL="114300" distR="114300" simplePos="0" relativeHeight="251666432" behindDoc="0" locked="0" layoutInCell="1" allowOverlap="1" wp14:anchorId="68532E0D" wp14:editId="5A1A925F">
                <wp:simplePos x="0" y="0"/>
                <wp:positionH relativeFrom="column">
                  <wp:posOffset>551815</wp:posOffset>
                </wp:positionH>
                <wp:positionV relativeFrom="paragraph">
                  <wp:posOffset>85090</wp:posOffset>
                </wp:positionV>
                <wp:extent cx="2651760" cy="0"/>
                <wp:effectExtent l="0" t="76200" r="53340" b="171450"/>
                <wp:wrapNone/>
                <wp:docPr id="12" name="Straight Arrow Connector 12"/>
                <wp:cNvGraphicFramePr/>
                <a:graphic xmlns:a="http://schemas.openxmlformats.org/drawingml/2006/main">
                  <a:graphicData uri="http://schemas.microsoft.com/office/word/2010/wordprocessingShape">
                    <wps:wsp>
                      <wps:cNvCnPr/>
                      <wps:spPr>
                        <a:xfrm flipV="1">
                          <a:off x="0" y="0"/>
                          <a:ext cx="2651760" cy="0"/>
                        </a:xfrm>
                        <a:prstGeom prst="straightConnector1">
                          <a:avLst/>
                        </a:prstGeom>
                        <a:noFill/>
                        <a:ln w="9525" cap="flat" cmpd="sng" algn="ctr">
                          <a:solidFill>
                            <a:srgbClr val="7030A0"/>
                          </a:solidFill>
                          <a:prstDash val="solid"/>
                          <a:round/>
                          <a:headEnd type="none" w="med" len="med"/>
                          <a:tailEnd type="arrow" w="med" len="med"/>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EFE5B8D" id="Straight Arrow Connector 12" o:spid="_x0000_s1026" type="#_x0000_t32" style="position:absolute;margin-left:43.45pt;margin-top:6.7pt;width:208.8pt;height: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" strokecolor="#7030a0">
                <v:stroke endarrow="open"/>
                <v:shadow on="t" color="black" opacity="26214f" origin="-.5,-.5" offset=".74836mm,.74836mm"/>
              </v:shape>
            </w:pict>
          </mc:Fallback>
        </mc:AlternateContent>
      </w:r>
    </w:p>
    <w:p w:rsidR="0031303E" w:rsidRPr="007E14C5" w:rsidRDefault="0031303E" w:rsidP="00153229">
      <w:pPr>
        <w:spacing w:after="40" w:line="240" w:lineRule="auto"/>
        <w:ind w:right="-471"/>
        <w:jc w:val="both"/>
        <w:rPr>
          <w:rFonts w:asciiTheme="majorHAnsi" w:hAnsiTheme="majorHAnsi" w:cstheme="majorHAnsi"/>
          <w:bCs/>
          <w:color w:val="002060"/>
          <w:sz w:val="24"/>
          <w:szCs w:val="24"/>
        </w:rPr>
      </w:pPr>
      <w:r w:rsidRPr="007E14C5">
        <w:rPr>
          <w:rFonts w:asciiTheme="majorHAnsi" w:hAnsiTheme="majorHAnsi" w:cstheme="majorHAnsi"/>
          <w:bCs/>
          <w:noProof/>
          <w:color w:val="002060"/>
          <w:sz w:val="24"/>
          <w:szCs w:val="24"/>
          <w:lang w:eastAsia="sr-Latn-RS"/>
        </w:rPr>
        <mc:AlternateContent>
          <mc:Choice Requires="wps">
            <w:drawing>
              <wp:anchor distT="45720" distB="45720" distL="114300" distR="114300" simplePos="0" relativeHeight="251678720" behindDoc="0" locked="0" layoutInCell="1" allowOverlap="1" wp14:anchorId="486E24B2" wp14:editId="4482A6DE">
                <wp:simplePos x="0" y="0"/>
                <wp:positionH relativeFrom="column">
                  <wp:posOffset>1260475</wp:posOffset>
                </wp:positionH>
                <wp:positionV relativeFrom="paragraph">
                  <wp:posOffset>59055</wp:posOffset>
                </wp:positionV>
                <wp:extent cx="1325880" cy="358140"/>
                <wp:effectExtent l="0" t="0" r="26670" b="228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358140"/>
                        </a:xfrm>
                        <a:prstGeom prst="rect">
                          <a:avLst/>
                        </a:prstGeom>
                        <a:solidFill>
                          <a:schemeClr val="bg1"/>
                        </a:solidFill>
                        <a:ln w="9525">
                          <a:solidFill>
                            <a:schemeClr val="bg1"/>
                          </a:solidFill>
                          <a:miter lim="800000"/>
                          <a:headEnd/>
                          <a:tailEnd/>
                        </a:ln>
                      </wps:spPr>
                      <wps:txbx>
                        <w:txbxContent>
                          <w:p w:rsidR="00F735BC" w:rsidRPr="0031303E" w:rsidRDefault="00F735BC" w:rsidP="0031303E">
                            <w:pPr>
                              <w:spacing w:after="40" w:line="240" w:lineRule="auto"/>
                              <w:ind w:right="-410"/>
                              <w:rPr>
                                <w:rFonts w:ascii="Cambria" w:hAnsi="Cambria" w:cstheme="majorHAnsi"/>
                                <w:bCs/>
                                <w:color w:val="7030A0"/>
                                <w:sz w:val="24"/>
                                <w:szCs w:val="24"/>
                              </w:rPr>
                            </w:pPr>
                            <w:r w:rsidRPr="0031303E">
                              <w:rPr>
                                <w:rFonts w:ascii="Cambria" w:hAnsi="Cambria" w:cstheme="majorHAnsi"/>
                                <w:bCs/>
                                <w:color w:val="7030A0"/>
                                <w:sz w:val="24"/>
                                <w:szCs w:val="24"/>
                              </w:rPr>
                              <w:t>UTICAJ/SNAGA</w:t>
                            </w:r>
                          </w:p>
                          <w:p w:rsidR="00F735BC" w:rsidRDefault="00F735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E24B2" id="_x0000_s1061" type="#_x0000_t202" style="position:absolute;left:0;text-align:left;margin-left:99.25pt;margin-top:4.65pt;width:104.4pt;height:28.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" fillcolor="white [3212]" strokecolor="white [3212]">
                <v:textbox>
                  <w:txbxContent>
                    <w:p w:rsidR="00F735BC" w:rsidRPr="0031303E" w:rsidRDefault="00F735BC" w:rsidP="0031303E">
                      <w:pPr>
                        <w:spacing w:after="40" w:line="240" w:lineRule="auto"/>
                        <w:ind w:right="-410"/>
                        <w:rPr>
                          <w:rFonts w:ascii="Cambria" w:hAnsi="Cambria" w:cstheme="majorHAnsi"/>
                          <w:bCs/>
                          <w:color w:val="7030A0"/>
                          <w:sz w:val="24"/>
                          <w:szCs w:val="24"/>
                        </w:rPr>
                      </w:pPr>
                      <w:r w:rsidRPr="0031303E">
                        <w:rPr>
                          <w:rFonts w:ascii="Cambria" w:hAnsi="Cambria" w:cstheme="majorHAnsi"/>
                          <w:bCs/>
                          <w:color w:val="7030A0"/>
                          <w:sz w:val="24"/>
                          <w:szCs w:val="24"/>
                        </w:rPr>
                        <w:t>UTICAJ/SNAGA</w:t>
                      </w:r>
                    </w:p>
                    <w:p w:rsidR="00F735BC" w:rsidRDefault="00F735BC"/>
                  </w:txbxContent>
                </v:textbox>
                <w10:wrap type="square"/>
              </v:shape>
            </w:pict>
          </mc:Fallback>
        </mc:AlternateContent>
      </w:r>
    </w:p>
    <w:p w:rsidR="007B43C4" w:rsidRDefault="007B43C4" w:rsidP="007B43C4">
      <w:pPr>
        <w:spacing w:before="0" w:after="0" w:line="240" w:lineRule="auto"/>
        <w:ind w:right="-475"/>
        <w:jc w:val="both"/>
        <w:rPr>
          <w:rFonts w:asciiTheme="majorHAnsi" w:hAnsiTheme="majorHAnsi" w:cstheme="majorHAnsi"/>
          <w:bCs/>
          <w:color w:val="002060"/>
          <w:sz w:val="24"/>
          <w:szCs w:val="24"/>
        </w:rPr>
      </w:pPr>
    </w:p>
    <w:p w:rsidR="007B43C4" w:rsidRDefault="007B43C4" w:rsidP="007B43C4">
      <w:pPr>
        <w:spacing w:before="0" w:after="0" w:line="240" w:lineRule="auto"/>
        <w:ind w:right="-475"/>
        <w:jc w:val="both"/>
        <w:rPr>
          <w:rFonts w:asciiTheme="majorHAnsi" w:hAnsiTheme="majorHAnsi" w:cstheme="majorHAnsi"/>
          <w:i/>
          <w:color w:val="002060"/>
          <w:sz w:val="24"/>
          <w:szCs w:val="24"/>
        </w:rPr>
      </w:pPr>
    </w:p>
    <w:p w:rsidR="0031303E" w:rsidRPr="007B43C4" w:rsidRDefault="005A6E16" w:rsidP="007B43C4">
      <w:pPr>
        <w:spacing w:before="0" w:after="0" w:line="240" w:lineRule="auto"/>
        <w:ind w:left="-180" w:right="-475"/>
        <w:jc w:val="both"/>
        <w:rPr>
          <w:rFonts w:asciiTheme="majorHAnsi" w:hAnsiTheme="majorHAnsi" w:cstheme="majorHAnsi"/>
          <w:bCs/>
          <w:i/>
          <w:color w:val="002060"/>
        </w:rPr>
      </w:pPr>
      <w:r w:rsidRPr="007B43C4">
        <w:rPr>
          <w:rFonts w:asciiTheme="majorHAnsi" w:hAnsiTheme="majorHAnsi" w:cstheme="majorHAnsi"/>
          <w:i/>
          <w:color w:val="002060"/>
        </w:rPr>
        <w:t>Grafik</w:t>
      </w:r>
      <w:r w:rsidR="00404CEC" w:rsidRPr="007B43C4">
        <w:rPr>
          <w:rFonts w:asciiTheme="majorHAnsi" w:hAnsiTheme="majorHAnsi" w:cstheme="majorHAnsi"/>
          <w:i/>
          <w:color w:val="002060"/>
        </w:rPr>
        <w:t>:</w:t>
      </w:r>
      <w:r w:rsidRPr="007B43C4">
        <w:rPr>
          <w:rFonts w:asciiTheme="majorHAnsi" w:hAnsiTheme="majorHAnsi" w:cstheme="majorHAnsi"/>
          <w:i/>
          <w:color w:val="002060"/>
        </w:rPr>
        <w:t xml:space="preserve"> Analiza zainteresovanih strana</w:t>
      </w:r>
      <w:r w:rsidR="00404CEC" w:rsidRPr="007B43C4">
        <w:rPr>
          <w:rFonts w:asciiTheme="majorHAnsi" w:hAnsiTheme="majorHAnsi" w:cstheme="majorHAnsi"/>
          <w:i/>
          <w:color w:val="002060"/>
        </w:rPr>
        <w:t xml:space="preserve"> Strateškog cilja: Organizacija i rad javne uprave u funkciji potreba građana</w:t>
      </w:r>
    </w:p>
    <w:p w:rsidR="00156E08" w:rsidRDefault="00156E08" w:rsidP="00153229">
      <w:pPr>
        <w:spacing w:after="40" w:line="240" w:lineRule="auto"/>
        <w:ind w:right="-471"/>
        <w:jc w:val="both"/>
        <w:rPr>
          <w:rFonts w:asciiTheme="majorHAnsi" w:hAnsiTheme="majorHAnsi" w:cstheme="majorHAnsi"/>
          <w:bCs/>
          <w:color w:val="002060"/>
          <w:sz w:val="24"/>
          <w:szCs w:val="24"/>
        </w:rPr>
      </w:pPr>
    </w:p>
    <w:p w:rsidR="00F02FAB" w:rsidRPr="007E14C5" w:rsidRDefault="0031303E" w:rsidP="00153229">
      <w:pPr>
        <w:spacing w:after="40" w:line="240" w:lineRule="auto"/>
        <w:ind w:right="-471"/>
        <w:jc w:val="both"/>
        <w:rPr>
          <w:rFonts w:asciiTheme="majorHAnsi" w:hAnsiTheme="majorHAnsi" w:cstheme="majorHAnsi"/>
          <w:bCs/>
          <w:color w:val="auto"/>
          <w:sz w:val="24"/>
          <w:szCs w:val="24"/>
        </w:rPr>
      </w:pPr>
      <w:r w:rsidRPr="007E14C5">
        <w:rPr>
          <w:rFonts w:asciiTheme="majorHAnsi" w:hAnsiTheme="majorHAnsi" w:cstheme="majorHAnsi"/>
          <w:bCs/>
          <w:color w:val="auto"/>
          <w:sz w:val="24"/>
          <w:szCs w:val="24"/>
        </w:rPr>
        <w:t xml:space="preserve">Takođe, za uređenje javne uprave i njeno funkcionisanje, potrebno je imati osnaženu saradnju sa sindikatima, organizacijama civilnog društva i građanima koji utiču </w:t>
      </w:r>
      <w:r w:rsidR="009C077B" w:rsidRPr="007E14C5">
        <w:rPr>
          <w:rFonts w:asciiTheme="majorHAnsi" w:hAnsiTheme="majorHAnsi" w:cstheme="majorHAnsi"/>
          <w:bCs/>
          <w:color w:val="auto"/>
          <w:sz w:val="24"/>
          <w:szCs w:val="24"/>
        </w:rPr>
        <w:t xml:space="preserve">na </w:t>
      </w:r>
      <w:r w:rsidRPr="007E14C5">
        <w:rPr>
          <w:rFonts w:asciiTheme="majorHAnsi" w:hAnsiTheme="majorHAnsi" w:cstheme="majorHAnsi"/>
          <w:bCs/>
          <w:color w:val="auto"/>
          <w:sz w:val="24"/>
          <w:szCs w:val="24"/>
        </w:rPr>
        <w:t>njen rad, u cilju obezb</w:t>
      </w:r>
      <w:r w:rsidR="009C077B" w:rsidRPr="007E14C5">
        <w:rPr>
          <w:rFonts w:asciiTheme="majorHAnsi" w:hAnsiTheme="majorHAnsi" w:cstheme="majorHAnsi"/>
          <w:bCs/>
          <w:color w:val="auto"/>
          <w:sz w:val="24"/>
          <w:szCs w:val="24"/>
        </w:rPr>
        <w:t>j</w:t>
      </w:r>
      <w:r w:rsidRPr="007E14C5">
        <w:rPr>
          <w:rFonts w:asciiTheme="majorHAnsi" w:hAnsiTheme="majorHAnsi" w:cstheme="majorHAnsi"/>
          <w:bCs/>
          <w:color w:val="auto"/>
          <w:sz w:val="24"/>
          <w:szCs w:val="24"/>
        </w:rPr>
        <w:t xml:space="preserve">eđivanja efikasne i funkcionalne javne uprave sa fokusom na potrebe građana. </w:t>
      </w:r>
    </w:p>
    <w:p w:rsidR="001936FA" w:rsidRPr="00B26604" w:rsidRDefault="0031303E" w:rsidP="00B26604">
      <w:pPr>
        <w:spacing w:after="40" w:line="240" w:lineRule="auto"/>
        <w:ind w:right="-471"/>
        <w:jc w:val="both"/>
        <w:rPr>
          <w:rFonts w:asciiTheme="majorHAnsi" w:eastAsia="Calibri" w:hAnsiTheme="majorHAnsi" w:cstheme="majorHAnsi"/>
          <w:b/>
          <w:color w:val="auto"/>
          <w:kern w:val="0"/>
          <w:sz w:val="24"/>
          <w:szCs w:val="24"/>
        </w:rPr>
      </w:pPr>
      <w:r w:rsidRPr="007E14C5">
        <w:rPr>
          <w:rFonts w:asciiTheme="majorHAnsi" w:hAnsiTheme="majorHAnsi" w:cstheme="majorHAnsi"/>
          <w:bCs/>
          <w:color w:val="auto"/>
          <w:sz w:val="24"/>
          <w:szCs w:val="24"/>
        </w:rPr>
        <w:t>Saradnju sa medijima i poslovnom zajednicom/preduzetnicima i njihovo uključivanje ogleda se u cilju boljeg informisanja i obavještavanja o važnim koracima u uspostavljanju sistema organizacije javne uprave koje će biti zasnovano na realnim potrebama građana.</w:t>
      </w:r>
      <w:r w:rsidR="00B26604">
        <w:rPr>
          <w:rFonts w:asciiTheme="majorHAnsi" w:eastAsia="Calibri" w:hAnsiTheme="majorHAnsi" w:cstheme="majorHAnsi"/>
          <w:b/>
          <w:color w:val="auto"/>
          <w:kern w:val="0"/>
          <w:sz w:val="24"/>
          <w:szCs w:val="24"/>
        </w:rPr>
        <w:t xml:space="preserve"> </w:t>
      </w:r>
    </w:p>
    <w:p w:rsidR="00DC7EB1" w:rsidRPr="007B43C4" w:rsidRDefault="00EB7DBC" w:rsidP="00B43D4E">
      <w:pPr>
        <w:pStyle w:val="ListParagraph"/>
        <w:keepNext/>
        <w:keepLines/>
        <w:numPr>
          <w:ilvl w:val="0"/>
          <w:numId w:val="20"/>
        </w:numPr>
        <w:spacing w:before="120" w:after="120" w:line="240" w:lineRule="auto"/>
        <w:ind w:right="-471"/>
        <w:contextualSpacing w:val="0"/>
        <w:outlineLvl w:val="2"/>
        <w:rPr>
          <w:rFonts w:asciiTheme="majorHAnsi" w:eastAsia="Calibri" w:hAnsiTheme="majorHAnsi" w:cstheme="majorHAnsi"/>
          <w:b/>
          <w:color w:val="auto"/>
          <w:kern w:val="0"/>
          <w:sz w:val="24"/>
          <w:szCs w:val="24"/>
        </w:rPr>
      </w:pPr>
      <w:bookmarkStart w:id="14" w:name="_Toc87353394"/>
      <w:r w:rsidRPr="007B43C4">
        <w:rPr>
          <w:rFonts w:asciiTheme="majorHAnsi" w:eastAsia="Calibri" w:hAnsiTheme="majorHAnsi" w:cstheme="majorHAnsi"/>
          <w:b/>
          <w:color w:val="auto"/>
          <w:kern w:val="0"/>
          <w:sz w:val="24"/>
          <w:szCs w:val="24"/>
        </w:rPr>
        <w:lastRenderedPageBreak/>
        <w:t xml:space="preserve">OPERATIVNI </w:t>
      </w:r>
      <w:r w:rsidR="00F02FAB" w:rsidRPr="007B43C4">
        <w:rPr>
          <w:rFonts w:asciiTheme="majorHAnsi" w:eastAsia="Calibri" w:hAnsiTheme="majorHAnsi" w:cstheme="majorHAnsi"/>
          <w:b/>
          <w:color w:val="auto"/>
          <w:kern w:val="0"/>
          <w:sz w:val="24"/>
          <w:szCs w:val="24"/>
        </w:rPr>
        <w:t>CILJEVI</w:t>
      </w:r>
      <w:r w:rsidR="00304248" w:rsidRPr="007B43C4">
        <w:rPr>
          <w:rFonts w:asciiTheme="majorHAnsi" w:eastAsia="Calibri" w:hAnsiTheme="majorHAnsi" w:cstheme="majorHAnsi"/>
          <w:b/>
          <w:color w:val="auto"/>
          <w:kern w:val="0"/>
          <w:sz w:val="24"/>
          <w:szCs w:val="24"/>
        </w:rPr>
        <w:t xml:space="preserve"> NA OSNOVU IDENTIFIKOVANIH IZAZOVA</w:t>
      </w:r>
      <w:bookmarkEnd w:id="14"/>
    </w:p>
    <w:p w:rsidR="00086D48" w:rsidRPr="007E14C5" w:rsidRDefault="00086D48" w:rsidP="00DC7EB1">
      <w:pPr>
        <w:spacing w:before="60" w:after="60" w:line="240" w:lineRule="auto"/>
        <w:ind w:left="-270" w:right="-475"/>
        <w:jc w:val="both"/>
        <w:rPr>
          <w:rFonts w:asciiTheme="majorHAnsi" w:eastAsia="Calibri" w:hAnsiTheme="majorHAnsi" w:cstheme="majorHAnsi"/>
          <w:color w:val="002060"/>
          <w:kern w:val="0"/>
          <w:sz w:val="24"/>
          <w:szCs w:val="24"/>
          <w:lang w:eastAsia="en-US"/>
        </w:rPr>
      </w:pPr>
      <w:r w:rsidRPr="007E14C5">
        <w:rPr>
          <w:rFonts w:asciiTheme="majorHAnsi" w:eastAsia="Calibri" w:hAnsiTheme="majorHAnsi" w:cstheme="majorHAnsi"/>
          <w:noProof/>
          <w:color w:val="002060"/>
          <w:kern w:val="0"/>
          <w:sz w:val="24"/>
          <w:szCs w:val="24"/>
          <w:lang w:eastAsia="sr-Latn-RS"/>
        </w:rPr>
        <w:drawing>
          <wp:inline distT="0" distB="0" distL="0" distR="0" wp14:anchorId="63486332" wp14:editId="6B12591E">
            <wp:extent cx="6553200" cy="4182110"/>
            <wp:effectExtent l="95250" t="171450" r="95250" b="294640"/>
            <wp:docPr id="82" name="Diagram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086D48" w:rsidRPr="007E14C5" w:rsidRDefault="00086D48" w:rsidP="00086D48">
      <w:pPr>
        <w:spacing w:before="60" w:after="60" w:line="240" w:lineRule="auto"/>
        <w:ind w:right="-471"/>
        <w:jc w:val="both"/>
        <w:rPr>
          <w:rFonts w:asciiTheme="majorHAnsi" w:eastAsia="Calibri" w:hAnsiTheme="majorHAnsi" w:cstheme="majorHAnsi"/>
          <w:b/>
          <w:color w:val="002060"/>
          <w:kern w:val="0"/>
          <w:sz w:val="24"/>
          <w:szCs w:val="24"/>
          <w:lang w:eastAsia="en-US"/>
        </w:rPr>
      </w:pPr>
    </w:p>
    <w:p w:rsidR="00086D48" w:rsidRPr="007B43C4" w:rsidRDefault="00086D48" w:rsidP="007B43C4">
      <w:pPr>
        <w:pStyle w:val="Heading4"/>
        <w:spacing w:before="60" w:after="60" w:line="240" w:lineRule="auto"/>
        <w:ind w:right="-446"/>
        <w:jc w:val="both"/>
        <w:rPr>
          <w:rFonts w:eastAsia="Times New Roman" w:cstheme="majorHAnsi"/>
          <w:b w:val="0"/>
          <w:color w:val="auto"/>
          <w:sz w:val="24"/>
          <w:szCs w:val="24"/>
          <w:lang w:eastAsia="en-US"/>
        </w:rPr>
      </w:pPr>
      <w:bookmarkStart w:id="15" w:name="_OPERATIVNI_CILJ_1.1."/>
      <w:bookmarkEnd w:id="15"/>
      <w:r w:rsidRPr="007B43C4">
        <w:rPr>
          <w:rFonts w:eastAsia="Calibri" w:cstheme="majorHAnsi"/>
          <w:i w:val="0"/>
          <w:color w:val="auto"/>
          <w:sz w:val="24"/>
          <w:szCs w:val="24"/>
        </w:rPr>
        <w:t xml:space="preserve">OPERATIVNI CILJ 1.1. </w:t>
      </w:r>
      <w:r w:rsidRPr="007B43C4">
        <w:rPr>
          <w:rFonts w:eastAsia="Times New Roman" w:cstheme="majorHAnsi"/>
          <w:color w:val="auto"/>
          <w:sz w:val="24"/>
          <w:szCs w:val="24"/>
          <w:lang w:eastAsia="en-US"/>
        </w:rPr>
        <w:t>Funkcionalna javna uprava sa efikasnim nadzorom nad njenim radom i primjenom koncepta upravljačke odgovornost</w:t>
      </w:r>
    </w:p>
    <w:p w:rsidR="00430EC6" w:rsidRPr="007B43C4" w:rsidRDefault="00086D48" w:rsidP="007B43C4">
      <w:pPr>
        <w:pStyle w:val="CommentText"/>
        <w:spacing w:before="60" w:after="60"/>
        <w:ind w:right="-450"/>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Odgovornost treba da bude osnovna, mjerljiva i konkretna vrijednost za rad svakog pojedinca</w:t>
      </w:r>
      <w:r w:rsidR="00E1237B" w:rsidRPr="007B43C4">
        <w:rPr>
          <w:rFonts w:asciiTheme="majorHAnsi" w:eastAsia="Calibri" w:hAnsiTheme="majorHAnsi" w:cstheme="majorHAnsi"/>
          <w:color w:val="auto"/>
          <w:kern w:val="0"/>
          <w:sz w:val="24"/>
          <w:szCs w:val="24"/>
          <w:lang w:val="sr-Cyrl-RS" w:eastAsia="en-US"/>
        </w:rPr>
        <w:t xml:space="preserve"> </w:t>
      </w:r>
      <w:r w:rsidR="00AE7AF3" w:rsidRPr="007B43C4">
        <w:rPr>
          <w:rFonts w:asciiTheme="majorHAnsi" w:eastAsia="Calibri" w:hAnsiTheme="majorHAnsi" w:cstheme="majorHAnsi"/>
          <w:color w:val="auto"/>
          <w:kern w:val="0"/>
          <w:sz w:val="24"/>
          <w:szCs w:val="24"/>
          <w:lang w:eastAsia="en-US"/>
        </w:rPr>
        <w:t>i</w:t>
      </w:r>
      <w:r w:rsidR="00E1237B" w:rsidRPr="007B43C4">
        <w:rPr>
          <w:rFonts w:asciiTheme="majorHAnsi" w:eastAsia="Calibri" w:hAnsiTheme="majorHAnsi" w:cstheme="majorHAnsi"/>
          <w:color w:val="auto"/>
          <w:kern w:val="0"/>
          <w:sz w:val="24"/>
          <w:szCs w:val="24"/>
          <w:lang w:eastAsia="en-US"/>
        </w:rPr>
        <w:t xml:space="preserve"> institucije</w:t>
      </w:r>
      <w:r w:rsidRPr="007B43C4">
        <w:rPr>
          <w:rFonts w:asciiTheme="majorHAnsi" w:eastAsia="Calibri" w:hAnsiTheme="majorHAnsi" w:cstheme="majorHAnsi"/>
          <w:color w:val="auto"/>
          <w:kern w:val="0"/>
          <w:sz w:val="24"/>
          <w:szCs w:val="24"/>
          <w:lang w:eastAsia="en-US"/>
        </w:rPr>
        <w:t xml:space="preserve"> u javnoj upravi.</w:t>
      </w:r>
      <w:r w:rsidR="00430EC6" w:rsidRPr="007B43C4">
        <w:rPr>
          <w:rFonts w:asciiTheme="majorHAnsi" w:eastAsia="Calibri" w:hAnsiTheme="majorHAnsi" w:cstheme="majorHAnsi"/>
          <w:color w:val="auto"/>
          <w:kern w:val="0"/>
          <w:sz w:val="24"/>
          <w:szCs w:val="24"/>
          <w:lang w:eastAsia="en-US"/>
        </w:rPr>
        <w:t xml:space="preserve"> </w:t>
      </w:r>
      <w:r w:rsidR="00430EC6" w:rsidRPr="007B43C4">
        <w:rPr>
          <w:rFonts w:asciiTheme="majorHAnsi" w:hAnsiTheme="majorHAnsi" w:cstheme="majorHAnsi"/>
          <w:color w:val="auto"/>
          <w:sz w:val="24"/>
          <w:szCs w:val="24"/>
        </w:rPr>
        <w:t xml:space="preserve">U okviru ovog cilja potrebno je jačati spoljne i unutrašnje sisteme kontrole i nadzora, uključujući mehanizme za upravljačku odgovornost. Potrebno je jačati kapacitete i poboljšati rad inspekcija, Ombudsmana, Zaštitnika pravno-imovinskih interesa, kao i ojačati postojeće mehanizme poput RIA za </w:t>
      </w:r>
      <w:r w:rsidR="00430EC6" w:rsidRPr="007B43C4">
        <w:rPr>
          <w:rFonts w:asciiTheme="majorHAnsi" w:eastAsia="Calibri" w:hAnsiTheme="majorHAnsi" w:cstheme="majorHAnsi"/>
          <w:color w:val="auto"/>
          <w:kern w:val="0"/>
          <w:sz w:val="24"/>
          <w:szCs w:val="24"/>
          <w:lang w:eastAsia="en-US"/>
        </w:rPr>
        <w:t>analizu opravdanosti i finansijske procjene opravdanosti za osnivanjem ili reorganizaciju organa/institucija.</w:t>
      </w:r>
    </w:p>
    <w:p w:rsidR="009926EB" w:rsidRPr="007B43C4" w:rsidRDefault="00430EC6" w:rsidP="007B43C4">
      <w:pPr>
        <w:spacing w:before="60" w:after="60" w:line="240" w:lineRule="auto"/>
        <w:ind w:right="-471"/>
        <w:jc w:val="both"/>
        <w:rPr>
          <w:rFonts w:asciiTheme="majorHAnsi" w:eastAsia="Times New Roman" w:hAnsiTheme="majorHAnsi" w:cstheme="majorHAnsi"/>
          <w:color w:val="auto"/>
          <w:kern w:val="0"/>
          <w:sz w:val="24"/>
          <w:szCs w:val="24"/>
          <w:lang w:eastAsia="sr-Latn-ME"/>
        </w:rPr>
      </w:pPr>
      <w:r w:rsidRPr="007B43C4">
        <w:rPr>
          <w:rFonts w:asciiTheme="majorHAnsi" w:eastAsia="Times New Roman" w:hAnsiTheme="majorHAnsi" w:cstheme="majorHAnsi"/>
          <w:color w:val="auto"/>
          <w:kern w:val="0"/>
          <w:sz w:val="24"/>
          <w:szCs w:val="24"/>
          <w:lang w:eastAsia="sr-Latn-ME"/>
        </w:rPr>
        <w:t>U okviru inspekcijskog nadzora jačaće se uloga i kapaciteti Uprave za inspekcijske poslove i Upravne inspekcije</w:t>
      </w:r>
      <w:r w:rsidR="009926EB" w:rsidRPr="007B43C4">
        <w:rPr>
          <w:rFonts w:asciiTheme="majorHAnsi" w:eastAsia="Times New Roman" w:hAnsiTheme="majorHAnsi" w:cstheme="majorHAnsi"/>
          <w:color w:val="auto"/>
          <w:kern w:val="0"/>
          <w:sz w:val="24"/>
          <w:szCs w:val="24"/>
          <w:lang w:eastAsia="sr-Latn-ME"/>
        </w:rPr>
        <w:t>,</w:t>
      </w:r>
      <w:r w:rsidRPr="007B43C4">
        <w:rPr>
          <w:rFonts w:asciiTheme="majorHAnsi" w:eastAsia="Times New Roman" w:hAnsiTheme="majorHAnsi" w:cstheme="majorHAnsi"/>
          <w:color w:val="auto"/>
          <w:kern w:val="0"/>
          <w:sz w:val="24"/>
          <w:szCs w:val="24"/>
          <w:lang w:eastAsia="sr-Latn-ME"/>
        </w:rPr>
        <w:t xml:space="preserve"> kroz unapređenje normativnog okvira, kadrovskih kapaciteta i uvezivanje registara neopodnih za proaktivno djelovanje inspekcijskog nadzora. Uspostavljanje Jedinstvenog registra subjekata i objekata nadzora je od posebnog značaja za praćenje rada inspekcija, njihovu efektivnosti i suzbijanje sive ekonomije. </w:t>
      </w:r>
    </w:p>
    <w:p w:rsidR="002B3A42" w:rsidRPr="007B43C4" w:rsidRDefault="00430EC6" w:rsidP="007B43C4">
      <w:pPr>
        <w:spacing w:before="60" w:after="60" w:line="240" w:lineRule="auto"/>
        <w:ind w:right="-471"/>
        <w:jc w:val="both"/>
        <w:rPr>
          <w:rFonts w:asciiTheme="majorHAnsi" w:hAnsiTheme="majorHAnsi" w:cstheme="majorHAnsi"/>
          <w:color w:val="auto"/>
          <w:sz w:val="24"/>
          <w:szCs w:val="24"/>
          <w:lang w:eastAsia="en-US"/>
        </w:rPr>
      </w:pPr>
      <w:r w:rsidRPr="007B43C4">
        <w:rPr>
          <w:rFonts w:asciiTheme="majorHAnsi" w:eastAsia="Calibri" w:hAnsiTheme="majorHAnsi" w:cstheme="majorHAnsi"/>
          <w:color w:val="auto"/>
          <w:kern w:val="0"/>
          <w:sz w:val="24"/>
          <w:szCs w:val="24"/>
          <w:lang w:eastAsia="en-US"/>
        </w:rPr>
        <w:lastRenderedPageBreak/>
        <w:t>Analizom o izazovima u pogledu trajanja upravno-sudskog spora u upravno-javnim predmetima, prepoznaće se aktivnosti usmjerene na praćenje rada organa i Upravnog suda, kako si se uticalo da građani i građanke imaju pravo na adekvaktnu pravnu zaštitu i suđenje u razumnom roku. Takođe, preispitaće se postojeća zakonska rešenja u Zakonu o upravnom sporu u dijelu troškova spora i održavanje usmene rasprave. Dodatno, analizom o razlozima/osnovama za isplatu troškova od strane Crne Gore prema trećim licima u sudskim sporovima i razvojem preporuka za institucije koje su prepoznate po većem broju sporova, ojačaće se odgovornost rada i trošenje budžetskih sredstva organa.</w:t>
      </w:r>
      <w:r w:rsidR="002B3A42" w:rsidRPr="007B43C4">
        <w:rPr>
          <w:rFonts w:asciiTheme="majorHAnsi" w:eastAsia="Calibri" w:hAnsiTheme="majorHAnsi" w:cstheme="majorHAnsi"/>
          <w:color w:val="auto"/>
          <w:kern w:val="0"/>
          <w:sz w:val="24"/>
          <w:szCs w:val="24"/>
          <w:lang w:eastAsia="en-US"/>
        </w:rPr>
        <w:t xml:space="preserve"> Sa ciljem boljeg postupanja </w:t>
      </w:r>
      <w:r w:rsidR="002B3A42" w:rsidRPr="007B43C4">
        <w:rPr>
          <w:rFonts w:asciiTheme="majorHAnsi" w:hAnsiTheme="majorHAnsi" w:cstheme="majorHAnsi"/>
          <w:color w:val="auto"/>
          <w:sz w:val="24"/>
          <w:szCs w:val="24"/>
          <w:lang w:eastAsia="en-US"/>
        </w:rPr>
        <w:t>organa javne uprave po preporukama Zaštitinika ljudskih prava i sloboda na osnovu pritužbi, potrebno je dalje ojačati saradnju sa Skupštinom i njenim odborima kako bi se</w:t>
      </w:r>
      <w:r w:rsidR="002B3A42" w:rsidRPr="007B43C4">
        <w:rPr>
          <w:rFonts w:asciiTheme="majorHAnsi" w:hAnsiTheme="majorHAnsi" w:cstheme="majorHAnsi"/>
          <w:color w:val="auto"/>
          <w:sz w:val="24"/>
          <w:szCs w:val="24"/>
          <w:lang w:val="sr-Cyrl-RS" w:eastAsia="en-US"/>
        </w:rPr>
        <w:t>,</w:t>
      </w:r>
      <w:r w:rsidR="002B3A42" w:rsidRPr="007B43C4">
        <w:rPr>
          <w:rFonts w:asciiTheme="majorHAnsi" w:hAnsiTheme="majorHAnsi" w:cstheme="majorHAnsi"/>
          <w:color w:val="auto"/>
          <w:sz w:val="24"/>
          <w:szCs w:val="24"/>
          <w:lang w:eastAsia="en-US"/>
        </w:rPr>
        <w:t xml:space="preserve"> na osnovu datog i usvojenog izvještaja</w:t>
      </w:r>
      <w:r w:rsidR="002B3A42" w:rsidRPr="007B43C4">
        <w:rPr>
          <w:rFonts w:asciiTheme="majorHAnsi" w:hAnsiTheme="majorHAnsi" w:cstheme="majorHAnsi"/>
          <w:color w:val="auto"/>
          <w:sz w:val="24"/>
          <w:szCs w:val="24"/>
          <w:lang w:val="sr-Cyrl-RS" w:eastAsia="en-US"/>
        </w:rPr>
        <w:t>,</w:t>
      </w:r>
      <w:r w:rsidR="002B3A42" w:rsidRPr="007B43C4">
        <w:rPr>
          <w:rFonts w:asciiTheme="majorHAnsi" w:hAnsiTheme="majorHAnsi" w:cstheme="majorHAnsi"/>
          <w:color w:val="auto"/>
          <w:sz w:val="24"/>
          <w:szCs w:val="24"/>
          <w:lang w:eastAsia="en-US"/>
        </w:rPr>
        <w:t xml:space="preserve"> sačinila strategija pristupa identifikovanim problemima kao i njihovom rješavanju i podizanju individualne i upravljačke odgovornosti u slučaju upornog kršenja ljudskih prava i sloboda kroz duži vremenski period. </w:t>
      </w:r>
    </w:p>
    <w:p w:rsidR="00430EC6" w:rsidRPr="007B43C4" w:rsidRDefault="002B3A42" w:rsidP="007B43C4">
      <w:pPr>
        <w:pStyle w:val="CommentText"/>
        <w:spacing w:before="60" w:after="60"/>
        <w:ind w:right="-450"/>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Radi jasnije slike o postignutom učinku (</w:t>
      </w:r>
      <w:r w:rsidRPr="007B43C4">
        <w:rPr>
          <w:rFonts w:asciiTheme="majorHAnsi" w:eastAsia="Calibri" w:hAnsiTheme="majorHAnsi" w:cstheme="majorHAnsi"/>
          <w:i/>
          <w:color w:val="auto"/>
          <w:kern w:val="0"/>
          <w:sz w:val="24"/>
          <w:szCs w:val="24"/>
          <w:lang w:eastAsia="en-US"/>
        </w:rPr>
        <w:t>outcome</w:t>
      </w:r>
      <w:r w:rsidRPr="007B43C4">
        <w:rPr>
          <w:rFonts w:asciiTheme="majorHAnsi" w:eastAsia="Calibri" w:hAnsiTheme="majorHAnsi" w:cstheme="majorHAnsi"/>
          <w:color w:val="auto"/>
          <w:kern w:val="0"/>
          <w:sz w:val="24"/>
          <w:szCs w:val="24"/>
          <w:lang w:eastAsia="en-US"/>
        </w:rPr>
        <w:t>) organa, potrebno</w:t>
      </w:r>
      <w:r w:rsidR="005271A4" w:rsidRPr="007B43C4">
        <w:rPr>
          <w:rFonts w:asciiTheme="majorHAnsi" w:eastAsia="Calibri" w:hAnsiTheme="majorHAnsi" w:cstheme="majorHAnsi"/>
          <w:color w:val="auto"/>
          <w:kern w:val="0"/>
          <w:sz w:val="24"/>
          <w:szCs w:val="24"/>
          <w:lang w:eastAsia="en-US"/>
        </w:rPr>
        <w:t xml:space="preserve"> je</w:t>
      </w:r>
      <w:r w:rsidRPr="007B43C4">
        <w:rPr>
          <w:rFonts w:asciiTheme="majorHAnsi" w:eastAsia="Calibri" w:hAnsiTheme="majorHAnsi" w:cstheme="majorHAnsi"/>
          <w:color w:val="auto"/>
          <w:kern w:val="0"/>
          <w:sz w:val="24"/>
          <w:szCs w:val="24"/>
          <w:lang w:eastAsia="en-US"/>
        </w:rPr>
        <w:t xml:space="preserve"> pripremiti jedinstvenu metodologiju i koordinirati implementaciju planiranja programa rada organa, budžetiranja i izvještavanja o radu organa državne uprave i drugih nosilaca javnih ovlašćenja, koja će biti zasnovana na mjerljivim ciljevima, pokazateljima učinka i ciljnim vrijednostima, a počivati na strateškim opredjeljenjima rada Vlade. </w:t>
      </w:r>
    </w:p>
    <w:p w:rsidR="002B3A42" w:rsidRPr="007B43C4" w:rsidRDefault="002B3A42" w:rsidP="007B43C4">
      <w:pPr>
        <w:spacing w:before="60" w:after="60" w:line="240" w:lineRule="auto"/>
        <w:ind w:right="-471"/>
        <w:jc w:val="both"/>
        <w:rPr>
          <w:rFonts w:asciiTheme="majorHAnsi" w:eastAsia="Times New Roman" w:hAnsiTheme="majorHAnsi" w:cstheme="majorHAnsi"/>
          <w:color w:val="auto"/>
          <w:kern w:val="0"/>
          <w:sz w:val="24"/>
          <w:szCs w:val="24"/>
          <w:lang w:eastAsia="sr-Latn-ME"/>
        </w:rPr>
      </w:pPr>
      <w:r w:rsidRPr="007B43C4">
        <w:rPr>
          <w:rFonts w:asciiTheme="majorHAnsi" w:eastAsia="Calibri" w:hAnsiTheme="majorHAnsi" w:cstheme="majorHAnsi"/>
          <w:color w:val="auto"/>
          <w:kern w:val="0"/>
          <w:sz w:val="24"/>
          <w:szCs w:val="24"/>
          <w:lang w:eastAsia="en-US"/>
        </w:rPr>
        <w:t>U cilju unaprijeđenja učinka neophodno je da rukovodioci u javnoj upravi delegiraju ovlašćenja i omoguće svim rukovodiocima u organizaciji da donose odluke, upravljaju finansijama i realiz</w:t>
      </w:r>
      <w:r w:rsidR="009926EB" w:rsidRPr="007B43C4">
        <w:rPr>
          <w:rFonts w:asciiTheme="majorHAnsi" w:eastAsia="Calibri" w:hAnsiTheme="majorHAnsi" w:cstheme="majorHAnsi"/>
          <w:color w:val="auto"/>
          <w:kern w:val="0"/>
          <w:sz w:val="24"/>
          <w:szCs w:val="24"/>
          <w:lang w:eastAsia="en-US"/>
        </w:rPr>
        <w:t>uju</w:t>
      </w:r>
      <w:r w:rsidRPr="007B43C4">
        <w:rPr>
          <w:rFonts w:asciiTheme="majorHAnsi" w:eastAsia="Calibri" w:hAnsiTheme="majorHAnsi" w:cstheme="majorHAnsi"/>
          <w:color w:val="auto"/>
          <w:kern w:val="0"/>
          <w:sz w:val="24"/>
          <w:szCs w:val="24"/>
          <w:lang w:eastAsia="en-US"/>
        </w:rPr>
        <w:t xml:space="preserve"> ciljev</w:t>
      </w:r>
      <w:r w:rsidR="009926EB" w:rsidRPr="007B43C4">
        <w:rPr>
          <w:rFonts w:asciiTheme="majorHAnsi" w:eastAsia="Calibri" w:hAnsiTheme="majorHAnsi" w:cstheme="majorHAnsi"/>
          <w:color w:val="auto"/>
          <w:kern w:val="0"/>
          <w:sz w:val="24"/>
          <w:szCs w:val="24"/>
          <w:lang w:eastAsia="en-US"/>
        </w:rPr>
        <w:t>e</w:t>
      </w:r>
      <w:r w:rsidRPr="007B43C4">
        <w:rPr>
          <w:rFonts w:asciiTheme="majorHAnsi" w:eastAsia="Calibri" w:hAnsiTheme="majorHAnsi" w:cstheme="majorHAnsi"/>
          <w:color w:val="auto"/>
          <w:kern w:val="0"/>
          <w:sz w:val="24"/>
          <w:szCs w:val="24"/>
          <w:lang w:eastAsia="en-US"/>
        </w:rPr>
        <w:t xml:space="preserve"> u okviru svojih nadležnosti.</w:t>
      </w:r>
    </w:p>
    <w:p w:rsidR="00086D48" w:rsidRPr="007B43C4" w:rsidRDefault="00430EC6" w:rsidP="007B43C4">
      <w:pPr>
        <w:spacing w:before="60" w:after="60" w:line="240" w:lineRule="auto"/>
        <w:ind w:right="-475"/>
        <w:jc w:val="both"/>
        <w:rPr>
          <w:rFonts w:asciiTheme="majorHAnsi" w:eastAsia="Calibri" w:hAnsiTheme="majorHAnsi" w:cstheme="majorHAnsi"/>
          <w:color w:val="auto"/>
          <w:kern w:val="0"/>
          <w:sz w:val="24"/>
          <w:szCs w:val="24"/>
          <w:lang w:eastAsia="en-US"/>
        </w:rPr>
      </w:pPr>
      <w:r w:rsidRPr="007B43C4">
        <w:rPr>
          <w:rFonts w:asciiTheme="majorHAnsi" w:hAnsiTheme="majorHAnsi" w:cstheme="majorHAnsi"/>
          <w:color w:val="auto"/>
          <w:sz w:val="24"/>
          <w:szCs w:val="24"/>
        </w:rPr>
        <w:t>Indikatori kojima će se pratiti ostvarivanje ovog cilja su:</w:t>
      </w:r>
    </w:p>
    <w:tbl>
      <w:tblPr>
        <w:tblStyle w:val="TableGrid"/>
        <w:tblW w:w="524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08"/>
        <w:gridCol w:w="1690"/>
        <w:gridCol w:w="1890"/>
        <w:gridCol w:w="2098"/>
        <w:gridCol w:w="2009"/>
      </w:tblGrid>
      <w:tr w:rsidR="00AC188A" w:rsidRPr="00156E08" w:rsidTr="001C4E7A">
        <w:tc>
          <w:tcPr>
            <w:tcW w:w="1116" w:type="pct"/>
            <w:shd w:val="clear" w:color="auto" w:fill="DFE4E5" w:themeFill="accent5" w:themeFillTint="33"/>
            <w:vAlign w:val="center"/>
          </w:tcPr>
          <w:p w:rsidR="00FE5C83" w:rsidRPr="002206F7" w:rsidRDefault="00FE5C83" w:rsidP="00CD75BD">
            <w:pPr>
              <w:spacing w:after="40"/>
              <w:jc w:val="center"/>
              <w:rPr>
                <w:rFonts w:asciiTheme="majorHAnsi" w:hAnsiTheme="majorHAnsi" w:cstheme="majorHAnsi"/>
                <w:b/>
                <w:color w:val="3A4B5B" w:themeColor="accent1" w:themeShade="80"/>
                <w:sz w:val="18"/>
                <w:szCs w:val="18"/>
              </w:rPr>
            </w:pPr>
            <w:r w:rsidRPr="002206F7">
              <w:rPr>
                <w:rFonts w:asciiTheme="majorHAnsi" w:hAnsiTheme="majorHAnsi" w:cstheme="majorHAnsi"/>
                <w:b/>
                <w:color w:val="3A4B5B" w:themeColor="accent1" w:themeShade="80"/>
                <w:sz w:val="18"/>
                <w:szCs w:val="18"/>
              </w:rPr>
              <w:t>OPERATIVNI CILJ 1.1</w:t>
            </w:r>
          </w:p>
        </w:tc>
        <w:tc>
          <w:tcPr>
            <w:tcW w:w="3884" w:type="pct"/>
            <w:gridSpan w:val="4"/>
            <w:shd w:val="clear" w:color="auto" w:fill="DFE4E5" w:themeFill="accent5" w:themeFillTint="33"/>
          </w:tcPr>
          <w:p w:rsidR="00FE5C83" w:rsidRPr="002206F7" w:rsidRDefault="00FE5C83" w:rsidP="00CD75BD">
            <w:pPr>
              <w:spacing w:after="40"/>
              <w:rPr>
                <w:rFonts w:asciiTheme="majorHAnsi" w:hAnsiTheme="majorHAnsi" w:cstheme="majorHAnsi"/>
                <w:b/>
                <w:color w:val="3A4B5B" w:themeColor="accent1" w:themeShade="80"/>
                <w:sz w:val="18"/>
                <w:szCs w:val="18"/>
              </w:rPr>
            </w:pPr>
            <w:r w:rsidRPr="002206F7">
              <w:rPr>
                <w:rFonts w:asciiTheme="majorHAnsi" w:hAnsiTheme="majorHAnsi" w:cstheme="majorHAnsi"/>
                <w:b/>
                <w:color w:val="3A4B5B" w:themeColor="accent1" w:themeShade="80"/>
                <w:sz w:val="18"/>
                <w:szCs w:val="18"/>
              </w:rPr>
              <w:t>Funkcionalna javna uprava sa efikasnim nadzorom nad njenim radom i primjenom koncepta upravljačke odgovornosti</w:t>
            </w:r>
          </w:p>
        </w:tc>
      </w:tr>
      <w:tr w:rsidR="00AC188A" w:rsidRPr="00156E08" w:rsidTr="001C4E7A">
        <w:tc>
          <w:tcPr>
            <w:tcW w:w="1970" w:type="pct"/>
            <w:gridSpan w:val="2"/>
            <w:shd w:val="clear" w:color="auto" w:fill="DAF2F6"/>
            <w:vAlign w:val="center"/>
          </w:tcPr>
          <w:p w:rsidR="00FE5C83" w:rsidRPr="002206F7" w:rsidRDefault="00FE5C83" w:rsidP="00CD75BD">
            <w:pPr>
              <w:spacing w:after="40"/>
              <w:jc w:val="center"/>
              <w:rPr>
                <w:rFonts w:asciiTheme="majorHAnsi" w:hAnsiTheme="majorHAnsi" w:cstheme="majorHAnsi"/>
                <w:b/>
                <w:color w:val="3A4B5B" w:themeColor="accent1" w:themeShade="80"/>
                <w:sz w:val="18"/>
                <w:szCs w:val="18"/>
              </w:rPr>
            </w:pPr>
            <w:r w:rsidRPr="002206F7">
              <w:rPr>
                <w:rFonts w:asciiTheme="majorHAnsi" w:hAnsiTheme="majorHAnsi" w:cstheme="majorHAnsi"/>
                <w:b/>
                <w:color w:val="3A4B5B" w:themeColor="accent1" w:themeShade="80"/>
                <w:sz w:val="18"/>
                <w:szCs w:val="18"/>
              </w:rPr>
              <w:t>Indikator</w:t>
            </w:r>
          </w:p>
        </w:tc>
        <w:tc>
          <w:tcPr>
            <w:tcW w:w="955" w:type="pct"/>
            <w:shd w:val="clear" w:color="auto" w:fill="DAF2F6"/>
            <w:vAlign w:val="center"/>
          </w:tcPr>
          <w:p w:rsidR="00FE5C83" w:rsidRPr="002206F7" w:rsidRDefault="00FE5C83" w:rsidP="00CD75BD">
            <w:pPr>
              <w:spacing w:after="40"/>
              <w:jc w:val="center"/>
              <w:rPr>
                <w:rFonts w:asciiTheme="majorHAnsi" w:hAnsiTheme="majorHAnsi" w:cstheme="majorHAnsi"/>
                <w:b/>
                <w:color w:val="3A4B5B" w:themeColor="accent1" w:themeShade="80"/>
                <w:sz w:val="18"/>
                <w:szCs w:val="18"/>
              </w:rPr>
            </w:pPr>
            <w:r w:rsidRPr="002206F7">
              <w:rPr>
                <w:rFonts w:asciiTheme="majorHAnsi" w:hAnsiTheme="majorHAnsi" w:cstheme="majorHAnsi"/>
                <w:b/>
                <w:color w:val="3A4B5B" w:themeColor="accent1" w:themeShade="80"/>
                <w:sz w:val="18"/>
                <w:szCs w:val="18"/>
              </w:rPr>
              <w:t>Početna vrijednost</w:t>
            </w:r>
          </w:p>
        </w:tc>
        <w:tc>
          <w:tcPr>
            <w:tcW w:w="1060" w:type="pct"/>
            <w:shd w:val="clear" w:color="auto" w:fill="DAF2F6"/>
            <w:vAlign w:val="center"/>
          </w:tcPr>
          <w:p w:rsidR="00FE5C83" w:rsidRPr="002206F7" w:rsidRDefault="00FE5C83" w:rsidP="00CD75BD">
            <w:pPr>
              <w:spacing w:after="40"/>
              <w:jc w:val="center"/>
              <w:rPr>
                <w:rFonts w:asciiTheme="majorHAnsi" w:hAnsiTheme="majorHAnsi" w:cstheme="majorHAnsi"/>
                <w:b/>
                <w:color w:val="3A4B5B" w:themeColor="accent1" w:themeShade="80"/>
                <w:sz w:val="18"/>
                <w:szCs w:val="18"/>
              </w:rPr>
            </w:pPr>
            <w:r w:rsidRPr="002206F7">
              <w:rPr>
                <w:rFonts w:asciiTheme="majorHAnsi" w:hAnsiTheme="majorHAnsi" w:cstheme="majorHAnsi"/>
                <w:b/>
                <w:color w:val="3A4B5B" w:themeColor="accent1" w:themeShade="80"/>
                <w:sz w:val="18"/>
                <w:szCs w:val="18"/>
              </w:rPr>
              <w:t>Ciljana vrijednost do 2024.</w:t>
            </w:r>
          </w:p>
        </w:tc>
        <w:tc>
          <w:tcPr>
            <w:tcW w:w="1015" w:type="pct"/>
            <w:shd w:val="clear" w:color="auto" w:fill="DAF2F6"/>
            <w:vAlign w:val="center"/>
          </w:tcPr>
          <w:p w:rsidR="00FE5C83" w:rsidRPr="002206F7" w:rsidRDefault="00FE5C83" w:rsidP="00CD75BD">
            <w:pPr>
              <w:spacing w:after="40"/>
              <w:jc w:val="center"/>
              <w:rPr>
                <w:rFonts w:asciiTheme="majorHAnsi" w:hAnsiTheme="majorHAnsi" w:cstheme="majorHAnsi"/>
                <w:b/>
                <w:color w:val="3A4B5B" w:themeColor="accent1" w:themeShade="80"/>
                <w:sz w:val="18"/>
                <w:szCs w:val="18"/>
              </w:rPr>
            </w:pPr>
            <w:r w:rsidRPr="002206F7">
              <w:rPr>
                <w:rFonts w:asciiTheme="majorHAnsi" w:hAnsiTheme="majorHAnsi" w:cstheme="majorHAnsi"/>
                <w:b/>
                <w:color w:val="3A4B5B" w:themeColor="accent1" w:themeShade="80"/>
                <w:sz w:val="18"/>
                <w:szCs w:val="18"/>
              </w:rPr>
              <w:t>Ciljana vrijednost u 2026.</w:t>
            </w:r>
          </w:p>
        </w:tc>
      </w:tr>
      <w:tr w:rsidR="00F45BE1" w:rsidRPr="00F45BE1" w:rsidTr="00AA02EB">
        <w:trPr>
          <w:trHeight w:val="386"/>
        </w:trPr>
        <w:tc>
          <w:tcPr>
            <w:tcW w:w="1970" w:type="pct"/>
            <w:gridSpan w:val="2"/>
            <w:shd w:val="clear" w:color="auto" w:fill="FFFFFF" w:themeFill="background1"/>
          </w:tcPr>
          <w:p w:rsidR="00F45BE1" w:rsidRPr="00F45BE1" w:rsidRDefault="00F45BE1" w:rsidP="00F45BE1">
            <w:pPr>
              <w:spacing w:after="40"/>
              <w:rPr>
                <w:rFonts w:asciiTheme="majorHAnsi" w:hAnsiTheme="majorHAnsi" w:cstheme="majorHAnsi"/>
                <w:color w:val="auto"/>
                <w:sz w:val="18"/>
                <w:szCs w:val="18"/>
              </w:rPr>
            </w:pPr>
            <w:r w:rsidRPr="00F45BE1">
              <w:rPr>
                <w:rFonts w:asciiTheme="majorHAnsi" w:hAnsiTheme="majorHAnsi" w:cstheme="majorHAnsi"/>
                <w:color w:val="auto"/>
                <w:sz w:val="18"/>
                <w:szCs w:val="18"/>
              </w:rPr>
              <w:t>Iznos sredstava koji je prinudno naplaćen u radnim predmetima koje zastupa Zaštitnik imovinsko-pravnih interesa</w:t>
            </w:r>
          </w:p>
        </w:tc>
        <w:tc>
          <w:tcPr>
            <w:tcW w:w="955"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10.412.089  € (2020)</w:t>
            </w:r>
          </w:p>
        </w:tc>
        <w:tc>
          <w:tcPr>
            <w:tcW w:w="1060"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Nepromijenjeno u odnosu na početnu vrijednost</w:t>
            </w:r>
          </w:p>
        </w:tc>
        <w:tc>
          <w:tcPr>
            <w:tcW w:w="1015"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-3% od početne vrijednosti</w:t>
            </w:r>
          </w:p>
        </w:tc>
      </w:tr>
      <w:tr w:rsidR="00F45BE1" w:rsidRPr="00F45BE1" w:rsidTr="001C4E7A">
        <w:tc>
          <w:tcPr>
            <w:tcW w:w="1970" w:type="pct"/>
            <w:gridSpan w:val="2"/>
            <w:shd w:val="clear" w:color="auto" w:fill="FFFFFF" w:themeFill="background1"/>
          </w:tcPr>
          <w:p w:rsidR="00F45BE1" w:rsidRPr="00F45BE1" w:rsidRDefault="00F45BE1" w:rsidP="00F45BE1">
            <w:pPr>
              <w:spacing w:after="40"/>
              <w:rPr>
                <w:rFonts w:asciiTheme="majorHAnsi" w:hAnsiTheme="majorHAnsi" w:cstheme="majorHAnsi"/>
                <w:color w:val="auto"/>
                <w:sz w:val="18"/>
                <w:szCs w:val="18"/>
              </w:rPr>
            </w:pPr>
            <w:r w:rsidRPr="00F45BE1">
              <w:rPr>
                <w:rFonts w:asciiTheme="majorHAnsi" w:hAnsiTheme="majorHAnsi" w:cstheme="majorHAnsi"/>
                <w:color w:val="auto"/>
                <w:sz w:val="18"/>
                <w:szCs w:val="18"/>
              </w:rPr>
              <w:t>Uspostavljen sistem izvještavanja na nivou pokazatelja ishoda i ciljeva koji bi omogućili praćenje postizanja rezultata</w:t>
            </w:r>
          </w:p>
        </w:tc>
        <w:tc>
          <w:tcPr>
            <w:tcW w:w="955"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Nije uspostavljen sistem</w:t>
            </w:r>
          </w:p>
        </w:tc>
        <w:tc>
          <w:tcPr>
            <w:tcW w:w="1060"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100% ministarstava imaju uspostavljeno outcome izvještavanje</w:t>
            </w:r>
          </w:p>
        </w:tc>
        <w:tc>
          <w:tcPr>
            <w:tcW w:w="1015"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100% ministarstava 50% organa uprave i javnih ustanove</w:t>
            </w:r>
          </w:p>
        </w:tc>
      </w:tr>
      <w:tr w:rsidR="00F45BE1" w:rsidRPr="00F45BE1" w:rsidTr="001C4E7A">
        <w:tc>
          <w:tcPr>
            <w:tcW w:w="1970" w:type="pct"/>
            <w:gridSpan w:val="2"/>
            <w:shd w:val="clear" w:color="auto" w:fill="FFFFFF" w:themeFill="background1"/>
          </w:tcPr>
          <w:p w:rsidR="00F45BE1" w:rsidRPr="00F45BE1" w:rsidRDefault="00F45BE1" w:rsidP="00F45BE1">
            <w:pPr>
              <w:spacing w:after="40"/>
              <w:rPr>
                <w:rFonts w:asciiTheme="majorHAnsi" w:hAnsiTheme="majorHAnsi" w:cstheme="majorHAnsi"/>
                <w:color w:val="auto"/>
                <w:sz w:val="18"/>
                <w:szCs w:val="18"/>
              </w:rPr>
            </w:pPr>
            <w:r w:rsidRPr="00F45BE1">
              <w:rPr>
                <w:rFonts w:asciiTheme="majorHAnsi" w:hAnsiTheme="majorHAnsi" w:cstheme="majorHAnsi"/>
                <w:color w:val="auto"/>
                <w:sz w:val="18"/>
                <w:szCs w:val="18"/>
              </w:rPr>
              <w:t>Broj tužbi zbog povrede prava na suđenje u razumnom roku u upravno-sudskom postupku</w:t>
            </w:r>
          </w:p>
        </w:tc>
        <w:tc>
          <w:tcPr>
            <w:tcW w:w="955"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22 predmeta (2020)</w:t>
            </w:r>
          </w:p>
        </w:tc>
        <w:tc>
          <w:tcPr>
            <w:tcW w:w="1060"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20 predmeta</w:t>
            </w:r>
          </w:p>
        </w:tc>
        <w:tc>
          <w:tcPr>
            <w:tcW w:w="1015"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16 predmeta</w:t>
            </w:r>
          </w:p>
        </w:tc>
      </w:tr>
      <w:tr w:rsidR="00F45BE1" w:rsidRPr="00F45BE1" w:rsidTr="001C4E7A">
        <w:tc>
          <w:tcPr>
            <w:tcW w:w="1970" w:type="pct"/>
            <w:gridSpan w:val="2"/>
            <w:shd w:val="clear" w:color="auto" w:fill="FFFFFF" w:themeFill="background1"/>
          </w:tcPr>
          <w:p w:rsidR="00F45BE1" w:rsidRPr="00F45BE1" w:rsidRDefault="00F45BE1" w:rsidP="00F45BE1">
            <w:pPr>
              <w:spacing w:after="40"/>
              <w:rPr>
                <w:rFonts w:asciiTheme="majorHAnsi" w:hAnsiTheme="majorHAnsi" w:cstheme="majorHAnsi"/>
                <w:color w:val="auto"/>
                <w:sz w:val="18"/>
                <w:szCs w:val="18"/>
              </w:rPr>
            </w:pPr>
            <w:r w:rsidRPr="00F45BE1">
              <w:rPr>
                <w:rFonts w:asciiTheme="majorHAnsi" w:hAnsiTheme="majorHAnsi" w:cstheme="majorHAnsi"/>
                <w:color w:val="auto"/>
                <w:sz w:val="18"/>
                <w:szCs w:val="18"/>
              </w:rPr>
              <w:t>Prosječno trajanje upravnog spora u Upravnom sudu</w:t>
            </w:r>
          </w:p>
        </w:tc>
        <w:tc>
          <w:tcPr>
            <w:tcW w:w="955"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17 mjeseci</w:t>
            </w:r>
          </w:p>
        </w:tc>
        <w:tc>
          <w:tcPr>
            <w:tcW w:w="1060"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15 mjeseci</w:t>
            </w:r>
          </w:p>
        </w:tc>
        <w:tc>
          <w:tcPr>
            <w:tcW w:w="1015"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12 mjeseci</w:t>
            </w:r>
          </w:p>
        </w:tc>
      </w:tr>
      <w:tr w:rsidR="00F45BE1" w:rsidRPr="00F45BE1" w:rsidTr="001C4E7A">
        <w:tc>
          <w:tcPr>
            <w:tcW w:w="1970" w:type="pct"/>
            <w:gridSpan w:val="2"/>
            <w:shd w:val="clear" w:color="auto" w:fill="FFFFFF" w:themeFill="background1"/>
          </w:tcPr>
          <w:p w:rsidR="00F45BE1" w:rsidRPr="00F45BE1" w:rsidRDefault="00F45BE1" w:rsidP="00F45BE1">
            <w:pPr>
              <w:spacing w:after="40"/>
              <w:rPr>
                <w:rFonts w:asciiTheme="majorHAnsi" w:hAnsiTheme="majorHAnsi" w:cstheme="majorHAnsi"/>
                <w:color w:val="auto"/>
                <w:sz w:val="18"/>
                <w:szCs w:val="18"/>
              </w:rPr>
            </w:pPr>
            <w:r w:rsidRPr="00F45BE1">
              <w:rPr>
                <w:rFonts w:asciiTheme="majorHAnsi" w:hAnsiTheme="majorHAnsi" w:cstheme="majorHAnsi"/>
                <w:color w:val="auto"/>
                <w:sz w:val="18"/>
                <w:szCs w:val="18"/>
              </w:rPr>
              <w:t>% preporuka koje su ralizovane od strane organa javne uprave na osnovu Izvještaja Zaštitnika ljudskih prava i sloboda - Ombudsman</w:t>
            </w:r>
          </w:p>
        </w:tc>
        <w:tc>
          <w:tcPr>
            <w:tcW w:w="955"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19,88% (2020)</w:t>
            </w:r>
          </w:p>
        </w:tc>
        <w:tc>
          <w:tcPr>
            <w:tcW w:w="1060"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Preko 40% relizovanih preporuka</w:t>
            </w:r>
          </w:p>
        </w:tc>
        <w:tc>
          <w:tcPr>
            <w:tcW w:w="1015"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Preko 60 % realizovanih preporuka</w:t>
            </w:r>
          </w:p>
        </w:tc>
      </w:tr>
      <w:tr w:rsidR="00F45BE1" w:rsidRPr="00F45BE1" w:rsidTr="001C4E7A">
        <w:tc>
          <w:tcPr>
            <w:tcW w:w="1970" w:type="pct"/>
            <w:gridSpan w:val="2"/>
            <w:shd w:val="clear" w:color="auto" w:fill="FFFFFF" w:themeFill="background1"/>
          </w:tcPr>
          <w:p w:rsidR="00F45BE1" w:rsidRPr="00F45BE1" w:rsidRDefault="00F45BE1" w:rsidP="00F45BE1">
            <w:pPr>
              <w:spacing w:after="40"/>
              <w:rPr>
                <w:rFonts w:asciiTheme="majorHAnsi" w:hAnsiTheme="majorHAnsi" w:cstheme="majorHAnsi"/>
                <w:color w:val="auto"/>
                <w:sz w:val="18"/>
                <w:szCs w:val="18"/>
              </w:rPr>
            </w:pPr>
            <w:r w:rsidRPr="00F45BE1">
              <w:rPr>
                <w:rFonts w:asciiTheme="majorHAnsi" w:hAnsiTheme="majorHAnsi" w:cstheme="majorHAnsi"/>
                <w:color w:val="auto"/>
                <w:sz w:val="18"/>
                <w:szCs w:val="18"/>
              </w:rPr>
              <w:t xml:space="preserve">% ministarstava koji delegiraju ovlašćenja za finansijsko upravljanje i unutrašnje kontrole višem rukovodstvu u skladu sa Uredbom </w:t>
            </w:r>
          </w:p>
        </w:tc>
        <w:tc>
          <w:tcPr>
            <w:tcW w:w="955"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8,3%</w:t>
            </w:r>
          </w:p>
        </w:tc>
        <w:tc>
          <w:tcPr>
            <w:tcW w:w="1060"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50%</w:t>
            </w:r>
          </w:p>
        </w:tc>
        <w:tc>
          <w:tcPr>
            <w:tcW w:w="1015" w:type="pct"/>
            <w:shd w:val="clear" w:color="auto" w:fill="FFFFFF" w:themeFill="background1"/>
          </w:tcPr>
          <w:p w:rsidR="00F45BE1" w:rsidRPr="00F45BE1" w:rsidRDefault="00F45BE1" w:rsidP="00C046D3">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80%</w:t>
            </w:r>
          </w:p>
        </w:tc>
      </w:tr>
    </w:tbl>
    <w:p w:rsidR="00B43AA1" w:rsidRPr="007E14C5" w:rsidRDefault="00B43AA1" w:rsidP="007E14C5">
      <w:pPr>
        <w:spacing w:before="120" w:after="0" w:line="240" w:lineRule="auto"/>
        <w:ind w:left="360" w:right="-471"/>
        <w:jc w:val="both"/>
        <w:rPr>
          <w:rFonts w:asciiTheme="majorHAnsi" w:hAnsiTheme="majorHAnsi" w:cstheme="majorHAnsi"/>
          <w:color w:val="002060"/>
          <w:sz w:val="24"/>
          <w:szCs w:val="24"/>
          <w:lang w:eastAsia="en-US"/>
        </w:rPr>
      </w:pPr>
    </w:p>
    <w:p w:rsidR="00086D48" w:rsidRPr="007B43C4" w:rsidRDefault="00086D48" w:rsidP="007B43C4">
      <w:pPr>
        <w:pStyle w:val="Heading4"/>
        <w:spacing w:before="60" w:after="60" w:line="240" w:lineRule="auto"/>
        <w:ind w:right="-446"/>
        <w:jc w:val="both"/>
        <w:rPr>
          <w:rFonts w:eastAsia="Times New Roman" w:cstheme="majorHAnsi"/>
          <w:color w:val="auto"/>
          <w:kern w:val="0"/>
          <w:sz w:val="24"/>
          <w:szCs w:val="24"/>
          <w:lang w:eastAsia="en-US"/>
        </w:rPr>
      </w:pPr>
      <w:r w:rsidRPr="007B43C4">
        <w:rPr>
          <w:rFonts w:eastAsia="Calibri" w:cstheme="majorHAnsi"/>
          <w:i w:val="0"/>
          <w:color w:val="auto"/>
          <w:kern w:val="0"/>
          <w:sz w:val="24"/>
          <w:szCs w:val="24"/>
        </w:rPr>
        <w:lastRenderedPageBreak/>
        <w:t>OPERATIVNI CILJ 1.2.</w:t>
      </w:r>
      <w:r w:rsidRPr="007B43C4">
        <w:rPr>
          <w:rFonts w:eastAsia="Calibri" w:cstheme="majorHAnsi"/>
          <w:color w:val="auto"/>
          <w:kern w:val="0"/>
          <w:sz w:val="24"/>
          <w:szCs w:val="24"/>
        </w:rPr>
        <w:t xml:space="preserve"> </w:t>
      </w:r>
      <w:r w:rsidRPr="007B43C4">
        <w:rPr>
          <w:rFonts w:eastAsia="Times New Roman" w:cstheme="majorHAnsi"/>
          <w:color w:val="auto"/>
          <w:kern w:val="0"/>
          <w:sz w:val="24"/>
          <w:szCs w:val="24"/>
          <w:lang w:eastAsia="en-US"/>
        </w:rPr>
        <w:t>Administracija bez papira</w:t>
      </w:r>
    </w:p>
    <w:p w:rsidR="005271A4" w:rsidRPr="007B43C4" w:rsidRDefault="00086D48" w:rsidP="007B43C4">
      <w:pPr>
        <w:spacing w:before="60" w:after="60" w:line="240" w:lineRule="auto"/>
        <w:ind w:right="-471"/>
        <w:jc w:val="both"/>
        <w:rPr>
          <w:rFonts w:asciiTheme="majorHAnsi" w:eastAsia="Times New Roman" w:hAnsiTheme="majorHAnsi" w:cstheme="majorHAnsi"/>
          <w:color w:val="auto"/>
          <w:kern w:val="0"/>
          <w:sz w:val="24"/>
          <w:szCs w:val="24"/>
          <w:lang w:eastAsia="sr-Latn-ME"/>
        </w:rPr>
      </w:pPr>
      <w:r w:rsidRPr="007B43C4">
        <w:rPr>
          <w:rFonts w:asciiTheme="majorHAnsi" w:eastAsia="Times New Roman" w:hAnsiTheme="majorHAnsi" w:cstheme="majorHAnsi"/>
          <w:color w:val="auto"/>
          <w:kern w:val="0"/>
          <w:sz w:val="24"/>
          <w:szCs w:val="24"/>
          <w:lang w:eastAsia="sr-Latn-ME"/>
        </w:rPr>
        <w:t>Da bi e-uprava i e-kancelarijsko poslovanje zaživjelo u praksi potrebno je, prije svega uticati na promjenu davno stečenih navika u kancelarijskom poslovanju te promjenu svijesti zaposlenih u javnoj administraciji.</w:t>
      </w:r>
    </w:p>
    <w:p w:rsidR="009926EB" w:rsidRPr="007B43C4" w:rsidRDefault="00086D48" w:rsidP="007B43C4">
      <w:pPr>
        <w:spacing w:before="60" w:after="60" w:line="240" w:lineRule="auto"/>
        <w:ind w:right="-471"/>
        <w:jc w:val="both"/>
        <w:rPr>
          <w:rFonts w:asciiTheme="majorHAnsi" w:eastAsia="Times New Roman" w:hAnsiTheme="majorHAnsi" w:cstheme="majorHAnsi"/>
          <w:color w:val="auto"/>
          <w:kern w:val="0"/>
          <w:sz w:val="24"/>
          <w:szCs w:val="24"/>
          <w:lang w:eastAsia="sr-Latn-ME"/>
        </w:rPr>
      </w:pPr>
      <w:r w:rsidRPr="007B43C4">
        <w:rPr>
          <w:rFonts w:asciiTheme="majorHAnsi" w:eastAsia="Times New Roman" w:hAnsiTheme="majorHAnsi" w:cstheme="majorHAnsi"/>
          <w:color w:val="auto"/>
          <w:kern w:val="0"/>
          <w:sz w:val="24"/>
          <w:szCs w:val="24"/>
          <w:lang w:eastAsia="sr-Latn-ME"/>
        </w:rPr>
        <w:t xml:space="preserve"> Upotreba i promet elektronskih dokumenata kroz informacione sisteme, odnosno elektronsko upravljanje dokumentima</w:t>
      </w:r>
      <w:r w:rsidR="009A0B8E" w:rsidRPr="007B43C4">
        <w:rPr>
          <w:rFonts w:asciiTheme="majorHAnsi" w:eastAsia="Times New Roman" w:hAnsiTheme="majorHAnsi" w:cstheme="majorHAnsi"/>
          <w:color w:val="auto"/>
          <w:kern w:val="0"/>
          <w:sz w:val="24"/>
          <w:szCs w:val="24"/>
          <w:lang w:eastAsia="sr-Latn-ME"/>
        </w:rPr>
        <w:t xml:space="preserve"> </w:t>
      </w:r>
      <w:r w:rsidRPr="007B43C4">
        <w:rPr>
          <w:rFonts w:asciiTheme="majorHAnsi" w:eastAsia="Times New Roman" w:hAnsiTheme="majorHAnsi" w:cstheme="majorHAnsi"/>
          <w:color w:val="auto"/>
          <w:kern w:val="0"/>
          <w:sz w:val="24"/>
          <w:szCs w:val="24"/>
          <w:lang w:eastAsia="sr-Latn-ME"/>
        </w:rPr>
        <w:t xml:space="preserve">(eDMS) iziskuje </w:t>
      </w:r>
      <w:r w:rsidRPr="007B43C4">
        <w:rPr>
          <w:rFonts w:asciiTheme="majorHAnsi" w:eastAsia="Times New Roman" w:hAnsiTheme="majorHAnsi" w:cstheme="majorHAnsi"/>
          <w:b/>
          <w:color w:val="auto"/>
          <w:kern w:val="0"/>
          <w:sz w:val="24"/>
          <w:szCs w:val="24"/>
          <w:lang w:eastAsia="sr-Latn-ME"/>
        </w:rPr>
        <w:t>dodatne obuke i pojednostavljenje propisa</w:t>
      </w:r>
      <w:r w:rsidRPr="007B43C4">
        <w:rPr>
          <w:rFonts w:asciiTheme="majorHAnsi" w:eastAsia="Times New Roman" w:hAnsiTheme="majorHAnsi" w:cstheme="majorHAnsi"/>
          <w:color w:val="auto"/>
          <w:kern w:val="0"/>
          <w:sz w:val="24"/>
          <w:szCs w:val="24"/>
          <w:lang w:eastAsia="sr-Latn-ME"/>
        </w:rPr>
        <w:t xml:space="preserve"> koji uređuju elektronsko kancelarijsko poslovanje, kao i </w:t>
      </w:r>
      <w:r w:rsidRPr="007B43C4">
        <w:rPr>
          <w:rFonts w:asciiTheme="majorHAnsi" w:eastAsia="Times New Roman" w:hAnsiTheme="majorHAnsi" w:cstheme="majorHAnsi"/>
          <w:b/>
          <w:color w:val="auto"/>
          <w:kern w:val="0"/>
          <w:sz w:val="24"/>
          <w:szCs w:val="24"/>
          <w:lang w:eastAsia="sr-Latn-ME"/>
        </w:rPr>
        <w:t>veću primjenu</w:t>
      </w:r>
      <w:r w:rsidRPr="007B43C4">
        <w:rPr>
          <w:rFonts w:asciiTheme="majorHAnsi" w:eastAsia="Times New Roman" w:hAnsiTheme="majorHAnsi" w:cstheme="majorHAnsi"/>
          <w:color w:val="auto"/>
          <w:kern w:val="0"/>
          <w:sz w:val="24"/>
          <w:szCs w:val="24"/>
          <w:lang w:eastAsia="sr-Latn-ME"/>
        </w:rPr>
        <w:t xml:space="preserve"> elektronskog dokumenta, kao i upotrebu elektronskog potpisa i elektronskog pečata. </w:t>
      </w:r>
    </w:p>
    <w:p w:rsidR="00086D48" w:rsidRPr="007B43C4" w:rsidRDefault="009926EB" w:rsidP="007B43C4">
      <w:pPr>
        <w:spacing w:before="60" w:after="60" w:line="240" w:lineRule="auto"/>
        <w:ind w:right="-471"/>
        <w:jc w:val="both"/>
        <w:rPr>
          <w:rFonts w:asciiTheme="majorHAnsi" w:hAnsiTheme="majorHAnsi" w:cstheme="majorHAnsi"/>
          <w:color w:val="auto"/>
          <w:sz w:val="24"/>
          <w:szCs w:val="24"/>
          <w:lang w:eastAsia="en-US"/>
        </w:rPr>
      </w:pPr>
      <w:r w:rsidRPr="007B43C4">
        <w:rPr>
          <w:rFonts w:asciiTheme="majorHAnsi" w:eastAsia="Times New Roman" w:hAnsiTheme="majorHAnsi" w:cstheme="majorHAnsi"/>
          <w:color w:val="auto"/>
          <w:kern w:val="0"/>
          <w:sz w:val="24"/>
          <w:szCs w:val="24"/>
          <w:lang w:eastAsia="sr-Latn-ME"/>
        </w:rPr>
        <w:t xml:space="preserve">Fokus u ovom cilju biće na redizajnu </w:t>
      </w:r>
      <w:r w:rsidR="00086D48" w:rsidRPr="007B43C4">
        <w:rPr>
          <w:rFonts w:asciiTheme="majorHAnsi" w:hAnsiTheme="majorHAnsi" w:cstheme="majorHAnsi"/>
          <w:color w:val="auto"/>
          <w:sz w:val="24"/>
          <w:szCs w:val="24"/>
          <w:lang w:eastAsia="sr-Latn-ME"/>
        </w:rPr>
        <w:t>sistema elekt</w:t>
      </w:r>
      <w:r w:rsidR="008D74C6" w:rsidRPr="007B43C4">
        <w:rPr>
          <w:rFonts w:asciiTheme="majorHAnsi" w:hAnsiTheme="majorHAnsi" w:cstheme="majorHAnsi"/>
          <w:color w:val="auto"/>
          <w:sz w:val="24"/>
          <w:szCs w:val="24"/>
          <w:lang w:eastAsia="sr-Latn-ME"/>
        </w:rPr>
        <w:t>r</w:t>
      </w:r>
      <w:r w:rsidR="00086D48" w:rsidRPr="007B43C4">
        <w:rPr>
          <w:rFonts w:asciiTheme="majorHAnsi" w:hAnsiTheme="majorHAnsi" w:cstheme="majorHAnsi"/>
          <w:color w:val="auto"/>
          <w:sz w:val="24"/>
          <w:szCs w:val="24"/>
          <w:lang w:eastAsia="sr-Latn-ME"/>
        </w:rPr>
        <w:t>onskog uprav</w:t>
      </w:r>
      <w:r w:rsidR="009A0B8E" w:rsidRPr="007B43C4">
        <w:rPr>
          <w:rFonts w:asciiTheme="majorHAnsi" w:hAnsiTheme="majorHAnsi" w:cstheme="majorHAnsi"/>
          <w:color w:val="auto"/>
          <w:sz w:val="24"/>
          <w:szCs w:val="24"/>
          <w:lang w:eastAsia="sr-Latn-ME"/>
        </w:rPr>
        <w:t>l</w:t>
      </w:r>
      <w:r w:rsidR="00086D48" w:rsidRPr="007B43C4">
        <w:rPr>
          <w:rFonts w:asciiTheme="majorHAnsi" w:hAnsiTheme="majorHAnsi" w:cstheme="majorHAnsi"/>
          <w:color w:val="auto"/>
          <w:sz w:val="24"/>
          <w:szCs w:val="24"/>
          <w:lang w:eastAsia="sr-Latn-ME"/>
        </w:rPr>
        <w:t>janj</w:t>
      </w:r>
      <w:r w:rsidR="009A0B8E" w:rsidRPr="007B43C4">
        <w:rPr>
          <w:rFonts w:asciiTheme="majorHAnsi" w:hAnsiTheme="majorHAnsi" w:cstheme="majorHAnsi"/>
          <w:color w:val="auto"/>
          <w:sz w:val="24"/>
          <w:szCs w:val="24"/>
          <w:lang w:eastAsia="sr-Latn-ME"/>
        </w:rPr>
        <w:t>a</w:t>
      </w:r>
      <w:r w:rsidR="00086D48" w:rsidRPr="007B43C4">
        <w:rPr>
          <w:rFonts w:asciiTheme="majorHAnsi" w:hAnsiTheme="majorHAnsi" w:cstheme="majorHAnsi"/>
          <w:color w:val="auto"/>
          <w:sz w:val="24"/>
          <w:szCs w:val="24"/>
          <w:lang w:eastAsia="sr-Latn-ME"/>
        </w:rPr>
        <w:t xml:space="preserve"> dokumentima </w:t>
      </w:r>
      <w:r w:rsidRPr="007B43C4">
        <w:rPr>
          <w:rFonts w:asciiTheme="majorHAnsi" w:hAnsiTheme="majorHAnsi" w:cstheme="majorHAnsi"/>
          <w:color w:val="auto"/>
          <w:sz w:val="24"/>
          <w:szCs w:val="24"/>
          <w:lang w:eastAsia="sr-Latn-ME"/>
        </w:rPr>
        <w:t xml:space="preserve">(eDMS) </w:t>
      </w:r>
      <w:r w:rsidR="00086D48" w:rsidRPr="007B43C4">
        <w:rPr>
          <w:rFonts w:asciiTheme="majorHAnsi" w:hAnsiTheme="majorHAnsi" w:cstheme="majorHAnsi"/>
          <w:color w:val="auto"/>
          <w:sz w:val="24"/>
          <w:szCs w:val="24"/>
          <w:lang w:eastAsia="sr-Latn-ME"/>
        </w:rPr>
        <w:t>shodno ko</w:t>
      </w:r>
      <w:r w:rsidR="009A0B8E" w:rsidRPr="007B43C4">
        <w:rPr>
          <w:rFonts w:asciiTheme="majorHAnsi" w:hAnsiTheme="majorHAnsi" w:cstheme="majorHAnsi"/>
          <w:color w:val="auto"/>
          <w:sz w:val="24"/>
          <w:szCs w:val="24"/>
          <w:lang w:eastAsia="sr-Latn-ME"/>
        </w:rPr>
        <w:t>r</w:t>
      </w:r>
      <w:r w:rsidR="00086D48" w:rsidRPr="007B43C4">
        <w:rPr>
          <w:rFonts w:asciiTheme="majorHAnsi" w:hAnsiTheme="majorHAnsi" w:cstheme="majorHAnsi"/>
          <w:color w:val="auto"/>
          <w:sz w:val="24"/>
          <w:szCs w:val="24"/>
          <w:lang w:eastAsia="sr-Latn-ME"/>
        </w:rPr>
        <w:t>i</w:t>
      </w:r>
      <w:r w:rsidR="009A0B8E" w:rsidRPr="007B43C4">
        <w:rPr>
          <w:rFonts w:asciiTheme="majorHAnsi" w:hAnsiTheme="majorHAnsi" w:cstheme="majorHAnsi"/>
          <w:color w:val="auto"/>
          <w:sz w:val="24"/>
          <w:szCs w:val="24"/>
          <w:lang w:eastAsia="sr-Latn-ME"/>
        </w:rPr>
        <w:t>s</w:t>
      </w:r>
      <w:r w:rsidR="00086D48" w:rsidRPr="007B43C4">
        <w:rPr>
          <w:rFonts w:asciiTheme="majorHAnsi" w:hAnsiTheme="majorHAnsi" w:cstheme="majorHAnsi"/>
          <w:color w:val="auto"/>
          <w:sz w:val="24"/>
          <w:szCs w:val="24"/>
          <w:lang w:eastAsia="sr-Latn-ME"/>
        </w:rPr>
        <w:t xml:space="preserve">ničkom </w:t>
      </w:r>
      <w:r w:rsidR="009A0B8E" w:rsidRPr="007B43C4">
        <w:rPr>
          <w:rFonts w:asciiTheme="majorHAnsi" w:hAnsiTheme="majorHAnsi" w:cstheme="majorHAnsi"/>
          <w:color w:val="auto"/>
          <w:sz w:val="24"/>
          <w:szCs w:val="24"/>
          <w:lang w:eastAsia="sr-Latn-ME"/>
        </w:rPr>
        <w:t>iskustvu</w:t>
      </w:r>
      <w:r w:rsidRPr="007B43C4">
        <w:rPr>
          <w:rFonts w:asciiTheme="majorHAnsi" w:hAnsiTheme="majorHAnsi" w:cstheme="majorHAnsi"/>
          <w:color w:val="auto"/>
          <w:sz w:val="24"/>
          <w:szCs w:val="24"/>
          <w:lang w:eastAsia="sr-Latn-ME"/>
        </w:rPr>
        <w:t xml:space="preserve"> i povezivanju </w:t>
      </w:r>
      <w:r w:rsidR="00086D48" w:rsidRPr="007B43C4">
        <w:rPr>
          <w:rFonts w:asciiTheme="majorHAnsi" w:hAnsiTheme="majorHAnsi" w:cstheme="majorHAnsi"/>
          <w:color w:val="auto"/>
          <w:sz w:val="24"/>
          <w:szCs w:val="24"/>
          <w:lang w:eastAsia="sr-Latn-ME"/>
        </w:rPr>
        <w:t>sistem</w:t>
      </w:r>
      <w:r w:rsidRPr="007B43C4">
        <w:rPr>
          <w:rFonts w:asciiTheme="majorHAnsi" w:hAnsiTheme="majorHAnsi" w:cstheme="majorHAnsi"/>
          <w:color w:val="auto"/>
          <w:sz w:val="24"/>
          <w:szCs w:val="24"/>
          <w:lang w:eastAsia="sr-Latn-ME"/>
        </w:rPr>
        <w:t>a</w:t>
      </w:r>
      <w:r w:rsidR="00086D48" w:rsidRPr="007B43C4">
        <w:rPr>
          <w:rFonts w:asciiTheme="majorHAnsi" w:hAnsiTheme="majorHAnsi" w:cstheme="majorHAnsi"/>
          <w:color w:val="auto"/>
          <w:sz w:val="24"/>
          <w:szCs w:val="24"/>
          <w:lang w:eastAsia="sr-Latn-ME"/>
        </w:rPr>
        <w:t xml:space="preserve"> Portala e-uprave sa eDMS si</w:t>
      </w:r>
      <w:r w:rsidR="009A0B8E" w:rsidRPr="007B43C4">
        <w:rPr>
          <w:rFonts w:asciiTheme="majorHAnsi" w:hAnsiTheme="majorHAnsi" w:cstheme="majorHAnsi"/>
          <w:color w:val="auto"/>
          <w:sz w:val="24"/>
          <w:szCs w:val="24"/>
          <w:lang w:eastAsia="sr-Latn-ME"/>
        </w:rPr>
        <w:t>s</w:t>
      </w:r>
      <w:r w:rsidR="00086D48" w:rsidRPr="007B43C4">
        <w:rPr>
          <w:rFonts w:asciiTheme="majorHAnsi" w:hAnsiTheme="majorHAnsi" w:cstheme="majorHAnsi"/>
          <w:color w:val="auto"/>
          <w:sz w:val="24"/>
          <w:szCs w:val="24"/>
          <w:lang w:eastAsia="sr-Latn-ME"/>
        </w:rPr>
        <w:t xml:space="preserve">temom </w:t>
      </w:r>
      <w:r w:rsidR="009A0B8E" w:rsidRPr="007B43C4">
        <w:rPr>
          <w:rFonts w:asciiTheme="majorHAnsi" w:hAnsiTheme="majorHAnsi" w:cstheme="majorHAnsi"/>
          <w:color w:val="auto"/>
          <w:sz w:val="24"/>
          <w:szCs w:val="24"/>
          <w:lang w:eastAsia="sr-Latn-ME"/>
        </w:rPr>
        <w:t xml:space="preserve">kako bi se </w:t>
      </w:r>
      <w:r w:rsidR="00086D48" w:rsidRPr="007B43C4">
        <w:rPr>
          <w:rFonts w:asciiTheme="majorHAnsi" w:hAnsiTheme="majorHAnsi" w:cstheme="majorHAnsi"/>
          <w:color w:val="auto"/>
          <w:sz w:val="24"/>
          <w:szCs w:val="24"/>
          <w:lang w:eastAsia="sr-Latn-ME"/>
        </w:rPr>
        <w:t>u potpunosti pratio tok elektronski podnijetih zahtjeva u okviru e-usluga</w:t>
      </w:r>
      <w:r w:rsidR="00183AB8" w:rsidRPr="007B43C4">
        <w:rPr>
          <w:rFonts w:asciiTheme="majorHAnsi" w:hAnsiTheme="majorHAnsi" w:cstheme="majorHAnsi"/>
          <w:color w:val="auto"/>
          <w:sz w:val="24"/>
          <w:szCs w:val="24"/>
          <w:lang w:eastAsia="sr-Latn-ME"/>
        </w:rPr>
        <w:t xml:space="preserve">; </w:t>
      </w:r>
      <w:r w:rsidRPr="007B43C4">
        <w:rPr>
          <w:rFonts w:asciiTheme="majorHAnsi" w:hAnsiTheme="majorHAnsi" w:cstheme="majorHAnsi"/>
          <w:color w:val="auto"/>
          <w:sz w:val="24"/>
          <w:szCs w:val="24"/>
          <w:lang w:eastAsia="en-US"/>
        </w:rPr>
        <w:t>uspostavljanje integracije izmedju elektronskih sjednica Vlade sa arhivom GSV odnosno kroz eDMS</w:t>
      </w:r>
      <w:r w:rsidR="00183AB8" w:rsidRPr="007B43C4">
        <w:rPr>
          <w:rFonts w:asciiTheme="majorHAnsi" w:hAnsiTheme="majorHAnsi" w:cstheme="majorHAnsi"/>
          <w:color w:val="auto"/>
          <w:sz w:val="24"/>
          <w:szCs w:val="24"/>
          <w:lang w:eastAsia="en-US"/>
        </w:rPr>
        <w:t>;</w:t>
      </w:r>
      <w:r w:rsidRPr="007B43C4">
        <w:rPr>
          <w:rFonts w:asciiTheme="majorHAnsi" w:hAnsiTheme="majorHAnsi" w:cstheme="majorHAnsi"/>
          <w:color w:val="auto"/>
          <w:sz w:val="24"/>
          <w:szCs w:val="24"/>
          <w:lang w:eastAsia="en-US"/>
        </w:rPr>
        <w:t xml:space="preserve"> </w:t>
      </w:r>
      <w:r w:rsidRPr="007B43C4">
        <w:rPr>
          <w:rFonts w:asciiTheme="majorHAnsi" w:eastAsia="Times New Roman" w:hAnsiTheme="majorHAnsi" w:cstheme="majorHAnsi"/>
          <w:color w:val="auto"/>
          <w:kern w:val="0"/>
          <w:sz w:val="24"/>
          <w:szCs w:val="24"/>
          <w:lang w:eastAsia="en-US"/>
        </w:rPr>
        <w:t>i</w:t>
      </w:r>
      <w:r w:rsidR="00086D48" w:rsidRPr="007B43C4">
        <w:rPr>
          <w:rFonts w:asciiTheme="majorHAnsi" w:eastAsia="Times New Roman" w:hAnsiTheme="majorHAnsi" w:cstheme="majorHAnsi"/>
          <w:color w:val="auto"/>
          <w:kern w:val="0"/>
          <w:sz w:val="24"/>
          <w:szCs w:val="24"/>
          <w:lang w:eastAsia="en-US"/>
        </w:rPr>
        <w:t>mplementacij</w:t>
      </w:r>
      <w:r w:rsidR="008D74C6" w:rsidRPr="007B43C4">
        <w:rPr>
          <w:rFonts w:asciiTheme="majorHAnsi" w:eastAsia="Times New Roman" w:hAnsiTheme="majorHAnsi" w:cstheme="majorHAnsi"/>
          <w:color w:val="auto"/>
          <w:kern w:val="0"/>
          <w:sz w:val="24"/>
          <w:szCs w:val="24"/>
          <w:lang w:eastAsia="en-US"/>
        </w:rPr>
        <w:t>u</w:t>
      </w:r>
      <w:r w:rsidR="00086D48" w:rsidRPr="007B43C4">
        <w:rPr>
          <w:rFonts w:asciiTheme="majorHAnsi" w:eastAsia="Times New Roman" w:hAnsiTheme="majorHAnsi" w:cstheme="majorHAnsi"/>
          <w:color w:val="auto"/>
          <w:kern w:val="0"/>
          <w:sz w:val="24"/>
          <w:szCs w:val="24"/>
          <w:lang w:eastAsia="en-US"/>
        </w:rPr>
        <w:t xml:space="preserve"> elektronskog upravljanj</w:t>
      </w:r>
      <w:r w:rsidR="009A0B8E" w:rsidRPr="007B43C4">
        <w:rPr>
          <w:rFonts w:asciiTheme="majorHAnsi" w:eastAsia="Times New Roman" w:hAnsiTheme="majorHAnsi" w:cstheme="majorHAnsi"/>
          <w:color w:val="auto"/>
          <w:kern w:val="0"/>
          <w:sz w:val="24"/>
          <w:szCs w:val="24"/>
          <w:lang w:eastAsia="en-US"/>
        </w:rPr>
        <w:t>a</w:t>
      </w:r>
      <w:r w:rsidR="00086D48" w:rsidRPr="007B43C4">
        <w:rPr>
          <w:rFonts w:asciiTheme="majorHAnsi" w:eastAsia="Times New Roman" w:hAnsiTheme="majorHAnsi" w:cstheme="majorHAnsi"/>
          <w:color w:val="auto"/>
          <w:kern w:val="0"/>
          <w:sz w:val="24"/>
          <w:szCs w:val="24"/>
          <w:lang w:eastAsia="en-US"/>
        </w:rPr>
        <w:t xml:space="preserve"> dokumetima u organima sa najvećom interakci</w:t>
      </w:r>
      <w:r w:rsidR="009A0B8E" w:rsidRPr="007B43C4">
        <w:rPr>
          <w:rFonts w:asciiTheme="majorHAnsi" w:eastAsia="Times New Roman" w:hAnsiTheme="majorHAnsi" w:cstheme="majorHAnsi"/>
          <w:color w:val="auto"/>
          <w:kern w:val="0"/>
          <w:sz w:val="24"/>
          <w:szCs w:val="24"/>
          <w:lang w:eastAsia="en-US"/>
        </w:rPr>
        <w:t>j</w:t>
      </w:r>
      <w:r w:rsidR="00086D48" w:rsidRPr="007B43C4">
        <w:rPr>
          <w:rFonts w:asciiTheme="majorHAnsi" w:eastAsia="Times New Roman" w:hAnsiTheme="majorHAnsi" w:cstheme="majorHAnsi"/>
          <w:color w:val="auto"/>
          <w:kern w:val="0"/>
          <w:sz w:val="24"/>
          <w:szCs w:val="24"/>
          <w:lang w:eastAsia="en-US"/>
        </w:rPr>
        <w:t>om sa građanima</w:t>
      </w:r>
      <w:r w:rsidRPr="007B43C4">
        <w:rPr>
          <w:rFonts w:asciiTheme="majorHAnsi" w:eastAsia="Times New Roman" w:hAnsiTheme="majorHAnsi" w:cstheme="majorHAnsi"/>
          <w:color w:val="auto"/>
          <w:kern w:val="0"/>
          <w:sz w:val="24"/>
          <w:szCs w:val="24"/>
          <w:lang w:eastAsia="en-US"/>
        </w:rPr>
        <w:t xml:space="preserve"> i </w:t>
      </w:r>
      <w:r w:rsidRPr="007B43C4">
        <w:rPr>
          <w:rFonts w:asciiTheme="majorHAnsi" w:hAnsiTheme="majorHAnsi" w:cstheme="majorHAnsi"/>
          <w:color w:val="auto"/>
          <w:sz w:val="24"/>
          <w:szCs w:val="24"/>
          <w:lang w:eastAsia="en-US"/>
        </w:rPr>
        <w:t>u</w:t>
      </w:r>
      <w:r w:rsidR="00086D48" w:rsidRPr="007B43C4">
        <w:rPr>
          <w:rFonts w:asciiTheme="majorHAnsi" w:hAnsiTheme="majorHAnsi" w:cstheme="majorHAnsi"/>
          <w:color w:val="auto"/>
          <w:sz w:val="24"/>
          <w:szCs w:val="24"/>
          <w:lang w:eastAsia="en-US"/>
        </w:rPr>
        <w:t>vod</w:t>
      </w:r>
      <w:r w:rsidR="00A81159" w:rsidRPr="007B43C4">
        <w:rPr>
          <w:rFonts w:asciiTheme="majorHAnsi" w:hAnsiTheme="majorHAnsi" w:cstheme="majorHAnsi"/>
          <w:color w:val="auto"/>
          <w:sz w:val="24"/>
          <w:szCs w:val="24"/>
          <w:lang w:eastAsia="en-US"/>
        </w:rPr>
        <w:t>je</w:t>
      </w:r>
      <w:r w:rsidR="00086D48" w:rsidRPr="007B43C4">
        <w:rPr>
          <w:rFonts w:asciiTheme="majorHAnsi" w:hAnsiTheme="majorHAnsi" w:cstheme="majorHAnsi"/>
          <w:color w:val="auto"/>
          <w:sz w:val="24"/>
          <w:szCs w:val="24"/>
          <w:lang w:eastAsia="en-US"/>
        </w:rPr>
        <w:t>nje elektronskog upr</w:t>
      </w:r>
      <w:r w:rsidR="008D74C6" w:rsidRPr="007B43C4">
        <w:rPr>
          <w:rFonts w:asciiTheme="majorHAnsi" w:hAnsiTheme="majorHAnsi" w:cstheme="majorHAnsi"/>
          <w:color w:val="auto"/>
          <w:sz w:val="24"/>
          <w:szCs w:val="24"/>
          <w:lang w:eastAsia="en-US"/>
        </w:rPr>
        <w:t>a</w:t>
      </w:r>
      <w:r w:rsidR="00086D48" w:rsidRPr="007B43C4">
        <w:rPr>
          <w:rFonts w:asciiTheme="majorHAnsi" w:hAnsiTheme="majorHAnsi" w:cstheme="majorHAnsi"/>
          <w:color w:val="auto"/>
          <w:sz w:val="24"/>
          <w:szCs w:val="24"/>
          <w:lang w:eastAsia="en-US"/>
        </w:rPr>
        <w:t xml:space="preserve">vljanja u pilot JLS koje nemaju </w:t>
      </w:r>
      <w:r w:rsidR="008D74C6" w:rsidRPr="007B43C4">
        <w:rPr>
          <w:rFonts w:asciiTheme="majorHAnsi" w:hAnsiTheme="majorHAnsi" w:cstheme="majorHAnsi"/>
          <w:color w:val="auto"/>
          <w:sz w:val="24"/>
          <w:szCs w:val="24"/>
          <w:lang w:eastAsia="en-US"/>
        </w:rPr>
        <w:t>nijedan</w:t>
      </w:r>
      <w:r w:rsidR="00086D48" w:rsidRPr="007B43C4">
        <w:rPr>
          <w:rFonts w:asciiTheme="majorHAnsi" w:hAnsiTheme="majorHAnsi" w:cstheme="majorHAnsi"/>
          <w:color w:val="auto"/>
          <w:sz w:val="24"/>
          <w:szCs w:val="24"/>
          <w:lang w:eastAsia="en-US"/>
        </w:rPr>
        <w:t xml:space="preserve"> oblik elektronskog </w:t>
      </w:r>
      <w:r w:rsidR="008D74C6" w:rsidRPr="007B43C4">
        <w:rPr>
          <w:rFonts w:asciiTheme="majorHAnsi" w:hAnsiTheme="majorHAnsi" w:cstheme="majorHAnsi"/>
          <w:color w:val="auto"/>
          <w:sz w:val="24"/>
          <w:szCs w:val="24"/>
          <w:lang w:eastAsia="en-US"/>
        </w:rPr>
        <w:t>upravljanja dokumentima</w:t>
      </w:r>
      <w:r w:rsidR="00086D48" w:rsidRPr="007B43C4">
        <w:rPr>
          <w:rFonts w:asciiTheme="majorHAnsi" w:hAnsiTheme="majorHAnsi" w:cstheme="majorHAnsi"/>
          <w:color w:val="auto"/>
          <w:sz w:val="24"/>
          <w:szCs w:val="24"/>
          <w:lang w:eastAsia="en-US"/>
        </w:rPr>
        <w:t xml:space="preserve">. </w:t>
      </w:r>
    </w:p>
    <w:p w:rsidR="009926EB" w:rsidRPr="007B43C4" w:rsidRDefault="009926EB" w:rsidP="007B43C4">
      <w:pPr>
        <w:spacing w:before="60" w:after="60" w:line="240" w:lineRule="auto"/>
        <w:ind w:right="-475"/>
        <w:jc w:val="both"/>
        <w:rPr>
          <w:rFonts w:asciiTheme="majorHAnsi" w:eastAsia="Calibri" w:hAnsiTheme="majorHAnsi" w:cstheme="majorHAnsi"/>
          <w:color w:val="auto"/>
          <w:kern w:val="0"/>
          <w:sz w:val="24"/>
          <w:szCs w:val="24"/>
          <w:lang w:eastAsia="en-US"/>
        </w:rPr>
      </w:pPr>
      <w:r w:rsidRPr="007B43C4">
        <w:rPr>
          <w:rFonts w:asciiTheme="majorHAnsi" w:hAnsiTheme="majorHAnsi" w:cstheme="majorHAnsi"/>
          <w:color w:val="auto"/>
          <w:sz w:val="24"/>
          <w:szCs w:val="24"/>
        </w:rPr>
        <w:t>Indikatori kojima će se pratiti ostvarivanje ovog cilja su:</w:t>
      </w:r>
    </w:p>
    <w:tbl>
      <w:tblPr>
        <w:tblStyle w:val="TableGrid"/>
        <w:tblW w:w="524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09"/>
        <w:gridCol w:w="1518"/>
        <w:gridCol w:w="2030"/>
        <w:gridCol w:w="1759"/>
        <w:gridCol w:w="2379"/>
      </w:tblGrid>
      <w:tr w:rsidR="00AC188A" w:rsidRPr="007B43C4" w:rsidTr="001C4E7A">
        <w:tc>
          <w:tcPr>
            <w:tcW w:w="1116" w:type="pct"/>
            <w:shd w:val="clear" w:color="auto" w:fill="DFE4E5" w:themeFill="accent5" w:themeFillTint="33"/>
          </w:tcPr>
          <w:p w:rsidR="00FE5C83" w:rsidRPr="00B44628" w:rsidRDefault="00FE5C83" w:rsidP="00CD75BD">
            <w:pPr>
              <w:spacing w:before="120" w:after="120"/>
              <w:rPr>
                <w:rFonts w:asciiTheme="majorHAnsi" w:hAnsiTheme="majorHAnsi" w:cstheme="majorHAnsi"/>
                <w:b/>
                <w:color w:val="3A4B5B" w:themeColor="accent1" w:themeShade="80"/>
              </w:rPr>
            </w:pPr>
            <w:r w:rsidRPr="00B44628">
              <w:rPr>
                <w:rFonts w:asciiTheme="majorHAnsi" w:hAnsiTheme="majorHAnsi" w:cstheme="majorHAnsi"/>
                <w:b/>
                <w:color w:val="3A4B5B" w:themeColor="accent1" w:themeShade="80"/>
              </w:rPr>
              <w:t>OPERATIVNI CILJ 1.2</w:t>
            </w:r>
            <w:r w:rsidR="00156E08" w:rsidRPr="00B44628">
              <w:rPr>
                <w:rFonts w:asciiTheme="majorHAnsi" w:hAnsiTheme="majorHAnsi" w:cstheme="majorHAnsi"/>
                <w:b/>
                <w:color w:val="3A4B5B" w:themeColor="accent1" w:themeShade="80"/>
              </w:rPr>
              <w:t>.</w:t>
            </w:r>
          </w:p>
        </w:tc>
        <w:tc>
          <w:tcPr>
            <w:tcW w:w="3884" w:type="pct"/>
            <w:gridSpan w:val="4"/>
            <w:shd w:val="clear" w:color="auto" w:fill="DFE4E5" w:themeFill="accent5" w:themeFillTint="33"/>
          </w:tcPr>
          <w:p w:rsidR="00FE5C83" w:rsidRPr="00B44628" w:rsidRDefault="00FE5C83" w:rsidP="00CD75BD">
            <w:pPr>
              <w:spacing w:before="120" w:after="120"/>
              <w:rPr>
                <w:rFonts w:asciiTheme="majorHAnsi" w:hAnsiTheme="majorHAnsi" w:cstheme="majorHAnsi"/>
                <w:b/>
                <w:color w:val="3A4B5B" w:themeColor="accent1" w:themeShade="80"/>
              </w:rPr>
            </w:pPr>
            <w:r w:rsidRPr="00B44628">
              <w:rPr>
                <w:rFonts w:asciiTheme="majorHAnsi" w:hAnsiTheme="majorHAnsi" w:cstheme="majorHAnsi"/>
                <w:b/>
                <w:color w:val="3A4B5B" w:themeColor="accent1" w:themeShade="80"/>
              </w:rPr>
              <w:t>Administracija bez papira</w:t>
            </w:r>
          </w:p>
        </w:tc>
      </w:tr>
      <w:tr w:rsidR="00AC188A" w:rsidRPr="007B43C4" w:rsidTr="007E14C5">
        <w:tc>
          <w:tcPr>
            <w:tcW w:w="1883" w:type="pct"/>
            <w:gridSpan w:val="2"/>
            <w:shd w:val="clear" w:color="auto" w:fill="DAF6F2"/>
            <w:vAlign w:val="center"/>
          </w:tcPr>
          <w:p w:rsidR="00FE5C83" w:rsidRPr="002206F7" w:rsidRDefault="00FE5C83" w:rsidP="00CD75BD">
            <w:pPr>
              <w:spacing w:after="40"/>
              <w:jc w:val="center"/>
              <w:rPr>
                <w:rFonts w:asciiTheme="majorHAnsi" w:hAnsiTheme="majorHAnsi" w:cstheme="majorHAnsi"/>
                <w:b/>
                <w:color w:val="3A4B5B" w:themeColor="accent1" w:themeShade="80"/>
                <w:sz w:val="18"/>
                <w:szCs w:val="18"/>
              </w:rPr>
            </w:pPr>
            <w:r w:rsidRPr="002206F7">
              <w:rPr>
                <w:rFonts w:asciiTheme="majorHAnsi" w:hAnsiTheme="majorHAnsi" w:cstheme="majorHAnsi"/>
                <w:b/>
                <w:color w:val="3A4B5B" w:themeColor="accent1" w:themeShade="80"/>
                <w:sz w:val="18"/>
                <w:szCs w:val="18"/>
              </w:rPr>
              <w:t>Indikator</w:t>
            </w:r>
          </w:p>
        </w:tc>
        <w:tc>
          <w:tcPr>
            <w:tcW w:w="1026" w:type="pct"/>
            <w:shd w:val="clear" w:color="auto" w:fill="DAF6F2"/>
            <w:vAlign w:val="center"/>
          </w:tcPr>
          <w:p w:rsidR="00FE5C83" w:rsidRPr="002206F7" w:rsidRDefault="00FE5C83" w:rsidP="00CD75BD">
            <w:pPr>
              <w:spacing w:after="40"/>
              <w:jc w:val="center"/>
              <w:rPr>
                <w:rFonts w:asciiTheme="majorHAnsi" w:hAnsiTheme="majorHAnsi" w:cstheme="majorHAnsi"/>
                <w:b/>
                <w:color w:val="3A4B5B" w:themeColor="accent1" w:themeShade="80"/>
                <w:sz w:val="18"/>
                <w:szCs w:val="18"/>
              </w:rPr>
            </w:pPr>
            <w:r w:rsidRPr="002206F7">
              <w:rPr>
                <w:rFonts w:asciiTheme="majorHAnsi" w:hAnsiTheme="majorHAnsi" w:cstheme="majorHAnsi"/>
                <w:b/>
                <w:color w:val="3A4B5B" w:themeColor="accent1" w:themeShade="80"/>
                <w:sz w:val="18"/>
                <w:szCs w:val="18"/>
              </w:rPr>
              <w:t>Početna vrijednost</w:t>
            </w:r>
          </w:p>
        </w:tc>
        <w:tc>
          <w:tcPr>
            <w:tcW w:w="889" w:type="pct"/>
            <w:shd w:val="clear" w:color="auto" w:fill="DAF6F2"/>
            <w:vAlign w:val="center"/>
          </w:tcPr>
          <w:p w:rsidR="00FE5C83" w:rsidRPr="002206F7" w:rsidRDefault="00FE5C83" w:rsidP="00CD75BD">
            <w:pPr>
              <w:spacing w:after="40"/>
              <w:jc w:val="center"/>
              <w:rPr>
                <w:rFonts w:asciiTheme="majorHAnsi" w:hAnsiTheme="majorHAnsi" w:cstheme="majorHAnsi"/>
                <w:b/>
                <w:color w:val="3A4B5B" w:themeColor="accent1" w:themeShade="80"/>
                <w:sz w:val="18"/>
                <w:szCs w:val="18"/>
              </w:rPr>
            </w:pPr>
            <w:r w:rsidRPr="002206F7">
              <w:rPr>
                <w:rFonts w:asciiTheme="majorHAnsi" w:hAnsiTheme="majorHAnsi" w:cstheme="majorHAnsi"/>
                <w:b/>
                <w:color w:val="3A4B5B" w:themeColor="accent1" w:themeShade="80"/>
                <w:sz w:val="18"/>
                <w:szCs w:val="18"/>
              </w:rPr>
              <w:t>Ciljana vrijednost do 2024.</w:t>
            </w:r>
          </w:p>
        </w:tc>
        <w:tc>
          <w:tcPr>
            <w:tcW w:w="1202" w:type="pct"/>
            <w:shd w:val="clear" w:color="auto" w:fill="DAF6F2"/>
            <w:vAlign w:val="center"/>
          </w:tcPr>
          <w:p w:rsidR="00FE5C83" w:rsidRPr="002206F7" w:rsidRDefault="00FE5C83" w:rsidP="00CD75BD">
            <w:pPr>
              <w:spacing w:after="40"/>
              <w:jc w:val="center"/>
              <w:rPr>
                <w:rFonts w:asciiTheme="majorHAnsi" w:hAnsiTheme="majorHAnsi" w:cstheme="majorHAnsi"/>
                <w:b/>
                <w:color w:val="3A4B5B" w:themeColor="accent1" w:themeShade="80"/>
                <w:sz w:val="18"/>
                <w:szCs w:val="18"/>
              </w:rPr>
            </w:pPr>
            <w:r w:rsidRPr="002206F7">
              <w:rPr>
                <w:rFonts w:asciiTheme="majorHAnsi" w:hAnsiTheme="majorHAnsi" w:cstheme="majorHAnsi"/>
                <w:b/>
                <w:color w:val="3A4B5B" w:themeColor="accent1" w:themeShade="80"/>
                <w:sz w:val="18"/>
                <w:szCs w:val="18"/>
              </w:rPr>
              <w:t>Ciljana vrijednost u 2026.</w:t>
            </w:r>
          </w:p>
        </w:tc>
      </w:tr>
      <w:tr w:rsidR="00F45BE1" w:rsidRPr="007B43C4" w:rsidTr="001C4E7A">
        <w:tc>
          <w:tcPr>
            <w:tcW w:w="1883" w:type="pct"/>
            <w:gridSpan w:val="2"/>
            <w:shd w:val="clear" w:color="auto" w:fill="FFFFFF" w:themeFill="background1"/>
          </w:tcPr>
          <w:p w:rsidR="00F45BE1" w:rsidRPr="00F45BE1" w:rsidRDefault="00F45BE1" w:rsidP="00F45BE1">
            <w:pPr>
              <w:spacing w:after="40"/>
              <w:jc w:val="both"/>
              <w:rPr>
                <w:rFonts w:asciiTheme="majorHAnsi" w:hAnsiTheme="majorHAnsi" w:cstheme="majorHAnsi"/>
                <w:color w:val="auto"/>
                <w:sz w:val="18"/>
                <w:szCs w:val="18"/>
              </w:rPr>
            </w:pPr>
            <w:r w:rsidRPr="00F45BE1">
              <w:rPr>
                <w:rFonts w:asciiTheme="majorHAnsi" w:hAnsiTheme="majorHAnsi" w:cstheme="majorHAnsi"/>
                <w:color w:val="auto"/>
                <w:sz w:val="18"/>
                <w:szCs w:val="18"/>
              </w:rPr>
              <w:t>% organa u javnoj upravi u kojima je uspostavljen elektronski sistem upravljanja dokumenata</w:t>
            </w:r>
          </w:p>
        </w:tc>
        <w:tc>
          <w:tcPr>
            <w:tcW w:w="1026" w:type="pct"/>
            <w:shd w:val="clear" w:color="auto" w:fill="FFFFFF" w:themeFill="background1"/>
          </w:tcPr>
          <w:p w:rsidR="00F45BE1" w:rsidRPr="00F45BE1" w:rsidRDefault="00F45BE1" w:rsidP="00F45BE1">
            <w:pPr>
              <w:spacing w:after="40"/>
              <w:ind w:right="144"/>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38% (2020)</w:t>
            </w:r>
          </w:p>
          <w:p w:rsidR="00F45BE1" w:rsidRPr="00F45BE1" w:rsidRDefault="00F45BE1" w:rsidP="00F45BE1">
            <w:pPr>
              <w:spacing w:after="40"/>
              <w:jc w:val="center"/>
              <w:rPr>
                <w:rFonts w:asciiTheme="majorHAnsi" w:hAnsiTheme="majorHAnsi" w:cstheme="majorHAnsi"/>
                <w:color w:val="auto"/>
                <w:sz w:val="18"/>
                <w:szCs w:val="18"/>
              </w:rPr>
            </w:pPr>
          </w:p>
        </w:tc>
        <w:tc>
          <w:tcPr>
            <w:tcW w:w="889" w:type="pct"/>
            <w:shd w:val="clear" w:color="auto" w:fill="FFFFFF" w:themeFill="background1"/>
          </w:tcPr>
          <w:p w:rsidR="00F45BE1" w:rsidRPr="00F45BE1" w:rsidRDefault="00F45BE1" w:rsidP="00F45BE1">
            <w:pPr>
              <w:spacing w:after="40"/>
              <w:ind w:right="144"/>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50%</w:t>
            </w:r>
          </w:p>
          <w:p w:rsidR="00F45BE1" w:rsidRPr="00F45BE1" w:rsidRDefault="00F45BE1" w:rsidP="00F45BE1">
            <w:pPr>
              <w:spacing w:after="40"/>
              <w:jc w:val="center"/>
              <w:rPr>
                <w:rFonts w:asciiTheme="majorHAnsi" w:hAnsiTheme="majorHAnsi" w:cstheme="majorHAnsi"/>
                <w:color w:val="auto"/>
                <w:sz w:val="18"/>
                <w:szCs w:val="18"/>
              </w:rPr>
            </w:pPr>
          </w:p>
        </w:tc>
        <w:tc>
          <w:tcPr>
            <w:tcW w:w="1202" w:type="pct"/>
            <w:shd w:val="clear" w:color="auto" w:fill="FFFFFF" w:themeFill="background1"/>
          </w:tcPr>
          <w:p w:rsidR="00F45BE1" w:rsidRPr="00F45BE1" w:rsidRDefault="00F45BE1" w:rsidP="00F45BE1">
            <w:pPr>
              <w:spacing w:after="40"/>
              <w:jc w:val="both"/>
              <w:rPr>
                <w:rFonts w:asciiTheme="majorHAnsi" w:hAnsiTheme="majorHAnsi" w:cstheme="majorHAnsi"/>
                <w:color w:val="auto"/>
                <w:sz w:val="18"/>
                <w:szCs w:val="18"/>
              </w:rPr>
            </w:pPr>
            <w:r w:rsidRPr="00F45BE1">
              <w:rPr>
                <w:rFonts w:asciiTheme="majorHAnsi" w:hAnsiTheme="majorHAnsi" w:cstheme="majorHAnsi"/>
                <w:color w:val="auto"/>
                <w:sz w:val="18"/>
                <w:szCs w:val="18"/>
              </w:rPr>
              <w:t>% organa u javnoj upravi u kojima je uspostavljen elektronski sistem upravljanja dokumenata</w:t>
            </w:r>
          </w:p>
        </w:tc>
      </w:tr>
      <w:tr w:rsidR="00F45BE1" w:rsidRPr="007B43C4" w:rsidTr="001C4E7A">
        <w:tc>
          <w:tcPr>
            <w:tcW w:w="1883" w:type="pct"/>
            <w:gridSpan w:val="2"/>
            <w:shd w:val="clear" w:color="auto" w:fill="FFFFFF" w:themeFill="background1"/>
          </w:tcPr>
          <w:p w:rsidR="00F45BE1" w:rsidRPr="00F45BE1" w:rsidRDefault="00F45BE1" w:rsidP="000078E3">
            <w:pPr>
              <w:spacing w:after="40"/>
              <w:jc w:val="both"/>
              <w:rPr>
                <w:rFonts w:asciiTheme="majorHAnsi" w:hAnsiTheme="majorHAnsi" w:cstheme="majorHAnsi"/>
                <w:color w:val="auto"/>
                <w:sz w:val="18"/>
                <w:szCs w:val="18"/>
              </w:rPr>
            </w:pPr>
            <w:r w:rsidRPr="00F45BE1">
              <w:rPr>
                <w:rFonts w:asciiTheme="majorHAnsi" w:hAnsiTheme="majorHAnsi" w:cstheme="majorHAnsi"/>
                <w:color w:val="auto"/>
                <w:sz w:val="18"/>
                <w:szCs w:val="18"/>
              </w:rPr>
              <w:t>% organa u javnoj upravi</w:t>
            </w:r>
            <w:r w:rsidR="000078E3">
              <w:rPr>
                <w:rStyle w:val="FootnoteReference"/>
                <w:rFonts w:asciiTheme="majorHAnsi" w:hAnsiTheme="majorHAnsi" w:cstheme="majorHAnsi"/>
                <w:color w:val="auto"/>
                <w:sz w:val="18"/>
                <w:szCs w:val="18"/>
              </w:rPr>
              <w:footnoteReference w:id="40"/>
            </w:r>
            <w:r w:rsidRPr="00F45BE1">
              <w:rPr>
                <w:rFonts w:asciiTheme="majorHAnsi" w:hAnsiTheme="majorHAnsi" w:cstheme="majorHAnsi"/>
                <w:color w:val="auto"/>
                <w:sz w:val="18"/>
                <w:szCs w:val="18"/>
              </w:rPr>
              <w:t xml:space="preserve"> koji u potpunosti elektronski razmijenjuju (eksterno) dokumenta kroz eDMS</w:t>
            </w:r>
          </w:p>
        </w:tc>
        <w:tc>
          <w:tcPr>
            <w:tcW w:w="1026" w:type="pct"/>
            <w:shd w:val="clear" w:color="auto" w:fill="FFFFFF" w:themeFill="background1"/>
          </w:tcPr>
          <w:p w:rsidR="00F45BE1" w:rsidRPr="00F45BE1" w:rsidRDefault="00F45BE1" w:rsidP="00F45BE1">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0</w:t>
            </w:r>
          </w:p>
        </w:tc>
        <w:tc>
          <w:tcPr>
            <w:tcW w:w="889" w:type="pct"/>
            <w:shd w:val="clear" w:color="auto" w:fill="FFFFFF" w:themeFill="background1"/>
          </w:tcPr>
          <w:p w:rsidR="00F45BE1" w:rsidRPr="00F45BE1" w:rsidRDefault="00F45BE1" w:rsidP="00F45BE1">
            <w:pPr>
              <w:spacing w:after="40"/>
              <w:jc w:val="center"/>
              <w:rPr>
                <w:rFonts w:asciiTheme="majorHAnsi" w:hAnsiTheme="majorHAnsi" w:cstheme="majorHAnsi"/>
                <w:color w:val="auto"/>
                <w:sz w:val="18"/>
                <w:szCs w:val="18"/>
              </w:rPr>
            </w:pPr>
            <w:r w:rsidRPr="00F45BE1">
              <w:rPr>
                <w:rFonts w:asciiTheme="majorHAnsi" w:hAnsiTheme="majorHAnsi" w:cstheme="majorHAnsi"/>
                <w:color w:val="auto"/>
                <w:sz w:val="18"/>
                <w:szCs w:val="18"/>
              </w:rPr>
              <w:t>20%</w:t>
            </w:r>
          </w:p>
        </w:tc>
        <w:tc>
          <w:tcPr>
            <w:tcW w:w="1202" w:type="pct"/>
            <w:shd w:val="clear" w:color="auto" w:fill="FFFFFF" w:themeFill="background1"/>
          </w:tcPr>
          <w:p w:rsidR="00F45BE1" w:rsidRPr="00F45BE1" w:rsidRDefault="00F45BE1" w:rsidP="000078E3">
            <w:pPr>
              <w:spacing w:after="40"/>
              <w:jc w:val="both"/>
              <w:rPr>
                <w:rFonts w:asciiTheme="majorHAnsi" w:hAnsiTheme="majorHAnsi" w:cstheme="majorHAnsi"/>
                <w:color w:val="auto"/>
                <w:sz w:val="18"/>
                <w:szCs w:val="18"/>
              </w:rPr>
            </w:pPr>
            <w:r w:rsidRPr="00F45BE1">
              <w:rPr>
                <w:rFonts w:asciiTheme="majorHAnsi" w:hAnsiTheme="majorHAnsi" w:cstheme="majorHAnsi"/>
                <w:color w:val="auto"/>
                <w:sz w:val="18"/>
                <w:szCs w:val="18"/>
              </w:rPr>
              <w:t>% organa u javnoj upravi</w:t>
            </w:r>
            <w:r w:rsidR="000078E3">
              <w:rPr>
                <w:rStyle w:val="FootnoteReference"/>
                <w:rFonts w:asciiTheme="majorHAnsi" w:hAnsiTheme="majorHAnsi" w:cstheme="majorHAnsi"/>
                <w:color w:val="auto"/>
                <w:sz w:val="18"/>
                <w:szCs w:val="18"/>
              </w:rPr>
              <w:footnoteReference w:id="41"/>
            </w:r>
            <w:r w:rsidRPr="00F45BE1">
              <w:rPr>
                <w:rFonts w:asciiTheme="majorHAnsi" w:hAnsiTheme="majorHAnsi" w:cstheme="majorHAnsi"/>
                <w:color w:val="auto"/>
                <w:sz w:val="18"/>
                <w:szCs w:val="18"/>
              </w:rPr>
              <w:t>koji u potpunosti elektronski razmijenjuju (eksterno) dokumenta kroz eDMS</w:t>
            </w:r>
          </w:p>
        </w:tc>
      </w:tr>
    </w:tbl>
    <w:p w:rsidR="009926EB" w:rsidRPr="007B43C4" w:rsidRDefault="009926EB" w:rsidP="007E14C5">
      <w:pPr>
        <w:spacing w:before="0" w:after="120" w:line="240" w:lineRule="auto"/>
        <w:ind w:right="-471"/>
        <w:jc w:val="both"/>
        <w:rPr>
          <w:rFonts w:asciiTheme="majorHAnsi" w:hAnsiTheme="majorHAnsi" w:cstheme="majorHAnsi"/>
          <w:color w:val="auto"/>
          <w:sz w:val="24"/>
          <w:szCs w:val="24"/>
          <w:lang w:eastAsia="en-US"/>
        </w:rPr>
      </w:pPr>
    </w:p>
    <w:p w:rsidR="00DC7EB1" w:rsidRPr="007B43C4" w:rsidRDefault="00DC7EB1" w:rsidP="007B43C4">
      <w:pPr>
        <w:pStyle w:val="Heading4"/>
        <w:spacing w:before="60" w:after="60" w:line="240" w:lineRule="auto"/>
        <w:ind w:right="-446"/>
        <w:jc w:val="both"/>
        <w:rPr>
          <w:rFonts w:eastAsia="Times New Roman" w:cstheme="majorHAnsi"/>
          <w:color w:val="auto"/>
          <w:kern w:val="0"/>
          <w:sz w:val="24"/>
          <w:szCs w:val="24"/>
          <w:lang w:eastAsia="en-US"/>
        </w:rPr>
      </w:pPr>
      <w:r w:rsidRPr="007B43C4">
        <w:rPr>
          <w:rFonts w:eastAsia="Calibri" w:cstheme="majorHAnsi"/>
          <w:i w:val="0"/>
          <w:color w:val="auto"/>
          <w:kern w:val="0"/>
          <w:sz w:val="24"/>
          <w:szCs w:val="24"/>
        </w:rPr>
        <w:t xml:space="preserve">OPERATIVNI CILJ 1.3. </w:t>
      </w:r>
      <w:r w:rsidR="009F71AC" w:rsidRPr="007B43C4">
        <w:rPr>
          <w:rFonts w:eastAsia="Times New Roman" w:cstheme="majorHAnsi"/>
          <w:color w:val="auto"/>
          <w:kern w:val="0"/>
          <w:sz w:val="24"/>
          <w:szCs w:val="24"/>
          <w:lang w:eastAsia="en-US"/>
        </w:rPr>
        <w:t xml:space="preserve">Jačanje funkcionalnih i finansijski nezavisnih opština u cilju obezbijeđivanja ravnomjernijeg razvoja svih </w:t>
      </w:r>
      <w:r w:rsidR="00D03918" w:rsidRPr="007B43C4">
        <w:rPr>
          <w:rFonts w:eastAsia="Times New Roman" w:cstheme="majorHAnsi"/>
          <w:color w:val="auto"/>
          <w:kern w:val="0"/>
          <w:sz w:val="24"/>
          <w:szCs w:val="24"/>
          <w:lang w:eastAsia="en-US"/>
        </w:rPr>
        <w:t>JLS</w:t>
      </w:r>
    </w:p>
    <w:p w:rsidR="008C5E4F" w:rsidRPr="007B43C4" w:rsidRDefault="00DC7EB1" w:rsidP="007B43C4">
      <w:pPr>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Times New Roman" w:hAnsiTheme="majorHAnsi" w:cstheme="majorHAnsi"/>
          <w:color w:val="auto"/>
          <w:kern w:val="0"/>
          <w:sz w:val="24"/>
          <w:szCs w:val="24"/>
          <w:lang w:eastAsia="sr-Latn-ME"/>
        </w:rPr>
        <w:t xml:space="preserve">Na osnovu analiza koje su pripremljene u prethodnom periodu i nalaza koji su sadržani u njima treba nastaviti rad na uspostavljanju funkcionalnih i finansijski održivih opština u Crnoj Gori. Sa ciljem boljeg funkcionisanja JLS kao i njihove nezavisnosti, potrebno je na sveobuhvatan način analizirati postojeći sistem i predložiti dalje unapređenje nezavisnosti rada JSL odnosno </w:t>
      </w:r>
      <w:r w:rsidR="007F140E" w:rsidRPr="007B43C4">
        <w:rPr>
          <w:rFonts w:asciiTheme="majorHAnsi" w:eastAsia="Times New Roman" w:hAnsiTheme="majorHAnsi" w:cstheme="majorHAnsi"/>
          <w:color w:val="auto"/>
          <w:kern w:val="0"/>
          <w:sz w:val="24"/>
          <w:szCs w:val="24"/>
          <w:lang w:eastAsia="sr-Latn-ME"/>
        </w:rPr>
        <w:t xml:space="preserve">dobiti podatke </w:t>
      </w:r>
      <w:r w:rsidRPr="007B43C4">
        <w:rPr>
          <w:rFonts w:asciiTheme="majorHAnsi" w:eastAsia="Times New Roman" w:hAnsiTheme="majorHAnsi" w:cstheme="majorHAnsi"/>
          <w:color w:val="auto"/>
          <w:kern w:val="0"/>
          <w:sz w:val="24"/>
          <w:szCs w:val="24"/>
          <w:lang w:eastAsia="sr-Latn-ME"/>
        </w:rPr>
        <w:t>da li postavljeni sistem funkcionisanja JLS odgovara potrebama građana</w:t>
      </w:r>
      <w:r w:rsidR="005271A4" w:rsidRPr="007B43C4">
        <w:rPr>
          <w:rFonts w:asciiTheme="majorHAnsi" w:eastAsia="Calibri" w:hAnsiTheme="majorHAnsi" w:cstheme="majorHAnsi"/>
          <w:color w:val="auto"/>
          <w:kern w:val="0"/>
          <w:sz w:val="24"/>
          <w:szCs w:val="24"/>
          <w:lang w:eastAsia="en-US"/>
        </w:rPr>
        <w:t xml:space="preserve">. </w:t>
      </w:r>
    </w:p>
    <w:p w:rsidR="00DC7EB1" w:rsidRPr="007B43C4" w:rsidRDefault="005271A4" w:rsidP="007B43C4">
      <w:pPr>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i/>
          <w:color w:val="auto"/>
          <w:kern w:val="0"/>
          <w:sz w:val="24"/>
          <w:szCs w:val="24"/>
          <w:lang w:eastAsia="en-US"/>
        </w:rPr>
        <w:t xml:space="preserve">Ovim strateškim dokumentom je </w:t>
      </w:r>
      <w:r w:rsidR="008C5E4F" w:rsidRPr="007B43C4">
        <w:rPr>
          <w:rFonts w:asciiTheme="majorHAnsi" w:eastAsia="Calibri" w:hAnsiTheme="majorHAnsi" w:cstheme="majorHAnsi"/>
          <w:i/>
          <w:color w:val="auto"/>
          <w:kern w:val="0"/>
          <w:sz w:val="24"/>
          <w:szCs w:val="24"/>
          <w:lang w:eastAsia="en-US"/>
        </w:rPr>
        <w:t>napravljen drugačiji pristup i a</w:t>
      </w:r>
      <w:r w:rsidR="00DC7EB1" w:rsidRPr="007B43C4">
        <w:rPr>
          <w:rFonts w:asciiTheme="majorHAnsi" w:eastAsia="Calibri" w:hAnsiTheme="majorHAnsi" w:cstheme="majorHAnsi"/>
          <w:i/>
          <w:color w:val="auto"/>
          <w:kern w:val="0"/>
          <w:sz w:val="24"/>
          <w:szCs w:val="24"/>
          <w:lang w:eastAsia="en-US"/>
        </w:rPr>
        <w:t>ktivnosti</w:t>
      </w:r>
      <w:r w:rsidRPr="007B43C4">
        <w:rPr>
          <w:rFonts w:asciiTheme="majorHAnsi" w:eastAsia="Calibri" w:hAnsiTheme="majorHAnsi" w:cstheme="majorHAnsi"/>
          <w:i/>
          <w:color w:val="auto"/>
          <w:kern w:val="0"/>
          <w:sz w:val="24"/>
          <w:szCs w:val="24"/>
          <w:lang w:eastAsia="en-US"/>
        </w:rPr>
        <w:t xml:space="preserve"> koje</w:t>
      </w:r>
      <w:r w:rsidR="008C5E4F" w:rsidRPr="007B43C4">
        <w:rPr>
          <w:rFonts w:asciiTheme="majorHAnsi" w:eastAsia="Calibri" w:hAnsiTheme="majorHAnsi" w:cstheme="majorHAnsi"/>
          <w:i/>
          <w:color w:val="auto"/>
          <w:kern w:val="0"/>
          <w:sz w:val="24"/>
          <w:szCs w:val="24"/>
          <w:lang w:eastAsia="en-US"/>
        </w:rPr>
        <w:t xml:space="preserve"> su planirane</w:t>
      </w:r>
      <w:r w:rsidR="00DC7EB1" w:rsidRPr="007B43C4">
        <w:rPr>
          <w:rFonts w:asciiTheme="majorHAnsi" w:eastAsia="Calibri" w:hAnsiTheme="majorHAnsi" w:cstheme="majorHAnsi"/>
          <w:i/>
          <w:color w:val="auto"/>
          <w:kern w:val="0"/>
          <w:sz w:val="24"/>
          <w:szCs w:val="24"/>
          <w:lang w:eastAsia="en-US"/>
        </w:rPr>
        <w:t xml:space="preserve"> </w:t>
      </w:r>
      <w:r w:rsidR="008C5E4F" w:rsidRPr="007B43C4">
        <w:rPr>
          <w:rFonts w:asciiTheme="majorHAnsi" w:eastAsia="Calibri" w:hAnsiTheme="majorHAnsi" w:cstheme="majorHAnsi"/>
          <w:i/>
          <w:color w:val="auto"/>
          <w:kern w:val="0"/>
          <w:sz w:val="24"/>
          <w:szCs w:val="24"/>
          <w:lang w:eastAsia="en-US"/>
        </w:rPr>
        <w:t xml:space="preserve">za sve </w:t>
      </w:r>
      <w:r w:rsidR="00DC7EB1" w:rsidRPr="007B43C4">
        <w:rPr>
          <w:rFonts w:asciiTheme="majorHAnsi" w:eastAsia="Calibri" w:hAnsiTheme="majorHAnsi" w:cstheme="majorHAnsi"/>
          <w:i/>
          <w:color w:val="auto"/>
          <w:kern w:val="0"/>
          <w:sz w:val="24"/>
          <w:szCs w:val="24"/>
          <w:lang w:eastAsia="en-US"/>
        </w:rPr>
        <w:t>oper</w:t>
      </w:r>
      <w:r w:rsidR="007F140E" w:rsidRPr="007B43C4">
        <w:rPr>
          <w:rFonts w:asciiTheme="majorHAnsi" w:eastAsia="Calibri" w:hAnsiTheme="majorHAnsi" w:cstheme="majorHAnsi"/>
          <w:i/>
          <w:color w:val="auto"/>
          <w:kern w:val="0"/>
          <w:sz w:val="24"/>
          <w:szCs w:val="24"/>
          <w:lang w:eastAsia="en-US"/>
        </w:rPr>
        <w:t>a</w:t>
      </w:r>
      <w:r w:rsidR="00DC7EB1" w:rsidRPr="007B43C4">
        <w:rPr>
          <w:rFonts w:asciiTheme="majorHAnsi" w:eastAsia="Calibri" w:hAnsiTheme="majorHAnsi" w:cstheme="majorHAnsi"/>
          <w:i/>
          <w:color w:val="auto"/>
          <w:kern w:val="0"/>
          <w:sz w:val="24"/>
          <w:szCs w:val="24"/>
          <w:lang w:eastAsia="en-US"/>
        </w:rPr>
        <w:t>tivn</w:t>
      </w:r>
      <w:r w:rsidR="008C5E4F" w:rsidRPr="007B43C4">
        <w:rPr>
          <w:rFonts w:asciiTheme="majorHAnsi" w:eastAsia="Calibri" w:hAnsiTheme="majorHAnsi" w:cstheme="majorHAnsi"/>
          <w:i/>
          <w:color w:val="auto"/>
          <w:kern w:val="0"/>
          <w:sz w:val="24"/>
          <w:szCs w:val="24"/>
          <w:lang w:eastAsia="en-US"/>
        </w:rPr>
        <w:t>e ciljeve</w:t>
      </w:r>
      <w:r w:rsidR="00DC7EB1" w:rsidRPr="007B43C4">
        <w:rPr>
          <w:rFonts w:asciiTheme="majorHAnsi" w:eastAsia="Calibri" w:hAnsiTheme="majorHAnsi" w:cstheme="majorHAnsi"/>
          <w:i/>
          <w:color w:val="auto"/>
          <w:kern w:val="0"/>
          <w:sz w:val="24"/>
          <w:szCs w:val="24"/>
          <w:lang w:eastAsia="en-US"/>
        </w:rPr>
        <w:t xml:space="preserve"> usmjerene su</w:t>
      </w:r>
      <w:r w:rsidR="008C5E4F" w:rsidRPr="007B43C4">
        <w:rPr>
          <w:rFonts w:asciiTheme="majorHAnsi" w:eastAsia="Calibri" w:hAnsiTheme="majorHAnsi" w:cstheme="majorHAnsi"/>
          <w:i/>
          <w:color w:val="auto"/>
          <w:kern w:val="0"/>
          <w:sz w:val="24"/>
          <w:szCs w:val="24"/>
          <w:lang w:eastAsia="en-US"/>
        </w:rPr>
        <w:t xml:space="preserve"> istovremeno i</w:t>
      </w:r>
      <w:r w:rsidR="00DC7EB1" w:rsidRPr="007B43C4">
        <w:rPr>
          <w:rFonts w:asciiTheme="majorHAnsi" w:eastAsia="Calibri" w:hAnsiTheme="majorHAnsi" w:cstheme="majorHAnsi"/>
          <w:i/>
          <w:color w:val="auto"/>
          <w:kern w:val="0"/>
          <w:sz w:val="24"/>
          <w:szCs w:val="24"/>
          <w:lang w:eastAsia="en-US"/>
        </w:rPr>
        <w:t xml:space="preserve"> ka poboljšanju </w:t>
      </w:r>
      <w:r w:rsidR="00AA02EB" w:rsidRPr="007B43C4">
        <w:rPr>
          <w:rFonts w:asciiTheme="majorHAnsi" w:eastAsia="Calibri" w:hAnsiTheme="majorHAnsi" w:cstheme="majorHAnsi"/>
          <w:i/>
          <w:color w:val="auto"/>
          <w:kern w:val="0"/>
          <w:sz w:val="24"/>
          <w:szCs w:val="24"/>
          <w:lang w:eastAsia="en-US"/>
        </w:rPr>
        <w:t>rada</w:t>
      </w:r>
      <w:r w:rsidR="00DC7EB1" w:rsidRPr="007B43C4">
        <w:rPr>
          <w:rFonts w:asciiTheme="majorHAnsi" w:eastAsia="Calibri" w:hAnsiTheme="majorHAnsi" w:cstheme="majorHAnsi"/>
          <w:i/>
          <w:color w:val="auto"/>
          <w:kern w:val="0"/>
          <w:sz w:val="24"/>
          <w:szCs w:val="24"/>
          <w:lang w:eastAsia="en-US"/>
        </w:rPr>
        <w:t xml:space="preserve"> lokalne </w:t>
      </w:r>
      <w:r w:rsidR="00B3451B" w:rsidRPr="007B43C4">
        <w:rPr>
          <w:rFonts w:asciiTheme="majorHAnsi" w:eastAsia="Calibri" w:hAnsiTheme="majorHAnsi" w:cstheme="majorHAnsi"/>
          <w:i/>
          <w:color w:val="auto"/>
          <w:kern w:val="0"/>
          <w:sz w:val="24"/>
          <w:szCs w:val="24"/>
          <w:lang w:eastAsia="en-US"/>
        </w:rPr>
        <w:t>uprave</w:t>
      </w:r>
      <w:r w:rsidR="00B3451B" w:rsidRPr="007B43C4">
        <w:rPr>
          <w:rFonts w:asciiTheme="majorHAnsi" w:eastAsia="Calibri" w:hAnsiTheme="majorHAnsi" w:cstheme="majorHAnsi"/>
          <w:color w:val="auto"/>
          <w:kern w:val="0"/>
          <w:sz w:val="24"/>
          <w:szCs w:val="24"/>
          <w:lang w:eastAsia="en-US"/>
        </w:rPr>
        <w:t xml:space="preserve"> </w:t>
      </w:r>
      <w:r w:rsidR="00DC7EB1" w:rsidRPr="007B43C4">
        <w:rPr>
          <w:rFonts w:asciiTheme="majorHAnsi" w:eastAsia="Calibri" w:hAnsiTheme="majorHAnsi" w:cstheme="majorHAnsi"/>
          <w:color w:val="auto"/>
          <w:kern w:val="0"/>
          <w:sz w:val="24"/>
          <w:szCs w:val="24"/>
          <w:lang w:eastAsia="en-US"/>
        </w:rPr>
        <w:t>(uvodjenje elektronskog upra</w:t>
      </w:r>
      <w:r w:rsidR="007F140E" w:rsidRPr="007B43C4">
        <w:rPr>
          <w:rFonts w:asciiTheme="majorHAnsi" w:eastAsia="Calibri" w:hAnsiTheme="majorHAnsi" w:cstheme="majorHAnsi"/>
          <w:color w:val="auto"/>
          <w:kern w:val="0"/>
          <w:sz w:val="24"/>
          <w:szCs w:val="24"/>
          <w:lang w:eastAsia="en-US"/>
        </w:rPr>
        <w:t>v</w:t>
      </w:r>
      <w:r w:rsidR="00DC7EB1" w:rsidRPr="007B43C4">
        <w:rPr>
          <w:rFonts w:asciiTheme="majorHAnsi" w:eastAsia="Calibri" w:hAnsiTheme="majorHAnsi" w:cstheme="majorHAnsi"/>
          <w:color w:val="auto"/>
          <w:kern w:val="0"/>
          <w:sz w:val="24"/>
          <w:szCs w:val="24"/>
          <w:lang w:eastAsia="en-US"/>
        </w:rPr>
        <w:t>ljanja dokumentima, uvodjenje sistema upravljanja kvalitetom i mapiranja procesa rada, službenički sistem, kreiranje javnih politika)</w:t>
      </w:r>
      <w:r w:rsidR="00B3451B" w:rsidRPr="007B43C4">
        <w:rPr>
          <w:rFonts w:asciiTheme="majorHAnsi" w:eastAsia="Calibri" w:hAnsiTheme="majorHAnsi" w:cstheme="majorHAnsi"/>
          <w:color w:val="auto"/>
          <w:kern w:val="0"/>
          <w:sz w:val="24"/>
          <w:szCs w:val="24"/>
          <w:lang w:eastAsia="en-US"/>
        </w:rPr>
        <w:t>.</w:t>
      </w:r>
    </w:p>
    <w:p w:rsidR="00DC7EB1" w:rsidRPr="007B43C4" w:rsidRDefault="00DC7EB1" w:rsidP="007B43C4">
      <w:pPr>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Times New Roman" w:hAnsiTheme="majorHAnsi" w:cstheme="majorHAnsi"/>
          <w:i/>
          <w:color w:val="auto"/>
          <w:kern w:val="0"/>
          <w:sz w:val="24"/>
          <w:szCs w:val="24"/>
          <w:lang w:eastAsia="sr-Latn-ME"/>
        </w:rPr>
        <w:lastRenderedPageBreak/>
        <w:t xml:space="preserve"> </w:t>
      </w:r>
      <w:r w:rsidRPr="007B43C4">
        <w:rPr>
          <w:rFonts w:asciiTheme="majorHAnsi" w:eastAsia="Times New Roman" w:hAnsiTheme="majorHAnsi" w:cstheme="majorHAnsi"/>
          <w:color w:val="auto"/>
          <w:kern w:val="0"/>
          <w:sz w:val="24"/>
          <w:szCs w:val="24"/>
          <w:lang w:eastAsia="sr-Latn-ME"/>
        </w:rPr>
        <w:t xml:space="preserve">U okviru ovog cilja, </w:t>
      </w:r>
      <w:r w:rsidR="00A37EFB" w:rsidRPr="007B43C4">
        <w:rPr>
          <w:rFonts w:asciiTheme="majorHAnsi" w:eastAsia="Times New Roman" w:hAnsiTheme="majorHAnsi" w:cstheme="majorHAnsi"/>
          <w:color w:val="auto"/>
          <w:kern w:val="0"/>
          <w:sz w:val="24"/>
          <w:szCs w:val="24"/>
          <w:lang w:eastAsia="sr-Latn-ME"/>
        </w:rPr>
        <w:t xml:space="preserve">fokus će biti na </w:t>
      </w:r>
      <w:r w:rsidR="00A37EFB" w:rsidRPr="007B43C4">
        <w:rPr>
          <w:rFonts w:asciiTheme="majorHAnsi" w:eastAsia="Calibri" w:hAnsiTheme="majorHAnsi" w:cstheme="majorHAnsi"/>
          <w:color w:val="auto"/>
          <w:kern w:val="0"/>
          <w:sz w:val="24"/>
          <w:szCs w:val="24"/>
          <w:lang w:eastAsia="en-US"/>
        </w:rPr>
        <w:t>j</w:t>
      </w:r>
      <w:r w:rsidRPr="007B43C4">
        <w:rPr>
          <w:rFonts w:asciiTheme="majorHAnsi" w:eastAsia="Calibri" w:hAnsiTheme="majorHAnsi" w:cstheme="majorHAnsi"/>
          <w:color w:val="auto"/>
          <w:kern w:val="0"/>
          <w:sz w:val="24"/>
          <w:szCs w:val="24"/>
          <w:lang w:eastAsia="en-US"/>
        </w:rPr>
        <w:t>ačanju mehanizma međuopštinske saradnje</w:t>
      </w:r>
      <w:r w:rsidRPr="007B43C4">
        <w:rPr>
          <w:rFonts w:asciiTheme="majorHAnsi" w:eastAsia="Calibri" w:hAnsiTheme="majorHAnsi" w:cstheme="majorHAnsi"/>
          <w:b/>
          <w:color w:val="auto"/>
          <w:kern w:val="0"/>
          <w:sz w:val="24"/>
          <w:szCs w:val="24"/>
          <w:lang w:eastAsia="en-US"/>
        </w:rPr>
        <w:t xml:space="preserve"> </w:t>
      </w:r>
      <w:r w:rsidRPr="007B43C4">
        <w:rPr>
          <w:rFonts w:asciiTheme="majorHAnsi" w:eastAsia="Calibri" w:hAnsiTheme="majorHAnsi" w:cstheme="majorHAnsi"/>
          <w:color w:val="auto"/>
          <w:kern w:val="0"/>
          <w:sz w:val="24"/>
          <w:szCs w:val="24"/>
          <w:lang w:eastAsia="en-US"/>
        </w:rPr>
        <w:t>kroz izmijenu zakonodavnog okvira za uspostavljanje međuopštinske saradnje</w:t>
      </w:r>
      <w:r w:rsidR="00B16282" w:rsidRPr="007B43C4">
        <w:rPr>
          <w:rFonts w:asciiTheme="majorHAnsi" w:eastAsia="Calibri" w:hAnsiTheme="majorHAnsi" w:cstheme="majorHAnsi"/>
          <w:color w:val="auto"/>
          <w:kern w:val="0"/>
          <w:sz w:val="24"/>
          <w:szCs w:val="24"/>
          <w:lang w:eastAsia="en-US"/>
        </w:rPr>
        <w:t xml:space="preserve"> u poverenim poslovima</w:t>
      </w:r>
      <w:r w:rsidRPr="007B43C4">
        <w:rPr>
          <w:rFonts w:asciiTheme="majorHAnsi" w:eastAsia="Calibri" w:hAnsiTheme="majorHAnsi" w:cstheme="majorHAnsi"/>
          <w:color w:val="auto"/>
          <w:kern w:val="0"/>
          <w:sz w:val="24"/>
          <w:szCs w:val="24"/>
          <w:lang w:eastAsia="en-US"/>
        </w:rPr>
        <w:t>, jačanje svijesti o značaju i korišćenju me</w:t>
      </w:r>
      <w:r w:rsidR="00AA02EB" w:rsidRPr="007B43C4">
        <w:rPr>
          <w:rFonts w:asciiTheme="majorHAnsi" w:eastAsia="Calibri" w:hAnsiTheme="majorHAnsi" w:cstheme="majorHAnsi"/>
          <w:color w:val="auto"/>
          <w:kern w:val="0"/>
          <w:sz w:val="24"/>
          <w:szCs w:val="24"/>
          <w:lang w:eastAsia="en-US"/>
        </w:rPr>
        <w:t>hanizama međuopštinske saradnje.</w:t>
      </w:r>
      <w:r w:rsidRPr="007B43C4">
        <w:rPr>
          <w:rFonts w:asciiTheme="majorHAnsi" w:eastAsia="Calibri" w:hAnsiTheme="majorHAnsi" w:cstheme="majorHAnsi"/>
          <w:color w:val="auto"/>
          <w:kern w:val="0"/>
          <w:sz w:val="24"/>
          <w:szCs w:val="24"/>
          <w:lang w:eastAsia="en-US"/>
        </w:rPr>
        <w:t xml:space="preserve"> </w:t>
      </w:r>
      <w:r w:rsidR="00A37EFB" w:rsidRPr="007B43C4">
        <w:rPr>
          <w:rFonts w:asciiTheme="majorHAnsi" w:eastAsia="Calibri" w:hAnsiTheme="majorHAnsi" w:cstheme="majorHAnsi"/>
          <w:color w:val="auto"/>
          <w:kern w:val="0"/>
          <w:sz w:val="24"/>
          <w:szCs w:val="24"/>
          <w:lang w:eastAsia="en-US"/>
        </w:rPr>
        <w:t>Prioritet je u</w:t>
      </w:r>
      <w:r w:rsidR="00B16282" w:rsidRPr="007B43C4">
        <w:rPr>
          <w:rFonts w:asciiTheme="majorHAnsi" w:eastAsia="Calibri" w:hAnsiTheme="majorHAnsi" w:cstheme="majorHAnsi"/>
          <w:color w:val="auto"/>
          <w:kern w:val="0"/>
          <w:sz w:val="24"/>
          <w:szCs w:val="24"/>
          <w:lang w:eastAsia="en-US"/>
        </w:rPr>
        <w:t>naprijediti sprovođenje upravnog nadzora na</w:t>
      </w:r>
      <w:r w:rsidR="00A37EFB" w:rsidRPr="007B43C4">
        <w:rPr>
          <w:rFonts w:asciiTheme="majorHAnsi" w:eastAsia="Calibri" w:hAnsiTheme="majorHAnsi" w:cstheme="majorHAnsi"/>
          <w:color w:val="auto"/>
          <w:kern w:val="0"/>
          <w:sz w:val="24"/>
          <w:szCs w:val="24"/>
          <w:lang w:eastAsia="en-US"/>
        </w:rPr>
        <w:t>d jedinicama lokalne samouprave i o</w:t>
      </w:r>
      <w:r w:rsidR="007F140E" w:rsidRPr="007B43C4">
        <w:rPr>
          <w:rFonts w:asciiTheme="majorHAnsi" w:eastAsia="Calibri" w:hAnsiTheme="majorHAnsi" w:cstheme="majorHAnsi"/>
          <w:color w:val="auto"/>
          <w:kern w:val="0"/>
          <w:sz w:val="24"/>
          <w:szCs w:val="24"/>
          <w:lang w:eastAsia="en-US"/>
        </w:rPr>
        <w:t>bezbijediti mehanizam da se prilikom povjeravanja i prenošenja poslova lokalnim upravama obezbijede sredstva za obavljanje istih.</w:t>
      </w:r>
      <w:r w:rsidR="00A37EFB" w:rsidRPr="007B43C4">
        <w:rPr>
          <w:rFonts w:asciiTheme="majorHAnsi" w:eastAsia="Calibri" w:hAnsiTheme="majorHAnsi" w:cstheme="majorHAnsi"/>
          <w:color w:val="auto"/>
          <w:kern w:val="0"/>
          <w:sz w:val="24"/>
          <w:szCs w:val="24"/>
          <w:lang w:eastAsia="en-US"/>
        </w:rPr>
        <w:t xml:space="preserve"> Dodatno, radiće se na j</w:t>
      </w:r>
      <w:r w:rsidRPr="007B43C4">
        <w:rPr>
          <w:rFonts w:asciiTheme="majorHAnsi" w:eastAsia="Calibri" w:hAnsiTheme="majorHAnsi" w:cstheme="majorHAnsi"/>
          <w:color w:val="auto"/>
          <w:kern w:val="0"/>
          <w:sz w:val="24"/>
          <w:szCs w:val="24"/>
          <w:lang w:eastAsia="en-US"/>
        </w:rPr>
        <w:t>ačanju budžetske i fiskalne discipline, intenziviranju naplate sopstvenih prihoda i  smanjenju neizmirenih obaveza.</w:t>
      </w:r>
    </w:p>
    <w:p w:rsidR="00FE5C83" w:rsidRPr="007B43C4" w:rsidRDefault="00FE5C83" w:rsidP="007E14C5">
      <w:pPr>
        <w:pStyle w:val="ListParagraph"/>
        <w:spacing w:before="60" w:after="60" w:line="240" w:lineRule="auto"/>
        <w:ind w:right="-471"/>
        <w:jc w:val="both"/>
        <w:rPr>
          <w:rFonts w:asciiTheme="majorHAnsi" w:eastAsia="Calibri" w:hAnsiTheme="majorHAnsi" w:cstheme="majorHAnsi"/>
          <w:color w:val="auto"/>
          <w:kern w:val="0"/>
          <w:sz w:val="24"/>
          <w:szCs w:val="24"/>
          <w:highlight w:val="yellow"/>
          <w:lang w:eastAsia="en-US"/>
        </w:rPr>
      </w:pPr>
    </w:p>
    <w:tbl>
      <w:tblPr>
        <w:tblStyle w:val="TableGrid"/>
        <w:tblW w:w="524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04"/>
        <w:gridCol w:w="1512"/>
        <w:gridCol w:w="1884"/>
        <w:gridCol w:w="1837"/>
        <w:gridCol w:w="2458"/>
      </w:tblGrid>
      <w:tr w:rsidR="00AC188A" w:rsidRPr="007B43C4" w:rsidTr="007E14C5">
        <w:tc>
          <w:tcPr>
            <w:tcW w:w="1114" w:type="pct"/>
            <w:shd w:val="clear" w:color="auto" w:fill="DFE4E5" w:themeFill="accent5" w:themeFillTint="33"/>
            <w:vAlign w:val="center"/>
          </w:tcPr>
          <w:p w:rsidR="00C81AD8" w:rsidRPr="00B44628" w:rsidRDefault="00C81AD8">
            <w:pPr>
              <w:spacing w:after="40"/>
              <w:rPr>
                <w:rFonts w:asciiTheme="majorHAnsi" w:hAnsiTheme="majorHAnsi" w:cstheme="majorHAnsi"/>
                <w:b/>
                <w:color w:val="3A4B5B" w:themeColor="accent1" w:themeShade="80"/>
              </w:rPr>
            </w:pPr>
            <w:r w:rsidRPr="00B44628">
              <w:rPr>
                <w:rFonts w:asciiTheme="majorHAnsi" w:hAnsiTheme="majorHAnsi" w:cstheme="majorHAnsi"/>
                <w:b/>
                <w:color w:val="3A4B5B" w:themeColor="accent1" w:themeShade="80"/>
              </w:rPr>
              <w:t>OPERATIVNI CILJ 1.3</w:t>
            </w:r>
          </w:p>
        </w:tc>
        <w:tc>
          <w:tcPr>
            <w:tcW w:w="3886" w:type="pct"/>
            <w:gridSpan w:val="4"/>
            <w:shd w:val="clear" w:color="auto" w:fill="DFE4E5" w:themeFill="accent5" w:themeFillTint="33"/>
            <w:vAlign w:val="center"/>
          </w:tcPr>
          <w:p w:rsidR="00C81AD8" w:rsidRPr="00B44628" w:rsidRDefault="00C81AD8">
            <w:pPr>
              <w:spacing w:after="40"/>
              <w:rPr>
                <w:rFonts w:asciiTheme="majorHAnsi" w:hAnsiTheme="majorHAnsi" w:cstheme="majorHAnsi"/>
                <w:b/>
                <w:color w:val="3A4B5B" w:themeColor="accent1" w:themeShade="80"/>
              </w:rPr>
            </w:pPr>
            <w:r w:rsidRPr="00B44628">
              <w:rPr>
                <w:rFonts w:asciiTheme="majorHAnsi" w:hAnsiTheme="majorHAnsi" w:cstheme="majorHAnsi"/>
                <w:b/>
                <w:color w:val="3A4B5B" w:themeColor="accent1" w:themeShade="80"/>
              </w:rPr>
              <w:t>Jačanje funkcionalnih i finansijski nezavisnih opština u cilju obezbijeđivanja ravnomjernijeg razvoja svih JLU</w:t>
            </w:r>
          </w:p>
        </w:tc>
      </w:tr>
      <w:tr w:rsidR="00AC188A" w:rsidRPr="007B43C4" w:rsidTr="007E14C5">
        <w:tc>
          <w:tcPr>
            <w:tcW w:w="1878" w:type="pct"/>
            <w:gridSpan w:val="2"/>
            <w:shd w:val="clear" w:color="auto" w:fill="DAF6FF"/>
            <w:vAlign w:val="center"/>
          </w:tcPr>
          <w:p w:rsidR="00C81AD8" w:rsidRPr="002206F7" w:rsidRDefault="00C81AD8" w:rsidP="007E14C5">
            <w:pPr>
              <w:spacing w:after="40"/>
              <w:rPr>
                <w:rFonts w:asciiTheme="majorHAnsi" w:hAnsiTheme="majorHAnsi" w:cstheme="majorHAnsi"/>
                <w:b/>
                <w:color w:val="3A4B5B" w:themeColor="accent1" w:themeShade="80"/>
                <w:sz w:val="18"/>
                <w:szCs w:val="18"/>
              </w:rPr>
            </w:pPr>
            <w:r w:rsidRPr="002206F7">
              <w:rPr>
                <w:rFonts w:asciiTheme="majorHAnsi" w:hAnsiTheme="majorHAnsi" w:cstheme="majorHAnsi"/>
                <w:b/>
                <w:color w:val="3A4B5B" w:themeColor="accent1" w:themeShade="80"/>
                <w:sz w:val="18"/>
                <w:szCs w:val="18"/>
              </w:rPr>
              <w:t>Indikator</w:t>
            </w:r>
          </w:p>
        </w:tc>
        <w:tc>
          <w:tcPr>
            <w:tcW w:w="952" w:type="pct"/>
            <w:shd w:val="clear" w:color="auto" w:fill="DAF6FF"/>
            <w:vAlign w:val="center"/>
          </w:tcPr>
          <w:p w:rsidR="00C81AD8" w:rsidRPr="002206F7" w:rsidRDefault="00C81AD8" w:rsidP="007E14C5">
            <w:pPr>
              <w:spacing w:after="40"/>
              <w:rPr>
                <w:rFonts w:asciiTheme="majorHAnsi" w:hAnsiTheme="majorHAnsi" w:cstheme="majorHAnsi"/>
                <w:b/>
                <w:color w:val="3A4B5B" w:themeColor="accent1" w:themeShade="80"/>
                <w:sz w:val="18"/>
                <w:szCs w:val="18"/>
              </w:rPr>
            </w:pPr>
            <w:r w:rsidRPr="002206F7">
              <w:rPr>
                <w:rFonts w:asciiTheme="majorHAnsi" w:hAnsiTheme="majorHAnsi" w:cstheme="majorHAnsi"/>
                <w:b/>
                <w:color w:val="3A4B5B" w:themeColor="accent1" w:themeShade="80"/>
                <w:sz w:val="18"/>
                <w:szCs w:val="18"/>
              </w:rPr>
              <w:t>Početna vrijednost</w:t>
            </w:r>
          </w:p>
        </w:tc>
        <w:tc>
          <w:tcPr>
            <w:tcW w:w="928" w:type="pct"/>
            <w:shd w:val="clear" w:color="auto" w:fill="DAF6FF"/>
            <w:vAlign w:val="center"/>
          </w:tcPr>
          <w:p w:rsidR="00C81AD8" w:rsidRPr="002206F7" w:rsidRDefault="00C81AD8" w:rsidP="007E14C5">
            <w:pPr>
              <w:spacing w:after="40"/>
              <w:rPr>
                <w:rFonts w:asciiTheme="majorHAnsi" w:hAnsiTheme="majorHAnsi" w:cstheme="majorHAnsi"/>
                <w:b/>
                <w:color w:val="3A4B5B" w:themeColor="accent1" w:themeShade="80"/>
                <w:sz w:val="18"/>
                <w:szCs w:val="18"/>
              </w:rPr>
            </w:pPr>
            <w:r w:rsidRPr="002206F7">
              <w:rPr>
                <w:rFonts w:asciiTheme="majorHAnsi" w:hAnsiTheme="majorHAnsi" w:cstheme="majorHAnsi"/>
                <w:b/>
                <w:color w:val="3A4B5B" w:themeColor="accent1" w:themeShade="80"/>
                <w:sz w:val="18"/>
                <w:szCs w:val="18"/>
              </w:rPr>
              <w:t>Ciljana vrijednost do 2024.</w:t>
            </w:r>
          </w:p>
        </w:tc>
        <w:tc>
          <w:tcPr>
            <w:tcW w:w="1242" w:type="pct"/>
            <w:shd w:val="clear" w:color="auto" w:fill="DAF6FF"/>
            <w:vAlign w:val="center"/>
          </w:tcPr>
          <w:p w:rsidR="00C81AD8" w:rsidRPr="002206F7" w:rsidRDefault="00C81AD8" w:rsidP="007E14C5">
            <w:pPr>
              <w:spacing w:after="40"/>
              <w:rPr>
                <w:rFonts w:asciiTheme="majorHAnsi" w:hAnsiTheme="majorHAnsi" w:cstheme="majorHAnsi"/>
                <w:b/>
                <w:color w:val="3A4B5B" w:themeColor="accent1" w:themeShade="80"/>
                <w:sz w:val="18"/>
                <w:szCs w:val="18"/>
              </w:rPr>
            </w:pPr>
            <w:r w:rsidRPr="002206F7">
              <w:rPr>
                <w:rFonts w:asciiTheme="majorHAnsi" w:hAnsiTheme="majorHAnsi" w:cstheme="majorHAnsi"/>
                <w:b/>
                <w:color w:val="3A4B5B" w:themeColor="accent1" w:themeShade="80"/>
                <w:sz w:val="18"/>
                <w:szCs w:val="18"/>
              </w:rPr>
              <w:t>Ciljana vrijednost u 2026.</w:t>
            </w:r>
          </w:p>
        </w:tc>
      </w:tr>
      <w:tr w:rsidR="003B6A44" w:rsidRPr="007B43C4" w:rsidTr="001C4E7A">
        <w:tc>
          <w:tcPr>
            <w:tcW w:w="1878" w:type="pct"/>
            <w:gridSpan w:val="2"/>
            <w:shd w:val="clear" w:color="auto" w:fill="FFFFFF" w:themeFill="background1"/>
          </w:tcPr>
          <w:p w:rsidR="003B6A44" w:rsidRPr="003B6A44" w:rsidRDefault="003B6A44" w:rsidP="003B6A44">
            <w:pPr>
              <w:spacing w:after="40"/>
              <w:jc w:val="both"/>
              <w:rPr>
                <w:rFonts w:asciiTheme="majorHAnsi" w:hAnsiTheme="majorHAnsi" w:cstheme="majorHAnsi"/>
                <w:color w:val="auto"/>
                <w:sz w:val="18"/>
                <w:szCs w:val="18"/>
              </w:rPr>
            </w:pPr>
            <w:r w:rsidRPr="003B6A44">
              <w:rPr>
                <w:rFonts w:asciiTheme="majorHAnsi" w:hAnsiTheme="majorHAnsi" w:cstheme="majorHAnsi"/>
                <w:color w:val="auto"/>
                <w:sz w:val="18"/>
                <w:szCs w:val="18"/>
              </w:rPr>
              <w:t>Broj poslova u kojima je uspostavljena međuopštinska saradnja</w:t>
            </w:r>
          </w:p>
        </w:tc>
        <w:tc>
          <w:tcPr>
            <w:tcW w:w="952" w:type="pct"/>
            <w:shd w:val="clear" w:color="auto" w:fill="FFFFFF" w:themeFill="background1"/>
          </w:tcPr>
          <w:p w:rsidR="003B6A44" w:rsidRPr="007B43C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20 (2020)</w:t>
            </w:r>
          </w:p>
        </w:tc>
        <w:tc>
          <w:tcPr>
            <w:tcW w:w="928" w:type="pct"/>
            <w:shd w:val="clear" w:color="auto" w:fill="FFFFFF" w:themeFill="background1"/>
          </w:tcPr>
          <w:p w:rsidR="003B6A44" w:rsidRPr="007B43C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24</w:t>
            </w:r>
          </w:p>
        </w:tc>
        <w:tc>
          <w:tcPr>
            <w:tcW w:w="1242" w:type="pct"/>
            <w:shd w:val="clear" w:color="auto" w:fill="FFFFFF" w:themeFill="background1"/>
          </w:tcPr>
          <w:p w:rsidR="003B6A44" w:rsidRPr="007B43C4" w:rsidRDefault="003B6A44" w:rsidP="0048511B">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30</w:t>
            </w:r>
          </w:p>
        </w:tc>
      </w:tr>
      <w:tr w:rsidR="003B6A44" w:rsidRPr="007B43C4" w:rsidTr="001C4E7A">
        <w:tc>
          <w:tcPr>
            <w:tcW w:w="1878" w:type="pct"/>
            <w:gridSpan w:val="2"/>
            <w:shd w:val="clear" w:color="auto" w:fill="FFFFFF" w:themeFill="background1"/>
          </w:tcPr>
          <w:p w:rsidR="003B6A44" w:rsidRPr="007B43C4" w:rsidRDefault="003B6A44" w:rsidP="003B6A44">
            <w:pPr>
              <w:spacing w:after="40"/>
              <w:jc w:val="both"/>
              <w:rPr>
                <w:rFonts w:asciiTheme="majorHAnsi" w:hAnsiTheme="majorHAnsi" w:cstheme="majorHAnsi"/>
                <w:color w:val="auto"/>
                <w:sz w:val="18"/>
                <w:szCs w:val="18"/>
              </w:rPr>
            </w:pPr>
            <w:r w:rsidRPr="003B6A44">
              <w:rPr>
                <w:rFonts w:asciiTheme="majorHAnsi" w:hAnsiTheme="majorHAnsi" w:cstheme="majorHAnsi"/>
                <w:color w:val="auto"/>
                <w:sz w:val="18"/>
                <w:szCs w:val="18"/>
              </w:rPr>
              <w:t>Broj oblasti u kojima je uspostavljena međuopštinska saradnja</w:t>
            </w:r>
          </w:p>
        </w:tc>
        <w:tc>
          <w:tcPr>
            <w:tcW w:w="952" w:type="pct"/>
            <w:shd w:val="clear" w:color="auto" w:fill="FFFFFF" w:themeFill="background1"/>
          </w:tcPr>
          <w:p w:rsidR="003B6A44" w:rsidRPr="007B43C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3 (2020)</w:t>
            </w:r>
            <w:r w:rsidR="0048511B">
              <w:rPr>
                <w:rStyle w:val="FootnoteReference"/>
                <w:rFonts w:asciiTheme="majorHAnsi" w:hAnsiTheme="majorHAnsi" w:cstheme="majorHAnsi"/>
                <w:color w:val="auto"/>
                <w:sz w:val="18"/>
                <w:szCs w:val="18"/>
              </w:rPr>
              <w:footnoteReference w:id="42"/>
            </w:r>
          </w:p>
        </w:tc>
        <w:tc>
          <w:tcPr>
            <w:tcW w:w="928" w:type="pct"/>
            <w:shd w:val="clear" w:color="auto" w:fill="FFFFFF" w:themeFill="background1"/>
          </w:tcPr>
          <w:p w:rsidR="003B6A44" w:rsidRPr="007B43C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5</w:t>
            </w:r>
          </w:p>
        </w:tc>
        <w:tc>
          <w:tcPr>
            <w:tcW w:w="1242" w:type="pct"/>
            <w:shd w:val="clear" w:color="auto" w:fill="FFFFFF" w:themeFill="background1"/>
          </w:tcPr>
          <w:p w:rsidR="003B6A44" w:rsidRPr="007B43C4" w:rsidRDefault="003B6A44" w:rsidP="0048511B">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7</w:t>
            </w:r>
          </w:p>
        </w:tc>
      </w:tr>
      <w:tr w:rsidR="003B6A44" w:rsidRPr="007B43C4" w:rsidTr="001C4E7A">
        <w:tc>
          <w:tcPr>
            <w:tcW w:w="1878" w:type="pct"/>
            <w:gridSpan w:val="2"/>
            <w:shd w:val="clear" w:color="auto" w:fill="FFFFFF" w:themeFill="background1"/>
          </w:tcPr>
          <w:p w:rsidR="006D6ABC" w:rsidRPr="002206F7" w:rsidRDefault="003B6A44" w:rsidP="003B6A44">
            <w:pPr>
              <w:spacing w:after="40"/>
              <w:jc w:val="both"/>
              <w:rPr>
                <w:color w:val="1F497D"/>
                <w:lang w:val="en-GB"/>
              </w:rPr>
            </w:pPr>
            <w:r w:rsidRPr="003B6A44">
              <w:rPr>
                <w:rFonts w:asciiTheme="majorHAnsi" w:hAnsiTheme="majorHAnsi" w:cstheme="majorHAnsi"/>
                <w:color w:val="auto"/>
                <w:sz w:val="18"/>
                <w:szCs w:val="18"/>
              </w:rPr>
              <w:t xml:space="preserve">Odnos duga po </w:t>
            </w:r>
            <w:r w:rsidR="006D6ABC" w:rsidRPr="002206F7">
              <w:rPr>
                <w:rFonts w:asciiTheme="majorHAnsi" w:hAnsiTheme="majorHAnsi" w:cstheme="majorHAnsi"/>
                <w:color w:val="auto"/>
                <w:sz w:val="18"/>
                <w:szCs w:val="18"/>
              </w:rPr>
              <w:t>u odnosu na njihove ukupne prihode</w:t>
            </w:r>
            <w:r w:rsidR="002206F7">
              <w:rPr>
                <w:rFonts w:asciiTheme="majorHAnsi" w:hAnsiTheme="majorHAnsi" w:cstheme="majorHAnsi"/>
                <w:color w:val="auto"/>
                <w:sz w:val="18"/>
                <w:szCs w:val="18"/>
              </w:rPr>
              <w:t>(</w:t>
            </w:r>
            <w:r w:rsidR="006D6ABC" w:rsidRPr="002206F7">
              <w:rPr>
                <w:rFonts w:asciiTheme="majorHAnsi" w:hAnsiTheme="majorHAnsi" w:cstheme="majorHAnsi"/>
                <w:color w:val="auto"/>
                <w:sz w:val="18"/>
                <w:szCs w:val="18"/>
              </w:rPr>
              <w:t xml:space="preserve"> na nivou svih op</w:t>
            </w:r>
            <w:r w:rsidR="0048511B">
              <w:rPr>
                <w:rFonts w:asciiTheme="majorHAnsi" w:hAnsiTheme="majorHAnsi" w:cstheme="majorHAnsi"/>
                <w:color w:val="auto"/>
                <w:sz w:val="18"/>
                <w:szCs w:val="18"/>
              </w:rPr>
              <w:t>š</w:t>
            </w:r>
            <w:r w:rsidR="006D6ABC" w:rsidRPr="002206F7">
              <w:rPr>
                <w:rFonts w:asciiTheme="majorHAnsi" w:hAnsiTheme="majorHAnsi" w:cstheme="majorHAnsi"/>
                <w:color w:val="auto"/>
                <w:sz w:val="18"/>
                <w:szCs w:val="18"/>
              </w:rPr>
              <w:t>tina</w:t>
            </w:r>
            <w:r w:rsidR="002206F7">
              <w:rPr>
                <w:rFonts w:asciiTheme="majorHAnsi" w:hAnsiTheme="majorHAnsi" w:cstheme="majorHAnsi"/>
                <w:color w:val="auto"/>
                <w:sz w:val="18"/>
                <w:szCs w:val="18"/>
              </w:rPr>
              <w:t>)</w:t>
            </w:r>
          </w:p>
        </w:tc>
        <w:tc>
          <w:tcPr>
            <w:tcW w:w="952" w:type="pct"/>
            <w:shd w:val="clear" w:color="auto" w:fill="FFFFFF" w:themeFill="background1"/>
          </w:tcPr>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2,86%</w:t>
            </w:r>
          </w:p>
        </w:tc>
        <w:tc>
          <w:tcPr>
            <w:tcW w:w="928" w:type="pct"/>
            <w:shd w:val="clear" w:color="auto" w:fill="FFFFFF" w:themeFill="background1"/>
          </w:tcPr>
          <w:p w:rsidR="003B6A44" w:rsidRPr="007B43C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2,36%</w:t>
            </w:r>
          </w:p>
        </w:tc>
        <w:tc>
          <w:tcPr>
            <w:tcW w:w="1242" w:type="pct"/>
            <w:shd w:val="clear" w:color="auto" w:fill="FFFFFF" w:themeFill="background1"/>
          </w:tcPr>
          <w:p w:rsidR="003B6A44" w:rsidRPr="007B43C4" w:rsidRDefault="003B6A44" w:rsidP="0048511B">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1,86%</w:t>
            </w:r>
          </w:p>
        </w:tc>
      </w:tr>
    </w:tbl>
    <w:p w:rsidR="008C5E4F" w:rsidRPr="007B43C4" w:rsidRDefault="001C4E7A" w:rsidP="004F01F2">
      <w:pPr>
        <w:rPr>
          <w:rFonts w:asciiTheme="majorHAnsi" w:eastAsiaTheme="majorEastAsia" w:hAnsiTheme="majorHAnsi" w:cstheme="majorHAnsi"/>
          <w:b/>
          <w:caps/>
          <w:color w:val="auto"/>
          <w:sz w:val="24"/>
          <w:szCs w:val="24"/>
          <w14:ligatures w14:val="standardContextual"/>
        </w:rPr>
      </w:pPr>
      <w:r w:rsidRPr="007B43C4">
        <w:rPr>
          <w:rFonts w:asciiTheme="majorHAnsi" w:eastAsiaTheme="majorEastAsia" w:hAnsiTheme="majorHAnsi" w:cstheme="majorHAnsi"/>
          <w:b/>
          <w:caps/>
          <w:color w:val="auto"/>
          <w:sz w:val="24"/>
          <w:szCs w:val="24"/>
          <w14:ligatures w14:val="standardContextual"/>
        </w:rPr>
        <w:br w:type="page"/>
      </w:r>
    </w:p>
    <w:p w:rsidR="002F030C" w:rsidRPr="007B43C4" w:rsidRDefault="0031303E" w:rsidP="007B43C4">
      <w:pPr>
        <w:pStyle w:val="Heading2"/>
        <w:spacing w:before="240" w:after="240"/>
        <w:ind w:right="-475"/>
        <w:jc w:val="center"/>
        <w:rPr>
          <w:rFonts w:cstheme="majorHAnsi"/>
          <w:b/>
          <w:color w:val="auto"/>
          <w:sz w:val="32"/>
          <w:szCs w:val="32"/>
        </w:rPr>
      </w:pPr>
      <w:bookmarkStart w:id="16" w:name="_Toc87353395"/>
      <w:r w:rsidRPr="007B43C4">
        <w:rPr>
          <w:rFonts w:cstheme="majorHAnsi"/>
          <w:b/>
          <w:color w:val="002060"/>
          <w:sz w:val="32"/>
          <w:szCs w:val="32"/>
        </w:rPr>
        <w:lastRenderedPageBreak/>
        <w:t xml:space="preserve">2. </w:t>
      </w:r>
      <w:r w:rsidR="002F030C" w:rsidRPr="007B43C4">
        <w:rPr>
          <w:rFonts w:cstheme="majorHAnsi"/>
          <w:b/>
          <w:color w:val="auto"/>
          <w:sz w:val="32"/>
          <w:szCs w:val="32"/>
        </w:rPr>
        <w:t>GRAĐANI I PRIVREDA KORISTE KVALITET</w:t>
      </w:r>
      <w:r w:rsidR="009C077B" w:rsidRPr="007B43C4">
        <w:rPr>
          <w:rFonts w:cstheme="majorHAnsi"/>
          <w:b/>
          <w:color w:val="auto"/>
          <w:sz w:val="32"/>
          <w:szCs w:val="32"/>
        </w:rPr>
        <w:t>N</w:t>
      </w:r>
      <w:r w:rsidR="002F030C" w:rsidRPr="007B43C4">
        <w:rPr>
          <w:rFonts w:cstheme="majorHAnsi"/>
          <w:b/>
          <w:color w:val="auto"/>
          <w:sz w:val="32"/>
          <w:szCs w:val="32"/>
        </w:rPr>
        <w:t>E USLUGE JAVNE UPRAVE</w:t>
      </w:r>
      <w:bookmarkEnd w:id="16"/>
    </w:p>
    <w:p w:rsidR="00EB5E0B" w:rsidRPr="007B43C4" w:rsidRDefault="00EB5E0B" w:rsidP="00B43D4E">
      <w:pPr>
        <w:pStyle w:val="ListParagraph"/>
        <w:keepNext/>
        <w:keepLines/>
        <w:numPr>
          <w:ilvl w:val="0"/>
          <w:numId w:val="20"/>
        </w:numPr>
        <w:spacing w:before="120" w:after="120" w:line="240" w:lineRule="auto"/>
        <w:ind w:right="-475"/>
        <w:contextualSpacing w:val="0"/>
        <w:outlineLvl w:val="2"/>
        <w:rPr>
          <w:rFonts w:asciiTheme="majorHAnsi" w:eastAsia="Times New Roman" w:hAnsiTheme="majorHAnsi" w:cstheme="majorHAnsi"/>
          <w:b/>
          <w:color w:val="auto"/>
          <w:kern w:val="0"/>
          <w:sz w:val="28"/>
          <w:szCs w:val="28"/>
          <w:lang w:eastAsia="en-US"/>
        </w:rPr>
      </w:pPr>
      <w:bookmarkStart w:id="17" w:name="_Toc87353396"/>
      <w:r w:rsidRPr="007B43C4">
        <w:rPr>
          <w:rFonts w:asciiTheme="majorHAnsi" w:eastAsia="Times New Roman" w:hAnsiTheme="majorHAnsi" w:cstheme="majorHAnsi"/>
          <w:b/>
          <w:color w:val="auto"/>
          <w:kern w:val="0"/>
          <w:sz w:val="28"/>
          <w:szCs w:val="28"/>
          <w:lang w:eastAsia="en-US"/>
        </w:rPr>
        <w:t>STRATEŠKI CILJ</w:t>
      </w:r>
      <w:bookmarkEnd w:id="17"/>
    </w:p>
    <w:p w:rsidR="00BB51F2" w:rsidRPr="007B43C4" w:rsidRDefault="00856FE4" w:rsidP="007B43C4">
      <w:pPr>
        <w:tabs>
          <w:tab w:val="left" w:pos="850"/>
          <w:tab w:val="left" w:pos="1191"/>
          <w:tab w:val="left" w:pos="1531"/>
        </w:tabs>
        <w:spacing w:before="60" w:after="60" w:line="240" w:lineRule="auto"/>
        <w:ind w:right="-475"/>
        <w:jc w:val="both"/>
        <w:rPr>
          <w:rFonts w:asciiTheme="majorHAnsi" w:eastAsia="Calibri" w:hAnsiTheme="majorHAnsi" w:cstheme="majorHAnsi"/>
          <w:color w:val="auto"/>
          <w:kern w:val="0"/>
          <w:sz w:val="24"/>
          <w:szCs w:val="24"/>
          <w:lang w:eastAsia="en-US"/>
        </w:rPr>
      </w:pPr>
      <w:r w:rsidRPr="007B43C4">
        <w:rPr>
          <w:rFonts w:asciiTheme="majorHAnsi" w:hAnsiTheme="majorHAnsi" w:cstheme="majorHAnsi"/>
          <w:color w:val="auto"/>
          <w:sz w:val="24"/>
          <w:szCs w:val="24"/>
        </w:rPr>
        <w:t xml:space="preserve">Prioritet je </w:t>
      </w:r>
      <w:r w:rsidRPr="007B43C4">
        <w:rPr>
          <w:rFonts w:asciiTheme="majorHAnsi" w:eastAsia="Calibri" w:hAnsiTheme="majorHAnsi" w:cstheme="majorHAnsi"/>
          <w:color w:val="auto"/>
          <w:kern w:val="0"/>
          <w:sz w:val="24"/>
          <w:szCs w:val="24"/>
          <w:lang w:eastAsia="en-US"/>
        </w:rPr>
        <w:t xml:space="preserve">stvoriti </w:t>
      </w:r>
      <w:r w:rsidRPr="007B43C4">
        <w:rPr>
          <w:rFonts w:asciiTheme="majorHAnsi" w:eastAsia="Calibri" w:hAnsiTheme="majorHAnsi" w:cstheme="majorHAnsi"/>
          <w:b/>
          <w:color w:val="auto"/>
          <w:kern w:val="0"/>
          <w:sz w:val="24"/>
          <w:szCs w:val="24"/>
          <w:lang w:eastAsia="en-US"/>
        </w:rPr>
        <w:t>ambijent za jednostavniju, bržu i efikasniju komunikaciju građana i uprave</w:t>
      </w:r>
      <w:r w:rsidRPr="007B43C4">
        <w:rPr>
          <w:rFonts w:asciiTheme="majorHAnsi" w:eastAsia="Calibri" w:hAnsiTheme="majorHAnsi" w:cstheme="majorHAnsi"/>
          <w:color w:val="auto"/>
          <w:kern w:val="0"/>
          <w:sz w:val="24"/>
          <w:szCs w:val="24"/>
          <w:lang w:eastAsia="en-US"/>
        </w:rPr>
        <w:t>, pr</w:t>
      </w:r>
      <w:r w:rsidR="004F01F2" w:rsidRPr="007B43C4">
        <w:rPr>
          <w:rFonts w:asciiTheme="majorHAnsi" w:eastAsia="Calibri" w:hAnsiTheme="majorHAnsi" w:cstheme="majorHAnsi"/>
          <w:color w:val="auto"/>
          <w:kern w:val="0"/>
          <w:sz w:val="24"/>
          <w:szCs w:val="24"/>
          <w:lang w:eastAsia="en-US"/>
        </w:rPr>
        <w:t>ij</w:t>
      </w:r>
      <w:r w:rsidRPr="007B43C4">
        <w:rPr>
          <w:rFonts w:asciiTheme="majorHAnsi" w:eastAsia="Calibri" w:hAnsiTheme="majorHAnsi" w:cstheme="majorHAnsi"/>
          <w:color w:val="auto"/>
          <w:kern w:val="0"/>
          <w:sz w:val="24"/>
          <w:szCs w:val="24"/>
          <w:lang w:eastAsia="en-US"/>
        </w:rPr>
        <w:t xml:space="preserve">e svega kroz </w:t>
      </w:r>
      <w:r w:rsidRPr="007B43C4">
        <w:rPr>
          <w:rFonts w:asciiTheme="majorHAnsi" w:hAnsiTheme="majorHAnsi" w:cstheme="majorHAnsi"/>
          <w:color w:val="auto"/>
          <w:sz w:val="24"/>
          <w:szCs w:val="24"/>
        </w:rPr>
        <w:t>preduzimanje</w:t>
      </w:r>
      <w:r w:rsidRPr="007B43C4">
        <w:rPr>
          <w:rFonts w:asciiTheme="majorHAnsi" w:eastAsia="Calibri" w:hAnsiTheme="majorHAnsi" w:cstheme="majorHAnsi"/>
          <w:color w:val="auto"/>
          <w:kern w:val="0"/>
          <w:sz w:val="24"/>
          <w:szCs w:val="24"/>
          <w:lang w:eastAsia="en-US"/>
        </w:rPr>
        <w:t xml:space="preserve"> mjera u cilju </w:t>
      </w:r>
      <w:r w:rsidRPr="007B43C4">
        <w:rPr>
          <w:rFonts w:asciiTheme="majorHAnsi" w:eastAsia="Calibri" w:hAnsiTheme="majorHAnsi" w:cstheme="majorHAnsi"/>
          <w:b/>
          <w:color w:val="auto"/>
          <w:kern w:val="0"/>
          <w:sz w:val="24"/>
          <w:szCs w:val="24"/>
          <w:lang w:eastAsia="en-US"/>
        </w:rPr>
        <w:t>unapređenja efikasnosti rada organa u rješavanju upravnih predmeta</w:t>
      </w:r>
      <w:r w:rsidRPr="007B43C4">
        <w:rPr>
          <w:rFonts w:asciiTheme="majorHAnsi" w:eastAsia="Calibri" w:hAnsiTheme="majorHAnsi" w:cstheme="majorHAnsi"/>
          <w:color w:val="auto"/>
          <w:kern w:val="0"/>
          <w:sz w:val="24"/>
          <w:szCs w:val="24"/>
          <w:lang w:eastAsia="en-US"/>
        </w:rPr>
        <w:t xml:space="preserve"> i punu primjenu zakonske obaveze organa da razmenjuju podatke iz službenih evidencija, kako bi se poboljšala efik</w:t>
      </w:r>
      <w:r w:rsidR="004F01F2" w:rsidRPr="007B43C4">
        <w:rPr>
          <w:rFonts w:asciiTheme="majorHAnsi" w:eastAsia="Calibri" w:hAnsiTheme="majorHAnsi" w:cstheme="majorHAnsi"/>
          <w:color w:val="auto"/>
          <w:kern w:val="0"/>
          <w:sz w:val="24"/>
          <w:szCs w:val="24"/>
          <w:lang w:eastAsia="en-US"/>
        </w:rPr>
        <w:t>asnost i ekonomičnost postupka.</w:t>
      </w:r>
    </w:p>
    <w:p w:rsidR="00BB51F2" w:rsidRPr="007B43C4" w:rsidRDefault="00856FE4" w:rsidP="007B43C4">
      <w:pPr>
        <w:tabs>
          <w:tab w:val="left" w:pos="850"/>
          <w:tab w:val="left" w:pos="1191"/>
          <w:tab w:val="left" w:pos="1531"/>
        </w:tabs>
        <w:spacing w:before="60" w:after="60" w:line="240" w:lineRule="auto"/>
        <w:ind w:right="-475"/>
        <w:jc w:val="both"/>
        <w:rPr>
          <w:rFonts w:asciiTheme="majorHAnsi" w:eastAsia="Times New Roman"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U cilju dobijanja povratnih informacija od korisnika i preduzimanja mjera na unapređenju pružanja usluga, uvešće se </w:t>
      </w:r>
      <w:r w:rsidR="00A32885" w:rsidRPr="007B43C4">
        <w:rPr>
          <w:rFonts w:asciiTheme="majorHAnsi" w:eastAsia="Calibri" w:hAnsiTheme="majorHAnsi" w:cstheme="majorHAnsi"/>
          <w:color w:val="auto"/>
          <w:kern w:val="0"/>
          <w:sz w:val="24"/>
          <w:szCs w:val="24"/>
          <w:lang w:eastAsia="en-US"/>
        </w:rPr>
        <w:t xml:space="preserve">Katalog </w:t>
      </w:r>
      <w:r w:rsidR="00740F70" w:rsidRPr="007B43C4">
        <w:rPr>
          <w:rFonts w:asciiTheme="majorHAnsi" w:eastAsia="Times New Roman" w:hAnsiTheme="majorHAnsi" w:cstheme="majorHAnsi"/>
          <w:i/>
          <w:color w:val="auto"/>
          <w:kern w:val="0"/>
          <w:sz w:val="24"/>
          <w:szCs w:val="24"/>
          <w:lang w:eastAsia="en-US"/>
        </w:rPr>
        <w:t>off-line</w:t>
      </w:r>
      <w:r w:rsidR="00740F70" w:rsidRPr="007B43C4">
        <w:rPr>
          <w:rFonts w:asciiTheme="majorHAnsi" w:eastAsia="Times New Roman" w:hAnsiTheme="majorHAnsi" w:cstheme="majorHAnsi"/>
          <w:color w:val="auto"/>
          <w:kern w:val="0"/>
          <w:sz w:val="24"/>
          <w:szCs w:val="24"/>
          <w:lang w:eastAsia="en-US"/>
        </w:rPr>
        <w:t xml:space="preserve"> i </w:t>
      </w:r>
      <w:r w:rsidR="00740F70" w:rsidRPr="007B43C4">
        <w:rPr>
          <w:rFonts w:asciiTheme="majorHAnsi" w:eastAsia="Times New Roman" w:hAnsiTheme="majorHAnsi" w:cstheme="majorHAnsi"/>
          <w:i/>
          <w:color w:val="auto"/>
          <w:kern w:val="0"/>
          <w:sz w:val="24"/>
          <w:szCs w:val="24"/>
          <w:lang w:eastAsia="en-US"/>
        </w:rPr>
        <w:t>on-line</w:t>
      </w:r>
      <w:r w:rsidR="00740F70" w:rsidRPr="007B43C4">
        <w:rPr>
          <w:rFonts w:asciiTheme="majorHAnsi" w:eastAsia="Times New Roman" w:hAnsiTheme="majorHAnsi" w:cstheme="majorHAnsi"/>
          <w:color w:val="auto"/>
          <w:kern w:val="0"/>
          <w:sz w:val="24"/>
          <w:szCs w:val="24"/>
          <w:lang w:eastAsia="en-US"/>
        </w:rPr>
        <w:t xml:space="preserve"> uslug</w:t>
      </w:r>
      <w:r w:rsidR="00A32885" w:rsidRPr="007B43C4">
        <w:rPr>
          <w:rFonts w:asciiTheme="majorHAnsi" w:eastAsia="Times New Roman" w:hAnsiTheme="majorHAnsi" w:cstheme="majorHAnsi"/>
          <w:color w:val="auto"/>
          <w:kern w:val="0"/>
          <w:sz w:val="24"/>
          <w:szCs w:val="24"/>
          <w:lang w:eastAsia="en-US"/>
        </w:rPr>
        <w:t>a i pratiti zadovoljstvo korisnika pruženim uslugama.</w:t>
      </w:r>
      <w:r w:rsidR="00740F70" w:rsidRPr="007B43C4">
        <w:rPr>
          <w:rFonts w:asciiTheme="majorHAnsi" w:eastAsia="Calibri" w:hAnsiTheme="majorHAnsi" w:cstheme="majorHAnsi"/>
          <w:b/>
          <w:color w:val="auto"/>
          <w:kern w:val="0"/>
          <w:sz w:val="24"/>
          <w:szCs w:val="24"/>
          <w:lang w:eastAsia="en-US"/>
        </w:rPr>
        <w:t xml:space="preserve"> </w:t>
      </w:r>
      <w:r w:rsidR="00740F70" w:rsidRPr="007B43C4">
        <w:rPr>
          <w:rFonts w:asciiTheme="majorHAnsi" w:eastAsia="Calibri" w:hAnsiTheme="majorHAnsi" w:cstheme="majorHAnsi"/>
          <w:color w:val="auto"/>
          <w:kern w:val="0"/>
          <w:sz w:val="24"/>
          <w:szCs w:val="24"/>
          <w:lang w:eastAsia="en-US"/>
        </w:rPr>
        <w:t xml:space="preserve">Dodatno, u cilju optimizacije procesa u organima </w:t>
      </w:r>
      <w:r w:rsidRPr="007B43C4">
        <w:rPr>
          <w:rFonts w:asciiTheme="majorHAnsi" w:eastAsia="Calibri" w:hAnsiTheme="majorHAnsi" w:cstheme="majorHAnsi"/>
          <w:color w:val="auto"/>
          <w:kern w:val="0"/>
          <w:sz w:val="24"/>
          <w:szCs w:val="24"/>
          <w:lang w:eastAsia="en-US"/>
        </w:rPr>
        <w:t xml:space="preserve">i </w:t>
      </w:r>
      <w:r w:rsidR="00740F70" w:rsidRPr="007B43C4">
        <w:rPr>
          <w:rFonts w:asciiTheme="majorHAnsi" w:eastAsia="Calibri" w:hAnsiTheme="majorHAnsi" w:cstheme="majorHAnsi"/>
          <w:color w:val="auto"/>
          <w:kern w:val="0"/>
          <w:sz w:val="24"/>
          <w:szCs w:val="24"/>
          <w:lang w:eastAsia="en-US"/>
        </w:rPr>
        <w:t>poboljšanja kvaliteta pružene usluge krajnjim korisnicima uspostaviće se</w:t>
      </w:r>
      <w:r w:rsidRPr="007B43C4">
        <w:rPr>
          <w:rFonts w:asciiTheme="majorHAnsi" w:eastAsia="Calibri" w:hAnsiTheme="majorHAnsi" w:cstheme="majorHAnsi"/>
          <w:color w:val="auto"/>
          <w:kern w:val="0"/>
          <w:sz w:val="24"/>
          <w:szCs w:val="24"/>
          <w:lang w:eastAsia="en-US"/>
        </w:rPr>
        <w:t xml:space="preserve"> sistem </w:t>
      </w:r>
      <w:r w:rsidRPr="007B43C4">
        <w:rPr>
          <w:rFonts w:asciiTheme="majorHAnsi" w:eastAsia="Calibri" w:hAnsiTheme="majorHAnsi" w:cstheme="majorHAnsi"/>
          <w:b/>
          <w:color w:val="auto"/>
          <w:kern w:val="0"/>
          <w:sz w:val="24"/>
          <w:szCs w:val="24"/>
          <w:lang w:eastAsia="en-US"/>
        </w:rPr>
        <w:t>upravljanja kvalitetom</w:t>
      </w:r>
      <w:r w:rsidR="006D78FF" w:rsidRPr="007B43C4">
        <w:rPr>
          <w:rFonts w:asciiTheme="majorHAnsi" w:eastAsia="Calibri" w:hAnsiTheme="majorHAnsi" w:cstheme="majorHAnsi"/>
          <w:b/>
          <w:color w:val="auto"/>
          <w:kern w:val="0"/>
          <w:sz w:val="24"/>
          <w:szCs w:val="24"/>
          <w:lang w:eastAsia="en-US"/>
        </w:rPr>
        <w:t xml:space="preserve"> rada</w:t>
      </w:r>
      <w:r w:rsidRPr="007B43C4">
        <w:rPr>
          <w:rFonts w:asciiTheme="majorHAnsi" w:eastAsia="Calibri" w:hAnsiTheme="majorHAnsi" w:cstheme="majorHAnsi"/>
          <w:color w:val="auto"/>
          <w:kern w:val="0"/>
          <w:sz w:val="24"/>
          <w:szCs w:val="24"/>
          <w:lang w:eastAsia="en-US"/>
        </w:rPr>
        <w:t xml:space="preserve"> </w:t>
      </w:r>
      <w:r w:rsidRPr="007B43C4">
        <w:rPr>
          <w:rFonts w:asciiTheme="majorHAnsi" w:eastAsia="Calibri" w:hAnsiTheme="majorHAnsi" w:cstheme="majorHAnsi"/>
          <w:b/>
          <w:color w:val="auto"/>
          <w:kern w:val="0"/>
          <w:sz w:val="24"/>
          <w:szCs w:val="24"/>
          <w:lang w:eastAsia="en-US"/>
        </w:rPr>
        <w:t>institucija i procesa</w:t>
      </w:r>
      <w:r w:rsidRPr="007B43C4">
        <w:rPr>
          <w:rFonts w:asciiTheme="majorHAnsi" w:eastAsia="Calibri" w:hAnsiTheme="majorHAnsi" w:cstheme="majorHAnsi"/>
          <w:color w:val="auto"/>
          <w:kern w:val="0"/>
          <w:sz w:val="24"/>
          <w:szCs w:val="24"/>
          <w:lang w:eastAsia="en-US"/>
        </w:rPr>
        <w:t xml:space="preserve">. </w:t>
      </w:r>
      <w:r w:rsidRPr="007B43C4">
        <w:rPr>
          <w:rFonts w:asciiTheme="majorHAnsi" w:eastAsia="Times New Roman" w:hAnsiTheme="majorHAnsi" w:cstheme="majorHAnsi"/>
          <w:color w:val="auto"/>
          <w:kern w:val="0"/>
          <w:sz w:val="24"/>
          <w:szCs w:val="24"/>
          <w:lang w:eastAsia="en-US"/>
        </w:rPr>
        <w:t>Standardizacijom procesa rada u čitavoj javnoj upravi, uspostavljanjem kataloga usluga i knjige administrativnih procedura, nastav</w:t>
      </w:r>
      <w:r w:rsidR="00BB51F2" w:rsidRPr="007B43C4">
        <w:rPr>
          <w:rFonts w:asciiTheme="majorHAnsi" w:eastAsia="Times New Roman" w:hAnsiTheme="majorHAnsi" w:cstheme="majorHAnsi"/>
          <w:color w:val="auto"/>
          <w:kern w:val="0"/>
          <w:sz w:val="24"/>
          <w:szCs w:val="24"/>
          <w:lang w:eastAsia="en-US"/>
        </w:rPr>
        <w:t xml:space="preserve">iće se sa razvojem e-servisa </w:t>
      </w:r>
      <w:r w:rsidR="00740F70" w:rsidRPr="007B43C4">
        <w:rPr>
          <w:rFonts w:asciiTheme="majorHAnsi" w:eastAsia="Times New Roman" w:hAnsiTheme="majorHAnsi" w:cstheme="majorHAnsi"/>
          <w:color w:val="auto"/>
          <w:kern w:val="0"/>
          <w:sz w:val="24"/>
          <w:szCs w:val="24"/>
          <w:lang w:eastAsia="en-US"/>
        </w:rPr>
        <w:t>za potrebe građana i privrede</w:t>
      </w:r>
      <w:r w:rsidRPr="007B43C4">
        <w:rPr>
          <w:rFonts w:asciiTheme="majorHAnsi" w:eastAsia="Times New Roman" w:hAnsiTheme="majorHAnsi" w:cstheme="majorHAnsi"/>
          <w:color w:val="auto"/>
          <w:kern w:val="0"/>
          <w:sz w:val="24"/>
          <w:szCs w:val="24"/>
          <w:lang w:eastAsia="en-US"/>
        </w:rPr>
        <w:t>.</w:t>
      </w:r>
    </w:p>
    <w:p w:rsidR="00BB51F2" w:rsidRPr="007B43C4" w:rsidRDefault="00012E9B" w:rsidP="007B43C4">
      <w:pPr>
        <w:tabs>
          <w:tab w:val="left" w:pos="850"/>
          <w:tab w:val="left" w:pos="1191"/>
          <w:tab w:val="left" w:pos="1531"/>
        </w:tabs>
        <w:spacing w:before="60" w:after="60" w:line="240" w:lineRule="auto"/>
        <w:ind w:right="-475"/>
        <w:jc w:val="both"/>
        <w:rPr>
          <w:rFonts w:asciiTheme="majorHAnsi" w:eastAsia="Times New Roman" w:hAnsiTheme="majorHAnsi" w:cstheme="majorHAnsi"/>
          <w:color w:val="auto"/>
          <w:kern w:val="0"/>
          <w:sz w:val="24"/>
          <w:szCs w:val="24"/>
          <w:lang w:eastAsia="en-US"/>
        </w:rPr>
      </w:pPr>
      <w:r w:rsidRPr="007B43C4">
        <w:rPr>
          <w:rFonts w:asciiTheme="majorHAnsi" w:eastAsia="Times New Roman" w:hAnsiTheme="majorHAnsi" w:cstheme="majorHAnsi"/>
          <w:color w:val="auto"/>
          <w:kern w:val="0"/>
          <w:sz w:val="24"/>
          <w:szCs w:val="24"/>
          <w:lang w:eastAsia="en-US"/>
        </w:rPr>
        <w:t xml:space="preserve">Pored </w:t>
      </w:r>
      <w:r w:rsidR="00D965D4" w:rsidRPr="007B43C4">
        <w:rPr>
          <w:rFonts w:asciiTheme="majorHAnsi" w:eastAsia="Times New Roman" w:hAnsiTheme="majorHAnsi" w:cstheme="majorHAnsi"/>
          <w:color w:val="auto"/>
          <w:kern w:val="0"/>
          <w:sz w:val="24"/>
          <w:szCs w:val="24"/>
          <w:lang w:eastAsia="en-US"/>
        </w:rPr>
        <w:t>7</w:t>
      </w:r>
      <w:r w:rsidRPr="007B43C4">
        <w:rPr>
          <w:rFonts w:asciiTheme="majorHAnsi" w:eastAsia="Times New Roman" w:hAnsiTheme="majorHAnsi" w:cstheme="majorHAnsi"/>
          <w:color w:val="auto"/>
          <w:kern w:val="0"/>
          <w:sz w:val="24"/>
          <w:szCs w:val="24"/>
          <w:lang w:eastAsia="en-US"/>
        </w:rPr>
        <w:t xml:space="preserve"> povezanih registara kroz </w:t>
      </w:r>
      <w:r w:rsidR="00740F70" w:rsidRPr="007B43C4">
        <w:rPr>
          <w:rFonts w:asciiTheme="majorHAnsi" w:eastAsia="Times New Roman" w:hAnsiTheme="majorHAnsi" w:cstheme="majorHAnsi"/>
          <w:color w:val="auto"/>
          <w:kern w:val="0"/>
          <w:sz w:val="24"/>
          <w:szCs w:val="24"/>
          <w:lang w:eastAsia="en-US"/>
        </w:rPr>
        <w:t>J</w:t>
      </w:r>
      <w:r w:rsidRPr="007B43C4">
        <w:rPr>
          <w:rFonts w:asciiTheme="majorHAnsi" w:eastAsia="Times New Roman" w:hAnsiTheme="majorHAnsi" w:cstheme="majorHAnsi"/>
          <w:color w:val="auto"/>
          <w:kern w:val="0"/>
          <w:sz w:val="24"/>
          <w:szCs w:val="24"/>
          <w:lang w:eastAsia="en-US"/>
        </w:rPr>
        <w:t xml:space="preserve">edinstveni informacioni sistem za elektronsku razmjenu podataka – JSERP, nastaviće se sa daljim </w:t>
      </w:r>
      <w:r w:rsidRPr="007B43C4">
        <w:rPr>
          <w:rFonts w:asciiTheme="majorHAnsi" w:eastAsia="Times New Roman" w:hAnsiTheme="majorHAnsi" w:cstheme="majorHAnsi"/>
          <w:b/>
          <w:color w:val="auto"/>
          <w:kern w:val="0"/>
          <w:sz w:val="24"/>
          <w:szCs w:val="24"/>
          <w:lang w:eastAsia="en-US"/>
        </w:rPr>
        <w:t>povezivanjem ključnih registara</w:t>
      </w:r>
      <w:r w:rsidR="008376BB" w:rsidRPr="007B43C4">
        <w:rPr>
          <w:rFonts w:asciiTheme="majorHAnsi" w:eastAsia="Times New Roman" w:hAnsiTheme="majorHAnsi" w:cstheme="majorHAnsi"/>
          <w:color w:val="auto"/>
          <w:kern w:val="0"/>
          <w:sz w:val="24"/>
          <w:szCs w:val="24"/>
          <w:lang w:eastAsia="en-US"/>
        </w:rPr>
        <w:t>,</w:t>
      </w:r>
      <w:r w:rsidRPr="007B43C4">
        <w:rPr>
          <w:rStyle w:val="FootnoteReference"/>
          <w:rFonts w:asciiTheme="majorHAnsi" w:eastAsia="Times New Roman" w:hAnsiTheme="majorHAnsi" w:cstheme="majorHAnsi"/>
          <w:color w:val="auto"/>
          <w:kern w:val="0"/>
          <w:sz w:val="24"/>
          <w:szCs w:val="24"/>
          <w:lang w:eastAsia="en-US"/>
        </w:rPr>
        <w:footnoteReference w:id="43"/>
      </w:r>
      <w:r w:rsidRPr="007B43C4">
        <w:rPr>
          <w:rFonts w:asciiTheme="majorHAnsi" w:eastAsia="Times New Roman" w:hAnsiTheme="majorHAnsi" w:cstheme="majorHAnsi"/>
          <w:color w:val="auto"/>
          <w:kern w:val="0"/>
          <w:sz w:val="24"/>
          <w:szCs w:val="24"/>
          <w:lang w:eastAsia="en-US"/>
        </w:rPr>
        <w:t xml:space="preserve"> kako bi se dokumenta na ovaj način razmjenjivala elektronski i bila dostavljana po službenoj dužnosti, bez opterećivanja građana.</w:t>
      </w:r>
      <w:r w:rsidR="004F01F2" w:rsidRPr="007B43C4">
        <w:rPr>
          <w:rFonts w:asciiTheme="majorHAnsi" w:eastAsia="Times New Roman" w:hAnsiTheme="majorHAnsi" w:cstheme="majorHAnsi"/>
          <w:color w:val="auto"/>
          <w:kern w:val="0"/>
          <w:sz w:val="24"/>
          <w:szCs w:val="24"/>
          <w:lang w:eastAsia="en-US"/>
        </w:rPr>
        <w:t xml:space="preserve"> </w:t>
      </w:r>
    </w:p>
    <w:p w:rsidR="00BB51F2" w:rsidRPr="007B43C4" w:rsidRDefault="008376BB" w:rsidP="007B43C4">
      <w:pPr>
        <w:spacing w:before="60" w:after="60" w:line="240" w:lineRule="auto"/>
        <w:ind w:right="-450"/>
        <w:jc w:val="both"/>
        <w:rPr>
          <w:rFonts w:asciiTheme="majorHAnsi" w:hAnsiTheme="majorHAnsi" w:cstheme="majorHAnsi"/>
          <w:color w:val="auto"/>
          <w:sz w:val="24"/>
          <w:szCs w:val="24"/>
        </w:rPr>
      </w:pPr>
      <w:r w:rsidRPr="007B43C4">
        <w:rPr>
          <w:rFonts w:asciiTheme="majorHAnsi" w:hAnsiTheme="majorHAnsi" w:cstheme="majorHAnsi"/>
          <w:color w:val="auto"/>
          <w:sz w:val="24"/>
          <w:szCs w:val="24"/>
          <w:lang w:val="sr-Latn-ME"/>
        </w:rPr>
        <w:t>Prioritet će biti na unapređenju i promociji</w:t>
      </w:r>
      <w:r w:rsidRPr="007B43C4">
        <w:rPr>
          <w:rFonts w:asciiTheme="majorHAnsi" w:hAnsiTheme="majorHAnsi" w:cstheme="majorHAnsi"/>
          <w:b/>
          <w:color w:val="auto"/>
          <w:sz w:val="24"/>
          <w:szCs w:val="24"/>
          <w:lang w:val="sr-Latn-ME"/>
        </w:rPr>
        <w:t xml:space="preserve"> </w:t>
      </w:r>
      <w:r w:rsidRPr="007B43C4">
        <w:rPr>
          <w:rFonts w:asciiTheme="majorHAnsi" w:eastAsia="Calibri" w:hAnsiTheme="majorHAnsi" w:cstheme="majorHAnsi"/>
          <w:b/>
          <w:color w:val="auto"/>
          <w:kern w:val="0"/>
          <w:sz w:val="24"/>
          <w:szCs w:val="24"/>
          <w:lang w:eastAsia="en-US"/>
        </w:rPr>
        <w:t>Portala eUprave</w:t>
      </w:r>
      <w:r w:rsidR="00BB51F2" w:rsidRPr="007B43C4">
        <w:rPr>
          <w:rFonts w:asciiTheme="majorHAnsi" w:eastAsia="Calibri" w:hAnsiTheme="majorHAnsi" w:cstheme="majorHAnsi"/>
          <w:b/>
          <w:color w:val="auto"/>
          <w:kern w:val="0"/>
          <w:sz w:val="24"/>
          <w:szCs w:val="24"/>
          <w:lang w:eastAsia="en-US"/>
        </w:rPr>
        <w:t xml:space="preserve"> i elektronske komunikacije između organa i stranaka</w:t>
      </w:r>
      <w:r w:rsidRPr="007B43C4">
        <w:rPr>
          <w:rFonts w:asciiTheme="majorHAnsi" w:eastAsia="Calibri" w:hAnsiTheme="majorHAnsi" w:cstheme="majorHAnsi"/>
          <w:color w:val="auto"/>
          <w:kern w:val="0"/>
          <w:sz w:val="24"/>
          <w:szCs w:val="24"/>
          <w:lang w:eastAsia="en-US"/>
        </w:rPr>
        <w:t xml:space="preserve">, razvoju </w:t>
      </w:r>
      <w:r w:rsidRPr="007B43C4">
        <w:rPr>
          <w:rFonts w:asciiTheme="majorHAnsi" w:eastAsia="Calibri" w:hAnsiTheme="majorHAnsi" w:cstheme="majorHAnsi"/>
          <w:b/>
          <w:color w:val="auto"/>
          <w:kern w:val="0"/>
          <w:sz w:val="24"/>
          <w:szCs w:val="24"/>
          <w:lang w:eastAsia="en-US"/>
        </w:rPr>
        <w:t>novih e-usluga</w:t>
      </w:r>
      <w:r w:rsidRPr="007B43C4">
        <w:rPr>
          <w:rFonts w:asciiTheme="majorHAnsi" w:hAnsiTheme="majorHAnsi" w:cstheme="majorHAnsi"/>
          <w:color w:val="auto"/>
          <w:sz w:val="24"/>
          <w:szCs w:val="24"/>
          <w:lang w:val="x-none"/>
        </w:rPr>
        <w:t xml:space="preserve">, </w:t>
      </w:r>
      <w:r w:rsidRPr="007B43C4">
        <w:rPr>
          <w:rFonts w:asciiTheme="majorHAnsi" w:hAnsiTheme="majorHAnsi" w:cstheme="majorHAnsi"/>
          <w:color w:val="auto"/>
          <w:sz w:val="24"/>
          <w:szCs w:val="24"/>
        </w:rPr>
        <w:t>u</w:t>
      </w:r>
      <w:r w:rsidRPr="007B43C4">
        <w:rPr>
          <w:rFonts w:asciiTheme="majorHAnsi" w:hAnsiTheme="majorHAnsi" w:cstheme="majorHAnsi"/>
          <w:color w:val="auto"/>
          <w:sz w:val="24"/>
          <w:szCs w:val="24"/>
          <w:lang w:val="x-none"/>
        </w:rPr>
        <w:t xml:space="preserve">vođenju </w:t>
      </w:r>
      <w:r w:rsidR="00BB51F2" w:rsidRPr="007B43C4">
        <w:rPr>
          <w:rFonts w:asciiTheme="majorHAnsi" w:hAnsiTheme="majorHAnsi" w:cstheme="majorHAnsi"/>
          <w:b/>
          <w:color w:val="auto"/>
          <w:sz w:val="24"/>
          <w:szCs w:val="24"/>
          <w:lang w:val="x-none"/>
        </w:rPr>
        <w:t xml:space="preserve">potpuno digitalnih </w:t>
      </w:r>
      <w:r w:rsidRPr="007B43C4">
        <w:rPr>
          <w:rFonts w:asciiTheme="majorHAnsi" w:hAnsiTheme="majorHAnsi" w:cstheme="majorHAnsi"/>
          <w:b/>
          <w:color w:val="auto"/>
          <w:sz w:val="24"/>
          <w:szCs w:val="24"/>
          <w:lang w:val="x-none"/>
        </w:rPr>
        <w:t>usluga</w:t>
      </w:r>
      <w:r w:rsidRPr="007B43C4">
        <w:rPr>
          <w:rFonts w:asciiTheme="majorHAnsi" w:hAnsiTheme="majorHAnsi" w:cstheme="majorHAnsi"/>
          <w:color w:val="auto"/>
          <w:sz w:val="24"/>
          <w:szCs w:val="24"/>
          <w:lang w:val="x-none"/>
        </w:rPr>
        <w:t xml:space="preserve"> za ključne životne događaje (eRođenje, eStudent, eUpis…)</w:t>
      </w:r>
      <w:r w:rsidRPr="007B43C4">
        <w:rPr>
          <w:rFonts w:asciiTheme="majorHAnsi" w:hAnsiTheme="majorHAnsi" w:cstheme="majorHAnsi"/>
          <w:color w:val="auto"/>
          <w:sz w:val="24"/>
          <w:szCs w:val="24"/>
        </w:rPr>
        <w:t xml:space="preserve">, unapređenju Portala u dijelu sistema </w:t>
      </w:r>
      <w:r w:rsidRPr="007B43C4">
        <w:rPr>
          <w:rFonts w:asciiTheme="majorHAnsi" w:hAnsiTheme="majorHAnsi" w:cstheme="majorHAnsi"/>
          <w:b/>
          <w:color w:val="auto"/>
          <w:sz w:val="24"/>
          <w:szCs w:val="24"/>
        </w:rPr>
        <w:t>za e-plaćanje, e-autentifikacij</w:t>
      </w:r>
      <w:r w:rsidR="00BB51F2" w:rsidRPr="007B43C4">
        <w:rPr>
          <w:rFonts w:asciiTheme="majorHAnsi" w:hAnsiTheme="majorHAnsi" w:cstheme="majorHAnsi"/>
          <w:b/>
          <w:color w:val="auto"/>
          <w:sz w:val="24"/>
          <w:szCs w:val="24"/>
        </w:rPr>
        <w:t>a</w:t>
      </w:r>
      <w:r w:rsidRPr="007B43C4">
        <w:rPr>
          <w:rFonts w:asciiTheme="majorHAnsi" w:hAnsiTheme="majorHAnsi" w:cstheme="majorHAnsi"/>
          <w:b/>
          <w:color w:val="auto"/>
          <w:sz w:val="24"/>
          <w:szCs w:val="24"/>
        </w:rPr>
        <w:t xml:space="preserve"> i e-indentifikacij</w:t>
      </w:r>
      <w:r w:rsidR="00BB51F2" w:rsidRPr="007B43C4">
        <w:rPr>
          <w:rFonts w:asciiTheme="majorHAnsi" w:hAnsiTheme="majorHAnsi" w:cstheme="majorHAnsi"/>
          <w:b/>
          <w:color w:val="auto"/>
          <w:sz w:val="24"/>
          <w:szCs w:val="24"/>
        </w:rPr>
        <w:t>a</w:t>
      </w:r>
      <w:r w:rsidRPr="007B43C4">
        <w:rPr>
          <w:rFonts w:asciiTheme="majorHAnsi" w:hAnsiTheme="majorHAnsi" w:cstheme="majorHAnsi"/>
          <w:b/>
          <w:color w:val="auto"/>
          <w:sz w:val="24"/>
          <w:szCs w:val="24"/>
        </w:rPr>
        <w:t xml:space="preserve"> </w:t>
      </w:r>
      <w:r w:rsidRPr="007B43C4">
        <w:rPr>
          <w:rFonts w:asciiTheme="majorHAnsi" w:hAnsiTheme="majorHAnsi" w:cstheme="majorHAnsi"/>
          <w:color w:val="auto"/>
          <w:sz w:val="24"/>
          <w:szCs w:val="24"/>
        </w:rPr>
        <w:t>korisnika</w:t>
      </w:r>
      <w:r w:rsidR="005D6034" w:rsidRPr="007B43C4">
        <w:rPr>
          <w:rFonts w:asciiTheme="majorHAnsi" w:hAnsiTheme="majorHAnsi" w:cstheme="majorHAnsi"/>
          <w:color w:val="auto"/>
          <w:sz w:val="24"/>
          <w:szCs w:val="24"/>
        </w:rPr>
        <w:t xml:space="preserve"> stvoriće se uslovi da gradjani dobiju uslugu elektronski, bez papira.</w:t>
      </w:r>
    </w:p>
    <w:p w:rsidR="004F01F2" w:rsidRPr="007B43C4" w:rsidRDefault="00E268F5" w:rsidP="007B43C4">
      <w:pPr>
        <w:spacing w:before="60" w:after="60" w:line="240" w:lineRule="auto"/>
        <w:ind w:right="-450"/>
        <w:jc w:val="both"/>
        <w:rPr>
          <w:rFonts w:asciiTheme="majorHAnsi" w:hAnsiTheme="majorHAnsi" w:cstheme="majorHAnsi"/>
          <w:color w:val="auto"/>
          <w:sz w:val="24"/>
          <w:szCs w:val="24"/>
        </w:rPr>
      </w:pPr>
      <w:r w:rsidRPr="007B43C4">
        <w:rPr>
          <w:rFonts w:asciiTheme="majorHAnsi" w:hAnsiTheme="majorHAnsi" w:cstheme="majorHAnsi"/>
          <w:b/>
          <w:color w:val="auto"/>
          <w:sz w:val="24"/>
          <w:szCs w:val="24"/>
        </w:rPr>
        <w:t>STRATEŠKI CILJ SE OSTVARUJE KROZ SLEDEĆE OPERATIVNE CILJEVE:</w:t>
      </w:r>
      <w:r w:rsidRPr="007B43C4">
        <w:rPr>
          <w:rFonts w:asciiTheme="majorHAnsi" w:hAnsiTheme="majorHAnsi" w:cstheme="majorHAnsi"/>
          <w:color w:val="auto"/>
          <w:sz w:val="24"/>
          <w:szCs w:val="24"/>
        </w:rPr>
        <w:t xml:space="preserve"> </w:t>
      </w:r>
    </w:p>
    <w:p w:rsidR="004F01F2" w:rsidRPr="007B43C4" w:rsidRDefault="00E268F5" w:rsidP="00B43D4E">
      <w:pPr>
        <w:pStyle w:val="ListParagraph"/>
        <w:numPr>
          <w:ilvl w:val="0"/>
          <w:numId w:val="50"/>
        </w:numPr>
        <w:spacing w:before="60" w:after="60" w:line="240" w:lineRule="auto"/>
        <w:ind w:right="-450"/>
        <w:contextualSpacing w:val="0"/>
        <w:jc w:val="both"/>
        <w:rPr>
          <w:rFonts w:cstheme="majorHAnsi"/>
          <w:color w:val="auto"/>
          <w:sz w:val="24"/>
          <w:szCs w:val="24"/>
        </w:rPr>
      </w:pPr>
      <w:r w:rsidRPr="007B43C4">
        <w:rPr>
          <w:rFonts w:asciiTheme="majorHAnsi" w:hAnsiTheme="majorHAnsi" w:cstheme="majorHAnsi"/>
          <w:color w:val="auto"/>
          <w:sz w:val="24"/>
          <w:szCs w:val="24"/>
        </w:rPr>
        <w:t>Efikasnije pružanje usluga i uvođenje upravljanj</w:t>
      </w:r>
      <w:r w:rsidR="004F01F2" w:rsidRPr="007B43C4">
        <w:rPr>
          <w:rFonts w:asciiTheme="majorHAnsi" w:hAnsiTheme="majorHAnsi" w:cstheme="majorHAnsi"/>
          <w:color w:val="auto"/>
          <w:sz w:val="24"/>
          <w:szCs w:val="24"/>
        </w:rPr>
        <w:t>a kvalitetom pruženim uslugama</w:t>
      </w:r>
    </w:p>
    <w:p w:rsidR="004F01F2" w:rsidRPr="007B43C4" w:rsidRDefault="00E268F5" w:rsidP="00B43D4E">
      <w:pPr>
        <w:pStyle w:val="ListParagraph"/>
        <w:numPr>
          <w:ilvl w:val="0"/>
          <w:numId w:val="50"/>
        </w:numPr>
        <w:spacing w:before="60" w:after="60" w:line="240" w:lineRule="auto"/>
        <w:ind w:right="-450"/>
        <w:contextualSpacing w:val="0"/>
        <w:jc w:val="both"/>
        <w:rPr>
          <w:rFonts w:cstheme="majorHAnsi"/>
          <w:color w:val="auto"/>
          <w:sz w:val="24"/>
          <w:szCs w:val="24"/>
        </w:rPr>
      </w:pPr>
      <w:r w:rsidRPr="007B43C4">
        <w:rPr>
          <w:rFonts w:asciiTheme="majorHAnsi" w:hAnsiTheme="majorHAnsi" w:cstheme="majorHAnsi"/>
          <w:color w:val="auto"/>
          <w:sz w:val="24"/>
          <w:szCs w:val="24"/>
        </w:rPr>
        <w:t xml:space="preserve">Puna interoperabilnost informacionih sistema i povećanje broja elektronskih usluga na visokom nivou sofisticiranosti.   </w:t>
      </w:r>
    </w:p>
    <w:p w:rsidR="0031303E" w:rsidRPr="007B43C4" w:rsidRDefault="0031303E" w:rsidP="00B43D4E">
      <w:pPr>
        <w:pStyle w:val="ListParagraph"/>
        <w:keepNext/>
        <w:keepLines/>
        <w:numPr>
          <w:ilvl w:val="0"/>
          <w:numId w:val="25"/>
        </w:numPr>
        <w:spacing w:before="120" w:after="120" w:line="240" w:lineRule="auto"/>
        <w:ind w:right="-475"/>
        <w:contextualSpacing w:val="0"/>
        <w:outlineLvl w:val="2"/>
        <w:rPr>
          <w:rFonts w:asciiTheme="majorHAnsi" w:eastAsia="Times New Roman" w:hAnsiTheme="majorHAnsi" w:cstheme="majorHAnsi"/>
          <w:b/>
          <w:color w:val="auto"/>
          <w:kern w:val="0"/>
          <w:sz w:val="24"/>
          <w:szCs w:val="24"/>
          <w:u w:val="single"/>
          <w:lang w:eastAsia="en-US"/>
        </w:rPr>
      </w:pPr>
      <w:bookmarkStart w:id="18" w:name="_Toc87353397"/>
      <w:r w:rsidRPr="007B43C4">
        <w:rPr>
          <w:rFonts w:asciiTheme="majorHAnsi" w:eastAsia="Times New Roman" w:hAnsiTheme="majorHAnsi" w:cstheme="majorHAnsi"/>
          <w:b/>
          <w:color w:val="auto"/>
          <w:kern w:val="0"/>
          <w:sz w:val="24"/>
          <w:szCs w:val="24"/>
          <w:lang w:eastAsia="en-US"/>
        </w:rPr>
        <w:t>STANJE U OBLASTI</w:t>
      </w:r>
      <w:bookmarkEnd w:id="18"/>
    </w:p>
    <w:p w:rsidR="0031303E" w:rsidRPr="007B43C4" w:rsidRDefault="0031303E" w:rsidP="007B43C4">
      <w:pPr>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b/>
          <w:color w:val="auto"/>
          <w:kern w:val="0"/>
          <w:sz w:val="24"/>
          <w:szCs w:val="24"/>
          <w:lang w:eastAsia="en-US"/>
        </w:rPr>
        <w:t>Zakon o upravnom postupku</w:t>
      </w:r>
      <w:r w:rsidRPr="007B43C4">
        <w:rPr>
          <w:rFonts w:asciiTheme="majorHAnsi" w:eastAsia="Calibri" w:hAnsiTheme="majorHAnsi" w:cstheme="majorHAnsi"/>
          <w:b/>
          <w:color w:val="auto"/>
          <w:kern w:val="0"/>
          <w:sz w:val="24"/>
          <w:szCs w:val="24"/>
          <w:vertAlign w:val="superscript"/>
          <w:lang w:eastAsia="en-US"/>
        </w:rPr>
        <w:footnoteReference w:id="44"/>
      </w:r>
      <w:r w:rsidRPr="007B43C4">
        <w:rPr>
          <w:rFonts w:asciiTheme="majorHAnsi" w:eastAsia="Calibri" w:hAnsiTheme="majorHAnsi" w:cstheme="majorHAnsi"/>
          <w:color w:val="auto"/>
          <w:kern w:val="0"/>
          <w:sz w:val="24"/>
          <w:szCs w:val="24"/>
          <w:lang w:eastAsia="en-US"/>
        </w:rPr>
        <w:t xml:space="preserve"> usklađen je sa načelima EU za dobru javnu upravu i sadrži odredbe o elektronskim komunikacijama, jedinstvenom upravnom mjestu (</w:t>
      </w:r>
      <w:r w:rsidRPr="007B43C4">
        <w:rPr>
          <w:rFonts w:asciiTheme="majorHAnsi" w:eastAsia="Calibri" w:hAnsiTheme="majorHAnsi" w:cstheme="majorHAnsi"/>
          <w:i/>
          <w:color w:val="auto"/>
          <w:kern w:val="0"/>
          <w:sz w:val="24"/>
          <w:szCs w:val="24"/>
          <w:lang w:eastAsia="en-US"/>
        </w:rPr>
        <w:t>one-stop-shop</w:t>
      </w:r>
      <w:r w:rsidRPr="007B43C4">
        <w:rPr>
          <w:rFonts w:asciiTheme="majorHAnsi" w:eastAsia="Calibri" w:hAnsiTheme="majorHAnsi" w:cstheme="majorHAnsi"/>
          <w:color w:val="auto"/>
          <w:kern w:val="0"/>
          <w:sz w:val="24"/>
          <w:szCs w:val="24"/>
          <w:lang w:eastAsia="en-US"/>
        </w:rPr>
        <w:t xml:space="preserve">) i principu pribavljanja podataka samo jednom (princip </w:t>
      </w:r>
      <w:r w:rsidRPr="007B43C4">
        <w:rPr>
          <w:rFonts w:asciiTheme="majorHAnsi" w:eastAsia="Calibri" w:hAnsiTheme="majorHAnsi" w:cstheme="majorHAnsi"/>
          <w:i/>
          <w:color w:val="auto"/>
          <w:kern w:val="0"/>
          <w:sz w:val="24"/>
          <w:szCs w:val="24"/>
          <w:lang w:eastAsia="en-US"/>
        </w:rPr>
        <w:t>once-only</w:t>
      </w:r>
      <w:r w:rsidRPr="007B43C4">
        <w:rPr>
          <w:rFonts w:asciiTheme="majorHAnsi" w:eastAsia="Calibri" w:hAnsiTheme="majorHAnsi" w:cstheme="majorHAnsi"/>
          <w:color w:val="auto"/>
          <w:kern w:val="0"/>
          <w:sz w:val="24"/>
          <w:szCs w:val="24"/>
          <w:lang w:eastAsia="en-US"/>
        </w:rPr>
        <w:t xml:space="preserve">). Tokom trajanja predhodnog strateškog dokumenta, počela je primjena Zakona o upravnom postupku i Zakona o elektronskoj upravi koji uvode </w:t>
      </w:r>
      <w:r w:rsidRPr="007B43C4">
        <w:rPr>
          <w:rFonts w:asciiTheme="majorHAnsi" w:eastAsia="Calibri" w:hAnsiTheme="majorHAnsi" w:cstheme="majorHAnsi"/>
          <w:b/>
          <w:color w:val="auto"/>
          <w:kern w:val="0"/>
          <w:sz w:val="24"/>
          <w:szCs w:val="24"/>
          <w:lang w:eastAsia="en-US"/>
        </w:rPr>
        <w:t>princip prikupljanja podataka po službenoj dužnosti</w:t>
      </w:r>
      <w:r w:rsidRPr="007B43C4">
        <w:rPr>
          <w:rFonts w:asciiTheme="majorHAnsi" w:eastAsia="Calibri" w:hAnsiTheme="majorHAnsi" w:cstheme="majorHAnsi"/>
          <w:color w:val="auto"/>
          <w:kern w:val="0"/>
          <w:sz w:val="24"/>
          <w:szCs w:val="24"/>
          <w:lang w:eastAsia="en-US"/>
        </w:rPr>
        <w:t xml:space="preserve">. Kako bi se pojednostavilo i ubrzalo pribavljanje podataka po službenoj dužnosti, uspostavljen je </w:t>
      </w:r>
      <w:r w:rsidRPr="007B43C4">
        <w:rPr>
          <w:rFonts w:asciiTheme="majorHAnsi" w:eastAsia="Calibri" w:hAnsiTheme="majorHAnsi" w:cstheme="majorHAnsi"/>
          <w:b/>
          <w:color w:val="auto"/>
          <w:kern w:val="0"/>
          <w:sz w:val="24"/>
          <w:szCs w:val="24"/>
          <w:lang w:eastAsia="en-US"/>
        </w:rPr>
        <w:t>jedi</w:t>
      </w:r>
      <w:r w:rsidR="00755E36" w:rsidRPr="007B43C4">
        <w:rPr>
          <w:rFonts w:asciiTheme="majorHAnsi" w:eastAsia="Calibri" w:hAnsiTheme="majorHAnsi" w:cstheme="majorHAnsi"/>
          <w:b/>
          <w:color w:val="auto"/>
          <w:kern w:val="0"/>
          <w:sz w:val="24"/>
          <w:szCs w:val="24"/>
          <w:lang w:eastAsia="en-US"/>
        </w:rPr>
        <w:t>nstveni informacioni sistem – J</w:t>
      </w:r>
      <w:r w:rsidRPr="007B43C4">
        <w:rPr>
          <w:rFonts w:asciiTheme="majorHAnsi" w:eastAsia="Calibri" w:hAnsiTheme="majorHAnsi" w:cstheme="majorHAnsi"/>
          <w:b/>
          <w:color w:val="auto"/>
          <w:kern w:val="0"/>
          <w:sz w:val="24"/>
          <w:szCs w:val="24"/>
          <w:lang w:eastAsia="en-US"/>
        </w:rPr>
        <w:t>SERP</w:t>
      </w:r>
      <w:r w:rsidR="00FE2FAD" w:rsidRPr="007B43C4">
        <w:rPr>
          <w:rFonts w:asciiTheme="majorHAnsi" w:eastAsia="Calibri" w:hAnsiTheme="majorHAnsi" w:cstheme="majorHAnsi"/>
          <w:color w:val="auto"/>
          <w:kern w:val="0"/>
          <w:sz w:val="24"/>
          <w:szCs w:val="24"/>
          <w:lang w:eastAsia="en-US"/>
        </w:rPr>
        <w:t>, na koji je prijavljeno 7</w:t>
      </w:r>
      <w:r w:rsidRPr="007B43C4">
        <w:rPr>
          <w:rFonts w:asciiTheme="majorHAnsi" w:eastAsia="Calibri" w:hAnsiTheme="majorHAnsi" w:cstheme="majorHAnsi"/>
          <w:color w:val="auto"/>
          <w:kern w:val="0"/>
          <w:sz w:val="24"/>
          <w:szCs w:val="24"/>
          <w:lang w:eastAsia="en-US"/>
        </w:rPr>
        <w:t xml:space="preserve"> od 7 ključnih registara, i to: Centralni registar stanovništva, Centralni registar poreskih obveznika i osiguranika (Registar poreskih obveznika i Registar zaposlenih), Centralni registar privrednih subjekata, Registar obrazovanja Crne Gore, Registar kaznene evidencije i Registar </w:t>
      </w:r>
      <w:r w:rsidR="00FE2FAD" w:rsidRPr="007B43C4">
        <w:rPr>
          <w:rFonts w:asciiTheme="majorHAnsi" w:eastAsia="Calibri" w:hAnsiTheme="majorHAnsi" w:cstheme="majorHAnsi"/>
          <w:color w:val="auto"/>
          <w:kern w:val="0"/>
          <w:sz w:val="24"/>
          <w:szCs w:val="24"/>
          <w:lang w:eastAsia="en-US"/>
        </w:rPr>
        <w:t>nepokretnosti.</w:t>
      </w:r>
    </w:p>
    <w:p w:rsidR="004505CB" w:rsidRPr="007B43C4" w:rsidRDefault="0031303E" w:rsidP="007B43C4">
      <w:pPr>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Donošenjem Zakona o elektronskoj identifikaciji i elektronskom potpisu </w:t>
      </w:r>
      <w:r w:rsidRPr="007B43C4">
        <w:rPr>
          <w:rFonts w:asciiTheme="majorHAnsi" w:eastAsia="Times New Roman" w:hAnsiTheme="majorHAnsi" w:cstheme="majorHAnsi"/>
          <w:color w:val="auto"/>
          <w:kern w:val="0"/>
          <w:sz w:val="24"/>
          <w:szCs w:val="24"/>
          <w:lang w:eastAsia="en-US"/>
        </w:rPr>
        <w:t>("Službeni list CG", br. 31/2017)</w:t>
      </w:r>
      <w:r w:rsidRPr="007B43C4">
        <w:rPr>
          <w:rFonts w:asciiTheme="majorHAnsi" w:eastAsia="Calibri" w:hAnsiTheme="majorHAnsi" w:cstheme="majorHAnsi"/>
          <w:color w:val="auto"/>
          <w:kern w:val="0"/>
          <w:sz w:val="24"/>
          <w:szCs w:val="24"/>
          <w:lang w:eastAsia="en-US"/>
        </w:rPr>
        <w:t xml:space="preserve">, započelo se sa procesom uspostavljanja pravnog okvira za </w:t>
      </w:r>
      <w:r w:rsidRPr="007B43C4">
        <w:rPr>
          <w:rFonts w:asciiTheme="majorHAnsi" w:eastAsia="Calibri" w:hAnsiTheme="majorHAnsi" w:cstheme="majorHAnsi"/>
          <w:b/>
          <w:color w:val="auto"/>
          <w:kern w:val="0"/>
          <w:sz w:val="24"/>
          <w:szCs w:val="24"/>
          <w:lang w:eastAsia="en-US"/>
        </w:rPr>
        <w:t xml:space="preserve">razvoj elektronskog poslovanja u </w:t>
      </w:r>
      <w:r w:rsidRPr="007B43C4">
        <w:rPr>
          <w:rFonts w:asciiTheme="majorHAnsi" w:eastAsia="Calibri" w:hAnsiTheme="majorHAnsi" w:cstheme="majorHAnsi"/>
          <w:b/>
          <w:color w:val="auto"/>
          <w:kern w:val="0"/>
          <w:sz w:val="24"/>
          <w:szCs w:val="24"/>
          <w:lang w:eastAsia="en-US"/>
        </w:rPr>
        <w:lastRenderedPageBreak/>
        <w:t>Crnoj Gori</w:t>
      </w:r>
      <w:r w:rsidRPr="007B43C4">
        <w:rPr>
          <w:rFonts w:asciiTheme="majorHAnsi" w:eastAsia="Calibri" w:hAnsiTheme="majorHAnsi" w:cstheme="majorHAnsi"/>
          <w:color w:val="auto"/>
          <w:kern w:val="0"/>
          <w:sz w:val="24"/>
          <w:szCs w:val="24"/>
          <w:lang w:eastAsia="en-US"/>
        </w:rPr>
        <w:t xml:space="preserve">. </w:t>
      </w:r>
      <w:r w:rsidRPr="007B43C4">
        <w:rPr>
          <w:rFonts w:asciiTheme="majorHAnsi" w:eastAsia="Times New Roman" w:hAnsiTheme="majorHAnsi" w:cstheme="majorHAnsi"/>
          <w:color w:val="auto"/>
          <w:kern w:val="0"/>
          <w:sz w:val="24"/>
          <w:szCs w:val="24"/>
          <w:lang w:eastAsia="en-US"/>
        </w:rPr>
        <w:t xml:space="preserve">Izmjenama i dopunama Zakona o elektronskoj identifikaciji i elektronskom potpisu ("Službeni list CG", br. 72/2019) </w:t>
      </w:r>
      <w:r w:rsidRPr="007B43C4">
        <w:rPr>
          <w:rFonts w:asciiTheme="majorHAnsi" w:eastAsia="Calibri" w:hAnsiTheme="majorHAnsi" w:cstheme="majorHAnsi"/>
          <w:color w:val="auto"/>
          <w:kern w:val="0"/>
          <w:sz w:val="24"/>
          <w:szCs w:val="24"/>
          <w:lang w:eastAsia="en-US"/>
        </w:rPr>
        <w:t xml:space="preserve">prije svega u dijelu koji se odnosi na kvalifikovane elektronske usluge povjerenja, kao što su kvalifikovani elektronski potpis, kvalifikovani elektronski pečat i drugo, </w:t>
      </w:r>
      <w:r w:rsidRPr="007B43C4">
        <w:rPr>
          <w:rFonts w:asciiTheme="majorHAnsi" w:eastAsia="Times New Roman" w:hAnsiTheme="majorHAnsi" w:cstheme="majorHAnsi"/>
          <w:color w:val="auto"/>
          <w:kern w:val="0"/>
          <w:sz w:val="24"/>
          <w:szCs w:val="24"/>
          <w:lang w:eastAsia="en-US"/>
        </w:rPr>
        <w:t>izvršeno je dodatno usklađivanje sa EU Uredbom o elektronskoj identifikaciji i elektronskim uslugama povjerenja za elektronske transakcije na unutarnjem tržištu, br.</w:t>
      </w:r>
      <w:r w:rsidR="0075545E" w:rsidRPr="007B43C4">
        <w:rPr>
          <w:rFonts w:asciiTheme="majorHAnsi" w:eastAsia="Times New Roman" w:hAnsiTheme="majorHAnsi" w:cstheme="majorHAnsi"/>
          <w:color w:val="auto"/>
          <w:kern w:val="0"/>
          <w:sz w:val="24"/>
          <w:szCs w:val="24"/>
          <w:lang w:eastAsia="en-US"/>
        </w:rPr>
        <w:t xml:space="preserve"> </w:t>
      </w:r>
      <w:r w:rsidRPr="007B43C4">
        <w:rPr>
          <w:rFonts w:asciiTheme="majorHAnsi" w:eastAsia="Times New Roman" w:hAnsiTheme="majorHAnsi" w:cstheme="majorHAnsi"/>
          <w:color w:val="auto"/>
          <w:kern w:val="0"/>
          <w:sz w:val="24"/>
          <w:szCs w:val="24"/>
          <w:lang w:eastAsia="en-US"/>
        </w:rPr>
        <w:t>910/2014</w:t>
      </w:r>
      <w:r w:rsidRPr="007B43C4">
        <w:rPr>
          <w:rFonts w:asciiTheme="majorHAnsi" w:eastAsia="Calibri" w:hAnsiTheme="majorHAnsi" w:cstheme="majorHAnsi"/>
          <w:color w:val="auto"/>
          <w:kern w:val="0"/>
          <w:sz w:val="24"/>
          <w:szCs w:val="24"/>
          <w:lang w:eastAsia="en-US"/>
        </w:rPr>
        <w:t xml:space="preserve">. </w:t>
      </w:r>
      <w:r w:rsidR="004505CB" w:rsidRPr="007B43C4">
        <w:rPr>
          <w:rFonts w:asciiTheme="majorHAnsi" w:eastAsia="Calibri" w:hAnsiTheme="majorHAnsi" w:cstheme="majorHAnsi"/>
          <w:color w:val="auto"/>
          <w:kern w:val="0"/>
          <w:sz w:val="24"/>
          <w:szCs w:val="24"/>
          <w:lang w:eastAsia="en-US"/>
        </w:rPr>
        <w:t xml:space="preserve">U toku je usaglašavanje postojećeg Zakona o elektronskom dokumentu, sa gore navedenim izmjenama, kao i unapređenje u cilju propisivanja digitalizacije papirnih dokumenata i ovjere takvih dokumenata. Imajući u vidu da je digitalizacija dokumenata koji su nastali u papiru veoma značajna za ispunjenje ciljeva zakona, predviđeno je da </w:t>
      </w:r>
      <w:r w:rsidR="004505CB" w:rsidRPr="007B43C4">
        <w:rPr>
          <w:rFonts w:asciiTheme="majorHAnsi" w:eastAsia="Calibri" w:hAnsiTheme="majorHAnsi" w:cstheme="majorHAnsi"/>
          <w:b/>
          <w:color w:val="auto"/>
          <w:kern w:val="0"/>
          <w:sz w:val="24"/>
          <w:szCs w:val="24"/>
          <w:lang w:eastAsia="en-US"/>
        </w:rPr>
        <w:t xml:space="preserve">digitalizovani akt </w:t>
      </w:r>
      <w:r w:rsidR="004505CB" w:rsidRPr="007B43C4">
        <w:rPr>
          <w:rFonts w:asciiTheme="majorHAnsi" w:eastAsia="Calibri" w:hAnsiTheme="majorHAnsi" w:cstheme="majorHAnsi"/>
          <w:color w:val="auto"/>
          <w:kern w:val="0"/>
          <w:sz w:val="24"/>
          <w:szCs w:val="24"/>
          <w:lang w:eastAsia="en-US"/>
        </w:rPr>
        <w:t>ima istu dokaznu snagu kao izvorni akt ukoliko je digitalizacija obavljena na zakonom propisan način. Takođe, novina je i da ovjeru odštampanog elektronskog dokumenta na papiru, kao i digitalizovanog dokumenta, osim ovlašćenih lica propisanih Zakonom o ovjeri potpisa, rukopisa i prepisa</w:t>
      </w:r>
      <w:r w:rsidR="0075545E" w:rsidRPr="007B43C4">
        <w:rPr>
          <w:rFonts w:asciiTheme="majorHAnsi" w:eastAsia="Calibri" w:hAnsiTheme="majorHAnsi" w:cstheme="majorHAnsi"/>
          <w:color w:val="auto"/>
          <w:kern w:val="0"/>
          <w:sz w:val="24"/>
          <w:szCs w:val="24"/>
          <w:lang w:eastAsia="en-US"/>
        </w:rPr>
        <w:t>,</w:t>
      </w:r>
      <w:r w:rsidR="004505CB" w:rsidRPr="007B43C4">
        <w:rPr>
          <w:rFonts w:asciiTheme="majorHAnsi" w:eastAsia="Calibri" w:hAnsiTheme="majorHAnsi" w:cstheme="majorHAnsi"/>
          <w:color w:val="auto"/>
          <w:kern w:val="0"/>
          <w:sz w:val="24"/>
          <w:szCs w:val="24"/>
          <w:lang w:eastAsia="en-US"/>
        </w:rPr>
        <w:t xml:space="preserve"> mogu vršiti i nadležni organi propisani Zakonom o elektronskom dokumentu kad se u postupcima koji se vode pred tim organima zahtijeva ovjereni digitalizovani dokument.</w:t>
      </w:r>
    </w:p>
    <w:p w:rsidR="0031303E" w:rsidRPr="007B43C4" w:rsidRDefault="004505CB" w:rsidP="007B43C4">
      <w:pPr>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Značajnu priliku za unapređenje stanja u ovoj oblasti predstavlja uvođenje </w:t>
      </w:r>
      <w:r w:rsidRPr="007B43C4">
        <w:rPr>
          <w:rFonts w:asciiTheme="majorHAnsi" w:eastAsia="Calibri" w:hAnsiTheme="majorHAnsi" w:cstheme="majorHAnsi"/>
          <w:b/>
          <w:color w:val="auto"/>
          <w:kern w:val="0"/>
          <w:sz w:val="24"/>
          <w:szCs w:val="24"/>
          <w:lang w:eastAsia="en-US"/>
        </w:rPr>
        <w:t>nove lične karte</w:t>
      </w:r>
      <w:r w:rsidR="0031303E" w:rsidRPr="007B43C4">
        <w:rPr>
          <w:rFonts w:asciiTheme="majorHAnsi" w:eastAsia="Calibri" w:hAnsiTheme="majorHAnsi" w:cstheme="majorHAnsi"/>
          <w:color w:val="auto"/>
          <w:kern w:val="0"/>
          <w:sz w:val="24"/>
          <w:szCs w:val="24"/>
          <w:lang w:eastAsia="en-US"/>
        </w:rPr>
        <w:t>. Naime, izmjenama i dopunama Zakona o ličnoj karti,</w:t>
      </w:r>
      <w:r w:rsidR="0031303E" w:rsidRPr="007B43C4">
        <w:rPr>
          <w:rFonts w:asciiTheme="majorHAnsi" w:eastAsia="Calibri" w:hAnsiTheme="majorHAnsi" w:cstheme="majorHAnsi"/>
          <w:color w:val="auto"/>
          <w:kern w:val="0"/>
          <w:sz w:val="24"/>
          <w:szCs w:val="24"/>
          <w:vertAlign w:val="superscript"/>
          <w:lang w:eastAsia="en-US"/>
        </w:rPr>
        <w:footnoteReference w:id="45"/>
      </w:r>
      <w:r w:rsidR="0031303E" w:rsidRPr="007B43C4">
        <w:rPr>
          <w:rFonts w:asciiTheme="majorHAnsi" w:eastAsia="Calibri" w:hAnsiTheme="majorHAnsi" w:cstheme="majorHAnsi"/>
          <w:color w:val="auto"/>
          <w:kern w:val="0"/>
          <w:sz w:val="24"/>
          <w:szCs w:val="24"/>
          <w:lang w:eastAsia="en-US"/>
        </w:rPr>
        <w:t xml:space="preserve"> predviđeno je da je lična karta elektronska javna isprava, kao i da sadrži certifikat za elektronsku ide</w:t>
      </w:r>
      <w:r w:rsidR="009C077B" w:rsidRPr="007B43C4">
        <w:rPr>
          <w:rFonts w:asciiTheme="majorHAnsi" w:eastAsia="Calibri" w:hAnsiTheme="majorHAnsi" w:cstheme="majorHAnsi"/>
          <w:color w:val="auto"/>
          <w:kern w:val="0"/>
          <w:sz w:val="24"/>
          <w:szCs w:val="24"/>
          <w:lang w:eastAsia="en-US"/>
        </w:rPr>
        <w:t>ntifikaciju i s</w:t>
      </w:r>
      <w:r w:rsidR="0031303E" w:rsidRPr="007B43C4">
        <w:rPr>
          <w:rFonts w:asciiTheme="majorHAnsi" w:eastAsia="Calibri" w:hAnsiTheme="majorHAnsi" w:cstheme="majorHAnsi"/>
          <w:color w:val="auto"/>
          <w:kern w:val="0"/>
          <w:sz w:val="24"/>
          <w:szCs w:val="24"/>
          <w:lang w:eastAsia="en-US"/>
        </w:rPr>
        <w:t>ertifikat za kvalifikovani elektronski potpis. Usljed pandemije uzrokovane virusom Covid-19, Ministarstvo unutrašnjih poslova otpočelo je izdavanje elektronskih ličnih karata 01.06.2020. godine (do decembra 2020. godine izdalo 68</w:t>
      </w:r>
      <w:r w:rsidR="0075545E" w:rsidRPr="007B43C4">
        <w:rPr>
          <w:rFonts w:asciiTheme="majorHAnsi" w:eastAsia="Calibri" w:hAnsiTheme="majorHAnsi" w:cstheme="majorHAnsi"/>
          <w:color w:val="auto"/>
          <w:kern w:val="0"/>
          <w:sz w:val="24"/>
          <w:szCs w:val="24"/>
          <w:lang w:eastAsia="en-US"/>
        </w:rPr>
        <w:t>.</w:t>
      </w:r>
      <w:r w:rsidR="0031303E" w:rsidRPr="007B43C4">
        <w:rPr>
          <w:rFonts w:asciiTheme="majorHAnsi" w:eastAsia="Calibri" w:hAnsiTheme="majorHAnsi" w:cstheme="majorHAnsi"/>
          <w:color w:val="auto"/>
          <w:kern w:val="0"/>
          <w:sz w:val="24"/>
          <w:szCs w:val="24"/>
          <w:lang w:eastAsia="en-US"/>
        </w:rPr>
        <w:t xml:space="preserve">483 elektronskih ličnih karata crnogorskim građanima). Imajući u vidu da je kvalifikovani elektronski potpis ekvivalentan svojeručnom potpisu na šalteru, besplatno izdavanje elektronskog potpisa za građane i jeftinije izdavanje elektronskog potpisa za privredu (od decembra 2020. godine započet je proces izdavanja elektronskog potpisa sa sniženom cijenom sertifikata za 27.3%) predstavlja značajan potencijal za omasovljavanje korišćenja elektronskih usluga u Crnoj Gori. </w:t>
      </w:r>
    </w:p>
    <w:p w:rsidR="0031303E" w:rsidRPr="007B43C4" w:rsidRDefault="004F01F2" w:rsidP="007B43C4">
      <w:pPr>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Zakonom o elektronskoj identifikaciji i elektronskom potpisu predviđeno je da MJUDDM vrši elektronske usluge povjerenja i kvalifikovane elektronske usluge povjerenja za organe državne uprave, a kad je to propisano zakonom, i za druge organe vlasti. </w:t>
      </w:r>
      <w:r w:rsidR="0031303E" w:rsidRPr="007B43C4">
        <w:rPr>
          <w:rFonts w:asciiTheme="majorHAnsi" w:eastAsia="Calibri" w:hAnsiTheme="majorHAnsi" w:cstheme="majorHAnsi"/>
          <w:color w:val="auto"/>
          <w:kern w:val="0"/>
          <w:sz w:val="24"/>
          <w:szCs w:val="24"/>
          <w:lang w:eastAsia="en-US"/>
        </w:rPr>
        <w:t xml:space="preserve">MJUDDM je od novembra 2009. godine do decembra 2020. godine izdalo 712 </w:t>
      </w:r>
      <w:r w:rsidR="000608D9" w:rsidRPr="007B43C4">
        <w:rPr>
          <w:rFonts w:asciiTheme="majorHAnsi" w:eastAsia="Calibri" w:hAnsiTheme="majorHAnsi" w:cstheme="majorHAnsi"/>
          <w:color w:val="auto"/>
          <w:kern w:val="0"/>
          <w:sz w:val="24"/>
          <w:szCs w:val="24"/>
          <w:lang w:eastAsia="en-US"/>
        </w:rPr>
        <w:t xml:space="preserve">naprednih </w:t>
      </w:r>
      <w:r w:rsidR="0031303E" w:rsidRPr="007B43C4">
        <w:rPr>
          <w:rFonts w:asciiTheme="majorHAnsi" w:eastAsia="Calibri" w:hAnsiTheme="majorHAnsi" w:cstheme="majorHAnsi"/>
          <w:color w:val="auto"/>
          <w:kern w:val="0"/>
          <w:sz w:val="24"/>
          <w:szCs w:val="24"/>
          <w:lang w:eastAsia="en-US"/>
        </w:rPr>
        <w:t>elektronskih potpisa organima državne uprave,</w:t>
      </w:r>
      <w:r w:rsidRPr="007B43C4">
        <w:rPr>
          <w:rFonts w:asciiTheme="majorHAnsi" w:eastAsia="Calibri" w:hAnsiTheme="majorHAnsi" w:cstheme="majorHAnsi"/>
          <w:color w:val="auto"/>
          <w:kern w:val="0"/>
          <w:sz w:val="24"/>
          <w:szCs w:val="24"/>
          <w:lang w:eastAsia="en-US"/>
        </w:rPr>
        <w:t xml:space="preserve"> od kojih je aktivno svega 421.</w:t>
      </w:r>
    </w:p>
    <w:p w:rsidR="0031303E" w:rsidRPr="007B43C4" w:rsidRDefault="0031303E" w:rsidP="007B43C4">
      <w:pPr>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Putem elektronske ankete koja je bila aktivna tokom 2019. godine na </w:t>
      </w:r>
      <w:r w:rsidR="0075545E" w:rsidRPr="007B43C4">
        <w:rPr>
          <w:rFonts w:asciiTheme="majorHAnsi" w:eastAsia="Calibri" w:hAnsiTheme="majorHAnsi" w:cstheme="majorHAnsi"/>
          <w:color w:val="auto"/>
          <w:kern w:val="0"/>
          <w:sz w:val="24"/>
          <w:szCs w:val="24"/>
          <w:lang w:eastAsia="en-US"/>
        </w:rPr>
        <w:t>P</w:t>
      </w:r>
      <w:r w:rsidRPr="007B43C4">
        <w:rPr>
          <w:rFonts w:asciiTheme="majorHAnsi" w:eastAsia="Calibri" w:hAnsiTheme="majorHAnsi" w:cstheme="majorHAnsi"/>
          <w:color w:val="auto"/>
          <w:kern w:val="0"/>
          <w:sz w:val="24"/>
          <w:szCs w:val="24"/>
          <w:lang w:eastAsia="en-US"/>
        </w:rPr>
        <w:t xml:space="preserve">ortalu e-uprave 82.76% korisnika smatra da je podnošenje elektronskog zahtjeva putem </w:t>
      </w:r>
      <w:r w:rsidR="0075545E" w:rsidRPr="007B43C4">
        <w:rPr>
          <w:rFonts w:asciiTheme="majorHAnsi" w:eastAsia="Calibri" w:hAnsiTheme="majorHAnsi" w:cstheme="majorHAnsi"/>
          <w:color w:val="auto"/>
          <w:kern w:val="0"/>
          <w:sz w:val="24"/>
          <w:szCs w:val="24"/>
          <w:lang w:eastAsia="en-US"/>
        </w:rPr>
        <w:t>P</w:t>
      </w:r>
      <w:r w:rsidRPr="007B43C4">
        <w:rPr>
          <w:rFonts w:asciiTheme="majorHAnsi" w:eastAsia="Calibri" w:hAnsiTheme="majorHAnsi" w:cstheme="majorHAnsi"/>
          <w:color w:val="auto"/>
          <w:kern w:val="0"/>
          <w:sz w:val="24"/>
          <w:szCs w:val="24"/>
          <w:lang w:eastAsia="en-US"/>
        </w:rPr>
        <w:t xml:space="preserve">ortala olakšalo postupak dobijanja traženog dokumenta. U 2020. godini mjerenje zadovoljstva elektronskim uslugama je urađeno kroz dodatnu funkcionalnost na </w:t>
      </w:r>
      <w:r w:rsidR="0075545E" w:rsidRPr="007B43C4">
        <w:rPr>
          <w:rFonts w:asciiTheme="majorHAnsi" w:eastAsia="Calibri" w:hAnsiTheme="majorHAnsi" w:cstheme="majorHAnsi"/>
          <w:color w:val="auto"/>
          <w:kern w:val="0"/>
          <w:sz w:val="24"/>
          <w:szCs w:val="24"/>
          <w:lang w:eastAsia="en-US"/>
        </w:rPr>
        <w:t>P</w:t>
      </w:r>
      <w:r w:rsidRPr="007B43C4">
        <w:rPr>
          <w:rFonts w:asciiTheme="majorHAnsi" w:eastAsia="Calibri" w:hAnsiTheme="majorHAnsi" w:cstheme="majorHAnsi"/>
          <w:color w:val="auto"/>
          <w:kern w:val="0"/>
          <w:sz w:val="24"/>
          <w:szCs w:val="24"/>
          <w:lang w:eastAsia="en-US"/>
        </w:rPr>
        <w:t>ortalu e-uprave koja podrazumijeva da korisnici nakon završene e-usluge mogu davati pozitivnu („Like“) odnosno negativnu („Dislike“) ocjenu pružene usluge koju su elektronski završili. Korisnici su ocjenjivali ukupno 38 e-usluga</w:t>
      </w:r>
      <w:r w:rsidR="0075545E" w:rsidRPr="007B43C4">
        <w:rPr>
          <w:rFonts w:asciiTheme="majorHAnsi" w:eastAsia="Calibri" w:hAnsiTheme="majorHAnsi" w:cstheme="majorHAnsi"/>
          <w:color w:val="auto"/>
          <w:kern w:val="0"/>
          <w:sz w:val="24"/>
          <w:szCs w:val="24"/>
          <w:lang w:eastAsia="en-US"/>
        </w:rPr>
        <w:t>,</w:t>
      </w:r>
      <w:r w:rsidRPr="007B43C4">
        <w:rPr>
          <w:rFonts w:asciiTheme="majorHAnsi" w:eastAsia="Calibri" w:hAnsiTheme="majorHAnsi" w:cstheme="majorHAnsi"/>
          <w:color w:val="auto"/>
          <w:kern w:val="0"/>
          <w:sz w:val="24"/>
          <w:szCs w:val="24"/>
          <w:lang w:eastAsia="en-US"/>
        </w:rPr>
        <w:t xml:space="preserve"> a ukupan broj pozitivnih ocjena je 4182</w:t>
      </w:r>
      <w:r w:rsidR="0075545E" w:rsidRPr="007B43C4">
        <w:rPr>
          <w:rFonts w:asciiTheme="majorHAnsi" w:eastAsia="Calibri" w:hAnsiTheme="majorHAnsi" w:cstheme="majorHAnsi"/>
          <w:color w:val="auto"/>
          <w:kern w:val="0"/>
          <w:sz w:val="24"/>
          <w:szCs w:val="24"/>
          <w:lang w:eastAsia="en-US"/>
        </w:rPr>
        <w:t>,</w:t>
      </w:r>
      <w:r w:rsidRPr="007B43C4">
        <w:rPr>
          <w:rFonts w:asciiTheme="majorHAnsi" w:eastAsia="Calibri" w:hAnsiTheme="majorHAnsi" w:cstheme="majorHAnsi"/>
          <w:color w:val="auto"/>
          <w:kern w:val="0"/>
          <w:sz w:val="24"/>
          <w:szCs w:val="24"/>
          <w:lang w:eastAsia="en-US"/>
        </w:rPr>
        <w:t xml:space="preserve"> dok je njih 55 dalo negativnu ocjenu, što predstavlja procenat od 98.70% zadovoljnih korisnika koji su koristili e-usluge na </w:t>
      </w:r>
      <w:r w:rsidR="0075545E" w:rsidRPr="007B43C4">
        <w:rPr>
          <w:rFonts w:asciiTheme="majorHAnsi" w:eastAsia="Calibri" w:hAnsiTheme="majorHAnsi" w:cstheme="majorHAnsi"/>
          <w:color w:val="auto"/>
          <w:kern w:val="0"/>
          <w:sz w:val="24"/>
          <w:szCs w:val="24"/>
          <w:lang w:eastAsia="en-US"/>
        </w:rPr>
        <w:t>P</w:t>
      </w:r>
      <w:r w:rsidRPr="007B43C4">
        <w:rPr>
          <w:rFonts w:asciiTheme="majorHAnsi" w:eastAsia="Calibri" w:hAnsiTheme="majorHAnsi" w:cstheme="majorHAnsi"/>
          <w:color w:val="auto"/>
          <w:kern w:val="0"/>
          <w:sz w:val="24"/>
          <w:szCs w:val="24"/>
          <w:lang w:eastAsia="en-US"/>
        </w:rPr>
        <w:t>ortalu.</w:t>
      </w:r>
    </w:p>
    <w:p w:rsidR="0031303E" w:rsidRPr="007B43C4" w:rsidRDefault="0031303E" w:rsidP="007B43C4">
      <w:pPr>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Oslanjajući se na istraživanje Balkanskog barometra koje se, po uzoru na Evropski barometar, sprovodi u zemljama Zapadnog Balkana, Evropska komisija je konstatovala </w:t>
      </w:r>
      <w:r w:rsidRPr="007B43C4">
        <w:rPr>
          <w:rFonts w:asciiTheme="majorHAnsi" w:eastAsia="Calibri" w:hAnsiTheme="majorHAnsi" w:cstheme="majorHAnsi"/>
          <w:b/>
          <w:color w:val="auto"/>
          <w:kern w:val="0"/>
          <w:sz w:val="24"/>
          <w:szCs w:val="24"/>
          <w:lang w:eastAsia="en-US"/>
        </w:rPr>
        <w:t>porast zadovoljstva građana uslugama uprave na centralnom nivou</w:t>
      </w:r>
      <w:r w:rsidRPr="007B43C4">
        <w:rPr>
          <w:rFonts w:asciiTheme="majorHAnsi" w:eastAsia="Calibri" w:hAnsiTheme="majorHAnsi" w:cstheme="majorHAnsi"/>
          <w:color w:val="auto"/>
          <w:kern w:val="0"/>
          <w:sz w:val="24"/>
          <w:szCs w:val="24"/>
          <w:lang w:eastAsia="en-US"/>
        </w:rPr>
        <w:t xml:space="preserve"> na 66% u 2019. godini sa 42% koliko je bilo 2017. godine. U </w:t>
      </w:r>
      <w:r w:rsidRPr="007B43C4">
        <w:rPr>
          <w:rFonts w:asciiTheme="majorHAnsi" w:eastAsia="Calibri" w:hAnsiTheme="majorHAnsi" w:cstheme="majorHAnsi"/>
          <w:color w:val="auto"/>
          <w:kern w:val="0"/>
          <w:sz w:val="24"/>
          <w:szCs w:val="24"/>
          <w:lang w:eastAsia="en-US"/>
        </w:rPr>
        <w:lastRenderedPageBreak/>
        <w:t>poređenju sa rezultatima prethodnog PAR Monitora i promjenama u vezi sa građanskim percipiranjem jednostavnosti procesa javne administracije, Crna Gora bilježi porast od 14%.</w:t>
      </w:r>
      <w:r w:rsidRPr="007B43C4">
        <w:rPr>
          <w:rFonts w:asciiTheme="majorHAnsi" w:eastAsia="Calibri" w:hAnsiTheme="majorHAnsi" w:cstheme="majorHAnsi"/>
          <w:color w:val="auto"/>
          <w:kern w:val="0"/>
          <w:sz w:val="24"/>
          <w:szCs w:val="24"/>
          <w:vertAlign w:val="superscript"/>
          <w:lang w:eastAsia="en-US"/>
        </w:rPr>
        <w:footnoteReference w:id="46"/>
      </w:r>
      <w:r w:rsidRPr="007B43C4">
        <w:rPr>
          <w:rFonts w:asciiTheme="majorHAnsi" w:eastAsia="Calibri" w:hAnsiTheme="majorHAnsi" w:cstheme="majorHAnsi"/>
          <w:color w:val="auto"/>
          <w:kern w:val="0"/>
          <w:sz w:val="24"/>
          <w:szCs w:val="24"/>
          <w:lang w:eastAsia="en-US"/>
        </w:rPr>
        <w:t xml:space="preserve"> Kada je u pitanju upotreba </w:t>
      </w:r>
      <w:r w:rsidRPr="007B43C4">
        <w:rPr>
          <w:rFonts w:asciiTheme="majorHAnsi" w:eastAsia="Calibri" w:hAnsiTheme="majorHAnsi" w:cstheme="majorHAnsi"/>
          <w:b/>
          <w:color w:val="auto"/>
          <w:kern w:val="0"/>
          <w:sz w:val="24"/>
          <w:szCs w:val="24"/>
          <w:lang w:eastAsia="en-US"/>
        </w:rPr>
        <w:t>elektronskih usluga</w:t>
      </w:r>
      <w:r w:rsidRPr="007B43C4">
        <w:rPr>
          <w:rFonts w:asciiTheme="majorHAnsi" w:eastAsia="Calibri" w:hAnsiTheme="majorHAnsi" w:cstheme="majorHAnsi"/>
          <w:color w:val="auto"/>
          <w:kern w:val="0"/>
          <w:sz w:val="24"/>
          <w:szCs w:val="24"/>
          <w:lang w:eastAsia="en-US"/>
        </w:rPr>
        <w:t xml:space="preserve">, OECD je u svom izvještaju </w:t>
      </w:r>
      <w:r w:rsidRPr="007B43C4">
        <w:rPr>
          <w:rFonts w:asciiTheme="majorHAnsi" w:eastAsia="Calibri" w:hAnsiTheme="majorHAnsi" w:cstheme="majorHAnsi"/>
          <w:i/>
          <w:color w:val="auto"/>
          <w:kern w:val="0"/>
          <w:sz w:val="24"/>
          <w:szCs w:val="24"/>
          <w:lang w:eastAsia="en-US"/>
        </w:rPr>
        <w:t>Government at a Glance: Western Balkans</w:t>
      </w:r>
      <w:r w:rsidRPr="007B43C4">
        <w:rPr>
          <w:rFonts w:asciiTheme="majorHAnsi" w:eastAsia="Calibri" w:hAnsiTheme="majorHAnsi" w:cstheme="majorHAnsi"/>
          <w:color w:val="auto"/>
          <w:kern w:val="0"/>
          <w:sz w:val="24"/>
          <w:szCs w:val="24"/>
          <w:lang w:eastAsia="en-US"/>
        </w:rPr>
        <w:t xml:space="preserve"> iz 2020</w:t>
      </w:r>
      <w:r w:rsidR="0075545E" w:rsidRPr="007B43C4">
        <w:rPr>
          <w:rFonts w:asciiTheme="majorHAnsi" w:eastAsia="Calibri" w:hAnsiTheme="majorHAnsi" w:cstheme="majorHAnsi"/>
          <w:color w:val="auto"/>
          <w:kern w:val="0"/>
          <w:sz w:val="24"/>
          <w:szCs w:val="24"/>
          <w:lang w:eastAsia="en-US"/>
        </w:rPr>
        <w:t>.</w:t>
      </w:r>
      <w:r w:rsidRPr="007B43C4">
        <w:rPr>
          <w:rFonts w:asciiTheme="majorHAnsi" w:eastAsia="Calibri" w:hAnsiTheme="majorHAnsi" w:cstheme="majorHAnsi"/>
          <w:color w:val="auto"/>
          <w:kern w:val="0"/>
          <w:sz w:val="24"/>
          <w:szCs w:val="24"/>
          <w:lang w:eastAsia="en-US"/>
        </w:rPr>
        <w:t xml:space="preserve"> godine konstatovao da zemlje Zapadnog Balkana zaostaju u odnosu na zemlje OECD-EU. Po istraživanju Ujedinjenih Nacija (UN eGovernment Survey 2020) Crna Gora bilježi pad u odnosu na prethodne godine, te je na listi svjetskog razvoja eGovernmenta na 75. mjestu.</w:t>
      </w:r>
    </w:p>
    <w:p w:rsidR="00684DBD" w:rsidRPr="007B43C4" w:rsidRDefault="00684DBD" w:rsidP="007B43C4">
      <w:pPr>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Strategijom reforme javne uprave 2016 – 2020. godine konstatovano je da u Crnoj Gori ne postoji </w:t>
      </w:r>
      <w:r w:rsidRPr="007B43C4">
        <w:rPr>
          <w:rFonts w:asciiTheme="majorHAnsi" w:eastAsia="Calibri" w:hAnsiTheme="majorHAnsi" w:cstheme="majorHAnsi"/>
          <w:b/>
          <w:color w:val="auto"/>
          <w:kern w:val="0"/>
          <w:sz w:val="24"/>
          <w:szCs w:val="24"/>
          <w:lang w:eastAsia="en-US"/>
        </w:rPr>
        <w:t>metod za upravljanje kvalitetom u oblasti pružanja usluga niti procesa rada</w:t>
      </w:r>
      <w:r w:rsidRPr="007B43C4">
        <w:rPr>
          <w:rFonts w:asciiTheme="majorHAnsi" w:eastAsia="Calibri" w:hAnsiTheme="majorHAnsi" w:cstheme="majorHAnsi"/>
          <w:color w:val="auto"/>
          <w:kern w:val="0"/>
          <w:sz w:val="24"/>
          <w:szCs w:val="24"/>
          <w:lang w:eastAsia="en-US"/>
        </w:rPr>
        <w:t xml:space="preserve">. Nakon osnivanja  Ministarstva javne uprave i Direktorata za dobru javnu upravu i djelovanje nevladinih organizacija, koje u svojoj nadležnosti ima monitoring reforme javne uprave i implemtaciju Stategije, odlučeno je da se pokrene inicjativa za implementaciju </w:t>
      </w:r>
      <w:r w:rsidRPr="007B43C4">
        <w:rPr>
          <w:rFonts w:asciiTheme="majorHAnsi" w:eastAsia="Calibri" w:hAnsiTheme="majorHAnsi" w:cstheme="majorHAnsi"/>
          <w:b/>
          <w:color w:val="auto"/>
          <w:kern w:val="0"/>
          <w:sz w:val="24"/>
          <w:szCs w:val="24"/>
          <w:lang w:eastAsia="en-US"/>
        </w:rPr>
        <w:t>CAF metoda</w:t>
      </w:r>
      <w:r w:rsidRPr="007B43C4">
        <w:rPr>
          <w:rFonts w:asciiTheme="majorHAnsi" w:eastAsia="Calibri" w:hAnsiTheme="majorHAnsi" w:cstheme="majorHAnsi"/>
          <w:color w:val="auto"/>
          <w:kern w:val="0"/>
          <w:sz w:val="24"/>
          <w:szCs w:val="24"/>
          <w:lang w:eastAsia="en-US"/>
        </w:rPr>
        <w:t xml:space="preserve"> i po prvi put implementira navedni model. Sredinom jula 2020. godine, MJU je postalo dio EUPAN mreže, te je Crna Gora je uključena u aktivnosti Zajedničkog okvira procjene (eng. Common Assessment Framework-CAF). Sistem upravljanja kvalitetom se između ostalog sastoji od optimizacije tj. povećanja efikasnosti poslovnih procesa i standardizacije tj. ujednačavanja poslovnih procesa komparativnih organizacija u javnoj upravi. Analiza potreba korisnika javnih usluga po životnim situacijama takođe predstavlja osnovu za izradu i uvođenje Metodologije za optimizaciju i standardizaciju procesa u javnu upravu.</w:t>
      </w:r>
    </w:p>
    <w:p w:rsidR="00684DBD" w:rsidRPr="007B43C4" w:rsidRDefault="00684DBD" w:rsidP="007B43C4">
      <w:pPr>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Uspostavljen je </w:t>
      </w:r>
      <w:r w:rsidRPr="007B43C4">
        <w:rPr>
          <w:rFonts w:asciiTheme="majorHAnsi" w:eastAsia="Calibri" w:hAnsiTheme="majorHAnsi" w:cstheme="majorHAnsi"/>
          <w:b/>
          <w:color w:val="auto"/>
          <w:kern w:val="0"/>
          <w:sz w:val="24"/>
          <w:szCs w:val="24"/>
          <w:lang w:eastAsia="en-US"/>
        </w:rPr>
        <w:t>regionalni centar za upravljanje kvalitetom</w:t>
      </w:r>
      <w:r w:rsidRPr="007B43C4">
        <w:rPr>
          <w:rFonts w:asciiTheme="majorHAnsi" w:eastAsia="Calibri" w:hAnsiTheme="majorHAnsi" w:cstheme="majorHAnsi"/>
          <w:color w:val="auto"/>
          <w:kern w:val="0"/>
          <w:sz w:val="24"/>
          <w:szCs w:val="24"/>
          <w:lang w:eastAsia="en-US"/>
        </w:rPr>
        <w:t xml:space="preserve"> u javnim upravama Zapadnog Balkana u okviru međunarodne, regionalne organizacije: Regionalne škole za državnu upravu – ReSPA. Centar će pomagati javnim upravama da sprovode reformu sektora javne uprave gdje se to odnosi na upravljanje kvalitetom. </w:t>
      </w:r>
      <w:r w:rsidR="001949E5" w:rsidRPr="007B43C4">
        <w:rPr>
          <w:rFonts w:asciiTheme="majorHAnsi" w:eastAsia="Calibri" w:hAnsiTheme="majorHAnsi" w:cstheme="majorHAnsi"/>
          <w:color w:val="auto"/>
          <w:kern w:val="0"/>
          <w:sz w:val="24"/>
          <w:szCs w:val="24"/>
          <w:lang w:eastAsia="en-US"/>
        </w:rPr>
        <w:t>Takođe, p</w:t>
      </w:r>
      <w:r w:rsidRPr="007B43C4">
        <w:rPr>
          <w:rFonts w:asciiTheme="majorHAnsi" w:eastAsia="Calibri" w:hAnsiTheme="majorHAnsi" w:cstheme="majorHAnsi"/>
          <w:color w:val="auto"/>
          <w:kern w:val="0"/>
          <w:sz w:val="24"/>
          <w:szCs w:val="24"/>
          <w:lang w:eastAsia="en-US"/>
        </w:rPr>
        <w:t>okrenuta je inicijativa između Privredne komore CG</w:t>
      </w:r>
      <w:r w:rsidR="001949E5" w:rsidRPr="007B43C4">
        <w:rPr>
          <w:rFonts w:asciiTheme="majorHAnsi" w:eastAsia="Calibri" w:hAnsiTheme="majorHAnsi" w:cstheme="majorHAnsi"/>
          <w:color w:val="auto"/>
          <w:kern w:val="0"/>
          <w:sz w:val="24"/>
          <w:szCs w:val="24"/>
          <w:lang w:eastAsia="en-US"/>
        </w:rPr>
        <w:t xml:space="preserve"> u okviru koje je formiran  Koordinacioni odbor za kvalitet </w:t>
      </w:r>
      <w:r w:rsidRPr="007B43C4">
        <w:rPr>
          <w:rFonts w:asciiTheme="majorHAnsi" w:eastAsia="Calibri" w:hAnsiTheme="majorHAnsi" w:cstheme="majorHAnsi"/>
          <w:color w:val="auto"/>
          <w:kern w:val="0"/>
          <w:sz w:val="24"/>
          <w:szCs w:val="24"/>
          <w:lang w:eastAsia="en-US"/>
        </w:rPr>
        <w:t xml:space="preserve"> i Ministarstva</w:t>
      </w:r>
      <w:r w:rsidR="00CB7C6A" w:rsidRPr="007B43C4">
        <w:rPr>
          <w:rFonts w:asciiTheme="majorHAnsi" w:eastAsia="Calibri" w:hAnsiTheme="majorHAnsi" w:cstheme="majorHAnsi"/>
          <w:color w:val="auto"/>
          <w:kern w:val="0"/>
          <w:sz w:val="24"/>
          <w:szCs w:val="24"/>
          <w:lang w:eastAsia="en-US"/>
        </w:rPr>
        <w:t xml:space="preserve"> javne uprave, digitalnog društva i medija</w:t>
      </w:r>
      <w:r w:rsidRPr="007B43C4">
        <w:rPr>
          <w:rFonts w:asciiTheme="majorHAnsi" w:eastAsia="Calibri" w:hAnsiTheme="majorHAnsi" w:cstheme="majorHAnsi"/>
          <w:color w:val="auto"/>
          <w:kern w:val="0"/>
          <w:sz w:val="24"/>
          <w:szCs w:val="24"/>
          <w:lang w:eastAsia="en-US"/>
        </w:rPr>
        <w:t xml:space="preserve">  o saradnji i, kako bi se i na ovaj način promovisalo upravljanje kvalitetom i unaprijedio rad javne uprave, kako kroz optimizaciju, tako i standardizaciju poslovnih procesa, kako bi se kvaliteta usluga koje pruža javna uprava </w:t>
      </w:r>
      <w:r w:rsidR="004F01F2" w:rsidRPr="007B43C4">
        <w:rPr>
          <w:rFonts w:asciiTheme="majorHAnsi" w:eastAsia="Calibri" w:hAnsiTheme="majorHAnsi" w:cstheme="majorHAnsi"/>
          <w:color w:val="auto"/>
          <w:kern w:val="0"/>
          <w:sz w:val="24"/>
          <w:szCs w:val="24"/>
          <w:lang w:eastAsia="en-US"/>
        </w:rPr>
        <w:t>uskladio s potrebama korisnika.</w:t>
      </w:r>
    </w:p>
    <w:p w:rsidR="0031303E" w:rsidRPr="007B43C4" w:rsidRDefault="0031303E" w:rsidP="00B43D4E">
      <w:pPr>
        <w:pStyle w:val="ListParagraph"/>
        <w:keepNext/>
        <w:keepLines/>
        <w:numPr>
          <w:ilvl w:val="0"/>
          <w:numId w:val="28"/>
        </w:numPr>
        <w:spacing w:before="120" w:after="120" w:line="240" w:lineRule="auto"/>
        <w:ind w:right="-475"/>
        <w:contextualSpacing w:val="0"/>
        <w:outlineLvl w:val="2"/>
        <w:rPr>
          <w:rFonts w:asciiTheme="majorHAnsi" w:eastAsia="Calibri" w:hAnsiTheme="majorHAnsi" w:cstheme="majorHAnsi"/>
          <w:b/>
          <w:color w:val="auto"/>
          <w:kern w:val="0"/>
          <w:sz w:val="24"/>
          <w:szCs w:val="24"/>
        </w:rPr>
      </w:pPr>
      <w:bookmarkStart w:id="19" w:name="_Toc87353398"/>
      <w:r w:rsidRPr="007B43C4">
        <w:rPr>
          <w:rFonts w:asciiTheme="majorHAnsi" w:eastAsia="Calibri" w:hAnsiTheme="majorHAnsi" w:cstheme="majorHAnsi"/>
          <w:b/>
          <w:color w:val="auto"/>
          <w:kern w:val="0"/>
          <w:sz w:val="24"/>
          <w:szCs w:val="24"/>
        </w:rPr>
        <w:t>IDENTIFIKOVANI PROBLEMI</w:t>
      </w:r>
      <w:bookmarkEnd w:id="19"/>
    </w:p>
    <w:p w:rsidR="0031303E" w:rsidRPr="007B43C4" w:rsidRDefault="0031303E" w:rsidP="00B43D4E">
      <w:pPr>
        <w:pStyle w:val="ListParagraph"/>
        <w:numPr>
          <w:ilvl w:val="0"/>
          <w:numId w:val="24"/>
        </w:numPr>
        <w:tabs>
          <w:tab w:val="left" w:pos="850"/>
          <w:tab w:val="left" w:pos="1191"/>
          <w:tab w:val="left" w:pos="1531"/>
        </w:tabs>
        <w:spacing w:before="60" w:after="60" w:line="240" w:lineRule="auto"/>
        <w:ind w:left="270" w:right="-471" w:hanging="270"/>
        <w:contextualSpacing w:val="0"/>
        <w:jc w:val="both"/>
        <w:rPr>
          <w:rFonts w:asciiTheme="majorHAnsi" w:eastAsia="Calibri" w:hAnsiTheme="majorHAnsi" w:cstheme="majorHAnsi"/>
          <w:b/>
          <w:i/>
          <w:color w:val="auto"/>
          <w:kern w:val="0"/>
          <w:sz w:val="24"/>
          <w:szCs w:val="24"/>
          <w:lang w:eastAsia="en-US"/>
        </w:rPr>
      </w:pPr>
      <w:r w:rsidRPr="007B43C4">
        <w:rPr>
          <w:rFonts w:asciiTheme="majorHAnsi" w:eastAsia="Calibri" w:hAnsiTheme="majorHAnsi" w:cstheme="majorHAnsi"/>
          <w:b/>
          <w:i/>
          <w:color w:val="auto"/>
          <w:kern w:val="0"/>
          <w:sz w:val="24"/>
          <w:szCs w:val="24"/>
          <w:lang w:eastAsia="en-US"/>
        </w:rPr>
        <w:t>Nedovoljno efikasno pružanje usluga – upravne usluge obuhvataju pretjerano birokratske, skupe i dugotrajne procedure koje utiču na njihov kvalitet i zadovoljstvo korisnika</w:t>
      </w:r>
    </w:p>
    <w:p w:rsidR="0075545E" w:rsidRPr="007B43C4" w:rsidRDefault="001917C8" w:rsidP="007B43C4">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Prema podacima iz Izvještaja o postupanju u upravnim stvarima javnopravnih organa za 2020. godinu, u radu javnopravnih organa na centralnom i na lokalnom nivou bilo je </w:t>
      </w:r>
      <w:r w:rsidR="00F53EEF" w:rsidRPr="007B43C4">
        <w:rPr>
          <w:rFonts w:asciiTheme="majorHAnsi" w:eastAsia="Calibri" w:hAnsiTheme="majorHAnsi" w:cstheme="majorHAnsi"/>
          <w:color w:val="auto"/>
          <w:kern w:val="0"/>
          <w:sz w:val="24"/>
          <w:szCs w:val="24"/>
          <w:lang w:eastAsia="en-US"/>
        </w:rPr>
        <w:t>preko 2 miliona predmeta</w:t>
      </w:r>
      <w:r w:rsidR="0075545E" w:rsidRPr="007B43C4">
        <w:rPr>
          <w:rFonts w:asciiTheme="majorHAnsi" w:eastAsia="Calibri" w:hAnsiTheme="majorHAnsi" w:cstheme="majorHAnsi"/>
          <w:color w:val="auto"/>
          <w:kern w:val="0"/>
          <w:sz w:val="24"/>
          <w:szCs w:val="24"/>
          <w:lang w:eastAsia="en-US"/>
        </w:rPr>
        <w:t>.</w:t>
      </w:r>
      <w:r w:rsidR="00F53EEF" w:rsidRPr="007B43C4">
        <w:rPr>
          <w:rStyle w:val="FootnoteReference"/>
          <w:rFonts w:asciiTheme="majorHAnsi" w:eastAsia="Calibri" w:hAnsiTheme="majorHAnsi" w:cstheme="majorHAnsi"/>
          <w:color w:val="auto"/>
          <w:kern w:val="0"/>
          <w:sz w:val="24"/>
          <w:szCs w:val="24"/>
          <w:lang w:eastAsia="en-US"/>
        </w:rPr>
        <w:footnoteReference w:id="47"/>
      </w:r>
      <w:r w:rsidR="0075545E" w:rsidRPr="007B43C4">
        <w:rPr>
          <w:rFonts w:asciiTheme="majorHAnsi" w:eastAsia="Calibri" w:hAnsiTheme="majorHAnsi" w:cstheme="majorHAnsi"/>
          <w:color w:val="auto"/>
          <w:kern w:val="0"/>
          <w:sz w:val="24"/>
          <w:szCs w:val="24"/>
          <w:lang w:eastAsia="en-US"/>
        </w:rPr>
        <w:t xml:space="preserve"> </w:t>
      </w:r>
      <w:r w:rsidRPr="007B43C4">
        <w:rPr>
          <w:rFonts w:asciiTheme="majorHAnsi" w:eastAsia="Calibri" w:hAnsiTheme="majorHAnsi" w:cstheme="majorHAnsi"/>
          <w:color w:val="auto"/>
          <w:kern w:val="0"/>
          <w:sz w:val="24"/>
          <w:szCs w:val="24"/>
          <w:lang w:eastAsia="en-US"/>
        </w:rPr>
        <w:t>U prvostepenom postupku, efikasnost rješavanja upravnih predmeta je na nižem nivou u odnosu na 2019. godinu. U odnosu na ukupan broj predmeta u 2020. godini, procenat neriješenih predmeta kod organa na centralnom nivou je 4,01%, dok je na lokalnom nivou taj procenat znatno veći i iznosi 15,51%. Na efikasnost rada administracije nesporno je uticala epidemija izazvana Covid</w:t>
      </w:r>
      <w:r w:rsidR="0075545E" w:rsidRPr="007B43C4">
        <w:rPr>
          <w:rFonts w:asciiTheme="majorHAnsi" w:eastAsia="Calibri" w:hAnsiTheme="majorHAnsi" w:cstheme="majorHAnsi"/>
          <w:color w:val="auto"/>
          <w:kern w:val="0"/>
          <w:sz w:val="24"/>
          <w:szCs w:val="24"/>
          <w:lang w:eastAsia="en-US"/>
        </w:rPr>
        <w:t>19</w:t>
      </w:r>
      <w:r w:rsidRPr="007B43C4">
        <w:rPr>
          <w:rFonts w:asciiTheme="majorHAnsi" w:eastAsia="Calibri" w:hAnsiTheme="majorHAnsi" w:cstheme="majorHAnsi"/>
          <w:color w:val="auto"/>
          <w:kern w:val="0"/>
          <w:sz w:val="24"/>
          <w:szCs w:val="24"/>
          <w:lang w:eastAsia="en-US"/>
        </w:rPr>
        <w:t xml:space="preserve">, ali i drugi faktori koji zahtijevaju preduzimanje mjera u cilju unapređenja </w:t>
      </w:r>
      <w:r w:rsidRPr="007B43C4">
        <w:rPr>
          <w:rFonts w:asciiTheme="majorHAnsi" w:eastAsia="Calibri" w:hAnsiTheme="majorHAnsi" w:cstheme="majorHAnsi"/>
          <w:b/>
          <w:color w:val="auto"/>
          <w:kern w:val="0"/>
          <w:sz w:val="24"/>
          <w:szCs w:val="24"/>
          <w:lang w:eastAsia="en-US"/>
        </w:rPr>
        <w:t>efikasnosti rada organa u rješavanju upravnih stvari</w:t>
      </w:r>
      <w:r w:rsidRPr="007B43C4">
        <w:rPr>
          <w:rFonts w:asciiTheme="majorHAnsi" w:eastAsia="Calibri" w:hAnsiTheme="majorHAnsi" w:cstheme="majorHAnsi"/>
          <w:color w:val="auto"/>
          <w:kern w:val="0"/>
          <w:sz w:val="24"/>
          <w:szCs w:val="24"/>
          <w:lang w:eastAsia="en-US"/>
        </w:rPr>
        <w:t>. Dobar pokazatelj je da je mali procenat izjavljenih žalbi protiv odluka javnopravnih organa, u odnosu na ukupan broj riješenih predmeta u 2020. godini (</w:t>
      </w:r>
      <w:r w:rsidRPr="007B43C4">
        <w:rPr>
          <w:rFonts w:asciiTheme="majorHAnsi" w:eastAsia="Calibri" w:hAnsiTheme="majorHAnsi" w:cstheme="majorHAnsi"/>
          <w:color w:val="auto"/>
          <w:kern w:val="0"/>
          <w:sz w:val="24"/>
          <w:szCs w:val="24"/>
          <w:u w:val="single"/>
          <w:lang w:eastAsia="en-US"/>
        </w:rPr>
        <w:t>procenat izjavljenih žalbi</w:t>
      </w:r>
      <w:r w:rsidRPr="007B43C4">
        <w:rPr>
          <w:rFonts w:asciiTheme="majorHAnsi" w:eastAsia="Calibri" w:hAnsiTheme="majorHAnsi" w:cstheme="majorHAnsi"/>
          <w:color w:val="auto"/>
          <w:kern w:val="0"/>
          <w:sz w:val="24"/>
          <w:szCs w:val="24"/>
          <w:lang w:eastAsia="en-US"/>
        </w:rPr>
        <w:t xml:space="preserve"> na centralnom nivou je 0,62%, dok je na lokalnom nivou taj procenat 0,88%). </w:t>
      </w:r>
      <w:r w:rsidRPr="007B43C4">
        <w:rPr>
          <w:rFonts w:asciiTheme="majorHAnsi" w:eastAsia="Calibri" w:hAnsiTheme="majorHAnsi" w:cstheme="majorHAnsi"/>
          <w:color w:val="auto"/>
          <w:kern w:val="0"/>
          <w:sz w:val="24"/>
          <w:szCs w:val="24"/>
          <w:u w:val="single"/>
          <w:lang w:eastAsia="en-US"/>
        </w:rPr>
        <w:t xml:space="preserve">Procenat poništenih prvostepenih </w:t>
      </w:r>
      <w:r w:rsidRPr="007B43C4">
        <w:rPr>
          <w:rFonts w:asciiTheme="majorHAnsi" w:eastAsia="Calibri" w:hAnsiTheme="majorHAnsi" w:cstheme="majorHAnsi"/>
          <w:color w:val="auto"/>
          <w:kern w:val="0"/>
          <w:sz w:val="24"/>
          <w:szCs w:val="24"/>
          <w:u w:val="single"/>
          <w:lang w:eastAsia="en-US"/>
        </w:rPr>
        <w:lastRenderedPageBreak/>
        <w:t xml:space="preserve">rješenja od strane drugostepenih organa </w:t>
      </w:r>
      <w:r w:rsidRPr="007B43C4">
        <w:rPr>
          <w:rFonts w:asciiTheme="majorHAnsi" w:eastAsia="Calibri" w:hAnsiTheme="majorHAnsi" w:cstheme="majorHAnsi"/>
          <w:color w:val="auto"/>
          <w:kern w:val="0"/>
          <w:sz w:val="24"/>
          <w:szCs w:val="24"/>
          <w:lang w:eastAsia="en-US"/>
        </w:rPr>
        <w:t xml:space="preserve">na centralnom nivou je 52,06%, što je znatno više u odnosu na prošli izvještajni period (22,73%). Za razliku od centralnog nivoa, procenat odbijenih žalbi (40,02%) i usvojenih kada je predmet vraćen na ponovno odlučivanje (39,39%) je približno isti na lokalnom nivou. </w:t>
      </w:r>
    </w:p>
    <w:p w:rsidR="001917C8" w:rsidRPr="007B43C4" w:rsidRDefault="001917C8" w:rsidP="007B43C4">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Kod organa centralnog nivoa povećan je </w:t>
      </w:r>
      <w:r w:rsidRPr="007B43C4">
        <w:rPr>
          <w:rFonts w:asciiTheme="majorHAnsi" w:eastAsia="Calibri" w:hAnsiTheme="majorHAnsi" w:cstheme="majorHAnsi"/>
          <w:color w:val="auto"/>
          <w:kern w:val="0"/>
          <w:sz w:val="24"/>
          <w:szCs w:val="24"/>
          <w:u w:val="single"/>
          <w:lang w:eastAsia="en-US"/>
        </w:rPr>
        <w:t>procenat podnijetih tužbi Upravnom sudu</w:t>
      </w:r>
      <w:r w:rsidRPr="007B43C4">
        <w:rPr>
          <w:rFonts w:asciiTheme="majorHAnsi" w:eastAsia="Calibri" w:hAnsiTheme="majorHAnsi" w:cstheme="majorHAnsi"/>
          <w:color w:val="auto"/>
          <w:kern w:val="0"/>
          <w:sz w:val="24"/>
          <w:szCs w:val="24"/>
          <w:lang w:eastAsia="en-US"/>
        </w:rPr>
        <w:t xml:space="preserve"> i iznosi 31,88%, dok je u prošlom izvještajnom periodu, taj procenat iznosio 28%. Za razliku od centralnog nivoa, kod organa na lokalnom nivou procenat podnijetih tužbi u odnosu na broj riješenih predmeta je 21,75%, što je značajno smanjenje u odnosu na komparativni period, kada je taj procenat iznosio 56%. U postupku </w:t>
      </w:r>
      <w:r w:rsidRPr="007B43C4">
        <w:rPr>
          <w:rFonts w:asciiTheme="majorHAnsi" w:eastAsia="Calibri" w:hAnsiTheme="majorHAnsi" w:cstheme="majorHAnsi"/>
          <w:color w:val="auto"/>
          <w:kern w:val="0"/>
          <w:sz w:val="24"/>
          <w:szCs w:val="24"/>
          <w:u w:val="single"/>
          <w:lang w:eastAsia="en-US"/>
        </w:rPr>
        <w:t>preispitivanja zakonitosti odluka organa od strane Upravnog suda</w:t>
      </w:r>
      <w:r w:rsidRPr="007B43C4">
        <w:rPr>
          <w:rFonts w:asciiTheme="majorHAnsi" w:eastAsia="Calibri" w:hAnsiTheme="majorHAnsi" w:cstheme="majorHAnsi"/>
          <w:b/>
          <w:color w:val="auto"/>
          <w:kern w:val="0"/>
          <w:sz w:val="24"/>
          <w:szCs w:val="24"/>
          <w:lang w:eastAsia="en-US"/>
        </w:rPr>
        <w:t xml:space="preserve">, </w:t>
      </w:r>
      <w:r w:rsidRPr="007B43C4">
        <w:rPr>
          <w:rFonts w:asciiTheme="majorHAnsi" w:eastAsia="Calibri" w:hAnsiTheme="majorHAnsi" w:cstheme="majorHAnsi"/>
          <w:color w:val="auto"/>
          <w:kern w:val="0"/>
          <w:sz w:val="24"/>
          <w:szCs w:val="24"/>
          <w:lang w:eastAsia="en-US"/>
        </w:rPr>
        <w:t xml:space="preserve">povećan </w:t>
      </w:r>
      <w:r w:rsidRPr="007B43C4">
        <w:rPr>
          <w:rFonts w:asciiTheme="majorHAnsi" w:eastAsia="Calibri" w:hAnsiTheme="majorHAnsi" w:cstheme="majorHAnsi"/>
          <w:color w:val="auto"/>
          <w:kern w:val="0"/>
          <w:sz w:val="24"/>
          <w:szCs w:val="24"/>
          <w:u w:val="single"/>
          <w:lang w:eastAsia="en-US"/>
        </w:rPr>
        <w:t>je procenat poništenih rješenja</w:t>
      </w:r>
      <w:r w:rsidRPr="007B43C4">
        <w:rPr>
          <w:rFonts w:asciiTheme="majorHAnsi" w:eastAsia="Calibri" w:hAnsiTheme="majorHAnsi" w:cstheme="majorHAnsi"/>
          <w:color w:val="auto"/>
          <w:kern w:val="0"/>
          <w:sz w:val="24"/>
          <w:szCs w:val="24"/>
          <w:lang w:eastAsia="en-US"/>
        </w:rPr>
        <w:t xml:space="preserve">. U odnosu na ukupan broj odluka Upravnog suda Crne Gore, procenat poništenih rješenja na centralnom nivou povećan je na 32,15%, dok je u periodu 01.01.2019-31.12.2019. bio 23%, dok je na lokalnom nivou procenat znatno veći i to 53,46%, dok je u taj procenat u prethodnom izvještajnom periodu bio 28,49%.  </w:t>
      </w:r>
    </w:p>
    <w:p w:rsidR="00E904A1" w:rsidRPr="007B43C4" w:rsidRDefault="007B43C4" w:rsidP="007B43C4">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vertAlign w:val="superscript"/>
          <w:lang w:eastAsia="en-US"/>
        </w:rPr>
      </w:pPr>
      <w:r w:rsidRPr="007B43C4">
        <w:rPr>
          <w:rFonts w:asciiTheme="majorHAnsi" w:eastAsia="Calibri" w:hAnsiTheme="majorHAnsi" w:cstheme="majorHAnsi"/>
          <w:noProof/>
          <w:color w:val="auto"/>
          <w:kern w:val="0"/>
          <w:sz w:val="24"/>
          <w:szCs w:val="24"/>
          <w:lang w:eastAsia="sr-Latn-RS"/>
        </w:rPr>
        <mc:AlternateContent>
          <mc:Choice Requires="wpg">
            <w:drawing>
              <wp:anchor distT="0" distB="0" distL="228600" distR="228600" simplePos="0" relativeHeight="251740160" behindDoc="0" locked="0" layoutInCell="1" allowOverlap="1" wp14:anchorId="39F1B994" wp14:editId="096928FA">
                <wp:simplePos x="0" y="0"/>
                <wp:positionH relativeFrom="margin">
                  <wp:posOffset>2487295</wp:posOffset>
                </wp:positionH>
                <wp:positionV relativeFrom="page">
                  <wp:posOffset>3436044</wp:posOffset>
                </wp:positionV>
                <wp:extent cx="3665220" cy="906780"/>
                <wp:effectExtent l="0" t="0" r="0" b="7620"/>
                <wp:wrapSquare wrapText="bothSides"/>
                <wp:docPr id="63" name="Group 63"/>
                <wp:cNvGraphicFramePr/>
                <a:graphic xmlns:a="http://schemas.openxmlformats.org/drawingml/2006/main">
                  <a:graphicData uri="http://schemas.microsoft.com/office/word/2010/wordprocessingGroup">
                    <wpg:wgp>
                      <wpg:cNvGrpSpPr/>
                      <wpg:grpSpPr>
                        <a:xfrm>
                          <a:off x="0" y="0"/>
                          <a:ext cx="3665220" cy="906780"/>
                          <a:chOff x="0" y="0"/>
                          <a:chExt cx="3218688" cy="2028766"/>
                        </a:xfrm>
                      </wpg:grpSpPr>
                      <wps:wsp>
                        <wps:cNvPr id="128" name="Rectangle 128"/>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9" name="Group 129"/>
                        <wpg:cNvGrpSpPr/>
                        <wpg:grpSpPr>
                          <a:xfrm>
                            <a:off x="0" y="19050"/>
                            <a:ext cx="2249424" cy="832104"/>
                            <a:chOff x="228600" y="0"/>
                            <a:chExt cx="1472184" cy="1024128"/>
                          </a:xfrm>
                        </wpg:grpSpPr>
                        <wps:wsp>
                          <wps:cNvPr id="130"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 name="Text Box 132"/>
                        <wps:cNvSpPr txBox="1"/>
                        <wps:spPr>
                          <a:xfrm>
                            <a:off x="1" y="19048"/>
                            <a:ext cx="3205005" cy="2009716"/>
                          </a:xfrm>
                          <a:prstGeom prst="rect">
                            <a:avLst/>
                          </a:prstGeom>
                          <a:noFill/>
                          <a:ln w="6350">
                            <a:noFill/>
                          </a:ln>
                          <a:effectLst/>
                        </wps:spPr>
                        <wps:txbx>
                          <w:txbxContent>
                            <w:p w:rsidR="00F735BC" w:rsidRDefault="00F735BC" w:rsidP="00E904A1">
                              <w:pPr>
                                <w:pStyle w:val="NoSpacing"/>
                                <w:ind w:left="360"/>
                                <w:jc w:val="right"/>
                                <w:rPr>
                                  <w:smallCaps/>
                                  <w:color w:val="333C3D" w:themeColor="accent5" w:themeShade="80"/>
                                  <w:kern w:val="20"/>
                                  <w:lang w:val="sr-Latn-RS"/>
                                </w:rPr>
                              </w:pPr>
                              <w:r w:rsidRPr="00E904A1">
                                <w:rPr>
                                  <w:smallCaps/>
                                  <w:color w:val="333C3D" w:themeColor="accent5" w:themeShade="80"/>
                                  <w:kern w:val="20"/>
                                  <w:lang w:val="sr-Latn-RS"/>
                                </w:rPr>
                                <w:t>Nemam pristup kako bih to mogla elektronski da uradim. Kad se žalim i pozovem opštinu, onda mi kažu “ponesite lično”. A onda kad pođem lično, naiđem na neljubaznost radnica koje rade na šalteru i pitaju me “zašto ste ovo donijeli? Mogli ste preko sajta</w:t>
                              </w:r>
                            </w:p>
                            <w:p w:rsidR="00F735BC" w:rsidRDefault="00F735BC" w:rsidP="00E904A1">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F1B994" id="Group 63" o:spid="_x0000_s1062" style="position:absolute;left:0;text-align:left;margin-left:195.85pt;margin-top:270.55pt;width:288.6pt;height:71.4pt;z-index:251740160;mso-wrap-distance-left:18pt;mso-wrap-distance-right:18p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">
                <v:rect id="Rectangle 128" o:spid="_x0000_s106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" stroked="f" strokeweight="2pt">
                  <v:fill opacity="0"/>
                </v:rect>
                <v:group id="Group 129" o:spid="_x0000_s106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Rectangle 10" o:spid="_x0000_s106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" path="m,l2240281,,1659256,222885,,822960,,xe" fillcolor="#7e97ad" stroked="f" strokeweight="2pt">
                    <v:path arrowok="t" o:connecttype="custom" o:connectlocs="0,0;1466258,0;1085979,274158;0,1012274;0,0" o:connectangles="0,0,0,0,0"/>
                  </v:shape>
                  <v:rect id="Rectangle 131" o:spid="_x0000_s106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" stroked="f" strokeweight="2pt">
                    <v:fill r:id="rId69" o:title="" recolor="t" rotate="t" type="frame"/>
                  </v:rect>
                </v:group>
                <v:shape id="Text Box 132" o:spid="_x0000_s1067" type="#_x0000_t202" style="position:absolute;top:190;width:32050;height:2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" filled="f" stroked="f" strokeweight=".5pt">
                  <v:textbox inset="3.6pt,7.2pt,0,0">
                    <w:txbxContent>
                      <w:p w:rsidR="00F735BC" w:rsidRDefault="00F735BC" w:rsidP="00E904A1">
                        <w:pPr>
                          <w:pStyle w:val="NoSpacing"/>
                          <w:ind w:left="360"/>
                          <w:jc w:val="right"/>
                          <w:rPr>
                            <w:smallCaps/>
                            <w:color w:val="333C3D" w:themeColor="accent5" w:themeShade="80"/>
                            <w:kern w:val="20"/>
                            <w:lang w:val="sr-Latn-RS"/>
                          </w:rPr>
                        </w:pPr>
                        <w:r w:rsidRPr="00E904A1">
                          <w:rPr>
                            <w:smallCaps/>
                            <w:color w:val="333C3D" w:themeColor="accent5" w:themeShade="80"/>
                            <w:kern w:val="20"/>
                            <w:lang w:val="sr-Latn-RS"/>
                          </w:rPr>
                          <w:t>Nemam pristup kako bih to mogla elektronski da uradim. Kad se žalim i pozovem opštinu, onda mi kažu “ponesite lično”. A onda kad pođem lično, naiđem na neljubaznost radnica koje rade na šalteru i pitaju me “zašto ste ovo donijeli? Mogli ste preko sajta</w:t>
                        </w:r>
                      </w:p>
                      <w:p w:rsidR="00F735BC" w:rsidRDefault="00F735BC" w:rsidP="00E904A1">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v:textbox>
                </v:shape>
                <w10:wrap type="square" anchorx="margin" anchory="page"/>
              </v:group>
            </w:pict>
          </mc:Fallback>
        </mc:AlternateContent>
      </w:r>
      <w:r w:rsidR="0031303E" w:rsidRPr="007B43C4">
        <w:rPr>
          <w:rFonts w:asciiTheme="majorHAnsi" w:eastAsia="Calibri" w:hAnsiTheme="majorHAnsi" w:cstheme="majorHAnsi"/>
          <w:color w:val="auto"/>
          <w:kern w:val="0"/>
          <w:sz w:val="24"/>
          <w:szCs w:val="24"/>
          <w:lang w:eastAsia="en-US"/>
        </w:rPr>
        <w:t xml:space="preserve">Takodje, prema Izvještaju o postupanju u upravnim stvarima za 2019. godinu, nadležna upravna inpekcija je ukazala da </w:t>
      </w:r>
      <w:r w:rsidR="0031303E" w:rsidRPr="007B43C4">
        <w:rPr>
          <w:rFonts w:asciiTheme="majorHAnsi" w:eastAsia="Calibri" w:hAnsiTheme="majorHAnsi" w:cstheme="majorHAnsi"/>
          <w:b/>
          <w:color w:val="auto"/>
          <w:kern w:val="0"/>
          <w:sz w:val="24"/>
          <w:szCs w:val="24"/>
          <w:lang w:eastAsia="en-US"/>
        </w:rPr>
        <w:t>organi u dovoljnoj mjeri međusobno ne razmjenjuju podatke iz službenih evidencija, što je zakonska obaveza</w:t>
      </w:r>
      <w:r w:rsidR="0031303E" w:rsidRPr="007B43C4">
        <w:rPr>
          <w:rFonts w:asciiTheme="majorHAnsi" w:eastAsia="Calibri" w:hAnsiTheme="majorHAnsi" w:cstheme="majorHAnsi"/>
          <w:color w:val="auto"/>
          <w:kern w:val="0"/>
          <w:sz w:val="24"/>
          <w:szCs w:val="24"/>
          <w:lang w:eastAsia="en-US"/>
        </w:rPr>
        <w:t xml:space="preserve">. Ovakvo postupanje organa utiče nepovoljno na efikasnost i ekonomičnost postupka, a time i na mogućnost da stranke i drugi učesnici u upravnom postupku lakše i efikasnije ostvare prava i pravne interese sa manje troškova. Drugim riječima, iako </w:t>
      </w:r>
      <w:r w:rsidR="0031303E" w:rsidRPr="007B43C4">
        <w:rPr>
          <w:rFonts w:asciiTheme="majorHAnsi" w:eastAsia="Calibri" w:hAnsiTheme="majorHAnsi" w:cstheme="majorHAnsi"/>
          <w:b/>
          <w:color w:val="auto"/>
          <w:kern w:val="0"/>
          <w:sz w:val="24"/>
          <w:szCs w:val="24"/>
          <w:lang w:eastAsia="en-US"/>
        </w:rPr>
        <w:t>ZUP promoviše visoke standarde u upravnom postupanju, ovi principi se često ne primjenjuju u praksi</w:t>
      </w:r>
      <w:r w:rsidR="0031303E" w:rsidRPr="007B43C4">
        <w:rPr>
          <w:rFonts w:asciiTheme="majorHAnsi" w:eastAsia="Calibri" w:hAnsiTheme="majorHAnsi" w:cstheme="majorHAnsi"/>
          <w:color w:val="auto"/>
          <w:kern w:val="0"/>
          <w:sz w:val="24"/>
          <w:szCs w:val="24"/>
          <w:lang w:eastAsia="en-US"/>
        </w:rPr>
        <w:t>. Sličan nalaz postoji u Komparativnoj studiji o pružanju usluga Regionalne škole za državnu upravu,</w:t>
      </w:r>
      <w:r w:rsidR="00CA5B42" w:rsidRPr="007B43C4">
        <w:rPr>
          <w:rFonts w:asciiTheme="majorHAnsi" w:eastAsia="Calibri" w:hAnsiTheme="majorHAnsi" w:cstheme="majorHAnsi"/>
          <w:color w:val="auto"/>
          <w:kern w:val="0"/>
          <w:sz w:val="24"/>
          <w:szCs w:val="24"/>
          <w:vertAlign w:val="superscript"/>
          <w:lang w:eastAsia="en-US"/>
        </w:rPr>
        <w:t xml:space="preserve"> </w:t>
      </w:r>
      <w:r w:rsidR="00CA5B42" w:rsidRPr="007B43C4">
        <w:rPr>
          <w:rFonts w:asciiTheme="majorHAnsi" w:eastAsia="Calibri" w:hAnsiTheme="majorHAnsi" w:cstheme="majorHAnsi"/>
          <w:color w:val="auto"/>
          <w:kern w:val="0"/>
          <w:sz w:val="24"/>
          <w:szCs w:val="24"/>
          <w:vertAlign w:val="superscript"/>
          <w:lang w:eastAsia="en-US"/>
        </w:rPr>
        <w:footnoteReference w:id="48"/>
      </w:r>
      <w:r w:rsidR="00CA5B42" w:rsidRPr="007B43C4">
        <w:rPr>
          <w:rFonts w:asciiTheme="majorHAnsi" w:eastAsia="Calibri" w:hAnsiTheme="majorHAnsi" w:cstheme="majorHAnsi"/>
          <w:color w:val="auto"/>
          <w:kern w:val="0"/>
          <w:sz w:val="24"/>
          <w:szCs w:val="24"/>
          <w:lang w:eastAsia="en-US"/>
        </w:rPr>
        <w:t xml:space="preserve"> </w:t>
      </w:r>
      <w:r w:rsidR="0031303E" w:rsidRPr="007B43C4">
        <w:rPr>
          <w:rFonts w:asciiTheme="majorHAnsi" w:eastAsia="Calibri" w:hAnsiTheme="majorHAnsi" w:cstheme="majorHAnsi"/>
          <w:color w:val="auto"/>
          <w:kern w:val="0"/>
          <w:sz w:val="24"/>
          <w:szCs w:val="24"/>
          <w:lang w:eastAsia="en-US"/>
        </w:rPr>
        <w:t>da postojeći strateški i pravni okvir pružaju dobru osnovu za politiku pružanja usluga okrenutu ka krajnjim korisnicima, ali da potpuna implementacija strateškog i pravnog okvira jos uvek nije postignuta. Navodi se da iako je ZUP uveo obaveznu razmijenu podataka javnopravnih organa i princip samo jednog podnošenja podataka državi, nema kaznenih odredaba koji bi sprečili suprotno ponašanje, što u praksi rezultira čestim podnošenjem dokumenta od strane građana u papirnoj formi iako te podatke javnopravni organi već posjeduju.</w:t>
      </w:r>
      <w:r w:rsidR="0031303E" w:rsidRPr="007B43C4">
        <w:rPr>
          <w:rFonts w:asciiTheme="majorHAnsi" w:eastAsia="Calibri" w:hAnsiTheme="majorHAnsi" w:cstheme="majorHAnsi"/>
          <w:color w:val="auto"/>
          <w:kern w:val="0"/>
          <w:sz w:val="24"/>
          <w:szCs w:val="24"/>
          <w:vertAlign w:val="superscript"/>
          <w:lang w:eastAsia="en-US"/>
        </w:rPr>
        <w:t xml:space="preserve"> </w:t>
      </w:r>
    </w:p>
    <w:p w:rsidR="00AD77B6" w:rsidRPr="007B43C4" w:rsidRDefault="0031303E" w:rsidP="007B43C4">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b/>
          <w:color w:val="auto"/>
          <w:kern w:val="0"/>
          <w:sz w:val="24"/>
          <w:szCs w:val="24"/>
          <w:lang w:eastAsia="en-US"/>
        </w:rPr>
        <w:t>Percepciju vremena potrebnog da se dobije informacija iz javnog sektora</w:t>
      </w:r>
      <w:r w:rsidRPr="007B43C4">
        <w:rPr>
          <w:rFonts w:asciiTheme="majorHAnsi" w:eastAsia="Calibri" w:hAnsiTheme="majorHAnsi" w:cstheme="majorHAnsi"/>
          <w:color w:val="auto"/>
          <w:kern w:val="0"/>
          <w:sz w:val="24"/>
          <w:szCs w:val="24"/>
          <w:lang w:eastAsia="en-US"/>
        </w:rPr>
        <w:t>, građani Crne Gore u 2021. godini ocjenjuju: 14% vrlo loše, 33% loše prema nalazima Balkan Barometra za 2021. godinu, što predstavlja pogoršanje u odnosu na 2020. godinu gde je 9% ocijenilo sa vrlo loše, a 20% loše ili u odnosu na 2019. godinu gde je 4% ocijenilo sa vrlo loše, a 23% loše.</w:t>
      </w:r>
      <w:r w:rsidRPr="007B43C4">
        <w:rPr>
          <w:rFonts w:asciiTheme="majorHAnsi" w:eastAsia="Calibri" w:hAnsiTheme="majorHAnsi" w:cstheme="majorHAnsi"/>
          <w:color w:val="auto"/>
          <w:kern w:val="0"/>
          <w:sz w:val="24"/>
          <w:szCs w:val="24"/>
          <w:vertAlign w:val="superscript"/>
          <w:lang w:eastAsia="en-US"/>
        </w:rPr>
        <w:footnoteReference w:id="49"/>
      </w:r>
      <w:r w:rsidRPr="007B43C4">
        <w:rPr>
          <w:rFonts w:asciiTheme="majorHAnsi" w:eastAsia="Calibri" w:hAnsiTheme="majorHAnsi" w:cstheme="majorHAnsi"/>
          <w:color w:val="auto"/>
          <w:kern w:val="0"/>
          <w:sz w:val="24"/>
          <w:szCs w:val="24"/>
          <w:lang w:eastAsia="en-US"/>
        </w:rPr>
        <w:t xml:space="preserve"> Sličnu percepciju imaju i za tretman od strane javnih organa (12% vrlo loš – 29% loš u 2020. godini, 7% vrlo loš – 14% loš u 2020. godini, odnosno 6% vrlo loš – 21% loš u 2019. godini).  </w:t>
      </w:r>
    </w:p>
    <w:p w:rsidR="00BE6402" w:rsidRPr="007B43C4" w:rsidRDefault="00EA480C" w:rsidP="007B43C4">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Na osnovu </w:t>
      </w:r>
      <w:r w:rsidRPr="007B43C4">
        <w:rPr>
          <w:rFonts w:asciiTheme="majorHAnsi" w:eastAsia="Calibri" w:hAnsiTheme="majorHAnsi" w:cstheme="majorHAnsi"/>
          <w:b/>
          <w:color w:val="auto"/>
          <w:kern w:val="0"/>
          <w:sz w:val="24"/>
          <w:szCs w:val="24"/>
          <w:lang w:eastAsia="en-US"/>
        </w:rPr>
        <w:t>istraživanja stepena zadovoljstva korisnika javnim uslugama u odabranim institucijama</w:t>
      </w:r>
      <w:r w:rsidRPr="007B43C4">
        <w:rPr>
          <w:rFonts w:asciiTheme="majorHAnsi" w:eastAsia="Calibri" w:hAnsiTheme="majorHAnsi" w:cstheme="majorHAnsi"/>
          <w:color w:val="auto"/>
          <w:kern w:val="0"/>
          <w:sz w:val="24"/>
          <w:szCs w:val="24"/>
          <w:lang w:eastAsia="en-US"/>
        </w:rPr>
        <w:t xml:space="preserve"> Crne Gore (Ministarstvu unutršnjih poslova, Upravi prihoda i carina, Upravi za katastar i državnu imovinu, Opštini Podgorica i Opštini Bijelo Polje), a koje je sprovelo Ministarstvo javne uprave, </w:t>
      </w:r>
      <w:r w:rsidRPr="007B43C4">
        <w:rPr>
          <w:rFonts w:asciiTheme="majorHAnsi" w:eastAsia="Calibri" w:hAnsiTheme="majorHAnsi" w:cstheme="majorHAnsi"/>
          <w:color w:val="auto"/>
          <w:kern w:val="0"/>
          <w:sz w:val="24"/>
          <w:szCs w:val="24"/>
          <w:lang w:eastAsia="en-US"/>
        </w:rPr>
        <w:lastRenderedPageBreak/>
        <w:t xml:space="preserve">digitalnog društva i medija u </w:t>
      </w:r>
      <w:r w:rsidR="005A6E16" w:rsidRPr="007B43C4">
        <w:rPr>
          <w:rFonts w:asciiTheme="majorHAnsi" w:eastAsia="Calibri" w:hAnsiTheme="majorHAnsi" w:cstheme="majorHAnsi"/>
          <w:noProof/>
          <w:color w:val="auto"/>
          <w:kern w:val="0"/>
          <w:sz w:val="24"/>
          <w:szCs w:val="24"/>
          <w:lang w:eastAsia="sr-Latn-RS"/>
        </w:rPr>
        <mc:AlternateContent>
          <mc:Choice Requires="wpg">
            <w:drawing>
              <wp:anchor distT="0" distB="0" distL="228600" distR="228600" simplePos="0" relativeHeight="251742208" behindDoc="0" locked="0" layoutInCell="1" allowOverlap="1" wp14:anchorId="2255B9DE" wp14:editId="4DC83238">
                <wp:simplePos x="0" y="0"/>
                <wp:positionH relativeFrom="margin">
                  <wp:posOffset>3921159</wp:posOffset>
                </wp:positionH>
                <wp:positionV relativeFrom="page">
                  <wp:posOffset>1257300</wp:posOffset>
                </wp:positionV>
                <wp:extent cx="2247900" cy="1036320"/>
                <wp:effectExtent l="0" t="0" r="0" b="11430"/>
                <wp:wrapSquare wrapText="bothSides"/>
                <wp:docPr id="133" name="Group 133"/>
                <wp:cNvGraphicFramePr/>
                <a:graphic xmlns:a="http://schemas.openxmlformats.org/drawingml/2006/main">
                  <a:graphicData uri="http://schemas.microsoft.com/office/word/2010/wordprocessingGroup">
                    <wpg:wgp>
                      <wpg:cNvGrpSpPr/>
                      <wpg:grpSpPr>
                        <a:xfrm>
                          <a:off x="0" y="0"/>
                          <a:ext cx="2247900" cy="1036320"/>
                          <a:chOff x="0" y="0"/>
                          <a:chExt cx="3218688" cy="2028766"/>
                        </a:xfrm>
                      </wpg:grpSpPr>
                      <wps:wsp>
                        <wps:cNvPr id="134" name="Rectangle 134"/>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5" name="Group 135"/>
                        <wpg:cNvGrpSpPr/>
                        <wpg:grpSpPr>
                          <a:xfrm>
                            <a:off x="0" y="19050"/>
                            <a:ext cx="2249424" cy="832104"/>
                            <a:chOff x="228600" y="0"/>
                            <a:chExt cx="1472184" cy="1024128"/>
                          </a:xfrm>
                        </wpg:grpSpPr>
                        <wps:wsp>
                          <wps:cNvPr id="13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 name="Text Box 138"/>
                        <wps:cNvSpPr txBox="1"/>
                        <wps:spPr>
                          <a:xfrm>
                            <a:off x="0" y="0"/>
                            <a:ext cx="3176912" cy="2028766"/>
                          </a:xfrm>
                          <a:prstGeom prst="rect">
                            <a:avLst/>
                          </a:prstGeom>
                          <a:noFill/>
                          <a:ln w="6350">
                            <a:noFill/>
                          </a:ln>
                          <a:effectLst/>
                        </wps:spPr>
                        <wps:txbx>
                          <w:txbxContent>
                            <w:p w:rsidR="00F735BC" w:rsidRDefault="00F735BC" w:rsidP="00E904A1">
                              <w:pPr>
                                <w:pStyle w:val="NoSpacing"/>
                                <w:ind w:left="360"/>
                                <w:jc w:val="right"/>
                                <w:rPr>
                                  <w:smallCaps/>
                                  <w:color w:val="333C3D" w:themeColor="accent5" w:themeShade="80"/>
                                  <w:kern w:val="20"/>
                                  <w:lang w:val="sr-Latn-RS"/>
                                </w:rPr>
                              </w:pPr>
                              <w:r w:rsidRPr="00E904A1">
                                <w:rPr>
                                  <w:smallCaps/>
                                  <w:color w:val="333C3D" w:themeColor="accent5" w:themeShade="80"/>
                                  <w:kern w:val="20"/>
                                  <w:lang w:val="sr-Latn-RS"/>
                                </w:rPr>
                                <w:t xml:space="preserve">Imam nesigurnost da li će neko online nešto da vidi i poslije koliko vremena će da odgovori. Valjalo bi da funkcioniše i jedno i drugo, online i offline - šalteri </w:t>
                              </w:r>
                            </w:p>
                            <w:p w:rsidR="00F735BC" w:rsidRDefault="00F735BC" w:rsidP="00E904A1">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55B9DE" id="Group 133" o:spid="_x0000_s1068" style="position:absolute;left:0;text-align:left;margin-left:308.75pt;margin-top:99pt;width:177pt;height:81.6pt;z-index:251742208;mso-wrap-distance-left:18pt;mso-wrap-distance-right:18p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">
                <v:rect id="Rectangle 134" o:spid="_x0000_s1069"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" stroked="f" strokeweight="2pt">
                  <v:fill opacity="0"/>
                </v:rect>
                <v:group id="Group 135" o:spid="_x0000_s1070"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Rectangle 10" o:spid="_x0000_s1071"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" path="m,l2240281,,1659256,222885,,822960,,xe" fillcolor="#7e97ad" stroked="f" strokeweight="2pt">
                    <v:path arrowok="t" o:connecttype="custom" o:connectlocs="0,0;1466258,0;1085979,274158;0,1012274;0,0" o:connectangles="0,0,0,0,0"/>
                  </v:shape>
                  <v:rect id="Rectangle 137" o:spid="_x0000_s107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" stroked="f" strokeweight="2pt">
                    <v:fill r:id="rId69" o:title="" recolor="t" rotate="t" type="frame"/>
                  </v:rect>
                </v:group>
                <v:shape id="Text Box 138" o:spid="_x0000_s1073" type="#_x0000_t202" style="position:absolute;width:31769;height:2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" filled="f" stroked="f" strokeweight=".5pt">
                  <v:textbox inset="3.6pt,7.2pt,0,0">
                    <w:txbxContent>
                      <w:p w:rsidR="00F735BC" w:rsidRDefault="00F735BC" w:rsidP="00E904A1">
                        <w:pPr>
                          <w:pStyle w:val="NoSpacing"/>
                          <w:ind w:left="360"/>
                          <w:jc w:val="right"/>
                          <w:rPr>
                            <w:smallCaps/>
                            <w:color w:val="333C3D" w:themeColor="accent5" w:themeShade="80"/>
                            <w:kern w:val="20"/>
                            <w:lang w:val="sr-Latn-RS"/>
                          </w:rPr>
                        </w:pPr>
                        <w:r w:rsidRPr="00E904A1">
                          <w:rPr>
                            <w:smallCaps/>
                            <w:color w:val="333C3D" w:themeColor="accent5" w:themeShade="80"/>
                            <w:kern w:val="20"/>
                            <w:lang w:val="sr-Latn-RS"/>
                          </w:rPr>
                          <w:t xml:space="preserve">Imam nesigurnost da li će neko online nešto da vidi i poslije koliko vremena će da odgovori. Valjalo bi da funkcioniše i jedno i drugo, online i offline - šalteri </w:t>
                        </w:r>
                      </w:p>
                      <w:p w:rsidR="00F735BC" w:rsidRDefault="00F735BC" w:rsidP="00E904A1">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v:textbox>
                </v:shape>
                <w10:wrap type="square" anchorx="margin" anchory="page"/>
              </v:group>
            </w:pict>
          </mc:Fallback>
        </mc:AlternateContent>
      </w:r>
      <w:r w:rsidRPr="007B43C4">
        <w:rPr>
          <w:rFonts w:asciiTheme="majorHAnsi" w:eastAsia="Calibri" w:hAnsiTheme="majorHAnsi" w:cstheme="majorHAnsi"/>
          <w:color w:val="auto"/>
          <w:kern w:val="0"/>
          <w:sz w:val="24"/>
          <w:szCs w:val="24"/>
          <w:lang w:eastAsia="en-US"/>
        </w:rPr>
        <w:t>saradnji sa UNDP-om, konstatovano je da veoma mali broj građana uslugu re</w:t>
      </w:r>
      <w:r w:rsidR="00CA5B42" w:rsidRPr="007B43C4">
        <w:rPr>
          <w:rFonts w:asciiTheme="majorHAnsi" w:eastAsia="Calibri" w:hAnsiTheme="majorHAnsi" w:cstheme="majorHAnsi"/>
          <w:color w:val="auto"/>
          <w:kern w:val="0"/>
          <w:sz w:val="24"/>
          <w:szCs w:val="24"/>
          <w:lang w:eastAsia="en-US"/>
        </w:rPr>
        <w:t>a</w:t>
      </w:r>
      <w:r w:rsidRPr="007B43C4">
        <w:rPr>
          <w:rFonts w:asciiTheme="majorHAnsi" w:eastAsia="Calibri" w:hAnsiTheme="majorHAnsi" w:cstheme="majorHAnsi"/>
          <w:color w:val="auto"/>
          <w:kern w:val="0"/>
          <w:sz w:val="24"/>
          <w:szCs w:val="24"/>
          <w:lang w:eastAsia="en-US"/>
        </w:rPr>
        <w:t>lizuje prilikom prvog odlaska u instituciju i da su u prosjeku više od jednog puta  posjetili insituciju kako bi realizovali uslugu; da su građani upoznati sa visinom takse koju treba da plate prilikom realizacije usluge zbog koje dolaze, da se u pogledu vremena za realizaciju usluge u prosjeku čeka od 2,2 dana do 14 dana zavisno od institucije i usluge; većina ispitanika se izjasnilo da bi koristili online usluge izdavanja dokumenata ukoliko bi bile dostupne.</w:t>
      </w:r>
      <w:r w:rsidR="00F53EEF" w:rsidRPr="007B43C4">
        <w:rPr>
          <w:rFonts w:asciiTheme="majorHAnsi" w:eastAsia="Calibri" w:hAnsiTheme="majorHAnsi" w:cstheme="majorHAnsi"/>
          <w:color w:val="auto"/>
          <w:kern w:val="0"/>
          <w:sz w:val="24"/>
          <w:szCs w:val="24"/>
          <w:lang w:eastAsia="en-US"/>
        </w:rPr>
        <w:t xml:space="preserve"> Dodatno, kao glavne izvore informisanja, ispitanici/e su naveli: samu instituciju; zatim druge ljude (prijatelje, rođake, itd.), i na trećem mjestu informisali su se putem internet portala ili putem zvanične web stranice institucije</w:t>
      </w:r>
      <w:r w:rsidR="00BE6402" w:rsidRPr="007B43C4">
        <w:rPr>
          <w:rFonts w:asciiTheme="majorHAnsi" w:eastAsia="Calibri" w:hAnsiTheme="majorHAnsi" w:cstheme="majorHAnsi"/>
          <w:color w:val="auto"/>
          <w:kern w:val="0"/>
          <w:sz w:val="24"/>
          <w:szCs w:val="24"/>
          <w:lang w:eastAsia="en-US"/>
        </w:rPr>
        <w:t>.</w:t>
      </w:r>
    </w:p>
    <w:p w:rsidR="00BE6402" w:rsidRPr="007B43C4" w:rsidRDefault="00CA5B42" w:rsidP="007B43C4">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Dodatno, </w:t>
      </w:r>
      <w:r w:rsidRPr="007B43C4">
        <w:rPr>
          <w:rFonts w:asciiTheme="majorHAnsi" w:eastAsia="Calibri" w:hAnsiTheme="majorHAnsi" w:cstheme="majorHAnsi"/>
          <w:b/>
          <w:color w:val="auto"/>
          <w:kern w:val="0"/>
          <w:sz w:val="24"/>
          <w:szCs w:val="24"/>
          <w:lang w:eastAsia="en-US"/>
        </w:rPr>
        <w:t>n</w:t>
      </w:r>
      <w:r w:rsidR="00BE6402" w:rsidRPr="007B43C4">
        <w:rPr>
          <w:rFonts w:asciiTheme="majorHAnsi" w:eastAsia="Calibri" w:hAnsiTheme="majorHAnsi" w:cstheme="majorHAnsi"/>
          <w:b/>
          <w:color w:val="auto"/>
          <w:kern w:val="0"/>
          <w:sz w:val="24"/>
          <w:szCs w:val="24"/>
          <w:lang w:eastAsia="en-US"/>
        </w:rPr>
        <w:t xml:space="preserve">e postoji pregled svih upravnih usluga koji se pružaju građanima </w:t>
      </w:r>
      <w:r w:rsidR="00BE6402" w:rsidRPr="007B43C4">
        <w:rPr>
          <w:rFonts w:asciiTheme="majorHAnsi" w:eastAsia="Calibri" w:hAnsiTheme="majorHAnsi" w:cstheme="majorHAnsi"/>
          <w:color w:val="auto"/>
          <w:kern w:val="0"/>
          <w:sz w:val="24"/>
          <w:szCs w:val="24"/>
          <w:lang w:eastAsia="en-US"/>
        </w:rPr>
        <w:t xml:space="preserve">na centralnom nivou, ko su davaoci usluga, ne postoji pregled podataka se koriste za pružanje usluga, kao ni podaci koji korisnici usluga moraju da podnesu sami državi. Stoga je teško planirati sistemske napore na modernizaciji pružanja usluga, prepoznati usluge koje bi prioritetno trebalo biti pretvorene u elektronske usluge, kao i identifikovati koje bi se usluge mogle spojiti s drugim uslugama i upravljati njima kao životnim događajima, umjesto odvojenih pojedinačnih usluga (npr. rođenje djeteta). Ministarstvo javne uprave, digitalnog društva i medija svake godine prati implementaciju Zakona o upravnom postupku, ali izvještaji se fokusiraju na pružanje usluga na institucionalnom nivou, a ne na nivou pojedinačnih usluga. Stoga nije moguće utvrditi koje institucije tačno imaju problema s poštovanjem zakonskih rokova, koje institucije imaju veliki broj žalbi, uključujući i broj uspješnih žalbi i razloge za uspješne žalbe. Pored toga, </w:t>
      </w:r>
      <w:r w:rsidR="00BE6402" w:rsidRPr="007B43C4">
        <w:rPr>
          <w:rFonts w:asciiTheme="majorHAnsi" w:eastAsia="Calibri" w:hAnsiTheme="majorHAnsi" w:cstheme="majorHAnsi"/>
          <w:b/>
          <w:color w:val="auto"/>
          <w:kern w:val="0"/>
          <w:sz w:val="24"/>
          <w:szCs w:val="24"/>
          <w:lang w:eastAsia="en-US"/>
        </w:rPr>
        <w:t>ne postoji sistemsko mjerenje zadovoljstva korisnika javnih usluga</w:t>
      </w:r>
      <w:r w:rsidR="00BE6402" w:rsidRPr="007B43C4">
        <w:rPr>
          <w:rFonts w:asciiTheme="majorHAnsi" w:eastAsia="Calibri" w:hAnsiTheme="majorHAnsi" w:cstheme="majorHAnsi"/>
          <w:color w:val="auto"/>
          <w:kern w:val="0"/>
          <w:sz w:val="24"/>
          <w:szCs w:val="24"/>
          <w:lang w:eastAsia="en-US"/>
        </w:rPr>
        <w:t xml:space="preserve">, što bi moglo pružiti povratne informacije na osnovu kojih bi trebalo preduzeti mjere na unapređenju pružanja usluga, odnosno aspekata pružanja usluga koji zahtijevaju adresiranje prije svih ostalih koraka. </w:t>
      </w:r>
    </w:p>
    <w:p w:rsidR="00E904A1" w:rsidRPr="007B43C4" w:rsidRDefault="00CA5B42" w:rsidP="007B43C4">
      <w:pPr>
        <w:spacing w:before="60" w:after="60" w:line="240" w:lineRule="auto"/>
        <w:ind w:right="-471"/>
        <w:jc w:val="both"/>
        <w:rPr>
          <w:rFonts w:asciiTheme="majorHAnsi" w:eastAsia="Times New Roman" w:hAnsiTheme="majorHAnsi" w:cstheme="majorHAnsi"/>
          <w:color w:val="auto"/>
          <w:kern w:val="0"/>
          <w:sz w:val="24"/>
          <w:szCs w:val="24"/>
          <w:lang w:eastAsia="en-GB"/>
        </w:rPr>
      </w:pPr>
      <w:r w:rsidRPr="007B43C4">
        <w:rPr>
          <w:rFonts w:asciiTheme="majorHAnsi" w:eastAsia="Times New Roman" w:hAnsiTheme="majorHAnsi" w:cstheme="majorHAnsi"/>
          <w:color w:val="auto"/>
          <w:kern w:val="0"/>
          <w:sz w:val="24"/>
          <w:szCs w:val="24"/>
          <w:lang w:eastAsia="sr-Latn-ME"/>
        </w:rPr>
        <w:t xml:space="preserve">Dodatni izazov je </w:t>
      </w:r>
      <w:r w:rsidRPr="007B43C4">
        <w:rPr>
          <w:rFonts w:asciiTheme="majorHAnsi" w:eastAsia="Times New Roman" w:hAnsiTheme="majorHAnsi" w:cstheme="majorHAnsi"/>
          <w:b/>
          <w:color w:val="auto"/>
          <w:kern w:val="0"/>
          <w:sz w:val="24"/>
          <w:szCs w:val="24"/>
          <w:lang w:eastAsia="sr-Latn-ME"/>
        </w:rPr>
        <w:t>n</w:t>
      </w:r>
      <w:r w:rsidR="00BE6402" w:rsidRPr="007B43C4">
        <w:rPr>
          <w:rFonts w:asciiTheme="majorHAnsi" w:eastAsia="Times New Roman" w:hAnsiTheme="majorHAnsi" w:cstheme="majorHAnsi"/>
          <w:b/>
          <w:color w:val="auto"/>
          <w:kern w:val="0"/>
          <w:sz w:val="24"/>
          <w:szCs w:val="24"/>
          <w:lang w:eastAsia="sr-Latn-ME"/>
        </w:rPr>
        <w:t>epostojanje metoda upravljanja kvalitetom u organima javne uprave</w:t>
      </w:r>
      <w:r w:rsidRPr="007B43C4">
        <w:rPr>
          <w:rFonts w:asciiTheme="majorHAnsi" w:eastAsia="Times New Roman" w:hAnsiTheme="majorHAnsi" w:cstheme="majorHAnsi"/>
          <w:color w:val="auto"/>
          <w:kern w:val="0"/>
          <w:sz w:val="24"/>
          <w:szCs w:val="24"/>
          <w:lang w:eastAsia="sr-Latn-ME"/>
        </w:rPr>
        <w:t>.</w:t>
      </w:r>
      <w:r w:rsidRPr="007B43C4">
        <w:rPr>
          <w:rFonts w:asciiTheme="majorHAnsi" w:eastAsia="Times New Roman" w:hAnsiTheme="majorHAnsi" w:cstheme="majorHAnsi"/>
          <w:color w:val="auto"/>
          <w:kern w:val="0"/>
          <w:sz w:val="24"/>
          <w:szCs w:val="24"/>
          <w:lang w:eastAsia="en-GB"/>
        </w:rPr>
        <w:t xml:space="preserve"> </w:t>
      </w:r>
      <w:r w:rsidR="00BE6402" w:rsidRPr="007B43C4">
        <w:rPr>
          <w:rFonts w:asciiTheme="majorHAnsi" w:eastAsia="Times New Roman" w:hAnsiTheme="majorHAnsi" w:cstheme="majorHAnsi"/>
          <w:color w:val="auto"/>
          <w:kern w:val="0"/>
          <w:sz w:val="24"/>
          <w:szCs w:val="24"/>
          <w:lang w:eastAsia="en-GB"/>
        </w:rPr>
        <w:t>U Crnoj Gori nije uveden neki od međunarodno priznatih metoda za upravljanje kvalitetom u oblasti pružanja usluga niti procesa rada. Ovo ukazuje na činjenicu da se nijedan organ javne uprave u okviru obavljanja procesa rada ne koristi alate za upravljanjem kvalitetom koji su već u upotrebi (CAF, EFQM,</w:t>
      </w:r>
      <w:r w:rsidR="000242A4" w:rsidRPr="007B43C4">
        <w:rPr>
          <w:rFonts w:asciiTheme="majorHAnsi" w:eastAsia="Times New Roman" w:hAnsiTheme="majorHAnsi" w:cstheme="majorHAnsi"/>
          <w:color w:val="auto"/>
          <w:kern w:val="0"/>
          <w:sz w:val="24"/>
          <w:szCs w:val="24"/>
          <w:lang w:eastAsia="en-GB"/>
        </w:rPr>
        <w:t xml:space="preserve"> ISO, nacionalni standardi...).</w:t>
      </w:r>
    </w:p>
    <w:p w:rsidR="0031303E" w:rsidRPr="007B43C4" w:rsidRDefault="0031303E" w:rsidP="00B43D4E">
      <w:pPr>
        <w:numPr>
          <w:ilvl w:val="0"/>
          <w:numId w:val="26"/>
        </w:numPr>
        <w:tabs>
          <w:tab w:val="left" w:pos="850"/>
          <w:tab w:val="left" w:pos="1191"/>
          <w:tab w:val="left" w:pos="1531"/>
        </w:tabs>
        <w:spacing w:before="60" w:after="60" w:line="240" w:lineRule="auto"/>
        <w:ind w:left="274" w:right="-471" w:hanging="274"/>
        <w:jc w:val="both"/>
        <w:rPr>
          <w:rFonts w:asciiTheme="majorHAnsi" w:eastAsia="Calibri" w:hAnsiTheme="majorHAnsi" w:cstheme="majorHAnsi"/>
          <w:b/>
          <w:i/>
          <w:color w:val="auto"/>
          <w:kern w:val="0"/>
          <w:sz w:val="24"/>
          <w:szCs w:val="24"/>
          <w:lang w:eastAsia="en-US"/>
        </w:rPr>
      </w:pPr>
      <w:r w:rsidRPr="007B43C4">
        <w:rPr>
          <w:rFonts w:asciiTheme="majorHAnsi" w:eastAsia="Calibri" w:hAnsiTheme="majorHAnsi" w:cstheme="majorHAnsi"/>
          <w:b/>
          <w:i/>
          <w:color w:val="auto"/>
          <w:kern w:val="0"/>
          <w:sz w:val="24"/>
          <w:szCs w:val="24"/>
          <w:lang w:eastAsia="en-US"/>
        </w:rPr>
        <w:t>Nema potpune elektronske razmjene podataka (nema pun</w:t>
      </w:r>
      <w:r w:rsidR="003563FD" w:rsidRPr="007B43C4">
        <w:rPr>
          <w:rFonts w:asciiTheme="majorHAnsi" w:eastAsia="Calibri" w:hAnsiTheme="majorHAnsi" w:cstheme="majorHAnsi"/>
          <w:b/>
          <w:i/>
          <w:color w:val="auto"/>
          <w:kern w:val="0"/>
          <w:sz w:val="24"/>
          <w:szCs w:val="24"/>
          <w:lang w:eastAsia="en-US"/>
        </w:rPr>
        <w:t>e integracije Portala e-uprave,</w:t>
      </w:r>
      <w:r w:rsidRPr="007B43C4">
        <w:rPr>
          <w:rFonts w:asciiTheme="majorHAnsi" w:eastAsia="Calibri" w:hAnsiTheme="majorHAnsi" w:cstheme="majorHAnsi"/>
          <w:b/>
          <w:i/>
          <w:color w:val="auto"/>
          <w:kern w:val="0"/>
          <w:sz w:val="24"/>
          <w:szCs w:val="24"/>
          <w:lang w:eastAsia="en-US"/>
        </w:rPr>
        <w:t xml:space="preserve"> sistema </w:t>
      </w:r>
      <w:r w:rsidR="003563FD" w:rsidRPr="007B43C4">
        <w:rPr>
          <w:rFonts w:asciiTheme="majorHAnsi" w:eastAsia="Calibri" w:hAnsiTheme="majorHAnsi" w:cstheme="majorHAnsi"/>
          <w:b/>
          <w:i/>
          <w:color w:val="auto"/>
          <w:kern w:val="0"/>
          <w:sz w:val="24"/>
          <w:szCs w:val="24"/>
          <w:lang w:eastAsia="en-US"/>
        </w:rPr>
        <w:t>za elektronsko upravljanje dokumentima, sistema za elektronsko plaćanje i sistema za elektronsku identifikaciju i autentifikaciju</w:t>
      </w:r>
      <w:r w:rsidRPr="007B43C4">
        <w:rPr>
          <w:rFonts w:asciiTheme="majorHAnsi" w:eastAsia="Calibri" w:hAnsiTheme="majorHAnsi" w:cstheme="majorHAnsi"/>
          <w:b/>
          <w:i/>
          <w:color w:val="auto"/>
          <w:kern w:val="0"/>
          <w:sz w:val="24"/>
          <w:szCs w:val="24"/>
          <w:lang w:eastAsia="en-US"/>
        </w:rPr>
        <w:t>), pa posledično nema/nedovoljan broj je elektronskih usluga na visokom nivou sofisticiranosti</w:t>
      </w:r>
    </w:p>
    <w:p w:rsidR="006E6DF7" w:rsidRPr="007B43C4" w:rsidRDefault="0031303E" w:rsidP="007B43C4">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b/>
          <w:color w:val="auto"/>
          <w:kern w:val="0"/>
          <w:sz w:val="24"/>
          <w:szCs w:val="24"/>
          <w:lang w:eastAsia="en-US"/>
        </w:rPr>
        <w:t xml:space="preserve">Portal eUprave </w:t>
      </w:r>
      <w:hyperlink r:id="rId82" w:history="1">
        <w:r w:rsidRPr="007B43C4">
          <w:rPr>
            <w:rFonts w:asciiTheme="majorHAnsi" w:eastAsia="Calibri" w:hAnsiTheme="majorHAnsi" w:cstheme="majorHAnsi"/>
            <w:b/>
            <w:color w:val="auto"/>
            <w:kern w:val="0"/>
            <w:sz w:val="24"/>
            <w:szCs w:val="24"/>
            <w:u w:val="single"/>
            <w:lang w:eastAsia="en-US"/>
          </w:rPr>
          <w:t>https://www.euprava.me/</w:t>
        </w:r>
      </w:hyperlink>
      <w:r w:rsidRPr="007B43C4">
        <w:rPr>
          <w:rFonts w:asciiTheme="majorHAnsi" w:eastAsia="Calibri" w:hAnsiTheme="majorHAnsi" w:cstheme="majorHAnsi"/>
          <w:b/>
          <w:color w:val="auto"/>
          <w:kern w:val="0"/>
          <w:sz w:val="24"/>
          <w:szCs w:val="24"/>
          <w:lang w:eastAsia="en-US"/>
        </w:rPr>
        <w:t xml:space="preserve"> </w:t>
      </w:r>
      <w:r w:rsidRPr="007B43C4">
        <w:rPr>
          <w:rFonts w:asciiTheme="majorHAnsi" w:eastAsia="Calibri" w:hAnsiTheme="majorHAnsi" w:cstheme="majorHAnsi"/>
          <w:color w:val="auto"/>
          <w:kern w:val="0"/>
          <w:sz w:val="24"/>
          <w:szCs w:val="24"/>
          <w:lang w:eastAsia="en-US"/>
        </w:rPr>
        <w:t xml:space="preserve">kreiran je 2011. godine i zaostaje za savremenim trendovima, kako u tehnološkom smislu tako i dobrom korisničkom iskustvu. </w:t>
      </w:r>
      <w:r w:rsidRPr="007B43C4">
        <w:rPr>
          <w:rFonts w:asciiTheme="majorHAnsi" w:eastAsia="Calibri" w:hAnsiTheme="majorHAnsi" w:cstheme="majorHAnsi"/>
          <w:color w:val="auto"/>
          <w:kern w:val="0"/>
          <w:sz w:val="24"/>
          <w:szCs w:val="24"/>
          <w:shd w:val="clear" w:color="auto" w:fill="FFFFFF"/>
          <w:lang w:eastAsia="zh-CN"/>
        </w:rPr>
        <w:t>Trenutno postoji 524 elektronske usluge, od čega je 157 se nalazi na nivou 3.</w:t>
      </w:r>
      <w:r w:rsidRPr="007B43C4">
        <w:rPr>
          <w:rFonts w:asciiTheme="majorHAnsi" w:eastAsia="Calibri" w:hAnsiTheme="majorHAnsi" w:cstheme="majorHAnsi"/>
          <w:color w:val="auto"/>
          <w:kern w:val="0"/>
          <w:sz w:val="24"/>
          <w:szCs w:val="24"/>
          <w:shd w:val="clear" w:color="auto" w:fill="FFFFFF"/>
          <w:vertAlign w:val="superscript"/>
          <w:lang w:eastAsia="zh-CN"/>
        </w:rPr>
        <w:footnoteReference w:id="50"/>
      </w:r>
      <w:r w:rsidRPr="007B43C4">
        <w:rPr>
          <w:rFonts w:asciiTheme="majorHAnsi" w:eastAsia="Calibri" w:hAnsiTheme="majorHAnsi" w:cstheme="majorHAnsi"/>
          <w:color w:val="auto"/>
          <w:kern w:val="0"/>
          <w:sz w:val="24"/>
          <w:szCs w:val="24"/>
          <w:shd w:val="clear" w:color="auto" w:fill="FFFFFF"/>
          <w:lang w:eastAsia="zh-CN"/>
        </w:rPr>
        <w:t xml:space="preserve"> Dvije usluge su u potpunosti na nivou 4 </w:t>
      </w:r>
      <w:r w:rsidRPr="007B43C4">
        <w:rPr>
          <w:rFonts w:asciiTheme="majorHAnsi" w:eastAsia="Calibri" w:hAnsiTheme="majorHAnsi" w:cstheme="majorHAnsi"/>
          <w:color w:val="auto"/>
          <w:kern w:val="0"/>
          <w:sz w:val="24"/>
          <w:szCs w:val="24"/>
          <w:shd w:val="clear" w:color="auto" w:fill="FFFFFF"/>
          <w:lang w:eastAsia="zh-CN"/>
        </w:rPr>
        <w:lastRenderedPageBreak/>
        <w:t>(zahtjev za studentski kredit i stručno osposobljavanje), što je takođe navedeno u regionalnom istraživanju ReSPA.</w:t>
      </w:r>
      <w:r w:rsidRPr="007B43C4">
        <w:rPr>
          <w:rFonts w:asciiTheme="majorHAnsi" w:eastAsia="Calibri" w:hAnsiTheme="majorHAnsi" w:cstheme="majorHAnsi"/>
          <w:color w:val="auto"/>
          <w:kern w:val="0"/>
          <w:sz w:val="24"/>
          <w:szCs w:val="24"/>
          <w:shd w:val="clear" w:color="auto" w:fill="FFFFFF"/>
          <w:vertAlign w:val="superscript"/>
          <w:lang w:eastAsia="zh-CN"/>
        </w:rPr>
        <w:footnoteReference w:id="51"/>
      </w:r>
      <w:r w:rsidRPr="007B43C4">
        <w:rPr>
          <w:rFonts w:asciiTheme="majorHAnsi" w:eastAsia="Calibri" w:hAnsiTheme="majorHAnsi" w:cstheme="majorHAnsi"/>
          <w:color w:val="auto"/>
          <w:kern w:val="0"/>
          <w:sz w:val="24"/>
          <w:szCs w:val="24"/>
          <w:shd w:val="clear" w:color="auto" w:fill="FFFFFF"/>
          <w:lang w:eastAsia="zh-CN"/>
        </w:rPr>
        <w:t xml:space="preserve"> </w:t>
      </w:r>
      <w:r w:rsidRPr="007B43C4">
        <w:rPr>
          <w:rFonts w:asciiTheme="majorHAnsi" w:eastAsia="Calibri" w:hAnsiTheme="majorHAnsi" w:cstheme="majorHAnsi"/>
          <w:color w:val="auto"/>
          <w:kern w:val="0"/>
          <w:sz w:val="24"/>
          <w:szCs w:val="24"/>
          <w:lang w:eastAsia="en-US"/>
        </w:rPr>
        <w:t>Iako je evidentan porast broja dostupnih usluga na Portalu, prema istraživanju koje je Institut Alternativa sproveo u okviru projekta WEBER, samo trećina crnogorskih građana upoznata je sa time da su usluge koje pruža crnogorska uprava dostupne u elektronskom formatu, dok je svega 7% ispitanika koristilo Portal eUprave.</w:t>
      </w:r>
    </w:p>
    <w:p w:rsidR="0031303E" w:rsidRPr="007B43C4" w:rsidRDefault="0031303E" w:rsidP="007B43C4">
      <w:pPr>
        <w:tabs>
          <w:tab w:val="left" w:pos="850"/>
          <w:tab w:val="left" w:pos="1191"/>
          <w:tab w:val="left" w:pos="1531"/>
        </w:tabs>
        <w:spacing w:before="60" w:after="60" w:line="240" w:lineRule="auto"/>
        <w:ind w:right="-475"/>
        <w:jc w:val="both"/>
        <w:rPr>
          <w:rFonts w:asciiTheme="majorHAnsi" w:eastAsia="Calibri" w:hAnsiTheme="majorHAnsi" w:cstheme="majorHAnsi"/>
          <w:color w:val="auto"/>
          <w:kern w:val="0"/>
          <w:sz w:val="24"/>
          <w:szCs w:val="24"/>
          <w:shd w:val="clear" w:color="auto" w:fill="FFFFFF"/>
          <w:lang w:eastAsia="zh-CN"/>
        </w:rPr>
      </w:pPr>
      <w:r w:rsidRPr="007B43C4">
        <w:rPr>
          <w:rFonts w:asciiTheme="majorHAnsi" w:eastAsia="Calibri" w:hAnsiTheme="majorHAnsi" w:cstheme="majorHAnsi"/>
          <w:color w:val="auto"/>
          <w:kern w:val="0"/>
          <w:sz w:val="24"/>
          <w:szCs w:val="24"/>
          <w:lang w:eastAsia="en-US"/>
        </w:rPr>
        <w:t>MJUDDM je u cilju sagledavanja stepena korišćenja e-usluga sprovelo 2019. godine istraživanje</w:t>
      </w:r>
      <w:r w:rsidRPr="007B43C4">
        <w:rPr>
          <w:rFonts w:asciiTheme="majorHAnsi" w:eastAsia="Calibri" w:hAnsiTheme="majorHAnsi" w:cstheme="majorHAnsi"/>
          <w:color w:val="auto"/>
          <w:kern w:val="0"/>
          <w:sz w:val="24"/>
          <w:szCs w:val="24"/>
          <w:vertAlign w:val="superscript"/>
          <w:lang w:eastAsia="en-US"/>
        </w:rPr>
        <w:footnoteReference w:id="52"/>
      </w:r>
      <w:r w:rsidRPr="007B43C4">
        <w:rPr>
          <w:rFonts w:asciiTheme="majorHAnsi" w:eastAsia="Calibri" w:hAnsiTheme="majorHAnsi" w:cstheme="majorHAnsi"/>
          <w:color w:val="auto"/>
          <w:kern w:val="0"/>
          <w:sz w:val="24"/>
          <w:szCs w:val="24"/>
          <w:lang w:eastAsia="en-US"/>
        </w:rPr>
        <w:t xml:space="preserve"> sa ključnim nalazima:</w:t>
      </w:r>
    </w:p>
    <w:p w:rsidR="0031303E" w:rsidRPr="007B43C4" w:rsidRDefault="0031303E" w:rsidP="00B43D4E">
      <w:pPr>
        <w:numPr>
          <w:ilvl w:val="0"/>
          <w:numId w:val="27"/>
        </w:numPr>
        <w:tabs>
          <w:tab w:val="left" w:pos="850"/>
          <w:tab w:val="left" w:pos="1191"/>
          <w:tab w:val="left" w:pos="1531"/>
        </w:tabs>
        <w:spacing w:before="60" w:after="60" w:line="240" w:lineRule="auto"/>
        <w:ind w:left="270" w:right="-475" w:hanging="180"/>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Preko polovine građana koji su čuli za eUsluge javne administracije </w:t>
      </w:r>
      <w:r w:rsidRPr="007B43C4">
        <w:rPr>
          <w:rFonts w:asciiTheme="majorHAnsi" w:eastAsia="Calibri" w:hAnsiTheme="majorHAnsi" w:cstheme="majorHAnsi"/>
          <w:b/>
          <w:color w:val="auto"/>
          <w:kern w:val="0"/>
          <w:sz w:val="24"/>
          <w:szCs w:val="24"/>
          <w:lang w:eastAsia="en-US"/>
        </w:rPr>
        <w:t>nije ih koristilo</w:t>
      </w:r>
      <w:r w:rsidRPr="007B43C4">
        <w:rPr>
          <w:rFonts w:asciiTheme="majorHAnsi" w:eastAsia="Calibri" w:hAnsiTheme="majorHAnsi" w:cstheme="majorHAnsi"/>
          <w:color w:val="auto"/>
          <w:kern w:val="0"/>
          <w:sz w:val="24"/>
          <w:szCs w:val="24"/>
          <w:lang w:eastAsia="en-US"/>
        </w:rPr>
        <w:t xml:space="preserve"> ni jednom u prethodne dvije godine, oko 20% navodi da ih je koristilo rijetko, dok ih je isto toliko koristilo povremeno ili često</w:t>
      </w:r>
    </w:p>
    <w:p w:rsidR="0031303E" w:rsidRPr="007B43C4" w:rsidRDefault="0031303E" w:rsidP="00B43D4E">
      <w:pPr>
        <w:numPr>
          <w:ilvl w:val="0"/>
          <w:numId w:val="27"/>
        </w:numPr>
        <w:tabs>
          <w:tab w:val="left" w:pos="850"/>
          <w:tab w:val="left" w:pos="1191"/>
          <w:tab w:val="left" w:pos="1531"/>
        </w:tabs>
        <w:spacing w:before="60" w:after="60" w:line="240" w:lineRule="auto"/>
        <w:ind w:left="270" w:right="-475" w:hanging="180"/>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Preko tri četvrtine građana Crne Gore </w:t>
      </w:r>
      <w:r w:rsidRPr="007B43C4">
        <w:rPr>
          <w:rFonts w:asciiTheme="majorHAnsi" w:eastAsia="Calibri" w:hAnsiTheme="majorHAnsi" w:cstheme="majorHAnsi"/>
          <w:b/>
          <w:color w:val="auto"/>
          <w:kern w:val="0"/>
          <w:sz w:val="24"/>
          <w:szCs w:val="24"/>
          <w:lang w:eastAsia="en-US"/>
        </w:rPr>
        <w:t xml:space="preserve">nije informisano </w:t>
      </w:r>
      <w:r w:rsidRPr="007B43C4">
        <w:rPr>
          <w:rFonts w:asciiTheme="majorHAnsi" w:eastAsia="Calibri" w:hAnsiTheme="majorHAnsi" w:cstheme="majorHAnsi"/>
          <w:color w:val="auto"/>
          <w:kern w:val="0"/>
          <w:sz w:val="24"/>
          <w:szCs w:val="24"/>
          <w:lang w:eastAsia="en-US"/>
        </w:rPr>
        <w:t>o e-uslugama javne administracije</w:t>
      </w:r>
    </w:p>
    <w:p w:rsidR="0031303E" w:rsidRDefault="0031303E" w:rsidP="00B43D4E">
      <w:pPr>
        <w:numPr>
          <w:ilvl w:val="0"/>
          <w:numId w:val="27"/>
        </w:numPr>
        <w:tabs>
          <w:tab w:val="left" w:pos="850"/>
          <w:tab w:val="left" w:pos="1191"/>
          <w:tab w:val="left" w:pos="1531"/>
        </w:tabs>
        <w:spacing w:before="60" w:after="60" w:line="240" w:lineRule="auto"/>
        <w:ind w:left="270" w:right="-475" w:hanging="180"/>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Za razliku od građana, preduzeća su informisanija kada su u pitanju dostupnost i način korišćenja eUsluga javne administracije – blizu 90% privrednika ocjenjuje da je njihovo preduzeće uglavnom ili u potpunosti informisano o eUslugama namenjenim privredi.</w:t>
      </w:r>
    </w:p>
    <w:p w:rsidR="001E29A1" w:rsidRPr="007B43C4" w:rsidRDefault="005A6E16" w:rsidP="007B43C4">
      <w:pPr>
        <w:tabs>
          <w:tab w:val="left" w:pos="850"/>
          <w:tab w:val="left" w:pos="1191"/>
          <w:tab w:val="left" w:pos="1531"/>
        </w:tabs>
        <w:spacing w:before="60" w:after="60" w:line="240" w:lineRule="auto"/>
        <w:ind w:right="-475"/>
        <w:jc w:val="both"/>
        <w:rPr>
          <w:rFonts w:asciiTheme="majorHAnsi" w:eastAsia="Calibri" w:hAnsiTheme="majorHAnsi" w:cstheme="majorHAnsi"/>
          <w:color w:val="auto"/>
          <w:kern w:val="0"/>
          <w:sz w:val="16"/>
          <w:szCs w:val="16"/>
          <w:lang w:eastAsia="en-US"/>
        </w:rPr>
      </w:pPr>
      <w:r w:rsidRPr="007B43C4">
        <w:rPr>
          <w:rFonts w:asciiTheme="majorHAnsi" w:eastAsia="Calibri" w:hAnsiTheme="majorHAnsi" w:cstheme="majorHAnsi"/>
          <w:color w:val="auto"/>
          <w:kern w:val="0"/>
          <w:sz w:val="24"/>
          <w:szCs w:val="24"/>
          <w:lang w:eastAsia="en-US"/>
        </w:rPr>
        <w:t>Prema izvještaju o postupanju u upravnim stvarima za 2019. godinu,</w:t>
      </w:r>
      <w:r w:rsidRPr="007B43C4">
        <w:rPr>
          <w:rFonts w:asciiTheme="majorHAnsi" w:eastAsia="Calibri" w:hAnsiTheme="majorHAnsi" w:cstheme="majorHAnsi"/>
          <w:color w:val="auto"/>
          <w:kern w:val="0"/>
          <w:sz w:val="24"/>
          <w:szCs w:val="24"/>
          <w:vertAlign w:val="superscript"/>
          <w:lang w:eastAsia="en-US"/>
        </w:rPr>
        <w:footnoteReference w:id="53"/>
      </w:r>
      <w:r w:rsidRPr="007B43C4">
        <w:rPr>
          <w:rFonts w:asciiTheme="majorHAnsi" w:eastAsia="Calibri" w:hAnsiTheme="majorHAnsi" w:cstheme="majorHAnsi"/>
          <w:color w:val="auto"/>
          <w:kern w:val="0"/>
          <w:sz w:val="24"/>
          <w:szCs w:val="24"/>
          <w:lang w:eastAsia="en-US"/>
        </w:rPr>
        <w:t xml:space="preserve"> u javnopravnim organima nije u dovoljnoj mjeri zaživjela </w:t>
      </w:r>
      <w:r w:rsidRPr="007B43C4">
        <w:rPr>
          <w:rFonts w:asciiTheme="majorHAnsi" w:eastAsia="Calibri" w:hAnsiTheme="majorHAnsi" w:cstheme="majorHAnsi"/>
          <w:b/>
          <w:color w:val="auto"/>
          <w:kern w:val="0"/>
          <w:sz w:val="24"/>
          <w:szCs w:val="24"/>
          <w:lang w:eastAsia="en-US"/>
        </w:rPr>
        <w:t xml:space="preserve">elektronska komunikacija između organa i stranaka, </w:t>
      </w:r>
      <w:r w:rsidRPr="007B43C4">
        <w:rPr>
          <w:rFonts w:asciiTheme="majorHAnsi" w:eastAsia="Calibri" w:hAnsiTheme="majorHAnsi" w:cstheme="majorHAnsi"/>
          <w:color w:val="auto"/>
          <w:kern w:val="0"/>
          <w:sz w:val="24"/>
          <w:szCs w:val="24"/>
          <w:lang w:eastAsia="en-US"/>
        </w:rPr>
        <w:t>na koji način bi se stvorio pravni ambijent za jednostavniju, bržu i efikasniju</w:t>
      </w:r>
      <w:r w:rsidR="000242A4" w:rsidRPr="007B43C4">
        <w:rPr>
          <w:rFonts w:asciiTheme="majorHAnsi" w:eastAsia="Calibri" w:hAnsiTheme="majorHAnsi" w:cstheme="majorHAnsi"/>
          <w:color w:val="auto"/>
          <w:kern w:val="0"/>
          <w:sz w:val="24"/>
          <w:szCs w:val="24"/>
          <w:lang w:eastAsia="en-US"/>
        </w:rPr>
        <w:t xml:space="preserve"> komunikaciju građana i uprave.</w:t>
      </w:r>
    </w:p>
    <w:p w:rsidR="00AC188A" w:rsidRDefault="001E29A1" w:rsidP="007B43C4">
      <w:pPr>
        <w:spacing w:before="60" w:after="60" w:line="240" w:lineRule="auto"/>
        <w:ind w:right="-540"/>
        <w:jc w:val="both"/>
        <w:rPr>
          <w:rFonts w:asciiTheme="majorHAnsi" w:hAnsiTheme="majorHAnsi" w:cstheme="majorHAnsi"/>
          <w:color w:val="002060"/>
          <w:sz w:val="24"/>
          <w:szCs w:val="24"/>
          <w:lang w:val="sr-Latn-ME"/>
        </w:rPr>
      </w:pPr>
      <w:r w:rsidRPr="007B43C4">
        <w:rPr>
          <w:rFonts w:asciiTheme="majorHAnsi" w:hAnsiTheme="majorHAnsi" w:cstheme="majorHAnsi"/>
          <w:color w:val="auto"/>
          <w:sz w:val="24"/>
          <w:szCs w:val="24"/>
          <w:lang w:val="sr-Latn-ME"/>
        </w:rPr>
        <w:t>Procesi modernizacije javne uprave neminovno su donijeli sa sobom neophodnost digitalizacije internih procesa rada, kao i stvaranje servisno or</w:t>
      </w:r>
      <w:r w:rsidR="000242A4" w:rsidRPr="007B43C4">
        <w:rPr>
          <w:rFonts w:asciiTheme="majorHAnsi" w:hAnsiTheme="majorHAnsi" w:cstheme="majorHAnsi"/>
          <w:color w:val="auto"/>
          <w:sz w:val="24"/>
          <w:szCs w:val="24"/>
          <w:lang w:val="sr-Latn-ME"/>
        </w:rPr>
        <w:t>i</w:t>
      </w:r>
      <w:r w:rsidRPr="007B43C4">
        <w:rPr>
          <w:rFonts w:asciiTheme="majorHAnsi" w:hAnsiTheme="majorHAnsi" w:cstheme="majorHAnsi"/>
          <w:color w:val="auto"/>
          <w:sz w:val="24"/>
          <w:szCs w:val="24"/>
          <w:lang w:val="sr-Latn-ME"/>
        </w:rPr>
        <w:t xml:space="preserve">jentisanih digitalnih rješenja koja služe građanima i privredi. To je dovelo do činjenice da, samo </w:t>
      </w:r>
      <w:r w:rsidRPr="007B43C4">
        <w:rPr>
          <w:rFonts w:asciiTheme="majorHAnsi" w:hAnsiTheme="majorHAnsi" w:cstheme="majorHAnsi"/>
          <w:b/>
          <w:color w:val="auto"/>
          <w:sz w:val="24"/>
          <w:szCs w:val="24"/>
          <w:lang w:val="sr-Latn-ME"/>
        </w:rPr>
        <w:t>u organima državne uprave, postoji više od 100 informacionih sistema (IS</w:t>
      </w:r>
      <w:r w:rsidRPr="007B43C4">
        <w:rPr>
          <w:rFonts w:asciiTheme="majorHAnsi" w:hAnsiTheme="majorHAnsi" w:cstheme="majorHAnsi"/>
          <w:color w:val="auto"/>
          <w:sz w:val="24"/>
          <w:szCs w:val="24"/>
          <w:lang w:val="sr-Latn-ME"/>
        </w:rPr>
        <w:t>)</w:t>
      </w:r>
      <w:r w:rsidR="00874BFF" w:rsidRPr="007B43C4">
        <w:rPr>
          <w:rFonts w:asciiTheme="majorHAnsi" w:hAnsiTheme="majorHAnsi" w:cstheme="majorHAnsi"/>
          <w:color w:val="auto"/>
          <w:sz w:val="24"/>
          <w:szCs w:val="24"/>
          <w:lang w:val="sr-Latn-ME"/>
        </w:rPr>
        <w:t xml:space="preserve"> od kojih nisu svi međusobno usklađeni</w:t>
      </w:r>
      <w:r w:rsidRPr="007B43C4">
        <w:rPr>
          <w:rFonts w:asciiTheme="majorHAnsi" w:hAnsiTheme="majorHAnsi" w:cstheme="majorHAnsi"/>
          <w:color w:val="auto"/>
          <w:sz w:val="24"/>
          <w:szCs w:val="24"/>
          <w:lang w:val="sr-Latn-ME"/>
        </w:rPr>
        <w:t xml:space="preserve">. </w:t>
      </w:r>
      <w:r w:rsidR="000242A4" w:rsidRPr="007B43C4">
        <w:rPr>
          <w:rFonts w:asciiTheme="majorHAnsi" w:hAnsiTheme="majorHAnsi" w:cstheme="majorHAnsi"/>
          <w:color w:val="auto"/>
          <w:sz w:val="24"/>
          <w:szCs w:val="24"/>
          <w:lang w:val="sr-Latn-ME"/>
        </w:rPr>
        <w:t>P</w:t>
      </w:r>
      <w:r w:rsidRPr="007B43C4">
        <w:rPr>
          <w:rFonts w:asciiTheme="majorHAnsi" w:hAnsiTheme="majorHAnsi" w:cstheme="majorHAnsi"/>
          <w:color w:val="auto"/>
          <w:sz w:val="24"/>
          <w:szCs w:val="24"/>
          <w:lang w:val="sr-Latn-ME"/>
        </w:rPr>
        <w:t>ostoji tendencija rasta broja informacionih sistema u javnoj upravi, što je neminovno stvo</w:t>
      </w:r>
      <w:r w:rsidR="000242A4" w:rsidRPr="007B43C4">
        <w:rPr>
          <w:rFonts w:asciiTheme="majorHAnsi" w:hAnsiTheme="majorHAnsi" w:cstheme="majorHAnsi"/>
          <w:color w:val="auto"/>
          <w:sz w:val="24"/>
          <w:szCs w:val="24"/>
          <w:lang w:val="sr-Latn-ME"/>
        </w:rPr>
        <w:t>rilo potrebu za uspostavljanjem</w:t>
      </w:r>
      <w:r w:rsidRPr="007B43C4">
        <w:rPr>
          <w:rFonts w:asciiTheme="majorHAnsi" w:hAnsiTheme="majorHAnsi" w:cstheme="majorHAnsi"/>
          <w:color w:val="auto"/>
          <w:sz w:val="24"/>
          <w:szCs w:val="24"/>
          <w:lang w:val="sr-Latn-ME"/>
        </w:rPr>
        <w:t xml:space="preserve"> IT revizije u okv</w:t>
      </w:r>
      <w:r w:rsidR="000242A4" w:rsidRPr="007B43C4">
        <w:rPr>
          <w:rFonts w:asciiTheme="majorHAnsi" w:hAnsiTheme="majorHAnsi" w:cstheme="majorHAnsi"/>
          <w:color w:val="auto"/>
          <w:sz w:val="24"/>
          <w:szCs w:val="24"/>
          <w:lang w:val="sr-Latn-ME"/>
        </w:rPr>
        <w:t xml:space="preserve">iru javne uprave. </w:t>
      </w:r>
      <w:r w:rsidR="00562586" w:rsidRPr="007B43C4">
        <w:rPr>
          <w:rFonts w:asciiTheme="majorHAnsi" w:hAnsiTheme="majorHAnsi" w:cstheme="majorHAnsi"/>
          <w:color w:val="auto"/>
          <w:sz w:val="24"/>
          <w:szCs w:val="24"/>
          <w:lang w:val="sr-Latn-ME"/>
        </w:rPr>
        <w:t>Uredbom o uspostavljanju unutrašnje revizije u javnom sektoru</w:t>
      </w:r>
      <w:r w:rsidR="00562586" w:rsidRPr="007B43C4">
        <w:rPr>
          <w:rStyle w:val="FootnoteReference"/>
          <w:rFonts w:asciiTheme="majorHAnsi" w:hAnsiTheme="majorHAnsi" w:cstheme="majorHAnsi"/>
          <w:color w:val="auto"/>
          <w:sz w:val="24"/>
          <w:szCs w:val="24"/>
          <w:lang w:val="sr-Latn-ME"/>
        </w:rPr>
        <w:footnoteReference w:id="54"/>
      </w:r>
      <w:r w:rsidR="00562586" w:rsidRPr="007B43C4">
        <w:rPr>
          <w:rFonts w:asciiTheme="majorHAnsi" w:hAnsiTheme="majorHAnsi" w:cstheme="majorHAnsi"/>
          <w:color w:val="auto"/>
          <w:sz w:val="24"/>
          <w:szCs w:val="24"/>
          <w:lang w:val="sr-Latn-ME"/>
        </w:rPr>
        <w:t xml:space="preserve"> u MJUDDM formirana je posebna organizaciona jedinica za reviziju informacionih sistema</w:t>
      </w:r>
      <w:r w:rsidRPr="007B43C4">
        <w:rPr>
          <w:rFonts w:asciiTheme="majorHAnsi" w:hAnsiTheme="majorHAnsi" w:cstheme="majorHAnsi"/>
          <w:color w:val="auto"/>
          <w:sz w:val="24"/>
          <w:szCs w:val="24"/>
          <w:lang w:val="sr-Latn-ME"/>
        </w:rPr>
        <w:t>. Sa druge strane Zakon o elektronskoj upravi prepoznao je ulogu revizije IS u organima državne uprave što daje dodatnu obavezu da se ova specifična vrsta unutrašnje revizije ojača i pozicionira u javn</w:t>
      </w:r>
      <w:r w:rsidR="00562586" w:rsidRPr="007B43C4">
        <w:rPr>
          <w:rFonts w:asciiTheme="majorHAnsi" w:hAnsiTheme="majorHAnsi" w:cstheme="majorHAnsi"/>
          <w:color w:val="auto"/>
          <w:sz w:val="24"/>
          <w:szCs w:val="24"/>
          <w:lang w:val="sr-Latn-ME"/>
        </w:rPr>
        <w:t xml:space="preserve">om sektoru. Krajnji cilj ove revizije je pružanje podrška procesima digitalizacije u javnom sektoru, kako bi se kroz proces uvjeravanja i savjetodavnu aktivnost, unaprijedio proces upravljanja i upotrebe informacionih sistema, a samim tim i proces sveobuhvatnog upravljanja u organima. </w:t>
      </w:r>
      <w:r w:rsidR="000242A4" w:rsidRPr="007B43C4">
        <w:rPr>
          <w:rFonts w:asciiTheme="majorHAnsi" w:hAnsiTheme="majorHAnsi" w:cstheme="majorHAnsi"/>
          <w:color w:val="auto"/>
          <w:sz w:val="24"/>
          <w:szCs w:val="24"/>
          <w:lang w:val="sr-Latn-ME"/>
        </w:rPr>
        <w:t>Trenutno ne postoji centralizovani IS koji bi bio podrška radu unutrašnje revizije koji bi omogućio svim unutrašnjim revizorima, kao i Direkciji za harmonizaciju unutrašnje revizije, evidentiranje, izvještavanje i monitoring svih proc</w:t>
      </w:r>
      <w:r w:rsidR="00562586" w:rsidRPr="007B43C4">
        <w:rPr>
          <w:rFonts w:asciiTheme="majorHAnsi" w:hAnsiTheme="majorHAnsi" w:cstheme="majorHAnsi"/>
          <w:color w:val="auto"/>
          <w:sz w:val="24"/>
          <w:szCs w:val="24"/>
          <w:lang w:val="sr-Latn-ME"/>
        </w:rPr>
        <w:t>esa u radu unutrašnje revizije.</w:t>
      </w:r>
      <w:r w:rsidR="00AC188A">
        <w:rPr>
          <w:rFonts w:asciiTheme="majorHAnsi" w:hAnsiTheme="majorHAnsi" w:cstheme="majorHAnsi"/>
          <w:color w:val="002060"/>
          <w:sz w:val="24"/>
          <w:szCs w:val="24"/>
          <w:lang w:val="sr-Latn-ME"/>
        </w:rPr>
        <w:br w:type="page"/>
      </w:r>
    </w:p>
    <w:p w:rsidR="001E29A1" w:rsidRPr="007E14C5" w:rsidRDefault="001E29A1" w:rsidP="007E14C5">
      <w:pPr>
        <w:spacing w:before="0" w:after="120" w:line="240" w:lineRule="auto"/>
        <w:ind w:right="-540"/>
        <w:jc w:val="both"/>
        <w:rPr>
          <w:rFonts w:asciiTheme="majorHAnsi" w:hAnsiTheme="majorHAnsi" w:cstheme="majorHAnsi"/>
          <w:color w:val="002060"/>
          <w:sz w:val="24"/>
          <w:szCs w:val="24"/>
          <w:lang w:val="sr-Latn-ME"/>
        </w:rPr>
      </w:pPr>
    </w:p>
    <w:p w:rsidR="005A6E16" w:rsidRPr="007B43C4" w:rsidRDefault="00211F05" w:rsidP="00B43D4E">
      <w:pPr>
        <w:pStyle w:val="ListParagraph"/>
        <w:keepNext/>
        <w:keepLines/>
        <w:numPr>
          <w:ilvl w:val="0"/>
          <w:numId w:val="21"/>
        </w:numPr>
        <w:spacing w:before="240" w:after="240" w:line="240" w:lineRule="auto"/>
        <w:ind w:right="-471"/>
        <w:contextualSpacing w:val="0"/>
        <w:outlineLvl w:val="2"/>
        <w:rPr>
          <w:rFonts w:asciiTheme="majorHAnsi" w:eastAsia="Calibri" w:hAnsiTheme="majorHAnsi" w:cstheme="majorHAnsi"/>
          <w:b/>
          <w:color w:val="auto"/>
          <w:kern w:val="0"/>
          <w:sz w:val="24"/>
          <w:szCs w:val="24"/>
        </w:rPr>
      </w:pPr>
      <w:bookmarkStart w:id="20" w:name="_Toc87050715"/>
      <w:bookmarkStart w:id="21" w:name="_Toc87050716"/>
      <w:bookmarkStart w:id="22" w:name="_Toc87050717"/>
      <w:bookmarkStart w:id="23" w:name="_Toc87050718"/>
      <w:bookmarkStart w:id="24" w:name="_Toc87353399"/>
      <w:bookmarkEnd w:id="20"/>
      <w:bookmarkEnd w:id="21"/>
      <w:bookmarkEnd w:id="22"/>
      <w:bookmarkEnd w:id="23"/>
      <w:r w:rsidRPr="007B43C4">
        <w:rPr>
          <w:rFonts w:asciiTheme="majorHAnsi" w:hAnsiTheme="majorHAnsi" w:cstheme="majorHAnsi"/>
          <w:bCs/>
          <w:noProof/>
          <w:color w:val="auto"/>
          <w:sz w:val="24"/>
          <w:szCs w:val="24"/>
          <w:lang w:eastAsia="sr-Latn-RS"/>
        </w:rPr>
        <w:drawing>
          <wp:anchor distT="0" distB="0" distL="114300" distR="114300" simplePos="0" relativeHeight="251701248" behindDoc="1" locked="0" layoutInCell="1" allowOverlap="1" wp14:anchorId="143B6D81" wp14:editId="46E4BB90">
            <wp:simplePos x="0" y="0"/>
            <wp:positionH relativeFrom="column">
              <wp:posOffset>374650</wp:posOffset>
            </wp:positionH>
            <wp:positionV relativeFrom="paragraph">
              <wp:posOffset>396240</wp:posOffset>
            </wp:positionV>
            <wp:extent cx="3497580" cy="2948940"/>
            <wp:effectExtent l="0" t="0" r="0" b="3810"/>
            <wp:wrapTight wrapText="bothSides">
              <wp:wrapPolygon edited="0">
                <wp:start x="10471" y="0"/>
                <wp:lineTo x="2706" y="279"/>
                <wp:lineTo x="1059" y="558"/>
                <wp:lineTo x="1059" y="8930"/>
                <wp:lineTo x="353" y="10744"/>
                <wp:lineTo x="1176" y="13395"/>
                <wp:lineTo x="1176" y="18419"/>
                <wp:lineTo x="1412" y="20651"/>
                <wp:lineTo x="6471" y="21488"/>
                <wp:lineTo x="10471" y="21488"/>
                <wp:lineTo x="11059" y="21488"/>
                <wp:lineTo x="15176" y="21488"/>
                <wp:lineTo x="19882" y="20791"/>
                <wp:lineTo x="20000" y="13395"/>
                <wp:lineTo x="20941" y="11163"/>
                <wp:lineTo x="21412" y="11163"/>
                <wp:lineTo x="21176" y="10605"/>
                <wp:lineTo x="20118" y="8930"/>
                <wp:lineTo x="20353" y="1116"/>
                <wp:lineTo x="18706" y="698"/>
                <wp:lineTo x="11059" y="0"/>
                <wp:lineTo x="10471" y="0"/>
              </wp:wrapPolygon>
            </wp:wrapTight>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page">
              <wp14:pctWidth>0</wp14:pctWidth>
            </wp14:sizeRelH>
            <wp14:sizeRelV relativeFrom="page">
              <wp14:pctHeight>0</wp14:pctHeight>
            </wp14:sizeRelV>
          </wp:anchor>
        </w:drawing>
      </w:r>
      <w:r w:rsidR="005A6E16" w:rsidRPr="007B43C4">
        <w:rPr>
          <w:rFonts w:asciiTheme="majorHAnsi" w:eastAsia="Calibri" w:hAnsiTheme="majorHAnsi" w:cstheme="majorHAnsi"/>
          <w:b/>
          <w:color w:val="auto"/>
          <w:kern w:val="0"/>
          <w:sz w:val="24"/>
          <w:szCs w:val="24"/>
        </w:rPr>
        <w:t>STAKEHOLDER ANALIZA/ ANALIZA ZAINTERESOVANIH STRANA</w:t>
      </w:r>
      <w:r w:rsidR="00404CEC" w:rsidRPr="007B43C4">
        <w:rPr>
          <w:rFonts w:asciiTheme="majorHAnsi" w:eastAsia="Calibri" w:hAnsiTheme="majorHAnsi" w:cstheme="majorHAnsi"/>
          <w:b/>
          <w:color w:val="auto"/>
          <w:kern w:val="0"/>
          <w:sz w:val="24"/>
          <w:szCs w:val="24"/>
        </w:rPr>
        <w:t xml:space="preserve"> STRATEŠKOG CILJA 2.</w:t>
      </w:r>
      <w:bookmarkEnd w:id="24"/>
    </w:p>
    <w:p w:rsidR="00845BA0" w:rsidRPr="007E14C5" w:rsidRDefault="00845BA0" w:rsidP="00153229">
      <w:pPr>
        <w:spacing w:after="40" w:line="240" w:lineRule="auto"/>
        <w:ind w:right="-471"/>
        <w:rPr>
          <w:rFonts w:asciiTheme="majorHAnsi" w:hAnsiTheme="majorHAnsi" w:cstheme="majorHAnsi"/>
          <w:bCs/>
          <w:color w:val="002060"/>
          <w:sz w:val="24"/>
          <w:szCs w:val="24"/>
        </w:rPr>
      </w:pPr>
      <w:r w:rsidRPr="007E14C5">
        <w:rPr>
          <w:rFonts w:asciiTheme="majorHAnsi" w:hAnsiTheme="majorHAnsi" w:cstheme="majorHAnsi"/>
          <w:bCs/>
          <w:noProof/>
          <w:color w:val="002060"/>
          <w:sz w:val="24"/>
          <w:szCs w:val="24"/>
          <w:lang w:eastAsia="sr-Latn-RS"/>
        </w:rPr>
        <mc:AlternateContent>
          <mc:Choice Requires="wps">
            <w:drawing>
              <wp:anchor distT="45720" distB="45720" distL="114300" distR="114300" simplePos="0" relativeHeight="251702272" behindDoc="0" locked="0" layoutInCell="1" allowOverlap="1" wp14:anchorId="4FFC6B03" wp14:editId="21A23AEB">
                <wp:simplePos x="0" y="0"/>
                <wp:positionH relativeFrom="margin">
                  <wp:posOffset>3866515</wp:posOffset>
                </wp:positionH>
                <wp:positionV relativeFrom="paragraph">
                  <wp:posOffset>10160</wp:posOffset>
                </wp:positionV>
                <wp:extent cx="2362200" cy="3550920"/>
                <wp:effectExtent l="0" t="0" r="1905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550920"/>
                        </a:xfrm>
                        <a:prstGeom prst="rect">
                          <a:avLst/>
                        </a:prstGeom>
                        <a:solidFill>
                          <a:srgbClr val="FFFFFF"/>
                        </a:solidFill>
                        <a:ln w="9525">
                          <a:solidFill>
                            <a:srgbClr val="FFFFFF"/>
                          </a:solidFill>
                          <a:miter lim="800000"/>
                          <a:headEnd/>
                          <a:tailEnd/>
                        </a:ln>
                      </wps:spPr>
                      <wps:txbx>
                        <w:txbxContent>
                          <w:p w:rsidR="00F735BC" w:rsidRPr="00464BCD" w:rsidRDefault="00F735BC" w:rsidP="00845BA0">
                            <w:pPr>
                              <w:spacing w:after="40" w:line="240" w:lineRule="auto"/>
                              <w:ind w:right="36"/>
                              <w:jc w:val="both"/>
                              <w:rPr>
                                <w:rFonts w:asciiTheme="majorHAnsi" w:hAnsiTheme="majorHAnsi" w:cstheme="majorHAnsi"/>
                                <w:bCs/>
                                <w:color w:val="auto"/>
                                <w:sz w:val="22"/>
                                <w:szCs w:val="22"/>
                              </w:rPr>
                            </w:pPr>
                            <w:r>
                              <w:rPr>
                                <w:rFonts w:asciiTheme="majorHAnsi" w:hAnsiTheme="majorHAnsi" w:cstheme="majorHAnsi"/>
                                <w:bCs/>
                                <w:color w:val="auto"/>
                                <w:sz w:val="22"/>
                                <w:szCs w:val="22"/>
                              </w:rPr>
                              <w:t>U Tabeli 2. primjetan je v</w:t>
                            </w:r>
                            <w:r w:rsidRPr="00464BCD">
                              <w:rPr>
                                <w:rFonts w:asciiTheme="majorHAnsi" w:hAnsiTheme="majorHAnsi" w:cstheme="majorHAnsi"/>
                                <w:bCs/>
                                <w:color w:val="auto"/>
                                <w:sz w:val="22"/>
                                <w:szCs w:val="22"/>
                              </w:rPr>
                              <w:t xml:space="preserve">eliki interes svih relevantnih učesnika. Naime, Vlada Crne Gore, </w:t>
                            </w:r>
                            <w:r>
                              <w:rPr>
                                <w:rFonts w:asciiTheme="majorHAnsi" w:hAnsiTheme="majorHAnsi" w:cstheme="majorHAnsi"/>
                                <w:bCs/>
                                <w:color w:val="auto"/>
                                <w:sz w:val="22"/>
                                <w:szCs w:val="22"/>
                              </w:rPr>
                              <w:t>ministarstva</w:t>
                            </w:r>
                            <w:r w:rsidRPr="00464BCD">
                              <w:rPr>
                                <w:rFonts w:asciiTheme="majorHAnsi" w:hAnsiTheme="majorHAnsi" w:cstheme="majorHAnsi"/>
                                <w:bCs/>
                                <w:color w:val="auto"/>
                                <w:sz w:val="22"/>
                                <w:szCs w:val="22"/>
                              </w:rPr>
                              <w:t>, kao donosioci odluka</w:t>
                            </w:r>
                            <w:r>
                              <w:rPr>
                                <w:rFonts w:asciiTheme="majorHAnsi" w:hAnsiTheme="majorHAnsi" w:cstheme="majorHAnsi"/>
                                <w:bCs/>
                                <w:color w:val="auto"/>
                                <w:sz w:val="22"/>
                                <w:szCs w:val="22"/>
                              </w:rPr>
                              <w:t xml:space="preserve"> imaju veliki uticaj i interes na kreiranje usluga sa građanima i za građane. Da bi do ovoga došlo, neophodno je takođe potrebe prikazati oficijalnim statistiškim podacima od strane MONSTAT-a. Takođe, međunarodne organizacije – EK</w:t>
                            </w:r>
                            <w:r w:rsidRPr="00464BCD">
                              <w:rPr>
                                <w:rFonts w:asciiTheme="majorHAnsi" w:hAnsiTheme="majorHAnsi" w:cstheme="majorHAnsi"/>
                                <w:bCs/>
                                <w:color w:val="auto"/>
                                <w:sz w:val="22"/>
                                <w:szCs w:val="22"/>
                              </w:rPr>
                              <w:t xml:space="preserve">, </w:t>
                            </w:r>
                            <w:r>
                              <w:rPr>
                                <w:rFonts w:asciiTheme="majorHAnsi" w:hAnsiTheme="majorHAnsi" w:cstheme="majorHAnsi"/>
                                <w:bCs/>
                                <w:color w:val="auto"/>
                                <w:sz w:val="22"/>
                                <w:szCs w:val="22"/>
                              </w:rPr>
                              <w:t xml:space="preserve">DEU, SIGMA, OECD, UNDP </w:t>
                            </w:r>
                            <w:r w:rsidRPr="00464BCD">
                              <w:rPr>
                                <w:rFonts w:asciiTheme="majorHAnsi" w:hAnsiTheme="majorHAnsi" w:cstheme="majorHAnsi"/>
                                <w:bCs/>
                                <w:color w:val="auto"/>
                                <w:sz w:val="22"/>
                                <w:szCs w:val="22"/>
                              </w:rPr>
                              <w:t xml:space="preserve">posmatraju se kao najvažniji partneri među kojima je neophodna konstantna saradnja. </w:t>
                            </w:r>
                            <w:r>
                              <w:rPr>
                                <w:rFonts w:asciiTheme="majorHAnsi" w:hAnsiTheme="majorHAnsi" w:cstheme="majorHAnsi"/>
                                <w:bCs/>
                                <w:color w:val="auto"/>
                                <w:sz w:val="22"/>
                                <w:szCs w:val="22"/>
                              </w:rPr>
                              <w:t>Svakako veoma važan partner u digitalizaciji usluga je i Poslovna zajednica, posebno IT klaster iste. Akademska zajednica</w:t>
                            </w:r>
                            <w:r w:rsidRPr="00464BCD">
                              <w:rPr>
                                <w:rFonts w:asciiTheme="majorHAnsi" w:hAnsiTheme="majorHAnsi" w:cstheme="majorHAnsi"/>
                                <w:bCs/>
                                <w:color w:val="auto"/>
                                <w:sz w:val="22"/>
                                <w:szCs w:val="22"/>
                              </w:rPr>
                              <w:t xml:space="preserve"> svojim stavovima i rješenjima definišu dalje </w:t>
                            </w:r>
                            <w:r>
                              <w:rPr>
                                <w:rFonts w:asciiTheme="majorHAnsi" w:hAnsiTheme="majorHAnsi" w:cstheme="majorHAnsi"/>
                                <w:bCs/>
                                <w:color w:val="auto"/>
                                <w:sz w:val="22"/>
                                <w:szCs w:val="22"/>
                              </w:rPr>
                              <w:t>pravce razvoja, ali im uticaj/snaga izostaju</w:t>
                            </w:r>
                            <w:r w:rsidRPr="00464BCD">
                              <w:rPr>
                                <w:rFonts w:asciiTheme="majorHAnsi" w:hAnsiTheme="majorHAnsi" w:cstheme="majorHAnsi"/>
                                <w:bCs/>
                                <w:color w:val="auto"/>
                                <w:sz w:val="22"/>
                                <w:szCs w:val="22"/>
                              </w:rPr>
                              <w:t xml:space="preserve">. </w:t>
                            </w:r>
                          </w:p>
                          <w:p w:rsidR="00F735BC" w:rsidRPr="00464BCD" w:rsidRDefault="00F735BC" w:rsidP="00845BA0">
                            <w:pPr>
                              <w:ind w:right="36"/>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C6B03" id="_x0000_s1074" type="#_x0000_t202" style="position:absolute;margin-left:304.45pt;margin-top:.8pt;width:186pt;height:279.6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" strokecolor="white">
                <v:textbox>
                  <w:txbxContent>
                    <w:p w:rsidR="00F735BC" w:rsidRPr="00464BCD" w:rsidRDefault="00F735BC" w:rsidP="00845BA0">
                      <w:pPr>
                        <w:spacing w:after="40" w:line="240" w:lineRule="auto"/>
                        <w:ind w:right="36"/>
                        <w:jc w:val="both"/>
                        <w:rPr>
                          <w:rFonts w:asciiTheme="majorHAnsi" w:hAnsiTheme="majorHAnsi" w:cstheme="majorHAnsi"/>
                          <w:bCs/>
                          <w:color w:val="auto"/>
                          <w:sz w:val="22"/>
                          <w:szCs w:val="22"/>
                        </w:rPr>
                      </w:pPr>
                      <w:r>
                        <w:rPr>
                          <w:rFonts w:asciiTheme="majorHAnsi" w:hAnsiTheme="majorHAnsi" w:cstheme="majorHAnsi"/>
                          <w:bCs/>
                          <w:color w:val="auto"/>
                          <w:sz w:val="22"/>
                          <w:szCs w:val="22"/>
                        </w:rPr>
                        <w:t>U Tabeli 2. primjetan je v</w:t>
                      </w:r>
                      <w:r w:rsidRPr="00464BCD">
                        <w:rPr>
                          <w:rFonts w:asciiTheme="majorHAnsi" w:hAnsiTheme="majorHAnsi" w:cstheme="majorHAnsi"/>
                          <w:bCs/>
                          <w:color w:val="auto"/>
                          <w:sz w:val="22"/>
                          <w:szCs w:val="22"/>
                        </w:rPr>
                        <w:t xml:space="preserve">eliki interes svih relevantnih učesnika. Naime, Vlada Crne Gore, </w:t>
                      </w:r>
                      <w:r>
                        <w:rPr>
                          <w:rFonts w:asciiTheme="majorHAnsi" w:hAnsiTheme="majorHAnsi" w:cstheme="majorHAnsi"/>
                          <w:bCs/>
                          <w:color w:val="auto"/>
                          <w:sz w:val="22"/>
                          <w:szCs w:val="22"/>
                        </w:rPr>
                        <w:t>ministarstva</w:t>
                      </w:r>
                      <w:r w:rsidRPr="00464BCD">
                        <w:rPr>
                          <w:rFonts w:asciiTheme="majorHAnsi" w:hAnsiTheme="majorHAnsi" w:cstheme="majorHAnsi"/>
                          <w:bCs/>
                          <w:color w:val="auto"/>
                          <w:sz w:val="22"/>
                          <w:szCs w:val="22"/>
                        </w:rPr>
                        <w:t>, kao donosioci odluka</w:t>
                      </w:r>
                      <w:r>
                        <w:rPr>
                          <w:rFonts w:asciiTheme="majorHAnsi" w:hAnsiTheme="majorHAnsi" w:cstheme="majorHAnsi"/>
                          <w:bCs/>
                          <w:color w:val="auto"/>
                          <w:sz w:val="22"/>
                          <w:szCs w:val="22"/>
                        </w:rPr>
                        <w:t xml:space="preserve"> imaju veliki uticaj i interes na kreiranje usluga sa građanima i za građane. Da bi do ovoga došlo, neophodno je takođe potrebe prikazati oficijalnim statistiškim podacima od strane MONSTAT-a. Takođe, međunarodne organizacije – EK</w:t>
                      </w:r>
                      <w:r w:rsidRPr="00464BCD">
                        <w:rPr>
                          <w:rFonts w:asciiTheme="majorHAnsi" w:hAnsiTheme="majorHAnsi" w:cstheme="majorHAnsi"/>
                          <w:bCs/>
                          <w:color w:val="auto"/>
                          <w:sz w:val="22"/>
                          <w:szCs w:val="22"/>
                        </w:rPr>
                        <w:t xml:space="preserve">, </w:t>
                      </w:r>
                      <w:r>
                        <w:rPr>
                          <w:rFonts w:asciiTheme="majorHAnsi" w:hAnsiTheme="majorHAnsi" w:cstheme="majorHAnsi"/>
                          <w:bCs/>
                          <w:color w:val="auto"/>
                          <w:sz w:val="22"/>
                          <w:szCs w:val="22"/>
                        </w:rPr>
                        <w:t xml:space="preserve">DEU, SIGMA, OECD, UNDP </w:t>
                      </w:r>
                      <w:r w:rsidRPr="00464BCD">
                        <w:rPr>
                          <w:rFonts w:asciiTheme="majorHAnsi" w:hAnsiTheme="majorHAnsi" w:cstheme="majorHAnsi"/>
                          <w:bCs/>
                          <w:color w:val="auto"/>
                          <w:sz w:val="22"/>
                          <w:szCs w:val="22"/>
                        </w:rPr>
                        <w:t xml:space="preserve">posmatraju se kao najvažniji partneri među kojima je neophodna konstantna saradnja. </w:t>
                      </w:r>
                      <w:r>
                        <w:rPr>
                          <w:rFonts w:asciiTheme="majorHAnsi" w:hAnsiTheme="majorHAnsi" w:cstheme="majorHAnsi"/>
                          <w:bCs/>
                          <w:color w:val="auto"/>
                          <w:sz w:val="22"/>
                          <w:szCs w:val="22"/>
                        </w:rPr>
                        <w:t>Svakako veoma važan partner u digitalizaciji usluga je i Poslovna zajednica, posebno IT klaster iste. Akademska zajednica</w:t>
                      </w:r>
                      <w:r w:rsidRPr="00464BCD">
                        <w:rPr>
                          <w:rFonts w:asciiTheme="majorHAnsi" w:hAnsiTheme="majorHAnsi" w:cstheme="majorHAnsi"/>
                          <w:bCs/>
                          <w:color w:val="auto"/>
                          <w:sz w:val="22"/>
                          <w:szCs w:val="22"/>
                        </w:rPr>
                        <w:t xml:space="preserve"> svojim stavovima i rješenjima definišu dalje </w:t>
                      </w:r>
                      <w:r>
                        <w:rPr>
                          <w:rFonts w:asciiTheme="majorHAnsi" w:hAnsiTheme="majorHAnsi" w:cstheme="majorHAnsi"/>
                          <w:bCs/>
                          <w:color w:val="auto"/>
                          <w:sz w:val="22"/>
                          <w:szCs w:val="22"/>
                        </w:rPr>
                        <w:t>pravce razvoja, ali im uticaj/snaga izostaju</w:t>
                      </w:r>
                      <w:r w:rsidRPr="00464BCD">
                        <w:rPr>
                          <w:rFonts w:asciiTheme="majorHAnsi" w:hAnsiTheme="majorHAnsi" w:cstheme="majorHAnsi"/>
                          <w:bCs/>
                          <w:color w:val="auto"/>
                          <w:sz w:val="22"/>
                          <w:szCs w:val="22"/>
                        </w:rPr>
                        <w:t xml:space="preserve">. </w:t>
                      </w:r>
                    </w:p>
                    <w:p w:rsidR="00F735BC" w:rsidRPr="00464BCD" w:rsidRDefault="00F735BC" w:rsidP="00845BA0">
                      <w:pPr>
                        <w:ind w:right="36"/>
                        <w:rPr>
                          <w:rFonts w:asciiTheme="majorHAnsi" w:hAnsiTheme="majorHAnsi" w:cstheme="majorHAnsi"/>
                        </w:rPr>
                      </w:pPr>
                    </w:p>
                  </w:txbxContent>
                </v:textbox>
                <w10:wrap type="square" anchorx="margin"/>
              </v:shape>
            </w:pict>
          </mc:Fallback>
        </mc:AlternateContent>
      </w:r>
      <w:r w:rsidRPr="007E14C5">
        <w:rPr>
          <w:rFonts w:asciiTheme="majorHAnsi" w:hAnsiTheme="majorHAnsi" w:cstheme="majorHAnsi"/>
          <w:bCs/>
          <w:noProof/>
          <w:color w:val="002060"/>
          <w:sz w:val="24"/>
          <w:szCs w:val="24"/>
          <w:lang w:eastAsia="sr-Latn-RS"/>
        </w:rPr>
        <mc:AlternateContent>
          <mc:Choice Requires="wps">
            <w:drawing>
              <wp:anchor distT="0" distB="0" distL="114300" distR="114300" simplePos="0" relativeHeight="251700224" behindDoc="0" locked="0" layoutInCell="1" allowOverlap="1" wp14:anchorId="67BB0144" wp14:editId="0C2C7AE1">
                <wp:simplePos x="0" y="0"/>
                <wp:positionH relativeFrom="column">
                  <wp:posOffset>300355</wp:posOffset>
                </wp:positionH>
                <wp:positionV relativeFrom="paragraph">
                  <wp:posOffset>175895</wp:posOffset>
                </wp:positionV>
                <wp:extent cx="15240" cy="2659380"/>
                <wp:effectExtent l="57150" t="38100" r="118110" b="102870"/>
                <wp:wrapNone/>
                <wp:docPr id="18" name="Straight Arrow Connector 18"/>
                <wp:cNvGraphicFramePr/>
                <a:graphic xmlns:a="http://schemas.openxmlformats.org/drawingml/2006/main">
                  <a:graphicData uri="http://schemas.microsoft.com/office/word/2010/wordprocessingShape">
                    <wps:wsp>
                      <wps:cNvCnPr/>
                      <wps:spPr>
                        <a:xfrm flipV="1">
                          <a:off x="0" y="0"/>
                          <a:ext cx="15240" cy="2659380"/>
                        </a:xfrm>
                        <a:prstGeom prst="straightConnector1">
                          <a:avLst/>
                        </a:prstGeom>
                        <a:noFill/>
                        <a:ln w="9525" cap="flat" cmpd="sng" algn="ctr">
                          <a:solidFill>
                            <a:srgbClr val="7030A0"/>
                          </a:solidFill>
                          <a:prstDash val="solid"/>
                          <a:tailEnd type="triangle"/>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82AA2FB" id="Straight Arrow Connector 18" o:spid="_x0000_s1026" type="#_x0000_t32" style="position:absolute;margin-left:23.65pt;margin-top:13.85pt;width:1.2pt;height:209.4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" strokecolor="#7030a0">
                <v:stroke endarrow="block"/>
                <v:shadow on="t" color="black" opacity="26214f" origin="-.5,-.5" offset=".74836mm,.74836mm"/>
              </v:shape>
            </w:pict>
          </mc:Fallback>
        </mc:AlternateContent>
      </w:r>
    </w:p>
    <w:p w:rsidR="00845BA0" w:rsidRPr="007E14C5" w:rsidRDefault="00845BA0" w:rsidP="00153229">
      <w:pPr>
        <w:spacing w:after="40" w:line="240" w:lineRule="auto"/>
        <w:ind w:right="-471"/>
        <w:jc w:val="both"/>
        <w:rPr>
          <w:rFonts w:asciiTheme="majorHAnsi" w:hAnsiTheme="majorHAnsi" w:cstheme="majorHAnsi"/>
          <w:bCs/>
          <w:color w:val="002060"/>
          <w:sz w:val="24"/>
          <w:szCs w:val="24"/>
        </w:rPr>
      </w:pPr>
      <w:r w:rsidRPr="007E14C5">
        <w:rPr>
          <w:rFonts w:asciiTheme="majorHAnsi" w:hAnsiTheme="majorHAnsi" w:cstheme="majorHAnsi"/>
          <w:bCs/>
          <w:noProof/>
          <w:color w:val="002060"/>
          <w:sz w:val="24"/>
          <w:szCs w:val="24"/>
          <w:lang w:eastAsia="sr-Latn-RS"/>
        </w:rPr>
        <mc:AlternateContent>
          <mc:Choice Requires="wps">
            <w:drawing>
              <wp:anchor distT="45720" distB="45720" distL="114300" distR="114300" simplePos="0" relativeHeight="251705344" behindDoc="0" locked="0" layoutInCell="1" allowOverlap="1" wp14:anchorId="2172AFCE" wp14:editId="47CF2FCD">
                <wp:simplePos x="0" y="0"/>
                <wp:positionH relativeFrom="margin">
                  <wp:posOffset>-99060</wp:posOffset>
                </wp:positionH>
                <wp:positionV relativeFrom="paragraph">
                  <wp:posOffset>338455</wp:posOffset>
                </wp:positionV>
                <wp:extent cx="297180" cy="182118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821180"/>
                        </a:xfrm>
                        <a:prstGeom prst="rect">
                          <a:avLst/>
                        </a:prstGeom>
                        <a:noFill/>
                        <a:ln w="9525">
                          <a:noFill/>
                          <a:miter lim="800000"/>
                          <a:headEnd/>
                          <a:tailEnd/>
                        </a:ln>
                      </wps:spPr>
                      <wps:txbx>
                        <w:txbxContent>
                          <w:p w:rsidR="00F735BC" w:rsidRPr="0031303E" w:rsidRDefault="00F735BC" w:rsidP="00845BA0">
                            <w:pPr>
                              <w:ind w:right="-12"/>
                              <w:rPr>
                                <w:color w:val="7030A0"/>
                                <w:sz w:val="24"/>
                                <w:szCs w:val="24"/>
                              </w:rPr>
                            </w:pPr>
                            <w:r w:rsidRPr="0031303E">
                              <w:rPr>
                                <w:color w:val="7030A0"/>
                                <w:sz w:val="24"/>
                                <w:szCs w:val="24"/>
                              </w:rPr>
                              <w:t>INTERES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2AFCE" id="_x0000_s1075" type="#_x0000_t202" style="position:absolute;left:0;text-align:left;margin-left:-7.8pt;margin-top:26.65pt;width:23.4pt;height:143.4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" filled="f" stroked="f">
                <v:textbox>
                  <w:txbxContent>
                    <w:p w:rsidR="00F735BC" w:rsidRPr="0031303E" w:rsidRDefault="00F735BC" w:rsidP="00845BA0">
                      <w:pPr>
                        <w:ind w:right="-12"/>
                        <w:rPr>
                          <w:color w:val="7030A0"/>
                          <w:sz w:val="24"/>
                          <w:szCs w:val="24"/>
                        </w:rPr>
                      </w:pPr>
                      <w:r w:rsidRPr="0031303E">
                        <w:rPr>
                          <w:color w:val="7030A0"/>
                          <w:sz w:val="24"/>
                          <w:szCs w:val="24"/>
                        </w:rPr>
                        <w:t>INTERES</w:t>
                      </w:r>
                    </w:p>
                  </w:txbxContent>
                </v:textbox>
                <w10:wrap type="square" anchorx="margin"/>
              </v:shape>
            </w:pict>
          </mc:Fallback>
        </mc:AlternateContent>
      </w:r>
    </w:p>
    <w:p w:rsidR="00845BA0" w:rsidRPr="007E14C5" w:rsidRDefault="00845BA0" w:rsidP="00153229">
      <w:pPr>
        <w:spacing w:after="40" w:line="240" w:lineRule="auto"/>
        <w:ind w:right="-471"/>
        <w:jc w:val="both"/>
        <w:rPr>
          <w:rFonts w:asciiTheme="majorHAnsi" w:hAnsiTheme="majorHAnsi" w:cstheme="majorHAnsi"/>
          <w:bCs/>
          <w:color w:val="002060"/>
          <w:sz w:val="24"/>
          <w:szCs w:val="24"/>
        </w:rPr>
      </w:pPr>
    </w:p>
    <w:p w:rsidR="00845BA0" w:rsidRPr="007E14C5" w:rsidRDefault="00211F05" w:rsidP="00153229">
      <w:pPr>
        <w:spacing w:before="240" w:after="240" w:line="240" w:lineRule="auto"/>
        <w:ind w:right="-471"/>
        <w:rPr>
          <w:rFonts w:asciiTheme="majorHAnsi" w:eastAsia="Calibri" w:hAnsiTheme="majorHAnsi" w:cstheme="majorHAnsi"/>
          <w:b/>
          <w:color w:val="002060"/>
          <w:kern w:val="0"/>
          <w:sz w:val="24"/>
          <w:szCs w:val="24"/>
        </w:rPr>
      </w:pPr>
      <w:r w:rsidRPr="007E14C5">
        <w:rPr>
          <w:rFonts w:asciiTheme="majorHAnsi" w:eastAsia="Calibri" w:hAnsiTheme="majorHAnsi" w:cstheme="majorHAnsi"/>
          <w:b/>
          <w:noProof/>
          <w:color w:val="002060"/>
          <w:kern w:val="0"/>
          <w:sz w:val="24"/>
          <w:szCs w:val="24"/>
          <w:lang w:eastAsia="sr-Latn-RS"/>
        </w:rPr>
        <mc:AlternateContent>
          <mc:Choice Requires="wps">
            <w:drawing>
              <wp:anchor distT="0" distB="0" distL="114300" distR="114300" simplePos="0" relativeHeight="251703296" behindDoc="0" locked="0" layoutInCell="1" allowOverlap="1" wp14:anchorId="7269ADA0" wp14:editId="5B36D161">
                <wp:simplePos x="0" y="0"/>
                <wp:positionH relativeFrom="column">
                  <wp:posOffset>681355</wp:posOffset>
                </wp:positionH>
                <wp:positionV relativeFrom="paragraph">
                  <wp:posOffset>443230</wp:posOffset>
                </wp:positionV>
                <wp:extent cx="2910840" cy="15240"/>
                <wp:effectExtent l="0" t="76200" r="22860" b="80010"/>
                <wp:wrapNone/>
                <wp:docPr id="27" name="Straight Arrow Connector 27"/>
                <wp:cNvGraphicFramePr/>
                <a:graphic xmlns:a="http://schemas.openxmlformats.org/drawingml/2006/main">
                  <a:graphicData uri="http://schemas.microsoft.com/office/word/2010/wordprocessingShape">
                    <wps:wsp>
                      <wps:cNvCnPr/>
                      <wps:spPr>
                        <a:xfrm flipV="1">
                          <a:off x="0" y="0"/>
                          <a:ext cx="2910840" cy="15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8FD8D3" id="Straight Arrow Connector 27" o:spid="_x0000_s1026" type="#_x0000_t32" style="position:absolute;margin-left:53.65pt;margin-top:34.9pt;width:229.2pt;height:1.2pt;flip:y;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" strokecolor="#748fa7 [3044]">
                <v:stroke endarrow="block"/>
              </v:shape>
            </w:pict>
          </mc:Fallback>
        </mc:AlternateContent>
      </w:r>
    </w:p>
    <w:p w:rsidR="00845BA0" w:rsidRPr="007E14C5" w:rsidRDefault="00845BA0" w:rsidP="00153229">
      <w:pPr>
        <w:pStyle w:val="ListParagraph"/>
        <w:spacing w:before="240" w:after="240" w:line="240" w:lineRule="auto"/>
        <w:ind w:right="-471"/>
        <w:contextualSpacing w:val="0"/>
        <w:rPr>
          <w:rFonts w:asciiTheme="majorHAnsi" w:eastAsia="Calibri" w:hAnsiTheme="majorHAnsi" w:cstheme="majorHAnsi"/>
          <w:b/>
          <w:color w:val="002060"/>
          <w:kern w:val="0"/>
          <w:sz w:val="24"/>
          <w:szCs w:val="24"/>
        </w:rPr>
      </w:pPr>
      <w:r w:rsidRPr="007E14C5">
        <w:rPr>
          <w:rFonts w:asciiTheme="majorHAnsi" w:hAnsiTheme="majorHAnsi" w:cstheme="majorHAnsi"/>
          <w:bCs/>
          <w:noProof/>
          <w:color w:val="002060"/>
          <w:sz w:val="24"/>
          <w:szCs w:val="24"/>
          <w:lang w:eastAsia="sr-Latn-RS"/>
        </w:rPr>
        <mc:AlternateContent>
          <mc:Choice Requires="wps">
            <w:drawing>
              <wp:anchor distT="45720" distB="45720" distL="114300" distR="114300" simplePos="0" relativeHeight="251707392" behindDoc="0" locked="0" layoutInCell="1" allowOverlap="1" wp14:anchorId="610B52A0" wp14:editId="0A6D9C8B">
                <wp:simplePos x="0" y="0"/>
                <wp:positionH relativeFrom="column">
                  <wp:posOffset>1485900</wp:posOffset>
                </wp:positionH>
                <wp:positionV relativeFrom="paragraph">
                  <wp:posOffset>103505</wp:posOffset>
                </wp:positionV>
                <wp:extent cx="1325880" cy="358140"/>
                <wp:effectExtent l="0" t="0" r="26670" b="2286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358140"/>
                        </a:xfrm>
                        <a:prstGeom prst="rect">
                          <a:avLst/>
                        </a:prstGeom>
                        <a:solidFill>
                          <a:srgbClr val="FFFFFF"/>
                        </a:solidFill>
                        <a:ln w="9525">
                          <a:solidFill>
                            <a:srgbClr val="FFFFFF"/>
                          </a:solidFill>
                          <a:miter lim="800000"/>
                          <a:headEnd/>
                          <a:tailEnd/>
                        </a:ln>
                      </wps:spPr>
                      <wps:txbx>
                        <w:txbxContent>
                          <w:p w:rsidR="00F735BC" w:rsidRPr="0031303E" w:rsidRDefault="00F735BC" w:rsidP="00845BA0">
                            <w:pPr>
                              <w:spacing w:after="40" w:line="240" w:lineRule="auto"/>
                              <w:ind w:right="-410"/>
                              <w:rPr>
                                <w:rFonts w:ascii="Cambria" w:hAnsi="Cambria" w:cstheme="majorHAnsi"/>
                                <w:bCs/>
                                <w:color w:val="7030A0"/>
                                <w:sz w:val="24"/>
                                <w:szCs w:val="24"/>
                              </w:rPr>
                            </w:pPr>
                            <w:r w:rsidRPr="0031303E">
                              <w:rPr>
                                <w:rFonts w:ascii="Cambria" w:hAnsi="Cambria" w:cstheme="majorHAnsi"/>
                                <w:bCs/>
                                <w:color w:val="7030A0"/>
                                <w:sz w:val="24"/>
                                <w:szCs w:val="24"/>
                              </w:rPr>
                              <w:t>UTICAJ/SNAGA</w:t>
                            </w:r>
                          </w:p>
                          <w:p w:rsidR="00F735BC" w:rsidRDefault="00F735BC" w:rsidP="00845B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B52A0" id="_x0000_s1076" type="#_x0000_t202" style="position:absolute;left:0;text-align:left;margin-left:117pt;margin-top:8.15pt;width:104.4pt;height:28.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" strokecolor="white">
                <v:textbox>
                  <w:txbxContent>
                    <w:p w:rsidR="00F735BC" w:rsidRPr="0031303E" w:rsidRDefault="00F735BC" w:rsidP="00845BA0">
                      <w:pPr>
                        <w:spacing w:after="40" w:line="240" w:lineRule="auto"/>
                        <w:ind w:right="-410"/>
                        <w:rPr>
                          <w:rFonts w:ascii="Cambria" w:hAnsi="Cambria" w:cstheme="majorHAnsi"/>
                          <w:bCs/>
                          <w:color w:val="7030A0"/>
                          <w:sz w:val="24"/>
                          <w:szCs w:val="24"/>
                        </w:rPr>
                      </w:pPr>
                      <w:r w:rsidRPr="0031303E">
                        <w:rPr>
                          <w:rFonts w:ascii="Cambria" w:hAnsi="Cambria" w:cstheme="majorHAnsi"/>
                          <w:bCs/>
                          <w:color w:val="7030A0"/>
                          <w:sz w:val="24"/>
                          <w:szCs w:val="24"/>
                        </w:rPr>
                        <w:t>UTICAJ/SNAGA</w:t>
                      </w:r>
                    </w:p>
                    <w:p w:rsidR="00F735BC" w:rsidRDefault="00F735BC" w:rsidP="00845BA0"/>
                  </w:txbxContent>
                </v:textbox>
                <w10:wrap type="square"/>
              </v:shape>
            </w:pict>
          </mc:Fallback>
        </mc:AlternateContent>
      </w:r>
    </w:p>
    <w:p w:rsidR="005A6E16" w:rsidRPr="007E14C5" w:rsidRDefault="005A6E16" w:rsidP="005A6E16">
      <w:pPr>
        <w:spacing w:after="40" w:line="240" w:lineRule="auto"/>
        <w:ind w:right="-471"/>
        <w:rPr>
          <w:rFonts w:asciiTheme="majorHAnsi" w:hAnsiTheme="majorHAnsi" w:cstheme="majorHAnsi"/>
          <w:i/>
          <w:color w:val="002060"/>
          <w:sz w:val="24"/>
          <w:szCs w:val="24"/>
        </w:rPr>
      </w:pPr>
    </w:p>
    <w:p w:rsidR="00404CEC" w:rsidRPr="007B43C4" w:rsidRDefault="00404CEC" w:rsidP="007B43C4">
      <w:pPr>
        <w:spacing w:before="0" w:after="0" w:line="240" w:lineRule="auto"/>
        <w:ind w:left="180" w:right="-475"/>
        <w:jc w:val="both"/>
        <w:rPr>
          <w:rFonts w:asciiTheme="majorHAnsi" w:hAnsiTheme="majorHAnsi" w:cstheme="majorHAnsi"/>
          <w:i/>
          <w:color w:val="002060"/>
        </w:rPr>
      </w:pPr>
      <w:r w:rsidRPr="007B43C4">
        <w:rPr>
          <w:rFonts w:asciiTheme="majorHAnsi" w:hAnsiTheme="majorHAnsi" w:cstheme="majorHAnsi"/>
          <w:i/>
          <w:color w:val="002060"/>
        </w:rPr>
        <w:t>Grafik: Analiza zaintere</w:t>
      </w:r>
      <w:r w:rsidR="00562586" w:rsidRPr="007B43C4">
        <w:rPr>
          <w:rFonts w:asciiTheme="majorHAnsi" w:hAnsiTheme="majorHAnsi" w:cstheme="majorHAnsi"/>
          <w:i/>
          <w:color w:val="002060"/>
        </w:rPr>
        <w:t>sovanih strana Strateškog cilja</w:t>
      </w:r>
      <w:r w:rsidR="007B43C4">
        <w:rPr>
          <w:rFonts w:asciiTheme="majorHAnsi" w:hAnsiTheme="majorHAnsi" w:cstheme="majorHAnsi"/>
          <w:i/>
          <w:color w:val="002060"/>
        </w:rPr>
        <w:t xml:space="preserve"> </w:t>
      </w:r>
      <w:r w:rsidRPr="007B43C4">
        <w:rPr>
          <w:rFonts w:asciiTheme="majorHAnsi" w:hAnsiTheme="majorHAnsi" w:cstheme="majorHAnsi"/>
          <w:i/>
          <w:color w:val="002060"/>
        </w:rPr>
        <w:t>Građani i privreda koriste kvalitetne usluge javne uprave</w:t>
      </w:r>
    </w:p>
    <w:p w:rsidR="00211F05" w:rsidRPr="007E14C5" w:rsidRDefault="00211F05" w:rsidP="00211F05">
      <w:pPr>
        <w:spacing w:after="40" w:line="240" w:lineRule="auto"/>
        <w:ind w:right="-471"/>
        <w:rPr>
          <w:rFonts w:asciiTheme="majorHAnsi" w:hAnsiTheme="majorHAnsi" w:cstheme="majorHAnsi"/>
          <w:i/>
          <w:color w:val="002060"/>
          <w:sz w:val="24"/>
          <w:szCs w:val="24"/>
        </w:rPr>
      </w:pPr>
    </w:p>
    <w:p w:rsidR="00EB5E0B" w:rsidRPr="007B43C4" w:rsidRDefault="00EB5E0B" w:rsidP="00B43D4E">
      <w:pPr>
        <w:pStyle w:val="ListParagraph"/>
        <w:keepNext/>
        <w:keepLines/>
        <w:numPr>
          <w:ilvl w:val="0"/>
          <w:numId w:val="20"/>
        </w:numPr>
        <w:spacing w:before="120" w:after="120" w:line="240" w:lineRule="auto"/>
        <w:ind w:right="-471"/>
        <w:contextualSpacing w:val="0"/>
        <w:outlineLvl w:val="2"/>
        <w:rPr>
          <w:rFonts w:asciiTheme="majorHAnsi" w:eastAsia="Calibri" w:hAnsiTheme="majorHAnsi" w:cstheme="majorHAnsi"/>
          <w:b/>
          <w:color w:val="auto"/>
          <w:kern w:val="0"/>
          <w:sz w:val="24"/>
          <w:szCs w:val="24"/>
        </w:rPr>
      </w:pPr>
      <w:bookmarkStart w:id="25" w:name="_Toc87353400"/>
      <w:r w:rsidRPr="007B43C4">
        <w:rPr>
          <w:rFonts w:asciiTheme="majorHAnsi" w:eastAsia="Calibri" w:hAnsiTheme="majorHAnsi" w:cstheme="majorHAnsi"/>
          <w:b/>
          <w:color w:val="auto"/>
          <w:kern w:val="0"/>
          <w:sz w:val="24"/>
          <w:szCs w:val="24"/>
        </w:rPr>
        <w:t>OPERATIVNI CILJEVI NA OSNOVU IDENTIFIKOVANIH IZAZOVA</w:t>
      </w:r>
      <w:bookmarkEnd w:id="25"/>
    </w:p>
    <w:p w:rsidR="00EB5E0B" w:rsidRPr="007B43C4" w:rsidRDefault="00EB5E0B" w:rsidP="00672E3B">
      <w:pPr>
        <w:pStyle w:val="Heading4"/>
        <w:spacing w:before="0" w:line="240" w:lineRule="auto"/>
        <w:ind w:right="-450"/>
        <w:jc w:val="both"/>
        <w:rPr>
          <w:rFonts w:eastAsia="Times New Roman" w:cstheme="majorHAnsi"/>
          <w:color w:val="auto"/>
          <w:sz w:val="24"/>
          <w:szCs w:val="24"/>
          <w:lang w:eastAsia="en-US"/>
        </w:rPr>
      </w:pPr>
      <w:r w:rsidRPr="007B43C4">
        <w:rPr>
          <w:rFonts w:eastAsia="Times New Roman" w:cstheme="majorHAnsi"/>
          <w:i w:val="0"/>
          <w:color w:val="auto"/>
          <w:sz w:val="24"/>
          <w:szCs w:val="24"/>
          <w:lang w:eastAsia="en-US"/>
        </w:rPr>
        <w:t xml:space="preserve">OPERATIVNI CILJ 2.1. </w:t>
      </w:r>
      <w:r w:rsidR="00672E3B" w:rsidRPr="007B43C4">
        <w:rPr>
          <w:rFonts w:cstheme="majorHAnsi"/>
          <w:color w:val="auto"/>
          <w:sz w:val="24"/>
          <w:szCs w:val="24"/>
        </w:rPr>
        <w:t>Efikasnije pružanje usluga i uvođenje upravljanja kvalitet</w:t>
      </w:r>
      <w:r w:rsidR="00590D91" w:rsidRPr="007B43C4">
        <w:rPr>
          <w:rFonts w:cstheme="majorHAnsi"/>
          <w:color w:val="auto"/>
          <w:sz w:val="24"/>
          <w:szCs w:val="24"/>
        </w:rPr>
        <w:t>om pruženim</w:t>
      </w:r>
      <w:r w:rsidR="00672E3B" w:rsidRPr="007B43C4">
        <w:rPr>
          <w:rFonts w:cstheme="majorHAnsi"/>
          <w:color w:val="auto"/>
          <w:sz w:val="24"/>
          <w:szCs w:val="24"/>
        </w:rPr>
        <w:t xml:space="preserve"> usluga</w:t>
      </w:r>
      <w:r w:rsidR="00590D91" w:rsidRPr="007B43C4">
        <w:rPr>
          <w:rFonts w:cstheme="majorHAnsi"/>
          <w:color w:val="auto"/>
          <w:sz w:val="24"/>
          <w:szCs w:val="24"/>
        </w:rPr>
        <w:t>ma</w:t>
      </w:r>
    </w:p>
    <w:p w:rsidR="00B762DC" w:rsidRPr="007B43C4" w:rsidRDefault="00B762DC" w:rsidP="00B762DC">
      <w:pPr>
        <w:spacing w:before="60" w:after="60" w:line="240" w:lineRule="auto"/>
        <w:ind w:right="-471"/>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Fokus je na preduzimanju mjera u cilju unapređenja </w:t>
      </w:r>
      <w:r w:rsidRPr="007B43C4">
        <w:rPr>
          <w:rFonts w:asciiTheme="majorHAnsi" w:eastAsia="Calibri" w:hAnsiTheme="majorHAnsi" w:cstheme="majorHAnsi"/>
          <w:b/>
          <w:color w:val="auto"/>
          <w:kern w:val="0"/>
          <w:sz w:val="24"/>
          <w:szCs w:val="24"/>
          <w:lang w:eastAsia="en-US"/>
        </w:rPr>
        <w:t xml:space="preserve">efikasnosti rada organa u rješavanju upravnih </w:t>
      </w:r>
      <w:r w:rsidRPr="007B43C4">
        <w:rPr>
          <w:rFonts w:asciiTheme="majorHAnsi" w:eastAsia="Calibri" w:hAnsiTheme="majorHAnsi" w:cstheme="majorHAnsi"/>
          <w:color w:val="auto"/>
          <w:kern w:val="0"/>
          <w:sz w:val="24"/>
          <w:szCs w:val="24"/>
          <w:lang w:eastAsia="en-US"/>
        </w:rPr>
        <w:t xml:space="preserve">predmeta i puna primjena </w:t>
      </w:r>
      <w:r w:rsidRPr="007B43C4">
        <w:rPr>
          <w:rFonts w:asciiTheme="majorHAnsi" w:eastAsia="Calibri" w:hAnsiTheme="majorHAnsi" w:cstheme="majorHAnsi"/>
          <w:b/>
          <w:color w:val="auto"/>
          <w:kern w:val="0"/>
          <w:sz w:val="24"/>
          <w:szCs w:val="24"/>
          <w:lang w:eastAsia="en-US"/>
        </w:rPr>
        <w:t>zakonske obaveze organa da razmenjuju podatke iz službenih evidencija, kako bi se poboljšala efikasnost i ekonomičnost postupka</w:t>
      </w:r>
      <w:r w:rsidRPr="007B43C4">
        <w:rPr>
          <w:rFonts w:asciiTheme="majorHAnsi" w:eastAsia="Calibri" w:hAnsiTheme="majorHAnsi" w:cstheme="majorHAnsi"/>
          <w:color w:val="auto"/>
          <w:kern w:val="0"/>
          <w:sz w:val="24"/>
          <w:szCs w:val="24"/>
          <w:lang w:eastAsia="en-US"/>
        </w:rPr>
        <w:t xml:space="preserve"> i mogućnost da stranke u upravnom postupku lakše i efikasnije ostvare prava i pravne interese sa manje troškova.</w:t>
      </w:r>
    </w:p>
    <w:p w:rsidR="00B762DC" w:rsidRPr="007B43C4" w:rsidRDefault="00B762DC" w:rsidP="007E14C5">
      <w:pPr>
        <w:spacing w:before="120" w:after="0" w:line="240" w:lineRule="auto"/>
        <w:ind w:right="-471"/>
        <w:jc w:val="both"/>
        <w:rPr>
          <w:rFonts w:asciiTheme="majorHAnsi" w:eastAsia="Times New Roman"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Prioritet je uvesti </w:t>
      </w:r>
      <w:r w:rsidRPr="007B43C4">
        <w:rPr>
          <w:rFonts w:asciiTheme="majorHAnsi" w:eastAsia="Calibri" w:hAnsiTheme="majorHAnsi" w:cstheme="majorHAnsi"/>
          <w:b/>
          <w:color w:val="auto"/>
          <w:kern w:val="0"/>
          <w:sz w:val="24"/>
          <w:szCs w:val="24"/>
          <w:lang w:eastAsia="en-US"/>
        </w:rPr>
        <w:t>sistemsko mjerenje zadovoljstva korisnika javnih usluga</w:t>
      </w:r>
      <w:r w:rsidRPr="007B43C4">
        <w:rPr>
          <w:rFonts w:asciiTheme="majorHAnsi" w:eastAsia="Calibri" w:hAnsiTheme="majorHAnsi" w:cstheme="majorHAnsi"/>
          <w:color w:val="auto"/>
          <w:kern w:val="0"/>
          <w:sz w:val="24"/>
          <w:szCs w:val="24"/>
          <w:lang w:eastAsia="en-US"/>
        </w:rPr>
        <w:t xml:space="preserve">, kako bi se dobile povratne informacije na osnovu kojih bi bilo moguće preduzeti mjere na unapređenju pružanja usluga i uspostaviti sistem </w:t>
      </w:r>
      <w:r w:rsidRPr="007B43C4">
        <w:rPr>
          <w:rFonts w:asciiTheme="majorHAnsi" w:eastAsia="Calibri" w:hAnsiTheme="majorHAnsi" w:cstheme="majorHAnsi"/>
          <w:b/>
          <w:color w:val="auto"/>
          <w:kern w:val="0"/>
          <w:sz w:val="24"/>
          <w:szCs w:val="24"/>
          <w:lang w:eastAsia="en-US"/>
        </w:rPr>
        <w:t>upravljanja kvalitetom</w:t>
      </w:r>
      <w:r w:rsidRPr="007B43C4">
        <w:rPr>
          <w:rFonts w:asciiTheme="majorHAnsi" w:eastAsia="Calibri" w:hAnsiTheme="majorHAnsi" w:cstheme="majorHAnsi"/>
          <w:color w:val="auto"/>
          <w:kern w:val="0"/>
          <w:sz w:val="24"/>
          <w:szCs w:val="24"/>
          <w:lang w:eastAsia="en-US"/>
        </w:rPr>
        <w:t xml:space="preserve"> institucija i procesa, koje za svoj krajnji rezultat ima poboljšanje kvaliteta pružene usluge krajnjim korisnicima i optimizaciju procesa u organima. </w:t>
      </w:r>
      <w:r w:rsidRPr="007B43C4">
        <w:rPr>
          <w:rFonts w:asciiTheme="majorHAnsi" w:eastAsia="Times New Roman" w:hAnsiTheme="majorHAnsi" w:cstheme="majorHAnsi"/>
          <w:color w:val="auto"/>
          <w:kern w:val="0"/>
          <w:sz w:val="24"/>
          <w:szCs w:val="24"/>
          <w:lang w:eastAsia="en-US"/>
        </w:rPr>
        <w:t xml:space="preserve">Standardizacijom procesa rada u čitavoj javnoj upravi, uspostavljanjem kataloga usluga i knjige administrativnih procedura, nastaviće se sa razvojem e-servisa za ključne životne događaje za potrebe građana i privrede, </w:t>
      </w:r>
      <w:r w:rsidR="00ED4528" w:rsidRPr="007B43C4">
        <w:rPr>
          <w:rFonts w:asciiTheme="majorHAnsi" w:eastAsia="Times New Roman" w:hAnsiTheme="majorHAnsi" w:cstheme="majorHAnsi"/>
          <w:color w:val="auto"/>
          <w:kern w:val="0"/>
          <w:sz w:val="24"/>
          <w:szCs w:val="24"/>
          <w:lang w:eastAsia="en-US"/>
        </w:rPr>
        <w:t>simplifikujući bi</w:t>
      </w:r>
      <w:r w:rsidRPr="007B43C4">
        <w:rPr>
          <w:rFonts w:asciiTheme="majorHAnsi" w:eastAsia="Times New Roman" w:hAnsiTheme="majorHAnsi" w:cstheme="majorHAnsi"/>
          <w:color w:val="auto"/>
          <w:kern w:val="0"/>
          <w:sz w:val="24"/>
          <w:szCs w:val="24"/>
          <w:lang w:eastAsia="en-US"/>
        </w:rPr>
        <w:t>rok</w:t>
      </w:r>
      <w:r w:rsidR="00ED4528" w:rsidRPr="007B43C4">
        <w:rPr>
          <w:rFonts w:asciiTheme="majorHAnsi" w:eastAsia="Times New Roman" w:hAnsiTheme="majorHAnsi" w:cstheme="majorHAnsi"/>
          <w:color w:val="auto"/>
          <w:kern w:val="0"/>
          <w:sz w:val="24"/>
          <w:szCs w:val="24"/>
          <w:lang w:eastAsia="en-US"/>
        </w:rPr>
        <w:t>ratske i duge procedure.</w:t>
      </w:r>
    </w:p>
    <w:p w:rsidR="00F91D66" w:rsidRPr="007B43C4" w:rsidRDefault="00F91D66">
      <w:pPr>
        <w:spacing w:before="60" w:after="60" w:line="240" w:lineRule="auto"/>
        <w:ind w:right="-471"/>
        <w:jc w:val="both"/>
        <w:rPr>
          <w:rFonts w:asciiTheme="majorHAnsi" w:hAnsiTheme="majorHAnsi" w:cstheme="majorHAnsi"/>
          <w:color w:val="auto"/>
          <w:sz w:val="24"/>
          <w:szCs w:val="24"/>
        </w:rPr>
      </w:pPr>
    </w:p>
    <w:tbl>
      <w:tblPr>
        <w:tblStyle w:val="TableGrid"/>
        <w:tblW w:w="5289"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07"/>
        <w:gridCol w:w="1859"/>
        <w:gridCol w:w="1881"/>
        <w:gridCol w:w="1778"/>
        <w:gridCol w:w="2261"/>
      </w:tblGrid>
      <w:tr w:rsidR="00AC188A" w:rsidRPr="00156E08" w:rsidTr="00F735BC">
        <w:tc>
          <w:tcPr>
            <w:tcW w:w="1105" w:type="pct"/>
            <w:shd w:val="clear" w:color="auto" w:fill="DFE4E5" w:themeFill="accent5" w:themeFillTint="33"/>
            <w:vAlign w:val="center"/>
          </w:tcPr>
          <w:p w:rsidR="00F91D66" w:rsidRPr="00B44628" w:rsidRDefault="00F91D66">
            <w:pPr>
              <w:spacing w:after="40"/>
              <w:rPr>
                <w:rFonts w:asciiTheme="majorHAnsi" w:hAnsiTheme="majorHAnsi" w:cstheme="majorHAnsi"/>
                <w:b/>
                <w:color w:val="3A4B5B" w:themeColor="accent1" w:themeShade="80"/>
              </w:rPr>
            </w:pPr>
            <w:r w:rsidRPr="00B44628">
              <w:rPr>
                <w:rFonts w:asciiTheme="majorHAnsi" w:hAnsiTheme="majorHAnsi" w:cstheme="majorHAnsi"/>
                <w:b/>
                <w:color w:val="3A4B5B" w:themeColor="accent1" w:themeShade="80"/>
              </w:rPr>
              <w:lastRenderedPageBreak/>
              <w:t>OPERATIVNI CILJ 2.1</w:t>
            </w:r>
          </w:p>
        </w:tc>
        <w:tc>
          <w:tcPr>
            <w:tcW w:w="3895" w:type="pct"/>
            <w:gridSpan w:val="4"/>
            <w:shd w:val="clear" w:color="auto" w:fill="DFE4E5" w:themeFill="accent5" w:themeFillTint="33"/>
            <w:vAlign w:val="center"/>
          </w:tcPr>
          <w:p w:rsidR="00F91D66" w:rsidRPr="00B44628" w:rsidRDefault="00F91D66">
            <w:pPr>
              <w:spacing w:after="40"/>
              <w:rPr>
                <w:rFonts w:asciiTheme="majorHAnsi" w:hAnsiTheme="majorHAnsi" w:cstheme="majorHAnsi"/>
                <w:b/>
                <w:color w:val="3A4B5B" w:themeColor="accent1" w:themeShade="80"/>
              </w:rPr>
            </w:pPr>
            <w:r w:rsidRPr="00B44628">
              <w:rPr>
                <w:rFonts w:asciiTheme="majorHAnsi" w:hAnsiTheme="majorHAnsi" w:cstheme="majorHAnsi"/>
                <w:b/>
                <w:color w:val="3A4B5B" w:themeColor="accent1" w:themeShade="80"/>
              </w:rPr>
              <w:t xml:space="preserve">Efikasnije pružanje usluga i uvođenje upravljanja kvalitetom pruženih usluga </w:t>
            </w:r>
          </w:p>
        </w:tc>
      </w:tr>
      <w:tr w:rsidR="00AC188A" w:rsidRPr="00156E08" w:rsidTr="00F735BC">
        <w:tc>
          <w:tcPr>
            <w:tcW w:w="2036" w:type="pct"/>
            <w:gridSpan w:val="2"/>
            <w:shd w:val="clear" w:color="auto" w:fill="DAF2F6"/>
            <w:vAlign w:val="center"/>
          </w:tcPr>
          <w:p w:rsidR="00F91D66" w:rsidRPr="00266D24" w:rsidRDefault="00F91D66" w:rsidP="007E14C5">
            <w:pPr>
              <w:spacing w:after="40"/>
              <w:rPr>
                <w:rFonts w:asciiTheme="majorHAnsi" w:hAnsiTheme="majorHAnsi" w:cstheme="majorHAnsi"/>
                <w:b/>
                <w:color w:val="3A4B5B" w:themeColor="accent1" w:themeShade="80"/>
                <w:sz w:val="18"/>
                <w:szCs w:val="18"/>
              </w:rPr>
            </w:pPr>
            <w:r w:rsidRPr="00266D24">
              <w:rPr>
                <w:rFonts w:asciiTheme="majorHAnsi" w:hAnsiTheme="majorHAnsi" w:cstheme="majorHAnsi"/>
                <w:b/>
                <w:color w:val="3A4B5B" w:themeColor="accent1" w:themeShade="80"/>
                <w:sz w:val="18"/>
                <w:szCs w:val="18"/>
              </w:rPr>
              <w:t>Indikator</w:t>
            </w:r>
          </w:p>
        </w:tc>
        <w:tc>
          <w:tcPr>
            <w:tcW w:w="942" w:type="pct"/>
            <w:shd w:val="clear" w:color="auto" w:fill="DAF2F6"/>
            <w:vAlign w:val="center"/>
          </w:tcPr>
          <w:p w:rsidR="00F91D66" w:rsidRPr="00266D24" w:rsidRDefault="00F91D66" w:rsidP="007E14C5">
            <w:pPr>
              <w:spacing w:after="40"/>
              <w:rPr>
                <w:rFonts w:asciiTheme="majorHAnsi" w:hAnsiTheme="majorHAnsi" w:cstheme="majorHAnsi"/>
                <w:b/>
                <w:color w:val="3A4B5B" w:themeColor="accent1" w:themeShade="80"/>
                <w:sz w:val="18"/>
                <w:szCs w:val="18"/>
              </w:rPr>
            </w:pPr>
            <w:r w:rsidRPr="00266D24">
              <w:rPr>
                <w:rFonts w:asciiTheme="majorHAnsi" w:hAnsiTheme="majorHAnsi" w:cstheme="majorHAnsi"/>
                <w:b/>
                <w:color w:val="3A4B5B" w:themeColor="accent1" w:themeShade="80"/>
                <w:sz w:val="18"/>
                <w:szCs w:val="18"/>
              </w:rPr>
              <w:t>Početna vrijednost</w:t>
            </w:r>
          </w:p>
        </w:tc>
        <w:tc>
          <w:tcPr>
            <w:tcW w:w="890" w:type="pct"/>
            <w:shd w:val="clear" w:color="auto" w:fill="DAF2F6"/>
            <w:vAlign w:val="center"/>
          </w:tcPr>
          <w:p w:rsidR="00F91D66" w:rsidRPr="00266D24" w:rsidRDefault="00F91D66" w:rsidP="007E14C5">
            <w:pPr>
              <w:spacing w:after="40"/>
              <w:rPr>
                <w:rFonts w:asciiTheme="majorHAnsi" w:hAnsiTheme="majorHAnsi" w:cstheme="majorHAnsi"/>
                <w:b/>
                <w:color w:val="3A4B5B" w:themeColor="accent1" w:themeShade="80"/>
                <w:sz w:val="18"/>
                <w:szCs w:val="18"/>
              </w:rPr>
            </w:pPr>
            <w:r w:rsidRPr="00266D24">
              <w:rPr>
                <w:rFonts w:asciiTheme="majorHAnsi" w:hAnsiTheme="majorHAnsi" w:cstheme="majorHAnsi"/>
                <w:b/>
                <w:color w:val="3A4B5B" w:themeColor="accent1" w:themeShade="80"/>
                <w:sz w:val="18"/>
                <w:szCs w:val="18"/>
              </w:rPr>
              <w:t>Ciljana vrijednost do 2024.</w:t>
            </w:r>
          </w:p>
        </w:tc>
        <w:tc>
          <w:tcPr>
            <w:tcW w:w="1132" w:type="pct"/>
            <w:shd w:val="clear" w:color="auto" w:fill="DAF2F6"/>
            <w:vAlign w:val="center"/>
          </w:tcPr>
          <w:p w:rsidR="00F91D66" w:rsidRPr="00266D24" w:rsidRDefault="00F91D66" w:rsidP="007E14C5">
            <w:pPr>
              <w:spacing w:after="40"/>
              <w:rPr>
                <w:rFonts w:asciiTheme="majorHAnsi" w:hAnsiTheme="majorHAnsi" w:cstheme="majorHAnsi"/>
                <w:b/>
                <w:color w:val="3A4B5B" w:themeColor="accent1" w:themeShade="80"/>
                <w:sz w:val="18"/>
                <w:szCs w:val="18"/>
              </w:rPr>
            </w:pPr>
            <w:r w:rsidRPr="00266D24">
              <w:rPr>
                <w:rFonts w:asciiTheme="majorHAnsi" w:hAnsiTheme="majorHAnsi" w:cstheme="majorHAnsi"/>
                <w:b/>
                <w:color w:val="3A4B5B" w:themeColor="accent1" w:themeShade="80"/>
                <w:sz w:val="18"/>
                <w:szCs w:val="18"/>
              </w:rPr>
              <w:t>Ciljana vrijednost u 2026.</w:t>
            </w:r>
          </w:p>
        </w:tc>
      </w:tr>
      <w:tr w:rsidR="003B6A44" w:rsidRPr="00156E08" w:rsidTr="00F735BC">
        <w:tc>
          <w:tcPr>
            <w:tcW w:w="2036" w:type="pct"/>
            <w:gridSpan w:val="2"/>
            <w:shd w:val="clear" w:color="auto" w:fill="auto"/>
          </w:tcPr>
          <w:p w:rsidR="003B6A44" w:rsidRPr="003B6A44" w:rsidRDefault="003B6A44" w:rsidP="003B6A44">
            <w:pPr>
              <w:spacing w:after="40"/>
              <w:jc w:val="both"/>
              <w:rPr>
                <w:rFonts w:asciiTheme="majorHAnsi" w:hAnsiTheme="majorHAnsi" w:cstheme="majorHAnsi"/>
                <w:color w:val="auto"/>
                <w:sz w:val="18"/>
                <w:szCs w:val="18"/>
              </w:rPr>
            </w:pPr>
            <w:r w:rsidRPr="003B6A44">
              <w:rPr>
                <w:rFonts w:asciiTheme="majorHAnsi" w:hAnsiTheme="majorHAnsi" w:cstheme="majorHAnsi"/>
                <w:color w:val="auto"/>
                <w:sz w:val="18"/>
                <w:szCs w:val="18"/>
              </w:rPr>
              <w:t>Pilot institucije  u kojima je izvršeno mapiranje procesa u cilju optimizacije unutrašnjih procesa i kvaliteta pružene usluge</w:t>
            </w:r>
          </w:p>
        </w:tc>
        <w:tc>
          <w:tcPr>
            <w:tcW w:w="942" w:type="pct"/>
            <w:shd w:val="clear" w:color="auto" w:fill="auto"/>
          </w:tcPr>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0</w:t>
            </w:r>
          </w:p>
        </w:tc>
        <w:tc>
          <w:tcPr>
            <w:tcW w:w="890" w:type="pct"/>
            <w:shd w:val="clear" w:color="auto" w:fill="auto"/>
          </w:tcPr>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5</w:t>
            </w:r>
          </w:p>
        </w:tc>
        <w:tc>
          <w:tcPr>
            <w:tcW w:w="1132" w:type="pct"/>
            <w:shd w:val="clear" w:color="auto" w:fill="auto"/>
          </w:tcPr>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15</w:t>
            </w:r>
          </w:p>
        </w:tc>
      </w:tr>
      <w:tr w:rsidR="003B6A44" w:rsidRPr="00156E08" w:rsidTr="00F735BC">
        <w:tc>
          <w:tcPr>
            <w:tcW w:w="2036" w:type="pct"/>
            <w:gridSpan w:val="2"/>
            <w:shd w:val="clear" w:color="auto" w:fill="auto"/>
          </w:tcPr>
          <w:p w:rsidR="003B6A44" w:rsidRPr="003B6A44" w:rsidRDefault="003B6A44" w:rsidP="003B6A44">
            <w:pPr>
              <w:spacing w:after="40"/>
              <w:jc w:val="both"/>
              <w:rPr>
                <w:rFonts w:asciiTheme="majorHAnsi" w:hAnsiTheme="majorHAnsi" w:cstheme="majorHAnsi"/>
                <w:color w:val="auto"/>
                <w:sz w:val="18"/>
                <w:szCs w:val="18"/>
              </w:rPr>
            </w:pPr>
            <w:r w:rsidRPr="003B6A44">
              <w:rPr>
                <w:rFonts w:asciiTheme="majorHAnsi" w:hAnsiTheme="majorHAnsi" w:cstheme="majorHAnsi"/>
                <w:color w:val="auto"/>
                <w:sz w:val="18"/>
                <w:szCs w:val="18"/>
              </w:rPr>
              <w:t>Zadovoljstvo građana javnim uslugama (Balkan barometar)</w:t>
            </w:r>
            <w:r w:rsidRPr="003B6A44">
              <w:rPr>
                <w:rFonts w:asciiTheme="majorHAnsi" w:hAnsiTheme="majorHAnsi"/>
                <w:sz w:val="18"/>
                <w:szCs w:val="18"/>
              </w:rPr>
              <w:footnoteReference w:id="55"/>
            </w:r>
          </w:p>
        </w:tc>
        <w:tc>
          <w:tcPr>
            <w:tcW w:w="942" w:type="pct"/>
            <w:shd w:val="clear" w:color="auto" w:fill="auto"/>
          </w:tcPr>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3,3</w:t>
            </w:r>
          </w:p>
        </w:tc>
        <w:tc>
          <w:tcPr>
            <w:tcW w:w="890" w:type="pct"/>
            <w:shd w:val="clear" w:color="auto" w:fill="auto"/>
          </w:tcPr>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3,5</w:t>
            </w:r>
          </w:p>
        </w:tc>
        <w:tc>
          <w:tcPr>
            <w:tcW w:w="1132" w:type="pct"/>
            <w:shd w:val="clear" w:color="auto" w:fill="auto"/>
          </w:tcPr>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3,7</w:t>
            </w:r>
          </w:p>
        </w:tc>
      </w:tr>
      <w:tr w:rsidR="003B6A44" w:rsidRPr="00156E08" w:rsidTr="00F735BC">
        <w:tc>
          <w:tcPr>
            <w:tcW w:w="2036" w:type="pct"/>
            <w:gridSpan w:val="2"/>
            <w:shd w:val="clear" w:color="auto" w:fill="auto"/>
          </w:tcPr>
          <w:p w:rsidR="003B6A44" w:rsidRPr="003B6A44" w:rsidRDefault="003B6A44" w:rsidP="003B6A44">
            <w:pPr>
              <w:spacing w:after="40"/>
              <w:jc w:val="both"/>
              <w:rPr>
                <w:rFonts w:asciiTheme="majorHAnsi" w:hAnsiTheme="majorHAnsi" w:cstheme="majorHAnsi"/>
                <w:color w:val="auto"/>
                <w:sz w:val="18"/>
                <w:szCs w:val="18"/>
              </w:rPr>
            </w:pPr>
            <w:r w:rsidRPr="003B6A44">
              <w:rPr>
                <w:rFonts w:asciiTheme="majorHAnsi" w:hAnsiTheme="majorHAnsi" w:cstheme="majorHAnsi"/>
                <w:color w:val="auto"/>
                <w:sz w:val="18"/>
                <w:szCs w:val="18"/>
              </w:rPr>
              <w:t>% upravnih akata poništen od strane Upravnog suda</w:t>
            </w:r>
          </w:p>
        </w:tc>
        <w:tc>
          <w:tcPr>
            <w:tcW w:w="942" w:type="pct"/>
            <w:shd w:val="clear" w:color="auto" w:fill="auto"/>
          </w:tcPr>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20,33%</w:t>
            </w:r>
          </w:p>
        </w:tc>
        <w:tc>
          <w:tcPr>
            <w:tcW w:w="890" w:type="pct"/>
            <w:shd w:val="clear" w:color="auto" w:fill="auto"/>
          </w:tcPr>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20%</w:t>
            </w:r>
          </w:p>
        </w:tc>
        <w:tc>
          <w:tcPr>
            <w:tcW w:w="1132" w:type="pct"/>
            <w:shd w:val="clear" w:color="auto" w:fill="auto"/>
          </w:tcPr>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sz w:val="18"/>
                <w:szCs w:val="18"/>
              </w:rPr>
              <w:t>18%</w:t>
            </w:r>
          </w:p>
        </w:tc>
      </w:tr>
    </w:tbl>
    <w:p w:rsidR="009F71AC" w:rsidRPr="007E14C5" w:rsidRDefault="00B762DC" w:rsidP="009F71AC">
      <w:pPr>
        <w:spacing w:before="120" w:after="0" w:line="240" w:lineRule="auto"/>
        <w:ind w:right="-471"/>
        <w:jc w:val="both"/>
        <w:rPr>
          <w:rFonts w:asciiTheme="majorHAnsi" w:hAnsiTheme="majorHAnsi" w:cstheme="majorHAnsi"/>
          <w:b/>
          <w:color w:val="002060"/>
          <w:sz w:val="24"/>
          <w:szCs w:val="24"/>
        </w:rPr>
      </w:pPr>
      <w:r w:rsidRPr="007E14C5">
        <w:rPr>
          <w:rFonts w:asciiTheme="majorHAnsi" w:hAnsiTheme="majorHAnsi" w:cstheme="majorHAnsi"/>
          <w:b/>
          <w:color w:val="002060"/>
          <w:sz w:val="24"/>
          <w:szCs w:val="24"/>
          <w:lang w:eastAsia="en-US"/>
        </w:rPr>
        <w:t xml:space="preserve"> </w:t>
      </w:r>
    </w:p>
    <w:p w:rsidR="00B66C68" w:rsidRPr="007B43C4" w:rsidRDefault="009F71AC" w:rsidP="007B43C4">
      <w:pPr>
        <w:pStyle w:val="Heading4"/>
        <w:spacing w:before="60" w:after="60" w:line="240" w:lineRule="auto"/>
        <w:ind w:right="-450"/>
        <w:jc w:val="both"/>
        <w:rPr>
          <w:rFonts w:cstheme="majorHAnsi"/>
          <w:color w:val="auto"/>
          <w:sz w:val="24"/>
          <w:szCs w:val="24"/>
        </w:rPr>
      </w:pPr>
      <w:r w:rsidRPr="007B43C4">
        <w:rPr>
          <w:rFonts w:cstheme="majorHAnsi"/>
          <w:i w:val="0"/>
          <w:color w:val="auto"/>
          <w:sz w:val="24"/>
          <w:szCs w:val="24"/>
        </w:rPr>
        <w:t>OPERATIVNI CILJ 2.2</w:t>
      </w:r>
      <w:r w:rsidR="00672E3B" w:rsidRPr="007B43C4">
        <w:rPr>
          <w:rFonts w:cstheme="majorHAnsi"/>
          <w:i w:val="0"/>
          <w:color w:val="auto"/>
          <w:sz w:val="24"/>
          <w:szCs w:val="24"/>
        </w:rPr>
        <w:t>.</w:t>
      </w:r>
      <w:r w:rsidRPr="007B43C4">
        <w:rPr>
          <w:rFonts w:cstheme="majorHAnsi"/>
          <w:color w:val="auto"/>
          <w:sz w:val="24"/>
          <w:szCs w:val="24"/>
        </w:rPr>
        <w:tab/>
      </w:r>
      <w:r w:rsidR="00672E3B" w:rsidRPr="007B43C4">
        <w:rPr>
          <w:rFonts w:cstheme="majorHAnsi"/>
          <w:color w:val="auto"/>
          <w:sz w:val="24"/>
          <w:szCs w:val="24"/>
        </w:rPr>
        <w:t xml:space="preserve">Puna interoperabilnost informacionih sistema i povećanje broja elektronskih usluga na visokom nivou sofisticiranosti   </w:t>
      </w:r>
    </w:p>
    <w:p w:rsidR="00B66C68" w:rsidRPr="007B43C4" w:rsidRDefault="00A375F8" w:rsidP="007B43C4">
      <w:pPr>
        <w:tabs>
          <w:tab w:val="left" w:pos="850"/>
          <w:tab w:val="left" w:pos="1191"/>
          <w:tab w:val="left" w:pos="1531"/>
        </w:tabs>
        <w:spacing w:before="60" w:after="60" w:line="240" w:lineRule="auto"/>
        <w:ind w:right="-475"/>
        <w:jc w:val="both"/>
        <w:rPr>
          <w:rFonts w:asciiTheme="majorHAnsi" w:hAnsiTheme="majorHAnsi" w:cstheme="majorHAnsi"/>
          <w:color w:val="auto"/>
          <w:sz w:val="24"/>
          <w:szCs w:val="24"/>
        </w:rPr>
      </w:pPr>
      <w:r w:rsidRPr="007B43C4">
        <w:rPr>
          <w:rFonts w:asciiTheme="majorHAnsi" w:hAnsiTheme="majorHAnsi" w:cstheme="majorHAnsi"/>
          <w:color w:val="auto"/>
          <w:sz w:val="24"/>
          <w:szCs w:val="24"/>
        </w:rPr>
        <w:t>Digitalom transformacijom javne uprave unaprijediće se dostupnost i kvalitet javnih usluga, smanjiti čekanje u redovima, smanjiti troškovi i obezbijediti lakoća poslovanja za privredne subjekte</w:t>
      </w:r>
      <w:r w:rsidRPr="007B43C4">
        <w:rPr>
          <w:rFonts w:asciiTheme="majorHAnsi" w:hAnsiTheme="majorHAnsi" w:cstheme="majorHAnsi"/>
          <w:color w:val="auto"/>
          <w:sz w:val="24"/>
          <w:szCs w:val="24"/>
          <w:lang w:val="sr-Latn-ME"/>
        </w:rPr>
        <w:t xml:space="preserve">. </w:t>
      </w:r>
      <w:r w:rsidR="00B66C68" w:rsidRPr="007B43C4">
        <w:rPr>
          <w:rFonts w:asciiTheme="majorHAnsi" w:eastAsia="Calibri" w:hAnsiTheme="majorHAnsi" w:cstheme="majorHAnsi"/>
          <w:color w:val="auto"/>
          <w:kern w:val="0"/>
          <w:sz w:val="24"/>
          <w:szCs w:val="24"/>
          <w:lang w:eastAsia="en-US"/>
        </w:rPr>
        <w:t xml:space="preserve">Potrebno je stvoriti ambijent za jednostavniju, bržu i efikasniju komunikaciju građana i uprave uz stalnu promociju </w:t>
      </w:r>
      <w:r w:rsidR="00B66C68" w:rsidRPr="007B43C4">
        <w:rPr>
          <w:rFonts w:asciiTheme="majorHAnsi" w:eastAsia="Calibri" w:hAnsiTheme="majorHAnsi" w:cstheme="majorHAnsi"/>
          <w:b/>
          <w:color w:val="auto"/>
          <w:kern w:val="0"/>
          <w:sz w:val="24"/>
          <w:szCs w:val="24"/>
          <w:lang w:eastAsia="en-US"/>
        </w:rPr>
        <w:t>elektronske komunikacije između organa i stranaka.</w:t>
      </w:r>
    </w:p>
    <w:p w:rsidR="00DE37F8" w:rsidRPr="007B43C4" w:rsidRDefault="00561BDE" w:rsidP="00DE37F8">
      <w:pPr>
        <w:tabs>
          <w:tab w:val="left" w:pos="850"/>
          <w:tab w:val="left" w:pos="1191"/>
          <w:tab w:val="left" w:pos="1531"/>
        </w:tabs>
        <w:spacing w:before="60" w:after="60" w:line="240" w:lineRule="auto"/>
        <w:ind w:right="-475"/>
        <w:jc w:val="both"/>
        <w:rPr>
          <w:rFonts w:asciiTheme="majorHAnsi" w:eastAsia="Calibri" w:hAnsiTheme="majorHAnsi" w:cstheme="majorHAnsi"/>
          <w:color w:val="auto"/>
          <w:kern w:val="0"/>
          <w:sz w:val="24"/>
          <w:szCs w:val="24"/>
          <w:lang w:eastAsia="en-US"/>
        </w:rPr>
      </w:pPr>
      <w:r w:rsidRPr="007B43C4">
        <w:rPr>
          <w:rFonts w:asciiTheme="majorHAnsi" w:hAnsiTheme="majorHAnsi" w:cstheme="majorHAnsi"/>
          <w:color w:val="auto"/>
          <w:sz w:val="24"/>
          <w:szCs w:val="24"/>
          <w:lang w:val="sr-Latn-ME"/>
        </w:rPr>
        <w:t xml:space="preserve">Prioritet će biti na </w:t>
      </w:r>
      <w:r w:rsidR="00A375F8" w:rsidRPr="007B43C4">
        <w:rPr>
          <w:rFonts w:asciiTheme="majorHAnsi" w:hAnsiTheme="majorHAnsi" w:cstheme="majorHAnsi"/>
          <w:b/>
          <w:color w:val="auto"/>
          <w:sz w:val="24"/>
          <w:szCs w:val="24"/>
          <w:lang w:val="sr-Latn-ME"/>
        </w:rPr>
        <w:t xml:space="preserve">unapređenju i </w:t>
      </w:r>
      <w:r w:rsidRPr="007B43C4">
        <w:rPr>
          <w:rFonts w:asciiTheme="majorHAnsi" w:hAnsiTheme="majorHAnsi" w:cstheme="majorHAnsi"/>
          <w:b/>
          <w:color w:val="auto"/>
          <w:sz w:val="24"/>
          <w:szCs w:val="24"/>
          <w:lang w:val="sr-Latn-ME"/>
        </w:rPr>
        <w:t xml:space="preserve">promociji </w:t>
      </w:r>
      <w:r w:rsidR="00A375F8" w:rsidRPr="007B43C4">
        <w:rPr>
          <w:rFonts w:asciiTheme="majorHAnsi" w:eastAsia="Calibri" w:hAnsiTheme="majorHAnsi" w:cstheme="majorHAnsi"/>
          <w:b/>
          <w:color w:val="auto"/>
          <w:kern w:val="0"/>
          <w:sz w:val="24"/>
          <w:szCs w:val="24"/>
          <w:lang w:eastAsia="en-US"/>
        </w:rPr>
        <w:t>Portala eUprave</w:t>
      </w:r>
      <w:r w:rsidR="00A375F8" w:rsidRPr="007B43C4">
        <w:rPr>
          <w:rFonts w:asciiTheme="majorHAnsi" w:eastAsia="Calibri" w:hAnsiTheme="majorHAnsi" w:cstheme="majorHAnsi"/>
          <w:color w:val="auto"/>
          <w:kern w:val="0"/>
          <w:sz w:val="24"/>
          <w:szCs w:val="24"/>
          <w:lang w:eastAsia="en-US"/>
        </w:rPr>
        <w:t xml:space="preserve">, razvoju </w:t>
      </w:r>
      <w:r w:rsidR="00A375F8" w:rsidRPr="007B43C4">
        <w:rPr>
          <w:rFonts w:asciiTheme="majorHAnsi" w:eastAsia="Calibri" w:hAnsiTheme="majorHAnsi" w:cstheme="majorHAnsi"/>
          <w:b/>
          <w:color w:val="auto"/>
          <w:kern w:val="0"/>
          <w:sz w:val="24"/>
          <w:szCs w:val="24"/>
          <w:lang w:eastAsia="en-US"/>
        </w:rPr>
        <w:t>novih e-usluga</w:t>
      </w:r>
      <w:r w:rsidR="00260A48" w:rsidRPr="007B43C4">
        <w:rPr>
          <w:rFonts w:asciiTheme="majorHAnsi" w:hAnsiTheme="majorHAnsi" w:cstheme="majorHAnsi"/>
          <w:color w:val="auto"/>
          <w:sz w:val="24"/>
          <w:szCs w:val="24"/>
          <w:lang w:val="x-none"/>
        </w:rPr>
        <w:t>,</w:t>
      </w:r>
      <w:r w:rsidR="00A375F8" w:rsidRPr="007B43C4">
        <w:rPr>
          <w:rFonts w:asciiTheme="majorHAnsi" w:hAnsiTheme="majorHAnsi" w:cstheme="majorHAnsi"/>
          <w:color w:val="auto"/>
          <w:sz w:val="24"/>
          <w:szCs w:val="24"/>
          <w:lang w:val="x-none"/>
        </w:rPr>
        <w:t xml:space="preserve"> </w:t>
      </w:r>
      <w:r w:rsidR="00A375F8" w:rsidRPr="007B43C4">
        <w:rPr>
          <w:rFonts w:asciiTheme="majorHAnsi" w:hAnsiTheme="majorHAnsi" w:cstheme="majorHAnsi"/>
          <w:color w:val="auto"/>
          <w:sz w:val="24"/>
          <w:szCs w:val="24"/>
        </w:rPr>
        <w:t>u</w:t>
      </w:r>
      <w:r w:rsidR="00260A48" w:rsidRPr="007B43C4">
        <w:rPr>
          <w:rFonts w:asciiTheme="majorHAnsi" w:hAnsiTheme="majorHAnsi" w:cstheme="majorHAnsi"/>
          <w:color w:val="auto"/>
          <w:sz w:val="24"/>
          <w:szCs w:val="24"/>
          <w:lang w:val="x-none"/>
        </w:rPr>
        <w:t>vođenju</w:t>
      </w:r>
      <w:r w:rsidR="00A375F8" w:rsidRPr="007B43C4">
        <w:rPr>
          <w:rFonts w:asciiTheme="majorHAnsi" w:hAnsiTheme="majorHAnsi" w:cstheme="majorHAnsi"/>
          <w:color w:val="auto"/>
          <w:sz w:val="24"/>
          <w:szCs w:val="24"/>
          <w:lang w:val="x-none"/>
        </w:rPr>
        <w:t xml:space="preserve"> </w:t>
      </w:r>
      <w:r w:rsidR="00A375F8" w:rsidRPr="007B43C4">
        <w:rPr>
          <w:rFonts w:asciiTheme="majorHAnsi" w:hAnsiTheme="majorHAnsi" w:cstheme="majorHAnsi"/>
          <w:b/>
          <w:color w:val="auto"/>
          <w:sz w:val="24"/>
          <w:szCs w:val="24"/>
          <w:lang w:val="x-none"/>
        </w:rPr>
        <w:t>potpuno digitalnih  usluga</w:t>
      </w:r>
      <w:r w:rsidR="00A375F8" w:rsidRPr="007B43C4">
        <w:rPr>
          <w:rFonts w:asciiTheme="majorHAnsi" w:hAnsiTheme="majorHAnsi" w:cstheme="majorHAnsi"/>
          <w:color w:val="auto"/>
          <w:sz w:val="24"/>
          <w:szCs w:val="24"/>
          <w:lang w:val="x-none"/>
        </w:rPr>
        <w:t xml:space="preserve"> – bez papira za ključne životne događaje (eRođenje, eStudent, eUpis…)</w:t>
      </w:r>
      <w:r w:rsidR="00A375F8" w:rsidRPr="007B43C4">
        <w:rPr>
          <w:rFonts w:asciiTheme="majorHAnsi" w:hAnsiTheme="majorHAnsi" w:cstheme="majorHAnsi"/>
          <w:color w:val="auto"/>
          <w:sz w:val="24"/>
          <w:szCs w:val="24"/>
        </w:rPr>
        <w:t>, u</w:t>
      </w:r>
      <w:r w:rsidR="00C64A73" w:rsidRPr="007B43C4">
        <w:rPr>
          <w:rFonts w:asciiTheme="majorHAnsi" w:hAnsiTheme="majorHAnsi" w:cstheme="majorHAnsi"/>
          <w:color w:val="auto"/>
          <w:sz w:val="24"/>
          <w:szCs w:val="24"/>
        </w:rPr>
        <w:t>napređe</w:t>
      </w:r>
      <w:r w:rsidR="00260A48" w:rsidRPr="007B43C4">
        <w:rPr>
          <w:rFonts w:asciiTheme="majorHAnsi" w:hAnsiTheme="majorHAnsi" w:cstheme="majorHAnsi"/>
          <w:color w:val="auto"/>
          <w:sz w:val="24"/>
          <w:szCs w:val="24"/>
        </w:rPr>
        <w:t>nju</w:t>
      </w:r>
      <w:r w:rsidR="00A375F8" w:rsidRPr="007B43C4">
        <w:rPr>
          <w:rFonts w:asciiTheme="majorHAnsi" w:hAnsiTheme="majorHAnsi" w:cstheme="majorHAnsi"/>
          <w:color w:val="auto"/>
          <w:sz w:val="24"/>
          <w:szCs w:val="24"/>
        </w:rPr>
        <w:t xml:space="preserve"> </w:t>
      </w:r>
      <w:r w:rsidR="00C64A73" w:rsidRPr="007B43C4">
        <w:rPr>
          <w:rFonts w:asciiTheme="majorHAnsi" w:hAnsiTheme="majorHAnsi" w:cstheme="majorHAnsi"/>
          <w:color w:val="auto"/>
          <w:sz w:val="24"/>
          <w:szCs w:val="24"/>
        </w:rPr>
        <w:t>Portala</w:t>
      </w:r>
      <w:r w:rsidR="00A375F8" w:rsidRPr="007B43C4">
        <w:rPr>
          <w:rFonts w:asciiTheme="majorHAnsi" w:hAnsiTheme="majorHAnsi" w:cstheme="majorHAnsi"/>
          <w:color w:val="auto"/>
          <w:sz w:val="24"/>
          <w:szCs w:val="24"/>
        </w:rPr>
        <w:t xml:space="preserve"> u dije</w:t>
      </w:r>
      <w:r w:rsidR="00C64A73" w:rsidRPr="007B43C4">
        <w:rPr>
          <w:rFonts w:asciiTheme="majorHAnsi" w:hAnsiTheme="majorHAnsi" w:cstheme="majorHAnsi"/>
          <w:color w:val="auto"/>
          <w:sz w:val="24"/>
          <w:szCs w:val="24"/>
        </w:rPr>
        <w:t>l</w:t>
      </w:r>
      <w:r w:rsidR="00A375F8" w:rsidRPr="007B43C4">
        <w:rPr>
          <w:rFonts w:asciiTheme="majorHAnsi" w:hAnsiTheme="majorHAnsi" w:cstheme="majorHAnsi"/>
          <w:color w:val="auto"/>
          <w:sz w:val="24"/>
          <w:szCs w:val="24"/>
        </w:rPr>
        <w:t xml:space="preserve">u sistema </w:t>
      </w:r>
      <w:r w:rsidR="00A375F8" w:rsidRPr="007B43C4">
        <w:rPr>
          <w:rFonts w:asciiTheme="majorHAnsi" w:hAnsiTheme="majorHAnsi" w:cstheme="majorHAnsi"/>
          <w:b/>
          <w:color w:val="auto"/>
          <w:sz w:val="24"/>
          <w:szCs w:val="24"/>
        </w:rPr>
        <w:t>za e-plaćanje, e-autentifikacij</w:t>
      </w:r>
      <w:r w:rsidR="00D04C03" w:rsidRPr="007B43C4">
        <w:rPr>
          <w:rFonts w:asciiTheme="majorHAnsi" w:hAnsiTheme="majorHAnsi" w:cstheme="majorHAnsi"/>
          <w:b/>
          <w:color w:val="auto"/>
          <w:sz w:val="24"/>
          <w:szCs w:val="24"/>
        </w:rPr>
        <w:t>a</w:t>
      </w:r>
      <w:r w:rsidR="00A375F8" w:rsidRPr="007B43C4">
        <w:rPr>
          <w:rFonts w:asciiTheme="majorHAnsi" w:hAnsiTheme="majorHAnsi" w:cstheme="majorHAnsi"/>
          <w:b/>
          <w:color w:val="auto"/>
          <w:sz w:val="24"/>
          <w:szCs w:val="24"/>
        </w:rPr>
        <w:t xml:space="preserve"> i e-indentifikacij</w:t>
      </w:r>
      <w:r w:rsidR="00D04C03" w:rsidRPr="007B43C4">
        <w:rPr>
          <w:rFonts w:asciiTheme="majorHAnsi" w:hAnsiTheme="majorHAnsi" w:cstheme="majorHAnsi"/>
          <w:b/>
          <w:color w:val="auto"/>
          <w:sz w:val="24"/>
          <w:szCs w:val="24"/>
        </w:rPr>
        <w:t>a</w:t>
      </w:r>
      <w:r w:rsidR="00A375F8" w:rsidRPr="007B43C4">
        <w:rPr>
          <w:rFonts w:asciiTheme="majorHAnsi" w:hAnsiTheme="majorHAnsi" w:cstheme="majorHAnsi"/>
          <w:b/>
          <w:color w:val="auto"/>
          <w:sz w:val="24"/>
          <w:szCs w:val="24"/>
        </w:rPr>
        <w:t xml:space="preserve"> </w:t>
      </w:r>
      <w:r w:rsidR="00A375F8" w:rsidRPr="007B43C4">
        <w:rPr>
          <w:rFonts w:asciiTheme="majorHAnsi" w:hAnsiTheme="majorHAnsi" w:cstheme="majorHAnsi"/>
          <w:color w:val="auto"/>
          <w:sz w:val="24"/>
          <w:szCs w:val="24"/>
        </w:rPr>
        <w:t>korisnika</w:t>
      </w:r>
      <w:r w:rsidR="00C64A73" w:rsidRPr="007B43C4">
        <w:rPr>
          <w:rFonts w:asciiTheme="majorHAnsi" w:hAnsiTheme="majorHAnsi" w:cstheme="majorHAnsi"/>
          <w:color w:val="auto"/>
          <w:sz w:val="24"/>
          <w:szCs w:val="24"/>
        </w:rPr>
        <w:t>.</w:t>
      </w:r>
      <w:r w:rsidR="00A375F8" w:rsidRPr="007B43C4">
        <w:rPr>
          <w:rFonts w:asciiTheme="majorHAnsi" w:hAnsiTheme="majorHAnsi" w:cstheme="majorHAnsi"/>
          <w:color w:val="auto"/>
          <w:sz w:val="24"/>
          <w:szCs w:val="24"/>
        </w:rPr>
        <w:t xml:space="preserve"> </w:t>
      </w:r>
      <w:r w:rsidR="00DE37F8">
        <w:rPr>
          <w:rFonts w:asciiTheme="majorHAnsi" w:hAnsiTheme="majorHAnsi" w:cstheme="majorHAnsi"/>
          <w:color w:val="auto"/>
          <w:sz w:val="24"/>
          <w:szCs w:val="24"/>
        </w:rPr>
        <w:t xml:space="preserve"> Uvođenje poptupno digitalnih usluga ( po </w:t>
      </w:r>
      <w:r w:rsidR="00DE37F8">
        <w:rPr>
          <w:rFonts w:asciiTheme="majorHAnsi" w:eastAsia="Calibri" w:hAnsiTheme="majorHAnsi" w:cstheme="majorHAnsi"/>
          <w:color w:val="auto"/>
          <w:kern w:val="0"/>
          <w:sz w:val="24"/>
          <w:szCs w:val="24"/>
          <w:lang w:eastAsia="en-US"/>
        </w:rPr>
        <w:t>m</w:t>
      </w:r>
      <w:r w:rsidR="00DE37F8" w:rsidRPr="006E6DF7">
        <w:rPr>
          <w:rFonts w:asciiTheme="majorHAnsi" w:eastAsia="Calibri" w:hAnsiTheme="majorHAnsi" w:cstheme="majorHAnsi"/>
          <w:color w:val="auto"/>
          <w:kern w:val="0"/>
          <w:sz w:val="24"/>
          <w:szCs w:val="24"/>
          <w:lang w:eastAsia="en-US"/>
        </w:rPr>
        <w:t>etodologij</w:t>
      </w:r>
      <w:r w:rsidR="00DE37F8">
        <w:rPr>
          <w:rFonts w:asciiTheme="majorHAnsi" w:eastAsia="Calibri" w:hAnsiTheme="majorHAnsi" w:cstheme="majorHAnsi"/>
          <w:color w:val="auto"/>
          <w:kern w:val="0"/>
          <w:sz w:val="24"/>
          <w:szCs w:val="24"/>
          <w:lang w:eastAsia="en-US"/>
        </w:rPr>
        <w:t>i</w:t>
      </w:r>
      <w:r w:rsidR="00DE37F8" w:rsidRPr="006E6DF7">
        <w:rPr>
          <w:rFonts w:asciiTheme="majorHAnsi" w:eastAsia="Calibri" w:hAnsiTheme="majorHAnsi" w:cstheme="majorHAnsi"/>
          <w:color w:val="auto"/>
          <w:kern w:val="0"/>
          <w:sz w:val="24"/>
          <w:szCs w:val="24"/>
          <w:lang w:eastAsia="en-US"/>
        </w:rPr>
        <w:t xml:space="preserve"> eGov benchmark</w:t>
      </w:r>
      <w:r w:rsidR="00DE37F8">
        <w:rPr>
          <w:rFonts w:asciiTheme="majorHAnsi" w:eastAsia="Calibri" w:hAnsiTheme="majorHAnsi" w:cstheme="majorHAnsi"/>
          <w:color w:val="auto"/>
          <w:kern w:val="0"/>
          <w:sz w:val="24"/>
          <w:szCs w:val="24"/>
          <w:lang w:eastAsia="en-US"/>
        </w:rPr>
        <w:t>)</w:t>
      </w:r>
      <w:r w:rsidR="00DE37F8" w:rsidRPr="006E6DF7">
        <w:rPr>
          <w:rFonts w:asciiTheme="majorHAnsi" w:eastAsia="Calibri" w:hAnsiTheme="majorHAnsi" w:cstheme="majorHAnsi"/>
          <w:color w:val="auto"/>
          <w:kern w:val="0"/>
          <w:sz w:val="24"/>
          <w:szCs w:val="24"/>
          <w:lang w:eastAsia="en-US"/>
        </w:rPr>
        <w:t xml:space="preserve"> ima jasno definisane oblasti kao što su: Porodica, Studiranje, Zdravlje, Transport itd. Shodno metodologiji se ocjenjuje nivo zrelosti usluga iz navedenih oblasti i istraživanjem se upoređuju rezultati zemalja članica navedene metodologije. </w:t>
      </w:r>
      <w:r w:rsidR="00DE37F8">
        <w:rPr>
          <w:rFonts w:asciiTheme="majorHAnsi" w:eastAsia="Calibri" w:hAnsiTheme="majorHAnsi" w:cstheme="majorHAnsi"/>
          <w:color w:val="auto"/>
          <w:kern w:val="0"/>
          <w:sz w:val="24"/>
          <w:szCs w:val="24"/>
          <w:lang w:eastAsia="en-US"/>
        </w:rPr>
        <w:t xml:space="preserve"> </w:t>
      </w:r>
      <w:r w:rsidR="00DE37F8" w:rsidRPr="006E6DF7">
        <w:rPr>
          <w:rFonts w:asciiTheme="majorHAnsi" w:eastAsia="Calibri" w:hAnsiTheme="majorHAnsi" w:cstheme="majorHAnsi"/>
          <w:color w:val="auto"/>
          <w:kern w:val="0"/>
          <w:sz w:val="24"/>
          <w:szCs w:val="24"/>
          <w:lang w:eastAsia="en-US"/>
        </w:rPr>
        <w:t>U trenutnoj metodologiji Benchmark ima preko 100 usluga, a odabir će posmatrati samo one usluge koje su od velikog značaja za građane i privredu, imaju visoku frekventnost upotrebe i veliki impact na građane i privredu.</w:t>
      </w:r>
    </w:p>
    <w:p w:rsidR="00A375F8" w:rsidRPr="007B43C4" w:rsidRDefault="00A375F8" w:rsidP="007B43C4">
      <w:pPr>
        <w:spacing w:before="60" w:after="60" w:line="240" w:lineRule="auto"/>
        <w:ind w:right="-450"/>
        <w:jc w:val="both"/>
        <w:rPr>
          <w:rFonts w:asciiTheme="majorHAnsi" w:hAnsiTheme="majorHAnsi" w:cstheme="majorHAnsi"/>
          <w:color w:val="auto"/>
          <w:sz w:val="24"/>
          <w:szCs w:val="24"/>
        </w:rPr>
      </w:pPr>
    </w:p>
    <w:p w:rsidR="00B66C68" w:rsidRPr="007B43C4" w:rsidRDefault="00A375F8" w:rsidP="007B43C4">
      <w:pPr>
        <w:spacing w:before="60" w:after="60" w:line="240" w:lineRule="auto"/>
        <w:ind w:right="-471"/>
        <w:jc w:val="both"/>
        <w:rPr>
          <w:rFonts w:asciiTheme="majorHAnsi" w:hAnsiTheme="majorHAnsi" w:cstheme="majorHAnsi"/>
          <w:color w:val="auto"/>
          <w:sz w:val="24"/>
          <w:szCs w:val="24"/>
          <w:shd w:val="clear" w:color="auto" w:fill="FFFFFF"/>
        </w:rPr>
      </w:pPr>
      <w:r w:rsidRPr="007B43C4">
        <w:rPr>
          <w:rFonts w:asciiTheme="majorHAnsi" w:hAnsiTheme="majorHAnsi" w:cstheme="majorHAnsi"/>
          <w:color w:val="auto"/>
          <w:sz w:val="24"/>
          <w:szCs w:val="24"/>
          <w:lang w:val="sr-Latn-ME"/>
        </w:rPr>
        <w:t xml:space="preserve">Cilj je da se svi nastali </w:t>
      </w:r>
      <w:r w:rsidRPr="007B43C4">
        <w:rPr>
          <w:rFonts w:asciiTheme="majorHAnsi" w:hAnsiTheme="majorHAnsi" w:cstheme="majorHAnsi"/>
          <w:b/>
          <w:color w:val="auto"/>
          <w:sz w:val="24"/>
          <w:szCs w:val="24"/>
          <w:lang w:val="sr-Latn-ME"/>
        </w:rPr>
        <w:t>informacioni sistemi usklade</w:t>
      </w:r>
      <w:r w:rsidRPr="007B43C4">
        <w:rPr>
          <w:rFonts w:asciiTheme="majorHAnsi" w:hAnsiTheme="majorHAnsi" w:cstheme="majorHAnsi"/>
          <w:color w:val="auto"/>
          <w:sz w:val="24"/>
          <w:szCs w:val="24"/>
          <w:lang w:val="sr-Latn-ME"/>
        </w:rPr>
        <w:t xml:space="preserve"> kak</w:t>
      </w:r>
      <w:r w:rsidR="00260A48" w:rsidRPr="007B43C4">
        <w:rPr>
          <w:rFonts w:asciiTheme="majorHAnsi" w:hAnsiTheme="majorHAnsi" w:cstheme="majorHAnsi"/>
          <w:color w:val="auto"/>
          <w:sz w:val="24"/>
          <w:szCs w:val="24"/>
          <w:lang w:val="sr-Latn-ME"/>
        </w:rPr>
        <w:t>o bi mogli biti interoperabilni kao i da se</w:t>
      </w:r>
      <w:r w:rsidR="00260A48" w:rsidRPr="007B43C4">
        <w:rPr>
          <w:rFonts w:asciiTheme="majorHAnsi" w:hAnsiTheme="majorHAnsi" w:cstheme="majorHAnsi"/>
          <w:b/>
          <w:color w:val="auto"/>
          <w:sz w:val="24"/>
          <w:szCs w:val="24"/>
          <w:lang w:val="sr-Latn-ME"/>
        </w:rPr>
        <w:t xml:space="preserve"> uspostavi puna</w:t>
      </w:r>
      <w:r w:rsidRPr="007B43C4">
        <w:rPr>
          <w:rFonts w:asciiTheme="majorHAnsi" w:hAnsiTheme="majorHAnsi" w:cstheme="majorHAnsi"/>
          <w:b/>
          <w:color w:val="auto"/>
          <w:sz w:val="24"/>
          <w:szCs w:val="24"/>
          <w:lang w:val="sr-Latn-ME"/>
        </w:rPr>
        <w:t xml:space="preserve"> </w:t>
      </w:r>
      <w:r w:rsidR="00260A48" w:rsidRPr="007B43C4">
        <w:rPr>
          <w:rFonts w:asciiTheme="majorHAnsi" w:eastAsia="Calibri" w:hAnsiTheme="majorHAnsi" w:cstheme="majorHAnsi"/>
          <w:b/>
          <w:color w:val="auto"/>
          <w:kern w:val="0"/>
          <w:sz w:val="24"/>
          <w:szCs w:val="24"/>
          <w:lang w:eastAsia="en-US"/>
        </w:rPr>
        <w:t>elektronska</w:t>
      </w:r>
      <w:r w:rsidRPr="007B43C4">
        <w:rPr>
          <w:rFonts w:asciiTheme="majorHAnsi" w:eastAsia="Calibri" w:hAnsiTheme="majorHAnsi" w:cstheme="majorHAnsi"/>
          <w:b/>
          <w:color w:val="auto"/>
          <w:kern w:val="0"/>
          <w:sz w:val="24"/>
          <w:szCs w:val="24"/>
          <w:lang w:eastAsia="en-US"/>
        </w:rPr>
        <w:t xml:space="preserve"> razmjen</w:t>
      </w:r>
      <w:r w:rsidR="00260A48" w:rsidRPr="007B43C4">
        <w:rPr>
          <w:rFonts w:asciiTheme="majorHAnsi" w:eastAsia="Calibri" w:hAnsiTheme="majorHAnsi" w:cstheme="majorHAnsi"/>
          <w:b/>
          <w:color w:val="auto"/>
          <w:kern w:val="0"/>
          <w:sz w:val="24"/>
          <w:szCs w:val="24"/>
          <w:lang w:eastAsia="en-US"/>
        </w:rPr>
        <w:t>a podataka između registara.</w:t>
      </w:r>
      <w:r w:rsidR="00260A48" w:rsidRPr="007B43C4">
        <w:rPr>
          <w:rFonts w:asciiTheme="majorHAnsi" w:eastAsia="Calibri" w:hAnsiTheme="majorHAnsi" w:cstheme="majorHAnsi"/>
          <w:color w:val="auto"/>
          <w:kern w:val="0"/>
          <w:sz w:val="24"/>
          <w:szCs w:val="24"/>
          <w:lang w:eastAsia="en-US"/>
        </w:rPr>
        <w:t xml:space="preserve"> Potrebno je povezati</w:t>
      </w:r>
      <w:r w:rsidRPr="007B43C4">
        <w:rPr>
          <w:rFonts w:asciiTheme="majorHAnsi" w:eastAsia="Calibri" w:hAnsiTheme="majorHAnsi" w:cstheme="majorHAnsi"/>
          <w:color w:val="auto"/>
          <w:kern w:val="0"/>
          <w:sz w:val="24"/>
          <w:szCs w:val="24"/>
          <w:lang w:eastAsia="en-US"/>
        </w:rPr>
        <w:t xml:space="preserve"> JLS na J</w:t>
      </w:r>
      <w:r w:rsidRPr="007B43C4">
        <w:rPr>
          <w:rFonts w:asciiTheme="majorHAnsi" w:hAnsiTheme="majorHAnsi" w:cstheme="majorHAnsi"/>
          <w:color w:val="auto"/>
          <w:sz w:val="24"/>
          <w:szCs w:val="24"/>
          <w:shd w:val="clear" w:color="auto" w:fill="FFFFFF"/>
        </w:rPr>
        <w:t>edinstveni sistem za elektronsku razmjenu podataka (</w:t>
      </w:r>
      <w:r w:rsidRPr="007B43C4">
        <w:rPr>
          <w:rStyle w:val="Emphasis"/>
          <w:rFonts w:asciiTheme="majorHAnsi" w:hAnsiTheme="majorHAnsi" w:cstheme="majorHAnsi"/>
          <w:bCs/>
          <w:i w:val="0"/>
          <w:iCs w:val="0"/>
          <w:color w:val="auto"/>
          <w:sz w:val="24"/>
          <w:szCs w:val="24"/>
          <w:shd w:val="clear" w:color="auto" w:fill="FFFFFF"/>
        </w:rPr>
        <w:t>JSERP</w:t>
      </w:r>
      <w:r w:rsidRPr="007B43C4">
        <w:rPr>
          <w:rFonts w:asciiTheme="majorHAnsi" w:hAnsiTheme="majorHAnsi" w:cstheme="majorHAnsi"/>
          <w:color w:val="auto"/>
          <w:sz w:val="24"/>
          <w:szCs w:val="24"/>
          <w:shd w:val="clear" w:color="auto" w:fill="FFFFFF"/>
        </w:rPr>
        <w:t>) – Goverment Service Bus</w:t>
      </w:r>
      <w:r w:rsidR="00C414B3" w:rsidRPr="007B43C4">
        <w:rPr>
          <w:rFonts w:asciiTheme="majorHAnsi" w:hAnsiTheme="majorHAnsi" w:cstheme="majorHAnsi"/>
          <w:color w:val="auto"/>
          <w:sz w:val="24"/>
          <w:szCs w:val="24"/>
          <w:shd w:val="clear" w:color="auto" w:fill="FFFFFF"/>
        </w:rPr>
        <w:t>.</w:t>
      </w:r>
    </w:p>
    <w:p w:rsidR="000831FA" w:rsidRPr="007E14C5" w:rsidRDefault="000831FA" w:rsidP="00153229">
      <w:pPr>
        <w:spacing w:before="60" w:after="60" w:line="240" w:lineRule="auto"/>
        <w:ind w:right="-471"/>
        <w:jc w:val="both"/>
        <w:rPr>
          <w:rFonts w:asciiTheme="majorHAnsi" w:eastAsia="Calibri" w:hAnsiTheme="majorHAnsi" w:cstheme="majorHAnsi"/>
          <w:color w:val="002060"/>
          <w:kern w:val="0"/>
          <w:sz w:val="24"/>
          <w:szCs w:val="24"/>
          <w:lang w:eastAsia="en-US"/>
        </w:rPr>
      </w:pPr>
    </w:p>
    <w:tbl>
      <w:tblPr>
        <w:tblStyle w:val="TableGrid30"/>
        <w:tblW w:w="5289"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00"/>
        <w:gridCol w:w="2552"/>
        <w:gridCol w:w="1284"/>
        <w:gridCol w:w="1863"/>
        <w:gridCol w:w="2187"/>
      </w:tblGrid>
      <w:tr w:rsidR="00AC188A" w:rsidRPr="00156E08" w:rsidTr="00F91D66">
        <w:tc>
          <w:tcPr>
            <w:tcW w:w="1051" w:type="pct"/>
            <w:shd w:val="clear" w:color="auto" w:fill="DFE4E5" w:themeFill="accent5" w:themeFillTint="33"/>
            <w:vAlign w:val="center"/>
          </w:tcPr>
          <w:p w:rsidR="00F91D66" w:rsidRPr="00266D24" w:rsidRDefault="00F91D66">
            <w:pPr>
              <w:spacing w:before="40" w:after="40"/>
              <w:rPr>
                <w:rFonts w:asciiTheme="majorHAnsi" w:hAnsiTheme="majorHAnsi" w:cstheme="majorHAnsi"/>
                <w:b/>
                <w:color w:val="3A4B5B" w:themeColor="accent1" w:themeShade="80"/>
              </w:rPr>
            </w:pPr>
            <w:r w:rsidRPr="00266D24">
              <w:rPr>
                <w:rFonts w:asciiTheme="majorHAnsi" w:hAnsiTheme="majorHAnsi" w:cstheme="majorHAnsi"/>
                <w:b/>
                <w:color w:val="3A4B5B" w:themeColor="accent1" w:themeShade="80"/>
                <w:sz w:val="20"/>
                <w:szCs w:val="20"/>
              </w:rPr>
              <w:t>OPERATIVNI CILJ 2.2</w:t>
            </w:r>
            <w:r w:rsidR="00156E08" w:rsidRPr="00266D24">
              <w:rPr>
                <w:rFonts w:asciiTheme="majorHAnsi" w:hAnsiTheme="majorHAnsi" w:cstheme="majorHAnsi"/>
                <w:b/>
                <w:color w:val="3A4B5B" w:themeColor="accent1" w:themeShade="80"/>
              </w:rPr>
              <w:t>.</w:t>
            </w:r>
          </w:p>
        </w:tc>
        <w:tc>
          <w:tcPr>
            <w:tcW w:w="3949" w:type="pct"/>
            <w:gridSpan w:val="4"/>
            <w:shd w:val="clear" w:color="auto" w:fill="DFE4E5" w:themeFill="accent5" w:themeFillTint="33"/>
            <w:vAlign w:val="center"/>
          </w:tcPr>
          <w:p w:rsidR="00F91D66" w:rsidRPr="00266D24" w:rsidRDefault="00F91D66">
            <w:pPr>
              <w:spacing w:before="40" w:after="40"/>
              <w:rPr>
                <w:rFonts w:asciiTheme="majorHAnsi" w:hAnsiTheme="majorHAnsi" w:cstheme="majorHAnsi"/>
                <w:b/>
                <w:color w:val="3A4B5B" w:themeColor="accent1" w:themeShade="80"/>
              </w:rPr>
            </w:pPr>
            <w:r w:rsidRPr="00266D24">
              <w:rPr>
                <w:rFonts w:asciiTheme="majorHAnsi" w:hAnsiTheme="majorHAnsi" w:cstheme="majorHAnsi"/>
                <w:b/>
                <w:color w:val="3A4B5B" w:themeColor="accent1" w:themeShade="80"/>
                <w:sz w:val="20"/>
                <w:szCs w:val="20"/>
              </w:rPr>
              <w:t xml:space="preserve">Puna interoperabilnost informacionih sistema i povećanje broja elektronskih usluga na visokom nivou sofisticiranosti   </w:t>
            </w:r>
          </w:p>
        </w:tc>
      </w:tr>
      <w:tr w:rsidR="00AC188A" w:rsidRPr="00156E08" w:rsidTr="00266D24">
        <w:tc>
          <w:tcPr>
            <w:tcW w:w="2329" w:type="pct"/>
            <w:gridSpan w:val="2"/>
            <w:shd w:val="clear" w:color="auto" w:fill="DAF2F6"/>
            <w:vAlign w:val="center"/>
          </w:tcPr>
          <w:p w:rsidR="00F91D66" w:rsidRPr="00266D24" w:rsidRDefault="00F91D66" w:rsidP="007E14C5">
            <w:pPr>
              <w:spacing w:before="40" w:after="40"/>
              <w:rPr>
                <w:rFonts w:asciiTheme="majorHAnsi" w:hAnsiTheme="majorHAnsi" w:cstheme="majorHAnsi"/>
                <w:b/>
                <w:color w:val="3A4B5B" w:themeColor="accent1" w:themeShade="80"/>
              </w:rPr>
            </w:pPr>
            <w:r w:rsidRPr="00266D24">
              <w:rPr>
                <w:rFonts w:asciiTheme="majorHAnsi" w:hAnsiTheme="majorHAnsi" w:cstheme="majorHAnsi"/>
                <w:b/>
                <w:color w:val="3A4B5B" w:themeColor="accent1" w:themeShade="80"/>
              </w:rPr>
              <w:t>Indikator</w:t>
            </w:r>
          </w:p>
        </w:tc>
        <w:tc>
          <w:tcPr>
            <w:tcW w:w="643" w:type="pct"/>
            <w:shd w:val="clear" w:color="auto" w:fill="DAF2F6"/>
            <w:vAlign w:val="center"/>
          </w:tcPr>
          <w:p w:rsidR="00F91D66" w:rsidRPr="00266D24" w:rsidRDefault="00F91D66" w:rsidP="007E14C5">
            <w:pPr>
              <w:spacing w:before="40" w:after="40"/>
              <w:rPr>
                <w:rFonts w:asciiTheme="majorHAnsi" w:hAnsiTheme="majorHAnsi" w:cstheme="majorHAnsi"/>
                <w:b/>
                <w:color w:val="3A4B5B" w:themeColor="accent1" w:themeShade="80"/>
              </w:rPr>
            </w:pPr>
            <w:r w:rsidRPr="00266D24">
              <w:rPr>
                <w:rFonts w:asciiTheme="majorHAnsi" w:hAnsiTheme="majorHAnsi" w:cstheme="majorHAnsi"/>
                <w:b/>
                <w:color w:val="3A4B5B" w:themeColor="accent1" w:themeShade="80"/>
              </w:rPr>
              <w:t>Početna vrijednost</w:t>
            </w:r>
          </w:p>
        </w:tc>
        <w:tc>
          <w:tcPr>
            <w:tcW w:w="933" w:type="pct"/>
            <w:shd w:val="clear" w:color="auto" w:fill="DAF2F6"/>
            <w:vAlign w:val="center"/>
          </w:tcPr>
          <w:p w:rsidR="00F91D66" w:rsidRPr="00266D24" w:rsidRDefault="00F91D66" w:rsidP="007E14C5">
            <w:pPr>
              <w:spacing w:before="40" w:after="40"/>
              <w:rPr>
                <w:rFonts w:asciiTheme="majorHAnsi" w:hAnsiTheme="majorHAnsi" w:cstheme="majorHAnsi"/>
                <w:b/>
                <w:color w:val="3A4B5B" w:themeColor="accent1" w:themeShade="80"/>
              </w:rPr>
            </w:pPr>
            <w:r w:rsidRPr="00266D24">
              <w:rPr>
                <w:rFonts w:asciiTheme="majorHAnsi" w:hAnsiTheme="majorHAnsi" w:cstheme="majorHAnsi"/>
                <w:b/>
                <w:color w:val="3A4B5B" w:themeColor="accent1" w:themeShade="80"/>
              </w:rPr>
              <w:t>Ciljana vrijednost do 2024.</w:t>
            </w:r>
          </w:p>
        </w:tc>
        <w:tc>
          <w:tcPr>
            <w:tcW w:w="1095" w:type="pct"/>
            <w:shd w:val="clear" w:color="auto" w:fill="DAF2F6"/>
            <w:vAlign w:val="center"/>
          </w:tcPr>
          <w:p w:rsidR="00F91D66" w:rsidRPr="00266D24" w:rsidRDefault="00F91D66" w:rsidP="007E14C5">
            <w:pPr>
              <w:spacing w:before="40" w:after="40"/>
              <w:rPr>
                <w:rFonts w:asciiTheme="majorHAnsi" w:hAnsiTheme="majorHAnsi" w:cstheme="majorHAnsi"/>
                <w:b/>
                <w:color w:val="3A4B5B" w:themeColor="accent1" w:themeShade="80"/>
              </w:rPr>
            </w:pPr>
            <w:r w:rsidRPr="00266D24">
              <w:rPr>
                <w:rFonts w:asciiTheme="majorHAnsi" w:hAnsiTheme="majorHAnsi" w:cstheme="majorHAnsi"/>
                <w:b/>
                <w:color w:val="3A4B5B" w:themeColor="accent1" w:themeShade="80"/>
              </w:rPr>
              <w:t>Ciljana vrijednost u 2026.</w:t>
            </w:r>
          </w:p>
        </w:tc>
      </w:tr>
      <w:tr w:rsidR="003B6A44" w:rsidRPr="003B6A44" w:rsidTr="00266D24">
        <w:tc>
          <w:tcPr>
            <w:tcW w:w="2329" w:type="pct"/>
            <w:gridSpan w:val="2"/>
            <w:shd w:val="clear" w:color="auto" w:fill="auto"/>
          </w:tcPr>
          <w:p w:rsidR="003B6A44" w:rsidRPr="003B6A44" w:rsidRDefault="003B6A44" w:rsidP="003B6A44">
            <w:pPr>
              <w:spacing w:before="40" w:after="40"/>
              <w:rPr>
                <w:rFonts w:asciiTheme="majorHAnsi" w:hAnsiTheme="majorHAnsi" w:cstheme="majorHAnsi"/>
                <w:color w:val="auto"/>
              </w:rPr>
            </w:pPr>
            <w:r w:rsidRPr="003B6A44">
              <w:rPr>
                <w:rFonts w:asciiTheme="majorHAnsi" w:hAnsiTheme="majorHAnsi" w:cstheme="majorHAnsi"/>
                <w:color w:val="auto"/>
              </w:rPr>
              <w:t>Broj digitalizovanih  usluga na jedinstvenom portalu iz oblasti definisanih shodno EU metodologiji „eGoverment benchmark „</w:t>
            </w:r>
            <w:r w:rsidR="00266D24">
              <w:rPr>
                <w:rStyle w:val="FootnoteReference"/>
                <w:rFonts w:asciiTheme="majorHAnsi" w:hAnsiTheme="majorHAnsi" w:cstheme="majorHAnsi"/>
                <w:color w:val="auto"/>
              </w:rPr>
              <w:footnoteReference w:id="56"/>
            </w:r>
          </w:p>
        </w:tc>
        <w:tc>
          <w:tcPr>
            <w:tcW w:w="643" w:type="pct"/>
            <w:shd w:val="clear" w:color="auto" w:fill="auto"/>
          </w:tcPr>
          <w:p w:rsidR="003B6A44" w:rsidRPr="003B6A44" w:rsidRDefault="003B6A44" w:rsidP="003B6A44">
            <w:pPr>
              <w:spacing w:before="40" w:after="40"/>
              <w:jc w:val="center"/>
              <w:rPr>
                <w:rFonts w:asciiTheme="majorHAnsi" w:hAnsiTheme="majorHAnsi" w:cstheme="majorHAnsi"/>
                <w:color w:val="auto"/>
              </w:rPr>
            </w:pPr>
            <w:r w:rsidRPr="003B6A44">
              <w:rPr>
                <w:rFonts w:asciiTheme="majorHAnsi" w:hAnsiTheme="majorHAnsi" w:cstheme="majorHAnsi"/>
                <w:color w:val="auto"/>
              </w:rPr>
              <w:t>0 (2020)</w:t>
            </w:r>
          </w:p>
        </w:tc>
        <w:tc>
          <w:tcPr>
            <w:tcW w:w="933" w:type="pct"/>
            <w:shd w:val="clear" w:color="auto" w:fill="auto"/>
          </w:tcPr>
          <w:p w:rsidR="003B6A44" w:rsidRPr="003B6A44" w:rsidRDefault="003B6A44" w:rsidP="003B6A44">
            <w:pPr>
              <w:spacing w:before="40" w:after="40"/>
              <w:jc w:val="center"/>
              <w:rPr>
                <w:rFonts w:asciiTheme="majorHAnsi" w:hAnsiTheme="majorHAnsi" w:cstheme="majorHAnsi"/>
                <w:color w:val="auto"/>
              </w:rPr>
            </w:pPr>
            <w:r w:rsidRPr="003B6A44">
              <w:rPr>
                <w:rFonts w:asciiTheme="majorHAnsi" w:hAnsiTheme="majorHAnsi" w:cstheme="majorHAnsi"/>
                <w:color w:val="auto"/>
              </w:rPr>
              <w:t>10 digitalizovanih usluga na jedinstvenom portalu</w:t>
            </w:r>
          </w:p>
        </w:tc>
        <w:tc>
          <w:tcPr>
            <w:tcW w:w="1095" w:type="pct"/>
            <w:shd w:val="clear" w:color="auto" w:fill="auto"/>
          </w:tcPr>
          <w:p w:rsidR="003B6A44" w:rsidRPr="003B6A44" w:rsidRDefault="003B6A44" w:rsidP="003B6A44">
            <w:pPr>
              <w:spacing w:before="40" w:after="40"/>
              <w:jc w:val="center"/>
              <w:rPr>
                <w:rFonts w:asciiTheme="majorHAnsi" w:hAnsiTheme="majorHAnsi" w:cstheme="majorHAnsi"/>
                <w:color w:val="auto"/>
              </w:rPr>
            </w:pPr>
            <w:r w:rsidRPr="003B6A44">
              <w:rPr>
                <w:rFonts w:asciiTheme="majorHAnsi" w:hAnsiTheme="majorHAnsi" w:cstheme="majorHAnsi"/>
                <w:color w:val="auto"/>
              </w:rPr>
              <w:t>20 digitalizovanih usluga na jedinstvenom portalu</w:t>
            </w:r>
          </w:p>
        </w:tc>
      </w:tr>
      <w:tr w:rsidR="003B6A44" w:rsidRPr="003B6A44" w:rsidTr="00266D24">
        <w:trPr>
          <w:trHeight w:val="647"/>
        </w:trPr>
        <w:tc>
          <w:tcPr>
            <w:tcW w:w="2329" w:type="pct"/>
            <w:gridSpan w:val="2"/>
            <w:shd w:val="clear" w:color="auto" w:fill="auto"/>
          </w:tcPr>
          <w:p w:rsidR="003B6A44" w:rsidRPr="003B6A44" w:rsidRDefault="003B6A44" w:rsidP="003B6A44">
            <w:pPr>
              <w:spacing w:before="40" w:after="40"/>
              <w:rPr>
                <w:rFonts w:asciiTheme="majorHAnsi" w:hAnsiTheme="majorHAnsi" w:cstheme="majorHAnsi"/>
                <w:color w:val="auto"/>
              </w:rPr>
            </w:pPr>
            <w:r w:rsidRPr="003B6A44">
              <w:rPr>
                <w:rFonts w:asciiTheme="majorHAnsi" w:hAnsiTheme="majorHAnsi" w:cstheme="majorHAnsi"/>
                <w:color w:val="auto"/>
              </w:rPr>
              <w:lastRenderedPageBreak/>
              <w:t>% elektronski podnešenih zahtjeva u odnosu na ukupan broj podnešenih zahtjeva od strane korisnika za korišćenje pilot usluge</w:t>
            </w:r>
            <w:r w:rsidR="00266D24">
              <w:rPr>
                <w:rStyle w:val="FootnoteReference"/>
                <w:rFonts w:asciiTheme="majorHAnsi" w:hAnsiTheme="majorHAnsi" w:cstheme="majorHAnsi"/>
                <w:color w:val="auto"/>
              </w:rPr>
              <w:footnoteReference w:id="57"/>
            </w:r>
          </w:p>
        </w:tc>
        <w:tc>
          <w:tcPr>
            <w:tcW w:w="643" w:type="pct"/>
            <w:shd w:val="clear" w:color="auto" w:fill="auto"/>
          </w:tcPr>
          <w:p w:rsidR="003B6A44" w:rsidRPr="003B6A44" w:rsidRDefault="003B6A44" w:rsidP="003B6A44">
            <w:pPr>
              <w:spacing w:before="40" w:after="40"/>
              <w:jc w:val="center"/>
              <w:rPr>
                <w:rFonts w:asciiTheme="majorHAnsi" w:hAnsiTheme="majorHAnsi" w:cstheme="majorHAnsi"/>
                <w:color w:val="auto"/>
              </w:rPr>
            </w:pPr>
            <w:r w:rsidRPr="003B6A44">
              <w:rPr>
                <w:rFonts w:asciiTheme="majorHAnsi" w:hAnsiTheme="majorHAnsi" w:cstheme="majorHAnsi"/>
                <w:color w:val="auto"/>
              </w:rPr>
              <w:t>0</w:t>
            </w:r>
          </w:p>
        </w:tc>
        <w:tc>
          <w:tcPr>
            <w:tcW w:w="933" w:type="pct"/>
            <w:shd w:val="clear" w:color="auto" w:fill="auto"/>
          </w:tcPr>
          <w:p w:rsidR="003B6A44" w:rsidRPr="003B6A44" w:rsidRDefault="003B6A44" w:rsidP="003B6A44">
            <w:pPr>
              <w:spacing w:before="40" w:after="40"/>
              <w:jc w:val="center"/>
              <w:rPr>
                <w:rFonts w:asciiTheme="majorHAnsi" w:hAnsiTheme="majorHAnsi" w:cstheme="majorHAnsi"/>
                <w:color w:val="auto"/>
              </w:rPr>
            </w:pPr>
            <w:r w:rsidRPr="003B6A44">
              <w:rPr>
                <w:rFonts w:asciiTheme="majorHAnsi" w:hAnsiTheme="majorHAnsi" w:cstheme="majorHAnsi"/>
                <w:color w:val="auto"/>
              </w:rPr>
              <w:t>15% po pilot usluzi</w:t>
            </w:r>
          </w:p>
        </w:tc>
        <w:tc>
          <w:tcPr>
            <w:tcW w:w="1095" w:type="pct"/>
            <w:shd w:val="clear" w:color="auto" w:fill="auto"/>
          </w:tcPr>
          <w:p w:rsidR="003B6A44" w:rsidRPr="003B6A44" w:rsidRDefault="003B6A44" w:rsidP="003B6A44">
            <w:pPr>
              <w:spacing w:before="40" w:after="40"/>
              <w:jc w:val="center"/>
              <w:rPr>
                <w:rFonts w:asciiTheme="majorHAnsi" w:hAnsiTheme="majorHAnsi" w:cstheme="majorHAnsi"/>
                <w:color w:val="auto"/>
              </w:rPr>
            </w:pPr>
            <w:r w:rsidRPr="003B6A44">
              <w:rPr>
                <w:rFonts w:asciiTheme="majorHAnsi" w:hAnsiTheme="majorHAnsi" w:cstheme="majorHAnsi"/>
                <w:color w:val="auto"/>
              </w:rPr>
              <w:t>45% po pilot usluzi</w:t>
            </w:r>
          </w:p>
        </w:tc>
      </w:tr>
      <w:tr w:rsidR="003B6A44" w:rsidRPr="003B6A44" w:rsidTr="00266D24">
        <w:tc>
          <w:tcPr>
            <w:tcW w:w="2329" w:type="pct"/>
            <w:gridSpan w:val="2"/>
            <w:shd w:val="clear" w:color="auto" w:fill="auto"/>
          </w:tcPr>
          <w:p w:rsidR="003B6A44" w:rsidRPr="003B6A44" w:rsidRDefault="003B6A44" w:rsidP="003B6A44">
            <w:pPr>
              <w:spacing w:before="40" w:after="40"/>
              <w:rPr>
                <w:rFonts w:asciiTheme="majorHAnsi" w:hAnsiTheme="majorHAnsi" w:cstheme="majorHAnsi"/>
                <w:color w:val="auto"/>
              </w:rPr>
            </w:pPr>
            <w:r w:rsidRPr="003B6A44">
              <w:rPr>
                <w:rFonts w:asciiTheme="majorHAnsi" w:hAnsiTheme="majorHAnsi" w:cstheme="majorHAnsi"/>
                <w:color w:val="auto"/>
              </w:rPr>
              <w:t xml:space="preserve">Broj registara iz metaregistra među kojima se elektronskih razmjena između </w:t>
            </w:r>
          </w:p>
        </w:tc>
        <w:tc>
          <w:tcPr>
            <w:tcW w:w="643" w:type="pct"/>
            <w:shd w:val="clear" w:color="auto" w:fill="auto"/>
          </w:tcPr>
          <w:p w:rsidR="003B6A44" w:rsidRPr="003B6A44" w:rsidRDefault="003B6A44" w:rsidP="003B6A44">
            <w:pPr>
              <w:spacing w:before="40" w:after="40"/>
              <w:jc w:val="center"/>
              <w:rPr>
                <w:rFonts w:asciiTheme="majorHAnsi" w:hAnsiTheme="majorHAnsi" w:cstheme="majorHAnsi"/>
                <w:color w:val="auto"/>
              </w:rPr>
            </w:pPr>
            <w:r w:rsidRPr="003B6A44">
              <w:rPr>
                <w:rFonts w:asciiTheme="majorHAnsi" w:hAnsiTheme="majorHAnsi" w:cstheme="majorHAnsi"/>
                <w:color w:val="auto"/>
              </w:rPr>
              <w:t>8 (2021)</w:t>
            </w:r>
          </w:p>
        </w:tc>
        <w:tc>
          <w:tcPr>
            <w:tcW w:w="933" w:type="pct"/>
            <w:shd w:val="clear" w:color="auto" w:fill="auto"/>
          </w:tcPr>
          <w:p w:rsidR="003B6A44" w:rsidRPr="003B6A44" w:rsidRDefault="003B6A44" w:rsidP="003B6A44">
            <w:pPr>
              <w:spacing w:before="40" w:after="40"/>
              <w:jc w:val="center"/>
              <w:rPr>
                <w:rFonts w:asciiTheme="majorHAnsi" w:hAnsiTheme="majorHAnsi" w:cstheme="majorHAnsi"/>
                <w:color w:val="auto"/>
              </w:rPr>
            </w:pPr>
            <w:r w:rsidRPr="003B6A44">
              <w:rPr>
                <w:rFonts w:asciiTheme="majorHAnsi" w:hAnsiTheme="majorHAnsi" w:cstheme="majorHAnsi"/>
                <w:color w:val="auto"/>
              </w:rPr>
              <w:t>30</w:t>
            </w:r>
          </w:p>
        </w:tc>
        <w:tc>
          <w:tcPr>
            <w:tcW w:w="1095" w:type="pct"/>
            <w:shd w:val="clear" w:color="auto" w:fill="auto"/>
          </w:tcPr>
          <w:p w:rsidR="003B6A44" w:rsidRPr="003B6A44" w:rsidRDefault="003B6A44" w:rsidP="003B6A44">
            <w:pPr>
              <w:spacing w:before="40" w:after="40"/>
              <w:jc w:val="center"/>
              <w:rPr>
                <w:rFonts w:asciiTheme="majorHAnsi" w:hAnsiTheme="majorHAnsi" w:cstheme="majorHAnsi"/>
                <w:color w:val="auto"/>
              </w:rPr>
            </w:pPr>
            <w:r w:rsidRPr="003B6A44">
              <w:rPr>
                <w:rFonts w:asciiTheme="majorHAnsi" w:hAnsiTheme="majorHAnsi" w:cstheme="majorHAnsi"/>
                <w:color w:val="auto"/>
              </w:rPr>
              <w:t>50</w:t>
            </w:r>
          </w:p>
        </w:tc>
      </w:tr>
      <w:tr w:rsidR="003B6A44" w:rsidRPr="003B6A44" w:rsidTr="00266D24">
        <w:tc>
          <w:tcPr>
            <w:tcW w:w="2329" w:type="pct"/>
            <w:gridSpan w:val="2"/>
            <w:shd w:val="clear" w:color="auto" w:fill="auto"/>
          </w:tcPr>
          <w:p w:rsidR="003B6A44" w:rsidRPr="003B6A44" w:rsidRDefault="003B6A44" w:rsidP="003B6A44">
            <w:pPr>
              <w:spacing w:before="40" w:after="40"/>
              <w:rPr>
                <w:rFonts w:asciiTheme="majorHAnsi" w:hAnsiTheme="majorHAnsi" w:cstheme="majorHAnsi"/>
                <w:color w:val="auto"/>
              </w:rPr>
            </w:pPr>
            <w:r w:rsidRPr="003B6A44">
              <w:rPr>
                <w:rFonts w:asciiTheme="majorHAnsi" w:hAnsiTheme="majorHAnsi" w:cstheme="majorHAnsi"/>
                <w:color w:val="auto"/>
              </w:rPr>
              <w:t xml:space="preserve">Broj opština koje razmjenjuju podatke preko JSERP </w:t>
            </w:r>
          </w:p>
        </w:tc>
        <w:tc>
          <w:tcPr>
            <w:tcW w:w="643" w:type="pct"/>
            <w:shd w:val="clear" w:color="auto" w:fill="auto"/>
          </w:tcPr>
          <w:p w:rsidR="003B6A44" w:rsidRPr="003B6A44" w:rsidRDefault="003B6A44" w:rsidP="003B6A44">
            <w:pPr>
              <w:spacing w:before="40" w:after="40"/>
              <w:jc w:val="center"/>
              <w:rPr>
                <w:rFonts w:asciiTheme="majorHAnsi" w:hAnsiTheme="majorHAnsi" w:cstheme="majorHAnsi"/>
                <w:color w:val="auto"/>
              </w:rPr>
            </w:pPr>
            <w:r w:rsidRPr="003B6A44">
              <w:rPr>
                <w:rFonts w:asciiTheme="majorHAnsi" w:hAnsiTheme="majorHAnsi" w:cstheme="majorHAnsi"/>
                <w:color w:val="auto"/>
              </w:rPr>
              <w:t>1 (2021)</w:t>
            </w:r>
          </w:p>
        </w:tc>
        <w:tc>
          <w:tcPr>
            <w:tcW w:w="933" w:type="pct"/>
            <w:shd w:val="clear" w:color="auto" w:fill="auto"/>
          </w:tcPr>
          <w:p w:rsidR="003B6A44" w:rsidRPr="003B6A44" w:rsidRDefault="003B6A44" w:rsidP="003B6A44">
            <w:pPr>
              <w:spacing w:before="40" w:after="40"/>
              <w:jc w:val="center"/>
              <w:rPr>
                <w:rFonts w:asciiTheme="majorHAnsi" w:hAnsiTheme="majorHAnsi" w:cstheme="majorHAnsi"/>
                <w:color w:val="auto"/>
              </w:rPr>
            </w:pPr>
            <w:r w:rsidRPr="003B6A44">
              <w:rPr>
                <w:rFonts w:asciiTheme="majorHAnsi" w:hAnsiTheme="majorHAnsi" w:cstheme="majorHAnsi"/>
                <w:color w:val="auto"/>
              </w:rPr>
              <w:t>10</w:t>
            </w:r>
          </w:p>
        </w:tc>
        <w:tc>
          <w:tcPr>
            <w:tcW w:w="1095" w:type="pct"/>
            <w:shd w:val="clear" w:color="auto" w:fill="auto"/>
          </w:tcPr>
          <w:p w:rsidR="003B6A44" w:rsidRPr="003B6A44" w:rsidRDefault="003B6A44" w:rsidP="003B6A44">
            <w:pPr>
              <w:spacing w:before="40" w:after="40"/>
              <w:jc w:val="center"/>
              <w:rPr>
                <w:rFonts w:asciiTheme="majorHAnsi" w:hAnsiTheme="majorHAnsi" w:cstheme="majorHAnsi"/>
                <w:color w:val="auto"/>
              </w:rPr>
            </w:pPr>
            <w:r w:rsidRPr="003B6A44">
              <w:rPr>
                <w:rFonts w:asciiTheme="majorHAnsi" w:hAnsiTheme="majorHAnsi" w:cstheme="majorHAnsi"/>
                <w:color w:val="auto"/>
              </w:rPr>
              <w:t>Sve JLS</w:t>
            </w:r>
          </w:p>
        </w:tc>
      </w:tr>
    </w:tbl>
    <w:p w:rsidR="00672E3B" w:rsidRPr="003B6A44" w:rsidRDefault="00672E3B" w:rsidP="003B6A44">
      <w:pPr>
        <w:spacing w:after="40" w:line="240" w:lineRule="auto"/>
        <w:jc w:val="center"/>
        <w:rPr>
          <w:rFonts w:asciiTheme="majorHAnsi" w:hAnsiTheme="majorHAnsi" w:cstheme="majorHAnsi"/>
          <w:color w:val="auto"/>
          <w:sz w:val="18"/>
          <w:szCs w:val="18"/>
        </w:rPr>
      </w:pPr>
    </w:p>
    <w:p w:rsidR="00672E3B" w:rsidRPr="007E14C5" w:rsidRDefault="00672E3B">
      <w:pPr>
        <w:rPr>
          <w:rFonts w:asciiTheme="majorHAnsi" w:eastAsiaTheme="majorEastAsia" w:hAnsiTheme="majorHAnsi" w:cstheme="majorHAnsi"/>
          <w:b/>
          <w:caps/>
          <w:color w:val="002060"/>
          <w:sz w:val="24"/>
          <w:szCs w:val="24"/>
          <w14:ligatures w14:val="standardContextual"/>
        </w:rPr>
      </w:pPr>
      <w:r w:rsidRPr="007E14C5">
        <w:rPr>
          <w:rFonts w:asciiTheme="majorHAnsi" w:hAnsiTheme="majorHAnsi" w:cstheme="majorHAnsi"/>
          <w:b/>
          <w:color w:val="002060"/>
          <w:sz w:val="24"/>
          <w:szCs w:val="24"/>
        </w:rPr>
        <w:br w:type="page"/>
      </w:r>
    </w:p>
    <w:p w:rsidR="00035588" w:rsidRPr="007B43C4" w:rsidRDefault="006C31A6" w:rsidP="007B43C4">
      <w:pPr>
        <w:pStyle w:val="Heading2"/>
        <w:spacing w:before="240" w:after="240"/>
        <w:ind w:left="806" w:right="-475" w:hanging="446"/>
        <w:jc w:val="center"/>
        <w:rPr>
          <w:rFonts w:cstheme="majorHAnsi"/>
          <w:b/>
          <w:color w:val="auto"/>
          <w:sz w:val="32"/>
          <w:szCs w:val="32"/>
        </w:rPr>
      </w:pPr>
      <w:bookmarkStart w:id="26" w:name="_Toc87353401"/>
      <w:r w:rsidRPr="00266D24">
        <w:rPr>
          <w:rFonts w:cstheme="majorHAnsi"/>
          <w:b/>
          <w:color w:val="3A4B5B" w:themeColor="accent1" w:themeShade="80"/>
          <w:sz w:val="32"/>
          <w:szCs w:val="32"/>
        </w:rPr>
        <w:lastRenderedPageBreak/>
        <w:t>3</w:t>
      </w:r>
      <w:r w:rsidR="009855BC" w:rsidRPr="00266D24">
        <w:rPr>
          <w:rFonts w:cstheme="majorHAnsi"/>
          <w:b/>
          <w:color w:val="3A4B5B" w:themeColor="accent1" w:themeShade="80"/>
          <w:sz w:val="32"/>
          <w:szCs w:val="32"/>
        </w:rPr>
        <w:t>.</w:t>
      </w:r>
      <w:r w:rsidRPr="00266D24">
        <w:rPr>
          <w:rFonts w:cstheme="majorHAnsi"/>
          <w:b/>
          <w:color w:val="3A4B5B" w:themeColor="accent1" w:themeShade="80"/>
          <w:sz w:val="32"/>
          <w:szCs w:val="32"/>
        </w:rPr>
        <w:t xml:space="preserve"> </w:t>
      </w:r>
      <w:r w:rsidR="00035588" w:rsidRPr="00266D24">
        <w:rPr>
          <w:rFonts w:cstheme="majorHAnsi"/>
          <w:b/>
          <w:color w:val="3A4B5B" w:themeColor="accent1" w:themeShade="80"/>
          <w:sz w:val="32"/>
          <w:szCs w:val="32"/>
        </w:rPr>
        <w:t xml:space="preserve">  </w:t>
      </w:r>
      <w:r w:rsidR="00583317" w:rsidRPr="007B43C4">
        <w:rPr>
          <w:rFonts w:cstheme="majorHAnsi"/>
          <w:b/>
          <w:color w:val="auto"/>
          <w:sz w:val="32"/>
          <w:szCs w:val="32"/>
        </w:rPr>
        <w:t xml:space="preserve">PROFESIONALNA </w:t>
      </w:r>
      <w:r w:rsidR="00162A32" w:rsidRPr="007B43C4">
        <w:rPr>
          <w:rFonts w:cstheme="majorHAnsi"/>
          <w:b/>
          <w:color w:val="auto"/>
          <w:sz w:val="32"/>
          <w:szCs w:val="32"/>
        </w:rPr>
        <w:t xml:space="preserve">JAVNA </w:t>
      </w:r>
      <w:r w:rsidR="00583317" w:rsidRPr="007B43C4">
        <w:rPr>
          <w:rFonts w:cstheme="majorHAnsi"/>
          <w:b/>
          <w:color w:val="auto"/>
          <w:sz w:val="32"/>
          <w:szCs w:val="32"/>
        </w:rPr>
        <w:t>ADMINISTRACIJA</w:t>
      </w:r>
      <w:bookmarkEnd w:id="26"/>
    </w:p>
    <w:p w:rsidR="00D0246F" w:rsidRPr="007B43C4" w:rsidRDefault="00D0246F" w:rsidP="00B43D4E">
      <w:pPr>
        <w:pStyle w:val="ListParagraph"/>
        <w:keepNext/>
        <w:keepLines/>
        <w:numPr>
          <w:ilvl w:val="0"/>
          <w:numId w:val="20"/>
        </w:numPr>
        <w:spacing w:before="120" w:after="120" w:line="240" w:lineRule="auto"/>
        <w:ind w:right="-475"/>
        <w:contextualSpacing w:val="0"/>
        <w:outlineLvl w:val="2"/>
        <w:rPr>
          <w:rFonts w:asciiTheme="majorHAnsi" w:eastAsia="Times New Roman" w:hAnsiTheme="majorHAnsi" w:cstheme="majorHAnsi"/>
          <w:b/>
          <w:color w:val="auto"/>
          <w:kern w:val="0"/>
          <w:sz w:val="28"/>
          <w:szCs w:val="28"/>
          <w:lang w:eastAsia="en-US"/>
        </w:rPr>
      </w:pPr>
      <w:bookmarkStart w:id="27" w:name="_Toc87353402"/>
      <w:r w:rsidRPr="007B43C4">
        <w:rPr>
          <w:rFonts w:asciiTheme="majorHAnsi" w:eastAsia="Times New Roman" w:hAnsiTheme="majorHAnsi" w:cstheme="majorHAnsi"/>
          <w:b/>
          <w:color w:val="auto"/>
          <w:kern w:val="0"/>
          <w:sz w:val="28"/>
          <w:szCs w:val="28"/>
          <w:lang w:eastAsia="en-US"/>
        </w:rPr>
        <w:t>STRATEŠKI CILJ</w:t>
      </w:r>
      <w:bookmarkEnd w:id="27"/>
    </w:p>
    <w:p w:rsidR="00BC7BF0" w:rsidRPr="007B43C4" w:rsidRDefault="007E7177" w:rsidP="007B43C4">
      <w:pPr>
        <w:spacing w:before="60" w:after="60" w:line="240" w:lineRule="auto"/>
        <w:ind w:right="-471"/>
        <w:jc w:val="both"/>
        <w:rPr>
          <w:rFonts w:asciiTheme="majorHAnsi" w:hAnsiTheme="majorHAnsi" w:cstheme="majorHAnsi"/>
          <w:bCs/>
          <w:color w:val="auto"/>
          <w:sz w:val="24"/>
          <w:szCs w:val="24"/>
          <w:lang w:val="en-US"/>
        </w:rPr>
      </w:pPr>
      <w:r w:rsidRPr="007B43C4">
        <w:rPr>
          <w:rFonts w:asciiTheme="majorHAnsi" w:hAnsiTheme="majorHAnsi" w:cstheme="majorHAnsi"/>
          <w:color w:val="auto"/>
          <w:sz w:val="24"/>
          <w:szCs w:val="24"/>
        </w:rPr>
        <w:t xml:space="preserve">Kompententni i zadovoljni službenici su osnova profesionalne javne uprave. Motivisan službenik je zadovoljan službenik. Briga o zaposlenima kroz brigu o zadovoljstvu na radnom mjestu, dodatnom stručnom osposobljavanju i usavršavanju, doprinosi boljim rezultatima u okviru radnog mjesta i u postizanju ciljeva organizacije u cjelini. Praćenjem rada službenika, prate se njegovi rezultati, njegov napredak ali i identifikuju potrebe za dalje osposobljavanje, usavršavanje i razvoj.  </w:t>
      </w:r>
      <w:r w:rsidR="00AA0C93" w:rsidRPr="007B43C4">
        <w:rPr>
          <w:rFonts w:asciiTheme="majorHAnsi" w:hAnsiTheme="majorHAnsi" w:cstheme="majorHAnsi"/>
          <w:bCs/>
          <w:color w:val="auto"/>
          <w:sz w:val="24"/>
          <w:szCs w:val="24"/>
        </w:rPr>
        <w:t>Ambijent za rad profesio</w:t>
      </w:r>
      <w:r w:rsidR="00290120" w:rsidRPr="007B43C4">
        <w:rPr>
          <w:rFonts w:asciiTheme="majorHAnsi" w:hAnsiTheme="majorHAnsi" w:cstheme="majorHAnsi"/>
          <w:bCs/>
          <w:color w:val="auto"/>
          <w:sz w:val="24"/>
          <w:szCs w:val="24"/>
        </w:rPr>
        <w:t>nalnih i kompetentnih zaposlenih</w:t>
      </w:r>
      <w:r w:rsidR="00AA0C93" w:rsidRPr="007B43C4">
        <w:rPr>
          <w:rFonts w:asciiTheme="majorHAnsi" w:hAnsiTheme="majorHAnsi" w:cstheme="majorHAnsi"/>
          <w:bCs/>
          <w:color w:val="auto"/>
          <w:sz w:val="24"/>
          <w:szCs w:val="24"/>
        </w:rPr>
        <w:t xml:space="preserve"> u javnoj upravi podrazumeva:</w:t>
      </w:r>
      <w:r w:rsidR="000C583A" w:rsidRPr="007B43C4">
        <w:rPr>
          <w:rFonts w:asciiTheme="majorHAnsi" w:hAnsiTheme="majorHAnsi" w:cstheme="majorHAnsi"/>
          <w:bCs/>
          <w:color w:val="auto"/>
          <w:sz w:val="24"/>
          <w:szCs w:val="24"/>
          <w:lang w:val="x-none"/>
        </w:rPr>
        <w:t xml:space="preserve"> </w:t>
      </w:r>
    </w:p>
    <w:p w:rsidR="008D7954" w:rsidRPr="007B43C4" w:rsidRDefault="008D7954" w:rsidP="00B43D4E">
      <w:pPr>
        <w:numPr>
          <w:ilvl w:val="1"/>
          <w:numId w:val="48"/>
        </w:numPr>
        <w:tabs>
          <w:tab w:val="clear" w:pos="1440"/>
          <w:tab w:val="num" w:pos="450"/>
        </w:tabs>
        <w:spacing w:before="60" w:after="60" w:line="240" w:lineRule="auto"/>
        <w:ind w:left="0" w:right="-471" w:firstLine="90"/>
        <w:jc w:val="both"/>
        <w:rPr>
          <w:rFonts w:asciiTheme="majorHAnsi" w:hAnsiTheme="majorHAnsi" w:cstheme="majorHAnsi"/>
          <w:bCs/>
          <w:color w:val="auto"/>
          <w:sz w:val="24"/>
          <w:szCs w:val="24"/>
          <w:lang w:val="en-US"/>
        </w:rPr>
      </w:pPr>
      <w:r w:rsidRPr="007B43C4">
        <w:rPr>
          <w:rFonts w:asciiTheme="majorHAnsi" w:hAnsiTheme="majorHAnsi" w:cstheme="majorHAnsi"/>
          <w:bCs/>
          <w:color w:val="auto"/>
          <w:sz w:val="24"/>
          <w:szCs w:val="24"/>
          <w:lang w:val="x-none"/>
        </w:rPr>
        <w:t>Jedn</w:t>
      </w:r>
      <w:r w:rsidRPr="007B43C4">
        <w:rPr>
          <w:rFonts w:asciiTheme="majorHAnsi" w:hAnsiTheme="majorHAnsi" w:cstheme="majorHAnsi"/>
          <w:bCs/>
          <w:color w:val="auto"/>
          <w:sz w:val="24"/>
          <w:szCs w:val="24"/>
        </w:rPr>
        <w:t>a</w:t>
      </w:r>
      <w:r w:rsidRPr="007B43C4">
        <w:rPr>
          <w:rFonts w:asciiTheme="majorHAnsi" w:hAnsiTheme="majorHAnsi" w:cstheme="majorHAnsi"/>
          <w:bCs/>
          <w:color w:val="auto"/>
          <w:sz w:val="24"/>
          <w:szCs w:val="24"/>
          <w:lang w:val="x-none"/>
        </w:rPr>
        <w:t xml:space="preserve">k položaj svih zaposlenih koji se finansiraju iz </w:t>
      </w:r>
      <w:r w:rsidRPr="007B43C4">
        <w:rPr>
          <w:rFonts w:asciiTheme="majorHAnsi" w:hAnsiTheme="majorHAnsi" w:cstheme="majorHAnsi"/>
          <w:bCs/>
          <w:color w:val="auto"/>
          <w:sz w:val="24"/>
          <w:szCs w:val="24"/>
        </w:rPr>
        <w:t>B</w:t>
      </w:r>
      <w:r w:rsidRPr="007B43C4">
        <w:rPr>
          <w:rFonts w:asciiTheme="majorHAnsi" w:hAnsiTheme="majorHAnsi" w:cstheme="majorHAnsi"/>
          <w:bCs/>
          <w:color w:val="auto"/>
          <w:sz w:val="24"/>
          <w:szCs w:val="24"/>
          <w:lang w:val="x-none"/>
        </w:rPr>
        <w:t>udžeta</w:t>
      </w:r>
      <w:r w:rsidRPr="007B43C4">
        <w:rPr>
          <w:rFonts w:asciiTheme="majorHAnsi" w:hAnsiTheme="majorHAnsi" w:cstheme="majorHAnsi"/>
          <w:bCs/>
          <w:color w:val="auto"/>
          <w:sz w:val="24"/>
          <w:szCs w:val="24"/>
        </w:rPr>
        <w:t>,</w:t>
      </w:r>
    </w:p>
    <w:p w:rsidR="00BC7BF0" w:rsidRPr="007B43C4" w:rsidRDefault="000C583A" w:rsidP="00B43D4E">
      <w:pPr>
        <w:numPr>
          <w:ilvl w:val="1"/>
          <w:numId w:val="48"/>
        </w:numPr>
        <w:tabs>
          <w:tab w:val="clear" w:pos="1440"/>
          <w:tab w:val="num" w:pos="450"/>
        </w:tabs>
        <w:spacing w:before="60" w:after="60" w:line="240" w:lineRule="auto"/>
        <w:ind w:left="0" w:right="-471" w:firstLine="90"/>
        <w:jc w:val="both"/>
        <w:rPr>
          <w:rFonts w:asciiTheme="majorHAnsi" w:hAnsiTheme="majorHAnsi" w:cstheme="majorHAnsi"/>
          <w:bCs/>
          <w:color w:val="auto"/>
          <w:sz w:val="24"/>
          <w:szCs w:val="24"/>
          <w:lang w:val="en-US"/>
        </w:rPr>
      </w:pPr>
      <w:r w:rsidRPr="007B43C4">
        <w:rPr>
          <w:rFonts w:asciiTheme="majorHAnsi" w:hAnsiTheme="majorHAnsi" w:cstheme="majorHAnsi"/>
          <w:bCs/>
          <w:color w:val="auto"/>
          <w:sz w:val="24"/>
          <w:szCs w:val="24"/>
          <w:lang w:val="x-none"/>
        </w:rPr>
        <w:t>Pravedan i konkurentan sistem zarada u JU</w:t>
      </w:r>
      <w:r w:rsidR="001824F3" w:rsidRPr="007B43C4">
        <w:rPr>
          <w:rFonts w:asciiTheme="majorHAnsi" w:hAnsiTheme="majorHAnsi" w:cstheme="majorHAnsi"/>
          <w:bCs/>
          <w:color w:val="auto"/>
          <w:sz w:val="24"/>
          <w:szCs w:val="24"/>
        </w:rPr>
        <w:t>,</w:t>
      </w:r>
      <w:r w:rsidRPr="007B43C4">
        <w:rPr>
          <w:rFonts w:asciiTheme="majorHAnsi" w:hAnsiTheme="majorHAnsi" w:cstheme="majorHAnsi"/>
          <w:bCs/>
          <w:color w:val="auto"/>
          <w:sz w:val="24"/>
          <w:szCs w:val="24"/>
          <w:lang w:val="x-none"/>
        </w:rPr>
        <w:t xml:space="preserve"> </w:t>
      </w:r>
    </w:p>
    <w:p w:rsidR="00AA0C93" w:rsidRPr="007B43C4" w:rsidRDefault="000C583A" w:rsidP="00B43D4E">
      <w:pPr>
        <w:numPr>
          <w:ilvl w:val="1"/>
          <w:numId w:val="48"/>
        </w:numPr>
        <w:tabs>
          <w:tab w:val="clear" w:pos="1440"/>
          <w:tab w:val="num" w:pos="450"/>
        </w:tabs>
        <w:spacing w:before="60" w:after="60" w:line="240" w:lineRule="auto"/>
        <w:ind w:left="0" w:right="-471" w:firstLine="90"/>
        <w:jc w:val="both"/>
        <w:rPr>
          <w:rFonts w:asciiTheme="majorHAnsi" w:hAnsiTheme="majorHAnsi" w:cstheme="majorHAnsi"/>
          <w:bCs/>
          <w:color w:val="auto"/>
          <w:sz w:val="24"/>
          <w:szCs w:val="24"/>
          <w:lang w:val="en-US"/>
        </w:rPr>
      </w:pPr>
      <w:r w:rsidRPr="007B43C4">
        <w:rPr>
          <w:rFonts w:asciiTheme="majorHAnsi" w:hAnsiTheme="majorHAnsi" w:cstheme="majorHAnsi"/>
          <w:bCs/>
          <w:color w:val="auto"/>
          <w:sz w:val="24"/>
          <w:szCs w:val="24"/>
          <w:lang w:val="x-none"/>
        </w:rPr>
        <w:t xml:space="preserve">Praćenje rada zaposlenih, konstantan profesionalni razvoj u skladu sa opisom posla, učinkovito </w:t>
      </w:r>
      <w:r w:rsidR="00290120" w:rsidRPr="007B43C4">
        <w:rPr>
          <w:rFonts w:asciiTheme="majorHAnsi" w:hAnsiTheme="majorHAnsi" w:cstheme="majorHAnsi"/>
          <w:bCs/>
          <w:color w:val="auto"/>
          <w:sz w:val="24"/>
          <w:szCs w:val="24"/>
        </w:rPr>
        <w:t>o</w:t>
      </w:r>
      <w:r w:rsidR="00AA0C93" w:rsidRPr="007B43C4">
        <w:rPr>
          <w:rFonts w:asciiTheme="majorHAnsi" w:hAnsiTheme="majorHAnsi" w:cstheme="majorHAnsi"/>
          <w:bCs/>
          <w:color w:val="auto"/>
          <w:sz w:val="24"/>
          <w:szCs w:val="24"/>
          <w:lang w:val="x-none"/>
        </w:rPr>
        <w:t>cjenjivanje povezano sa napred</w:t>
      </w:r>
      <w:r w:rsidR="00290120" w:rsidRPr="007B43C4">
        <w:rPr>
          <w:rFonts w:asciiTheme="majorHAnsi" w:hAnsiTheme="majorHAnsi" w:cstheme="majorHAnsi"/>
          <w:bCs/>
          <w:color w:val="auto"/>
          <w:sz w:val="24"/>
          <w:szCs w:val="24"/>
          <w:lang w:val="x-none"/>
        </w:rPr>
        <w:t>ovanjem, nagrađivanjem, stručnim usavršavanjem</w:t>
      </w:r>
      <w:r w:rsidR="001824F3" w:rsidRPr="007B43C4">
        <w:rPr>
          <w:rFonts w:asciiTheme="majorHAnsi" w:hAnsiTheme="majorHAnsi" w:cstheme="majorHAnsi"/>
          <w:bCs/>
          <w:color w:val="auto"/>
          <w:sz w:val="24"/>
          <w:szCs w:val="24"/>
        </w:rPr>
        <w:t>,</w:t>
      </w:r>
    </w:p>
    <w:p w:rsidR="00AA0C93" w:rsidRPr="007B43C4" w:rsidRDefault="0080159F" w:rsidP="00B43D4E">
      <w:pPr>
        <w:numPr>
          <w:ilvl w:val="1"/>
          <w:numId w:val="48"/>
        </w:numPr>
        <w:tabs>
          <w:tab w:val="clear" w:pos="1440"/>
          <w:tab w:val="num" w:pos="450"/>
        </w:tabs>
        <w:spacing w:before="60" w:after="60" w:line="240" w:lineRule="auto"/>
        <w:ind w:left="0" w:right="-471" w:firstLine="90"/>
        <w:jc w:val="both"/>
        <w:rPr>
          <w:rFonts w:asciiTheme="majorHAnsi" w:hAnsiTheme="majorHAnsi" w:cstheme="majorHAnsi"/>
          <w:bCs/>
          <w:color w:val="auto"/>
          <w:sz w:val="24"/>
          <w:szCs w:val="24"/>
          <w:lang w:val="en-US"/>
        </w:rPr>
      </w:pPr>
      <w:r w:rsidRPr="007B43C4">
        <w:rPr>
          <w:rFonts w:asciiTheme="majorHAnsi" w:hAnsiTheme="majorHAnsi" w:cstheme="majorHAnsi"/>
          <w:color w:val="auto"/>
          <w:sz w:val="24"/>
          <w:szCs w:val="24"/>
        </w:rPr>
        <w:t>S</w:t>
      </w:r>
      <w:r w:rsidR="00AA0C93" w:rsidRPr="007B43C4">
        <w:rPr>
          <w:rFonts w:asciiTheme="majorHAnsi" w:hAnsiTheme="majorHAnsi" w:cstheme="majorHAnsi"/>
          <w:color w:val="auto"/>
          <w:sz w:val="24"/>
          <w:szCs w:val="24"/>
        </w:rPr>
        <w:t>t</w:t>
      </w:r>
      <w:r w:rsidRPr="007B43C4">
        <w:rPr>
          <w:rFonts w:asciiTheme="majorHAnsi" w:hAnsiTheme="majorHAnsi" w:cstheme="majorHAnsi"/>
          <w:color w:val="auto"/>
          <w:sz w:val="24"/>
          <w:szCs w:val="24"/>
        </w:rPr>
        <w:t>v</w:t>
      </w:r>
      <w:r w:rsidR="00AA0C93" w:rsidRPr="007B43C4">
        <w:rPr>
          <w:rFonts w:asciiTheme="majorHAnsi" w:hAnsiTheme="majorHAnsi" w:cstheme="majorHAnsi"/>
          <w:color w:val="auto"/>
          <w:sz w:val="24"/>
          <w:szCs w:val="24"/>
        </w:rPr>
        <w:t>a</w:t>
      </w:r>
      <w:r w:rsidRPr="007B43C4">
        <w:rPr>
          <w:rFonts w:asciiTheme="majorHAnsi" w:hAnsiTheme="majorHAnsi" w:cstheme="majorHAnsi"/>
          <w:color w:val="auto"/>
          <w:sz w:val="24"/>
          <w:szCs w:val="24"/>
        </w:rPr>
        <w:t>ranje efikasnog sistema planiranja i zapošljavanja u javnoj upravi na osnovu i</w:t>
      </w:r>
      <w:r w:rsidR="00AA0C93" w:rsidRPr="007B43C4">
        <w:rPr>
          <w:rFonts w:asciiTheme="majorHAnsi" w:hAnsiTheme="majorHAnsi" w:cstheme="majorHAnsi"/>
          <w:color w:val="auto"/>
          <w:sz w:val="24"/>
          <w:szCs w:val="24"/>
        </w:rPr>
        <w:t>de</w:t>
      </w:r>
      <w:r w:rsidR="001824F3" w:rsidRPr="007B43C4">
        <w:rPr>
          <w:rFonts w:asciiTheme="majorHAnsi" w:hAnsiTheme="majorHAnsi" w:cstheme="majorHAnsi"/>
          <w:color w:val="auto"/>
          <w:sz w:val="24"/>
          <w:szCs w:val="24"/>
        </w:rPr>
        <w:t>n</w:t>
      </w:r>
      <w:r w:rsidR="00AA0C93" w:rsidRPr="007B43C4">
        <w:rPr>
          <w:rFonts w:asciiTheme="majorHAnsi" w:hAnsiTheme="majorHAnsi" w:cstheme="majorHAnsi"/>
          <w:color w:val="auto"/>
          <w:sz w:val="24"/>
          <w:szCs w:val="24"/>
        </w:rPr>
        <w:t>tifikovanih potreba</w:t>
      </w:r>
      <w:r w:rsidR="001824F3" w:rsidRPr="007B43C4">
        <w:rPr>
          <w:rFonts w:asciiTheme="majorHAnsi" w:hAnsiTheme="majorHAnsi" w:cstheme="majorHAnsi"/>
          <w:color w:val="auto"/>
          <w:sz w:val="24"/>
          <w:szCs w:val="24"/>
        </w:rPr>
        <w:t xml:space="preserve"> i</w:t>
      </w:r>
      <w:r w:rsidR="00AA0C93" w:rsidRPr="007B43C4">
        <w:rPr>
          <w:rFonts w:asciiTheme="majorHAnsi" w:hAnsiTheme="majorHAnsi" w:cstheme="majorHAnsi"/>
          <w:color w:val="auto"/>
          <w:sz w:val="24"/>
          <w:szCs w:val="24"/>
        </w:rPr>
        <w:t xml:space="preserve"> </w:t>
      </w:r>
      <w:r w:rsidRPr="007B43C4">
        <w:rPr>
          <w:rFonts w:asciiTheme="majorHAnsi" w:hAnsiTheme="majorHAnsi" w:cstheme="majorHAnsi"/>
          <w:color w:val="auto"/>
          <w:sz w:val="24"/>
          <w:szCs w:val="24"/>
        </w:rPr>
        <w:t>sinhronizova</w:t>
      </w:r>
      <w:r w:rsidR="00AA0C93" w:rsidRPr="007B43C4">
        <w:rPr>
          <w:rFonts w:asciiTheme="majorHAnsi" w:hAnsiTheme="majorHAnsi" w:cstheme="majorHAnsi"/>
          <w:color w:val="auto"/>
          <w:sz w:val="24"/>
          <w:szCs w:val="24"/>
        </w:rPr>
        <w:t>nom izradom kadrovskog plana i B</w:t>
      </w:r>
      <w:r w:rsidRPr="007B43C4">
        <w:rPr>
          <w:rFonts w:asciiTheme="majorHAnsi" w:hAnsiTheme="majorHAnsi" w:cstheme="majorHAnsi"/>
          <w:color w:val="auto"/>
          <w:sz w:val="24"/>
          <w:szCs w:val="24"/>
        </w:rPr>
        <w:t>udžeta,</w:t>
      </w:r>
    </w:p>
    <w:p w:rsidR="001824F3" w:rsidRPr="007B43C4" w:rsidRDefault="001824F3" w:rsidP="00B43D4E">
      <w:pPr>
        <w:numPr>
          <w:ilvl w:val="1"/>
          <w:numId w:val="48"/>
        </w:numPr>
        <w:tabs>
          <w:tab w:val="clear" w:pos="1440"/>
          <w:tab w:val="num" w:pos="450"/>
        </w:tabs>
        <w:spacing w:before="60" w:after="60" w:line="240" w:lineRule="auto"/>
        <w:ind w:left="0" w:right="-471" w:firstLine="90"/>
        <w:jc w:val="both"/>
        <w:rPr>
          <w:rFonts w:asciiTheme="majorHAnsi" w:hAnsiTheme="majorHAnsi" w:cstheme="majorHAnsi"/>
          <w:bCs/>
          <w:color w:val="auto"/>
          <w:sz w:val="24"/>
          <w:szCs w:val="24"/>
          <w:lang w:val="en-US"/>
        </w:rPr>
      </w:pPr>
      <w:r w:rsidRPr="007B43C4">
        <w:rPr>
          <w:rFonts w:asciiTheme="majorHAnsi" w:hAnsiTheme="majorHAnsi" w:cstheme="majorHAnsi"/>
          <w:bCs/>
          <w:color w:val="auto"/>
          <w:sz w:val="24"/>
          <w:szCs w:val="24"/>
        </w:rPr>
        <w:t>D</w:t>
      </w:r>
      <w:r w:rsidRPr="007B43C4">
        <w:rPr>
          <w:rFonts w:asciiTheme="majorHAnsi" w:hAnsiTheme="majorHAnsi" w:cstheme="majorHAnsi"/>
          <w:bCs/>
          <w:color w:val="auto"/>
          <w:sz w:val="24"/>
          <w:szCs w:val="24"/>
          <w:lang w:val="x-none"/>
        </w:rPr>
        <w:t>igitalizaciju u oblasti službeničkog sistema</w:t>
      </w:r>
      <w:r w:rsidRPr="007B43C4">
        <w:rPr>
          <w:rFonts w:asciiTheme="majorHAnsi" w:hAnsiTheme="majorHAnsi" w:cstheme="majorHAnsi"/>
          <w:bCs/>
          <w:color w:val="auto"/>
          <w:sz w:val="24"/>
          <w:szCs w:val="24"/>
        </w:rPr>
        <w:t xml:space="preserve">: </w:t>
      </w:r>
      <w:r w:rsidRPr="007B43C4">
        <w:rPr>
          <w:rFonts w:asciiTheme="majorHAnsi" w:hAnsiTheme="majorHAnsi" w:cstheme="majorHAnsi"/>
          <w:color w:val="auto"/>
          <w:sz w:val="24"/>
          <w:szCs w:val="24"/>
        </w:rPr>
        <w:t>digitalizaciju procesa koji bi se implementirali samo kroz kadrovski informacioni sistem: kadrovski plan, obuke, ocjenjivanje, godišnji odmori itd, kao i digitalizaciju faza upravljanja ljudskim resursima: eZapošljavanja, eUčenja, eOcjenjivanja</w:t>
      </w:r>
    </w:p>
    <w:p w:rsidR="00AA0C93" w:rsidRPr="007B43C4" w:rsidRDefault="00290120" w:rsidP="00B43D4E">
      <w:pPr>
        <w:numPr>
          <w:ilvl w:val="1"/>
          <w:numId w:val="48"/>
        </w:numPr>
        <w:tabs>
          <w:tab w:val="clear" w:pos="1440"/>
          <w:tab w:val="num" w:pos="450"/>
        </w:tabs>
        <w:spacing w:before="60" w:after="60" w:line="240" w:lineRule="auto"/>
        <w:ind w:left="0" w:right="-471" w:firstLine="90"/>
        <w:jc w:val="both"/>
        <w:rPr>
          <w:rFonts w:asciiTheme="majorHAnsi" w:hAnsiTheme="majorHAnsi" w:cstheme="majorHAnsi"/>
          <w:bCs/>
          <w:color w:val="auto"/>
          <w:sz w:val="24"/>
          <w:szCs w:val="24"/>
          <w:lang w:val="en-US"/>
        </w:rPr>
      </w:pPr>
      <w:r w:rsidRPr="007B43C4">
        <w:rPr>
          <w:rFonts w:asciiTheme="majorHAnsi" w:hAnsiTheme="majorHAnsi" w:cstheme="majorHAnsi"/>
          <w:color w:val="auto"/>
          <w:sz w:val="24"/>
          <w:szCs w:val="24"/>
        </w:rPr>
        <w:t>Ažurnu Centralnu kadrovsku</w:t>
      </w:r>
      <w:r w:rsidR="0080159F" w:rsidRPr="007B43C4">
        <w:rPr>
          <w:rFonts w:asciiTheme="majorHAnsi" w:hAnsiTheme="majorHAnsi" w:cstheme="majorHAnsi"/>
          <w:color w:val="auto"/>
          <w:sz w:val="24"/>
          <w:szCs w:val="24"/>
        </w:rPr>
        <w:t xml:space="preserve"> evid</w:t>
      </w:r>
      <w:r w:rsidR="00AA0C93" w:rsidRPr="007B43C4">
        <w:rPr>
          <w:rFonts w:asciiTheme="majorHAnsi" w:hAnsiTheme="majorHAnsi" w:cstheme="majorHAnsi"/>
          <w:color w:val="auto"/>
          <w:sz w:val="24"/>
          <w:szCs w:val="24"/>
        </w:rPr>
        <w:t>e</w:t>
      </w:r>
      <w:r w:rsidRPr="007B43C4">
        <w:rPr>
          <w:rFonts w:asciiTheme="majorHAnsi" w:hAnsiTheme="majorHAnsi" w:cstheme="majorHAnsi"/>
          <w:color w:val="auto"/>
          <w:sz w:val="24"/>
          <w:szCs w:val="24"/>
        </w:rPr>
        <w:t>nciju</w:t>
      </w:r>
      <w:r w:rsidR="0080159F" w:rsidRPr="007B43C4">
        <w:rPr>
          <w:rFonts w:asciiTheme="majorHAnsi" w:hAnsiTheme="majorHAnsi" w:cstheme="majorHAnsi"/>
          <w:color w:val="auto"/>
          <w:sz w:val="24"/>
          <w:szCs w:val="24"/>
        </w:rPr>
        <w:t xml:space="preserve">, </w:t>
      </w:r>
    </w:p>
    <w:p w:rsidR="0080159F" w:rsidRPr="007B43C4" w:rsidRDefault="00290120" w:rsidP="00B43D4E">
      <w:pPr>
        <w:numPr>
          <w:ilvl w:val="1"/>
          <w:numId w:val="48"/>
        </w:numPr>
        <w:tabs>
          <w:tab w:val="clear" w:pos="1440"/>
          <w:tab w:val="num" w:pos="450"/>
        </w:tabs>
        <w:spacing w:before="60" w:after="60" w:line="240" w:lineRule="auto"/>
        <w:ind w:left="0" w:right="-471" w:firstLine="90"/>
        <w:jc w:val="both"/>
        <w:rPr>
          <w:rFonts w:asciiTheme="majorHAnsi" w:hAnsiTheme="majorHAnsi" w:cstheme="majorHAnsi"/>
          <w:color w:val="auto"/>
          <w:sz w:val="24"/>
          <w:szCs w:val="24"/>
        </w:rPr>
      </w:pPr>
      <w:r w:rsidRPr="007B43C4">
        <w:rPr>
          <w:rFonts w:asciiTheme="majorHAnsi" w:hAnsiTheme="majorHAnsi" w:cstheme="majorHAnsi"/>
          <w:color w:val="auto"/>
          <w:sz w:val="24"/>
          <w:szCs w:val="24"/>
        </w:rPr>
        <w:t>Optimiza</w:t>
      </w:r>
      <w:r w:rsidR="001824F3" w:rsidRPr="007B43C4">
        <w:rPr>
          <w:rFonts w:asciiTheme="majorHAnsi" w:hAnsiTheme="majorHAnsi" w:cstheme="majorHAnsi"/>
          <w:color w:val="auto"/>
          <w:sz w:val="24"/>
          <w:szCs w:val="24"/>
        </w:rPr>
        <w:t>ciju procesa i zaposlenih unut</w:t>
      </w:r>
      <w:r w:rsidRPr="007B43C4">
        <w:rPr>
          <w:rFonts w:asciiTheme="majorHAnsi" w:hAnsiTheme="majorHAnsi" w:cstheme="majorHAnsi"/>
          <w:color w:val="auto"/>
          <w:sz w:val="24"/>
          <w:szCs w:val="24"/>
        </w:rPr>
        <w:t>a</w:t>
      </w:r>
      <w:r w:rsidR="001824F3" w:rsidRPr="007B43C4">
        <w:rPr>
          <w:rFonts w:asciiTheme="majorHAnsi" w:hAnsiTheme="majorHAnsi" w:cstheme="majorHAnsi"/>
          <w:color w:val="auto"/>
          <w:sz w:val="24"/>
          <w:szCs w:val="24"/>
        </w:rPr>
        <w:t>r</w:t>
      </w:r>
      <w:r w:rsidRPr="007B43C4">
        <w:rPr>
          <w:rFonts w:asciiTheme="majorHAnsi" w:hAnsiTheme="majorHAnsi" w:cstheme="majorHAnsi"/>
          <w:color w:val="auto"/>
          <w:sz w:val="24"/>
          <w:szCs w:val="24"/>
        </w:rPr>
        <w:t xml:space="preserve"> organa, na osnovu funkcionalnih analiza</w:t>
      </w:r>
      <w:r w:rsidR="0080159F" w:rsidRPr="007B43C4">
        <w:rPr>
          <w:rFonts w:asciiTheme="majorHAnsi" w:hAnsiTheme="majorHAnsi" w:cstheme="majorHAnsi"/>
          <w:color w:val="auto"/>
          <w:sz w:val="24"/>
          <w:szCs w:val="24"/>
        </w:rPr>
        <w:t xml:space="preserve"> za kompletnu javnu upravu</w:t>
      </w:r>
      <w:r w:rsidRPr="007B43C4">
        <w:rPr>
          <w:rFonts w:asciiTheme="majorHAnsi" w:hAnsiTheme="majorHAnsi" w:cstheme="majorHAnsi"/>
          <w:color w:val="auto"/>
          <w:sz w:val="24"/>
          <w:szCs w:val="24"/>
        </w:rPr>
        <w:t>.</w:t>
      </w:r>
    </w:p>
    <w:p w:rsidR="004D0FCB" w:rsidRPr="007B43C4" w:rsidRDefault="00D0246F" w:rsidP="007B43C4">
      <w:pPr>
        <w:spacing w:before="120" w:after="60" w:line="240" w:lineRule="auto"/>
        <w:ind w:right="-446"/>
        <w:jc w:val="both"/>
        <w:rPr>
          <w:rFonts w:asciiTheme="majorHAnsi" w:eastAsia="Times New Roman" w:hAnsiTheme="majorHAnsi" w:cstheme="majorHAnsi"/>
          <w:color w:val="auto"/>
          <w:kern w:val="0"/>
          <w:sz w:val="24"/>
          <w:szCs w:val="24"/>
          <w:lang w:eastAsia="en-US"/>
        </w:rPr>
      </w:pPr>
      <w:r w:rsidRPr="007B43C4">
        <w:rPr>
          <w:rFonts w:asciiTheme="majorHAnsi" w:hAnsiTheme="majorHAnsi" w:cstheme="majorHAnsi"/>
          <w:b/>
          <w:color w:val="auto"/>
          <w:sz w:val="24"/>
          <w:szCs w:val="24"/>
        </w:rPr>
        <w:t>STRATEŠKI CILJ SE OSTVARUJE KROZ SLEDEĆE OPERATIVNE CILJEVE:</w:t>
      </w:r>
      <w:r w:rsidR="00E670ED" w:rsidRPr="007B43C4">
        <w:rPr>
          <w:rFonts w:asciiTheme="majorHAnsi" w:eastAsia="Times New Roman" w:hAnsiTheme="majorHAnsi" w:cstheme="majorHAnsi"/>
          <w:color w:val="auto"/>
          <w:kern w:val="0"/>
          <w:sz w:val="24"/>
          <w:szCs w:val="24"/>
          <w:lang w:eastAsia="en-US"/>
        </w:rPr>
        <w:t xml:space="preserve"> </w:t>
      </w:r>
    </w:p>
    <w:p w:rsidR="004D0FCB" w:rsidRPr="007B43C4" w:rsidRDefault="00E670ED" w:rsidP="00B43D4E">
      <w:pPr>
        <w:pStyle w:val="ListParagraph"/>
        <w:numPr>
          <w:ilvl w:val="0"/>
          <w:numId w:val="52"/>
        </w:numPr>
        <w:spacing w:before="60" w:after="60" w:line="240" w:lineRule="auto"/>
        <w:ind w:right="-450"/>
        <w:contextualSpacing w:val="0"/>
        <w:jc w:val="both"/>
        <w:rPr>
          <w:rFonts w:asciiTheme="majorHAnsi" w:eastAsia="Times New Roman" w:hAnsiTheme="majorHAnsi" w:cstheme="majorHAnsi"/>
          <w:color w:val="auto"/>
          <w:kern w:val="0"/>
          <w:sz w:val="24"/>
          <w:szCs w:val="24"/>
          <w:lang w:eastAsia="en-US"/>
        </w:rPr>
      </w:pPr>
      <w:r w:rsidRPr="007B43C4">
        <w:rPr>
          <w:rFonts w:asciiTheme="majorHAnsi" w:eastAsia="Times New Roman" w:hAnsiTheme="majorHAnsi" w:cstheme="majorHAnsi"/>
          <w:color w:val="auto"/>
          <w:kern w:val="0"/>
          <w:sz w:val="24"/>
          <w:szCs w:val="24"/>
          <w:lang w:eastAsia="en-US"/>
        </w:rPr>
        <w:t>Efikasan sistem planiranja na osnovu identifikovanih potreba, unaprjeđenje postupka zapošljavanja ljudskih resursa i dalja digitalizacija u oblasti službeničkog sistema;</w:t>
      </w:r>
    </w:p>
    <w:p w:rsidR="004D0FCB" w:rsidRPr="007B43C4" w:rsidRDefault="00E670ED" w:rsidP="00B43D4E">
      <w:pPr>
        <w:pStyle w:val="ListParagraph"/>
        <w:numPr>
          <w:ilvl w:val="0"/>
          <w:numId w:val="52"/>
        </w:numPr>
        <w:spacing w:before="60" w:after="60" w:line="240" w:lineRule="auto"/>
        <w:ind w:right="-450"/>
        <w:contextualSpacing w:val="0"/>
        <w:jc w:val="both"/>
        <w:rPr>
          <w:rFonts w:asciiTheme="majorHAnsi" w:eastAsia="Times New Roman" w:hAnsiTheme="majorHAnsi" w:cstheme="majorHAnsi"/>
          <w:color w:val="auto"/>
          <w:kern w:val="0"/>
          <w:sz w:val="24"/>
          <w:szCs w:val="24"/>
          <w:lang w:eastAsia="en-US"/>
        </w:rPr>
      </w:pPr>
      <w:r w:rsidRPr="007B43C4">
        <w:rPr>
          <w:rFonts w:asciiTheme="majorHAnsi" w:eastAsia="Times New Roman" w:hAnsiTheme="majorHAnsi" w:cstheme="majorHAnsi"/>
          <w:color w:val="auto"/>
          <w:kern w:val="0"/>
          <w:sz w:val="24"/>
          <w:szCs w:val="24"/>
          <w:lang w:eastAsia="en-US"/>
        </w:rPr>
        <w:t xml:space="preserve">Javna uprava atraktivan poslodavac – efikasan sistem napredovanja i nagrađivanja na osnovu praćenja rezultata rada, ocjenjivanja i stalnog usavršavanja; </w:t>
      </w:r>
    </w:p>
    <w:p w:rsidR="00012E9B" w:rsidRPr="007B43C4" w:rsidRDefault="00E670ED" w:rsidP="00B43D4E">
      <w:pPr>
        <w:pStyle w:val="ListParagraph"/>
        <w:numPr>
          <w:ilvl w:val="0"/>
          <w:numId w:val="51"/>
        </w:numPr>
        <w:spacing w:before="60" w:after="60" w:line="240" w:lineRule="auto"/>
        <w:ind w:right="-450"/>
        <w:contextualSpacing w:val="0"/>
        <w:jc w:val="both"/>
        <w:rPr>
          <w:rFonts w:asciiTheme="majorHAnsi" w:hAnsiTheme="majorHAnsi" w:cstheme="majorHAnsi"/>
          <w:color w:val="auto"/>
          <w:sz w:val="24"/>
          <w:szCs w:val="24"/>
        </w:rPr>
      </w:pPr>
      <w:r w:rsidRPr="007B43C4">
        <w:rPr>
          <w:rFonts w:asciiTheme="majorHAnsi" w:eastAsia="Times New Roman" w:hAnsiTheme="majorHAnsi" w:cstheme="majorHAnsi"/>
          <w:color w:val="auto"/>
          <w:kern w:val="0"/>
          <w:sz w:val="24"/>
          <w:szCs w:val="24"/>
          <w:lang w:eastAsia="en-US"/>
        </w:rPr>
        <w:t>Optimalna i efikasna javna administracija.</w:t>
      </w:r>
    </w:p>
    <w:p w:rsidR="00B63EB7" w:rsidRPr="007B43C4" w:rsidRDefault="00B63EB7" w:rsidP="00B43D4E">
      <w:pPr>
        <w:pStyle w:val="ListParagraph"/>
        <w:keepNext/>
        <w:keepLines/>
        <w:numPr>
          <w:ilvl w:val="0"/>
          <w:numId w:val="30"/>
        </w:numPr>
        <w:spacing w:before="240" w:after="120" w:line="240" w:lineRule="auto"/>
        <w:ind w:right="-475"/>
        <w:contextualSpacing w:val="0"/>
        <w:outlineLvl w:val="2"/>
        <w:rPr>
          <w:rFonts w:asciiTheme="majorHAnsi" w:eastAsia="Times New Roman" w:hAnsiTheme="majorHAnsi" w:cstheme="majorHAnsi"/>
          <w:b/>
          <w:color w:val="auto"/>
          <w:kern w:val="0"/>
          <w:sz w:val="24"/>
          <w:szCs w:val="24"/>
          <w:lang w:eastAsia="en-US"/>
        </w:rPr>
      </w:pPr>
      <w:bookmarkStart w:id="28" w:name="_Toc87353403"/>
      <w:r w:rsidRPr="007B43C4">
        <w:rPr>
          <w:rFonts w:asciiTheme="majorHAnsi" w:eastAsia="Times New Roman" w:hAnsiTheme="majorHAnsi" w:cstheme="majorHAnsi"/>
          <w:b/>
          <w:color w:val="auto"/>
          <w:kern w:val="0"/>
          <w:sz w:val="24"/>
          <w:szCs w:val="24"/>
          <w:lang w:eastAsia="en-US"/>
        </w:rPr>
        <w:t>STANJE U OBLASTI</w:t>
      </w:r>
      <w:bookmarkEnd w:id="28"/>
    </w:p>
    <w:p w:rsidR="00677F87" w:rsidRPr="007B43C4" w:rsidRDefault="00677F87" w:rsidP="007B43C4">
      <w:pPr>
        <w:tabs>
          <w:tab w:val="left" w:pos="850"/>
          <w:tab w:val="left" w:pos="1191"/>
          <w:tab w:val="left" w:pos="1531"/>
        </w:tabs>
        <w:spacing w:before="60" w:after="60" w:line="240" w:lineRule="auto"/>
        <w:ind w:right="-475"/>
        <w:jc w:val="both"/>
        <w:rPr>
          <w:rFonts w:asciiTheme="majorHAnsi" w:eastAsia="Calibri" w:hAnsiTheme="majorHAnsi" w:cstheme="majorHAnsi"/>
          <w:i/>
          <w:color w:val="auto"/>
          <w:kern w:val="0"/>
          <w:sz w:val="24"/>
          <w:szCs w:val="24"/>
          <w:lang w:eastAsia="zh-CN"/>
        </w:rPr>
      </w:pPr>
      <w:r w:rsidRPr="007B43C4">
        <w:rPr>
          <w:rFonts w:asciiTheme="majorHAnsi" w:eastAsia="Calibri" w:hAnsiTheme="majorHAnsi" w:cstheme="majorHAnsi"/>
          <w:color w:val="auto"/>
          <w:kern w:val="0"/>
          <w:sz w:val="24"/>
          <w:szCs w:val="24"/>
          <w:lang w:eastAsia="zh-CN"/>
        </w:rPr>
        <w:t xml:space="preserve">Zaključno sa decembrom 2020. godine ukupan broj zaposlenih na centralnom nivou je </w:t>
      </w:r>
      <w:r w:rsidRPr="007B43C4">
        <w:rPr>
          <w:rFonts w:asciiTheme="majorHAnsi" w:eastAsia="Calibri" w:hAnsiTheme="majorHAnsi" w:cstheme="majorHAnsi"/>
          <w:bCs/>
          <w:color w:val="auto"/>
          <w:kern w:val="0"/>
          <w:sz w:val="24"/>
          <w:szCs w:val="24"/>
          <w:lang w:eastAsia="zh-CN"/>
        </w:rPr>
        <w:t>42.439 lica</w:t>
      </w:r>
      <w:r w:rsidRPr="007B43C4">
        <w:rPr>
          <w:rFonts w:asciiTheme="majorHAnsi" w:eastAsia="Calibri" w:hAnsiTheme="majorHAnsi" w:cstheme="majorHAnsi"/>
          <w:color w:val="auto"/>
          <w:kern w:val="0"/>
          <w:sz w:val="24"/>
          <w:szCs w:val="24"/>
          <w:lang w:eastAsia="zh-CN"/>
        </w:rPr>
        <w:t xml:space="preserve">, a na lokalnom </w:t>
      </w:r>
      <w:r w:rsidRPr="007B43C4">
        <w:rPr>
          <w:rFonts w:asciiTheme="majorHAnsi" w:eastAsia="Calibri" w:hAnsiTheme="majorHAnsi" w:cstheme="majorHAnsi"/>
          <w:bCs/>
          <w:color w:val="auto"/>
          <w:kern w:val="0"/>
          <w:sz w:val="24"/>
          <w:szCs w:val="24"/>
          <w:lang w:eastAsia="zh-CN"/>
        </w:rPr>
        <w:t>13.235 lica</w:t>
      </w:r>
      <w:r w:rsidRPr="007B43C4">
        <w:rPr>
          <w:rFonts w:asciiTheme="majorHAnsi" w:eastAsia="Calibri" w:hAnsiTheme="majorHAnsi" w:cstheme="majorHAnsi"/>
          <w:color w:val="auto"/>
          <w:kern w:val="0"/>
          <w:sz w:val="24"/>
          <w:szCs w:val="24"/>
          <w:lang w:eastAsia="zh-CN"/>
        </w:rPr>
        <w:t xml:space="preserve">, što </w:t>
      </w:r>
      <w:r w:rsidRPr="007B43C4">
        <w:rPr>
          <w:rFonts w:asciiTheme="majorHAnsi" w:eastAsia="Calibri" w:hAnsiTheme="majorHAnsi" w:cstheme="majorHAnsi"/>
          <w:bCs/>
          <w:color w:val="auto"/>
          <w:kern w:val="0"/>
          <w:sz w:val="24"/>
          <w:szCs w:val="24"/>
          <w:lang w:eastAsia="zh-CN"/>
        </w:rPr>
        <w:t xml:space="preserve">ukupno čini </w:t>
      </w:r>
      <w:r w:rsidRPr="007B43C4">
        <w:rPr>
          <w:rFonts w:asciiTheme="majorHAnsi" w:eastAsia="Calibri" w:hAnsiTheme="majorHAnsi" w:cstheme="majorHAnsi"/>
          <w:b/>
          <w:bCs/>
          <w:color w:val="auto"/>
          <w:kern w:val="0"/>
          <w:sz w:val="24"/>
          <w:szCs w:val="24"/>
          <w:lang w:eastAsia="zh-CN"/>
        </w:rPr>
        <w:t>55.674 zaposlenih na nivou javne uprave</w:t>
      </w:r>
      <w:r w:rsidRPr="007B43C4">
        <w:rPr>
          <w:rFonts w:asciiTheme="majorHAnsi" w:eastAsia="Calibri" w:hAnsiTheme="majorHAnsi" w:cstheme="majorHAnsi"/>
          <w:bCs/>
          <w:color w:val="auto"/>
          <w:kern w:val="0"/>
          <w:sz w:val="24"/>
          <w:szCs w:val="24"/>
          <w:lang w:eastAsia="zh-CN"/>
        </w:rPr>
        <w:t xml:space="preserve">. </w:t>
      </w:r>
      <w:r w:rsidRPr="007B43C4">
        <w:rPr>
          <w:rFonts w:asciiTheme="majorHAnsi" w:eastAsia="Calibri" w:hAnsiTheme="majorHAnsi" w:cstheme="majorHAnsi"/>
          <w:color w:val="auto"/>
          <w:kern w:val="0"/>
          <w:sz w:val="24"/>
          <w:szCs w:val="24"/>
          <w:lang w:eastAsia="zh-CN"/>
        </w:rPr>
        <w:t xml:space="preserve">Na zaposlene u javnoj upravi primenjuju se odredbe različitih zakona: oko </w:t>
      </w:r>
      <w:r w:rsidRPr="007B43C4">
        <w:rPr>
          <w:rFonts w:asciiTheme="majorHAnsi" w:eastAsia="Calibri" w:hAnsiTheme="majorHAnsi" w:cstheme="majorHAnsi"/>
          <w:b/>
          <w:color w:val="auto"/>
          <w:kern w:val="0"/>
          <w:sz w:val="24"/>
          <w:szCs w:val="24"/>
          <w:lang w:eastAsia="zh-CN"/>
        </w:rPr>
        <w:t>14.500 zaposlenih</w:t>
      </w:r>
      <w:r w:rsidRPr="007B43C4">
        <w:rPr>
          <w:rFonts w:asciiTheme="majorHAnsi" w:eastAsia="Calibri" w:hAnsiTheme="majorHAnsi" w:cstheme="majorHAnsi"/>
          <w:color w:val="auto"/>
          <w:kern w:val="0"/>
          <w:sz w:val="24"/>
          <w:szCs w:val="24"/>
          <w:lang w:eastAsia="zh-CN"/>
        </w:rPr>
        <w:t xml:space="preserve"> ostvaruje prava </w:t>
      </w:r>
      <w:r w:rsidRPr="007B43C4">
        <w:rPr>
          <w:rFonts w:asciiTheme="majorHAnsi" w:eastAsia="Calibri" w:hAnsiTheme="majorHAnsi" w:cstheme="majorHAnsi"/>
          <w:b/>
          <w:color w:val="auto"/>
          <w:kern w:val="0"/>
          <w:sz w:val="24"/>
          <w:szCs w:val="24"/>
          <w:lang w:eastAsia="zh-CN"/>
        </w:rPr>
        <w:t>po Zakonu o državnim službenicima</w:t>
      </w:r>
      <w:r w:rsidRPr="007B43C4">
        <w:rPr>
          <w:rFonts w:asciiTheme="majorHAnsi" w:eastAsia="Calibri" w:hAnsiTheme="majorHAnsi" w:cstheme="majorHAnsi"/>
          <w:color w:val="auto"/>
          <w:kern w:val="0"/>
          <w:sz w:val="24"/>
          <w:szCs w:val="24"/>
          <w:lang w:eastAsia="zh-CN"/>
        </w:rPr>
        <w:t xml:space="preserve"> i namještenicima, a preko </w:t>
      </w:r>
      <w:r w:rsidRPr="007B43C4">
        <w:rPr>
          <w:rFonts w:asciiTheme="majorHAnsi" w:eastAsia="Calibri" w:hAnsiTheme="majorHAnsi" w:cstheme="majorHAnsi"/>
          <w:b/>
          <w:color w:val="auto"/>
          <w:kern w:val="0"/>
          <w:sz w:val="24"/>
          <w:szCs w:val="24"/>
          <w:lang w:eastAsia="zh-CN"/>
        </w:rPr>
        <w:t>43.400 po Zakonu o radu</w:t>
      </w:r>
      <w:r w:rsidRPr="007B43C4">
        <w:rPr>
          <w:rFonts w:asciiTheme="majorHAnsi" w:eastAsia="Calibri" w:hAnsiTheme="majorHAnsi" w:cstheme="majorHAnsi"/>
          <w:color w:val="auto"/>
          <w:kern w:val="0"/>
          <w:sz w:val="24"/>
          <w:szCs w:val="24"/>
          <w:lang w:eastAsia="zh-CN"/>
        </w:rPr>
        <w:t>.</w:t>
      </w:r>
    </w:p>
    <w:p w:rsidR="00677F87" w:rsidRPr="007B43C4" w:rsidRDefault="00677F87" w:rsidP="007B43C4">
      <w:pPr>
        <w:tabs>
          <w:tab w:val="left" w:pos="850"/>
          <w:tab w:val="left" w:pos="1191"/>
          <w:tab w:val="left" w:pos="1531"/>
        </w:tabs>
        <w:spacing w:before="60" w:after="60" w:line="240" w:lineRule="auto"/>
        <w:ind w:right="-475"/>
        <w:jc w:val="both"/>
        <w:rPr>
          <w:rFonts w:asciiTheme="majorHAnsi" w:eastAsia="Calibri" w:hAnsiTheme="majorHAnsi" w:cstheme="majorHAnsi"/>
          <w:i/>
          <w:color w:val="auto"/>
          <w:kern w:val="0"/>
          <w:sz w:val="24"/>
          <w:szCs w:val="24"/>
          <w:lang w:eastAsia="zh-CN"/>
        </w:rPr>
      </w:pPr>
      <w:r w:rsidRPr="007B43C4">
        <w:rPr>
          <w:rFonts w:asciiTheme="majorHAnsi" w:eastAsia="Calibri" w:hAnsiTheme="majorHAnsi" w:cstheme="majorHAnsi"/>
          <w:b/>
          <w:color w:val="auto"/>
          <w:kern w:val="0"/>
          <w:sz w:val="24"/>
          <w:szCs w:val="24"/>
          <w:lang w:eastAsia="zh-CN"/>
        </w:rPr>
        <w:t>Zakon o državnim službenicima i namještenicima</w:t>
      </w:r>
      <w:r w:rsidRPr="007B43C4">
        <w:rPr>
          <w:rFonts w:asciiTheme="majorHAnsi" w:eastAsia="Calibri" w:hAnsiTheme="majorHAnsi" w:cstheme="majorHAnsi"/>
          <w:color w:val="auto"/>
          <w:kern w:val="0"/>
          <w:sz w:val="24"/>
          <w:szCs w:val="24"/>
          <w:vertAlign w:val="superscript"/>
          <w:lang w:eastAsia="zh-CN"/>
        </w:rPr>
        <w:footnoteReference w:id="58"/>
      </w:r>
      <w:r w:rsidRPr="007B43C4">
        <w:rPr>
          <w:rFonts w:asciiTheme="majorHAnsi" w:eastAsia="Calibri" w:hAnsiTheme="majorHAnsi" w:cstheme="majorHAnsi"/>
          <w:color w:val="auto"/>
          <w:kern w:val="0"/>
          <w:sz w:val="24"/>
          <w:szCs w:val="24"/>
          <w:lang w:eastAsia="zh-CN"/>
        </w:rPr>
        <w:t xml:space="preserve"> donio je niz novih rješenja koja imaju za cilj veću profesionalizaciju javne uprave, unaprijeđen je institut stručnog usavršavanja službenika, unaprijeđena je transparentnost procesa zapošljavanja, kao i napredovanje u skladu sa zaslugama. Nova rješenja omogućavaju da ključne pozicije u državnim organima zauzimaju službenici čiji integritet, kompetencije </w:t>
      </w:r>
      <w:r w:rsidRPr="007B43C4">
        <w:rPr>
          <w:rFonts w:asciiTheme="majorHAnsi" w:eastAsia="Calibri" w:hAnsiTheme="majorHAnsi" w:cstheme="majorHAnsi"/>
          <w:color w:val="auto"/>
          <w:kern w:val="0"/>
          <w:sz w:val="24"/>
          <w:szCs w:val="24"/>
          <w:lang w:eastAsia="zh-CN"/>
        </w:rPr>
        <w:lastRenderedPageBreak/>
        <w:t xml:space="preserve">i znanja garantuju ostvarivanje zacrtanih strateških ciljeva Vlade i efikasno ostvarivanje prava građana. Međutim, i pored toga što Zakon ovo omogućava, određeni instituti nisu zaživjeli ili nisu do kraja realizovani. </w:t>
      </w:r>
    </w:p>
    <w:p w:rsidR="00677F87" w:rsidRPr="007B43C4" w:rsidRDefault="00677F87" w:rsidP="007B43C4">
      <w:pPr>
        <w:tabs>
          <w:tab w:val="left" w:pos="850"/>
          <w:tab w:val="left" w:pos="1191"/>
          <w:tab w:val="left" w:pos="1531"/>
        </w:tabs>
        <w:spacing w:before="60" w:after="60" w:line="240" w:lineRule="auto"/>
        <w:ind w:right="-475"/>
        <w:jc w:val="both"/>
        <w:rPr>
          <w:rFonts w:asciiTheme="majorHAnsi" w:eastAsia="Calibri" w:hAnsiTheme="majorHAnsi" w:cstheme="majorHAnsi"/>
          <w:color w:val="auto"/>
          <w:kern w:val="0"/>
          <w:sz w:val="24"/>
          <w:szCs w:val="24"/>
          <w:lang w:eastAsia="zh-CN"/>
        </w:rPr>
      </w:pPr>
      <w:r w:rsidRPr="007B43C4">
        <w:rPr>
          <w:rFonts w:asciiTheme="majorHAnsi" w:eastAsia="Calibri" w:hAnsiTheme="majorHAnsi" w:cstheme="majorHAnsi"/>
          <w:color w:val="auto"/>
          <w:kern w:val="0"/>
          <w:sz w:val="24"/>
          <w:szCs w:val="24"/>
          <w:lang w:eastAsia="zh-CN"/>
        </w:rPr>
        <w:t xml:space="preserve">Uprava za kadrove vodi </w:t>
      </w:r>
      <w:r w:rsidRPr="007B43C4">
        <w:rPr>
          <w:rFonts w:asciiTheme="majorHAnsi" w:eastAsia="Calibri" w:hAnsiTheme="majorHAnsi" w:cstheme="majorHAnsi"/>
          <w:b/>
          <w:color w:val="auto"/>
          <w:kern w:val="0"/>
          <w:sz w:val="24"/>
          <w:szCs w:val="24"/>
          <w:lang w:eastAsia="zh-CN"/>
        </w:rPr>
        <w:t>Kadrovski informacioni sistem (KIS),</w:t>
      </w:r>
      <w:r w:rsidRPr="007B43C4">
        <w:rPr>
          <w:rFonts w:asciiTheme="majorHAnsi" w:eastAsia="Calibri" w:hAnsiTheme="majorHAnsi" w:cstheme="majorHAnsi"/>
          <w:color w:val="auto"/>
          <w:kern w:val="0"/>
          <w:sz w:val="24"/>
          <w:szCs w:val="24"/>
          <w:lang w:eastAsia="zh-CN"/>
        </w:rPr>
        <w:t xml:space="preserve"> </w:t>
      </w:r>
      <w:r w:rsidRPr="007B43C4">
        <w:rPr>
          <w:rFonts w:asciiTheme="majorHAnsi" w:eastAsia="Calibri" w:hAnsiTheme="majorHAnsi" w:cstheme="majorHAnsi"/>
          <w:b/>
          <w:color w:val="auto"/>
          <w:kern w:val="0"/>
          <w:sz w:val="24"/>
          <w:szCs w:val="24"/>
          <w:lang w:eastAsia="zh-CN"/>
        </w:rPr>
        <w:t>u okviru kog se nalazi Centralna kadrovska evidencija (CKE)</w:t>
      </w:r>
      <w:r w:rsidRPr="007B43C4">
        <w:rPr>
          <w:rFonts w:asciiTheme="majorHAnsi" w:eastAsia="Calibri" w:hAnsiTheme="majorHAnsi" w:cstheme="majorHAnsi"/>
          <w:color w:val="auto"/>
          <w:kern w:val="0"/>
          <w:sz w:val="24"/>
          <w:szCs w:val="24"/>
          <w:lang w:eastAsia="zh-CN"/>
        </w:rPr>
        <w:t xml:space="preserve">. Radi se o informacionom sistemu koji trenutno obuhvata nekoliko modula i to: upravljanje dosijeima državnih službenika i namještenika, modul za obuku zaposlenih kojima se omogućava online prijavljivanje zaposlenih  za različite programe obuka, modul kadrovskog planiranja i module evidencije internog tržišta rada. Takođe, Uprava za kadrove je kreirala portal „Moj personalni dosije“ preko kojeg svaki državni službenik i namještenik može komunicirati sa osobom zaduženom za kadrovske poslove u tom državnom organu. Svaki zaposleni može imati uvid u svoje podatke uz mogućnost korekcije pojedinačnih podataka. </w:t>
      </w:r>
    </w:p>
    <w:p w:rsidR="00C972EA" w:rsidRPr="007B43C4" w:rsidRDefault="00C972EA" w:rsidP="007B43C4">
      <w:pPr>
        <w:spacing w:before="60" w:after="60" w:line="240" w:lineRule="auto"/>
        <w:ind w:right="-475"/>
        <w:jc w:val="both"/>
        <w:rPr>
          <w:rFonts w:asciiTheme="majorHAnsi" w:eastAsia="Calibri" w:hAnsiTheme="majorHAnsi" w:cstheme="majorHAnsi"/>
          <w:color w:val="auto"/>
          <w:kern w:val="0"/>
          <w:sz w:val="24"/>
          <w:szCs w:val="24"/>
          <w:lang w:eastAsia="en-US"/>
        </w:rPr>
      </w:pPr>
      <w:r w:rsidRPr="007B43C4">
        <w:rPr>
          <w:rFonts w:asciiTheme="majorHAnsi" w:eastAsia="Calibri" w:hAnsiTheme="majorHAnsi" w:cstheme="majorHAnsi"/>
          <w:color w:val="auto"/>
          <w:kern w:val="0"/>
          <w:sz w:val="24"/>
          <w:szCs w:val="24"/>
          <w:lang w:eastAsia="en-US"/>
        </w:rPr>
        <w:t xml:space="preserve">U prethodnom periodu, a u cilju </w:t>
      </w:r>
      <w:r w:rsidRPr="007B43C4">
        <w:rPr>
          <w:rFonts w:asciiTheme="majorHAnsi" w:eastAsia="Calibri" w:hAnsiTheme="majorHAnsi" w:cstheme="majorHAnsi"/>
          <w:b/>
          <w:color w:val="auto"/>
          <w:kern w:val="0"/>
          <w:sz w:val="24"/>
          <w:szCs w:val="24"/>
          <w:lang w:eastAsia="en-US"/>
        </w:rPr>
        <w:t>optimizacije broja zaposlenih u javnoj upravi</w:t>
      </w:r>
      <w:r w:rsidRPr="007B43C4">
        <w:rPr>
          <w:rFonts w:asciiTheme="majorHAnsi" w:eastAsia="Calibri" w:hAnsiTheme="majorHAnsi" w:cstheme="majorHAnsi"/>
          <w:color w:val="auto"/>
          <w:kern w:val="0"/>
          <w:sz w:val="24"/>
          <w:szCs w:val="24"/>
          <w:lang w:eastAsia="en-US"/>
        </w:rPr>
        <w:t>, u okviru aktivnosti: “Snažne institucije u funkciji moderne javne uprave”, Svjetska banka je pripremila funkcionalnu analizu Ministarstva javne uprave i Uprave za kadrove, koja je poslužila kao osnov i primjer za izradu funkcionalnih analiza na nivou ostalih resora u cilju optimizacije broja zaposlenih.</w:t>
      </w:r>
      <w:r w:rsidRPr="007B43C4">
        <w:rPr>
          <w:rFonts w:asciiTheme="majorHAnsi" w:hAnsiTheme="majorHAnsi" w:cstheme="majorHAnsi"/>
          <w:color w:val="auto"/>
          <w:sz w:val="24"/>
          <w:szCs w:val="24"/>
        </w:rPr>
        <w:t xml:space="preserve"> </w:t>
      </w:r>
      <w:r w:rsidRPr="007B43C4">
        <w:rPr>
          <w:rFonts w:asciiTheme="majorHAnsi" w:eastAsia="Calibri" w:hAnsiTheme="majorHAnsi" w:cstheme="majorHAnsi"/>
          <w:color w:val="auto"/>
          <w:kern w:val="0"/>
          <w:sz w:val="24"/>
          <w:szCs w:val="24"/>
          <w:lang w:eastAsia="en-US"/>
        </w:rPr>
        <w:t>Medjutim, dalje nije urađena sveobuhvatna analiza funkcionalnosti sistema javne uprave u Crnoj Gori.</w:t>
      </w:r>
    </w:p>
    <w:p w:rsidR="00C972EA" w:rsidRPr="007E14C5" w:rsidRDefault="00C972EA" w:rsidP="007B43C4">
      <w:pPr>
        <w:spacing w:before="60" w:after="60" w:line="240" w:lineRule="auto"/>
        <w:ind w:right="-475"/>
        <w:jc w:val="both"/>
        <w:rPr>
          <w:rFonts w:asciiTheme="majorHAnsi" w:eastAsia="Calibri" w:hAnsiTheme="majorHAnsi" w:cstheme="majorHAnsi"/>
          <w:color w:val="002060"/>
          <w:kern w:val="0"/>
          <w:sz w:val="24"/>
          <w:szCs w:val="24"/>
          <w:lang w:eastAsia="en-US"/>
        </w:rPr>
      </w:pPr>
      <w:r w:rsidRPr="007B43C4">
        <w:rPr>
          <w:rFonts w:asciiTheme="majorHAnsi" w:eastAsia="Calibri" w:hAnsiTheme="majorHAnsi" w:cstheme="majorHAnsi"/>
          <w:color w:val="auto"/>
          <w:kern w:val="0"/>
          <w:sz w:val="24"/>
          <w:szCs w:val="24"/>
          <w:lang w:eastAsia="en-US"/>
        </w:rPr>
        <w:t>Što se tiče broja zaposlenih, u skladu sa podacima dobijenim iz Ministarstva finansija i socijalnog staranja (MFSS), ukupan broj zaposlenih u javnoj upravi na centralnom nivou u avgustu 2021. iznosi 42</w:t>
      </w:r>
      <w:r w:rsidR="00E85DCF" w:rsidRPr="007B43C4">
        <w:rPr>
          <w:rFonts w:asciiTheme="majorHAnsi" w:eastAsia="Calibri" w:hAnsiTheme="majorHAnsi" w:cstheme="majorHAnsi"/>
          <w:color w:val="auto"/>
          <w:kern w:val="0"/>
          <w:sz w:val="24"/>
          <w:szCs w:val="24"/>
          <w:lang w:eastAsia="en-US"/>
        </w:rPr>
        <w:t>.</w:t>
      </w:r>
      <w:r w:rsidRPr="007B43C4">
        <w:rPr>
          <w:rFonts w:asciiTheme="majorHAnsi" w:eastAsia="Calibri" w:hAnsiTheme="majorHAnsi" w:cstheme="majorHAnsi"/>
          <w:color w:val="auto"/>
          <w:kern w:val="0"/>
          <w:sz w:val="24"/>
          <w:szCs w:val="24"/>
          <w:lang w:eastAsia="en-US"/>
        </w:rPr>
        <w:t>439 zaposlenih, a tokom posljednje tri godine rastao je na sledeći način:</w:t>
      </w:r>
    </w:p>
    <w:p w:rsidR="00C972EA" w:rsidRPr="007E14C5" w:rsidRDefault="00CB681C" w:rsidP="00162C8F">
      <w:pPr>
        <w:spacing w:before="60" w:after="60" w:line="240" w:lineRule="auto"/>
        <w:ind w:right="-471"/>
        <w:jc w:val="center"/>
        <w:rPr>
          <w:rFonts w:asciiTheme="majorHAnsi" w:eastAsia="Calibri" w:hAnsiTheme="majorHAnsi" w:cstheme="majorHAnsi"/>
          <w:color w:val="002060"/>
          <w:kern w:val="0"/>
          <w:sz w:val="24"/>
          <w:szCs w:val="24"/>
          <w:lang w:eastAsia="en-US"/>
        </w:rPr>
      </w:pPr>
      <w:r w:rsidRPr="007E14C5">
        <w:rPr>
          <w:rFonts w:asciiTheme="majorHAnsi" w:eastAsia="Calibri" w:hAnsiTheme="majorHAnsi" w:cstheme="majorHAnsi"/>
          <w:noProof/>
          <w:color w:val="002060"/>
          <w:kern w:val="0"/>
          <w:sz w:val="24"/>
          <w:szCs w:val="24"/>
          <w:lang w:eastAsia="sr-Latn-RS"/>
        </w:rPr>
        <w:drawing>
          <wp:inline distT="0" distB="0" distL="0" distR="0" wp14:anchorId="2A1B40DC" wp14:editId="729412E2">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972EA" w:rsidRDefault="00C972EA" w:rsidP="00C972EA">
      <w:pPr>
        <w:spacing w:before="240" w:after="240" w:line="240" w:lineRule="auto"/>
        <w:ind w:right="-475"/>
        <w:jc w:val="both"/>
        <w:rPr>
          <w:rFonts w:asciiTheme="majorHAnsi" w:eastAsia="Calibri" w:hAnsiTheme="majorHAnsi" w:cstheme="majorHAnsi"/>
          <w:color w:val="auto"/>
          <w:kern w:val="0"/>
          <w:sz w:val="24"/>
          <w:szCs w:val="24"/>
          <w:highlight w:val="yellow"/>
          <w:lang w:eastAsia="en-US"/>
        </w:rPr>
      </w:pPr>
      <w:r w:rsidRPr="00CB681C">
        <w:rPr>
          <w:rFonts w:asciiTheme="majorHAnsi" w:eastAsia="Calibri" w:hAnsiTheme="majorHAnsi" w:cstheme="majorHAnsi"/>
          <w:color w:val="auto"/>
          <w:kern w:val="0"/>
          <w:sz w:val="24"/>
          <w:szCs w:val="24"/>
          <w:lang w:eastAsia="en-US"/>
        </w:rPr>
        <w:t>U cilju davanja komparativnih podataka sa rastom zarada</w:t>
      </w:r>
      <w:r w:rsidRPr="00CB681C">
        <w:rPr>
          <w:rStyle w:val="FootnoteReference"/>
          <w:rFonts w:asciiTheme="majorHAnsi" w:eastAsia="Calibri" w:hAnsiTheme="majorHAnsi" w:cstheme="majorHAnsi"/>
          <w:color w:val="auto"/>
          <w:kern w:val="0"/>
          <w:sz w:val="24"/>
          <w:szCs w:val="24"/>
          <w:lang w:eastAsia="en-US"/>
        </w:rPr>
        <w:footnoteReference w:id="59"/>
      </w:r>
      <w:r w:rsidRPr="00CB681C">
        <w:rPr>
          <w:rFonts w:asciiTheme="majorHAnsi" w:eastAsia="Calibri" w:hAnsiTheme="majorHAnsi" w:cstheme="majorHAnsi"/>
          <w:color w:val="auto"/>
          <w:kern w:val="0"/>
          <w:sz w:val="24"/>
          <w:szCs w:val="24"/>
          <w:lang w:eastAsia="en-US"/>
        </w:rPr>
        <w:t xml:space="preserve"> u javnom sektoru, podaci su slede</w:t>
      </w:r>
      <w:r w:rsidRPr="008002E7">
        <w:rPr>
          <w:rFonts w:asciiTheme="majorHAnsi" w:eastAsia="Calibri" w:hAnsiTheme="majorHAnsi" w:cstheme="majorHAnsi"/>
          <w:color w:val="auto"/>
          <w:kern w:val="0"/>
          <w:sz w:val="24"/>
          <w:szCs w:val="24"/>
          <w:lang w:eastAsia="en-US"/>
        </w:rPr>
        <w:t>ć</w:t>
      </w:r>
      <w:r w:rsidR="001972E9">
        <w:rPr>
          <w:rFonts w:asciiTheme="majorHAnsi" w:eastAsia="Calibri" w:hAnsiTheme="majorHAnsi" w:cstheme="majorHAnsi"/>
          <w:color w:val="auto"/>
          <w:kern w:val="0"/>
          <w:sz w:val="24"/>
          <w:szCs w:val="24"/>
          <w:lang w:eastAsia="en-US"/>
        </w:rPr>
        <w:t>i</w:t>
      </w:r>
      <w:r w:rsidR="008002E7" w:rsidRPr="008002E7">
        <w:rPr>
          <w:rFonts w:asciiTheme="majorHAnsi" w:eastAsia="Calibri" w:hAnsiTheme="majorHAnsi" w:cstheme="majorHAnsi"/>
          <w:color w:val="auto"/>
          <w:kern w:val="0"/>
          <w:sz w:val="24"/>
          <w:szCs w:val="24"/>
          <w:lang w:eastAsia="en-US"/>
        </w:rPr>
        <w:t>:</w:t>
      </w:r>
    </w:p>
    <w:tbl>
      <w:tblPr>
        <w:tblStyle w:val="TableGrid"/>
        <w:tblpPr w:leftFromText="180" w:rightFromText="180" w:vertAnchor="text" w:horzAnchor="page" w:tblpXSpec="center" w:tblpY="361"/>
        <w:tblW w:w="4288"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95"/>
        <w:gridCol w:w="3420"/>
        <w:gridCol w:w="3781"/>
      </w:tblGrid>
      <w:tr w:rsidR="008002E7" w:rsidRPr="002206F7" w:rsidTr="00162C8F">
        <w:tc>
          <w:tcPr>
            <w:tcW w:w="5000" w:type="pct"/>
            <w:gridSpan w:val="3"/>
            <w:shd w:val="clear" w:color="auto" w:fill="DAF6FF"/>
            <w:vAlign w:val="center"/>
          </w:tcPr>
          <w:p w:rsidR="008002E7" w:rsidRPr="002206F7" w:rsidRDefault="008002E7" w:rsidP="008002E7">
            <w:pPr>
              <w:spacing w:after="40"/>
              <w:rPr>
                <w:rFonts w:asciiTheme="majorHAnsi" w:hAnsiTheme="majorHAnsi" w:cstheme="majorHAnsi"/>
                <w:b/>
                <w:color w:val="3A4B5B" w:themeColor="accent1" w:themeShade="80"/>
                <w:sz w:val="18"/>
                <w:szCs w:val="18"/>
              </w:rPr>
            </w:pPr>
            <w:r w:rsidRPr="008002E7">
              <w:rPr>
                <w:rFonts w:asciiTheme="majorHAnsi" w:hAnsiTheme="majorHAnsi" w:cstheme="majorHAnsi"/>
                <w:b/>
                <w:color w:val="3A4B5B" w:themeColor="accent1" w:themeShade="80"/>
                <w:sz w:val="18"/>
                <w:szCs w:val="18"/>
              </w:rPr>
              <w:lastRenderedPageBreak/>
              <w:t xml:space="preserve">Ukupan fond bruto zarada na nivou opšte države (centralni+lokalni nivo) u prethodne 3 godine </w:t>
            </w:r>
          </w:p>
        </w:tc>
      </w:tr>
      <w:tr w:rsidR="008002E7" w:rsidRPr="007B43C4" w:rsidTr="00162C8F">
        <w:tc>
          <w:tcPr>
            <w:tcW w:w="553" w:type="pct"/>
            <w:shd w:val="clear" w:color="auto" w:fill="FFFFFF" w:themeFill="background1"/>
          </w:tcPr>
          <w:p w:rsidR="008002E7" w:rsidRPr="003B6A44" w:rsidRDefault="008002E7" w:rsidP="008002E7">
            <w:pPr>
              <w:spacing w:after="40"/>
              <w:jc w:val="both"/>
              <w:rPr>
                <w:rFonts w:asciiTheme="majorHAnsi" w:hAnsiTheme="majorHAnsi" w:cstheme="majorHAnsi"/>
                <w:color w:val="auto"/>
                <w:sz w:val="18"/>
                <w:szCs w:val="18"/>
              </w:rPr>
            </w:pPr>
            <w:r>
              <w:rPr>
                <w:rFonts w:asciiTheme="majorHAnsi" w:hAnsiTheme="majorHAnsi" w:cstheme="majorHAnsi"/>
                <w:color w:val="auto"/>
                <w:sz w:val="18"/>
                <w:szCs w:val="18"/>
              </w:rPr>
              <w:t>2018.</w:t>
            </w:r>
          </w:p>
        </w:tc>
        <w:tc>
          <w:tcPr>
            <w:tcW w:w="2112" w:type="pct"/>
            <w:shd w:val="clear" w:color="auto" w:fill="FFFFFF" w:themeFill="background1"/>
          </w:tcPr>
          <w:p w:rsidR="008002E7" w:rsidRPr="007B43C4" w:rsidRDefault="008002E7" w:rsidP="008002E7">
            <w:pPr>
              <w:spacing w:after="40"/>
              <w:jc w:val="center"/>
              <w:rPr>
                <w:rFonts w:asciiTheme="majorHAnsi" w:hAnsiTheme="majorHAnsi" w:cstheme="majorHAnsi"/>
                <w:color w:val="auto"/>
                <w:sz w:val="18"/>
                <w:szCs w:val="18"/>
              </w:rPr>
            </w:pPr>
            <w:r w:rsidRPr="00417512">
              <w:rPr>
                <w:rFonts w:asciiTheme="majorHAnsi" w:hAnsiTheme="majorHAnsi" w:cstheme="majorHAnsi"/>
                <w:color w:val="auto"/>
                <w:sz w:val="18"/>
                <w:szCs w:val="18"/>
              </w:rPr>
              <w:t>507,5 mil. €</w:t>
            </w:r>
          </w:p>
        </w:tc>
        <w:tc>
          <w:tcPr>
            <w:tcW w:w="2335" w:type="pct"/>
            <w:shd w:val="clear" w:color="auto" w:fill="FFFFFF" w:themeFill="background1"/>
          </w:tcPr>
          <w:p w:rsidR="008002E7" w:rsidRPr="007B43C4" w:rsidRDefault="008002E7" w:rsidP="008002E7">
            <w:pPr>
              <w:spacing w:after="40"/>
              <w:jc w:val="center"/>
              <w:rPr>
                <w:rFonts w:asciiTheme="majorHAnsi" w:hAnsiTheme="majorHAnsi" w:cstheme="majorHAnsi"/>
                <w:color w:val="auto"/>
                <w:sz w:val="18"/>
                <w:szCs w:val="18"/>
              </w:rPr>
            </w:pPr>
            <w:r w:rsidRPr="008002E7">
              <w:rPr>
                <w:rFonts w:asciiTheme="majorHAnsi" w:hAnsiTheme="majorHAnsi" w:cstheme="majorHAnsi"/>
                <w:color w:val="auto"/>
                <w:sz w:val="18"/>
                <w:szCs w:val="18"/>
              </w:rPr>
              <w:t>10,9% BDP-a</w:t>
            </w:r>
          </w:p>
        </w:tc>
      </w:tr>
      <w:tr w:rsidR="008002E7" w:rsidRPr="007B43C4" w:rsidTr="00162C8F">
        <w:tc>
          <w:tcPr>
            <w:tcW w:w="553" w:type="pct"/>
            <w:shd w:val="clear" w:color="auto" w:fill="FFFFFF" w:themeFill="background1"/>
          </w:tcPr>
          <w:p w:rsidR="008002E7" w:rsidRPr="007B43C4" w:rsidRDefault="008002E7" w:rsidP="008002E7">
            <w:pPr>
              <w:spacing w:after="40"/>
              <w:jc w:val="both"/>
              <w:rPr>
                <w:rFonts w:asciiTheme="majorHAnsi" w:hAnsiTheme="majorHAnsi" w:cstheme="majorHAnsi"/>
                <w:color w:val="auto"/>
                <w:sz w:val="18"/>
                <w:szCs w:val="18"/>
              </w:rPr>
            </w:pPr>
            <w:r>
              <w:rPr>
                <w:rFonts w:asciiTheme="majorHAnsi" w:hAnsiTheme="majorHAnsi" w:cstheme="majorHAnsi"/>
                <w:color w:val="auto"/>
                <w:sz w:val="18"/>
                <w:szCs w:val="18"/>
              </w:rPr>
              <w:t>2019.</w:t>
            </w:r>
          </w:p>
        </w:tc>
        <w:tc>
          <w:tcPr>
            <w:tcW w:w="2112" w:type="pct"/>
            <w:shd w:val="clear" w:color="auto" w:fill="FFFFFF" w:themeFill="background1"/>
          </w:tcPr>
          <w:p w:rsidR="008002E7" w:rsidRPr="007B43C4" w:rsidRDefault="008002E7" w:rsidP="008002E7">
            <w:pPr>
              <w:spacing w:after="40"/>
              <w:jc w:val="center"/>
              <w:rPr>
                <w:rFonts w:asciiTheme="majorHAnsi" w:hAnsiTheme="majorHAnsi" w:cstheme="majorHAnsi"/>
                <w:color w:val="auto"/>
                <w:sz w:val="18"/>
                <w:szCs w:val="18"/>
              </w:rPr>
            </w:pPr>
            <w:r w:rsidRPr="00417512">
              <w:rPr>
                <w:rFonts w:asciiTheme="majorHAnsi" w:hAnsiTheme="majorHAnsi" w:cstheme="majorHAnsi"/>
                <w:color w:val="auto"/>
                <w:sz w:val="18"/>
                <w:szCs w:val="18"/>
              </w:rPr>
              <w:t>524,6 mil. €</w:t>
            </w:r>
          </w:p>
        </w:tc>
        <w:tc>
          <w:tcPr>
            <w:tcW w:w="2335" w:type="pct"/>
            <w:shd w:val="clear" w:color="auto" w:fill="FFFFFF" w:themeFill="background1"/>
          </w:tcPr>
          <w:p w:rsidR="008002E7" w:rsidRPr="007B43C4" w:rsidRDefault="008002E7" w:rsidP="008002E7">
            <w:pPr>
              <w:spacing w:after="40"/>
              <w:jc w:val="center"/>
              <w:rPr>
                <w:rFonts w:asciiTheme="majorHAnsi" w:hAnsiTheme="majorHAnsi" w:cstheme="majorHAnsi"/>
                <w:color w:val="auto"/>
                <w:sz w:val="18"/>
                <w:szCs w:val="18"/>
              </w:rPr>
            </w:pPr>
            <w:r w:rsidRPr="008002E7">
              <w:rPr>
                <w:rFonts w:asciiTheme="majorHAnsi" w:hAnsiTheme="majorHAnsi" w:cstheme="majorHAnsi"/>
                <w:color w:val="auto"/>
                <w:sz w:val="18"/>
                <w:szCs w:val="18"/>
              </w:rPr>
              <w:t>10,6% BDP-a</w:t>
            </w:r>
          </w:p>
        </w:tc>
      </w:tr>
      <w:tr w:rsidR="008002E7" w:rsidRPr="007B43C4" w:rsidTr="00162C8F">
        <w:tc>
          <w:tcPr>
            <w:tcW w:w="553" w:type="pct"/>
            <w:shd w:val="clear" w:color="auto" w:fill="FFFFFF" w:themeFill="background1"/>
          </w:tcPr>
          <w:p w:rsidR="008002E7" w:rsidRPr="002206F7" w:rsidRDefault="008002E7" w:rsidP="008002E7">
            <w:pPr>
              <w:spacing w:after="40"/>
              <w:jc w:val="both"/>
              <w:rPr>
                <w:color w:val="1F497D"/>
                <w:lang w:val="en-GB"/>
              </w:rPr>
            </w:pPr>
            <w:r>
              <w:rPr>
                <w:rFonts w:asciiTheme="majorHAnsi" w:hAnsiTheme="majorHAnsi" w:cstheme="majorHAnsi"/>
                <w:color w:val="auto"/>
                <w:sz w:val="18"/>
                <w:szCs w:val="18"/>
              </w:rPr>
              <w:t>2020.</w:t>
            </w:r>
          </w:p>
        </w:tc>
        <w:tc>
          <w:tcPr>
            <w:tcW w:w="2112" w:type="pct"/>
            <w:shd w:val="clear" w:color="auto" w:fill="FFFFFF" w:themeFill="background1"/>
          </w:tcPr>
          <w:p w:rsidR="008002E7" w:rsidRPr="003B6A44" w:rsidRDefault="008002E7" w:rsidP="008002E7">
            <w:pPr>
              <w:spacing w:after="40"/>
              <w:jc w:val="center"/>
              <w:rPr>
                <w:rFonts w:asciiTheme="majorHAnsi" w:hAnsiTheme="majorHAnsi" w:cstheme="majorHAnsi"/>
                <w:color w:val="auto"/>
                <w:sz w:val="18"/>
                <w:szCs w:val="18"/>
              </w:rPr>
            </w:pPr>
            <w:r w:rsidRPr="00417512">
              <w:rPr>
                <w:rFonts w:asciiTheme="majorHAnsi" w:hAnsiTheme="majorHAnsi" w:cstheme="majorHAnsi"/>
                <w:color w:val="auto"/>
                <w:sz w:val="18"/>
                <w:szCs w:val="18"/>
              </w:rPr>
              <w:t>548,8 mil. €</w:t>
            </w:r>
          </w:p>
        </w:tc>
        <w:tc>
          <w:tcPr>
            <w:tcW w:w="2335" w:type="pct"/>
            <w:shd w:val="clear" w:color="auto" w:fill="FFFFFF" w:themeFill="background1"/>
          </w:tcPr>
          <w:p w:rsidR="008002E7" w:rsidRPr="007B43C4" w:rsidRDefault="008002E7" w:rsidP="008002E7">
            <w:pPr>
              <w:spacing w:after="40"/>
              <w:jc w:val="center"/>
              <w:rPr>
                <w:rFonts w:asciiTheme="majorHAnsi" w:hAnsiTheme="majorHAnsi" w:cstheme="majorHAnsi"/>
                <w:color w:val="auto"/>
                <w:sz w:val="18"/>
                <w:szCs w:val="18"/>
              </w:rPr>
            </w:pPr>
            <w:r w:rsidRPr="008002E7">
              <w:rPr>
                <w:rFonts w:asciiTheme="majorHAnsi" w:hAnsiTheme="majorHAnsi" w:cstheme="majorHAnsi"/>
                <w:color w:val="auto"/>
                <w:sz w:val="18"/>
                <w:szCs w:val="18"/>
              </w:rPr>
              <w:t>13,1% BDP-a</w:t>
            </w:r>
          </w:p>
        </w:tc>
      </w:tr>
    </w:tbl>
    <w:p w:rsidR="00417512" w:rsidRDefault="00417512" w:rsidP="00C972EA">
      <w:pPr>
        <w:spacing w:before="240" w:after="240" w:line="240" w:lineRule="auto"/>
        <w:ind w:right="-475"/>
        <w:jc w:val="both"/>
        <w:rPr>
          <w:rFonts w:asciiTheme="majorHAnsi" w:eastAsia="Calibri" w:hAnsiTheme="majorHAnsi" w:cstheme="majorHAnsi"/>
          <w:color w:val="auto"/>
          <w:kern w:val="0"/>
          <w:sz w:val="24"/>
          <w:szCs w:val="24"/>
          <w:lang w:eastAsia="en-US"/>
        </w:rPr>
      </w:pPr>
    </w:p>
    <w:p w:rsidR="008002E7" w:rsidRDefault="008002E7" w:rsidP="00CB681C">
      <w:pPr>
        <w:spacing w:before="60" w:after="60" w:line="240" w:lineRule="auto"/>
        <w:ind w:right="-475"/>
        <w:jc w:val="both"/>
        <w:rPr>
          <w:rFonts w:asciiTheme="majorHAnsi" w:hAnsiTheme="majorHAnsi" w:cstheme="majorHAnsi"/>
          <w:color w:val="auto"/>
          <w:sz w:val="24"/>
          <w:szCs w:val="24"/>
        </w:rPr>
      </w:pPr>
    </w:p>
    <w:p w:rsidR="008002E7" w:rsidRDefault="008002E7" w:rsidP="00CB681C">
      <w:pPr>
        <w:spacing w:before="60" w:after="60" w:line="240" w:lineRule="auto"/>
        <w:ind w:right="-475"/>
        <w:jc w:val="both"/>
        <w:rPr>
          <w:rFonts w:asciiTheme="majorHAnsi" w:hAnsiTheme="majorHAnsi" w:cstheme="majorHAnsi"/>
          <w:color w:val="auto"/>
          <w:sz w:val="24"/>
          <w:szCs w:val="24"/>
        </w:rPr>
      </w:pPr>
    </w:p>
    <w:p w:rsidR="008002E7" w:rsidRDefault="008002E7" w:rsidP="00CB681C">
      <w:pPr>
        <w:spacing w:before="60" w:after="60" w:line="240" w:lineRule="auto"/>
        <w:ind w:right="-475"/>
        <w:jc w:val="both"/>
        <w:rPr>
          <w:rFonts w:asciiTheme="majorHAnsi" w:hAnsiTheme="majorHAnsi" w:cstheme="majorHAnsi"/>
          <w:color w:val="auto"/>
          <w:sz w:val="24"/>
          <w:szCs w:val="24"/>
        </w:rPr>
      </w:pPr>
    </w:p>
    <w:p w:rsidR="008002E7" w:rsidRDefault="008002E7" w:rsidP="00CB681C">
      <w:pPr>
        <w:spacing w:before="60" w:after="60" w:line="240" w:lineRule="auto"/>
        <w:ind w:right="-475"/>
        <w:jc w:val="both"/>
        <w:rPr>
          <w:rFonts w:asciiTheme="majorHAnsi" w:hAnsiTheme="majorHAnsi" w:cstheme="majorHAnsi"/>
          <w:color w:val="auto"/>
          <w:sz w:val="24"/>
          <w:szCs w:val="24"/>
        </w:rPr>
      </w:pPr>
    </w:p>
    <w:p w:rsidR="0051621F" w:rsidRPr="00CB681C" w:rsidRDefault="0051621F" w:rsidP="00CB681C">
      <w:pPr>
        <w:spacing w:before="60" w:after="60" w:line="240" w:lineRule="auto"/>
        <w:ind w:right="-475"/>
        <w:jc w:val="both"/>
        <w:rPr>
          <w:rFonts w:asciiTheme="majorHAnsi" w:eastAsia="Calibri" w:hAnsiTheme="majorHAnsi" w:cstheme="majorHAnsi"/>
          <w:color w:val="auto"/>
          <w:kern w:val="0"/>
          <w:sz w:val="24"/>
          <w:szCs w:val="24"/>
          <w:lang w:eastAsia="en-US"/>
        </w:rPr>
      </w:pPr>
      <w:r w:rsidRPr="00CB681C">
        <w:rPr>
          <w:rFonts w:asciiTheme="majorHAnsi" w:hAnsiTheme="majorHAnsi" w:cstheme="majorHAnsi"/>
          <w:color w:val="auto"/>
          <w:sz w:val="24"/>
          <w:szCs w:val="24"/>
        </w:rPr>
        <w:t>Na centralnom nivou u periodu od 2018. do 2020. godine, do najvećeg povećanja broja zaposlenih u odnosu na početnu vrijednosti (definisanu u decembru 2017. godine), došlo je u najvećim sektorima – prosvjeti, zdravstvu i unutrašnjim poslovima, dok je do najvećeg smanjenja broja zaposlenih došlo u sektorima odbrane, rada i socijalnog staranja i poljoprivrede i ruralnog razvoja. Tokom sprovođenja Plana optimizacije javne uprave 2018-2020, u sektoru prosvjete je došlo do povećanja broja zaposlenih za 1.365, u sektoru zdravstva za 855, a u sektoru unutrašnjih poslova za 273.</w:t>
      </w:r>
      <w:r w:rsidRPr="00CB681C">
        <w:rPr>
          <w:rStyle w:val="FootnoteReference"/>
          <w:rFonts w:asciiTheme="majorHAnsi" w:hAnsiTheme="majorHAnsi" w:cstheme="majorHAnsi"/>
          <w:color w:val="auto"/>
          <w:sz w:val="24"/>
          <w:szCs w:val="24"/>
        </w:rPr>
        <w:footnoteReference w:id="60"/>
      </w:r>
    </w:p>
    <w:p w:rsidR="00C972EA" w:rsidRPr="00CB681C" w:rsidRDefault="00C972EA" w:rsidP="00CB681C">
      <w:pPr>
        <w:spacing w:before="60" w:after="60" w:line="240" w:lineRule="auto"/>
        <w:ind w:right="-471"/>
        <w:jc w:val="both"/>
        <w:rPr>
          <w:rFonts w:asciiTheme="majorHAnsi" w:eastAsia="Calibri" w:hAnsiTheme="majorHAnsi" w:cstheme="majorHAnsi"/>
          <w:color w:val="auto"/>
          <w:kern w:val="0"/>
          <w:sz w:val="24"/>
          <w:szCs w:val="24"/>
          <w:lang w:eastAsia="en-US"/>
        </w:rPr>
      </w:pPr>
      <w:r w:rsidRPr="00CB681C">
        <w:rPr>
          <w:rFonts w:asciiTheme="majorHAnsi" w:eastAsia="Calibri" w:hAnsiTheme="majorHAnsi" w:cstheme="majorHAnsi"/>
          <w:color w:val="auto"/>
          <w:kern w:val="0"/>
          <w:sz w:val="24"/>
          <w:szCs w:val="24"/>
          <w:lang w:eastAsia="en-US"/>
        </w:rPr>
        <w:t>Istovremeno, uprkos finansijskoj situaciji i inicijativi Vlade za optimizaciju, broj zaposlenih u lokalnim upravama povećao se za 8 % (sa 12.174 zaposlenih u 2017. godine na 13.235 zaposlenih u 2020. godini).</w:t>
      </w:r>
      <w:r w:rsidRPr="00CB681C">
        <w:rPr>
          <w:rFonts w:asciiTheme="majorHAnsi" w:eastAsia="Calibri" w:hAnsiTheme="majorHAnsi" w:cstheme="majorHAnsi"/>
          <w:color w:val="auto"/>
          <w:kern w:val="0"/>
          <w:sz w:val="24"/>
          <w:szCs w:val="24"/>
          <w:vertAlign w:val="superscript"/>
          <w:lang w:eastAsia="en-US"/>
        </w:rPr>
        <w:footnoteReference w:id="61"/>
      </w:r>
      <w:r w:rsidRPr="00CB681C">
        <w:rPr>
          <w:rFonts w:asciiTheme="majorHAnsi" w:eastAsia="Calibri" w:hAnsiTheme="majorHAnsi" w:cstheme="majorHAnsi"/>
          <w:color w:val="auto"/>
          <w:kern w:val="0"/>
          <w:sz w:val="24"/>
          <w:szCs w:val="24"/>
          <w:lang w:eastAsia="en-US"/>
        </w:rPr>
        <w:t xml:space="preserve"> Podaci iz Izvještaja o realizaciji Plana optimizacije javne uprave 2018-2020. za 2020. godinu ukazuju da je t</w:t>
      </w:r>
      <w:r w:rsidRPr="00CB681C">
        <w:rPr>
          <w:rFonts w:asciiTheme="majorHAnsi" w:eastAsia="Calibri" w:hAnsiTheme="majorHAnsi" w:cstheme="majorHAnsi"/>
          <w:bCs/>
          <w:color w:val="auto"/>
          <w:kern w:val="0"/>
          <w:sz w:val="24"/>
          <w:szCs w:val="24"/>
          <w:lang w:eastAsia="en-US"/>
        </w:rPr>
        <w:t>okom 2020. godine došlo je do značajnog povećanja broja zaposlenih i angažovanih lica u javnoj upravi, posebno u drugoj polovini godine (na lokalnom nivou zaposleno je i angažovano 189 lica</w:t>
      </w:r>
      <w:r w:rsidRPr="00CB681C">
        <w:rPr>
          <w:rFonts w:asciiTheme="majorHAnsi" w:eastAsia="Calibri" w:hAnsiTheme="majorHAnsi" w:cstheme="majorHAnsi"/>
          <w:color w:val="auto"/>
          <w:kern w:val="0"/>
          <w:sz w:val="24"/>
          <w:szCs w:val="24"/>
          <w:lang w:eastAsia="en-US"/>
        </w:rPr>
        <w:t xml:space="preserve"> u navedenom periodu). Dodatno, identifikovan je nedostatak pravovremenog finansijskog nadzora budžetske inspekcije nad radom JLS.</w:t>
      </w:r>
    </w:p>
    <w:p w:rsidR="00C972EA" w:rsidRPr="00CB681C" w:rsidDel="00E30AAF" w:rsidRDefault="00C972EA" w:rsidP="00CB681C">
      <w:pPr>
        <w:spacing w:before="60" w:after="60" w:line="240" w:lineRule="auto"/>
        <w:ind w:right="-471"/>
        <w:jc w:val="both"/>
        <w:rPr>
          <w:rFonts w:asciiTheme="majorHAnsi" w:eastAsia="Calibri" w:hAnsiTheme="majorHAnsi" w:cstheme="majorHAnsi"/>
          <w:color w:val="auto"/>
          <w:kern w:val="0"/>
          <w:sz w:val="24"/>
          <w:szCs w:val="24"/>
          <w:lang w:eastAsia="en-US"/>
        </w:rPr>
      </w:pPr>
      <w:r w:rsidRPr="00CB681C">
        <w:rPr>
          <w:rFonts w:asciiTheme="majorHAnsi" w:eastAsia="Calibri" w:hAnsiTheme="majorHAnsi" w:cstheme="majorHAnsi"/>
          <w:color w:val="auto"/>
          <w:kern w:val="0"/>
          <w:sz w:val="24"/>
          <w:szCs w:val="24"/>
          <w:lang w:eastAsia="en-US"/>
        </w:rPr>
        <w:t>U sljedećoj tabeli dati su podaci o izdacima za bruto zarade i doprinose na teret poslodavca u lokalnim samoupravama:</w:t>
      </w:r>
    </w:p>
    <w:tbl>
      <w:tblPr>
        <w:tblStyle w:val="ListTable3-Accent4"/>
        <w:tblW w:w="7920" w:type="dxa"/>
        <w:jc w:val="center"/>
        <w:tblLook w:val="04A0" w:firstRow="1" w:lastRow="0" w:firstColumn="1" w:lastColumn="0" w:noHBand="0" w:noVBand="1"/>
      </w:tblPr>
      <w:tblGrid>
        <w:gridCol w:w="1350"/>
        <w:gridCol w:w="6570"/>
      </w:tblGrid>
      <w:tr w:rsidR="00AC188A" w:rsidRPr="00CB681C" w:rsidTr="00162C8F">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100" w:firstRow="0" w:lastRow="0" w:firstColumn="1" w:lastColumn="0" w:oddVBand="0" w:evenVBand="0" w:oddHBand="0" w:evenHBand="0" w:firstRowFirstColumn="1" w:firstRowLastColumn="0" w:lastRowFirstColumn="0" w:lastRowLastColumn="0"/>
            <w:tcW w:w="1350" w:type="dxa"/>
            <w:hideMark/>
          </w:tcPr>
          <w:p w:rsidR="00C972EA" w:rsidRPr="00253588" w:rsidRDefault="00C972EA" w:rsidP="00253588">
            <w:pPr>
              <w:spacing w:before="20" w:after="20"/>
              <w:ind w:left="72" w:right="-20"/>
              <w:jc w:val="center"/>
              <w:rPr>
                <w:rFonts w:asciiTheme="majorHAnsi" w:eastAsia="Calibri" w:hAnsiTheme="majorHAnsi" w:cstheme="majorHAnsi"/>
                <w:color w:val="auto"/>
                <w:kern w:val="0"/>
                <w:lang w:eastAsia="en-US"/>
              </w:rPr>
            </w:pPr>
            <w:r w:rsidRPr="00253588">
              <w:rPr>
                <w:rFonts w:asciiTheme="majorHAnsi" w:eastAsia="Calibri" w:hAnsiTheme="majorHAnsi" w:cstheme="majorHAnsi"/>
                <w:color w:val="auto"/>
                <w:kern w:val="0"/>
                <w:lang w:eastAsia="en-US"/>
              </w:rPr>
              <w:t>Godina</w:t>
            </w:r>
          </w:p>
        </w:tc>
        <w:tc>
          <w:tcPr>
            <w:tcW w:w="6570" w:type="dxa"/>
            <w:hideMark/>
          </w:tcPr>
          <w:p w:rsidR="00C972EA" w:rsidRPr="00253588" w:rsidRDefault="00C972EA" w:rsidP="00253588">
            <w:pPr>
              <w:spacing w:before="20" w:after="20"/>
              <w:ind w:right="-111"/>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lang w:eastAsia="en-US"/>
              </w:rPr>
            </w:pPr>
            <w:r w:rsidRPr="00253588">
              <w:rPr>
                <w:rFonts w:asciiTheme="majorHAnsi" w:eastAsia="Calibri" w:hAnsiTheme="majorHAnsi" w:cstheme="majorHAnsi"/>
                <w:color w:val="auto"/>
                <w:kern w:val="0"/>
                <w:lang w:eastAsia="en-US"/>
              </w:rPr>
              <w:t>Izdaci za bruto zarade i doprinose na teret poslodavca u mil. €</w:t>
            </w:r>
          </w:p>
        </w:tc>
      </w:tr>
      <w:tr w:rsidR="00AC188A" w:rsidRPr="00CB681C" w:rsidTr="00162C8F">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350" w:type="dxa"/>
            <w:noWrap/>
            <w:vAlign w:val="center"/>
            <w:hideMark/>
          </w:tcPr>
          <w:p w:rsidR="00C972EA" w:rsidRPr="00253588" w:rsidRDefault="00C972EA" w:rsidP="00253588">
            <w:pPr>
              <w:spacing w:before="20" w:after="20"/>
              <w:ind w:left="-108" w:right="-471"/>
              <w:jc w:val="center"/>
              <w:rPr>
                <w:rFonts w:asciiTheme="majorHAnsi" w:eastAsia="Calibri" w:hAnsiTheme="majorHAnsi" w:cstheme="majorHAnsi"/>
                <w:b w:val="0"/>
                <w:color w:val="auto"/>
                <w:kern w:val="0"/>
                <w:lang w:eastAsia="en-US"/>
              </w:rPr>
            </w:pPr>
            <w:r w:rsidRPr="00253588">
              <w:rPr>
                <w:rFonts w:asciiTheme="majorHAnsi" w:eastAsia="Calibri" w:hAnsiTheme="majorHAnsi" w:cstheme="majorHAnsi"/>
                <w:color w:val="auto"/>
                <w:kern w:val="0"/>
                <w:lang w:eastAsia="en-US"/>
              </w:rPr>
              <w:t>2018</w:t>
            </w:r>
          </w:p>
        </w:tc>
        <w:tc>
          <w:tcPr>
            <w:tcW w:w="6570" w:type="dxa"/>
            <w:noWrap/>
            <w:hideMark/>
          </w:tcPr>
          <w:p w:rsidR="00C972EA" w:rsidRPr="00253588" w:rsidRDefault="00C972EA" w:rsidP="00253588">
            <w:pPr>
              <w:spacing w:before="20" w:after="20"/>
              <w:ind w:left="72" w:right="-471"/>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lang w:eastAsia="en-US"/>
              </w:rPr>
            </w:pPr>
            <w:r w:rsidRPr="00253588">
              <w:rPr>
                <w:rFonts w:asciiTheme="majorHAnsi" w:eastAsia="Calibri" w:hAnsiTheme="majorHAnsi" w:cstheme="majorHAnsi"/>
                <w:color w:val="auto"/>
                <w:kern w:val="0"/>
                <w:lang w:eastAsia="en-US"/>
              </w:rPr>
              <w:t>47,72</w:t>
            </w:r>
          </w:p>
        </w:tc>
      </w:tr>
      <w:tr w:rsidR="00AC188A" w:rsidRPr="00CB681C" w:rsidTr="00162C8F">
        <w:trPr>
          <w:trHeight w:val="304"/>
          <w:jc w:val="center"/>
        </w:trPr>
        <w:tc>
          <w:tcPr>
            <w:cnfStyle w:val="001000000000" w:firstRow="0" w:lastRow="0" w:firstColumn="1" w:lastColumn="0" w:oddVBand="0" w:evenVBand="0" w:oddHBand="0" w:evenHBand="0" w:firstRowFirstColumn="0" w:firstRowLastColumn="0" w:lastRowFirstColumn="0" w:lastRowLastColumn="0"/>
            <w:tcW w:w="1350" w:type="dxa"/>
            <w:noWrap/>
            <w:vAlign w:val="center"/>
            <w:hideMark/>
          </w:tcPr>
          <w:p w:rsidR="00C972EA" w:rsidRPr="00253588" w:rsidRDefault="00C972EA" w:rsidP="00253588">
            <w:pPr>
              <w:spacing w:before="20" w:after="20"/>
              <w:ind w:left="-108" w:right="-471"/>
              <w:jc w:val="center"/>
              <w:rPr>
                <w:rFonts w:asciiTheme="majorHAnsi" w:eastAsia="Calibri" w:hAnsiTheme="majorHAnsi" w:cstheme="majorHAnsi"/>
                <w:b w:val="0"/>
                <w:color w:val="auto"/>
                <w:kern w:val="0"/>
                <w:lang w:eastAsia="en-US"/>
              </w:rPr>
            </w:pPr>
            <w:r w:rsidRPr="00253588">
              <w:rPr>
                <w:rFonts w:asciiTheme="majorHAnsi" w:eastAsia="Calibri" w:hAnsiTheme="majorHAnsi" w:cstheme="majorHAnsi"/>
                <w:color w:val="auto"/>
                <w:kern w:val="0"/>
                <w:lang w:eastAsia="en-US"/>
              </w:rPr>
              <w:t>2019</w:t>
            </w:r>
          </w:p>
        </w:tc>
        <w:tc>
          <w:tcPr>
            <w:tcW w:w="6570" w:type="dxa"/>
            <w:noWrap/>
            <w:hideMark/>
          </w:tcPr>
          <w:p w:rsidR="00C972EA" w:rsidRPr="00253588" w:rsidRDefault="00C972EA" w:rsidP="00253588">
            <w:pPr>
              <w:spacing w:before="20" w:after="20"/>
              <w:ind w:left="72" w:right="-471"/>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lang w:eastAsia="en-US"/>
              </w:rPr>
            </w:pPr>
            <w:r w:rsidRPr="00253588">
              <w:rPr>
                <w:rFonts w:asciiTheme="majorHAnsi" w:eastAsia="Calibri" w:hAnsiTheme="majorHAnsi" w:cstheme="majorHAnsi"/>
                <w:color w:val="auto"/>
                <w:kern w:val="0"/>
                <w:lang w:eastAsia="en-US"/>
              </w:rPr>
              <w:t>51,69</w:t>
            </w:r>
          </w:p>
        </w:tc>
      </w:tr>
      <w:tr w:rsidR="00AC188A" w:rsidRPr="00CB681C" w:rsidTr="00162C8F">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1350" w:type="dxa"/>
            <w:noWrap/>
            <w:vAlign w:val="center"/>
            <w:hideMark/>
          </w:tcPr>
          <w:p w:rsidR="00C972EA" w:rsidRPr="00253588" w:rsidRDefault="00C972EA" w:rsidP="00253588">
            <w:pPr>
              <w:spacing w:before="20" w:after="20"/>
              <w:ind w:left="-108" w:right="-471"/>
              <w:jc w:val="center"/>
              <w:rPr>
                <w:rFonts w:asciiTheme="majorHAnsi" w:eastAsia="Calibri" w:hAnsiTheme="majorHAnsi" w:cstheme="majorHAnsi"/>
                <w:b w:val="0"/>
                <w:color w:val="auto"/>
                <w:kern w:val="0"/>
                <w:lang w:eastAsia="en-US"/>
              </w:rPr>
            </w:pPr>
            <w:r w:rsidRPr="00253588">
              <w:rPr>
                <w:rFonts w:asciiTheme="majorHAnsi" w:eastAsia="Calibri" w:hAnsiTheme="majorHAnsi" w:cstheme="majorHAnsi"/>
                <w:color w:val="auto"/>
                <w:kern w:val="0"/>
                <w:lang w:eastAsia="en-US"/>
              </w:rPr>
              <w:t>2020</w:t>
            </w:r>
          </w:p>
        </w:tc>
        <w:tc>
          <w:tcPr>
            <w:tcW w:w="6570" w:type="dxa"/>
            <w:noWrap/>
            <w:hideMark/>
          </w:tcPr>
          <w:p w:rsidR="00C972EA" w:rsidRPr="00253588" w:rsidRDefault="00C972EA" w:rsidP="00253588">
            <w:pPr>
              <w:spacing w:before="20" w:after="20"/>
              <w:ind w:left="72" w:right="-471"/>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lang w:eastAsia="en-US"/>
              </w:rPr>
            </w:pPr>
            <w:r w:rsidRPr="00253588">
              <w:rPr>
                <w:rFonts w:asciiTheme="majorHAnsi" w:eastAsia="Calibri" w:hAnsiTheme="majorHAnsi" w:cstheme="majorHAnsi"/>
                <w:color w:val="auto"/>
                <w:kern w:val="0"/>
                <w:lang w:eastAsia="en-US"/>
              </w:rPr>
              <w:t>49,69</w:t>
            </w:r>
          </w:p>
        </w:tc>
      </w:tr>
    </w:tbl>
    <w:p w:rsidR="0051621F" w:rsidRPr="00CB681C" w:rsidRDefault="00C972EA" w:rsidP="00162C8F">
      <w:pPr>
        <w:spacing w:before="60" w:after="60" w:line="240" w:lineRule="auto"/>
        <w:ind w:right="-471"/>
        <w:jc w:val="center"/>
        <w:rPr>
          <w:rFonts w:asciiTheme="majorHAnsi" w:eastAsia="Times New Roman" w:hAnsiTheme="majorHAnsi" w:cstheme="majorHAnsi"/>
          <w:i/>
          <w:color w:val="auto"/>
          <w:sz w:val="16"/>
          <w:szCs w:val="16"/>
          <w:lang w:eastAsia="sr-Latn-ME"/>
        </w:rPr>
      </w:pPr>
      <w:r w:rsidRPr="00CB681C">
        <w:rPr>
          <w:rFonts w:asciiTheme="majorHAnsi" w:eastAsia="Times New Roman" w:hAnsiTheme="majorHAnsi" w:cstheme="majorHAnsi"/>
          <w:i/>
          <w:color w:val="auto"/>
          <w:sz w:val="16"/>
          <w:szCs w:val="16"/>
          <w:lang w:eastAsia="sr-Latn-ME"/>
        </w:rPr>
        <w:t xml:space="preserve">Izvor: Ministarstvo </w:t>
      </w:r>
      <w:r w:rsidR="00CB681C">
        <w:rPr>
          <w:rFonts w:asciiTheme="majorHAnsi" w:eastAsia="Times New Roman" w:hAnsiTheme="majorHAnsi" w:cstheme="majorHAnsi"/>
          <w:i/>
          <w:color w:val="auto"/>
          <w:sz w:val="16"/>
          <w:szCs w:val="16"/>
          <w:lang w:eastAsia="sr-Latn-ME"/>
        </w:rPr>
        <w:t>finansija i socijalnog staranja</w:t>
      </w:r>
    </w:p>
    <w:p w:rsidR="00C972EA" w:rsidRPr="00253588" w:rsidRDefault="00C972EA" w:rsidP="00B26604">
      <w:pPr>
        <w:spacing w:before="240" w:after="60" w:line="240" w:lineRule="auto"/>
        <w:ind w:right="-475"/>
        <w:jc w:val="both"/>
        <w:rPr>
          <w:rFonts w:asciiTheme="majorHAnsi" w:eastAsia="Times New Roman" w:hAnsiTheme="majorHAnsi" w:cstheme="majorHAnsi"/>
          <w:color w:val="auto"/>
          <w:kern w:val="0"/>
          <w:sz w:val="24"/>
          <w:szCs w:val="24"/>
          <w:lang w:eastAsia="sr-Latn-ME"/>
        </w:rPr>
      </w:pPr>
      <w:r w:rsidRPr="00CB681C">
        <w:rPr>
          <w:rFonts w:asciiTheme="majorHAnsi" w:eastAsia="Times New Roman" w:hAnsiTheme="majorHAnsi" w:cstheme="majorHAnsi"/>
          <w:color w:val="auto"/>
          <w:kern w:val="0"/>
          <w:sz w:val="24"/>
          <w:szCs w:val="24"/>
          <w:lang w:eastAsia="sr-Latn-ME"/>
        </w:rPr>
        <w:t xml:space="preserve">Posljedica </w:t>
      </w:r>
      <w:hyperlink w:anchor="_OPERATIVNI_CILJ_1.1." w:history="1">
        <w:r w:rsidRPr="00CB681C">
          <w:rPr>
            <w:rStyle w:val="Hyperlink"/>
            <w:rFonts w:asciiTheme="majorHAnsi" w:eastAsia="Times New Roman" w:hAnsiTheme="majorHAnsi" w:cstheme="majorHAnsi"/>
            <w:color w:val="auto"/>
            <w:kern w:val="0"/>
            <w:sz w:val="24"/>
            <w:szCs w:val="24"/>
            <w:lang w:eastAsia="sr-Latn-ME"/>
          </w:rPr>
          <w:t>rasta broja lokalnih javnih službi</w:t>
        </w:r>
      </w:hyperlink>
      <w:r w:rsidRPr="00CB681C">
        <w:rPr>
          <w:rFonts w:asciiTheme="majorHAnsi" w:eastAsia="Times New Roman" w:hAnsiTheme="majorHAnsi" w:cstheme="majorHAnsi"/>
          <w:color w:val="auto"/>
          <w:kern w:val="0"/>
          <w:sz w:val="24"/>
          <w:szCs w:val="24"/>
          <w:lang w:eastAsia="sr-Latn-ME"/>
        </w:rPr>
        <w:t xml:space="preserve"> je </w:t>
      </w:r>
      <w:r w:rsidRPr="00CB681C">
        <w:rPr>
          <w:rFonts w:asciiTheme="majorHAnsi" w:eastAsia="Times New Roman" w:hAnsiTheme="majorHAnsi" w:cstheme="majorHAnsi"/>
          <w:b/>
          <w:color w:val="auto"/>
          <w:kern w:val="0"/>
          <w:sz w:val="24"/>
          <w:szCs w:val="24"/>
          <w:lang w:eastAsia="sr-Latn-ME"/>
        </w:rPr>
        <w:t>rast troškova za ljudske resurse</w:t>
      </w:r>
      <w:r w:rsidRPr="00CB681C">
        <w:rPr>
          <w:rFonts w:asciiTheme="majorHAnsi" w:eastAsia="Times New Roman" w:hAnsiTheme="majorHAnsi" w:cstheme="majorHAnsi"/>
          <w:color w:val="auto"/>
          <w:kern w:val="0"/>
          <w:sz w:val="24"/>
          <w:szCs w:val="24"/>
          <w:lang w:eastAsia="sr-Latn-ME"/>
        </w:rPr>
        <w:t xml:space="preserve"> u javnoj upravi i </w:t>
      </w:r>
      <w:r w:rsidRPr="00CB681C">
        <w:rPr>
          <w:rFonts w:asciiTheme="majorHAnsi" w:eastAsia="Times New Roman" w:hAnsiTheme="majorHAnsi" w:cstheme="majorHAnsi"/>
          <w:b/>
          <w:color w:val="auto"/>
          <w:kern w:val="0"/>
          <w:sz w:val="24"/>
          <w:szCs w:val="24"/>
          <w:lang w:eastAsia="sr-Latn-ME"/>
        </w:rPr>
        <w:t>povećanje njihovog procentualnog učešća u tekućem budžetu i na centralnom i na lokalnom nivou</w:t>
      </w:r>
      <w:r w:rsidRPr="00CB681C">
        <w:rPr>
          <w:rFonts w:asciiTheme="majorHAnsi" w:eastAsia="Times New Roman" w:hAnsiTheme="majorHAnsi" w:cstheme="majorHAnsi"/>
          <w:color w:val="auto"/>
          <w:kern w:val="0"/>
          <w:sz w:val="24"/>
          <w:szCs w:val="24"/>
          <w:lang w:eastAsia="sr-Latn-ME"/>
        </w:rPr>
        <w:t xml:space="preserve">, bez i nužnog poboljšanja u pružanju javnih usluga građanima. U najvećem broju slučajeva se u budžetima lokalnih uprava, putem transfera, obezbjeđuju sredstva novoosnovanim privrednim društvima za izmirivanje tekućih rashoda (troškova zarada, troškova električne energije, troškova tekućeg održavanja i ostalih tekućih rashoda). Lokalne samouprave su u 2016. godini godišnje trošile 45 miliona za zarade zaposlenih, dok je u 2019. godini na nivou svih lokalnih uprava potrošeno € 51,7 miliona, a za 2020. godinu je planirano € 58,8 miliona. Ovaj period je obilježio i rast izdataka za ugovore o djelu, ugovore o privremenim i povremenim poslovima. </w:t>
      </w:r>
    </w:p>
    <w:p w:rsidR="00677F87" w:rsidRPr="00CB681C" w:rsidRDefault="00677F87" w:rsidP="00B43D4E">
      <w:pPr>
        <w:keepNext/>
        <w:keepLines/>
        <w:numPr>
          <w:ilvl w:val="0"/>
          <w:numId w:val="31"/>
        </w:numPr>
        <w:spacing w:before="240" w:after="240" w:line="240" w:lineRule="auto"/>
        <w:ind w:right="-471"/>
        <w:jc w:val="both"/>
        <w:outlineLvl w:val="2"/>
        <w:rPr>
          <w:rFonts w:asciiTheme="majorHAnsi" w:eastAsia="Calibri" w:hAnsiTheme="majorHAnsi" w:cstheme="majorHAnsi"/>
          <w:b/>
          <w:color w:val="auto"/>
          <w:kern w:val="0"/>
          <w:sz w:val="24"/>
          <w:szCs w:val="24"/>
        </w:rPr>
      </w:pPr>
      <w:bookmarkStart w:id="29" w:name="_Toc87353404"/>
      <w:r w:rsidRPr="00CB681C">
        <w:rPr>
          <w:rFonts w:asciiTheme="majorHAnsi" w:eastAsia="Calibri" w:hAnsiTheme="majorHAnsi" w:cstheme="majorHAnsi"/>
          <w:b/>
          <w:color w:val="auto"/>
          <w:kern w:val="0"/>
          <w:sz w:val="24"/>
          <w:szCs w:val="24"/>
        </w:rPr>
        <w:lastRenderedPageBreak/>
        <w:t>IDENTIFIKOVANI PROBLEMI</w:t>
      </w:r>
      <w:bookmarkEnd w:id="29"/>
    </w:p>
    <w:p w:rsidR="00677F87" w:rsidRPr="00CB681C" w:rsidRDefault="00677F87" w:rsidP="00B43D4E">
      <w:pPr>
        <w:numPr>
          <w:ilvl w:val="0"/>
          <w:numId w:val="32"/>
        </w:numPr>
        <w:tabs>
          <w:tab w:val="left" w:pos="850"/>
          <w:tab w:val="left" w:pos="1191"/>
          <w:tab w:val="left" w:pos="1531"/>
        </w:tabs>
        <w:spacing w:before="120" w:after="120" w:line="240" w:lineRule="auto"/>
        <w:ind w:left="187" w:right="-471" w:hanging="187"/>
        <w:jc w:val="both"/>
        <w:rPr>
          <w:rFonts w:asciiTheme="majorHAnsi" w:eastAsia="Calibri" w:hAnsiTheme="majorHAnsi" w:cstheme="majorHAnsi"/>
          <w:i/>
          <w:color w:val="auto"/>
          <w:kern w:val="0"/>
          <w:sz w:val="24"/>
          <w:szCs w:val="24"/>
          <w:lang w:eastAsia="zh-CN"/>
        </w:rPr>
      </w:pPr>
      <w:r w:rsidRPr="00CB681C">
        <w:rPr>
          <w:rFonts w:asciiTheme="majorHAnsi" w:eastAsia="Calibri" w:hAnsiTheme="majorHAnsi" w:cstheme="majorHAnsi"/>
          <w:b/>
          <w:i/>
          <w:color w:val="auto"/>
          <w:kern w:val="0"/>
          <w:sz w:val="24"/>
          <w:szCs w:val="24"/>
          <w:lang w:eastAsia="zh-CN"/>
        </w:rPr>
        <w:t xml:space="preserve">Ograničen učinak planiranja na stvarno zapošljavanje </w:t>
      </w:r>
    </w:p>
    <w:p w:rsidR="00677F87" w:rsidRPr="00CB681C" w:rsidRDefault="00677F87" w:rsidP="00677F87">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bCs/>
          <w:color w:val="auto"/>
          <w:kern w:val="0"/>
          <w:sz w:val="24"/>
          <w:szCs w:val="24"/>
          <w:lang w:eastAsia="zh-CN"/>
        </w:rPr>
        <w:t>Prema ocjeni Svjetske banke, ograničen napredak u sprovođenju Plana optimizacije javne uprave</w:t>
      </w:r>
      <w:r w:rsidRPr="00CB681C">
        <w:rPr>
          <w:rFonts w:asciiTheme="majorHAnsi" w:eastAsia="Calibri" w:hAnsiTheme="majorHAnsi" w:cstheme="majorHAnsi"/>
          <w:bCs/>
          <w:color w:val="auto"/>
          <w:kern w:val="0"/>
          <w:sz w:val="24"/>
          <w:szCs w:val="24"/>
          <w:vertAlign w:val="superscript"/>
          <w:lang w:eastAsia="zh-CN"/>
        </w:rPr>
        <w:footnoteReference w:id="62"/>
      </w:r>
      <w:r w:rsidRPr="00CB681C">
        <w:rPr>
          <w:rFonts w:asciiTheme="majorHAnsi" w:eastAsia="Calibri" w:hAnsiTheme="majorHAnsi" w:cstheme="majorHAnsi"/>
          <w:bCs/>
          <w:color w:val="auto"/>
          <w:kern w:val="0"/>
          <w:sz w:val="24"/>
          <w:szCs w:val="24"/>
          <w:lang w:eastAsia="zh-CN"/>
        </w:rPr>
        <w:t xml:space="preserve"> rezultirao je </w:t>
      </w:r>
      <w:r w:rsidRPr="00CB681C">
        <w:rPr>
          <w:rFonts w:asciiTheme="majorHAnsi" w:eastAsia="Calibri" w:hAnsiTheme="majorHAnsi" w:cstheme="majorHAnsi"/>
          <w:b/>
          <w:bCs/>
          <w:color w:val="auto"/>
          <w:kern w:val="0"/>
          <w:sz w:val="24"/>
          <w:szCs w:val="24"/>
          <w:lang w:eastAsia="zh-CN"/>
        </w:rPr>
        <w:t>povećanjem broja zaposlenih i shodno tome, većim izdacima za zarade</w:t>
      </w:r>
      <w:r w:rsidRPr="00CB681C">
        <w:rPr>
          <w:rFonts w:asciiTheme="majorHAnsi" w:eastAsia="Calibri" w:hAnsiTheme="majorHAnsi" w:cstheme="majorHAnsi"/>
          <w:bCs/>
          <w:color w:val="auto"/>
          <w:kern w:val="0"/>
          <w:sz w:val="24"/>
          <w:szCs w:val="24"/>
          <w:lang w:eastAsia="zh-CN"/>
        </w:rPr>
        <w:t xml:space="preserve"> tokom 2018. i 2019. godine. </w:t>
      </w:r>
      <w:r w:rsidRPr="00CB681C">
        <w:rPr>
          <w:rFonts w:asciiTheme="majorHAnsi" w:eastAsia="Calibri" w:hAnsiTheme="majorHAnsi" w:cstheme="majorHAnsi"/>
          <w:color w:val="auto"/>
          <w:kern w:val="0"/>
          <w:sz w:val="24"/>
          <w:szCs w:val="24"/>
          <w:lang w:eastAsia="zh-CN"/>
        </w:rPr>
        <w:t xml:space="preserve">Ovo je posebno važno jer visoki izdaci za zarade u javnom sektoru </w:t>
      </w:r>
      <w:r w:rsidRPr="00CB681C">
        <w:rPr>
          <w:rFonts w:asciiTheme="majorHAnsi" w:eastAsia="Calibri" w:hAnsiTheme="majorHAnsi" w:cstheme="majorHAnsi"/>
          <w:bCs/>
          <w:color w:val="auto"/>
          <w:kern w:val="0"/>
          <w:sz w:val="24"/>
          <w:szCs w:val="24"/>
          <w:lang w:eastAsia="zh-CN"/>
        </w:rPr>
        <w:t>smanjuju fiskalni prostor za kapitalne investicije, socijalna davanja, kao i za smanjenje duga</w:t>
      </w:r>
      <w:r w:rsidRPr="00CB681C">
        <w:rPr>
          <w:rFonts w:asciiTheme="majorHAnsi" w:eastAsia="Calibri" w:hAnsiTheme="majorHAnsi" w:cstheme="majorHAnsi"/>
          <w:color w:val="auto"/>
          <w:kern w:val="0"/>
          <w:sz w:val="24"/>
          <w:szCs w:val="24"/>
          <w:lang w:eastAsia="zh-CN"/>
        </w:rPr>
        <w:t>, koji je usljed krize izazvane pandemijom Covid19 porastao na 104</w:t>
      </w:r>
      <w:r w:rsidR="00E85DCF" w:rsidRPr="00CB681C">
        <w:rPr>
          <w:rFonts w:asciiTheme="majorHAnsi" w:eastAsia="Calibri" w:hAnsiTheme="majorHAnsi" w:cstheme="majorHAnsi"/>
          <w:color w:val="auto"/>
          <w:kern w:val="0"/>
          <w:sz w:val="24"/>
          <w:szCs w:val="24"/>
          <w:lang w:eastAsia="zh-CN"/>
        </w:rPr>
        <w:t>,</w:t>
      </w:r>
      <w:r w:rsidRPr="00CB681C">
        <w:rPr>
          <w:rFonts w:asciiTheme="majorHAnsi" w:eastAsia="Calibri" w:hAnsiTheme="majorHAnsi" w:cstheme="majorHAnsi"/>
          <w:color w:val="auto"/>
          <w:kern w:val="0"/>
          <w:sz w:val="24"/>
          <w:szCs w:val="24"/>
          <w:lang w:eastAsia="zh-CN"/>
        </w:rPr>
        <w:t xml:space="preserve">2% u 2020. godini. Međutim, ono što prema ocjeni Svjetske banke uslovljava visoke izdatke za zarade u javnom sektoru, nisu visoke plate zaposlenih, koje su, za razliku od drugih zemalja regiona, na nivou zarada u privatnom sektoru. U pitanju je </w:t>
      </w:r>
      <w:r w:rsidRPr="00CB681C">
        <w:rPr>
          <w:rFonts w:asciiTheme="majorHAnsi" w:eastAsia="Calibri" w:hAnsiTheme="majorHAnsi" w:cstheme="majorHAnsi"/>
          <w:bCs/>
          <w:color w:val="auto"/>
          <w:kern w:val="0"/>
          <w:sz w:val="24"/>
          <w:szCs w:val="24"/>
          <w:lang w:eastAsia="zh-CN"/>
        </w:rPr>
        <w:t>relativno visok broj zaposlenih</w:t>
      </w:r>
      <w:r w:rsidRPr="00CB681C">
        <w:rPr>
          <w:rFonts w:asciiTheme="majorHAnsi" w:eastAsia="Calibri" w:hAnsiTheme="majorHAnsi" w:cstheme="majorHAnsi"/>
          <w:color w:val="auto"/>
          <w:kern w:val="0"/>
          <w:sz w:val="24"/>
          <w:szCs w:val="24"/>
          <w:lang w:eastAsia="zh-CN"/>
        </w:rPr>
        <w:t>, koji je veći od svih zemalja Zapadnog Balkana osim Kosova, kao i od prosjeka OECD zemalja.</w:t>
      </w:r>
      <w:r w:rsidRPr="00CB681C">
        <w:rPr>
          <w:rFonts w:asciiTheme="majorHAnsi" w:eastAsia="Calibri" w:hAnsiTheme="majorHAnsi" w:cstheme="majorHAnsi"/>
          <w:color w:val="auto"/>
          <w:kern w:val="0"/>
          <w:sz w:val="24"/>
          <w:szCs w:val="24"/>
          <w:vertAlign w:val="superscript"/>
          <w:lang w:eastAsia="zh-CN"/>
        </w:rPr>
        <w:footnoteReference w:id="63"/>
      </w:r>
      <w:r w:rsidRPr="00CB681C">
        <w:rPr>
          <w:rFonts w:asciiTheme="majorHAnsi" w:eastAsia="Calibri" w:hAnsiTheme="majorHAnsi" w:cstheme="majorHAnsi"/>
          <w:color w:val="auto"/>
          <w:kern w:val="0"/>
          <w:sz w:val="24"/>
          <w:szCs w:val="24"/>
          <w:lang w:eastAsia="zh-CN"/>
        </w:rPr>
        <w:t xml:space="preserve"> Poseban problem je </w:t>
      </w:r>
      <w:r w:rsidRPr="00CB681C">
        <w:rPr>
          <w:rFonts w:asciiTheme="majorHAnsi" w:eastAsia="Calibri" w:hAnsiTheme="majorHAnsi" w:cstheme="majorHAnsi"/>
          <w:b/>
          <w:color w:val="auto"/>
          <w:kern w:val="0"/>
          <w:sz w:val="24"/>
          <w:szCs w:val="24"/>
          <w:lang w:eastAsia="zh-CN"/>
        </w:rPr>
        <w:t xml:space="preserve">povećanje ugovora o djelu, privremenim i povremenim poslovima </w:t>
      </w:r>
      <w:r w:rsidRPr="00CB681C">
        <w:rPr>
          <w:rFonts w:asciiTheme="majorHAnsi" w:eastAsia="Calibri" w:hAnsiTheme="majorHAnsi" w:cstheme="majorHAnsi"/>
          <w:color w:val="auto"/>
          <w:kern w:val="0"/>
          <w:sz w:val="24"/>
          <w:szCs w:val="24"/>
          <w:lang w:eastAsia="zh-CN"/>
        </w:rPr>
        <w:t>(tokom 2020. godine, na centralnom nivou, postojao je neto efekat povećanja od 1.308 ugovora o djelu i neto efekat povećanja broja ugovora o privremenim i povremenim poslovima za 151. Ugovori o djelu i ugovori o privremenim i povremenim poslovima ostaju dominantan institut angažovanja na lokalnom nivou: u 2020. godini, zaključeno je 2</w:t>
      </w:r>
      <w:r w:rsidR="00E85DCF" w:rsidRPr="00CB681C">
        <w:rPr>
          <w:rFonts w:asciiTheme="majorHAnsi" w:eastAsia="Calibri" w:hAnsiTheme="majorHAnsi" w:cstheme="majorHAnsi"/>
          <w:color w:val="auto"/>
          <w:kern w:val="0"/>
          <w:sz w:val="24"/>
          <w:szCs w:val="24"/>
          <w:lang w:eastAsia="zh-CN"/>
        </w:rPr>
        <w:t>.</w:t>
      </w:r>
      <w:r w:rsidRPr="00CB681C">
        <w:rPr>
          <w:rFonts w:asciiTheme="majorHAnsi" w:eastAsia="Calibri" w:hAnsiTheme="majorHAnsi" w:cstheme="majorHAnsi"/>
          <w:color w:val="auto"/>
          <w:kern w:val="0"/>
          <w:sz w:val="24"/>
          <w:szCs w:val="24"/>
          <w:lang w:eastAsia="zh-CN"/>
        </w:rPr>
        <w:t>453 ugovora o djelu, a isteklo je 1</w:t>
      </w:r>
      <w:r w:rsidR="00E85DCF" w:rsidRPr="00CB681C">
        <w:rPr>
          <w:rFonts w:asciiTheme="majorHAnsi" w:eastAsia="Calibri" w:hAnsiTheme="majorHAnsi" w:cstheme="majorHAnsi"/>
          <w:color w:val="auto"/>
          <w:kern w:val="0"/>
          <w:sz w:val="24"/>
          <w:szCs w:val="24"/>
          <w:lang w:eastAsia="zh-CN"/>
        </w:rPr>
        <w:t>.</w:t>
      </w:r>
      <w:r w:rsidRPr="00CB681C">
        <w:rPr>
          <w:rFonts w:asciiTheme="majorHAnsi" w:eastAsia="Calibri" w:hAnsiTheme="majorHAnsi" w:cstheme="majorHAnsi"/>
          <w:color w:val="auto"/>
          <w:kern w:val="0"/>
          <w:sz w:val="24"/>
          <w:szCs w:val="24"/>
          <w:lang w:eastAsia="zh-CN"/>
        </w:rPr>
        <w:t xml:space="preserve">928 ugovora o djelu. Takođe, u 2020. godini, zaključeno je 840 ugovora o privremenim i povremenim poslovima u </w:t>
      </w:r>
      <w:r w:rsidR="00D03918" w:rsidRPr="00CB681C">
        <w:rPr>
          <w:rFonts w:asciiTheme="majorHAnsi" w:eastAsia="Calibri" w:hAnsiTheme="majorHAnsi" w:cstheme="majorHAnsi"/>
          <w:color w:val="auto"/>
          <w:kern w:val="0"/>
          <w:sz w:val="24"/>
          <w:szCs w:val="24"/>
          <w:lang w:eastAsia="zh-CN"/>
        </w:rPr>
        <w:t>JLS</w:t>
      </w:r>
      <w:r w:rsidRPr="00CB681C">
        <w:rPr>
          <w:rFonts w:asciiTheme="majorHAnsi" w:eastAsia="Calibri" w:hAnsiTheme="majorHAnsi" w:cstheme="majorHAnsi"/>
          <w:color w:val="auto"/>
          <w:kern w:val="0"/>
          <w:sz w:val="24"/>
          <w:szCs w:val="24"/>
          <w:lang w:eastAsia="zh-CN"/>
        </w:rPr>
        <w:t xml:space="preserve">, da bi na kraju godine na snazi bilo 365 ugovora o privremenim i povremenim poslovima u </w:t>
      </w:r>
      <w:r w:rsidR="00D03918" w:rsidRPr="00CB681C">
        <w:rPr>
          <w:rFonts w:asciiTheme="majorHAnsi" w:eastAsia="Calibri" w:hAnsiTheme="majorHAnsi" w:cstheme="majorHAnsi"/>
          <w:color w:val="auto"/>
          <w:kern w:val="0"/>
          <w:sz w:val="24"/>
          <w:szCs w:val="24"/>
          <w:lang w:eastAsia="zh-CN"/>
        </w:rPr>
        <w:t>JLS</w:t>
      </w:r>
      <w:r w:rsidRPr="00CB681C">
        <w:rPr>
          <w:rFonts w:asciiTheme="majorHAnsi" w:eastAsia="Calibri" w:hAnsiTheme="majorHAnsi" w:cstheme="majorHAnsi"/>
          <w:color w:val="auto"/>
          <w:kern w:val="0"/>
          <w:sz w:val="24"/>
          <w:szCs w:val="24"/>
          <w:lang w:eastAsia="zh-CN"/>
        </w:rPr>
        <w:t>).</w:t>
      </w:r>
      <w:r w:rsidRPr="00CB681C">
        <w:rPr>
          <w:rFonts w:asciiTheme="majorHAnsi" w:eastAsia="Calibri" w:hAnsiTheme="majorHAnsi" w:cstheme="majorHAnsi"/>
          <w:color w:val="auto"/>
          <w:kern w:val="0"/>
          <w:sz w:val="24"/>
          <w:szCs w:val="24"/>
          <w:vertAlign w:val="superscript"/>
          <w:lang w:eastAsia="zh-CN"/>
        </w:rPr>
        <w:footnoteReference w:id="64"/>
      </w:r>
      <w:r w:rsidRPr="00CB681C">
        <w:rPr>
          <w:rFonts w:asciiTheme="majorHAnsi" w:eastAsia="Calibri" w:hAnsiTheme="majorHAnsi" w:cstheme="majorHAnsi"/>
          <w:color w:val="auto"/>
          <w:kern w:val="0"/>
          <w:sz w:val="24"/>
          <w:szCs w:val="24"/>
          <w:lang w:eastAsia="zh-CN"/>
        </w:rPr>
        <w:t xml:space="preserve"> </w:t>
      </w:r>
    </w:p>
    <w:p w:rsidR="00CB681C" w:rsidRDefault="00677F87" w:rsidP="00677F87">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noProof/>
          <w:color w:val="auto"/>
          <w:kern w:val="0"/>
          <w:sz w:val="24"/>
          <w:szCs w:val="24"/>
          <w:highlight w:val="yellow"/>
          <w:lang w:eastAsia="sr-Latn-RS"/>
        </w:rPr>
        <mc:AlternateContent>
          <mc:Choice Requires="wpg">
            <w:drawing>
              <wp:anchor distT="0" distB="0" distL="228600" distR="228600" simplePos="0" relativeHeight="251859968" behindDoc="0" locked="0" layoutInCell="1" allowOverlap="1" wp14:anchorId="35A55593" wp14:editId="22D0AA6B">
                <wp:simplePos x="0" y="0"/>
                <wp:positionH relativeFrom="margin">
                  <wp:posOffset>2201545</wp:posOffset>
                </wp:positionH>
                <wp:positionV relativeFrom="page">
                  <wp:posOffset>4048125</wp:posOffset>
                </wp:positionV>
                <wp:extent cx="3977640" cy="670560"/>
                <wp:effectExtent l="0" t="0" r="3810" b="15240"/>
                <wp:wrapSquare wrapText="bothSides"/>
                <wp:docPr id="17" name="Group 17"/>
                <wp:cNvGraphicFramePr/>
                <a:graphic xmlns:a="http://schemas.openxmlformats.org/drawingml/2006/main">
                  <a:graphicData uri="http://schemas.microsoft.com/office/word/2010/wordprocessingGroup">
                    <wpg:wgp>
                      <wpg:cNvGrpSpPr/>
                      <wpg:grpSpPr>
                        <a:xfrm>
                          <a:off x="0" y="0"/>
                          <a:ext cx="3977640" cy="670560"/>
                          <a:chOff x="0" y="0"/>
                          <a:chExt cx="3218688" cy="2028766"/>
                        </a:xfrm>
                      </wpg:grpSpPr>
                      <wps:wsp>
                        <wps:cNvPr id="31" name="Rectangle 31"/>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Group 33"/>
                        <wpg:cNvGrpSpPr/>
                        <wpg:grpSpPr>
                          <a:xfrm>
                            <a:off x="0" y="19050"/>
                            <a:ext cx="2249424" cy="832104"/>
                            <a:chOff x="228600" y="0"/>
                            <a:chExt cx="1472184" cy="1024128"/>
                          </a:xfrm>
                        </wpg:grpSpPr>
                        <wps:wsp>
                          <wps:cNvPr id="3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Text Box 39"/>
                        <wps:cNvSpPr txBox="1"/>
                        <wps:spPr>
                          <a:xfrm>
                            <a:off x="0" y="76442"/>
                            <a:ext cx="3205005" cy="1952324"/>
                          </a:xfrm>
                          <a:prstGeom prst="rect">
                            <a:avLst/>
                          </a:prstGeom>
                          <a:noFill/>
                          <a:ln w="6350">
                            <a:noFill/>
                          </a:ln>
                          <a:effectLst/>
                        </wps:spPr>
                        <wps:txbx>
                          <w:txbxContent>
                            <w:p w:rsidR="00F735BC" w:rsidRDefault="00F735BC" w:rsidP="00677F87">
                              <w:pPr>
                                <w:pStyle w:val="NoSpacing"/>
                                <w:ind w:left="360"/>
                                <w:jc w:val="right"/>
                                <w:rPr>
                                  <w:smallCaps/>
                                  <w:color w:val="333C3D" w:themeColor="accent5" w:themeShade="80"/>
                                  <w:kern w:val="20"/>
                                  <w:lang w:val="sr-Latn-RS"/>
                                </w:rPr>
                              </w:pPr>
                              <w:r w:rsidRPr="006D5ACC">
                                <w:rPr>
                                  <w:smallCaps/>
                                  <w:color w:val="333C3D" w:themeColor="accent5" w:themeShade="80"/>
                                  <w:kern w:val="20"/>
                                  <w:lang w:val="sr-Latn-RS"/>
                                </w:rPr>
                                <w:t>Ima previše radnika koji nemaju bitne funkcije. Neracionalno se troše resursi na zapošljavanje viška radne snage u pojedinim institucijama.</w:t>
                              </w:r>
                            </w:p>
                            <w:p w:rsidR="00F735BC" w:rsidRDefault="00F735BC" w:rsidP="00677F87">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A55593" id="Group 17" o:spid="_x0000_s1077" style="position:absolute;left:0;text-align:left;margin-left:173.35pt;margin-top:318.75pt;width:313.2pt;height:52.8pt;z-index:251859968;mso-wrap-distance-left:18pt;mso-wrap-distance-right:18p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">
                <v:rect id="Rectangle 31" o:spid="_x0000_s107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" stroked="f" strokeweight="2pt">
                  <v:fill opacity="0"/>
                </v:rect>
                <v:group id="Group 33" o:spid="_x0000_s107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Rectangle 10" o:spid="_x0000_s108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" path="m,l2240281,,1659256,222885,,822960,,xe" fillcolor="#7e97ad" stroked="f" strokeweight="2pt">
                    <v:path arrowok="t" o:connecttype="custom" o:connectlocs="0,0;1466258,0;1085979,274158;0,1012274;0,0" o:connectangles="0,0,0,0,0"/>
                  </v:shape>
                  <v:rect id="Rectangle 38" o:spid="_x0000_s108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" stroked="f" strokeweight="2pt">
                    <v:fill r:id="rId69" o:title="" recolor="t" rotate="t" type="frame"/>
                  </v:rect>
                </v:group>
                <v:shape id="Text Box 39" o:spid="_x0000_s1082" type="#_x0000_t202" style="position:absolute;top:764;width:32050;height:19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" filled="f" stroked="f" strokeweight=".5pt">
                  <v:textbox inset="3.6pt,7.2pt,0,0">
                    <w:txbxContent>
                      <w:p w:rsidR="00F735BC" w:rsidRDefault="00F735BC" w:rsidP="00677F87">
                        <w:pPr>
                          <w:pStyle w:val="NoSpacing"/>
                          <w:ind w:left="360"/>
                          <w:jc w:val="right"/>
                          <w:rPr>
                            <w:smallCaps/>
                            <w:color w:val="333C3D" w:themeColor="accent5" w:themeShade="80"/>
                            <w:kern w:val="20"/>
                            <w:lang w:val="sr-Latn-RS"/>
                          </w:rPr>
                        </w:pPr>
                        <w:r w:rsidRPr="006D5ACC">
                          <w:rPr>
                            <w:smallCaps/>
                            <w:color w:val="333C3D" w:themeColor="accent5" w:themeShade="80"/>
                            <w:kern w:val="20"/>
                            <w:lang w:val="sr-Latn-RS"/>
                          </w:rPr>
                          <w:t>Ima previše radnika koji nemaju bitne funkcije. Neracionalno se troše resursi na zapošljavanje viška radne snage u pojedinim institucijama.</w:t>
                        </w:r>
                      </w:p>
                      <w:p w:rsidR="00F735BC" w:rsidRDefault="00F735BC" w:rsidP="00677F87">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v:textbox>
                </v:shape>
                <w10:wrap type="square" anchorx="margin" anchory="page"/>
              </v:group>
            </w:pict>
          </mc:Fallback>
        </mc:AlternateContent>
      </w:r>
      <w:r w:rsidRPr="00CB681C">
        <w:rPr>
          <w:rFonts w:asciiTheme="majorHAnsi" w:eastAsia="Calibri" w:hAnsiTheme="majorHAnsi" w:cstheme="majorHAnsi"/>
          <w:color w:val="auto"/>
          <w:kern w:val="0"/>
          <w:sz w:val="24"/>
          <w:szCs w:val="24"/>
          <w:lang w:eastAsia="zh-CN"/>
        </w:rPr>
        <w:t xml:space="preserve">Ne postoji metodologija za obračun obezbijeđenosti budžetskih sredstava od strane Ministarstva finansija i socijalnog staranja kojom bi bile propisane procjene dugoročnog uticaja novih zapošljavanja na budžet. Ne postoje sistemske kontrole u procesu ponovnog zapošljavanja, koje bi spriječile da zaposleni koji dobije otpreminu (na osnovu sporazuma o prestanku radnog odnosa) može opet naći zaposlenje u javnom sektoru prije isteka roka od 5 godina odnosno povraćaja dobijenog novca. </w:t>
      </w:r>
    </w:p>
    <w:p w:rsidR="00677F87" w:rsidRPr="00CB681C" w:rsidRDefault="00677F87" w:rsidP="00677F87">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Zahtjevi za budžetskim sredstvima potrošačkih jedinica ne sadrže analize i obrazloženja potreba i očekivane efekte angažovanja putem ugovora na određeno. Prilikom odobravanja godišnjeg budžeta, </w:t>
      </w:r>
      <w:r w:rsidRPr="00CB681C">
        <w:rPr>
          <w:rFonts w:asciiTheme="majorHAnsi" w:eastAsia="Calibri" w:hAnsiTheme="majorHAnsi" w:cstheme="majorHAnsi"/>
          <w:b/>
          <w:color w:val="auto"/>
          <w:kern w:val="0"/>
          <w:sz w:val="24"/>
          <w:szCs w:val="24"/>
          <w:lang w:eastAsia="zh-CN"/>
        </w:rPr>
        <w:t>Ministarstvo finansija i socijalnog staranja ne posjeduje sve informacije značajne za odlučivanje o broju i vrijednosti ugovora na određeno</w:t>
      </w:r>
      <w:r w:rsidRPr="00CB681C">
        <w:rPr>
          <w:rFonts w:asciiTheme="majorHAnsi" w:eastAsia="Calibri" w:hAnsiTheme="majorHAnsi" w:cstheme="majorHAnsi"/>
          <w:color w:val="auto"/>
          <w:kern w:val="0"/>
          <w:sz w:val="24"/>
          <w:szCs w:val="24"/>
          <w:lang w:eastAsia="zh-CN"/>
        </w:rPr>
        <w:t xml:space="preserve">  (o djelu i o privremenim i povremenim poslovima) koji se žele potpisati. </w:t>
      </w:r>
    </w:p>
    <w:p w:rsidR="00677F87" w:rsidRPr="00CB681C" w:rsidRDefault="00677F87" w:rsidP="00677F87">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lastRenderedPageBreak/>
        <w:t xml:space="preserve">Postoji </w:t>
      </w:r>
      <w:r w:rsidRPr="00CB681C">
        <w:rPr>
          <w:rFonts w:asciiTheme="majorHAnsi" w:eastAsia="Calibri" w:hAnsiTheme="majorHAnsi" w:cstheme="majorHAnsi"/>
          <w:b/>
          <w:color w:val="auto"/>
          <w:kern w:val="0"/>
          <w:sz w:val="24"/>
          <w:szCs w:val="24"/>
          <w:lang w:eastAsia="zh-CN"/>
        </w:rPr>
        <w:t>ograničen učinak kadrovskih planova/planiranja na stvarno zapošljavanje</w:t>
      </w:r>
      <w:r w:rsidRPr="00CB681C">
        <w:rPr>
          <w:rFonts w:asciiTheme="majorHAnsi" w:eastAsia="Calibri" w:hAnsiTheme="majorHAnsi" w:cstheme="majorHAnsi"/>
          <w:color w:val="auto"/>
          <w:kern w:val="0"/>
          <w:sz w:val="24"/>
          <w:szCs w:val="24"/>
          <w:lang w:eastAsia="zh-CN"/>
        </w:rPr>
        <w:t>.</w:t>
      </w:r>
      <w:r w:rsidRPr="00CB681C">
        <w:rPr>
          <w:rFonts w:asciiTheme="majorHAnsi" w:eastAsia="Calibri" w:hAnsiTheme="majorHAnsi" w:cstheme="majorHAnsi"/>
          <w:color w:val="auto"/>
          <w:kern w:val="0"/>
          <w:sz w:val="24"/>
          <w:szCs w:val="24"/>
          <w:vertAlign w:val="superscript"/>
          <w:lang w:eastAsia="zh-CN"/>
        </w:rPr>
        <w:footnoteReference w:id="65"/>
      </w:r>
      <w:r w:rsidRPr="00CB681C">
        <w:rPr>
          <w:rFonts w:asciiTheme="majorHAnsi" w:eastAsia="Calibri" w:hAnsiTheme="majorHAnsi" w:cstheme="majorHAnsi"/>
          <w:color w:val="auto"/>
          <w:kern w:val="0"/>
          <w:sz w:val="24"/>
          <w:szCs w:val="24"/>
          <w:lang w:eastAsia="zh-CN"/>
        </w:rPr>
        <w:t xml:space="preserve"> Kadrovski planovi se ne pripremaju paralelno sa nacrtom budžeta, rade se bez jasnog sagledavanja potreba koje su realizovane i budućih potreba za planiranjem i zapošljavanjem.</w:t>
      </w:r>
      <w:r w:rsidRPr="00CB681C">
        <w:rPr>
          <w:rFonts w:asciiTheme="majorHAnsi" w:eastAsia="Calibri" w:hAnsiTheme="majorHAnsi" w:cstheme="majorHAnsi"/>
          <w:color w:val="auto"/>
          <w:kern w:val="0"/>
          <w:sz w:val="24"/>
          <w:szCs w:val="24"/>
          <w:vertAlign w:val="superscript"/>
          <w:lang w:eastAsia="zh-CN"/>
        </w:rPr>
        <w:footnoteReference w:id="66"/>
      </w:r>
      <w:r w:rsidRPr="00CB681C">
        <w:rPr>
          <w:rFonts w:asciiTheme="majorHAnsi" w:eastAsia="Calibri" w:hAnsiTheme="majorHAnsi" w:cstheme="majorHAnsi"/>
          <w:color w:val="auto"/>
          <w:kern w:val="0"/>
          <w:sz w:val="24"/>
          <w:szCs w:val="24"/>
          <w:lang w:eastAsia="zh-CN"/>
        </w:rPr>
        <w:t xml:space="preserve"> Postoji ograničen kapacitet u institucijama u pogledu formiranja jedinica za</w:t>
      </w:r>
      <w:r w:rsidR="00FF6D8A" w:rsidRPr="00CB681C">
        <w:rPr>
          <w:rFonts w:asciiTheme="majorHAnsi" w:eastAsia="Calibri" w:hAnsiTheme="majorHAnsi" w:cstheme="majorHAnsi"/>
          <w:color w:val="auto"/>
          <w:kern w:val="0"/>
          <w:sz w:val="24"/>
          <w:szCs w:val="24"/>
          <w:lang w:eastAsia="zh-CN"/>
        </w:rPr>
        <w:t xml:space="preserve"> upravljanje ljudskim resursima</w:t>
      </w:r>
      <w:r w:rsidRPr="00CB681C">
        <w:rPr>
          <w:rFonts w:asciiTheme="majorHAnsi" w:eastAsia="Calibri" w:hAnsiTheme="majorHAnsi" w:cstheme="majorHAnsi"/>
          <w:color w:val="auto"/>
          <w:kern w:val="0"/>
          <w:sz w:val="24"/>
          <w:szCs w:val="24"/>
          <w:lang w:eastAsia="zh-CN"/>
        </w:rPr>
        <w:t>.</w:t>
      </w:r>
    </w:p>
    <w:p w:rsidR="00677F87" w:rsidRPr="00CB681C" w:rsidRDefault="00677F87" w:rsidP="00B43D4E">
      <w:pPr>
        <w:numPr>
          <w:ilvl w:val="0"/>
          <w:numId w:val="32"/>
        </w:numPr>
        <w:tabs>
          <w:tab w:val="left" w:pos="850"/>
          <w:tab w:val="left" w:pos="1191"/>
          <w:tab w:val="left" w:pos="1531"/>
        </w:tabs>
        <w:spacing w:before="120" w:after="120" w:line="240" w:lineRule="auto"/>
        <w:ind w:left="360" w:right="-471"/>
        <w:jc w:val="both"/>
        <w:rPr>
          <w:rFonts w:asciiTheme="majorHAnsi" w:eastAsia="Calibri" w:hAnsiTheme="majorHAnsi" w:cstheme="majorHAnsi"/>
          <w:i/>
          <w:color w:val="auto"/>
          <w:kern w:val="0"/>
          <w:sz w:val="24"/>
          <w:szCs w:val="24"/>
          <w:lang w:eastAsia="zh-CN"/>
        </w:rPr>
      </w:pPr>
      <w:r w:rsidRPr="00CB681C">
        <w:rPr>
          <w:rFonts w:asciiTheme="majorHAnsi" w:eastAsia="Calibri" w:hAnsiTheme="majorHAnsi" w:cstheme="majorHAnsi"/>
          <w:b/>
          <w:i/>
          <w:color w:val="auto"/>
          <w:kern w:val="0"/>
          <w:sz w:val="24"/>
          <w:szCs w:val="24"/>
          <w:lang w:eastAsia="zh-CN"/>
        </w:rPr>
        <w:t>Nedostatak konkurencije pri zapošljavanju</w:t>
      </w:r>
    </w:p>
    <w:p w:rsidR="00677F87" w:rsidRPr="00CB681C" w:rsidRDefault="00677F87" w:rsidP="00677F87">
      <w:pPr>
        <w:tabs>
          <w:tab w:val="left" w:pos="850"/>
          <w:tab w:val="left" w:pos="1191"/>
          <w:tab w:val="left" w:pos="1531"/>
        </w:tabs>
        <w:spacing w:before="0" w:after="12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Prosječan </w:t>
      </w:r>
      <w:r w:rsidRPr="00CB681C">
        <w:rPr>
          <w:rFonts w:asciiTheme="majorHAnsi" w:eastAsia="Calibri" w:hAnsiTheme="majorHAnsi" w:cstheme="majorHAnsi"/>
          <w:b/>
          <w:color w:val="auto"/>
          <w:kern w:val="0"/>
          <w:sz w:val="24"/>
          <w:szCs w:val="24"/>
          <w:lang w:eastAsia="zh-CN"/>
        </w:rPr>
        <w:t xml:space="preserve">broj prijavljenih kandidata na oglase je i dalje mali ili nepostojeći za specijalizovane poslove </w:t>
      </w:r>
      <w:r w:rsidRPr="00CB681C">
        <w:rPr>
          <w:rFonts w:asciiTheme="majorHAnsi" w:eastAsia="Calibri" w:hAnsiTheme="majorHAnsi" w:cstheme="majorHAnsi"/>
          <w:color w:val="auto"/>
          <w:kern w:val="0"/>
          <w:sz w:val="24"/>
          <w:szCs w:val="24"/>
          <w:lang w:eastAsia="zh-CN"/>
        </w:rPr>
        <w:t xml:space="preserve">(u oblasti arhitekture, građevine, hidrotehnike, geodezije, medicine). Tokom 2021. prisutan je trend rasta tj. zainteresovanosti lica za visoko rukovodni kadat i starješine organa, kao npr. za javni konkurs Direktora Uprave policije prijavilo se 19 kandidata, Predsjednika Komisije za zaštitu prava u postupcima javnih nabavki 7, Direktora Fonda Zdravlja 4, te za 8 pozicija Generalnih direktora u Ministarstvo za kapitalne investicije prijavilo se 36 kandidata. </w:t>
      </w:r>
    </w:p>
    <w:p w:rsidR="00677F87" w:rsidRDefault="00306BB7" w:rsidP="00677F87">
      <w:pPr>
        <w:tabs>
          <w:tab w:val="left" w:pos="850"/>
          <w:tab w:val="left" w:pos="1191"/>
          <w:tab w:val="left" w:pos="1531"/>
        </w:tabs>
        <w:spacing w:before="0" w:after="12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noProof/>
          <w:color w:val="auto"/>
          <w:kern w:val="0"/>
          <w:sz w:val="24"/>
          <w:szCs w:val="24"/>
          <w:lang w:eastAsia="sr-Latn-RS"/>
        </w:rPr>
        <mc:AlternateContent>
          <mc:Choice Requires="wpg">
            <w:drawing>
              <wp:anchor distT="0" distB="0" distL="228600" distR="228600" simplePos="0" relativeHeight="251862016" behindDoc="0" locked="0" layoutInCell="1" allowOverlap="1" wp14:anchorId="3A267F52" wp14:editId="71EF4C52">
                <wp:simplePos x="0" y="0"/>
                <wp:positionH relativeFrom="margin">
                  <wp:posOffset>28575</wp:posOffset>
                </wp:positionH>
                <wp:positionV relativeFrom="page">
                  <wp:posOffset>2019723</wp:posOffset>
                </wp:positionV>
                <wp:extent cx="6111240" cy="1394460"/>
                <wp:effectExtent l="0" t="0" r="3810" b="0"/>
                <wp:wrapSquare wrapText="bothSides"/>
                <wp:docPr id="64" name="Group 64"/>
                <wp:cNvGraphicFramePr/>
                <a:graphic xmlns:a="http://schemas.openxmlformats.org/drawingml/2006/main">
                  <a:graphicData uri="http://schemas.microsoft.com/office/word/2010/wordprocessingGroup">
                    <wpg:wgp>
                      <wpg:cNvGrpSpPr/>
                      <wpg:grpSpPr>
                        <a:xfrm>
                          <a:off x="0" y="0"/>
                          <a:ext cx="6111240" cy="1394460"/>
                          <a:chOff x="0" y="0"/>
                          <a:chExt cx="3218688" cy="2028766"/>
                        </a:xfrm>
                      </wpg:grpSpPr>
                      <wps:wsp>
                        <wps:cNvPr id="65" name="Rectangle 65"/>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 name="Group 66"/>
                        <wpg:cNvGrpSpPr/>
                        <wpg:grpSpPr>
                          <a:xfrm>
                            <a:off x="0" y="19050"/>
                            <a:ext cx="2249424" cy="832104"/>
                            <a:chOff x="228600" y="0"/>
                            <a:chExt cx="1472184" cy="1024128"/>
                          </a:xfrm>
                        </wpg:grpSpPr>
                        <wps:wsp>
                          <wps:cNvPr id="6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 name="Text Box 69"/>
                        <wps:cNvSpPr txBox="1"/>
                        <wps:spPr>
                          <a:xfrm>
                            <a:off x="20067" y="0"/>
                            <a:ext cx="3198621" cy="1959491"/>
                          </a:xfrm>
                          <a:prstGeom prst="rect">
                            <a:avLst/>
                          </a:prstGeom>
                          <a:noFill/>
                          <a:ln w="6350">
                            <a:noFill/>
                          </a:ln>
                          <a:effectLst/>
                        </wps:spPr>
                        <wps:txbx>
                          <w:txbxContent>
                            <w:p w:rsidR="00F735BC" w:rsidRDefault="00F735BC" w:rsidP="00677F87">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Svi problemi se svode na profesionalne pojedince u javnoj upravi i njihovoj edukaciji. Planiranje i angažovanje kadrova mora biti jedan podcilj, dok drugi treba biti evaluacija znanja i vještina, kao i njihovo unaprijeđenje. U državnoj upravi nema mjesta ugovorima o djelu. Principi javne uprave su uslovljeni zaštićenom pozicijom iz razloga što državni službenik mora biti profesionalan, nepristrasan, u službi svih građana. Ne možemo praviti dugoročna riješenja, ako ne obezbijedimo da kadrovi budu nezavisni i kompetentni. Fokus treba biti na edukaciji, ne samo kadrova, već i građana. Potrebno je informisati građane o dostupnim javnim uslugama i edukovati ih o načinima njihovog korišćenja</w:t>
                              </w:r>
                              <w:r w:rsidRPr="006D5ACC">
                                <w:rPr>
                                  <w:smallCaps/>
                                  <w:color w:val="333C3D" w:themeColor="accent5" w:themeShade="80"/>
                                  <w:kern w:val="20"/>
                                  <w:lang w:val="sr-Latn-RS"/>
                                </w:rPr>
                                <w:t>.</w:t>
                              </w:r>
                            </w:p>
                            <w:p w:rsidR="00F735BC" w:rsidRDefault="00F735BC" w:rsidP="00677F87">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267F52" id="Group 64" o:spid="_x0000_s1083" style="position:absolute;left:0;text-align:left;margin-left:2.25pt;margin-top:159.05pt;width:481.2pt;height:109.8pt;z-index:251862016;mso-wrap-distance-left:18pt;mso-wrap-distance-right:18p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">
                <v:rect id="Rectangle 65" o:spid="_x0000_s108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" stroked="f" strokeweight="2pt">
                  <v:fill opacity="0"/>
                </v:rect>
                <v:group id="Group 66" o:spid="_x0000_s108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Rectangle 10" o:spid="_x0000_s108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" path="m,l2240281,,1659256,222885,,822960,,xe" fillcolor="#7e97ad" stroked="f" strokeweight="2pt">
                    <v:path arrowok="t" o:connecttype="custom" o:connectlocs="0,0;1466258,0;1085979,274158;0,1012274;0,0" o:connectangles="0,0,0,0,0"/>
                  </v:shape>
                  <v:rect id="Rectangle 68" o:spid="_x0000_s108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" stroked="f" strokeweight="2pt">
                    <v:fill r:id="rId69" o:title="" recolor="t" rotate="t" type="frame"/>
                  </v:rect>
                </v:group>
                <v:shape id="Text Box 69" o:spid="_x0000_s1088" type="#_x0000_t202" style="position:absolute;left:200;width:31986;height:19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" filled="f" stroked="f" strokeweight=".5pt">
                  <v:textbox inset="3.6pt,7.2pt,0,0">
                    <w:txbxContent>
                      <w:p w:rsidR="00F735BC" w:rsidRDefault="00F735BC" w:rsidP="00677F87">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Svi problemi se svode na profesionalne pojedince u javnoj upravi i njihovoj edukaciji. Planiranje i angažovanje kadrova mora biti jedan podcilj, dok drugi treba biti evaluacija znanja i vještina, kao i njihovo unaprijeđenje. U državnoj upravi nema mjesta ugovorima o djelu. Principi javne uprave su uslovljeni zaštićenom pozicijom iz razloga što državni službenik mora biti profesionalan, nepristrasan, u službi svih građana. Ne možemo praviti dugoročna riješenja, ako ne obezbijedimo da kadrovi budu nezavisni i kompetentni. Fokus treba biti na edukaciji, ne samo kadrova, već i građana. Potrebno je informisati građane o dostupnim javnim uslugama i edukovati ih o načinima njihovog korišćenja</w:t>
                        </w:r>
                        <w:r w:rsidRPr="006D5ACC">
                          <w:rPr>
                            <w:smallCaps/>
                            <w:color w:val="333C3D" w:themeColor="accent5" w:themeShade="80"/>
                            <w:kern w:val="20"/>
                            <w:lang w:val="sr-Latn-RS"/>
                          </w:rPr>
                          <w:t>.</w:t>
                        </w:r>
                      </w:p>
                      <w:p w:rsidR="00F735BC" w:rsidRDefault="00F735BC" w:rsidP="00677F87">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v:textbox>
                </v:shape>
                <w10:wrap type="square" anchorx="margin" anchory="page"/>
              </v:group>
            </w:pict>
          </mc:Fallback>
        </mc:AlternateContent>
      </w:r>
      <w:r w:rsidR="00677F87" w:rsidRPr="00CB681C">
        <w:rPr>
          <w:rFonts w:asciiTheme="majorHAnsi" w:eastAsia="Calibri" w:hAnsiTheme="majorHAnsi" w:cstheme="majorHAnsi"/>
          <w:b/>
          <w:color w:val="auto"/>
          <w:kern w:val="0"/>
          <w:sz w:val="24"/>
          <w:szCs w:val="24"/>
          <w:lang w:eastAsia="zh-CN"/>
        </w:rPr>
        <w:t>Koeficijenti za zarade takođe nisu primamljivi</w:t>
      </w:r>
      <w:r w:rsidR="00677F87" w:rsidRPr="00CB681C">
        <w:rPr>
          <w:rFonts w:asciiTheme="majorHAnsi" w:eastAsia="Calibri" w:hAnsiTheme="majorHAnsi" w:cstheme="majorHAnsi"/>
          <w:color w:val="auto"/>
          <w:kern w:val="0"/>
          <w:sz w:val="24"/>
          <w:szCs w:val="24"/>
          <w:lang w:eastAsia="zh-CN"/>
        </w:rPr>
        <w:t xml:space="preserve"> za lica koja su završili fakultete za specijalizovane oblasti, koji su više isplativi van državnog sektora. </w:t>
      </w:r>
    </w:p>
    <w:p w:rsidR="001773FB" w:rsidRPr="00CB681C" w:rsidRDefault="001773FB" w:rsidP="00677F87">
      <w:pPr>
        <w:tabs>
          <w:tab w:val="left" w:pos="850"/>
          <w:tab w:val="left" w:pos="1191"/>
          <w:tab w:val="left" w:pos="1531"/>
        </w:tabs>
        <w:spacing w:before="0" w:after="120" w:line="240" w:lineRule="auto"/>
        <w:ind w:right="-471"/>
        <w:jc w:val="both"/>
        <w:rPr>
          <w:rFonts w:asciiTheme="majorHAnsi" w:eastAsia="Calibri" w:hAnsiTheme="majorHAnsi" w:cstheme="majorHAnsi"/>
          <w:color w:val="auto"/>
          <w:kern w:val="0"/>
          <w:sz w:val="24"/>
          <w:szCs w:val="24"/>
          <w:lang w:eastAsia="zh-CN"/>
        </w:rPr>
      </w:pPr>
    </w:p>
    <w:tbl>
      <w:tblPr>
        <w:tblStyle w:val="TableGrid20"/>
        <w:tblW w:w="8910" w:type="dxa"/>
        <w:jc w:val="center"/>
        <w:tblInd w:w="0" w:type="dxa"/>
        <w:tblCellMar>
          <w:top w:w="6" w:type="dxa"/>
          <w:left w:w="110" w:type="dxa"/>
          <w:right w:w="115" w:type="dxa"/>
        </w:tblCellMar>
        <w:tblLook w:val="04A0" w:firstRow="1" w:lastRow="0" w:firstColumn="1" w:lastColumn="0" w:noHBand="0" w:noVBand="1"/>
      </w:tblPr>
      <w:tblGrid>
        <w:gridCol w:w="2046"/>
        <w:gridCol w:w="1729"/>
        <w:gridCol w:w="1618"/>
        <w:gridCol w:w="1802"/>
        <w:gridCol w:w="1715"/>
      </w:tblGrid>
      <w:tr w:rsidR="00AC188A" w:rsidRPr="00AC188A" w:rsidTr="00162C8F">
        <w:trPr>
          <w:trHeight w:val="434"/>
          <w:jc w:val="center"/>
        </w:trPr>
        <w:tc>
          <w:tcPr>
            <w:tcW w:w="2046" w:type="dxa"/>
            <w:vMerge w:val="restart"/>
            <w:tcBorders>
              <w:top w:val="single" w:sz="4" w:space="0" w:color="000000"/>
              <w:left w:val="single" w:sz="4" w:space="0" w:color="000000"/>
              <w:right w:val="single" w:sz="4" w:space="0" w:color="000000"/>
            </w:tcBorders>
            <w:shd w:val="clear" w:color="auto" w:fill="CAECE4"/>
            <w:vAlign w:val="center"/>
          </w:tcPr>
          <w:p w:rsidR="00677F87" w:rsidRPr="00253588" w:rsidRDefault="00677F87" w:rsidP="00162C8F">
            <w:pPr>
              <w:tabs>
                <w:tab w:val="left" w:pos="850"/>
                <w:tab w:val="left" w:pos="1191"/>
                <w:tab w:val="left" w:pos="1531"/>
              </w:tabs>
              <w:ind w:right="-471"/>
              <w:jc w:val="center"/>
              <w:rPr>
                <w:rFonts w:asciiTheme="majorHAnsi" w:eastAsia="Arial" w:hAnsiTheme="majorHAnsi" w:cstheme="majorHAnsi"/>
                <w:color w:val="002060"/>
                <w:kern w:val="0"/>
                <w:sz w:val="20"/>
                <w:szCs w:val="20"/>
                <w:lang w:eastAsia="zh-CN"/>
              </w:rPr>
            </w:pPr>
          </w:p>
        </w:tc>
        <w:tc>
          <w:tcPr>
            <w:tcW w:w="3347" w:type="dxa"/>
            <w:gridSpan w:val="2"/>
            <w:tcBorders>
              <w:top w:val="single" w:sz="4" w:space="0" w:color="000000"/>
              <w:left w:val="single" w:sz="4" w:space="0" w:color="000000"/>
              <w:bottom w:val="single" w:sz="4" w:space="0" w:color="000000"/>
              <w:right w:val="single" w:sz="4" w:space="0" w:color="000000"/>
            </w:tcBorders>
            <w:shd w:val="clear" w:color="auto" w:fill="CAECE4"/>
            <w:vAlign w:val="center"/>
          </w:tcPr>
          <w:p w:rsidR="00677F87" w:rsidRPr="00253588" w:rsidRDefault="00677F87" w:rsidP="00CB681C">
            <w:pPr>
              <w:tabs>
                <w:tab w:val="left" w:pos="850"/>
                <w:tab w:val="left" w:pos="1191"/>
                <w:tab w:val="left" w:pos="1531"/>
              </w:tabs>
              <w:spacing w:after="2" w:line="238" w:lineRule="auto"/>
              <w:ind w:right="78"/>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Prosječan broj kandidata po upražnjenom radnom mjestu</w:t>
            </w:r>
          </w:p>
        </w:tc>
        <w:tc>
          <w:tcPr>
            <w:tcW w:w="3517" w:type="dxa"/>
            <w:gridSpan w:val="2"/>
            <w:tcBorders>
              <w:top w:val="single" w:sz="4" w:space="0" w:color="000000"/>
              <w:left w:val="single" w:sz="4" w:space="0" w:color="000000"/>
              <w:bottom w:val="single" w:sz="4" w:space="0" w:color="000000"/>
              <w:right w:val="single" w:sz="4" w:space="0" w:color="000000"/>
            </w:tcBorders>
            <w:shd w:val="clear" w:color="auto" w:fill="CAECE4"/>
            <w:vAlign w:val="center"/>
          </w:tcPr>
          <w:p w:rsidR="00677F87" w:rsidRPr="00253588" w:rsidRDefault="00677F87" w:rsidP="00CB681C">
            <w:pPr>
              <w:tabs>
                <w:tab w:val="left" w:pos="850"/>
                <w:tab w:val="left" w:pos="1191"/>
                <w:tab w:val="left" w:pos="1531"/>
              </w:tabs>
              <w:spacing w:after="2" w:line="238" w:lineRule="auto"/>
              <w:ind w:right="66"/>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Procenat upražnjenih radnih mjesta koja su popunjena</w:t>
            </w:r>
          </w:p>
        </w:tc>
      </w:tr>
      <w:tr w:rsidR="00162C8F" w:rsidRPr="00AC188A" w:rsidTr="00162C8F">
        <w:trPr>
          <w:trHeight w:val="434"/>
          <w:jc w:val="center"/>
        </w:trPr>
        <w:tc>
          <w:tcPr>
            <w:tcW w:w="2046" w:type="dxa"/>
            <w:vMerge/>
            <w:tcBorders>
              <w:left w:val="single" w:sz="4" w:space="0" w:color="000000"/>
              <w:bottom w:val="single" w:sz="4" w:space="0" w:color="000000"/>
              <w:right w:val="single" w:sz="4" w:space="0" w:color="000000"/>
            </w:tcBorders>
            <w:shd w:val="clear" w:color="auto" w:fill="CAECE4"/>
            <w:vAlign w:val="center"/>
          </w:tcPr>
          <w:p w:rsidR="00677F87" w:rsidRPr="00253588" w:rsidRDefault="00677F87" w:rsidP="00677F87">
            <w:pPr>
              <w:tabs>
                <w:tab w:val="left" w:pos="850"/>
                <w:tab w:val="left" w:pos="1191"/>
                <w:tab w:val="left" w:pos="1531"/>
              </w:tabs>
              <w:ind w:left="10" w:right="-471"/>
              <w:jc w:val="center"/>
              <w:rPr>
                <w:rFonts w:asciiTheme="majorHAnsi" w:eastAsia="Arial" w:hAnsiTheme="majorHAnsi" w:cstheme="majorHAnsi"/>
                <w:color w:val="002060"/>
                <w:kern w:val="0"/>
                <w:sz w:val="20"/>
                <w:szCs w:val="20"/>
                <w:lang w:eastAsia="zh-CN"/>
              </w:rPr>
            </w:pPr>
          </w:p>
        </w:tc>
        <w:tc>
          <w:tcPr>
            <w:tcW w:w="1729" w:type="dxa"/>
            <w:tcBorders>
              <w:top w:val="single" w:sz="4" w:space="0" w:color="000000"/>
              <w:left w:val="single" w:sz="4" w:space="0" w:color="000000"/>
              <w:bottom w:val="single" w:sz="4" w:space="0" w:color="000000"/>
              <w:right w:val="single" w:sz="4" w:space="0" w:color="auto"/>
            </w:tcBorders>
            <w:shd w:val="clear" w:color="auto" w:fill="CAECE4"/>
            <w:vAlign w:val="center"/>
          </w:tcPr>
          <w:p w:rsidR="00677F87" w:rsidRPr="00253588" w:rsidRDefault="00677F87" w:rsidP="00162C8F">
            <w:pPr>
              <w:tabs>
                <w:tab w:val="left" w:pos="850"/>
                <w:tab w:val="left" w:pos="1191"/>
                <w:tab w:val="left" w:pos="1531"/>
              </w:tabs>
              <w:spacing w:after="2" w:line="238" w:lineRule="auto"/>
              <w:ind w:right="-471"/>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2019</w:t>
            </w:r>
          </w:p>
        </w:tc>
        <w:tc>
          <w:tcPr>
            <w:tcW w:w="1618" w:type="dxa"/>
            <w:tcBorders>
              <w:top w:val="single" w:sz="4" w:space="0" w:color="000000"/>
              <w:left w:val="single" w:sz="4" w:space="0" w:color="auto"/>
              <w:bottom w:val="single" w:sz="4" w:space="0" w:color="000000"/>
              <w:right w:val="single" w:sz="4" w:space="0" w:color="000000"/>
            </w:tcBorders>
            <w:shd w:val="clear" w:color="auto" w:fill="CAECE4"/>
            <w:vAlign w:val="center"/>
          </w:tcPr>
          <w:p w:rsidR="00677F87" w:rsidRPr="00253588" w:rsidRDefault="00677F87" w:rsidP="00162C8F">
            <w:pPr>
              <w:tabs>
                <w:tab w:val="left" w:pos="850"/>
                <w:tab w:val="left" w:pos="1191"/>
                <w:tab w:val="left" w:pos="1531"/>
              </w:tabs>
              <w:spacing w:after="2" w:line="238" w:lineRule="auto"/>
              <w:ind w:right="-471"/>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2020</w:t>
            </w:r>
          </w:p>
        </w:tc>
        <w:tc>
          <w:tcPr>
            <w:tcW w:w="1802" w:type="dxa"/>
            <w:tcBorders>
              <w:top w:val="single" w:sz="4" w:space="0" w:color="000000"/>
              <w:left w:val="single" w:sz="4" w:space="0" w:color="000000"/>
              <w:bottom w:val="single" w:sz="4" w:space="0" w:color="000000"/>
              <w:right w:val="single" w:sz="4" w:space="0" w:color="auto"/>
            </w:tcBorders>
            <w:shd w:val="clear" w:color="auto" w:fill="CAECE4"/>
            <w:vAlign w:val="center"/>
          </w:tcPr>
          <w:p w:rsidR="00677F87" w:rsidRPr="00253588" w:rsidRDefault="00677F87" w:rsidP="00162C8F">
            <w:pPr>
              <w:tabs>
                <w:tab w:val="left" w:pos="850"/>
                <w:tab w:val="left" w:pos="1191"/>
                <w:tab w:val="left" w:pos="1531"/>
              </w:tabs>
              <w:spacing w:after="2" w:line="238" w:lineRule="auto"/>
              <w:ind w:right="-471"/>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2019</w:t>
            </w:r>
          </w:p>
        </w:tc>
        <w:tc>
          <w:tcPr>
            <w:tcW w:w="1715" w:type="dxa"/>
            <w:tcBorders>
              <w:top w:val="single" w:sz="4" w:space="0" w:color="000000"/>
              <w:left w:val="single" w:sz="4" w:space="0" w:color="auto"/>
              <w:bottom w:val="single" w:sz="4" w:space="0" w:color="000000"/>
              <w:right w:val="single" w:sz="4" w:space="0" w:color="000000"/>
            </w:tcBorders>
            <w:shd w:val="clear" w:color="auto" w:fill="CAECE4"/>
            <w:vAlign w:val="center"/>
          </w:tcPr>
          <w:p w:rsidR="00677F87" w:rsidRPr="00253588" w:rsidRDefault="00677F87" w:rsidP="00162C8F">
            <w:pPr>
              <w:tabs>
                <w:tab w:val="left" w:pos="850"/>
                <w:tab w:val="left" w:pos="1191"/>
                <w:tab w:val="left" w:pos="1531"/>
              </w:tabs>
              <w:spacing w:after="2" w:line="238" w:lineRule="auto"/>
              <w:ind w:right="-471"/>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2020</w:t>
            </w:r>
          </w:p>
        </w:tc>
      </w:tr>
      <w:tr w:rsidR="00162C8F" w:rsidRPr="00AC188A" w:rsidTr="00162C8F">
        <w:trPr>
          <w:trHeight w:val="264"/>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8E9F2"/>
          </w:tcPr>
          <w:p w:rsidR="00677F87" w:rsidRPr="00253588" w:rsidRDefault="00677F87" w:rsidP="00677F87">
            <w:pPr>
              <w:tabs>
                <w:tab w:val="left" w:pos="850"/>
                <w:tab w:val="left" w:pos="1191"/>
                <w:tab w:val="left" w:pos="1531"/>
              </w:tabs>
              <w:ind w:right="-471"/>
              <w:jc w:val="both"/>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 xml:space="preserve">po internim oglasima </w:t>
            </w:r>
          </w:p>
        </w:tc>
        <w:tc>
          <w:tcPr>
            <w:tcW w:w="1729" w:type="dxa"/>
            <w:tcBorders>
              <w:top w:val="single" w:sz="4" w:space="0" w:color="000000"/>
              <w:left w:val="single" w:sz="4" w:space="0" w:color="000000"/>
              <w:bottom w:val="single" w:sz="4" w:space="0" w:color="000000"/>
              <w:right w:val="single" w:sz="4" w:space="0" w:color="auto"/>
            </w:tcBorders>
          </w:tcPr>
          <w:p w:rsidR="00677F87" w:rsidRPr="00253588" w:rsidRDefault="00677F87" w:rsidP="00162C8F">
            <w:pPr>
              <w:tabs>
                <w:tab w:val="left" w:pos="850"/>
                <w:tab w:val="left" w:pos="1191"/>
                <w:tab w:val="left" w:pos="1531"/>
              </w:tabs>
              <w:ind w:left="7" w:right="-471"/>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1,21</w:t>
            </w:r>
          </w:p>
        </w:tc>
        <w:tc>
          <w:tcPr>
            <w:tcW w:w="1618" w:type="dxa"/>
            <w:tcBorders>
              <w:top w:val="single" w:sz="4" w:space="0" w:color="000000"/>
              <w:left w:val="single" w:sz="4" w:space="0" w:color="auto"/>
              <w:bottom w:val="single" w:sz="4" w:space="0" w:color="000000"/>
              <w:right w:val="single" w:sz="4" w:space="0" w:color="000000"/>
            </w:tcBorders>
          </w:tcPr>
          <w:p w:rsidR="00677F87" w:rsidRPr="00253588" w:rsidRDefault="00677F87" w:rsidP="00162C8F">
            <w:pPr>
              <w:tabs>
                <w:tab w:val="left" w:pos="850"/>
                <w:tab w:val="left" w:pos="1191"/>
                <w:tab w:val="left" w:pos="1531"/>
              </w:tabs>
              <w:ind w:left="7" w:right="-471"/>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1,12</w:t>
            </w:r>
          </w:p>
        </w:tc>
        <w:tc>
          <w:tcPr>
            <w:tcW w:w="1802" w:type="dxa"/>
            <w:tcBorders>
              <w:top w:val="single" w:sz="4" w:space="0" w:color="000000"/>
              <w:left w:val="single" w:sz="4" w:space="0" w:color="000000"/>
              <w:bottom w:val="single" w:sz="4" w:space="0" w:color="000000"/>
              <w:right w:val="single" w:sz="4" w:space="0" w:color="auto"/>
            </w:tcBorders>
          </w:tcPr>
          <w:p w:rsidR="00677F87" w:rsidRPr="00253588" w:rsidRDefault="00677F87" w:rsidP="00162C8F">
            <w:pPr>
              <w:tabs>
                <w:tab w:val="left" w:pos="850"/>
                <w:tab w:val="left" w:pos="1191"/>
                <w:tab w:val="left" w:pos="1531"/>
              </w:tabs>
              <w:ind w:left="7" w:right="-471"/>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29%</w:t>
            </w:r>
          </w:p>
        </w:tc>
        <w:tc>
          <w:tcPr>
            <w:tcW w:w="1715" w:type="dxa"/>
            <w:tcBorders>
              <w:top w:val="single" w:sz="4" w:space="0" w:color="000000"/>
              <w:left w:val="single" w:sz="4" w:space="0" w:color="auto"/>
              <w:bottom w:val="single" w:sz="4" w:space="0" w:color="000000"/>
              <w:right w:val="single" w:sz="4" w:space="0" w:color="000000"/>
            </w:tcBorders>
          </w:tcPr>
          <w:p w:rsidR="00677F87" w:rsidRPr="00253588" w:rsidRDefault="00677F87" w:rsidP="00162C8F">
            <w:pPr>
              <w:tabs>
                <w:tab w:val="left" w:pos="850"/>
                <w:tab w:val="left" w:pos="1191"/>
                <w:tab w:val="left" w:pos="1531"/>
              </w:tabs>
              <w:ind w:left="7" w:right="-471"/>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22%</w:t>
            </w:r>
          </w:p>
        </w:tc>
      </w:tr>
      <w:tr w:rsidR="00162C8F" w:rsidRPr="00AC188A" w:rsidTr="00162C8F">
        <w:trPr>
          <w:trHeight w:val="305"/>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8E9F2"/>
          </w:tcPr>
          <w:p w:rsidR="00677F87" w:rsidRPr="00253588" w:rsidRDefault="00677F87" w:rsidP="00677F87">
            <w:pPr>
              <w:tabs>
                <w:tab w:val="left" w:pos="850"/>
                <w:tab w:val="left" w:pos="1191"/>
                <w:tab w:val="left" w:pos="1531"/>
              </w:tabs>
              <w:ind w:right="-471"/>
              <w:jc w:val="both"/>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 xml:space="preserve">po javnim oglasima </w:t>
            </w:r>
          </w:p>
        </w:tc>
        <w:tc>
          <w:tcPr>
            <w:tcW w:w="1729" w:type="dxa"/>
            <w:tcBorders>
              <w:top w:val="single" w:sz="4" w:space="0" w:color="000000"/>
              <w:left w:val="single" w:sz="4" w:space="0" w:color="000000"/>
              <w:bottom w:val="single" w:sz="4" w:space="0" w:color="000000"/>
              <w:right w:val="single" w:sz="4" w:space="0" w:color="auto"/>
            </w:tcBorders>
          </w:tcPr>
          <w:p w:rsidR="00677F87" w:rsidRPr="00253588" w:rsidRDefault="00677F87" w:rsidP="00162C8F">
            <w:pPr>
              <w:tabs>
                <w:tab w:val="left" w:pos="850"/>
                <w:tab w:val="left" w:pos="1191"/>
                <w:tab w:val="left" w:pos="1531"/>
              </w:tabs>
              <w:ind w:left="7" w:right="-471"/>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4,39</w:t>
            </w:r>
          </w:p>
        </w:tc>
        <w:tc>
          <w:tcPr>
            <w:tcW w:w="1618" w:type="dxa"/>
            <w:tcBorders>
              <w:top w:val="single" w:sz="4" w:space="0" w:color="000000"/>
              <w:left w:val="single" w:sz="4" w:space="0" w:color="auto"/>
              <w:bottom w:val="single" w:sz="4" w:space="0" w:color="000000"/>
              <w:right w:val="single" w:sz="4" w:space="0" w:color="000000"/>
            </w:tcBorders>
          </w:tcPr>
          <w:p w:rsidR="00677F87" w:rsidRPr="00253588" w:rsidRDefault="00677F87" w:rsidP="00162C8F">
            <w:pPr>
              <w:tabs>
                <w:tab w:val="left" w:pos="850"/>
                <w:tab w:val="left" w:pos="1191"/>
                <w:tab w:val="left" w:pos="1531"/>
              </w:tabs>
              <w:ind w:left="7" w:right="-471"/>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4,94</w:t>
            </w:r>
          </w:p>
        </w:tc>
        <w:tc>
          <w:tcPr>
            <w:tcW w:w="1802" w:type="dxa"/>
            <w:tcBorders>
              <w:top w:val="single" w:sz="4" w:space="0" w:color="000000"/>
              <w:left w:val="single" w:sz="4" w:space="0" w:color="000000"/>
              <w:bottom w:val="single" w:sz="4" w:space="0" w:color="000000"/>
              <w:right w:val="single" w:sz="4" w:space="0" w:color="auto"/>
            </w:tcBorders>
          </w:tcPr>
          <w:p w:rsidR="00677F87" w:rsidRPr="00253588" w:rsidRDefault="00677F87" w:rsidP="00162C8F">
            <w:pPr>
              <w:tabs>
                <w:tab w:val="left" w:pos="850"/>
                <w:tab w:val="left" w:pos="1191"/>
                <w:tab w:val="left" w:pos="1531"/>
              </w:tabs>
              <w:ind w:left="7" w:right="-471"/>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93%</w:t>
            </w:r>
          </w:p>
        </w:tc>
        <w:tc>
          <w:tcPr>
            <w:tcW w:w="1715" w:type="dxa"/>
            <w:tcBorders>
              <w:top w:val="single" w:sz="4" w:space="0" w:color="000000"/>
              <w:left w:val="single" w:sz="4" w:space="0" w:color="auto"/>
              <w:bottom w:val="single" w:sz="4" w:space="0" w:color="000000"/>
              <w:right w:val="single" w:sz="4" w:space="0" w:color="000000"/>
            </w:tcBorders>
          </w:tcPr>
          <w:p w:rsidR="00677F87" w:rsidRPr="00253588" w:rsidRDefault="00677F87" w:rsidP="00162C8F">
            <w:pPr>
              <w:tabs>
                <w:tab w:val="left" w:pos="850"/>
                <w:tab w:val="left" w:pos="1191"/>
                <w:tab w:val="left" w:pos="1531"/>
              </w:tabs>
              <w:ind w:left="7" w:right="-471"/>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88%</w:t>
            </w:r>
          </w:p>
        </w:tc>
      </w:tr>
      <w:tr w:rsidR="00162C8F" w:rsidRPr="00AC188A" w:rsidTr="00162C8F">
        <w:trPr>
          <w:trHeight w:val="264"/>
          <w:jc w:val="center"/>
        </w:trPr>
        <w:tc>
          <w:tcPr>
            <w:tcW w:w="2046" w:type="dxa"/>
            <w:tcBorders>
              <w:top w:val="single" w:sz="4" w:space="0" w:color="000000"/>
              <w:left w:val="single" w:sz="4" w:space="0" w:color="000000"/>
              <w:bottom w:val="single" w:sz="4" w:space="0" w:color="000000"/>
              <w:right w:val="single" w:sz="4" w:space="0" w:color="000000"/>
            </w:tcBorders>
            <w:shd w:val="clear" w:color="auto" w:fill="D8E9F2"/>
          </w:tcPr>
          <w:p w:rsidR="00677F87" w:rsidRPr="00253588" w:rsidRDefault="00677F87" w:rsidP="00677F87">
            <w:pPr>
              <w:tabs>
                <w:tab w:val="left" w:pos="850"/>
                <w:tab w:val="left" w:pos="1191"/>
                <w:tab w:val="left" w:pos="1531"/>
              </w:tabs>
              <w:ind w:right="-471"/>
              <w:jc w:val="both"/>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 xml:space="preserve">po javnim konkursima  </w:t>
            </w:r>
          </w:p>
        </w:tc>
        <w:tc>
          <w:tcPr>
            <w:tcW w:w="1729" w:type="dxa"/>
            <w:tcBorders>
              <w:top w:val="single" w:sz="4" w:space="0" w:color="000000"/>
              <w:left w:val="single" w:sz="4" w:space="0" w:color="000000"/>
              <w:bottom w:val="single" w:sz="4" w:space="0" w:color="000000"/>
              <w:right w:val="single" w:sz="4" w:space="0" w:color="auto"/>
            </w:tcBorders>
          </w:tcPr>
          <w:p w:rsidR="00677F87" w:rsidRPr="00253588" w:rsidRDefault="00677F87" w:rsidP="00162C8F">
            <w:pPr>
              <w:tabs>
                <w:tab w:val="left" w:pos="850"/>
                <w:tab w:val="left" w:pos="1191"/>
                <w:tab w:val="left" w:pos="1531"/>
              </w:tabs>
              <w:ind w:left="7" w:right="-471"/>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1,38</w:t>
            </w:r>
          </w:p>
        </w:tc>
        <w:tc>
          <w:tcPr>
            <w:tcW w:w="1618" w:type="dxa"/>
            <w:tcBorders>
              <w:top w:val="single" w:sz="4" w:space="0" w:color="000000"/>
              <w:left w:val="single" w:sz="4" w:space="0" w:color="auto"/>
              <w:bottom w:val="single" w:sz="4" w:space="0" w:color="000000"/>
              <w:right w:val="single" w:sz="4" w:space="0" w:color="000000"/>
            </w:tcBorders>
          </w:tcPr>
          <w:p w:rsidR="00677F87" w:rsidRPr="00253588" w:rsidRDefault="00677F87" w:rsidP="00162C8F">
            <w:pPr>
              <w:tabs>
                <w:tab w:val="left" w:pos="850"/>
                <w:tab w:val="left" w:pos="1191"/>
                <w:tab w:val="left" w:pos="1531"/>
              </w:tabs>
              <w:ind w:left="7" w:right="-471"/>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2,14</w:t>
            </w:r>
          </w:p>
        </w:tc>
        <w:tc>
          <w:tcPr>
            <w:tcW w:w="1802" w:type="dxa"/>
            <w:tcBorders>
              <w:top w:val="single" w:sz="4" w:space="0" w:color="000000"/>
              <w:left w:val="single" w:sz="4" w:space="0" w:color="000000"/>
              <w:bottom w:val="single" w:sz="4" w:space="0" w:color="000000"/>
              <w:right w:val="single" w:sz="4" w:space="0" w:color="auto"/>
            </w:tcBorders>
          </w:tcPr>
          <w:p w:rsidR="00677F87" w:rsidRPr="00253588" w:rsidRDefault="00677F87" w:rsidP="00162C8F">
            <w:pPr>
              <w:tabs>
                <w:tab w:val="left" w:pos="850"/>
                <w:tab w:val="left" w:pos="1191"/>
                <w:tab w:val="left" w:pos="1531"/>
              </w:tabs>
              <w:ind w:left="10" w:right="-471"/>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100%</w:t>
            </w:r>
          </w:p>
        </w:tc>
        <w:tc>
          <w:tcPr>
            <w:tcW w:w="1715" w:type="dxa"/>
            <w:tcBorders>
              <w:top w:val="single" w:sz="4" w:space="0" w:color="000000"/>
              <w:left w:val="single" w:sz="4" w:space="0" w:color="auto"/>
              <w:bottom w:val="single" w:sz="4" w:space="0" w:color="000000"/>
              <w:right w:val="single" w:sz="4" w:space="0" w:color="000000"/>
            </w:tcBorders>
          </w:tcPr>
          <w:p w:rsidR="00677F87" w:rsidRPr="00253588" w:rsidRDefault="00677F87" w:rsidP="00162C8F">
            <w:pPr>
              <w:tabs>
                <w:tab w:val="left" w:pos="850"/>
                <w:tab w:val="left" w:pos="1191"/>
                <w:tab w:val="left" w:pos="1531"/>
              </w:tabs>
              <w:ind w:left="10" w:right="-471"/>
              <w:jc w:val="center"/>
              <w:rPr>
                <w:rFonts w:asciiTheme="majorHAnsi" w:eastAsia="Arial" w:hAnsiTheme="majorHAnsi" w:cstheme="majorHAnsi"/>
                <w:color w:val="002060"/>
                <w:kern w:val="0"/>
                <w:sz w:val="20"/>
                <w:szCs w:val="20"/>
                <w:lang w:eastAsia="zh-CN"/>
              </w:rPr>
            </w:pPr>
            <w:r w:rsidRPr="00253588">
              <w:rPr>
                <w:rFonts w:asciiTheme="majorHAnsi" w:eastAsia="Arial" w:hAnsiTheme="majorHAnsi" w:cstheme="majorHAnsi"/>
                <w:color w:val="002060"/>
                <w:kern w:val="0"/>
                <w:sz w:val="20"/>
                <w:szCs w:val="20"/>
                <w:lang w:eastAsia="zh-CN"/>
              </w:rPr>
              <w:t>100%</w:t>
            </w:r>
          </w:p>
        </w:tc>
      </w:tr>
      <w:tr w:rsidR="00AC188A" w:rsidRPr="00AC188A" w:rsidTr="00162C8F">
        <w:trPr>
          <w:trHeight w:val="299"/>
          <w:jc w:val="center"/>
        </w:trPr>
        <w:tc>
          <w:tcPr>
            <w:tcW w:w="8910" w:type="dxa"/>
            <w:gridSpan w:val="5"/>
            <w:tcBorders>
              <w:top w:val="single" w:sz="4" w:space="0" w:color="000000"/>
            </w:tcBorders>
          </w:tcPr>
          <w:p w:rsidR="00677F87" w:rsidRPr="00162C8F" w:rsidRDefault="00677F87" w:rsidP="00162C8F">
            <w:pPr>
              <w:tabs>
                <w:tab w:val="left" w:pos="850"/>
                <w:tab w:val="left" w:pos="1191"/>
                <w:tab w:val="left" w:pos="1531"/>
              </w:tabs>
              <w:spacing w:before="60"/>
              <w:ind w:left="14" w:right="-471"/>
              <w:rPr>
                <w:rFonts w:asciiTheme="majorHAnsi" w:eastAsia="Arial" w:hAnsiTheme="majorHAnsi" w:cstheme="majorHAnsi"/>
                <w:i/>
                <w:color w:val="002060"/>
                <w:kern w:val="0"/>
                <w:sz w:val="18"/>
                <w:szCs w:val="18"/>
                <w:lang w:eastAsia="zh-CN"/>
              </w:rPr>
            </w:pPr>
            <w:r w:rsidRPr="00162C8F">
              <w:rPr>
                <w:rFonts w:asciiTheme="majorHAnsi" w:hAnsiTheme="majorHAnsi" w:cstheme="majorHAnsi"/>
                <w:i/>
                <w:kern w:val="0"/>
                <w:sz w:val="18"/>
                <w:szCs w:val="18"/>
                <w:lang w:eastAsia="zh-CN"/>
              </w:rPr>
              <w:t>Tabela je preuzeta iz „Analize stanja u oblasti upravljanja ljudskim resursima“, Uprava za kadrove, jun 2021. godine</w:t>
            </w:r>
          </w:p>
        </w:tc>
      </w:tr>
    </w:tbl>
    <w:p w:rsidR="00677F87" w:rsidRPr="007E14C5" w:rsidRDefault="00677F87" w:rsidP="00677F87">
      <w:pPr>
        <w:tabs>
          <w:tab w:val="left" w:pos="850"/>
          <w:tab w:val="left" w:pos="1191"/>
          <w:tab w:val="left" w:pos="1531"/>
        </w:tabs>
        <w:spacing w:before="0" w:after="0" w:line="240" w:lineRule="auto"/>
        <w:ind w:right="-471"/>
        <w:jc w:val="both"/>
        <w:rPr>
          <w:rFonts w:asciiTheme="majorHAnsi" w:eastAsia="Calibri" w:hAnsiTheme="majorHAnsi" w:cstheme="majorHAnsi"/>
          <w:color w:val="002060"/>
          <w:kern w:val="0"/>
          <w:sz w:val="24"/>
          <w:szCs w:val="24"/>
          <w:lang w:eastAsia="zh-CN"/>
        </w:rPr>
      </w:pPr>
    </w:p>
    <w:p w:rsidR="00677F87" w:rsidRPr="00CB681C" w:rsidRDefault="00677F87" w:rsidP="00677F87">
      <w:pPr>
        <w:shd w:val="clear" w:color="auto" w:fill="FFFFFF" w:themeFill="background1"/>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b/>
          <w:color w:val="auto"/>
          <w:kern w:val="0"/>
          <w:sz w:val="24"/>
          <w:szCs w:val="24"/>
          <w:lang w:eastAsia="zh-CN"/>
        </w:rPr>
        <w:t>Procedure zapošljavanja duge</w:t>
      </w:r>
      <w:r w:rsidRPr="00CB681C">
        <w:rPr>
          <w:rFonts w:asciiTheme="majorHAnsi" w:eastAsia="Calibri" w:hAnsiTheme="majorHAnsi" w:cstheme="majorHAnsi"/>
          <w:color w:val="auto"/>
          <w:kern w:val="0"/>
          <w:sz w:val="24"/>
          <w:szCs w:val="24"/>
          <w:lang w:eastAsia="zh-CN"/>
        </w:rPr>
        <w:t>, uglavnom usljed činjenice da se odluka o izboru mora dostaviti svim prijavljenim kandidatima (u skladu sa odredbama ZUP-a)</w:t>
      </w:r>
      <w:r w:rsidR="00E85DCF" w:rsidRPr="00CB681C">
        <w:rPr>
          <w:rFonts w:asciiTheme="majorHAnsi" w:eastAsia="Calibri" w:hAnsiTheme="majorHAnsi" w:cstheme="majorHAnsi"/>
          <w:color w:val="auto"/>
          <w:kern w:val="0"/>
          <w:sz w:val="24"/>
          <w:szCs w:val="24"/>
          <w:lang w:eastAsia="zh-CN"/>
        </w:rPr>
        <w:t xml:space="preserve"> </w:t>
      </w:r>
      <w:r w:rsidRPr="00CB681C">
        <w:rPr>
          <w:rFonts w:asciiTheme="majorHAnsi" w:eastAsia="Calibri" w:hAnsiTheme="majorHAnsi" w:cstheme="majorHAnsi"/>
          <w:color w:val="auto"/>
          <w:kern w:val="0"/>
          <w:sz w:val="24"/>
          <w:szCs w:val="24"/>
          <w:lang w:eastAsia="zh-CN"/>
        </w:rPr>
        <w:t>od kog trenutka teče rok za žalbu</w:t>
      </w:r>
      <w:r w:rsidR="00E85DCF" w:rsidRPr="00CB681C">
        <w:rPr>
          <w:rFonts w:asciiTheme="majorHAnsi" w:eastAsia="Calibri" w:hAnsiTheme="majorHAnsi" w:cstheme="majorHAnsi"/>
          <w:color w:val="auto"/>
          <w:kern w:val="0"/>
          <w:sz w:val="24"/>
          <w:szCs w:val="24"/>
          <w:lang w:eastAsia="zh-CN"/>
        </w:rPr>
        <w:t>.</w:t>
      </w:r>
      <w:r w:rsidRPr="00CB681C">
        <w:rPr>
          <w:rFonts w:asciiTheme="majorHAnsi" w:eastAsia="Calibri" w:hAnsiTheme="majorHAnsi" w:cstheme="majorHAnsi"/>
          <w:color w:val="auto"/>
          <w:kern w:val="0"/>
          <w:sz w:val="24"/>
          <w:szCs w:val="24"/>
          <w:vertAlign w:val="superscript"/>
          <w:lang w:eastAsia="zh-CN"/>
        </w:rPr>
        <w:footnoteReference w:id="67"/>
      </w:r>
      <w:r w:rsidRPr="00CB681C">
        <w:rPr>
          <w:rFonts w:asciiTheme="majorHAnsi" w:eastAsia="Calibri" w:hAnsiTheme="majorHAnsi" w:cstheme="majorHAnsi"/>
          <w:color w:val="auto"/>
          <w:kern w:val="0"/>
          <w:sz w:val="24"/>
          <w:szCs w:val="24"/>
          <w:lang w:eastAsia="zh-CN"/>
        </w:rPr>
        <w:t xml:space="preserve"> </w:t>
      </w:r>
      <w:r w:rsidRPr="00CB681C">
        <w:rPr>
          <w:rFonts w:asciiTheme="majorHAnsi" w:eastAsia="Calibri" w:hAnsiTheme="majorHAnsi" w:cstheme="majorHAnsi"/>
          <w:b/>
          <w:color w:val="auto"/>
          <w:kern w:val="0"/>
          <w:sz w:val="24"/>
          <w:szCs w:val="24"/>
          <w:lang w:eastAsia="zh-CN"/>
        </w:rPr>
        <w:t>Ne postoji mogućnost elektronske prijave kandidata na oglase i konkurse</w:t>
      </w:r>
      <w:r w:rsidRPr="00CB681C">
        <w:rPr>
          <w:rFonts w:asciiTheme="majorHAnsi" w:eastAsia="Calibri" w:hAnsiTheme="majorHAnsi" w:cstheme="majorHAnsi"/>
          <w:color w:val="auto"/>
          <w:kern w:val="0"/>
          <w:sz w:val="24"/>
          <w:szCs w:val="24"/>
          <w:lang w:eastAsia="zh-CN"/>
        </w:rPr>
        <w:t xml:space="preserve"> čime bi se kandidatima omogućio jednostavniji pristup prijavi i podnošenju potrebne dokumentacije. Ipak, važećim Zakonom o državnim </w:t>
      </w:r>
      <w:r w:rsidRPr="00CB681C">
        <w:rPr>
          <w:rFonts w:asciiTheme="majorHAnsi" w:eastAsia="Calibri" w:hAnsiTheme="majorHAnsi" w:cstheme="majorHAnsi"/>
          <w:color w:val="auto"/>
          <w:kern w:val="0"/>
          <w:sz w:val="24"/>
          <w:szCs w:val="24"/>
          <w:lang w:eastAsia="zh-CN"/>
        </w:rPr>
        <w:lastRenderedPageBreak/>
        <w:t>službenicima uveden je i sistem elektronskog testiranja kandidata pri čemu se kandidati testiraju pod šifrom, a svaki kandidat dobija test iste težine kako bi se obezbijedila objektivnost i transparentnost u ovom dijelu postupka selekcije. Važeći Zakon o državnim službenicima i namještenicima</w:t>
      </w:r>
      <w:r w:rsidRPr="00CB681C">
        <w:rPr>
          <w:rFonts w:asciiTheme="majorHAnsi" w:eastAsia="Calibri" w:hAnsiTheme="majorHAnsi" w:cstheme="majorHAnsi"/>
          <w:color w:val="auto"/>
          <w:kern w:val="0"/>
          <w:sz w:val="24"/>
          <w:szCs w:val="24"/>
          <w:vertAlign w:val="superscript"/>
          <w:lang w:eastAsia="zh-CN"/>
        </w:rPr>
        <w:footnoteReference w:id="68"/>
      </w:r>
      <w:r w:rsidRPr="00CB681C">
        <w:rPr>
          <w:rFonts w:asciiTheme="majorHAnsi" w:eastAsia="Calibri" w:hAnsiTheme="majorHAnsi" w:cstheme="majorHAnsi"/>
          <w:color w:val="auto"/>
          <w:kern w:val="0"/>
          <w:sz w:val="24"/>
          <w:szCs w:val="24"/>
          <w:lang w:eastAsia="zh-CN"/>
        </w:rPr>
        <w:t xml:space="preserve"> u članu 46. propisuje provjeru znanja, vještina i kompetencija za sve kategorije državnih službenika dok se u praksi u postupcima popune radnih mjesta, kompetencije trenutno provjeravaju samo za visoko-rukovodni kadar i starješine organa, ali ne i za ostale kategorije državnih službenika.</w:t>
      </w:r>
    </w:p>
    <w:p w:rsidR="00345235" w:rsidRPr="00CB681C" w:rsidRDefault="00677F87" w:rsidP="00677F87">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Prema istraživanjima javnog mnjenja, koja se sprovode za potrebe Instituta alternativa, crnogorski građani iz godine u godinu nemaju povoljne percepcije o integritetu zapošljavanja u javnoj upravi. Najveći udio građana Crne Gore smatra političke veze ključnim faktorom zapošljavanja u javnoj upravi (43%), a svaki četvrti vidi prijateljske/rodbinske veze (24%), odnosno obrazovanje, sposobnost i iskustvo kandidata (24%) kao ključne</w:t>
      </w:r>
      <w:r w:rsidRPr="00CB681C">
        <w:rPr>
          <w:rFonts w:asciiTheme="majorHAnsi" w:eastAsia="Calibri" w:hAnsiTheme="majorHAnsi" w:cstheme="majorHAnsi"/>
          <w:color w:val="auto"/>
          <w:kern w:val="0"/>
          <w:sz w:val="24"/>
          <w:szCs w:val="24"/>
          <w:vertAlign w:val="superscript"/>
          <w:lang w:eastAsia="zh-CN"/>
        </w:rPr>
        <w:footnoteReference w:id="69"/>
      </w:r>
      <w:r w:rsidR="00CB681C">
        <w:rPr>
          <w:rFonts w:asciiTheme="majorHAnsi" w:eastAsia="Calibri" w:hAnsiTheme="majorHAnsi" w:cstheme="majorHAnsi"/>
          <w:color w:val="auto"/>
          <w:kern w:val="0"/>
          <w:sz w:val="24"/>
          <w:szCs w:val="24"/>
          <w:lang w:eastAsia="zh-CN"/>
        </w:rPr>
        <w:t>.</w:t>
      </w:r>
    </w:p>
    <w:p w:rsidR="00345235" w:rsidRPr="00CB681C" w:rsidRDefault="00345235" w:rsidP="00B43D4E">
      <w:pPr>
        <w:numPr>
          <w:ilvl w:val="0"/>
          <w:numId w:val="32"/>
        </w:numPr>
        <w:tabs>
          <w:tab w:val="left" w:pos="850"/>
          <w:tab w:val="left" w:pos="1191"/>
          <w:tab w:val="left" w:pos="1531"/>
        </w:tabs>
        <w:spacing w:before="120" w:after="120" w:line="240" w:lineRule="auto"/>
        <w:ind w:right="-475"/>
        <w:jc w:val="both"/>
        <w:rPr>
          <w:rFonts w:asciiTheme="majorHAnsi" w:eastAsia="Calibri" w:hAnsiTheme="majorHAnsi" w:cstheme="majorHAnsi"/>
          <w:i/>
          <w:color w:val="auto"/>
          <w:kern w:val="0"/>
          <w:sz w:val="24"/>
          <w:szCs w:val="24"/>
          <w:lang w:eastAsia="zh-CN"/>
        </w:rPr>
      </w:pPr>
      <w:r w:rsidRPr="00CB681C">
        <w:rPr>
          <w:rFonts w:asciiTheme="majorHAnsi" w:eastAsia="Calibri" w:hAnsiTheme="majorHAnsi" w:cstheme="majorHAnsi"/>
          <w:b/>
          <w:i/>
          <w:color w:val="auto"/>
          <w:kern w:val="0"/>
          <w:sz w:val="24"/>
          <w:szCs w:val="24"/>
          <w:lang w:eastAsia="zh-CN"/>
        </w:rPr>
        <w:t>Neažuran Informacioni sistem za upravljanje ljudskim resirsima (KIS)</w:t>
      </w:r>
    </w:p>
    <w:p w:rsidR="00345235" w:rsidRPr="00CB681C" w:rsidRDefault="00345235" w:rsidP="007E14C5">
      <w:pPr>
        <w:tabs>
          <w:tab w:val="left" w:pos="850"/>
          <w:tab w:val="left" w:pos="1191"/>
          <w:tab w:val="left" w:pos="1531"/>
        </w:tabs>
        <w:spacing w:before="0" w:after="120" w:line="240" w:lineRule="auto"/>
        <w:ind w:right="-475"/>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Dodatni problem je </w:t>
      </w:r>
      <w:r w:rsidRPr="00CB681C">
        <w:rPr>
          <w:rFonts w:asciiTheme="majorHAnsi" w:eastAsia="Calibri" w:hAnsiTheme="majorHAnsi" w:cstheme="majorHAnsi"/>
          <w:b/>
          <w:color w:val="auto"/>
          <w:kern w:val="0"/>
          <w:sz w:val="24"/>
          <w:szCs w:val="24"/>
          <w:lang w:eastAsia="zh-CN"/>
        </w:rPr>
        <w:t>n</w:t>
      </w:r>
      <w:r w:rsidRPr="00CB681C">
        <w:rPr>
          <w:rFonts w:asciiTheme="majorHAnsi" w:eastAsia="Times New Roman" w:hAnsiTheme="majorHAnsi" w:cstheme="majorHAnsi"/>
          <w:b/>
          <w:color w:val="auto"/>
          <w:kern w:val="0"/>
          <w:sz w:val="24"/>
          <w:szCs w:val="24"/>
          <w:lang w:eastAsia="zh-CN"/>
        </w:rPr>
        <w:t xml:space="preserve">eaužurnost </w:t>
      </w:r>
      <w:r w:rsidRPr="00CB681C">
        <w:rPr>
          <w:rFonts w:asciiTheme="majorHAnsi" w:eastAsia="Calibri" w:hAnsiTheme="majorHAnsi" w:cstheme="majorHAnsi"/>
          <w:b/>
          <w:color w:val="auto"/>
          <w:kern w:val="0"/>
          <w:sz w:val="24"/>
          <w:szCs w:val="24"/>
          <w:lang w:eastAsia="zh-CN"/>
        </w:rPr>
        <w:t>Centralne kadrovske evidencije (</w:t>
      </w:r>
      <w:r w:rsidRPr="00CB681C">
        <w:rPr>
          <w:rFonts w:asciiTheme="majorHAnsi" w:eastAsia="Times New Roman" w:hAnsiTheme="majorHAnsi" w:cstheme="majorHAnsi"/>
          <w:b/>
          <w:color w:val="auto"/>
          <w:kern w:val="0"/>
          <w:sz w:val="24"/>
          <w:szCs w:val="24"/>
          <w:lang w:eastAsia="zh-CN"/>
        </w:rPr>
        <w:t>CKE)</w:t>
      </w:r>
      <w:r w:rsidRPr="00CB681C">
        <w:rPr>
          <w:rFonts w:asciiTheme="majorHAnsi" w:eastAsia="Calibri" w:hAnsiTheme="majorHAnsi" w:cstheme="majorHAnsi"/>
          <w:b/>
          <w:color w:val="auto"/>
          <w:kern w:val="0"/>
          <w:sz w:val="24"/>
          <w:szCs w:val="24"/>
          <w:lang w:eastAsia="zh-CN"/>
        </w:rPr>
        <w:t xml:space="preserve"> odnosno Kadrovskog informacionog sistema (KIS)</w:t>
      </w:r>
      <w:r w:rsidRPr="00CB681C">
        <w:rPr>
          <w:rFonts w:asciiTheme="majorHAnsi" w:eastAsia="Times New Roman" w:hAnsiTheme="majorHAnsi" w:cstheme="majorHAnsi"/>
          <w:b/>
          <w:color w:val="auto"/>
          <w:kern w:val="0"/>
          <w:sz w:val="24"/>
          <w:szCs w:val="24"/>
          <w:lang w:eastAsia="zh-CN"/>
        </w:rPr>
        <w:t xml:space="preserve">, </w:t>
      </w:r>
      <w:r w:rsidRPr="00CB681C">
        <w:rPr>
          <w:rFonts w:asciiTheme="majorHAnsi" w:eastAsia="Times New Roman" w:hAnsiTheme="majorHAnsi" w:cstheme="majorHAnsi"/>
          <w:color w:val="auto"/>
          <w:kern w:val="0"/>
          <w:sz w:val="24"/>
          <w:szCs w:val="24"/>
          <w:lang w:eastAsia="zh-CN"/>
        </w:rPr>
        <w:t xml:space="preserve">kao jedinog digitalnog alata u oblasti upravljanja ljudskim resursima </w:t>
      </w:r>
      <w:r w:rsidRPr="00CB681C">
        <w:rPr>
          <w:rFonts w:asciiTheme="majorHAnsi" w:eastAsia="Times New Roman" w:hAnsiTheme="majorHAnsi" w:cstheme="majorHAnsi"/>
          <w:b/>
          <w:color w:val="auto"/>
          <w:kern w:val="0"/>
          <w:sz w:val="24"/>
          <w:szCs w:val="24"/>
          <w:lang w:eastAsia="zh-CN"/>
        </w:rPr>
        <w:t>i neuvezanost KIS sa drugim evidencijama o zaposlenima u državnim organima</w:t>
      </w:r>
      <w:r w:rsidRPr="00CB681C">
        <w:rPr>
          <w:rFonts w:asciiTheme="majorHAnsi" w:eastAsia="Times New Roman" w:hAnsiTheme="majorHAnsi" w:cstheme="majorHAnsi"/>
          <w:color w:val="auto"/>
          <w:kern w:val="0"/>
          <w:sz w:val="24"/>
          <w:szCs w:val="24"/>
          <w:lang w:eastAsia="zh-CN"/>
        </w:rPr>
        <w:t xml:space="preserve">. </w:t>
      </w:r>
    </w:p>
    <w:p w:rsidR="00345235" w:rsidRPr="00CB681C" w:rsidRDefault="00345235" w:rsidP="007E14C5">
      <w:pPr>
        <w:tabs>
          <w:tab w:val="left" w:pos="850"/>
          <w:tab w:val="left" w:pos="1191"/>
          <w:tab w:val="left" w:pos="1531"/>
        </w:tabs>
        <w:spacing w:before="0" w:after="12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Iako je Zakonom o državnim službenicima i namještenicima propisano da je KIS uvezana sa sistemom zarada, taj postupak još uvijek nije u potpunosti sproveden (u</w:t>
      </w:r>
      <w:r w:rsidRPr="00CB681C">
        <w:rPr>
          <w:rFonts w:asciiTheme="majorHAnsi" w:eastAsia="Times New Roman" w:hAnsiTheme="majorHAnsi" w:cstheme="majorHAnsi"/>
          <w:color w:val="auto"/>
          <w:kern w:val="0"/>
          <w:sz w:val="24"/>
          <w:szCs w:val="24"/>
          <w:lang w:eastAsia="zh-CN"/>
        </w:rPr>
        <w:t xml:space="preserve"> novembru 2020. godine KIS je povezana sa informacionim sistemom za obračun zarada, a prvi pilot obračuna zarada na osnovu podataka iz KIS je pokrenut tokom juna 2021. godine).</w:t>
      </w:r>
      <w:r w:rsidRPr="00CB681C">
        <w:rPr>
          <w:rFonts w:asciiTheme="majorHAnsi" w:eastAsia="Calibri" w:hAnsiTheme="majorHAnsi" w:cstheme="majorHAnsi"/>
          <w:color w:val="auto"/>
          <w:kern w:val="0"/>
          <w:sz w:val="24"/>
          <w:szCs w:val="24"/>
          <w:lang w:eastAsia="zh-CN"/>
        </w:rPr>
        <w:t xml:space="preserve"> </w:t>
      </w:r>
    </w:p>
    <w:p w:rsidR="00345235" w:rsidRPr="00CB681C" w:rsidRDefault="00162C8F" w:rsidP="007E14C5">
      <w:pPr>
        <w:tabs>
          <w:tab w:val="left" w:pos="850"/>
          <w:tab w:val="left" w:pos="1191"/>
          <w:tab w:val="left" w:pos="1531"/>
        </w:tabs>
        <w:spacing w:before="0" w:after="12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noProof/>
          <w:color w:val="auto"/>
          <w:kern w:val="0"/>
          <w:sz w:val="24"/>
          <w:szCs w:val="24"/>
          <w:lang w:eastAsia="sr-Latn-RS"/>
        </w:rPr>
        <mc:AlternateContent>
          <mc:Choice Requires="wpg">
            <w:drawing>
              <wp:anchor distT="0" distB="0" distL="228600" distR="228600" simplePos="0" relativeHeight="251893760" behindDoc="0" locked="0" layoutInCell="1" allowOverlap="1" wp14:anchorId="044FD656" wp14:editId="05DE4E21">
                <wp:simplePos x="0" y="0"/>
                <wp:positionH relativeFrom="margin">
                  <wp:posOffset>2531110</wp:posOffset>
                </wp:positionH>
                <wp:positionV relativeFrom="page">
                  <wp:posOffset>6333490</wp:posOffset>
                </wp:positionV>
                <wp:extent cx="3672205" cy="1760220"/>
                <wp:effectExtent l="0" t="0" r="4445" b="11430"/>
                <wp:wrapSquare wrapText="bothSides"/>
                <wp:docPr id="155" name="Group 155"/>
                <wp:cNvGraphicFramePr/>
                <a:graphic xmlns:a="http://schemas.openxmlformats.org/drawingml/2006/main">
                  <a:graphicData uri="http://schemas.microsoft.com/office/word/2010/wordprocessingGroup">
                    <wpg:wgp>
                      <wpg:cNvGrpSpPr/>
                      <wpg:grpSpPr>
                        <a:xfrm>
                          <a:off x="0" y="0"/>
                          <a:ext cx="3672205" cy="1760220"/>
                          <a:chOff x="-39348" y="0"/>
                          <a:chExt cx="3258036" cy="2028766"/>
                        </a:xfrm>
                      </wpg:grpSpPr>
                      <wps:wsp>
                        <wps:cNvPr id="156" name="Rectangle 156"/>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 name="Group 157"/>
                        <wpg:cNvGrpSpPr/>
                        <wpg:grpSpPr>
                          <a:xfrm>
                            <a:off x="0" y="19050"/>
                            <a:ext cx="2249424" cy="832104"/>
                            <a:chOff x="228600" y="0"/>
                            <a:chExt cx="1472184" cy="1024128"/>
                          </a:xfrm>
                        </wpg:grpSpPr>
                        <wps:wsp>
                          <wps:cNvPr id="158"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 name="Text Box 160"/>
                        <wps:cNvSpPr txBox="1"/>
                        <wps:spPr>
                          <a:xfrm>
                            <a:off x="-39348" y="0"/>
                            <a:ext cx="3258035" cy="2028766"/>
                          </a:xfrm>
                          <a:prstGeom prst="rect">
                            <a:avLst/>
                          </a:prstGeom>
                          <a:noFill/>
                          <a:ln w="6350">
                            <a:noFill/>
                          </a:ln>
                          <a:effectLst/>
                        </wps:spPr>
                        <wps:txbx>
                          <w:txbxContent>
                            <w:p w:rsidR="00F735BC" w:rsidRDefault="00F735BC" w:rsidP="00952FB8">
                              <w:pPr>
                                <w:pStyle w:val="NoSpacing"/>
                                <w:ind w:left="360" w:right="30"/>
                                <w:jc w:val="right"/>
                                <w:rPr>
                                  <w:smallCaps/>
                                  <w:color w:val="333C3D" w:themeColor="accent5" w:themeShade="80"/>
                                  <w:kern w:val="20"/>
                                  <w:lang w:val="sr-Latn-RS"/>
                                </w:rPr>
                              </w:pPr>
                              <w:r w:rsidRPr="006D5ACC">
                                <w:rPr>
                                  <w:smallCaps/>
                                  <w:color w:val="333C3D" w:themeColor="accent5" w:themeShade="80"/>
                                  <w:kern w:val="20"/>
                                  <w:lang w:val="sr-Latn-RS"/>
                                </w:rPr>
                                <w:t xml:space="preserve">Zapošljavanje preko </w:t>
                              </w:r>
                              <w:r>
                                <w:rPr>
                                  <w:smallCaps/>
                                  <w:color w:val="333C3D" w:themeColor="accent5" w:themeShade="80"/>
                                  <w:kern w:val="20"/>
                                  <w:lang w:val="sr-Latn-RS"/>
                                </w:rPr>
                                <w:t xml:space="preserve">uprave za kadrove podrazumijeva </w:t>
                              </w:r>
                              <w:r w:rsidRPr="006D5ACC">
                                <w:rPr>
                                  <w:smallCaps/>
                                  <w:color w:val="333C3D" w:themeColor="accent5" w:themeShade="80"/>
                                  <w:kern w:val="20"/>
                                  <w:lang w:val="sr-Latn-RS"/>
                                </w:rPr>
                                <w:t>20 dana sakupljanje dokumentacije da biste se prijavili na oglas. Bolja praksa je da ide sve online. Tek ako budete izabrani donosite sve to, a kod nas se sve unaprijed donosi i ljudi se izlažu trošku. Proces prijavljivanja za slobodna radna mjesta da je online i da prvo priloži skenirana dokumentacija, a kasnije originalna ako budete odabrani. Ljudi koji idu u penziju – kad krene da ide u penziju, ustanovi tek tada da mu nije upisan staž. Da, recimo, postoji da možete sa jmbg da provjerite da li vam je regularno upisan staž i plaćene sve obaveze od strane poslodavaca.</w:t>
                              </w:r>
                            </w:p>
                            <w:p w:rsidR="00F735BC" w:rsidRDefault="00F735BC" w:rsidP="00952FB8">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4FD656" id="Group 155" o:spid="_x0000_s1089" style="position:absolute;left:0;text-align:left;margin-left:199.3pt;margin-top:498.7pt;width:289.15pt;height:138.6pt;z-index:251893760;mso-wrap-distance-left:18pt;mso-wrap-distance-right:18pt;mso-position-horizontal-relative:margin;mso-position-vertical-relative:page;mso-width-relative:margin;mso-height-relative:margin" coordorigin="-393" coordsize="32580,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">
                <v:rect id="Rectangle 156" o:spid="_x0000_s1090"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" stroked="f" strokeweight="2pt">
                  <v:fill opacity="0"/>
                </v:rect>
                <v:group id="Group 157" o:spid="_x0000_s109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Rectangle 10" o:spid="_x0000_s109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" path="m,l2240281,,1659256,222885,,822960,,xe" fillcolor="#7e97ad" stroked="f" strokeweight="2pt">
                    <v:path arrowok="t" o:connecttype="custom" o:connectlocs="0,0;1466258,0;1085979,274158;0,1012274;0,0" o:connectangles="0,0,0,0,0"/>
                  </v:shape>
                  <v:rect id="Rectangle 159" o:spid="_x0000_s109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" stroked="f" strokeweight="2pt">
                    <v:fill r:id="rId69" o:title="" recolor="t" rotate="t" type="frame"/>
                  </v:rect>
                </v:group>
                <v:shape id="Text Box 160" o:spid="_x0000_s1094" type="#_x0000_t202" style="position:absolute;left:-393;width:32579;height:2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" filled="f" stroked="f" strokeweight=".5pt">
                  <v:textbox inset="3.6pt,7.2pt,0,0">
                    <w:txbxContent>
                      <w:p w:rsidR="00F735BC" w:rsidRDefault="00F735BC" w:rsidP="00952FB8">
                        <w:pPr>
                          <w:pStyle w:val="NoSpacing"/>
                          <w:ind w:left="360" w:right="30"/>
                          <w:jc w:val="right"/>
                          <w:rPr>
                            <w:smallCaps/>
                            <w:color w:val="333C3D" w:themeColor="accent5" w:themeShade="80"/>
                            <w:kern w:val="20"/>
                            <w:lang w:val="sr-Latn-RS"/>
                          </w:rPr>
                        </w:pPr>
                        <w:r w:rsidRPr="006D5ACC">
                          <w:rPr>
                            <w:smallCaps/>
                            <w:color w:val="333C3D" w:themeColor="accent5" w:themeShade="80"/>
                            <w:kern w:val="20"/>
                            <w:lang w:val="sr-Latn-RS"/>
                          </w:rPr>
                          <w:t xml:space="preserve">Zapošljavanje preko </w:t>
                        </w:r>
                        <w:r>
                          <w:rPr>
                            <w:smallCaps/>
                            <w:color w:val="333C3D" w:themeColor="accent5" w:themeShade="80"/>
                            <w:kern w:val="20"/>
                            <w:lang w:val="sr-Latn-RS"/>
                          </w:rPr>
                          <w:t xml:space="preserve">uprave za kadrove podrazumijeva </w:t>
                        </w:r>
                        <w:r w:rsidRPr="006D5ACC">
                          <w:rPr>
                            <w:smallCaps/>
                            <w:color w:val="333C3D" w:themeColor="accent5" w:themeShade="80"/>
                            <w:kern w:val="20"/>
                            <w:lang w:val="sr-Latn-RS"/>
                          </w:rPr>
                          <w:t>20 dana sakupljanje dokumentacije da biste se prijavili na oglas. Bolja praksa je da ide sve online. Tek ako budete izabrani donosite sve to, a kod nas se sve unaprijed donosi i ljudi se izlažu trošku. Proces prijavljivanja za slobodna radna mjesta da je online i da prvo priloži skenirana dokumentacija, a kasnije originalna ako budete odabrani. Ljudi koji idu u penziju – kad krene da ide u penziju, ustanovi tek tada da mu nije upisan staž. Da, recimo, postoji da možete sa jmbg da provjerite da li vam je regularno upisan staž i plaćene sve obaveze od strane poslodavaca.</w:t>
                        </w:r>
                      </w:p>
                      <w:p w:rsidR="00F735BC" w:rsidRDefault="00F735BC" w:rsidP="00952FB8">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v:textbox>
                </v:shape>
                <w10:wrap type="square" anchorx="margin" anchory="page"/>
              </v:group>
            </w:pict>
          </mc:Fallback>
        </mc:AlternateContent>
      </w:r>
      <w:r w:rsidR="00345235" w:rsidRPr="00CB681C">
        <w:rPr>
          <w:rFonts w:asciiTheme="majorHAnsi" w:eastAsia="Calibri" w:hAnsiTheme="majorHAnsi" w:cstheme="majorHAnsi"/>
          <w:color w:val="auto"/>
          <w:kern w:val="0"/>
          <w:sz w:val="24"/>
          <w:szCs w:val="24"/>
          <w:lang w:eastAsia="zh-CN"/>
        </w:rPr>
        <w:t xml:space="preserve">Takođe, organi još uvijek ne unose potpune podatke i ne ažuriraju ih u KIS. </w:t>
      </w:r>
      <w:r w:rsidR="004F3F84" w:rsidRPr="00CB681C">
        <w:rPr>
          <w:rFonts w:asciiTheme="majorHAnsi" w:hAnsiTheme="majorHAnsi" w:cstheme="majorHAnsi"/>
          <w:color w:val="auto"/>
          <w:sz w:val="24"/>
          <w:szCs w:val="24"/>
        </w:rPr>
        <w:t xml:space="preserve">Razlog trenutne neažurnosti podataka je dominantno u ljudskom faktoru tj. nepravovremenom unosu i (ne) ažuriranju podataka, te činjenici da državni organi nemaju službenike koji su specijalizovani za oblast ljudskih resursa. </w:t>
      </w:r>
      <w:r w:rsidR="00345235" w:rsidRPr="00CB681C">
        <w:rPr>
          <w:rFonts w:asciiTheme="majorHAnsi" w:eastAsia="Calibri" w:hAnsiTheme="majorHAnsi" w:cstheme="majorHAnsi"/>
          <w:color w:val="auto"/>
          <w:kern w:val="0"/>
          <w:sz w:val="24"/>
          <w:szCs w:val="24"/>
          <w:lang w:eastAsia="zh-CN"/>
        </w:rPr>
        <w:t>Iz ovog razloga prikupljanje podataka o broju zaposlenih na nivou javnog sektora je sporo i neefiksano, tačnost podataka nije moguće sa sigurnošću utvrditi, drugi podaci o zaposlenima koji su od značaja za kadrovsku politiku nisu dostupni na jednom mjestu.</w:t>
      </w:r>
      <w:r w:rsidR="00345235" w:rsidRPr="00CB681C">
        <w:rPr>
          <w:rFonts w:asciiTheme="majorHAnsi" w:eastAsia="Times New Roman" w:hAnsiTheme="majorHAnsi" w:cstheme="majorHAnsi"/>
          <w:color w:val="auto"/>
          <w:kern w:val="0"/>
          <w:sz w:val="24"/>
          <w:szCs w:val="24"/>
          <w:lang w:eastAsia="zh-CN"/>
        </w:rPr>
        <w:t xml:space="preserve"> Podaci sa kojima raspolaže Uprava za kadrove, kroz KIS, u pogledu broja zaposlenih nijesu podudarni sa podacima sa kojima raspolaže Ministarstvo finansija i socijalnog staranja u odnosu na istu kategoriju subjekata. Naime, prema evidencijama Ministarstva finansija i socijalnog staranja ukupan broj zaposlenih u ovoj kategoriji je 17.888, dok je prema KIS ukupan broj zaposlenih 14.505 što je posljedica neaužurnosti od strane ovlašćenih lica za unos podataka u KIS, neuvezanosti, kao i </w:t>
      </w:r>
      <w:r w:rsidR="00345235" w:rsidRPr="00CB681C">
        <w:rPr>
          <w:rFonts w:asciiTheme="majorHAnsi" w:eastAsia="Times New Roman" w:hAnsiTheme="majorHAnsi" w:cstheme="majorHAnsi"/>
          <w:color w:val="auto"/>
          <w:kern w:val="0"/>
          <w:sz w:val="24"/>
          <w:szCs w:val="24"/>
          <w:lang w:eastAsia="zh-CN"/>
        </w:rPr>
        <w:lastRenderedPageBreak/>
        <w:t>različitog obuhvata evidencije sistema u ove dvije institucije, tj. neuparivanja podataka iz evidencija.</w:t>
      </w:r>
      <w:r w:rsidR="00345235" w:rsidRPr="00CB681C">
        <w:rPr>
          <w:rFonts w:asciiTheme="majorHAnsi" w:eastAsia="Times New Roman" w:hAnsiTheme="majorHAnsi" w:cstheme="majorHAnsi"/>
          <w:color w:val="auto"/>
          <w:kern w:val="0"/>
          <w:sz w:val="24"/>
          <w:szCs w:val="24"/>
          <w:vertAlign w:val="superscript"/>
          <w:lang w:eastAsia="zh-CN"/>
        </w:rPr>
        <w:footnoteReference w:id="70"/>
      </w:r>
    </w:p>
    <w:p w:rsidR="00345235" w:rsidRPr="00CB681C" w:rsidRDefault="00345235" w:rsidP="007E14C5">
      <w:pPr>
        <w:tabs>
          <w:tab w:val="left" w:pos="850"/>
          <w:tab w:val="left" w:pos="1191"/>
          <w:tab w:val="left" w:pos="1531"/>
        </w:tabs>
        <w:spacing w:before="0" w:after="120" w:line="240" w:lineRule="auto"/>
        <w:ind w:right="-471"/>
        <w:jc w:val="both"/>
        <w:rPr>
          <w:rFonts w:asciiTheme="majorHAnsi" w:eastAsia="Times New Roman" w:hAnsiTheme="majorHAnsi" w:cstheme="majorHAnsi"/>
          <w:color w:val="auto"/>
          <w:kern w:val="0"/>
          <w:sz w:val="24"/>
          <w:szCs w:val="24"/>
          <w:lang w:eastAsia="zh-CN"/>
        </w:rPr>
      </w:pPr>
      <w:r w:rsidRPr="00CB681C">
        <w:rPr>
          <w:rFonts w:asciiTheme="majorHAnsi" w:eastAsia="Calibri" w:hAnsiTheme="majorHAnsi" w:cstheme="majorHAnsi"/>
          <w:b/>
          <w:color w:val="auto"/>
          <w:kern w:val="0"/>
          <w:sz w:val="24"/>
          <w:szCs w:val="24"/>
          <w:lang w:eastAsia="zh-CN"/>
        </w:rPr>
        <w:t>KIS nije potpun</w:t>
      </w:r>
      <w:r w:rsidRPr="00CB681C" w:rsidDel="004921B9">
        <w:rPr>
          <w:rFonts w:asciiTheme="majorHAnsi" w:eastAsia="Calibri" w:hAnsiTheme="majorHAnsi" w:cstheme="majorHAnsi"/>
          <w:b/>
          <w:color w:val="auto"/>
          <w:kern w:val="0"/>
          <w:sz w:val="24"/>
          <w:szCs w:val="24"/>
          <w:lang w:eastAsia="zh-CN"/>
        </w:rPr>
        <w:t xml:space="preserve"> u obuhvatu</w:t>
      </w:r>
      <w:r w:rsidRPr="00CB681C" w:rsidDel="004921B9">
        <w:rPr>
          <w:rFonts w:asciiTheme="majorHAnsi" w:eastAsia="Calibri" w:hAnsiTheme="majorHAnsi" w:cstheme="majorHAnsi"/>
          <w:color w:val="auto"/>
          <w:kern w:val="0"/>
          <w:sz w:val="24"/>
          <w:szCs w:val="24"/>
          <w:lang w:eastAsia="zh-CN"/>
        </w:rPr>
        <w:t xml:space="preserve"> i ne sadrži podatke o zaposl</w:t>
      </w:r>
      <w:r w:rsidRPr="00CB681C">
        <w:rPr>
          <w:rFonts w:asciiTheme="majorHAnsi" w:eastAsia="Calibri" w:hAnsiTheme="majorHAnsi" w:cstheme="majorHAnsi"/>
          <w:color w:val="auto"/>
          <w:kern w:val="0"/>
          <w:sz w:val="24"/>
          <w:szCs w:val="24"/>
          <w:lang w:eastAsia="zh-CN"/>
        </w:rPr>
        <w:t xml:space="preserve">enima u cijelom javnom sektoru </w:t>
      </w:r>
      <w:r w:rsidRPr="00CB681C" w:rsidDel="004921B9">
        <w:rPr>
          <w:rFonts w:asciiTheme="majorHAnsi" w:eastAsia="Calibri" w:hAnsiTheme="majorHAnsi" w:cstheme="majorHAnsi"/>
          <w:color w:val="auto"/>
          <w:kern w:val="0"/>
          <w:sz w:val="24"/>
          <w:szCs w:val="24"/>
          <w:lang w:eastAsia="zh-CN"/>
        </w:rPr>
        <w:t>o zaposlenima na centralnom i lok</w:t>
      </w:r>
      <w:r w:rsidR="00B26604">
        <w:rPr>
          <w:rFonts w:asciiTheme="majorHAnsi" w:eastAsia="Calibri" w:hAnsiTheme="majorHAnsi" w:cstheme="majorHAnsi"/>
          <w:color w:val="auto"/>
          <w:kern w:val="0"/>
          <w:sz w:val="24"/>
          <w:szCs w:val="24"/>
          <w:lang w:eastAsia="zh-CN"/>
        </w:rPr>
        <w:t>alnom nivou, javnim ustanovama</w:t>
      </w:r>
      <w:r w:rsidRPr="00CB681C" w:rsidDel="004921B9">
        <w:rPr>
          <w:rFonts w:asciiTheme="majorHAnsi" w:eastAsia="Calibri" w:hAnsiTheme="majorHAnsi" w:cstheme="majorHAnsi"/>
          <w:color w:val="auto"/>
          <w:kern w:val="0"/>
          <w:sz w:val="24"/>
          <w:szCs w:val="24"/>
          <w:lang w:eastAsia="zh-CN"/>
        </w:rPr>
        <w:t xml:space="preserve">, ni regulatornim agencijama) kao ni o „tipovima“ ugovora. Podaci o internom tržištu rada koji bi dozvolili procjenu troškova i efekata različitih horizontalnih mjera nisu obezbijeđeni. Uvezivanje kadrovske evidencije lokalnih službenika i namještenika i evidencija lokalnog internog tržišta rada sa kadrovskim informacionim sistemom na centralnom nivou još uvijek nije omogućeno. </w:t>
      </w:r>
      <w:r w:rsidRPr="00CB681C" w:rsidDel="004921B9">
        <w:rPr>
          <w:rFonts w:asciiTheme="majorHAnsi" w:eastAsia="Times New Roman" w:hAnsiTheme="majorHAnsi" w:cstheme="majorHAnsi"/>
          <w:color w:val="auto"/>
          <w:kern w:val="0"/>
          <w:sz w:val="24"/>
          <w:szCs w:val="24"/>
          <w:lang w:eastAsia="zh-CN"/>
        </w:rPr>
        <w:t>Iako u skladu sa Zakonom o lokalnoj samoupravi, organi lokalne uprave su u obavezi da dostavljaju podatke u CKE, platforma CKE još uvijek nije tehnički osposobljena za potrebe jedinica lokalne uprave, što onemogućava vođenje odgovarajući</w:t>
      </w:r>
      <w:r w:rsidRPr="00CB681C">
        <w:rPr>
          <w:rFonts w:asciiTheme="majorHAnsi" w:eastAsia="Times New Roman" w:hAnsiTheme="majorHAnsi" w:cstheme="majorHAnsi"/>
          <w:color w:val="auto"/>
          <w:kern w:val="0"/>
          <w:sz w:val="24"/>
          <w:szCs w:val="24"/>
          <w:lang w:eastAsia="zh-CN"/>
        </w:rPr>
        <w:t>h evidencija na lokalnom nivou.</w:t>
      </w:r>
    </w:p>
    <w:p w:rsidR="00677F87" w:rsidRPr="00CB681C" w:rsidRDefault="00677F87" w:rsidP="00B43D4E">
      <w:pPr>
        <w:numPr>
          <w:ilvl w:val="0"/>
          <w:numId w:val="32"/>
        </w:numPr>
        <w:tabs>
          <w:tab w:val="left" w:pos="850"/>
          <w:tab w:val="left" w:pos="1191"/>
          <w:tab w:val="left" w:pos="1531"/>
        </w:tabs>
        <w:spacing w:before="120" w:after="120" w:line="240" w:lineRule="auto"/>
        <w:ind w:left="270" w:right="-471" w:hanging="270"/>
        <w:jc w:val="both"/>
        <w:rPr>
          <w:rFonts w:asciiTheme="majorHAnsi" w:eastAsia="Calibri" w:hAnsiTheme="majorHAnsi" w:cstheme="majorHAnsi"/>
          <w:i/>
          <w:color w:val="auto"/>
          <w:kern w:val="0"/>
          <w:sz w:val="24"/>
          <w:szCs w:val="24"/>
          <w:lang w:eastAsia="zh-CN"/>
        </w:rPr>
      </w:pPr>
      <w:r w:rsidRPr="00CB681C">
        <w:rPr>
          <w:rFonts w:asciiTheme="majorHAnsi" w:eastAsia="Calibri" w:hAnsiTheme="majorHAnsi" w:cstheme="majorHAnsi"/>
          <w:b/>
          <w:i/>
          <w:color w:val="auto"/>
          <w:kern w:val="0"/>
          <w:sz w:val="24"/>
          <w:szCs w:val="24"/>
          <w:lang w:eastAsia="zh-CN"/>
        </w:rPr>
        <w:t>Ograničene mogućnosti za napredovanje</w:t>
      </w:r>
    </w:p>
    <w:p w:rsidR="00677F87" w:rsidRPr="00CB681C" w:rsidRDefault="00952FB8" w:rsidP="00677F87">
      <w:pPr>
        <w:spacing w:before="60" w:after="60" w:line="240" w:lineRule="auto"/>
        <w:ind w:right="-471"/>
        <w:jc w:val="both"/>
        <w:rPr>
          <w:rFonts w:asciiTheme="majorHAnsi" w:eastAsia="Calibri" w:hAnsiTheme="majorHAnsi" w:cstheme="majorHAnsi"/>
          <w:color w:val="auto"/>
          <w:sz w:val="24"/>
          <w:szCs w:val="24"/>
        </w:rPr>
      </w:pPr>
      <w:r w:rsidRPr="00CB681C">
        <w:rPr>
          <w:rFonts w:asciiTheme="majorHAnsi" w:eastAsia="Calibri" w:hAnsiTheme="majorHAnsi" w:cstheme="majorHAnsi"/>
          <w:noProof/>
          <w:color w:val="auto"/>
          <w:kern w:val="0"/>
          <w:sz w:val="24"/>
          <w:szCs w:val="24"/>
          <w:lang w:eastAsia="sr-Latn-RS"/>
        </w:rPr>
        <mc:AlternateContent>
          <mc:Choice Requires="wpg">
            <w:drawing>
              <wp:anchor distT="0" distB="0" distL="228600" distR="228600" simplePos="0" relativeHeight="251895808" behindDoc="0" locked="0" layoutInCell="1" allowOverlap="1" wp14:anchorId="3C67F3E6" wp14:editId="7B0482F6">
                <wp:simplePos x="0" y="0"/>
                <wp:positionH relativeFrom="margin">
                  <wp:posOffset>3346102</wp:posOffset>
                </wp:positionH>
                <wp:positionV relativeFrom="page">
                  <wp:posOffset>1669010</wp:posOffset>
                </wp:positionV>
                <wp:extent cx="2877185" cy="1120140"/>
                <wp:effectExtent l="0" t="0" r="0" b="3810"/>
                <wp:wrapSquare wrapText="bothSides"/>
                <wp:docPr id="149" name="Group 149"/>
                <wp:cNvGraphicFramePr/>
                <a:graphic xmlns:a="http://schemas.openxmlformats.org/drawingml/2006/main">
                  <a:graphicData uri="http://schemas.microsoft.com/office/word/2010/wordprocessingGroup">
                    <wpg:wgp>
                      <wpg:cNvGrpSpPr/>
                      <wpg:grpSpPr>
                        <a:xfrm>
                          <a:off x="0" y="0"/>
                          <a:ext cx="2877185" cy="1120140"/>
                          <a:chOff x="-195503" y="-97785"/>
                          <a:chExt cx="3414191" cy="2126551"/>
                        </a:xfrm>
                      </wpg:grpSpPr>
                      <wps:wsp>
                        <wps:cNvPr id="150" name="Rectangle 150"/>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1" name="Group 151"/>
                        <wpg:cNvGrpSpPr/>
                        <wpg:grpSpPr>
                          <a:xfrm>
                            <a:off x="0" y="19050"/>
                            <a:ext cx="2249424" cy="832104"/>
                            <a:chOff x="228600" y="0"/>
                            <a:chExt cx="1472184" cy="1024128"/>
                          </a:xfrm>
                        </wpg:grpSpPr>
                        <wps:wsp>
                          <wps:cNvPr id="152"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angle 153"/>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4" name="Text Box 154"/>
                        <wps:cNvSpPr txBox="1"/>
                        <wps:spPr>
                          <a:xfrm>
                            <a:off x="-195503" y="-97785"/>
                            <a:ext cx="3287251" cy="2094573"/>
                          </a:xfrm>
                          <a:prstGeom prst="rect">
                            <a:avLst/>
                          </a:prstGeom>
                          <a:noFill/>
                          <a:ln w="6350">
                            <a:noFill/>
                          </a:ln>
                          <a:effectLst/>
                        </wps:spPr>
                        <wps:txbx>
                          <w:txbxContent>
                            <w:p w:rsidR="00F735BC" w:rsidRDefault="00F735BC" w:rsidP="00952FB8">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Treba uzeti podatke o tome kako su na kraju godine ocijenjivani službenici. Svi imaju najbolje ocjene. Po internim procjenama imamo idealne kadrove. Ali u praksi je stanje potpuno drugačije</w:t>
                              </w:r>
                              <w:r w:rsidRPr="006D5ACC">
                                <w:rPr>
                                  <w:smallCaps/>
                                  <w:color w:val="333C3D" w:themeColor="accent5" w:themeShade="80"/>
                                  <w:kern w:val="20"/>
                                  <w:lang w:val="sr-Latn-RS"/>
                                </w:rPr>
                                <w:t>.</w:t>
                              </w:r>
                            </w:p>
                            <w:p w:rsidR="00F735BC" w:rsidRDefault="00F735BC" w:rsidP="00952FB8">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67F3E6" id="Group 149" o:spid="_x0000_s1095" style="position:absolute;left:0;text-align:left;margin-left:263.45pt;margin-top:131.4pt;width:226.55pt;height:88.2pt;z-index:251895808;mso-wrap-distance-left:18pt;mso-wrap-distance-right:18pt;mso-position-horizontal-relative:margin;mso-position-vertical-relative:page;mso-width-relative:margin;mso-height-relative:margin" coordorigin="-1955,-977" coordsize="34141,21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">
                <v:rect id="Rectangle 150" o:spid="_x0000_s109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" stroked="f" strokeweight="2pt">
                  <v:fill opacity="0"/>
                </v:rect>
                <v:group id="Group 151" o:spid="_x0000_s109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Rectangle 10" o:spid="_x0000_s109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" path="m,l2240281,,1659256,222885,,822960,,xe" fillcolor="#7e97ad" stroked="f" strokeweight="2pt">
                    <v:path arrowok="t" o:connecttype="custom" o:connectlocs="0,0;1466258,0;1085979,274158;0,1012274;0,0" o:connectangles="0,0,0,0,0"/>
                  </v:shape>
                  <v:rect id="Rectangle 153" o:spid="_x0000_s109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" stroked="f" strokeweight="2pt">
                    <v:fill r:id="rId69" o:title="" recolor="t" rotate="t" type="frame"/>
                  </v:rect>
                </v:group>
                <v:shape id="Text Box 154" o:spid="_x0000_s1100" type="#_x0000_t202" style="position:absolute;left:-1955;top:-977;width:32872;height:20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" filled="f" stroked="f" strokeweight=".5pt">
                  <v:textbox inset="3.6pt,7.2pt,0,0">
                    <w:txbxContent>
                      <w:p w:rsidR="00F735BC" w:rsidRDefault="00F735BC" w:rsidP="00952FB8">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Treba uzeti podatke o tome kako su na kraju godine ocijenjivani službenici. Svi imaju najbolje ocjene. Po internim procjenama imamo idealne kadrove. Ali u praksi je stanje potpuno drugačije</w:t>
                        </w:r>
                        <w:r w:rsidRPr="006D5ACC">
                          <w:rPr>
                            <w:smallCaps/>
                            <w:color w:val="333C3D" w:themeColor="accent5" w:themeShade="80"/>
                            <w:kern w:val="20"/>
                            <w:lang w:val="sr-Latn-RS"/>
                          </w:rPr>
                          <w:t>.</w:t>
                        </w:r>
                      </w:p>
                      <w:p w:rsidR="00F735BC" w:rsidRDefault="00F735BC" w:rsidP="00952FB8">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v:textbox>
                </v:shape>
                <w10:wrap type="square" anchorx="margin" anchory="page"/>
              </v:group>
            </w:pict>
          </mc:Fallback>
        </mc:AlternateContent>
      </w:r>
      <w:r w:rsidR="00677F87" w:rsidRPr="00CB681C">
        <w:rPr>
          <w:rFonts w:asciiTheme="majorHAnsi" w:eastAsia="Calibri" w:hAnsiTheme="majorHAnsi" w:cstheme="majorHAnsi"/>
          <w:color w:val="auto"/>
          <w:sz w:val="24"/>
          <w:szCs w:val="24"/>
        </w:rPr>
        <w:t>Podaci dostavljeni od strane državnih organa pokazuju da je najveći broj službenika i namještenika ocijenjen najboljom ocjenom, kako u 2018, tako i u 2019. godini. Naime, ocjenom “Ističe se” ocijenjeno je 72.7% službenika u 2018, odnosno 73.4% službenika u 2019. godini. Broj službenika koji je ocijenjen ocjenom “Ne zadovoljava” je neznatno porastao – sa 0.06% u 2018. godini na 0.2% u 2019. godini, dok je broj službenika koji je dobio ocjenu “Dobar” neznatno smanjen sa 27.2% u 2018. godini na 26.4% u 2019. godini. Međutim, s obzirom na veliki broj zaposlenih koji dobijaju ocjenu „ističe se“ postavlja se pitanje u kojoj mjeri zaposleni mogu biti ravnopravno nagrađeni na osnovu rezultata procesa ocjenjivanja kroz predviđene zakonske mjere raspoređivanja u više zvanje i dobijanja varijabilnog dijela zarade za izuzetne rezultate.</w:t>
      </w:r>
      <w:r w:rsidR="00677F87" w:rsidRPr="00CB681C">
        <w:rPr>
          <w:rFonts w:asciiTheme="majorHAnsi" w:eastAsia="Calibri" w:hAnsiTheme="majorHAnsi" w:cstheme="majorHAnsi"/>
          <w:color w:val="auto"/>
          <w:sz w:val="24"/>
          <w:szCs w:val="24"/>
          <w:vertAlign w:val="superscript"/>
        </w:rPr>
        <w:footnoteReference w:id="71"/>
      </w:r>
      <w:r w:rsidRPr="00CB681C">
        <w:rPr>
          <w:rFonts w:asciiTheme="majorHAnsi" w:eastAsia="Calibri" w:hAnsiTheme="majorHAnsi" w:cstheme="majorHAnsi"/>
          <w:noProof/>
          <w:color w:val="auto"/>
          <w:kern w:val="0"/>
          <w:sz w:val="24"/>
          <w:szCs w:val="24"/>
          <w:lang w:val="en-US" w:eastAsia="en-US"/>
        </w:rPr>
        <w:t xml:space="preserve"> </w:t>
      </w:r>
    </w:p>
    <w:p w:rsidR="00677F87" w:rsidRPr="00CB681C" w:rsidRDefault="00677F87" w:rsidP="00677F87">
      <w:pPr>
        <w:spacing w:before="60" w:after="60" w:line="240" w:lineRule="auto"/>
        <w:ind w:right="-471"/>
        <w:jc w:val="both"/>
        <w:rPr>
          <w:rFonts w:asciiTheme="majorHAnsi" w:eastAsia="Calibri" w:hAnsiTheme="majorHAnsi" w:cstheme="majorHAnsi"/>
          <w:b/>
          <w:color w:val="auto"/>
          <w:kern w:val="0"/>
          <w:sz w:val="24"/>
          <w:szCs w:val="24"/>
          <w:lang w:eastAsia="zh-CN"/>
        </w:rPr>
      </w:pPr>
      <w:r w:rsidRPr="00CB681C">
        <w:rPr>
          <w:rFonts w:asciiTheme="majorHAnsi" w:eastAsia="Calibri" w:hAnsiTheme="majorHAnsi" w:cstheme="majorHAnsi"/>
          <w:noProof/>
          <w:color w:val="auto"/>
          <w:kern w:val="0"/>
          <w:sz w:val="24"/>
          <w:szCs w:val="24"/>
          <w:lang w:eastAsia="sr-Latn-RS"/>
        </w:rPr>
        <mc:AlternateContent>
          <mc:Choice Requires="wpg">
            <w:drawing>
              <wp:anchor distT="0" distB="0" distL="228600" distR="228600" simplePos="0" relativeHeight="251864064" behindDoc="0" locked="0" layoutInCell="1" allowOverlap="1" wp14:anchorId="77211159" wp14:editId="4AA37872">
                <wp:simplePos x="0" y="0"/>
                <wp:positionH relativeFrom="margin">
                  <wp:posOffset>65516</wp:posOffset>
                </wp:positionH>
                <wp:positionV relativeFrom="page">
                  <wp:posOffset>3959720</wp:posOffset>
                </wp:positionV>
                <wp:extent cx="2651760" cy="990600"/>
                <wp:effectExtent l="0" t="0" r="0" b="0"/>
                <wp:wrapSquare wrapText="bothSides"/>
                <wp:docPr id="99" name="Group 99"/>
                <wp:cNvGraphicFramePr/>
                <a:graphic xmlns:a="http://schemas.openxmlformats.org/drawingml/2006/main">
                  <a:graphicData uri="http://schemas.microsoft.com/office/word/2010/wordprocessingGroup">
                    <wpg:wgp>
                      <wpg:cNvGrpSpPr/>
                      <wpg:grpSpPr>
                        <a:xfrm>
                          <a:off x="0" y="0"/>
                          <a:ext cx="2651760" cy="990600"/>
                          <a:chOff x="0" y="0"/>
                          <a:chExt cx="3218688" cy="2028766"/>
                        </a:xfrm>
                      </wpg:grpSpPr>
                      <wps:wsp>
                        <wps:cNvPr id="100" name="Rectangle 100"/>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Group 101"/>
                        <wpg:cNvGrpSpPr/>
                        <wpg:grpSpPr>
                          <a:xfrm>
                            <a:off x="0" y="19050"/>
                            <a:ext cx="2249424" cy="832104"/>
                            <a:chOff x="228600" y="0"/>
                            <a:chExt cx="1472184" cy="1024128"/>
                          </a:xfrm>
                        </wpg:grpSpPr>
                        <wps:wsp>
                          <wps:cNvPr id="102"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 name="Text Box 105"/>
                        <wps:cNvSpPr txBox="1"/>
                        <wps:spPr>
                          <a:xfrm>
                            <a:off x="0" y="0"/>
                            <a:ext cx="3138297" cy="2028766"/>
                          </a:xfrm>
                          <a:prstGeom prst="rect">
                            <a:avLst/>
                          </a:prstGeom>
                          <a:noFill/>
                          <a:ln w="6350">
                            <a:noFill/>
                          </a:ln>
                          <a:effectLst/>
                        </wps:spPr>
                        <wps:txbx>
                          <w:txbxContent>
                            <w:p w:rsidR="00F735BC" w:rsidRDefault="00F735BC" w:rsidP="00677F87">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Sve se svodi na sistem nagrađivanja i sankcionisanja. Disciplinski mehanizmi mogu riješiti naše probleme sa reformom javne uprave</w:t>
                              </w:r>
                              <w:r w:rsidRPr="006D5ACC">
                                <w:rPr>
                                  <w:smallCaps/>
                                  <w:color w:val="333C3D" w:themeColor="accent5" w:themeShade="80"/>
                                  <w:kern w:val="20"/>
                                  <w:lang w:val="sr-Latn-RS"/>
                                </w:rPr>
                                <w:t>.</w:t>
                              </w:r>
                            </w:p>
                            <w:p w:rsidR="00F735BC" w:rsidRDefault="00F735BC" w:rsidP="00677F87">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211159" id="Group 99" o:spid="_x0000_s1101" style="position:absolute;left:0;text-align:left;margin-left:5.15pt;margin-top:311.8pt;width:208.8pt;height:78pt;z-index:251864064;mso-wrap-distance-left:18pt;mso-wrap-distance-right:18p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">
                <v:rect id="Rectangle 100" o:spid="_x0000_s110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" stroked="f" strokeweight="2pt">
                  <v:fill opacity="0"/>
                </v:rect>
                <v:group id="Group 101" o:spid="_x0000_s110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Rectangle 10" o:spid="_x0000_s110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" path="m,l2240281,,1659256,222885,,822960,,xe" fillcolor="#7e97ad" stroked="f" strokeweight="2pt">
                    <v:path arrowok="t" o:connecttype="custom" o:connectlocs="0,0;1466258,0;1085979,274158;0,1012274;0,0" o:connectangles="0,0,0,0,0"/>
                  </v:shape>
                  <v:rect id="Rectangle 104" o:spid="_x0000_s110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" stroked="f" strokeweight="2pt">
                    <v:fill r:id="rId69" o:title="" recolor="t" rotate="t" type="frame"/>
                  </v:rect>
                </v:group>
                <v:shape id="Text Box 105" o:spid="_x0000_s1106" type="#_x0000_t202" style="position:absolute;width:31382;height:2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" filled="f" stroked="f" strokeweight=".5pt">
                  <v:textbox inset="3.6pt,7.2pt,0,0">
                    <w:txbxContent>
                      <w:p w:rsidR="00F735BC" w:rsidRDefault="00F735BC" w:rsidP="00677F87">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Sve se svodi na sistem nagrađivanja i sankcionisanja. Disciplinski mehanizmi mogu riješiti naše probleme sa reformom javne uprave</w:t>
                        </w:r>
                        <w:r w:rsidRPr="006D5ACC">
                          <w:rPr>
                            <w:smallCaps/>
                            <w:color w:val="333C3D" w:themeColor="accent5" w:themeShade="80"/>
                            <w:kern w:val="20"/>
                            <w:lang w:val="sr-Latn-RS"/>
                          </w:rPr>
                          <w:t>.</w:t>
                        </w:r>
                      </w:p>
                      <w:p w:rsidR="00F735BC" w:rsidRDefault="00F735BC" w:rsidP="00677F87">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v:textbox>
                </v:shape>
                <w10:wrap type="square" anchorx="margin" anchory="page"/>
              </v:group>
            </w:pict>
          </mc:Fallback>
        </mc:AlternateContent>
      </w:r>
      <w:r w:rsidRPr="00CB681C">
        <w:rPr>
          <w:rFonts w:asciiTheme="majorHAnsi" w:eastAsia="Calibri" w:hAnsiTheme="majorHAnsi" w:cstheme="majorHAnsi"/>
          <w:color w:val="auto"/>
          <w:kern w:val="0"/>
          <w:sz w:val="24"/>
          <w:szCs w:val="24"/>
          <w:lang w:eastAsia="zh-CN"/>
        </w:rPr>
        <w:t xml:space="preserve">Dodatno, ograničene su mogućnosti za napredovanje gde </w:t>
      </w:r>
      <w:r w:rsidRPr="00CB681C">
        <w:rPr>
          <w:rFonts w:asciiTheme="majorHAnsi" w:eastAsia="Calibri" w:hAnsiTheme="majorHAnsi" w:cstheme="majorHAnsi"/>
          <w:b/>
          <w:color w:val="auto"/>
          <w:kern w:val="0"/>
          <w:sz w:val="24"/>
          <w:szCs w:val="24"/>
          <w:lang w:eastAsia="zh-CN"/>
        </w:rPr>
        <w:t>sistem zarada i nagrađivanja nije povezan sa radnim učinkom</w:t>
      </w:r>
      <w:r w:rsidRPr="00CB681C">
        <w:rPr>
          <w:rFonts w:asciiTheme="majorHAnsi" w:eastAsia="Calibri" w:hAnsiTheme="majorHAnsi" w:cstheme="majorHAnsi"/>
          <w:color w:val="auto"/>
          <w:kern w:val="0"/>
          <w:sz w:val="24"/>
          <w:szCs w:val="24"/>
          <w:lang w:eastAsia="zh-CN"/>
        </w:rPr>
        <w:t xml:space="preserve"> državnih službenika i namještenika. Sistem nagrađivanja državnog službenika, odnosno namještenika, prema Zakonu o državnim službenicima i namještenicima, ne sadrži materijalni oblik nagrađivanja već se državni službenik „nagrađuje“ na osnovu najbolje ocjene tako što se može rasporediti u više zvanje ako je u prethodnoj godini ostvario najbolju ocjenu. Međutim, </w:t>
      </w:r>
      <w:r w:rsidRPr="00CB681C">
        <w:rPr>
          <w:rFonts w:asciiTheme="majorHAnsi" w:eastAsia="Calibri" w:hAnsiTheme="majorHAnsi" w:cstheme="majorHAnsi"/>
          <w:b/>
          <w:color w:val="auto"/>
          <w:kern w:val="0"/>
          <w:sz w:val="24"/>
          <w:szCs w:val="24"/>
          <w:lang w:eastAsia="zh-CN"/>
        </w:rPr>
        <w:t>ocjenjivanje službenika nije adekvatno uvezano sa kretanjem u službi</w:t>
      </w:r>
      <w:r w:rsidRPr="00CB681C">
        <w:rPr>
          <w:rFonts w:asciiTheme="majorHAnsi" w:eastAsia="Calibri" w:hAnsiTheme="majorHAnsi" w:cstheme="majorHAnsi"/>
          <w:color w:val="auto"/>
          <w:kern w:val="0"/>
          <w:sz w:val="24"/>
          <w:szCs w:val="24"/>
          <w:lang w:eastAsia="zh-CN"/>
        </w:rPr>
        <w:t xml:space="preserve"> i nagrađivanjem, a Zakon o zaradama zaposlenih u javnom sektoru nije adekvatno i pravično uredio nivoe zarada za različita zanimanja u javnom sektoru, tj. </w:t>
      </w:r>
      <w:r w:rsidRPr="00CB681C">
        <w:rPr>
          <w:rFonts w:asciiTheme="majorHAnsi" w:eastAsia="Calibri" w:hAnsiTheme="majorHAnsi" w:cstheme="majorHAnsi"/>
          <w:b/>
          <w:color w:val="auto"/>
          <w:kern w:val="0"/>
          <w:sz w:val="24"/>
          <w:szCs w:val="24"/>
          <w:lang w:eastAsia="zh-CN"/>
        </w:rPr>
        <w:t>koeficijenti zarada nijesu srazmjerno raspoređeni</w:t>
      </w:r>
      <w:r w:rsidRPr="00CB681C">
        <w:rPr>
          <w:rFonts w:asciiTheme="majorHAnsi" w:eastAsia="Calibri" w:hAnsiTheme="majorHAnsi" w:cstheme="majorHAnsi"/>
          <w:color w:val="auto"/>
          <w:kern w:val="0"/>
          <w:sz w:val="24"/>
          <w:szCs w:val="24"/>
          <w:lang w:eastAsia="zh-CN"/>
        </w:rPr>
        <w:t xml:space="preserve"> u odnosu na značaj zvanja. Sa navedenih razloga, dobijanje najviše ocjene i napredovanje u više zvanje ne donose adekvatnu satisfakciju službenicima kao priznanje za izuzetno zalaganje, što za posledicu može imati demotivisanost, nižu produktivnost i učinak službenika</w:t>
      </w:r>
      <w:r w:rsidRPr="00CB681C">
        <w:rPr>
          <w:rFonts w:asciiTheme="majorHAnsi" w:eastAsia="Calibri" w:hAnsiTheme="majorHAnsi" w:cstheme="majorHAnsi"/>
          <w:b/>
          <w:color w:val="auto"/>
          <w:kern w:val="0"/>
          <w:sz w:val="24"/>
          <w:szCs w:val="24"/>
          <w:lang w:eastAsia="zh-CN"/>
        </w:rPr>
        <w:t>.</w:t>
      </w:r>
    </w:p>
    <w:p w:rsidR="00C53E0C" w:rsidRPr="00CB681C" w:rsidRDefault="00677F87" w:rsidP="00677F87">
      <w:pPr>
        <w:spacing w:before="60" w:after="60" w:line="240" w:lineRule="auto"/>
        <w:ind w:right="-471"/>
        <w:jc w:val="both"/>
        <w:rPr>
          <w:rFonts w:asciiTheme="majorHAnsi" w:eastAsia="Times New Roman" w:hAnsiTheme="majorHAnsi" w:cstheme="majorHAnsi"/>
          <w:iCs/>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lastRenderedPageBreak/>
        <w:t>Fokus grupe</w:t>
      </w:r>
      <w:r w:rsidRPr="00CB681C">
        <w:rPr>
          <w:rFonts w:asciiTheme="majorHAnsi" w:eastAsia="Times New Roman" w:hAnsiTheme="majorHAnsi" w:cstheme="majorHAnsi"/>
          <w:color w:val="auto"/>
          <w:kern w:val="0"/>
          <w:sz w:val="24"/>
          <w:szCs w:val="24"/>
          <w:vertAlign w:val="superscript"/>
          <w:lang w:eastAsia="en-US"/>
        </w:rPr>
        <w:footnoteReference w:id="72"/>
      </w:r>
      <w:r w:rsidRPr="00CB681C">
        <w:rPr>
          <w:rFonts w:asciiTheme="majorHAnsi" w:eastAsia="Times New Roman" w:hAnsiTheme="majorHAnsi" w:cstheme="majorHAnsi"/>
          <w:color w:val="auto"/>
          <w:kern w:val="0"/>
          <w:sz w:val="24"/>
          <w:szCs w:val="24"/>
          <w:lang w:eastAsia="en-US"/>
        </w:rPr>
        <w:t xml:space="preserve"> ukazale su na </w:t>
      </w:r>
      <w:r w:rsidRPr="00CB681C">
        <w:rPr>
          <w:rFonts w:asciiTheme="majorHAnsi" w:eastAsia="Times New Roman" w:hAnsiTheme="majorHAnsi" w:cstheme="majorHAnsi"/>
          <w:iCs/>
          <w:color w:val="auto"/>
          <w:kern w:val="0"/>
          <w:sz w:val="24"/>
          <w:szCs w:val="24"/>
          <w:lang w:eastAsia="en-US"/>
        </w:rPr>
        <w:t xml:space="preserve">prikrivenu diskriminaciju koja postoji između službenika u agenciji i upravi. </w:t>
      </w:r>
      <w:r w:rsidRPr="00CB681C">
        <w:rPr>
          <w:rFonts w:asciiTheme="majorHAnsi" w:eastAsia="Times New Roman" w:hAnsiTheme="majorHAnsi" w:cstheme="majorHAnsi"/>
          <w:b/>
          <w:iCs/>
          <w:color w:val="auto"/>
          <w:kern w:val="0"/>
          <w:sz w:val="24"/>
          <w:szCs w:val="24"/>
          <w:lang w:eastAsia="en-US"/>
        </w:rPr>
        <w:t>Za iste vrste poslova postoje različite zarade</w:t>
      </w:r>
      <w:r w:rsidRPr="00CB681C">
        <w:rPr>
          <w:rFonts w:asciiTheme="majorHAnsi" w:eastAsia="Times New Roman" w:hAnsiTheme="majorHAnsi" w:cstheme="majorHAnsi"/>
          <w:iCs/>
          <w:color w:val="auto"/>
          <w:kern w:val="0"/>
          <w:sz w:val="24"/>
          <w:szCs w:val="24"/>
          <w:lang w:eastAsia="en-US"/>
        </w:rPr>
        <w:t>. Agencije i javna tijela imaju iste funkcije, a neproporcionalno nejednake plate. Agencije pružaju bolje uslove rada, a</w:t>
      </w:r>
      <w:r w:rsidR="00CB681C">
        <w:rPr>
          <w:rFonts w:asciiTheme="majorHAnsi" w:eastAsia="Times New Roman" w:hAnsiTheme="majorHAnsi" w:cstheme="majorHAnsi"/>
          <w:iCs/>
          <w:color w:val="auto"/>
          <w:kern w:val="0"/>
          <w:sz w:val="24"/>
          <w:szCs w:val="24"/>
          <w:lang w:eastAsia="en-US"/>
        </w:rPr>
        <w:t xml:space="preserve"> zahtijevaju manji obim posla. </w:t>
      </w:r>
    </w:p>
    <w:p w:rsidR="00677F87" w:rsidRPr="00CB681C" w:rsidRDefault="00677F87" w:rsidP="00B43D4E">
      <w:pPr>
        <w:numPr>
          <w:ilvl w:val="0"/>
          <w:numId w:val="32"/>
        </w:numPr>
        <w:tabs>
          <w:tab w:val="left" w:pos="850"/>
          <w:tab w:val="left" w:pos="1191"/>
          <w:tab w:val="left" w:pos="1531"/>
        </w:tabs>
        <w:spacing w:before="120" w:after="120" w:line="240" w:lineRule="auto"/>
        <w:ind w:left="360" w:right="-471"/>
        <w:jc w:val="both"/>
        <w:rPr>
          <w:rFonts w:asciiTheme="majorHAnsi" w:eastAsia="Calibri" w:hAnsiTheme="majorHAnsi" w:cstheme="majorHAnsi"/>
          <w:b/>
          <w:i/>
          <w:color w:val="auto"/>
          <w:kern w:val="0"/>
          <w:sz w:val="24"/>
          <w:szCs w:val="24"/>
          <w:lang w:eastAsia="zh-CN"/>
        </w:rPr>
      </w:pPr>
      <w:r w:rsidRPr="00CB681C">
        <w:rPr>
          <w:rFonts w:asciiTheme="majorHAnsi" w:eastAsia="Calibri" w:hAnsiTheme="majorHAnsi" w:cstheme="majorHAnsi"/>
          <w:b/>
          <w:i/>
          <w:color w:val="auto"/>
          <w:kern w:val="0"/>
          <w:sz w:val="24"/>
          <w:szCs w:val="24"/>
          <w:lang w:eastAsia="zh-CN"/>
        </w:rPr>
        <w:t xml:space="preserve">Nedovoljna primjena znanja stečenog na obukama </w:t>
      </w:r>
    </w:p>
    <w:p w:rsidR="00677F87" w:rsidRPr="00CB681C" w:rsidRDefault="00677F87" w:rsidP="00677F87">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U praksi </w:t>
      </w:r>
      <w:r w:rsidRPr="00CB681C">
        <w:rPr>
          <w:rFonts w:asciiTheme="majorHAnsi" w:eastAsia="Calibri" w:hAnsiTheme="majorHAnsi" w:cstheme="majorHAnsi"/>
          <w:b/>
          <w:color w:val="auto"/>
          <w:kern w:val="0"/>
          <w:sz w:val="24"/>
          <w:szCs w:val="24"/>
          <w:lang w:eastAsia="zh-CN"/>
        </w:rPr>
        <w:t>ciljane grupe zaposlenih ne dolaze na obuke</w:t>
      </w:r>
      <w:r w:rsidR="00306BB7" w:rsidRPr="00CB681C">
        <w:rPr>
          <w:rFonts w:asciiTheme="majorHAnsi" w:eastAsia="Calibri" w:hAnsiTheme="majorHAnsi" w:cstheme="majorHAnsi"/>
          <w:color w:val="auto"/>
          <w:kern w:val="0"/>
          <w:sz w:val="24"/>
          <w:szCs w:val="24"/>
          <w:lang w:eastAsia="zh-CN"/>
        </w:rPr>
        <w:t>. N</w:t>
      </w:r>
      <w:r w:rsidRPr="00CB681C">
        <w:rPr>
          <w:rFonts w:asciiTheme="majorHAnsi" w:eastAsia="Calibri" w:hAnsiTheme="majorHAnsi" w:cstheme="majorHAnsi"/>
          <w:b/>
          <w:color w:val="auto"/>
          <w:kern w:val="0"/>
          <w:sz w:val="24"/>
          <w:szCs w:val="24"/>
          <w:lang w:eastAsia="zh-CN"/>
        </w:rPr>
        <w:t>e koristi se dovoljno sistem praćenja kvaliteta obuka</w:t>
      </w:r>
      <w:r w:rsidR="00306BB7" w:rsidRPr="00CB681C">
        <w:rPr>
          <w:rFonts w:asciiTheme="majorHAnsi" w:eastAsia="Calibri" w:hAnsiTheme="majorHAnsi" w:cstheme="majorHAnsi"/>
          <w:b/>
          <w:color w:val="auto"/>
          <w:kern w:val="0"/>
          <w:sz w:val="24"/>
          <w:szCs w:val="24"/>
          <w:lang w:eastAsia="zh-CN"/>
        </w:rPr>
        <w:t>,</w:t>
      </w:r>
      <w:r w:rsidRPr="00CB681C">
        <w:rPr>
          <w:rFonts w:asciiTheme="majorHAnsi" w:eastAsia="Calibri" w:hAnsiTheme="majorHAnsi" w:cstheme="majorHAnsi"/>
          <w:color w:val="auto"/>
          <w:kern w:val="0"/>
          <w:sz w:val="24"/>
          <w:szCs w:val="24"/>
          <w:lang w:eastAsia="zh-CN"/>
        </w:rPr>
        <w:t xml:space="preserve"> kroz korišćenje znanja i vještina stečenih na obukama kasnije u praksi.</w:t>
      </w:r>
    </w:p>
    <w:p w:rsidR="00677F87" w:rsidRPr="00CB681C" w:rsidRDefault="00677F87" w:rsidP="00677F87">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Zaposleni iz kategorije rukovodnog kadra i zaposleni koji po prvi put zasnivaju radni odnos u organu imaju pravo i obavezu da učestvuju na svim relevantnim obukama, međutim u praksi se to ne dešava.</w:t>
      </w:r>
      <w:r w:rsidRPr="00CB681C">
        <w:rPr>
          <w:rFonts w:asciiTheme="majorHAnsi" w:eastAsia="Calibri" w:hAnsiTheme="majorHAnsi" w:cstheme="majorHAnsi"/>
          <w:color w:val="auto"/>
          <w:kern w:val="0"/>
          <w:sz w:val="24"/>
          <w:szCs w:val="24"/>
          <w:vertAlign w:val="superscript"/>
          <w:lang w:eastAsia="zh-CN"/>
        </w:rPr>
        <w:footnoteReference w:id="73"/>
      </w:r>
      <w:r w:rsidRPr="00CB681C">
        <w:rPr>
          <w:rFonts w:asciiTheme="majorHAnsi" w:eastAsia="Calibri" w:hAnsiTheme="majorHAnsi" w:cstheme="majorHAnsi"/>
          <w:color w:val="auto"/>
          <w:kern w:val="0"/>
          <w:sz w:val="24"/>
          <w:szCs w:val="24"/>
          <w:lang w:eastAsia="zh-CN"/>
        </w:rPr>
        <w:t xml:space="preserve"> Rukovodioci ne doživljavaju obuku kao potrebu i posljedično ne daju podršku službenicima da se osposobljavaju i usavršavaju. Takođe, službenici koji se po prvi put zapošljavaju u organu se ne obučavaju i ne prati se adekvatno njihov rad. </w:t>
      </w:r>
    </w:p>
    <w:p w:rsidR="00677F87" w:rsidRPr="00CB681C" w:rsidRDefault="00677F87" w:rsidP="00677F87">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Veliki broj službenika pohađa </w:t>
      </w:r>
      <w:r w:rsidRPr="00CB681C">
        <w:rPr>
          <w:rFonts w:asciiTheme="majorHAnsi" w:eastAsia="Calibri" w:hAnsiTheme="majorHAnsi" w:cstheme="majorHAnsi"/>
          <w:b/>
          <w:color w:val="auto"/>
          <w:kern w:val="0"/>
          <w:sz w:val="24"/>
          <w:szCs w:val="24"/>
          <w:lang w:eastAsia="zh-CN"/>
        </w:rPr>
        <w:t>obuke sa ciljem unaprjeđenja kompetencija</w:t>
      </w:r>
      <w:r w:rsidRPr="00CB681C">
        <w:rPr>
          <w:rFonts w:asciiTheme="majorHAnsi" w:eastAsia="Calibri" w:hAnsiTheme="majorHAnsi" w:cstheme="majorHAnsi"/>
          <w:color w:val="auto"/>
          <w:kern w:val="0"/>
          <w:sz w:val="24"/>
          <w:szCs w:val="24"/>
          <w:lang w:eastAsia="zh-CN"/>
        </w:rPr>
        <w:t xml:space="preserve"> za obavljanje poslova radnog mjesta, ali u praksi nije poznato koliko su te obuke imale efekata u radu službenika. Uredba o stručnom osposobljavanju i usavršavanju državnih službenika i namještenika ne pruža adekvatan pravni okvir u sadržinskom smislu koji bi bio osnov za planiranje i vršenje stručnog osposobljavanja i usavršavanja državnih službenika u smislu funkcionalne povezanosti i usklađenosti sa aktuelnim razvojnim putem Crne Gore. Takođe, ona ne precizira metodologiju za utvrđivanje potreba za stručnim usavršavanjem, kriterijume i mjerila za vrednovanje programa stručnog usavršavanja u javnoj upravi, postupak evaluacije sprovedenih obuka, ne razrađuje kriterijume i postupak izbora trenera, predavača i naknade za obuke trenerima i predavačima-opšte i specifične programe obuka, mentorstvo i način rada mentora, način angažovanja i naknade realizatora i sprovodilaca akreditovanih programa stručnog usavršavanja u javnoj upravi. </w:t>
      </w:r>
    </w:p>
    <w:p w:rsidR="00677F87" w:rsidRPr="00CB681C" w:rsidRDefault="00677F87" w:rsidP="00677F87">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Times New Roman" w:hAnsiTheme="majorHAnsi" w:cstheme="majorHAnsi"/>
          <w:b/>
          <w:color w:val="auto"/>
          <w:kern w:val="0"/>
          <w:sz w:val="24"/>
          <w:szCs w:val="24"/>
          <w:lang w:eastAsia="sr-Latn-ME"/>
        </w:rPr>
        <w:t>Strateško planiranje obuka nije zastupljeno u organima,</w:t>
      </w:r>
      <w:r w:rsidRPr="00CB681C">
        <w:rPr>
          <w:rFonts w:asciiTheme="majorHAnsi" w:eastAsia="Times New Roman" w:hAnsiTheme="majorHAnsi" w:cstheme="majorHAnsi"/>
          <w:color w:val="auto"/>
          <w:kern w:val="0"/>
          <w:sz w:val="24"/>
          <w:szCs w:val="24"/>
          <w:lang w:eastAsia="sr-Latn-ME"/>
        </w:rPr>
        <w:t xml:space="preserve"> tako da se službenici prijavljuju na već planirane obuke Uprave za kadrove. U </w:t>
      </w:r>
      <w:r w:rsidR="00306BB7" w:rsidRPr="001972E9">
        <w:rPr>
          <w:rFonts w:asciiTheme="majorHAnsi" w:eastAsia="Times New Roman" w:hAnsiTheme="majorHAnsi" w:cstheme="majorHAnsi"/>
          <w:color w:val="auto"/>
          <w:kern w:val="0"/>
          <w:sz w:val="24"/>
          <w:szCs w:val="24"/>
          <w:lang w:eastAsia="sr-Latn-ME"/>
        </w:rPr>
        <w:t>državnim</w:t>
      </w:r>
      <w:r w:rsidR="00306BB7" w:rsidRPr="00CB681C">
        <w:rPr>
          <w:rFonts w:asciiTheme="majorHAnsi" w:eastAsia="Times New Roman" w:hAnsiTheme="majorHAnsi" w:cstheme="majorHAnsi"/>
          <w:color w:val="auto"/>
          <w:kern w:val="0"/>
          <w:sz w:val="24"/>
          <w:szCs w:val="24"/>
          <w:lang w:eastAsia="sr-Latn-ME"/>
        </w:rPr>
        <w:t xml:space="preserve"> </w:t>
      </w:r>
      <w:r w:rsidRPr="00CB681C">
        <w:rPr>
          <w:rFonts w:asciiTheme="majorHAnsi" w:eastAsia="Times New Roman" w:hAnsiTheme="majorHAnsi" w:cstheme="majorHAnsi"/>
          <w:color w:val="auto"/>
          <w:kern w:val="0"/>
          <w:sz w:val="24"/>
          <w:szCs w:val="24"/>
          <w:lang w:eastAsia="sr-Latn-ME"/>
        </w:rPr>
        <w:t xml:space="preserve">organima, uglavnom, ne postoje jedinice za upravljanje ljudskim resursima i službenici zaposleni na kadrovskim poslovima ne obavljaju ovu sistemsku funkciju na adekvatan način jer nije predviđena kao obaveza. </w:t>
      </w:r>
      <w:r w:rsidRPr="00CB681C">
        <w:rPr>
          <w:rFonts w:asciiTheme="majorHAnsi" w:eastAsia="Calibri" w:hAnsiTheme="majorHAnsi" w:cstheme="majorHAnsi"/>
          <w:color w:val="auto"/>
          <w:kern w:val="0"/>
          <w:sz w:val="24"/>
          <w:szCs w:val="24"/>
          <w:lang w:eastAsia="zh-CN"/>
        </w:rPr>
        <w:t>Organi se oslanjaju na Upravu za kadrove i postupak koji ona sprovodi</w:t>
      </w:r>
      <w:r w:rsidRPr="00CB681C">
        <w:rPr>
          <w:rFonts w:asciiTheme="majorHAnsi" w:eastAsia="Times New Roman" w:hAnsiTheme="majorHAnsi" w:cstheme="majorHAnsi"/>
          <w:color w:val="auto"/>
          <w:kern w:val="0"/>
          <w:sz w:val="24"/>
          <w:szCs w:val="24"/>
          <w:lang w:eastAsia="sr-Latn-ME"/>
        </w:rPr>
        <w:t xml:space="preserve">. </w:t>
      </w:r>
      <w:r w:rsidRPr="00CB681C">
        <w:rPr>
          <w:rFonts w:asciiTheme="majorHAnsi" w:eastAsia="Calibri" w:hAnsiTheme="majorHAnsi" w:cstheme="majorHAnsi"/>
          <w:color w:val="auto"/>
          <w:kern w:val="0"/>
          <w:sz w:val="24"/>
          <w:szCs w:val="24"/>
          <w:lang w:eastAsia="zh-CN"/>
        </w:rPr>
        <w:t>Uglavnom organi koji imaju jedinice za upravljanje ljudskim resursima sprovode analizu i planiraju usavršavanje zaposlenih, ali se analiza ne sprovodi u istom periodu. Pojedinačni su primjeri onih koji su nakon postupka ocjenjivanja pripremili izvještaj o potrebama za daljim usavršavanjem zaposlenih.</w:t>
      </w:r>
      <w:r w:rsidRPr="00CB681C">
        <w:rPr>
          <w:rFonts w:asciiTheme="majorHAnsi" w:eastAsia="Calibri" w:hAnsiTheme="majorHAnsi" w:cstheme="majorHAnsi"/>
          <w:color w:val="auto"/>
          <w:kern w:val="0"/>
          <w:sz w:val="24"/>
          <w:szCs w:val="24"/>
          <w:vertAlign w:val="superscript"/>
          <w:lang w:eastAsia="zh-CN"/>
        </w:rPr>
        <w:footnoteReference w:id="74"/>
      </w:r>
    </w:p>
    <w:p w:rsidR="00677F87" w:rsidRPr="00CB681C" w:rsidRDefault="00677F87" w:rsidP="00677F87">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Prema SIGMA procjeni iz 2021. godine, broj državnih službenika koji su pohađali obuku na centralnom nivou u 2020. godini iznosio je 2.134 zaposlenih, što je </w:t>
      </w:r>
      <w:r w:rsidRPr="00CB681C">
        <w:rPr>
          <w:rFonts w:asciiTheme="majorHAnsi" w:eastAsia="Calibri" w:hAnsiTheme="majorHAnsi" w:cstheme="majorHAnsi"/>
          <w:b/>
          <w:color w:val="auto"/>
          <w:kern w:val="0"/>
          <w:sz w:val="24"/>
          <w:szCs w:val="24"/>
          <w:lang w:eastAsia="zh-CN"/>
        </w:rPr>
        <w:t>obuhvat</w:t>
      </w:r>
      <w:r w:rsidRPr="00CB681C">
        <w:rPr>
          <w:rFonts w:asciiTheme="majorHAnsi" w:eastAsia="Calibri" w:hAnsiTheme="majorHAnsi" w:cstheme="majorHAnsi"/>
          <w:color w:val="auto"/>
          <w:kern w:val="0"/>
          <w:sz w:val="24"/>
          <w:szCs w:val="24"/>
          <w:lang w:eastAsia="zh-CN"/>
        </w:rPr>
        <w:t xml:space="preserve"> od 27% državnih službenika na centralnom nivou</w:t>
      </w:r>
      <w:r w:rsidRPr="00CB681C">
        <w:rPr>
          <w:rFonts w:asciiTheme="majorHAnsi" w:eastAsia="Calibri" w:hAnsiTheme="majorHAnsi" w:cstheme="majorHAnsi"/>
          <w:color w:val="auto"/>
          <w:kern w:val="0"/>
          <w:sz w:val="24"/>
          <w:szCs w:val="24"/>
          <w:vertAlign w:val="superscript"/>
          <w:lang w:eastAsia="zh-CN"/>
        </w:rPr>
        <w:footnoteReference w:id="75"/>
      </w:r>
      <w:r w:rsidRPr="00CB681C">
        <w:rPr>
          <w:rFonts w:asciiTheme="majorHAnsi" w:eastAsia="Calibri" w:hAnsiTheme="majorHAnsi" w:cstheme="majorHAnsi"/>
          <w:color w:val="auto"/>
          <w:kern w:val="0"/>
          <w:sz w:val="24"/>
          <w:szCs w:val="24"/>
          <w:lang w:eastAsia="zh-CN"/>
        </w:rPr>
        <w:t xml:space="preserve">. Ipak, udio od 27% predstavlja pad u odnosu na 35% iz 2016. godine. Pored toga, </w:t>
      </w:r>
      <w:r w:rsidRPr="00CB681C">
        <w:rPr>
          <w:rFonts w:asciiTheme="majorHAnsi" w:eastAsia="Calibri" w:hAnsiTheme="majorHAnsi" w:cstheme="majorHAnsi"/>
          <w:b/>
          <w:color w:val="auto"/>
          <w:kern w:val="0"/>
          <w:sz w:val="24"/>
          <w:szCs w:val="24"/>
          <w:lang w:eastAsia="zh-CN"/>
        </w:rPr>
        <w:t>budžet UZK</w:t>
      </w:r>
      <w:r w:rsidRPr="00CB681C">
        <w:rPr>
          <w:rFonts w:asciiTheme="majorHAnsi" w:eastAsia="Calibri" w:hAnsiTheme="majorHAnsi" w:cstheme="majorHAnsi"/>
          <w:color w:val="auto"/>
          <w:kern w:val="0"/>
          <w:sz w:val="24"/>
          <w:szCs w:val="24"/>
          <w:lang w:eastAsia="zh-CN"/>
        </w:rPr>
        <w:t xml:space="preserve"> za obuke na centralnom niovu iznosio je 360.​​000 EUR u 2020. godini i daleko </w:t>
      </w:r>
      <w:r w:rsidRPr="00CB681C">
        <w:rPr>
          <w:rFonts w:asciiTheme="majorHAnsi" w:eastAsia="Calibri" w:hAnsiTheme="majorHAnsi" w:cstheme="majorHAnsi"/>
          <w:b/>
          <w:color w:val="auto"/>
          <w:kern w:val="0"/>
          <w:sz w:val="24"/>
          <w:szCs w:val="24"/>
          <w:lang w:eastAsia="zh-CN"/>
        </w:rPr>
        <w:t xml:space="preserve">manje od 1% </w:t>
      </w:r>
      <w:r w:rsidRPr="00CB681C">
        <w:rPr>
          <w:rFonts w:asciiTheme="majorHAnsi" w:eastAsia="Calibri" w:hAnsiTheme="majorHAnsi" w:cstheme="majorHAnsi"/>
          <w:b/>
          <w:color w:val="auto"/>
          <w:kern w:val="0"/>
          <w:sz w:val="24"/>
          <w:szCs w:val="24"/>
          <w:lang w:eastAsia="zh-CN"/>
        </w:rPr>
        <w:lastRenderedPageBreak/>
        <w:t xml:space="preserve">ukupnog budžeta za zarade </w:t>
      </w:r>
      <w:r w:rsidRPr="00CB681C">
        <w:rPr>
          <w:rFonts w:asciiTheme="majorHAnsi" w:eastAsia="Calibri" w:hAnsiTheme="majorHAnsi" w:cstheme="majorHAnsi"/>
          <w:color w:val="auto"/>
          <w:kern w:val="0"/>
          <w:sz w:val="24"/>
          <w:szCs w:val="24"/>
          <w:lang w:eastAsia="zh-CN"/>
        </w:rPr>
        <w:t>(što je minimalni zahtjev prema SIGMA principima). Ne postoji podatak o broju zaposlenih u drugim organima koji su pohađali obuke u organizaciji drugih provajdera obuke. Postoji mogućnost unosa ovih podataka u KIS-u ali organi ne unose ove podatke. Isto se odnosi i na budžet.</w:t>
      </w:r>
    </w:p>
    <w:p w:rsidR="00677F87" w:rsidRPr="00CB681C" w:rsidRDefault="00677F87" w:rsidP="00B43D4E">
      <w:pPr>
        <w:numPr>
          <w:ilvl w:val="0"/>
          <w:numId w:val="32"/>
        </w:numPr>
        <w:tabs>
          <w:tab w:val="left" w:pos="850"/>
          <w:tab w:val="left" w:pos="1191"/>
          <w:tab w:val="left" w:pos="1531"/>
        </w:tabs>
        <w:spacing w:before="120" w:after="120" w:line="240" w:lineRule="auto"/>
        <w:ind w:left="274" w:right="-475" w:hanging="274"/>
        <w:jc w:val="both"/>
        <w:rPr>
          <w:rFonts w:asciiTheme="majorHAnsi" w:eastAsia="Calibri" w:hAnsiTheme="majorHAnsi" w:cstheme="majorHAnsi"/>
          <w:i/>
          <w:color w:val="auto"/>
          <w:kern w:val="0"/>
          <w:sz w:val="24"/>
          <w:szCs w:val="24"/>
          <w:lang w:eastAsia="zh-CN"/>
        </w:rPr>
      </w:pPr>
      <w:r w:rsidRPr="00CB681C">
        <w:rPr>
          <w:rFonts w:asciiTheme="majorHAnsi" w:eastAsia="Calibri" w:hAnsiTheme="majorHAnsi" w:cstheme="majorHAnsi"/>
          <w:b/>
          <w:i/>
          <w:color w:val="auto"/>
          <w:kern w:val="0"/>
          <w:sz w:val="24"/>
          <w:szCs w:val="24"/>
          <w:lang w:eastAsia="zh-CN"/>
        </w:rPr>
        <w:t xml:space="preserve">Ograničeni kapaciteti za upravljanje ljudskim resursima </w:t>
      </w:r>
    </w:p>
    <w:p w:rsidR="00677F87" w:rsidRPr="00CB681C" w:rsidRDefault="00677F87" w:rsidP="00677F87">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b/>
          <w:color w:val="auto"/>
          <w:kern w:val="0"/>
          <w:sz w:val="24"/>
          <w:szCs w:val="24"/>
          <w:lang w:eastAsia="zh-CN"/>
        </w:rPr>
        <w:t xml:space="preserve">Jedinice za </w:t>
      </w:r>
      <w:r w:rsidRPr="00CB681C">
        <w:rPr>
          <w:rFonts w:asciiTheme="majorHAnsi" w:eastAsia="Times New Roman" w:hAnsiTheme="majorHAnsi" w:cstheme="majorHAnsi"/>
          <w:b/>
          <w:color w:val="auto"/>
          <w:kern w:val="0"/>
          <w:sz w:val="24"/>
          <w:szCs w:val="24"/>
          <w:lang w:eastAsia="zh-CN"/>
        </w:rPr>
        <w:t>upravljanje ljudskim resursima</w:t>
      </w:r>
      <w:r w:rsidRPr="00CB681C">
        <w:rPr>
          <w:rFonts w:asciiTheme="majorHAnsi" w:eastAsia="Calibri" w:hAnsiTheme="majorHAnsi" w:cstheme="majorHAnsi"/>
          <w:b/>
          <w:color w:val="auto"/>
          <w:kern w:val="0"/>
          <w:sz w:val="24"/>
          <w:szCs w:val="24"/>
          <w:lang w:eastAsia="zh-CN"/>
        </w:rPr>
        <w:t xml:space="preserve"> (ULJR) su najčešće jedinice za pravne i opte poslove, a ne jedinice za upravljanje ljudskim resursima i stvaranje snažnog ljudskog resursa u upravi</w:t>
      </w:r>
      <w:r w:rsidRPr="00CB681C">
        <w:rPr>
          <w:rFonts w:asciiTheme="majorHAnsi" w:eastAsia="Calibri" w:hAnsiTheme="majorHAnsi" w:cstheme="majorHAnsi"/>
          <w:color w:val="auto"/>
          <w:kern w:val="0"/>
          <w:sz w:val="24"/>
          <w:szCs w:val="24"/>
          <w:lang w:eastAsia="zh-CN"/>
        </w:rPr>
        <w:t xml:space="preserve">. </w:t>
      </w:r>
      <w:r w:rsidRPr="00CB681C">
        <w:rPr>
          <w:rFonts w:asciiTheme="majorHAnsi" w:eastAsia="Times New Roman" w:hAnsiTheme="majorHAnsi" w:cstheme="majorHAnsi"/>
          <w:color w:val="auto"/>
          <w:kern w:val="0"/>
          <w:sz w:val="24"/>
          <w:szCs w:val="24"/>
          <w:lang w:eastAsia="zh-CN"/>
        </w:rPr>
        <w:t>U sistemima gdje postoje jedinice za ULJR, njihov rad je usmjeren na pripremu pravnih akata – opštih i pojedinačnih, osiguranje zakonitosti u sferi radno-pravnih i državno-službeničkih odnosa i obavljanje administrativnih poslova.</w:t>
      </w:r>
      <w:r w:rsidRPr="00CB681C">
        <w:rPr>
          <w:rFonts w:asciiTheme="majorHAnsi" w:eastAsia="Times New Roman" w:hAnsiTheme="majorHAnsi" w:cstheme="majorHAnsi"/>
          <w:color w:val="auto"/>
          <w:kern w:val="0"/>
          <w:sz w:val="24"/>
          <w:szCs w:val="24"/>
          <w:vertAlign w:val="superscript"/>
          <w:lang w:eastAsia="zh-CN"/>
        </w:rPr>
        <w:footnoteReference w:id="76"/>
      </w:r>
      <w:r w:rsidRPr="00CB681C">
        <w:rPr>
          <w:rFonts w:asciiTheme="majorHAnsi" w:eastAsia="Times New Roman" w:hAnsiTheme="majorHAnsi" w:cstheme="majorHAnsi"/>
          <w:color w:val="auto"/>
          <w:kern w:val="0"/>
          <w:sz w:val="24"/>
          <w:szCs w:val="24"/>
          <w:lang w:eastAsia="zh-CN"/>
        </w:rPr>
        <w:t xml:space="preserve"> </w:t>
      </w:r>
      <w:r w:rsidRPr="00CB681C">
        <w:rPr>
          <w:rFonts w:asciiTheme="majorHAnsi" w:eastAsia="Calibri" w:hAnsiTheme="majorHAnsi" w:cstheme="majorHAnsi"/>
          <w:color w:val="auto"/>
          <w:kern w:val="0"/>
          <w:sz w:val="24"/>
          <w:szCs w:val="24"/>
          <w:lang w:eastAsia="zh-CN"/>
        </w:rPr>
        <w:t xml:space="preserve">Ne postoji ni </w:t>
      </w:r>
      <w:r w:rsidRPr="00CB681C">
        <w:rPr>
          <w:rFonts w:asciiTheme="majorHAnsi" w:eastAsia="Times New Roman" w:hAnsiTheme="majorHAnsi" w:cstheme="majorHAnsi"/>
          <w:color w:val="auto"/>
          <w:kern w:val="0"/>
          <w:sz w:val="24"/>
          <w:szCs w:val="24"/>
          <w:lang w:eastAsia="zh-CN"/>
        </w:rPr>
        <w:t>dovoljan broj jedinica za ljudske resurse kao posebnih organizacionih jedinica,</w:t>
      </w:r>
      <w:r w:rsidRPr="00CB681C">
        <w:rPr>
          <w:rFonts w:asciiTheme="majorHAnsi" w:eastAsia="Times New Roman" w:hAnsiTheme="majorHAnsi" w:cstheme="majorHAnsi"/>
          <w:color w:val="auto"/>
          <w:kern w:val="0"/>
          <w:sz w:val="24"/>
          <w:szCs w:val="24"/>
          <w:vertAlign w:val="superscript"/>
          <w:lang w:eastAsia="zh-CN"/>
        </w:rPr>
        <w:footnoteReference w:id="77"/>
      </w:r>
      <w:r w:rsidRPr="00CB681C">
        <w:rPr>
          <w:rFonts w:asciiTheme="majorHAnsi" w:eastAsia="Times New Roman" w:hAnsiTheme="majorHAnsi" w:cstheme="majorHAnsi"/>
          <w:color w:val="auto"/>
          <w:kern w:val="0"/>
          <w:sz w:val="24"/>
          <w:szCs w:val="24"/>
          <w:lang w:eastAsia="zh-CN"/>
        </w:rPr>
        <w:t xml:space="preserve"> kao ni službenika koji ove poslove obavljaju u okviru opštih i kadrovskih poslova. Ovakvo stanje se reflektuje na sve faze ciklusa upravljanja ljudskim resursima, uključujući i stručno usavršavanje, gde ako jedinice ne postoje, nema planiranja </w:t>
      </w:r>
      <w:r w:rsidRPr="00CB681C">
        <w:rPr>
          <w:rFonts w:asciiTheme="majorHAnsi" w:eastAsia="Calibri" w:hAnsiTheme="majorHAnsi" w:cstheme="majorHAnsi"/>
          <w:color w:val="auto"/>
          <w:kern w:val="0"/>
          <w:sz w:val="24"/>
          <w:szCs w:val="24"/>
          <w:lang w:eastAsia="zh-CN"/>
        </w:rPr>
        <w:t>stručnog osposobljavanja i usavršavanja zaposlenih u organu, odnosno ne postoji jasna veza između profesionalnog razvoja i praćenja radnog učinka zaposlenih.</w:t>
      </w:r>
    </w:p>
    <w:p w:rsidR="00677F87" w:rsidRPr="00CB681C" w:rsidRDefault="00677F87" w:rsidP="00677F87">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b/>
          <w:color w:val="auto"/>
          <w:kern w:val="0"/>
          <w:sz w:val="24"/>
          <w:szCs w:val="24"/>
          <w:lang w:eastAsia="zh-CN"/>
        </w:rPr>
        <w:t>Ne postoji</w:t>
      </w:r>
      <w:r w:rsidRPr="00CB681C">
        <w:rPr>
          <w:rFonts w:asciiTheme="majorHAnsi" w:eastAsia="Calibri" w:hAnsiTheme="majorHAnsi" w:cstheme="majorHAnsi"/>
          <w:color w:val="auto"/>
          <w:kern w:val="0"/>
          <w:sz w:val="24"/>
          <w:szCs w:val="24"/>
          <w:lang w:eastAsia="zh-CN"/>
        </w:rPr>
        <w:t xml:space="preserve"> </w:t>
      </w:r>
      <w:r w:rsidRPr="00CB681C">
        <w:rPr>
          <w:rFonts w:asciiTheme="majorHAnsi" w:eastAsia="Calibri" w:hAnsiTheme="majorHAnsi" w:cstheme="majorHAnsi"/>
          <w:b/>
          <w:color w:val="auto"/>
          <w:kern w:val="0"/>
          <w:sz w:val="24"/>
          <w:szCs w:val="24"/>
          <w:lang w:eastAsia="zh-CN"/>
        </w:rPr>
        <w:t>sistem kontinuiranog mjerenja zadovoljstva zaposlenih</w:t>
      </w:r>
      <w:r w:rsidRPr="00CB681C">
        <w:rPr>
          <w:rFonts w:asciiTheme="majorHAnsi" w:eastAsia="Calibri" w:hAnsiTheme="majorHAnsi" w:cstheme="majorHAnsi"/>
          <w:color w:val="auto"/>
          <w:kern w:val="0"/>
          <w:sz w:val="24"/>
          <w:szCs w:val="24"/>
          <w:lang w:eastAsia="zh-CN"/>
        </w:rPr>
        <w:t xml:space="preserve"> sa ciljem unaprijeđenja učinka rada organa, kao i zadovoljstva i motivacije zaposlenih, pa poslijedično rukovodioci nemaju povratnu informaciju o nivou zadovoljstva, motivisanosti i ključnim problemima službenika, iz kog razloga nije moguće spriječiti odlazak najboljih i pratiti uspješnost reforme iz godine u godinu. SIGMA je pripremila Praktične smjernice za uvođenje anketa o mjerenju zadovoljstva zaposlenih u javnoj upravi Crne Gore, u skladu sa čim se planira mjerenje zadovoljstva zaposlenih u organima u odabranim “Pilot institucijama” (Uprava za kadrove, Ministarstvo javne uprave, digitalnog društva i medija, Stručna služba Skupštine i </w:t>
      </w:r>
      <w:r w:rsidR="00C53E0C" w:rsidRPr="00CB681C">
        <w:rPr>
          <w:rFonts w:asciiTheme="majorHAnsi" w:eastAsia="Calibri" w:hAnsiTheme="majorHAnsi" w:cstheme="majorHAnsi"/>
          <w:color w:val="auto"/>
          <w:kern w:val="0"/>
          <w:sz w:val="24"/>
          <w:szCs w:val="24"/>
          <w:lang w:eastAsia="zh-CN"/>
        </w:rPr>
        <w:t>o</w:t>
      </w:r>
      <w:r w:rsidRPr="00CB681C">
        <w:rPr>
          <w:rFonts w:asciiTheme="majorHAnsi" w:eastAsia="Calibri" w:hAnsiTheme="majorHAnsi" w:cstheme="majorHAnsi"/>
          <w:color w:val="auto"/>
          <w:kern w:val="0"/>
          <w:sz w:val="24"/>
          <w:szCs w:val="24"/>
          <w:lang w:eastAsia="zh-CN"/>
        </w:rPr>
        <w:t>pština Kolašin).</w:t>
      </w:r>
    </w:p>
    <w:p w:rsidR="00985023" w:rsidRPr="00DE37F8" w:rsidRDefault="00B44628" w:rsidP="00B43D4E">
      <w:pPr>
        <w:pStyle w:val="ListParagraph"/>
        <w:numPr>
          <w:ilvl w:val="0"/>
          <w:numId w:val="32"/>
        </w:numPr>
        <w:tabs>
          <w:tab w:val="left" w:pos="850"/>
          <w:tab w:val="left" w:pos="1191"/>
          <w:tab w:val="left" w:pos="1531"/>
        </w:tabs>
        <w:spacing w:before="60" w:after="60" w:line="240" w:lineRule="auto"/>
        <w:ind w:left="270" w:right="-471" w:hanging="270"/>
        <w:jc w:val="both"/>
        <w:rPr>
          <w:rFonts w:asciiTheme="majorHAnsi" w:eastAsia="Calibri" w:hAnsiTheme="majorHAnsi" w:cstheme="majorHAnsi"/>
          <w:b/>
          <w:i/>
          <w:color w:val="auto"/>
          <w:kern w:val="0"/>
          <w:sz w:val="24"/>
          <w:szCs w:val="24"/>
          <w:lang w:eastAsia="zh-CN"/>
        </w:rPr>
      </w:pPr>
      <w:r w:rsidRPr="00F424CC">
        <w:rPr>
          <w:rFonts w:asciiTheme="majorHAnsi" w:eastAsia="Calibri" w:hAnsiTheme="majorHAnsi" w:cstheme="majorHAnsi"/>
          <w:b/>
          <w:i/>
          <w:color w:val="auto"/>
          <w:kern w:val="0"/>
          <w:sz w:val="24"/>
          <w:szCs w:val="24"/>
          <w:lang w:eastAsia="zh-CN"/>
        </w:rPr>
        <w:t>N</w:t>
      </w:r>
      <w:r w:rsidR="00DE37F8">
        <w:rPr>
          <w:rFonts w:asciiTheme="majorHAnsi" w:eastAsia="Calibri" w:hAnsiTheme="majorHAnsi" w:cstheme="majorHAnsi"/>
          <w:b/>
          <w:i/>
          <w:color w:val="auto"/>
          <w:kern w:val="0"/>
          <w:sz w:val="24"/>
          <w:szCs w:val="24"/>
          <w:lang w:eastAsia="zh-CN"/>
        </w:rPr>
        <w:t>edovoljno efikasan</w:t>
      </w:r>
      <w:r w:rsidR="00F424CC" w:rsidRPr="00DE37F8">
        <w:rPr>
          <w:rFonts w:asciiTheme="majorHAnsi" w:eastAsia="Calibri" w:hAnsiTheme="majorHAnsi" w:cstheme="majorHAnsi"/>
          <w:b/>
          <w:i/>
          <w:color w:val="auto"/>
          <w:kern w:val="0"/>
          <w:sz w:val="24"/>
          <w:szCs w:val="24"/>
          <w:lang w:eastAsia="zh-CN"/>
        </w:rPr>
        <w:t xml:space="preserve"> rad</w:t>
      </w:r>
      <w:r w:rsidR="00B26604" w:rsidRPr="00DE37F8">
        <w:rPr>
          <w:rFonts w:asciiTheme="majorHAnsi" w:eastAsia="Calibri" w:hAnsiTheme="majorHAnsi" w:cstheme="majorHAnsi"/>
          <w:b/>
          <w:i/>
          <w:color w:val="auto"/>
          <w:kern w:val="0"/>
          <w:sz w:val="24"/>
          <w:szCs w:val="24"/>
          <w:lang w:eastAsia="zh-CN"/>
        </w:rPr>
        <w:t xml:space="preserve"> javne u</w:t>
      </w:r>
      <w:r w:rsidRPr="00DE37F8">
        <w:rPr>
          <w:rFonts w:asciiTheme="majorHAnsi" w:eastAsia="Calibri" w:hAnsiTheme="majorHAnsi" w:cstheme="majorHAnsi"/>
          <w:b/>
          <w:i/>
          <w:color w:val="auto"/>
          <w:kern w:val="0"/>
          <w:sz w:val="24"/>
          <w:szCs w:val="24"/>
          <w:lang w:eastAsia="zh-CN"/>
        </w:rPr>
        <w:t>p</w:t>
      </w:r>
      <w:r w:rsidR="00B26604" w:rsidRPr="00DE37F8">
        <w:rPr>
          <w:rFonts w:asciiTheme="majorHAnsi" w:eastAsia="Calibri" w:hAnsiTheme="majorHAnsi" w:cstheme="majorHAnsi"/>
          <w:b/>
          <w:i/>
          <w:color w:val="auto"/>
          <w:kern w:val="0"/>
          <w:sz w:val="24"/>
          <w:szCs w:val="24"/>
          <w:lang w:eastAsia="zh-CN"/>
        </w:rPr>
        <w:t>r</w:t>
      </w:r>
      <w:r w:rsidRPr="00DE37F8">
        <w:rPr>
          <w:rFonts w:asciiTheme="majorHAnsi" w:eastAsia="Calibri" w:hAnsiTheme="majorHAnsi" w:cstheme="majorHAnsi"/>
          <w:b/>
          <w:i/>
          <w:color w:val="auto"/>
          <w:kern w:val="0"/>
          <w:sz w:val="24"/>
          <w:szCs w:val="24"/>
          <w:lang w:eastAsia="zh-CN"/>
        </w:rPr>
        <w:t>ave</w:t>
      </w:r>
    </w:p>
    <w:p w:rsidR="00F424CC" w:rsidRDefault="005B4C6F" w:rsidP="00F424CC">
      <w:pPr>
        <w:tabs>
          <w:tab w:val="left" w:pos="850"/>
          <w:tab w:val="left" w:pos="1191"/>
          <w:tab w:val="left" w:pos="1531"/>
        </w:tabs>
        <w:spacing w:before="60" w:after="60" w:line="240" w:lineRule="auto"/>
        <w:ind w:right="-475"/>
        <w:jc w:val="both"/>
        <w:rPr>
          <w:rFonts w:asciiTheme="majorHAnsi" w:eastAsia="Calibri" w:hAnsiTheme="majorHAnsi" w:cstheme="majorHAnsi"/>
          <w:color w:val="auto"/>
          <w:kern w:val="0"/>
          <w:sz w:val="24"/>
          <w:szCs w:val="24"/>
          <w:lang w:eastAsia="zh-CN"/>
        </w:rPr>
      </w:pPr>
      <w:r>
        <w:rPr>
          <w:rFonts w:asciiTheme="majorHAnsi" w:eastAsia="Calibri" w:hAnsiTheme="majorHAnsi" w:cstheme="majorHAnsi"/>
          <w:color w:val="auto"/>
          <w:kern w:val="0"/>
          <w:sz w:val="24"/>
          <w:szCs w:val="24"/>
          <w:lang w:eastAsia="zh-CN"/>
        </w:rPr>
        <w:t xml:space="preserve">Struktura i organizacija institucija u javnoj upravi nije praćena predhodno urađenim funkcionalnim analizama poslova, uključujući jasno mapiranje procesa rada </w:t>
      </w:r>
      <w:r w:rsidRPr="005B4C6F">
        <w:rPr>
          <w:rFonts w:asciiTheme="majorHAnsi" w:eastAsia="Calibri" w:hAnsiTheme="majorHAnsi" w:cstheme="majorHAnsi"/>
          <w:color w:val="auto"/>
          <w:kern w:val="0"/>
          <w:sz w:val="24"/>
          <w:szCs w:val="24"/>
          <w:lang w:eastAsia="zh-CN"/>
        </w:rPr>
        <w:t xml:space="preserve">i nadležnosti, </w:t>
      </w:r>
      <w:r>
        <w:rPr>
          <w:rFonts w:asciiTheme="majorHAnsi" w:eastAsia="Calibri" w:hAnsiTheme="majorHAnsi" w:cstheme="majorHAnsi"/>
          <w:color w:val="auto"/>
          <w:kern w:val="0"/>
          <w:sz w:val="24"/>
          <w:szCs w:val="24"/>
          <w:lang w:eastAsia="zh-CN"/>
        </w:rPr>
        <w:t>identifikovanje</w:t>
      </w:r>
      <w:r w:rsidRPr="005B4C6F">
        <w:rPr>
          <w:rFonts w:asciiTheme="majorHAnsi" w:eastAsia="Calibri" w:hAnsiTheme="majorHAnsi" w:cstheme="majorHAnsi"/>
          <w:color w:val="auto"/>
          <w:kern w:val="0"/>
          <w:sz w:val="24"/>
          <w:szCs w:val="24"/>
          <w:lang w:eastAsia="zh-CN"/>
        </w:rPr>
        <w:t xml:space="preserve"> broj</w:t>
      </w:r>
      <w:r>
        <w:rPr>
          <w:rFonts w:asciiTheme="majorHAnsi" w:eastAsia="Calibri" w:hAnsiTheme="majorHAnsi" w:cstheme="majorHAnsi"/>
          <w:color w:val="auto"/>
          <w:kern w:val="0"/>
          <w:sz w:val="24"/>
          <w:szCs w:val="24"/>
          <w:lang w:eastAsia="zh-CN"/>
        </w:rPr>
        <w:t>a</w:t>
      </w:r>
      <w:r w:rsidRPr="005B4C6F">
        <w:rPr>
          <w:rFonts w:asciiTheme="majorHAnsi" w:eastAsia="Calibri" w:hAnsiTheme="majorHAnsi" w:cstheme="majorHAnsi"/>
          <w:color w:val="auto"/>
          <w:kern w:val="0"/>
          <w:sz w:val="24"/>
          <w:szCs w:val="24"/>
          <w:lang w:eastAsia="zh-CN"/>
        </w:rPr>
        <w:t xml:space="preserve"> zaposlenih i nivo opterećenosti na nivou organa, organizacionih jedinica i na nivou svakog zaposlenog</w:t>
      </w:r>
      <w:r>
        <w:rPr>
          <w:rFonts w:asciiTheme="majorHAnsi" w:eastAsia="Calibri" w:hAnsiTheme="majorHAnsi" w:cstheme="majorHAnsi"/>
          <w:color w:val="auto"/>
          <w:kern w:val="0"/>
          <w:sz w:val="24"/>
          <w:szCs w:val="24"/>
          <w:lang w:eastAsia="zh-CN"/>
        </w:rPr>
        <w:t xml:space="preserve">. Nedostatkom potrebnih analiza rada organa, u institucijama javne uprave često je prisutna nesrazmjerna podjela rada po sektorima organa, preopterećenost rada pojedinih zaposlenih, što uzrokuje zaostatke u radu institucija. Neoptimalnom podjelom </w:t>
      </w:r>
      <w:r w:rsidR="00EF7CF8">
        <w:rPr>
          <w:rFonts w:asciiTheme="majorHAnsi" w:eastAsia="Calibri" w:hAnsiTheme="majorHAnsi" w:cstheme="majorHAnsi"/>
          <w:color w:val="auto"/>
          <w:kern w:val="0"/>
          <w:sz w:val="24"/>
          <w:szCs w:val="24"/>
          <w:lang w:eastAsia="zh-CN"/>
        </w:rPr>
        <w:t>posla, šesta je percepcija javnosti da je javna uprava spora, previše birokratska, skupa i neadekvano organizovana, te na taj način neuklađena sa zahtjevima građana i privrede.</w:t>
      </w:r>
      <w:r>
        <w:rPr>
          <w:rFonts w:asciiTheme="majorHAnsi" w:eastAsia="Calibri" w:hAnsiTheme="majorHAnsi" w:cstheme="majorHAnsi"/>
          <w:color w:val="auto"/>
          <w:kern w:val="0"/>
          <w:sz w:val="24"/>
          <w:szCs w:val="24"/>
          <w:lang w:eastAsia="zh-CN"/>
        </w:rPr>
        <w:t xml:space="preserve"> Identifikovani su posebni izazovi u sektorima zdrastva, obrazovanja, </w:t>
      </w:r>
      <w:r w:rsidRPr="005B4C6F">
        <w:rPr>
          <w:rFonts w:asciiTheme="majorHAnsi" w:eastAsia="Calibri" w:hAnsiTheme="majorHAnsi" w:cstheme="majorHAnsi"/>
          <w:color w:val="auto"/>
          <w:kern w:val="0"/>
          <w:sz w:val="24"/>
          <w:szCs w:val="24"/>
          <w:lang w:eastAsia="zh-CN"/>
        </w:rPr>
        <w:t>vojske i policije</w:t>
      </w:r>
      <w:r>
        <w:rPr>
          <w:rFonts w:asciiTheme="majorHAnsi" w:eastAsia="Calibri" w:hAnsiTheme="majorHAnsi" w:cstheme="majorHAnsi"/>
          <w:color w:val="auto"/>
          <w:kern w:val="0"/>
          <w:sz w:val="24"/>
          <w:szCs w:val="24"/>
          <w:lang w:eastAsia="zh-CN"/>
        </w:rPr>
        <w:t xml:space="preserve"> na nivou strukture i efikasnosti rada u ovim kompleksnim sistemima. Nedostatak map</w:t>
      </w:r>
      <w:r w:rsidR="00EF7CF8">
        <w:rPr>
          <w:rFonts w:asciiTheme="majorHAnsi" w:eastAsia="Calibri" w:hAnsiTheme="majorHAnsi" w:cstheme="majorHAnsi"/>
          <w:color w:val="auto"/>
          <w:kern w:val="0"/>
          <w:sz w:val="24"/>
          <w:szCs w:val="24"/>
          <w:lang w:eastAsia="zh-CN"/>
        </w:rPr>
        <w:t>e</w:t>
      </w:r>
      <w:r>
        <w:rPr>
          <w:rFonts w:asciiTheme="majorHAnsi" w:eastAsia="Calibri" w:hAnsiTheme="majorHAnsi" w:cstheme="majorHAnsi"/>
          <w:color w:val="auto"/>
          <w:kern w:val="0"/>
          <w:sz w:val="24"/>
          <w:szCs w:val="24"/>
          <w:lang w:eastAsia="zh-CN"/>
        </w:rPr>
        <w:t xml:space="preserve"> internih procesa rada i unapređenja </w:t>
      </w:r>
      <w:r w:rsidR="00EF7CF8">
        <w:rPr>
          <w:rFonts w:asciiTheme="majorHAnsi" w:eastAsia="Calibri" w:hAnsiTheme="majorHAnsi" w:cstheme="majorHAnsi"/>
          <w:color w:val="auto"/>
          <w:kern w:val="0"/>
          <w:sz w:val="24"/>
          <w:szCs w:val="24"/>
          <w:lang w:eastAsia="zh-CN"/>
        </w:rPr>
        <w:t xml:space="preserve">istih </w:t>
      </w:r>
      <w:r>
        <w:rPr>
          <w:rFonts w:asciiTheme="majorHAnsi" w:eastAsia="Calibri" w:hAnsiTheme="majorHAnsi" w:cstheme="majorHAnsi"/>
          <w:color w:val="auto"/>
          <w:kern w:val="0"/>
          <w:sz w:val="24"/>
          <w:szCs w:val="24"/>
          <w:lang w:eastAsia="zh-CN"/>
        </w:rPr>
        <w:t xml:space="preserve">kroz pojednostavljanje postupaka rada predstavlja osnovan izazov </w:t>
      </w:r>
      <w:r w:rsidR="00EF7CF8">
        <w:rPr>
          <w:rFonts w:asciiTheme="majorHAnsi" w:eastAsia="Calibri" w:hAnsiTheme="majorHAnsi" w:cstheme="majorHAnsi"/>
          <w:color w:val="auto"/>
          <w:kern w:val="0"/>
          <w:sz w:val="24"/>
          <w:szCs w:val="24"/>
          <w:lang w:eastAsia="zh-CN"/>
        </w:rPr>
        <w:t>r</w:t>
      </w:r>
      <w:r w:rsidR="00F424CC">
        <w:rPr>
          <w:rFonts w:asciiTheme="majorHAnsi" w:eastAsia="Calibri" w:hAnsiTheme="majorHAnsi" w:cstheme="majorHAnsi"/>
          <w:color w:val="auto"/>
          <w:kern w:val="0"/>
          <w:sz w:val="24"/>
          <w:szCs w:val="24"/>
          <w:lang w:eastAsia="zh-CN"/>
        </w:rPr>
        <w:t>ad javne uprave</w:t>
      </w:r>
      <w:r w:rsidR="00EF7CF8">
        <w:rPr>
          <w:rFonts w:asciiTheme="majorHAnsi" w:eastAsia="Calibri" w:hAnsiTheme="majorHAnsi" w:cstheme="majorHAnsi"/>
          <w:color w:val="auto"/>
          <w:kern w:val="0"/>
          <w:sz w:val="24"/>
          <w:szCs w:val="24"/>
          <w:lang w:eastAsia="zh-CN"/>
        </w:rPr>
        <w:t>. Javna uprava se</w:t>
      </w:r>
      <w:r w:rsidR="00F424CC">
        <w:rPr>
          <w:rFonts w:asciiTheme="majorHAnsi" w:eastAsia="Calibri" w:hAnsiTheme="majorHAnsi" w:cstheme="majorHAnsi"/>
          <w:color w:val="auto"/>
          <w:kern w:val="0"/>
          <w:sz w:val="24"/>
          <w:szCs w:val="24"/>
          <w:lang w:eastAsia="zh-CN"/>
        </w:rPr>
        <w:t xml:space="preserve"> i d</w:t>
      </w:r>
      <w:r w:rsidR="00EF7CF8">
        <w:rPr>
          <w:rFonts w:asciiTheme="majorHAnsi" w:eastAsia="Calibri" w:hAnsiTheme="majorHAnsi" w:cstheme="majorHAnsi"/>
          <w:color w:val="auto"/>
          <w:kern w:val="0"/>
          <w:sz w:val="24"/>
          <w:szCs w:val="24"/>
          <w:lang w:eastAsia="zh-CN"/>
        </w:rPr>
        <w:t>alje</w:t>
      </w:r>
      <w:r w:rsidR="00F424CC">
        <w:rPr>
          <w:rFonts w:asciiTheme="majorHAnsi" w:eastAsia="Calibri" w:hAnsiTheme="majorHAnsi" w:cstheme="majorHAnsi"/>
          <w:color w:val="auto"/>
          <w:kern w:val="0"/>
          <w:sz w:val="24"/>
          <w:szCs w:val="24"/>
          <w:lang w:eastAsia="zh-CN"/>
        </w:rPr>
        <w:t xml:space="preserve"> bazira na postojanju tradicionalno birokratskog odnosa </w:t>
      </w:r>
      <w:r w:rsidR="00F424CC">
        <w:rPr>
          <w:rFonts w:asciiTheme="majorHAnsi" w:eastAsia="Calibri" w:hAnsiTheme="majorHAnsi" w:cstheme="majorHAnsi"/>
          <w:color w:val="auto"/>
          <w:kern w:val="0"/>
          <w:sz w:val="24"/>
          <w:szCs w:val="24"/>
          <w:lang w:eastAsia="zh-CN"/>
        </w:rPr>
        <w:lastRenderedPageBreak/>
        <w:t>sa strankama,</w:t>
      </w:r>
      <w:r w:rsidR="00F424CC" w:rsidRPr="00F424CC">
        <w:rPr>
          <w:rFonts w:asciiTheme="majorHAnsi" w:eastAsia="Calibri" w:hAnsiTheme="majorHAnsi" w:cstheme="majorHAnsi"/>
          <w:color w:val="auto"/>
          <w:kern w:val="0"/>
          <w:sz w:val="24"/>
          <w:szCs w:val="24"/>
          <w:lang w:eastAsia="zh-CN"/>
        </w:rPr>
        <w:t xml:space="preserve"> što dovodi do neefikasnosti i</w:t>
      </w:r>
      <w:r w:rsidR="00F424CC">
        <w:rPr>
          <w:rFonts w:asciiTheme="majorHAnsi" w:eastAsia="Calibri" w:hAnsiTheme="majorHAnsi" w:cstheme="majorHAnsi"/>
          <w:color w:val="auto"/>
          <w:kern w:val="0"/>
          <w:sz w:val="24"/>
          <w:szCs w:val="24"/>
          <w:lang w:eastAsia="zh-CN"/>
        </w:rPr>
        <w:t xml:space="preserve"> </w:t>
      </w:r>
      <w:r w:rsidR="00F424CC" w:rsidRPr="00F424CC">
        <w:rPr>
          <w:rFonts w:asciiTheme="majorHAnsi" w:eastAsia="Calibri" w:hAnsiTheme="majorHAnsi" w:cstheme="majorHAnsi"/>
          <w:color w:val="auto"/>
          <w:kern w:val="0"/>
          <w:sz w:val="24"/>
          <w:szCs w:val="24"/>
          <w:lang w:eastAsia="zh-CN"/>
        </w:rPr>
        <w:t xml:space="preserve">nepotrebne dugotrajnosti postupaka, čime se povećavaju troškovi ostvarivanja </w:t>
      </w:r>
      <w:r w:rsidR="00F424CC">
        <w:rPr>
          <w:rFonts w:asciiTheme="majorHAnsi" w:eastAsia="Calibri" w:hAnsiTheme="majorHAnsi" w:cstheme="majorHAnsi"/>
          <w:color w:val="auto"/>
          <w:kern w:val="0"/>
          <w:sz w:val="24"/>
          <w:szCs w:val="24"/>
          <w:lang w:eastAsia="zh-CN"/>
        </w:rPr>
        <w:t>prav</w:t>
      </w:r>
      <w:r>
        <w:rPr>
          <w:rFonts w:asciiTheme="majorHAnsi" w:eastAsia="Calibri" w:hAnsiTheme="majorHAnsi" w:cstheme="majorHAnsi"/>
          <w:color w:val="auto"/>
          <w:kern w:val="0"/>
          <w:sz w:val="24"/>
          <w:szCs w:val="24"/>
          <w:lang w:eastAsia="zh-CN"/>
        </w:rPr>
        <w:t xml:space="preserve">a građana i drugih stranaka. </w:t>
      </w:r>
    </w:p>
    <w:p w:rsidR="00EF7CF8" w:rsidRPr="00CB681C" w:rsidRDefault="00EF7CF8" w:rsidP="00EF7CF8">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Postoje sistemske slabosti u pogledu zapošljavanja na određeno. Ne postoje jedinstvena pravila i procedure u pogledu angažovanja (izbora) lica putem ugovora, visine naknade, trajanja ugovora, izvještavanja o obavljenom poslu, potrebnih stručnih kvalifikacija i sl. Ugovori o djelu i ugovori o privremenim i povremenim poslovima se zaključuju i za radna mjesta koja su sistematizovana, suprotno ZDSiN-u. Ne postoji praksa pripreme izvještaja o izvršenom predmetu ugovora o djelu, ugovora o privremenim i povremenim poslovima. Nije moguć uvid u preciznu analitiku ukupnih troškova za svrhe angažovanja po ugovorima o djelu i privremenim i povremenim poslovima. Izdaci po osnovu ugovora o djelu i privremenim i povremenim poslovima se evidentiraju na više različitih budžetskih pozicija. Ne postoje ni sveobuhvatne evidencije (baze podataka) ugovora o djelu i ugovora o privremenim i povremenim poslovima niti adekvatan nadzor i kontrola sprovođenja zaključenih ugovora od strane naručilaca, organa za čije je potrebe ugovor sklopljen.</w:t>
      </w:r>
    </w:p>
    <w:p w:rsidR="00B44628" w:rsidRPr="00B44628" w:rsidRDefault="00EF7CF8" w:rsidP="00EF7CF8">
      <w:pPr>
        <w:tabs>
          <w:tab w:val="left" w:pos="850"/>
          <w:tab w:val="left" w:pos="1191"/>
          <w:tab w:val="left" w:pos="1531"/>
        </w:tabs>
        <w:spacing w:before="60" w:after="60" w:line="240" w:lineRule="auto"/>
        <w:ind w:right="-475"/>
        <w:jc w:val="both"/>
        <w:rPr>
          <w:rFonts w:asciiTheme="majorHAnsi" w:eastAsia="Calibri" w:hAnsiTheme="majorHAnsi" w:cstheme="majorHAnsi"/>
          <w:color w:val="auto"/>
          <w:kern w:val="0"/>
          <w:sz w:val="24"/>
          <w:szCs w:val="24"/>
          <w:lang w:eastAsia="zh-CN"/>
        </w:rPr>
      </w:pPr>
      <w:r>
        <w:rPr>
          <w:rFonts w:asciiTheme="majorHAnsi" w:eastAsia="Calibri" w:hAnsiTheme="majorHAnsi" w:cstheme="majorHAnsi"/>
          <w:color w:val="auto"/>
          <w:kern w:val="0"/>
          <w:sz w:val="24"/>
          <w:szCs w:val="24"/>
          <w:lang w:eastAsia="zh-CN"/>
        </w:rPr>
        <w:t xml:space="preserve">Kadrovsko planiranje, zastupljeno u organima u skaldu sa Zakonom o državnim službenicima i namještenicima predstvalja manji segment standardizovanog upravljanja ljudskim resursima u javnoj upravi. Nedostatak ovog mehanizma </w:t>
      </w:r>
      <w:r w:rsidR="00B44628" w:rsidRPr="00B44628">
        <w:rPr>
          <w:rFonts w:asciiTheme="majorHAnsi" w:eastAsia="Calibri" w:hAnsiTheme="majorHAnsi" w:cstheme="majorHAnsi"/>
          <w:color w:val="auto"/>
          <w:kern w:val="0"/>
          <w:sz w:val="24"/>
          <w:szCs w:val="24"/>
          <w:lang w:eastAsia="zh-CN"/>
        </w:rPr>
        <w:t>za sve institucije i zaposlene koji se finansiraju</w:t>
      </w:r>
      <w:r w:rsidR="00DE37F8">
        <w:rPr>
          <w:rFonts w:asciiTheme="majorHAnsi" w:eastAsia="Calibri" w:hAnsiTheme="majorHAnsi" w:cstheme="majorHAnsi"/>
          <w:color w:val="auto"/>
          <w:kern w:val="0"/>
          <w:sz w:val="24"/>
          <w:szCs w:val="24"/>
          <w:lang w:eastAsia="zh-CN"/>
        </w:rPr>
        <w:t xml:space="preserve"> iz budžeta </w:t>
      </w:r>
      <w:r w:rsidR="00B44628" w:rsidRPr="00B44628">
        <w:rPr>
          <w:rFonts w:asciiTheme="majorHAnsi" w:eastAsia="Calibri" w:hAnsiTheme="majorHAnsi" w:cstheme="majorHAnsi"/>
          <w:color w:val="auto"/>
          <w:kern w:val="0"/>
          <w:sz w:val="24"/>
          <w:szCs w:val="24"/>
          <w:lang w:eastAsia="zh-CN"/>
        </w:rPr>
        <w:t xml:space="preserve"> </w:t>
      </w:r>
      <w:r>
        <w:rPr>
          <w:rFonts w:asciiTheme="majorHAnsi" w:eastAsia="Calibri" w:hAnsiTheme="majorHAnsi" w:cstheme="majorHAnsi"/>
          <w:color w:val="auto"/>
          <w:kern w:val="0"/>
          <w:sz w:val="24"/>
          <w:szCs w:val="24"/>
          <w:lang w:eastAsia="zh-CN"/>
        </w:rPr>
        <w:t>dovodi do konstantnog povećanja broja zaposlenih u javnoj upravi, kao i nedostatak</w:t>
      </w:r>
      <w:r w:rsidR="00B44628" w:rsidRPr="00B44628">
        <w:rPr>
          <w:rFonts w:asciiTheme="majorHAnsi" w:eastAsia="Calibri" w:hAnsiTheme="majorHAnsi" w:cstheme="majorHAnsi"/>
          <w:color w:val="auto"/>
          <w:kern w:val="0"/>
          <w:sz w:val="24"/>
          <w:szCs w:val="24"/>
          <w:lang w:eastAsia="zh-CN"/>
        </w:rPr>
        <w:t xml:space="preserve"> elektronske jedinstvene evidencije o broju zaposlenih u javnoj upravi koji se finansiraju iz Budžeta</w:t>
      </w:r>
      <w:r>
        <w:rPr>
          <w:rFonts w:asciiTheme="majorHAnsi" w:eastAsia="Calibri" w:hAnsiTheme="majorHAnsi" w:cstheme="majorHAnsi"/>
          <w:color w:val="auto"/>
          <w:kern w:val="0"/>
          <w:sz w:val="24"/>
          <w:szCs w:val="24"/>
          <w:lang w:eastAsia="zh-CN"/>
        </w:rPr>
        <w:t>.</w:t>
      </w:r>
      <w:r w:rsidR="00B44628" w:rsidRPr="00B44628">
        <w:rPr>
          <w:rFonts w:asciiTheme="majorHAnsi" w:eastAsia="Calibri" w:hAnsiTheme="majorHAnsi" w:cstheme="majorHAnsi"/>
          <w:color w:val="auto"/>
          <w:kern w:val="0"/>
          <w:sz w:val="24"/>
          <w:szCs w:val="24"/>
          <w:lang w:eastAsia="zh-CN"/>
        </w:rPr>
        <w:t xml:space="preserve"> </w:t>
      </w:r>
    </w:p>
    <w:p w:rsidR="00677F87" w:rsidRPr="00CB681C" w:rsidRDefault="00677F87" w:rsidP="00B43D4E">
      <w:pPr>
        <w:keepNext/>
        <w:keepLines/>
        <w:numPr>
          <w:ilvl w:val="0"/>
          <w:numId w:val="21"/>
        </w:numPr>
        <w:spacing w:before="240" w:after="240" w:line="240" w:lineRule="auto"/>
        <w:ind w:right="-471"/>
        <w:outlineLvl w:val="2"/>
        <w:rPr>
          <w:rFonts w:asciiTheme="majorHAnsi" w:eastAsia="Calibri" w:hAnsiTheme="majorHAnsi" w:cstheme="majorHAnsi"/>
          <w:b/>
          <w:color w:val="auto"/>
          <w:kern w:val="0"/>
          <w:sz w:val="24"/>
          <w:szCs w:val="24"/>
        </w:rPr>
      </w:pPr>
      <w:bookmarkStart w:id="30" w:name="_Toc87353405"/>
      <w:r w:rsidRPr="00CB681C">
        <w:rPr>
          <w:rFonts w:asciiTheme="majorHAnsi" w:eastAsia="Calibri" w:hAnsiTheme="majorHAnsi" w:cstheme="majorHAnsi"/>
          <w:b/>
          <w:color w:val="auto"/>
          <w:kern w:val="0"/>
          <w:sz w:val="24"/>
          <w:szCs w:val="24"/>
        </w:rPr>
        <w:t>STAKEHOLDER ANALIZA/ ANALIZA ZAINTERESOVANIH STRANA</w:t>
      </w:r>
      <w:r w:rsidR="00404CEC" w:rsidRPr="00CB681C">
        <w:rPr>
          <w:rFonts w:asciiTheme="majorHAnsi" w:eastAsia="Calibri" w:hAnsiTheme="majorHAnsi" w:cstheme="majorHAnsi"/>
          <w:b/>
          <w:color w:val="auto"/>
          <w:kern w:val="0"/>
          <w:sz w:val="24"/>
          <w:szCs w:val="24"/>
        </w:rPr>
        <w:t xml:space="preserve"> STRATEŠKOG CILJA 3.</w:t>
      </w:r>
      <w:bookmarkEnd w:id="30"/>
      <w:r w:rsidR="00404CEC" w:rsidRPr="00CB681C">
        <w:rPr>
          <w:rFonts w:asciiTheme="majorHAnsi" w:eastAsia="Calibri" w:hAnsiTheme="majorHAnsi" w:cstheme="majorHAnsi"/>
          <w:b/>
          <w:color w:val="auto"/>
          <w:kern w:val="0"/>
          <w:sz w:val="24"/>
          <w:szCs w:val="24"/>
        </w:rPr>
        <w:t xml:space="preserve"> </w:t>
      </w:r>
    </w:p>
    <w:p w:rsidR="00677F87" w:rsidRPr="007E14C5" w:rsidRDefault="00677F87" w:rsidP="00677F87">
      <w:pPr>
        <w:spacing w:after="40" w:line="240" w:lineRule="auto"/>
        <w:ind w:right="-471"/>
        <w:rPr>
          <w:rFonts w:asciiTheme="majorHAnsi" w:hAnsiTheme="majorHAnsi" w:cstheme="majorHAnsi"/>
          <w:bCs/>
          <w:color w:val="002060"/>
          <w:sz w:val="24"/>
          <w:szCs w:val="24"/>
        </w:rPr>
      </w:pPr>
      <w:r w:rsidRPr="007E14C5">
        <w:rPr>
          <w:rFonts w:asciiTheme="majorHAnsi" w:hAnsiTheme="majorHAnsi" w:cstheme="majorHAnsi"/>
          <w:bCs/>
          <w:noProof/>
          <w:color w:val="002060"/>
          <w:sz w:val="24"/>
          <w:szCs w:val="24"/>
          <w:lang w:eastAsia="sr-Latn-RS"/>
        </w:rPr>
        <mc:AlternateContent>
          <mc:Choice Requires="wps">
            <w:drawing>
              <wp:anchor distT="45720" distB="45720" distL="114300" distR="114300" simplePos="0" relativeHeight="251858944" behindDoc="0" locked="0" layoutInCell="1" allowOverlap="1" wp14:anchorId="7C5083A7" wp14:editId="37D7A07E">
                <wp:simplePos x="0" y="0"/>
                <wp:positionH relativeFrom="margin">
                  <wp:posOffset>3870325</wp:posOffset>
                </wp:positionH>
                <wp:positionV relativeFrom="paragraph">
                  <wp:posOffset>11430</wp:posOffset>
                </wp:positionV>
                <wp:extent cx="2362200" cy="3714750"/>
                <wp:effectExtent l="0" t="0" r="19050" b="1905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714750"/>
                        </a:xfrm>
                        <a:prstGeom prst="rect">
                          <a:avLst/>
                        </a:prstGeom>
                        <a:solidFill>
                          <a:srgbClr val="FFFFFF"/>
                        </a:solidFill>
                        <a:ln w="9525">
                          <a:solidFill>
                            <a:srgbClr val="FFFFFF"/>
                          </a:solidFill>
                          <a:miter lim="800000"/>
                          <a:headEnd/>
                          <a:tailEnd/>
                        </a:ln>
                      </wps:spPr>
                      <wps:txbx>
                        <w:txbxContent>
                          <w:p w:rsidR="00F735BC" w:rsidRPr="00464BCD" w:rsidRDefault="00F735BC" w:rsidP="00677F87">
                            <w:pPr>
                              <w:spacing w:after="40" w:line="240" w:lineRule="auto"/>
                              <w:ind w:right="36"/>
                              <w:jc w:val="both"/>
                              <w:rPr>
                                <w:rFonts w:asciiTheme="majorHAnsi" w:hAnsiTheme="majorHAnsi" w:cstheme="majorHAnsi"/>
                                <w:bCs/>
                                <w:color w:val="auto"/>
                                <w:sz w:val="22"/>
                                <w:szCs w:val="22"/>
                              </w:rPr>
                            </w:pPr>
                            <w:r w:rsidRPr="00464BCD">
                              <w:rPr>
                                <w:rFonts w:asciiTheme="majorHAnsi" w:hAnsiTheme="majorHAnsi" w:cstheme="majorHAnsi"/>
                                <w:bCs/>
                                <w:color w:val="auto"/>
                                <w:sz w:val="22"/>
                                <w:szCs w:val="22"/>
                              </w:rPr>
                              <w:t xml:space="preserve">U matrici zainteresovanih strana za strateški cilj „Profesionalna javna </w:t>
                            </w:r>
                            <w:r w:rsidRPr="00BF4CEF">
                              <w:rPr>
                                <w:rFonts w:asciiTheme="majorHAnsi" w:hAnsiTheme="majorHAnsi" w:cstheme="majorHAnsi"/>
                                <w:bCs/>
                                <w:color w:val="auto"/>
                                <w:sz w:val="22"/>
                                <w:szCs w:val="22"/>
                              </w:rPr>
                              <w:t>administracija</w:t>
                            </w:r>
                            <w:r w:rsidRPr="00464BCD">
                              <w:rPr>
                                <w:rFonts w:asciiTheme="majorHAnsi" w:hAnsiTheme="majorHAnsi" w:cstheme="majorHAnsi"/>
                                <w:bCs/>
                                <w:color w:val="auto"/>
                                <w:sz w:val="22"/>
                                <w:szCs w:val="22"/>
                              </w:rPr>
                              <w:t>“ uočava veliki interes svih relevantnih učesnika. Naime, Vlada Crne Gore, MJUDDM, MFSS, kao donosioci odluka, kao i međunarodne organizacije – EU, SIGMA, OECD, UNDP, WB, ambasade posmatraju se kao najvažniji partneri među kojima je neophodna konstantna saradnja. Upravni sud, upravna inspekcija i Komisija za žalbe predstavljaju institucije koje svojim stavovima i rješenjima definišu dalje pravce razvoja profesionalne javne administracije. Veoma je važna sar</w:t>
                            </w:r>
                            <w:r>
                              <w:rPr>
                                <w:rFonts w:asciiTheme="majorHAnsi" w:hAnsiTheme="majorHAnsi" w:cstheme="majorHAnsi"/>
                                <w:bCs/>
                                <w:color w:val="auto"/>
                                <w:sz w:val="22"/>
                                <w:szCs w:val="22"/>
                              </w:rPr>
                              <w:t>adnja sa svim ministarstvima</w:t>
                            </w:r>
                            <w:r w:rsidRPr="00464BCD">
                              <w:rPr>
                                <w:rFonts w:asciiTheme="majorHAnsi" w:hAnsiTheme="majorHAnsi" w:cstheme="majorHAnsi"/>
                                <w:bCs/>
                                <w:color w:val="auto"/>
                                <w:sz w:val="22"/>
                                <w:szCs w:val="22"/>
                              </w:rPr>
                              <w:t xml:space="preserve"> i drugim organima uprave koji implem</w:t>
                            </w:r>
                            <w:r w:rsidRPr="00BF4CEF">
                              <w:rPr>
                                <w:rFonts w:asciiTheme="majorHAnsi" w:hAnsiTheme="majorHAnsi" w:cstheme="majorHAnsi"/>
                                <w:bCs/>
                                <w:color w:val="auto"/>
                                <w:sz w:val="22"/>
                                <w:szCs w:val="22"/>
                              </w:rPr>
                              <w:t>entiraj</w:t>
                            </w:r>
                            <w:r w:rsidRPr="00464BCD">
                              <w:rPr>
                                <w:rFonts w:asciiTheme="majorHAnsi" w:hAnsiTheme="majorHAnsi" w:cstheme="majorHAnsi"/>
                                <w:bCs/>
                                <w:color w:val="auto"/>
                                <w:sz w:val="22"/>
                                <w:szCs w:val="22"/>
                              </w:rPr>
                              <w:t>u institute iz ove oblasti i doprinose boljoj implementaciiji same Strategije.</w:t>
                            </w:r>
                          </w:p>
                          <w:p w:rsidR="00F735BC" w:rsidRPr="00464BCD" w:rsidRDefault="00F735BC" w:rsidP="00677F87">
                            <w:pPr>
                              <w:ind w:right="36"/>
                              <w:rPr>
                                <w:rFonts w:asciiTheme="majorHAnsi" w:hAnsiTheme="majorHAnsi" w:cs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083A7" id="_x0000_s1107" type="#_x0000_t202" style="position:absolute;margin-left:304.75pt;margin-top:.9pt;width:186pt;height:292.5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" strokecolor="white">
                <v:textbox>
                  <w:txbxContent>
                    <w:p w:rsidR="00F735BC" w:rsidRPr="00464BCD" w:rsidRDefault="00F735BC" w:rsidP="00677F87">
                      <w:pPr>
                        <w:spacing w:after="40" w:line="240" w:lineRule="auto"/>
                        <w:ind w:right="36"/>
                        <w:jc w:val="both"/>
                        <w:rPr>
                          <w:rFonts w:asciiTheme="majorHAnsi" w:hAnsiTheme="majorHAnsi" w:cstheme="majorHAnsi"/>
                          <w:bCs/>
                          <w:color w:val="auto"/>
                          <w:sz w:val="22"/>
                          <w:szCs w:val="22"/>
                        </w:rPr>
                      </w:pPr>
                      <w:r w:rsidRPr="00464BCD">
                        <w:rPr>
                          <w:rFonts w:asciiTheme="majorHAnsi" w:hAnsiTheme="majorHAnsi" w:cstheme="majorHAnsi"/>
                          <w:bCs/>
                          <w:color w:val="auto"/>
                          <w:sz w:val="22"/>
                          <w:szCs w:val="22"/>
                        </w:rPr>
                        <w:t xml:space="preserve">U matrici zainteresovanih strana za strateški cilj „Profesionalna javna </w:t>
                      </w:r>
                      <w:r w:rsidRPr="00BF4CEF">
                        <w:rPr>
                          <w:rFonts w:asciiTheme="majorHAnsi" w:hAnsiTheme="majorHAnsi" w:cstheme="majorHAnsi"/>
                          <w:bCs/>
                          <w:color w:val="auto"/>
                          <w:sz w:val="22"/>
                          <w:szCs w:val="22"/>
                        </w:rPr>
                        <w:t>administracija</w:t>
                      </w:r>
                      <w:r w:rsidRPr="00464BCD">
                        <w:rPr>
                          <w:rFonts w:asciiTheme="majorHAnsi" w:hAnsiTheme="majorHAnsi" w:cstheme="majorHAnsi"/>
                          <w:bCs/>
                          <w:color w:val="auto"/>
                          <w:sz w:val="22"/>
                          <w:szCs w:val="22"/>
                        </w:rPr>
                        <w:t>“ uočava veliki interes svih relevantnih učesnika. Naime, Vlada Crne Gore, MJUDDM, MFSS, kao donosioci odluka, kao i međunarodne organizacije – EU, SIGMA, OECD, UNDP, WB, ambasade posmatraju se kao najvažniji partneri među kojima je neophodna konstantna saradnja. Upravni sud, upravna inspekcija i Komisija za žalbe predstavljaju institucije koje svojim stavovima i rješenjima definišu dalje pravce razvoja profesionalne javne administracije. Veoma je važna sar</w:t>
                      </w:r>
                      <w:r>
                        <w:rPr>
                          <w:rFonts w:asciiTheme="majorHAnsi" w:hAnsiTheme="majorHAnsi" w:cstheme="majorHAnsi"/>
                          <w:bCs/>
                          <w:color w:val="auto"/>
                          <w:sz w:val="22"/>
                          <w:szCs w:val="22"/>
                        </w:rPr>
                        <w:t>adnja sa svim ministarstvima</w:t>
                      </w:r>
                      <w:r w:rsidRPr="00464BCD">
                        <w:rPr>
                          <w:rFonts w:asciiTheme="majorHAnsi" w:hAnsiTheme="majorHAnsi" w:cstheme="majorHAnsi"/>
                          <w:bCs/>
                          <w:color w:val="auto"/>
                          <w:sz w:val="22"/>
                          <w:szCs w:val="22"/>
                        </w:rPr>
                        <w:t xml:space="preserve"> i drugim organima uprave koji implem</w:t>
                      </w:r>
                      <w:r w:rsidRPr="00BF4CEF">
                        <w:rPr>
                          <w:rFonts w:asciiTheme="majorHAnsi" w:hAnsiTheme="majorHAnsi" w:cstheme="majorHAnsi"/>
                          <w:bCs/>
                          <w:color w:val="auto"/>
                          <w:sz w:val="22"/>
                          <w:szCs w:val="22"/>
                        </w:rPr>
                        <w:t>entiraj</w:t>
                      </w:r>
                      <w:r w:rsidRPr="00464BCD">
                        <w:rPr>
                          <w:rFonts w:asciiTheme="majorHAnsi" w:hAnsiTheme="majorHAnsi" w:cstheme="majorHAnsi"/>
                          <w:bCs/>
                          <w:color w:val="auto"/>
                          <w:sz w:val="22"/>
                          <w:szCs w:val="22"/>
                        </w:rPr>
                        <w:t>u institute iz ove oblasti i doprinose boljoj implementaciiji same Strategije.</w:t>
                      </w:r>
                    </w:p>
                    <w:p w:rsidR="00F735BC" w:rsidRPr="00464BCD" w:rsidRDefault="00F735BC" w:rsidP="00677F87">
                      <w:pPr>
                        <w:ind w:right="36"/>
                        <w:rPr>
                          <w:rFonts w:asciiTheme="majorHAnsi" w:hAnsiTheme="majorHAnsi" w:cstheme="majorHAnsi"/>
                        </w:rPr>
                      </w:pPr>
                    </w:p>
                  </w:txbxContent>
                </v:textbox>
                <w10:wrap type="square" anchorx="margin"/>
              </v:shape>
            </w:pict>
          </mc:Fallback>
        </mc:AlternateContent>
      </w:r>
      <w:r w:rsidRPr="007E14C5">
        <w:rPr>
          <w:rFonts w:asciiTheme="majorHAnsi" w:hAnsiTheme="majorHAnsi" w:cstheme="majorHAnsi"/>
          <w:bCs/>
          <w:noProof/>
          <w:color w:val="002060"/>
          <w:sz w:val="24"/>
          <w:szCs w:val="24"/>
          <w:lang w:eastAsia="sr-Latn-RS"/>
        </w:rPr>
        <w:drawing>
          <wp:anchor distT="0" distB="0" distL="114300" distR="114300" simplePos="0" relativeHeight="251856896" behindDoc="1" locked="0" layoutInCell="1" allowOverlap="1" wp14:anchorId="6634E14E" wp14:editId="15B45DE2">
            <wp:simplePos x="0" y="0"/>
            <wp:positionH relativeFrom="column">
              <wp:posOffset>376555</wp:posOffset>
            </wp:positionH>
            <wp:positionV relativeFrom="paragraph">
              <wp:posOffset>10160</wp:posOffset>
            </wp:positionV>
            <wp:extent cx="3497580" cy="2948940"/>
            <wp:effectExtent l="0" t="0" r="0" b="3810"/>
            <wp:wrapTight wrapText="bothSides">
              <wp:wrapPolygon edited="0">
                <wp:start x="10471" y="0"/>
                <wp:lineTo x="2706" y="279"/>
                <wp:lineTo x="1059" y="558"/>
                <wp:lineTo x="1059" y="8930"/>
                <wp:lineTo x="353" y="10744"/>
                <wp:lineTo x="1176" y="13395"/>
                <wp:lineTo x="1176" y="18419"/>
                <wp:lineTo x="1412" y="20651"/>
                <wp:lineTo x="6471" y="21488"/>
                <wp:lineTo x="10471" y="21488"/>
                <wp:lineTo x="11059" y="21488"/>
                <wp:lineTo x="15176" y="21488"/>
                <wp:lineTo x="19882" y="20791"/>
                <wp:lineTo x="20000" y="13395"/>
                <wp:lineTo x="20941" y="11163"/>
                <wp:lineTo x="21412" y="11163"/>
                <wp:lineTo x="21176" y="10605"/>
                <wp:lineTo x="20118" y="8930"/>
                <wp:lineTo x="20353" y="1116"/>
                <wp:lineTo x="18706" y="698"/>
                <wp:lineTo x="11059" y="0"/>
                <wp:lineTo x="10471" y="0"/>
              </wp:wrapPolygon>
            </wp:wrapTight>
            <wp:docPr id="111" name="Diagram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page">
              <wp14:pctWidth>0</wp14:pctWidth>
            </wp14:sizeRelH>
            <wp14:sizeRelV relativeFrom="page">
              <wp14:pctHeight>0</wp14:pctHeight>
            </wp14:sizeRelV>
          </wp:anchor>
        </w:drawing>
      </w:r>
      <w:r w:rsidRPr="007E14C5">
        <w:rPr>
          <w:rFonts w:asciiTheme="majorHAnsi" w:hAnsiTheme="majorHAnsi" w:cstheme="majorHAnsi"/>
          <w:bCs/>
          <w:noProof/>
          <w:color w:val="002060"/>
          <w:sz w:val="24"/>
          <w:szCs w:val="24"/>
          <w:lang w:eastAsia="sr-Latn-RS"/>
        </w:rPr>
        <mc:AlternateContent>
          <mc:Choice Requires="wps">
            <w:drawing>
              <wp:anchor distT="0" distB="0" distL="114300" distR="114300" simplePos="0" relativeHeight="251854848" behindDoc="0" locked="0" layoutInCell="1" allowOverlap="1" wp14:anchorId="438253D5" wp14:editId="79D6FD13">
                <wp:simplePos x="0" y="0"/>
                <wp:positionH relativeFrom="column">
                  <wp:posOffset>300355</wp:posOffset>
                </wp:positionH>
                <wp:positionV relativeFrom="paragraph">
                  <wp:posOffset>175895</wp:posOffset>
                </wp:positionV>
                <wp:extent cx="15240" cy="2659380"/>
                <wp:effectExtent l="57150" t="38100" r="118110" b="102870"/>
                <wp:wrapNone/>
                <wp:docPr id="107" name="Straight Arrow Connector 107"/>
                <wp:cNvGraphicFramePr/>
                <a:graphic xmlns:a="http://schemas.openxmlformats.org/drawingml/2006/main">
                  <a:graphicData uri="http://schemas.microsoft.com/office/word/2010/wordprocessingShape">
                    <wps:wsp>
                      <wps:cNvCnPr/>
                      <wps:spPr>
                        <a:xfrm flipV="1">
                          <a:off x="0" y="0"/>
                          <a:ext cx="15240" cy="2659380"/>
                        </a:xfrm>
                        <a:prstGeom prst="straightConnector1">
                          <a:avLst/>
                        </a:prstGeom>
                        <a:noFill/>
                        <a:ln w="9525" cap="flat" cmpd="sng" algn="ctr">
                          <a:solidFill>
                            <a:srgbClr val="7030A0"/>
                          </a:solidFill>
                          <a:prstDash val="solid"/>
                          <a:tailEnd type="triangle"/>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57BEACA" id="Straight Arrow Connector 107" o:spid="_x0000_s1026" type="#_x0000_t32" style="position:absolute;margin-left:23.65pt;margin-top:13.85pt;width:1.2pt;height:209.4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" strokecolor="#7030a0">
                <v:stroke endarrow="block"/>
                <v:shadow on="t" color="black" opacity="26214f" origin="-.5,-.5" offset=".74836mm,.74836mm"/>
              </v:shape>
            </w:pict>
          </mc:Fallback>
        </mc:AlternateContent>
      </w:r>
    </w:p>
    <w:p w:rsidR="00677F87" w:rsidRPr="007E14C5" w:rsidRDefault="00677F87" w:rsidP="00677F87">
      <w:pPr>
        <w:spacing w:after="40" w:line="240" w:lineRule="auto"/>
        <w:ind w:right="-471"/>
        <w:jc w:val="both"/>
        <w:rPr>
          <w:rFonts w:asciiTheme="majorHAnsi" w:hAnsiTheme="majorHAnsi" w:cstheme="majorHAnsi"/>
          <w:bCs/>
          <w:color w:val="002060"/>
          <w:sz w:val="24"/>
          <w:szCs w:val="24"/>
        </w:rPr>
      </w:pPr>
    </w:p>
    <w:p w:rsidR="00677F87" w:rsidRPr="007E14C5" w:rsidRDefault="00677F87" w:rsidP="00677F87">
      <w:pPr>
        <w:spacing w:after="40" w:line="240" w:lineRule="auto"/>
        <w:ind w:right="-471"/>
        <w:jc w:val="both"/>
        <w:rPr>
          <w:rFonts w:asciiTheme="majorHAnsi" w:hAnsiTheme="majorHAnsi" w:cstheme="majorHAnsi"/>
          <w:bCs/>
          <w:color w:val="002060"/>
          <w:sz w:val="24"/>
          <w:szCs w:val="24"/>
        </w:rPr>
      </w:pPr>
    </w:p>
    <w:p w:rsidR="00677F87" w:rsidRPr="007E14C5" w:rsidRDefault="00677F87" w:rsidP="00677F87">
      <w:pPr>
        <w:spacing w:after="40" w:line="240" w:lineRule="auto"/>
        <w:ind w:right="-471"/>
        <w:jc w:val="both"/>
        <w:rPr>
          <w:rFonts w:asciiTheme="majorHAnsi" w:hAnsiTheme="majorHAnsi" w:cstheme="majorHAnsi"/>
          <w:bCs/>
          <w:color w:val="002060"/>
          <w:sz w:val="24"/>
          <w:szCs w:val="24"/>
        </w:rPr>
      </w:pPr>
      <w:r w:rsidRPr="007E14C5">
        <w:rPr>
          <w:rFonts w:asciiTheme="majorHAnsi" w:hAnsiTheme="majorHAnsi" w:cstheme="majorHAnsi"/>
          <w:bCs/>
          <w:noProof/>
          <w:color w:val="002060"/>
          <w:sz w:val="24"/>
          <w:szCs w:val="24"/>
          <w:lang w:eastAsia="sr-Latn-RS"/>
        </w:rPr>
        <mc:AlternateContent>
          <mc:Choice Requires="wps">
            <w:drawing>
              <wp:anchor distT="45720" distB="45720" distL="114300" distR="114300" simplePos="0" relativeHeight="251855872" behindDoc="0" locked="0" layoutInCell="1" allowOverlap="1" wp14:anchorId="47B7B4EB" wp14:editId="6DA46E50">
                <wp:simplePos x="0" y="0"/>
                <wp:positionH relativeFrom="margin">
                  <wp:align>left</wp:align>
                </wp:positionH>
                <wp:positionV relativeFrom="paragraph">
                  <wp:posOffset>159385</wp:posOffset>
                </wp:positionV>
                <wp:extent cx="297180" cy="1531620"/>
                <wp:effectExtent l="0" t="0" r="0" b="0"/>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531620"/>
                        </a:xfrm>
                        <a:prstGeom prst="rect">
                          <a:avLst/>
                        </a:prstGeom>
                        <a:noFill/>
                        <a:ln w="9525">
                          <a:noFill/>
                          <a:miter lim="800000"/>
                          <a:headEnd/>
                          <a:tailEnd/>
                        </a:ln>
                      </wps:spPr>
                      <wps:txbx>
                        <w:txbxContent>
                          <w:p w:rsidR="00F735BC" w:rsidRPr="002E49B2" w:rsidRDefault="00F735BC" w:rsidP="00677F87">
                            <w:pPr>
                              <w:ind w:right="-12"/>
                              <w:rPr>
                                <w:color w:val="7030A0"/>
                                <w:sz w:val="22"/>
                                <w:szCs w:val="22"/>
                              </w:rPr>
                            </w:pPr>
                            <w:r w:rsidRPr="002E49B2">
                              <w:rPr>
                                <w:color w:val="7030A0"/>
                                <w:sz w:val="22"/>
                                <w:szCs w:val="22"/>
                              </w:rPr>
                              <w:t>INTERES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7B4EB" id="_x0000_s1108" type="#_x0000_t202" style="position:absolute;left:0;text-align:left;margin-left:0;margin-top:12.55pt;width:23.4pt;height:120.6pt;z-index:251855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" filled="f" stroked="f">
                <v:textbox>
                  <w:txbxContent>
                    <w:p w:rsidR="00F735BC" w:rsidRPr="002E49B2" w:rsidRDefault="00F735BC" w:rsidP="00677F87">
                      <w:pPr>
                        <w:ind w:right="-12"/>
                        <w:rPr>
                          <w:color w:val="7030A0"/>
                          <w:sz w:val="22"/>
                          <w:szCs w:val="22"/>
                        </w:rPr>
                      </w:pPr>
                      <w:r w:rsidRPr="002E49B2">
                        <w:rPr>
                          <w:color w:val="7030A0"/>
                          <w:sz w:val="22"/>
                          <w:szCs w:val="22"/>
                        </w:rPr>
                        <w:t>INTERES</w:t>
                      </w:r>
                    </w:p>
                  </w:txbxContent>
                </v:textbox>
                <w10:wrap type="square" anchorx="margin"/>
              </v:shape>
            </w:pict>
          </mc:Fallback>
        </mc:AlternateContent>
      </w:r>
    </w:p>
    <w:p w:rsidR="00677F87" w:rsidRPr="007E14C5" w:rsidRDefault="00677F87" w:rsidP="00677F87">
      <w:pPr>
        <w:spacing w:after="40" w:line="240" w:lineRule="auto"/>
        <w:ind w:right="-471"/>
        <w:jc w:val="both"/>
        <w:rPr>
          <w:rFonts w:asciiTheme="majorHAnsi" w:hAnsiTheme="majorHAnsi" w:cstheme="majorHAnsi"/>
          <w:bCs/>
          <w:color w:val="002060"/>
          <w:sz w:val="24"/>
          <w:szCs w:val="24"/>
        </w:rPr>
      </w:pPr>
    </w:p>
    <w:p w:rsidR="00677F87" w:rsidRPr="007E14C5" w:rsidRDefault="00677F87" w:rsidP="00677F87">
      <w:pPr>
        <w:spacing w:after="40" w:line="240" w:lineRule="auto"/>
        <w:ind w:right="-471"/>
        <w:jc w:val="both"/>
        <w:rPr>
          <w:rFonts w:asciiTheme="majorHAnsi" w:hAnsiTheme="majorHAnsi" w:cstheme="majorHAnsi"/>
          <w:bCs/>
          <w:color w:val="002060"/>
          <w:sz w:val="24"/>
          <w:szCs w:val="24"/>
        </w:rPr>
      </w:pPr>
    </w:p>
    <w:p w:rsidR="00677F87" w:rsidRPr="007E14C5" w:rsidRDefault="00677F87" w:rsidP="00677F87">
      <w:pPr>
        <w:spacing w:after="40" w:line="240" w:lineRule="auto"/>
        <w:ind w:right="-471"/>
        <w:jc w:val="both"/>
        <w:rPr>
          <w:rFonts w:asciiTheme="majorHAnsi" w:hAnsiTheme="majorHAnsi" w:cstheme="majorHAnsi"/>
          <w:bCs/>
          <w:color w:val="002060"/>
          <w:sz w:val="24"/>
          <w:szCs w:val="24"/>
        </w:rPr>
      </w:pPr>
      <w:r w:rsidRPr="007E14C5">
        <w:rPr>
          <w:rFonts w:asciiTheme="majorHAnsi" w:hAnsiTheme="majorHAnsi" w:cstheme="majorHAnsi"/>
          <w:bCs/>
          <w:noProof/>
          <w:color w:val="002060"/>
          <w:sz w:val="24"/>
          <w:szCs w:val="24"/>
          <w:lang w:eastAsia="sr-Latn-RS"/>
        </w:rPr>
        <mc:AlternateContent>
          <mc:Choice Requires="wps">
            <w:drawing>
              <wp:anchor distT="45720" distB="45720" distL="114300" distR="114300" simplePos="0" relativeHeight="251857920" behindDoc="0" locked="0" layoutInCell="1" allowOverlap="1" wp14:anchorId="5828F630" wp14:editId="3679647B">
                <wp:simplePos x="0" y="0"/>
                <wp:positionH relativeFrom="column">
                  <wp:posOffset>1550035</wp:posOffset>
                </wp:positionH>
                <wp:positionV relativeFrom="paragraph">
                  <wp:posOffset>118745</wp:posOffset>
                </wp:positionV>
                <wp:extent cx="1112520" cy="289560"/>
                <wp:effectExtent l="0" t="0" r="11430" b="1524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289560"/>
                        </a:xfrm>
                        <a:prstGeom prst="rect">
                          <a:avLst/>
                        </a:prstGeom>
                        <a:solidFill>
                          <a:srgbClr val="FFFFFF"/>
                        </a:solidFill>
                        <a:ln w="9525">
                          <a:solidFill>
                            <a:srgbClr val="FFFFFF"/>
                          </a:solidFill>
                          <a:miter lim="800000"/>
                          <a:headEnd/>
                          <a:tailEnd/>
                        </a:ln>
                      </wps:spPr>
                      <wps:txbx>
                        <w:txbxContent>
                          <w:p w:rsidR="00F735BC" w:rsidRPr="002E49B2" w:rsidRDefault="00F735BC" w:rsidP="00677F87">
                            <w:pPr>
                              <w:rPr>
                                <w:color w:val="441D61"/>
                                <w:sz w:val="22"/>
                                <w:szCs w:val="22"/>
                              </w:rPr>
                            </w:pPr>
                            <w:r w:rsidRPr="002E49B2">
                              <w:rPr>
                                <w:color w:val="441D61"/>
                                <w:sz w:val="22"/>
                                <w:szCs w:val="22"/>
                              </w:rPr>
                              <w:t>SNAGA/UTICAJ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8F630" id="_x0000_s1109" type="#_x0000_t202" style="position:absolute;left:0;text-align:left;margin-left:122.05pt;margin-top:9.35pt;width:87.6pt;height:22.8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" strokecolor="white">
                <v:textbox>
                  <w:txbxContent>
                    <w:p w:rsidR="00F735BC" w:rsidRPr="002E49B2" w:rsidRDefault="00F735BC" w:rsidP="00677F87">
                      <w:pPr>
                        <w:rPr>
                          <w:color w:val="441D61"/>
                          <w:sz w:val="22"/>
                          <w:szCs w:val="22"/>
                        </w:rPr>
                      </w:pPr>
                      <w:r w:rsidRPr="002E49B2">
                        <w:rPr>
                          <w:color w:val="441D61"/>
                          <w:sz w:val="22"/>
                          <w:szCs w:val="22"/>
                        </w:rPr>
                        <w:t>SNAGA/UTICAJ</w:t>
                      </w:r>
                    </w:p>
                  </w:txbxContent>
                </v:textbox>
                <w10:wrap type="square"/>
              </v:shape>
            </w:pict>
          </mc:Fallback>
        </mc:AlternateContent>
      </w:r>
      <w:r w:rsidRPr="007E14C5">
        <w:rPr>
          <w:rFonts w:asciiTheme="majorHAnsi" w:hAnsiTheme="majorHAnsi" w:cstheme="majorHAnsi"/>
          <w:bCs/>
          <w:noProof/>
          <w:color w:val="002060"/>
          <w:sz w:val="24"/>
          <w:szCs w:val="24"/>
          <w:lang w:eastAsia="sr-Latn-RS"/>
        </w:rPr>
        <mc:AlternateContent>
          <mc:Choice Requires="wps">
            <w:drawing>
              <wp:anchor distT="0" distB="0" distL="114300" distR="114300" simplePos="0" relativeHeight="251853824" behindDoc="0" locked="0" layoutInCell="1" allowOverlap="1" wp14:anchorId="6A10A2BD" wp14:editId="1B40279F">
                <wp:simplePos x="0" y="0"/>
                <wp:positionH relativeFrom="column">
                  <wp:posOffset>795655</wp:posOffset>
                </wp:positionH>
                <wp:positionV relativeFrom="paragraph">
                  <wp:posOffset>45720</wp:posOffset>
                </wp:positionV>
                <wp:extent cx="2651760" cy="0"/>
                <wp:effectExtent l="0" t="76200" r="53340" b="171450"/>
                <wp:wrapNone/>
                <wp:docPr id="110" name="Straight Arrow Connector 110"/>
                <wp:cNvGraphicFramePr/>
                <a:graphic xmlns:a="http://schemas.openxmlformats.org/drawingml/2006/main">
                  <a:graphicData uri="http://schemas.microsoft.com/office/word/2010/wordprocessingShape">
                    <wps:wsp>
                      <wps:cNvCnPr/>
                      <wps:spPr>
                        <a:xfrm flipV="1">
                          <a:off x="0" y="0"/>
                          <a:ext cx="2651760" cy="0"/>
                        </a:xfrm>
                        <a:prstGeom prst="straightConnector1">
                          <a:avLst/>
                        </a:prstGeom>
                        <a:noFill/>
                        <a:ln w="9525" cap="flat" cmpd="sng" algn="ctr">
                          <a:solidFill>
                            <a:srgbClr val="7030A0"/>
                          </a:solidFill>
                          <a:prstDash val="solid"/>
                          <a:round/>
                          <a:headEnd type="none" w="med" len="med"/>
                          <a:tailEnd type="arrow" w="med" len="med"/>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53EC1ED" id="Straight Arrow Connector 110" o:spid="_x0000_s1026" type="#_x0000_t32" style="position:absolute;margin-left:62.65pt;margin-top:3.6pt;width:208.8pt;height:0;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" strokecolor="#7030a0">
                <v:stroke endarrow="open"/>
                <v:shadow on="t" color="black" opacity="26214f" origin="-.5,-.5" offset=".74836mm,.74836mm"/>
              </v:shape>
            </w:pict>
          </mc:Fallback>
        </mc:AlternateContent>
      </w:r>
    </w:p>
    <w:p w:rsidR="00677F87" w:rsidRPr="007E14C5" w:rsidRDefault="00677F87" w:rsidP="00677F87">
      <w:pPr>
        <w:spacing w:after="40" w:line="240" w:lineRule="auto"/>
        <w:ind w:right="-471"/>
        <w:jc w:val="both"/>
        <w:rPr>
          <w:rFonts w:asciiTheme="majorHAnsi" w:hAnsiTheme="majorHAnsi" w:cstheme="majorHAnsi"/>
          <w:bCs/>
          <w:color w:val="002060"/>
          <w:sz w:val="24"/>
          <w:szCs w:val="24"/>
        </w:rPr>
      </w:pPr>
    </w:p>
    <w:p w:rsidR="00677F87" w:rsidRPr="007E14C5" w:rsidRDefault="00677F87" w:rsidP="00677F87">
      <w:pPr>
        <w:spacing w:after="40" w:line="240" w:lineRule="auto"/>
        <w:ind w:right="-471"/>
        <w:jc w:val="both"/>
        <w:rPr>
          <w:rFonts w:asciiTheme="majorHAnsi" w:hAnsiTheme="majorHAnsi" w:cstheme="majorHAnsi"/>
          <w:bCs/>
          <w:color w:val="002060"/>
          <w:sz w:val="24"/>
          <w:szCs w:val="24"/>
        </w:rPr>
      </w:pPr>
    </w:p>
    <w:p w:rsidR="00CB681C" w:rsidRDefault="00CB681C" w:rsidP="00CB681C">
      <w:pPr>
        <w:tabs>
          <w:tab w:val="left" w:pos="720"/>
          <w:tab w:val="left" w:pos="810"/>
        </w:tabs>
        <w:spacing w:before="0" w:after="0" w:line="240" w:lineRule="auto"/>
        <w:ind w:left="806" w:right="-475"/>
        <w:jc w:val="both"/>
        <w:rPr>
          <w:rFonts w:asciiTheme="majorHAnsi" w:hAnsiTheme="majorHAnsi" w:cstheme="majorHAnsi"/>
          <w:i/>
          <w:color w:val="002060"/>
        </w:rPr>
      </w:pPr>
    </w:p>
    <w:p w:rsidR="00B44628" w:rsidRDefault="00791C82" w:rsidP="00B44628">
      <w:pPr>
        <w:tabs>
          <w:tab w:val="left" w:pos="720"/>
          <w:tab w:val="left" w:pos="810"/>
        </w:tabs>
        <w:spacing w:before="0" w:after="0" w:line="240" w:lineRule="auto"/>
        <w:ind w:left="806" w:right="-475"/>
        <w:jc w:val="both"/>
        <w:rPr>
          <w:rFonts w:asciiTheme="majorHAnsi" w:hAnsiTheme="majorHAnsi" w:cstheme="majorHAnsi"/>
          <w:i/>
          <w:color w:val="002060"/>
        </w:rPr>
      </w:pPr>
      <w:r w:rsidRPr="00CB681C">
        <w:rPr>
          <w:rFonts w:asciiTheme="majorHAnsi" w:hAnsiTheme="majorHAnsi" w:cstheme="majorHAnsi"/>
          <w:i/>
          <w:color w:val="002060"/>
        </w:rPr>
        <w:lastRenderedPageBreak/>
        <w:t>Grafik: Analiza zaintereso</w:t>
      </w:r>
      <w:r w:rsidR="00CB681C" w:rsidRPr="00CB681C">
        <w:rPr>
          <w:rFonts w:asciiTheme="majorHAnsi" w:hAnsiTheme="majorHAnsi" w:cstheme="majorHAnsi"/>
          <w:i/>
          <w:color w:val="002060"/>
        </w:rPr>
        <w:t xml:space="preserve">vanih strana Strateškog cilja: </w:t>
      </w:r>
      <w:r w:rsidRPr="00CB681C">
        <w:rPr>
          <w:rFonts w:asciiTheme="majorHAnsi" w:hAnsiTheme="majorHAnsi" w:cstheme="majorHAnsi"/>
          <w:i/>
          <w:color w:val="002060"/>
        </w:rPr>
        <w:t>Pro</w:t>
      </w:r>
      <w:r w:rsidR="00B44628">
        <w:rPr>
          <w:rFonts w:asciiTheme="majorHAnsi" w:hAnsiTheme="majorHAnsi" w:cstheme="majorHAnsi"/>
          <w:i/>
          <w:color w:val="002060"/>
        </w:rPr>
        <w:t>fesionalna javna administracija</w:t>
      </w:r>
    </w:p>
    <w:p w:rsidR="00DA7DD7" w:rsidRPr="00B26604" w:rsidRDefault="00DA7DD7" w:rsidP="00B26604">
      <w:pPr>
        <w:tabs>
          <w:tab w:val="left" w:pos="720"/>
          <w:tab w:val="left" w:pos="810"/>
        </w:tabs>
        <w:spacing w:before="0" w:after="0" w:line="240" w:lineRule="auto"/>
        <w:ind w:right="-475"/>
        <w:jc w:val="both"/>
        <w:rPr>
          <w:rFonts w:asciiTheme="majorHAnsi" w:hAnsiTheme="majorHAnsi" w:cstheme="majorHAnsi"/>
          <w:i/>
          <w:color w:val="002060"/>
        </w:rPr>
      </w:pPr>
    </w:p>
    <w:p w:rsidR="0080159F" w:rsidRPr="00CB681C" w:rsidRDefault="008A1C96" w:rsidP="00B43D4E">
      <w:pPr>
        <w:pStyle w:val="ListParagraph"/>
        <w:keepNext/>
        <w:keepLines/>
        <w:numPr>
          <w:ilvl w:val="0"/>
          <w:numId w:val="20"/>
        </w:numPr>
        <w:spacing w:before="60" w:after="240" w:line="240" w:lineRule="auto"/>
        <w:ind w:right="-475"/>
        <w:contextualSpacing w:val="0"/>
        <w:outlineLvl w:val="2"/>
        <w:rPr>
          <w:rFonts w:asciiTheme="majorHAnsi" w:eastAsia="Calibri" w:hAnsiTheme="majorHAnsi" w:cstheme="majorHAnsi"/>
          <w:b/>
          <w:color w:val="auto"/>
          <w:kern w:val="0"/>
          <w:sz w:val="24"/>
          <w:szCs w:val="24"/>
        </w:rPr>
      </w:pPr>
      <w:bookmarkStart w:id="31" w:name="_Toc87353406"/>
      <w:r w:rsidRPr="00CB681C">
        <w:rPr>
          <w:rFonts w:asciiTheme="majorHAnsi" w:eastAsia="Calibri" w:hAnsiTheme="majorHAnsi" w:cstheme="majorHAnsi"/>
          <w:b/>
          <w:color w:val="auto"/>
          <w:kern w:val="0"/>
          <w:sz w:val="24"/>
          <w:szCs w:val="24"/>
        </w:rPr>
        <w:t>OPERATIVNI CILJEVI NA OSNOVU IDENTIFIKOVANIH IZAZOVA</w:t>
      </w:r>
      <w:bookmarkEnd w:id="31"/>
    </w:p>
    <w:p w:rsidR="00677F87" w:rsidRPr="00CB681C" w:rsidRDefault="00677F87" w:rsidP="00CB681C">
      <w:pPr>
        <w:pStyle w:val="Heading4"/>
        <w:spacing w:before="60" w:after="60" w:line="240" w:lineRule="auto"/>
        <w:ind w:right="-450"/>
        <w:jc w:val="both"/>
        <w:rPr>
          <w:rFonts w:eastAsia="Times New Roman" w:cstheme="majorHAnsi"/>
          <w:color w:val="auto"/>
          <w:kern w:val="0"/>
          <w:sz w:val="24"/>
          <w:szCs w:val="24"/>
          <w:lang w:eastAsia="en-US"/>
        </w:rPr>
      </w:pPr>
      <w:r w:rsidRPr="00CB681C">
        <w:rPr>
          <w:rFonts w:eastAsia="Times New Roman" w:cstheme="majorHAnsi"/>
          <w:i w:val="0"/>
          <w:color w:val="auto"/>
          <w:kern w:val="0"/>
          <w:sz w:val="24"/>
          <w:szCs w:val="24"/>
          <w:lang w:eastAsia="en-US"/>
        </w:rPr>
        <w:t>OPERATIVNI CILJ 3.1</w:t>
      </w:r>
      <w:r w:rsidR="008A1C96" w:rsidRPr="00CB681C">
        <w:rPr>
          <w:rFonts w:eastAsia="Times New Roman" w:cstheme="majorHAnsi"/>
          <w:i w:val="0"/>
          <w:color w:val="auto"/>
          <w:kern w:val="0"/>
          <w:sz w:val="24"/>
          <w:szCs w:val="24"/>
          <w:lang w:eastAsia="en-US"/>
        </w:rPr>
        <w:t>.</w:t>
      </w:r>
      <w:r w:rsidRPr="00CB681C">
        <w:rPr>
          <w:rFonts w:eastAsia="Times New Roman" w:cstheme="majorHAnsi"/>
          <w:color w:val="auto"/>
          <w:kern w:val="0"/>
          <w:sz w:val="24"/>
          <w:szCs w:val="24"/>
          <w:lang w:eastAsia="en-US"/>
        </w:rPr>
        <w:t xml:space="preserve">  </w:t>
      </w:r>
      <w:r w:rsidR="00045694" w:rsidRPr="00CB681C">
        <w:rPr>
          <w:rFonts w:eastAsia="Times New Roman" w:cstheme="majorHAnsi"/>
          <w:color w:val="auto"/>
          <w:kern w:val="0"/>
          <w:sz w:val="24"/>
          <w:szCs w:val="24"/>
          <w:lang w:eastAsia="en-US"/>
        </w:rPr>
        <w:t>Efikasan sistem planiranja na osnovu identifikovanih potreba, unaprjeđenje postupka zapošljavanja ljudskih resursa i dalja digitalizacija u oblasti službeničkog sistema</w:t>
      </w:r>
    </w:p>
    <w:p w:rsidR="00677F87" w:rsidRPr="00CB681C" w:rsidRDefault="00E80D2E" w:rsidP="00CB681C">
      <w:pPr>
        <w:spacing w:before="60" w:after="60" w:line="240" w:lineRule="auto"/>
        <w:ind w:right="-446"/>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Kako bi se stvorila obaveza državnim organima da bolje, strateški planiraju zapošljavanje, </w:t>
      </w:r>
      <w:r w:rsidRPr="00CB681C">
        <w:rPr>
          <w:rFonts w:asciiTheme="majorHAnsi" w:hAnsiTheme="majorHAnsi" w:cstheme="majorHAnsi"/>
          <w:b/>
          <w:color w:val="auto"/>
          <w:sz w:val="24"/>
          <w:szCs w:val="24"/>
        </w:rPr>
        <w:t>k</w:t>
      </w:r>
      <w:r w:rsidR="00677F87" w:rsidRPr="00CB681C">
        <w:rPr>
          <w:rFonts w:asciiTheme="majorHAnsi" w:hAnsiTheme="majorHAnsi" w:cstheme="majorHAnsi"/>
          <w:b/>
          <w:color w:val="auto"/>
          <w:sz w:val="24"/>
          <w:szCs w:val="24"/>
        </w:rPr>
        <w:t>adrovski plan</w:t>
      </w:r>
      <w:r w:rsidR="00C53E0C" w:rsidRPr="00CB681C">
        <w:rPr>
          <w:rFonts w:asciiTheme="majorHAnsi" w:hAnsiTheme="majorHAnsi" w:cstheme="majorHAnsi"/>
          <w:b/>
          <w:color w:val="auto"/>
          <w:sz w:val="24"/>
          <w:szCs w:val="24"/>
        </w:rPr>
        <w:t xml:space="preserve">, </w:t>
      </w:r>
      <w:r w:rsidR="00677F87" w:rsidRPr="00CB681C">
        <w:rPr>
          <w:rFonts w:asciiTheme="majorHAnsi" w:hAnsiTheme="majorHAnsi" w:cstheme="majorHAnsi"/>
          <w:b/>
          <w:color w:val="auto"/>
          <w:sz w:val="24"/>
          <w:szCs w:val="24"/>
        </w:rPr>
        <w:t>u narednom periodu</w:t>
      </w:r>
      <w:r w:rsidR="00C53E0C" w:rsidRPr="00CB681C">
        <w:rPr>
          <w:rFonts w:asciiTheme="majorHAnsi" w:hAnsiTheme="majorHAnsi" w:cstheme="majorHAnsi"/>
          <w:b/>
          <w:color w:val="auto"/>
          <w:sz w:val="24"/>
          <w:szCs w:val="24"/>
        </w:rPr>
        <w:t>,</w:t>
      </w:r>
      <w:r w:rsidR="00677F87" w:rsidRPr="00CB681C">
        <w:rPr>
          <w:rFonts w:asciiTheme="majorHAnsi" w:hAnsiTheme="majorHAnsi" w:cstheme="majorHAnsi"/>
          <w:b/>
          <w:color w:val="auto"/>
          <w:sz w:val="24"/>
          <w:szCs w:val="24"/>
        </w:rPr>
        <w:t xml:space="preserve"> </w:t>
      </w:r>
      <w:r w:rsidRPr="00CB681C">
        <w:rPr>
          <w:rFonts w:asciiTheme="majorHAnsi" w:hAnsiTheme="majorHAnsi" w:cstheme="majorHAnsi"/>
          <w:b/>
          <w:color w:val="auto"/>
          <w:sz w:val="24"/>
          <w:szCs w:val="24"/>
        </w:rPr>
        <w:t>povezuje</w:t>
      </w:r>
      <w:r w:rsidR="00677F87" w:rsidRPr="00CB681C">
        <w:rPr>
          <w:rFonts w:asciiTheme="majorHAnsi" w:hAnsiTheme="majorHAnsi" w:cstheme="majorHAnsi"/>
          <w:b/>
          <w:color w:val="auto"/>
          <w:sz w:val="24"/>
          <w:szCs w:val="24"/>
        </w:rPr>
        <w:t xml:space="preserve"> sa planiranjem </w:t>
      </w:r>
      <w:r w:rsidRPr="00CB681C">
        <w:rPr>
          <w:rFonts w:asciiTheme="majorHAnsi" w:hAnsiTheme="majorHAnsi" w:cstheme="majorHAnsi"/>
          <w:b/>
          <w:color w:val="auto"/>
          <w:sz w:val="24"/>
          <w:szCs w:val="24"/>
        </w:rPr>
        <w:t>B</w:t>
      </w:r>
      <w:r w:rsidR="00677F87" w:rsidRPr="00CB681C">
        <w:rPr>
          <w:rFonts w:asciiTheme="majorHAnsi" w:hAnsiTheme="majorHAnsi" w:cstheme="majorHAnsi"/>
          <w:b/>
          <w:color w:val="auto"/>
          <w:sz w:val="24"/>
          <w:szCs w:val="24"/>
        </w:rPr>
        <w:t>udžeta i</w:t>
      </w:r>
      <w:r w:rsidR="00677F87" w:rsidRPr="00CB681C">
        <w:rPr>
          <w:rFonts w:asciiTheme="majorHAnsi" w:hAnsiTheme="majorHAnsi" w:cstheme="majorHAnsi"/>
          <w:color w:val="auto"/>
          <w:sz w:val="24"/>
          <w:szCs w:val="24"/>
        </w:rPr>
        <w:t xml:space="preserve"> pregovorima koji se vode prilikom izrade</w:t>
      </w:r>
      <w:r w:rsidR="00C53E0C" w:rsidRPr="00CB681C">
        <w:rPr>
          <w:rFonts w:asciiTheme="majorHAnsi" w:hAnsiTheme="majorHAnsi" w:cstheme="majorHAnsi"/>
          <w:color w:val="auto"/>
          <w:sz w:val="24"/>
          <w:szCs w:val="24"/>
        </w:rPr>
        <w:t xml:space="preserve"> P</w:t>
      </w:r>
      <w:r w:rsidR="00677F87" w:rsidRPr="00CB681C">
        <w:rPr>
          <w:rFonts w:asciiTheme="majorHAnsi" w:hAnsiTheme="majorHAnsi" w:cstheme="majorHAnsi"/>
          <w:color w:val="auto"/>
          <w:sz w:val="24"/>
          <w:szCs w:val="24"/>
        </w:rPr>
        <w:t xml:space="preserve">redloga </w:t>
      </w:r>
      <w:r w:rsidR="00C53E0C" w:rsidRPr="00CB681C">
        <w:rPr>
          <w:rFonts w:asciiTheme="majorHAnsi" w:hAnsiTheme="majorHAnsi" w:cstheme="majorHAnsi"/>
          <w:color w:val="auto"/>
          <w:sz w:val="24"/>
          <w:szCs w:val="24"/>
        </w:rPr>
        <w:t>z</w:t>
      </w:r>
      <w:r w:rsidR="00677F87" w:rsidRPr="00CB681C">
        <w:rPr>
          <w:rFonts w:asciiTheme="majorHAnsi" w:hAnsiTheme="majorHAnsi" w:cstheme="majorHAnsi"/>
          <w:color w:val="auto"/>
          <w:sz w:val="24"/>
          <w:szCs w:val="24"/>
        </w:rPr>
        <w:t>akona o budžetu. Uvezivanje kadrovskog plana sa CKE će omogućiti jednostavniju izradu ovog dokumenta, kao i bolje praćenje same realizacije kadrovskog plana državnog organa na dnevnom, nedeljnom, kvartalnom i godišnjem nivou. Ovakvo praćenje će omogućiti Upravi za kadrove, ali i državnim organima da prate stepen realizacije i popunjenosti radnih mjesta za godinu za koju se donosi kadrovski plan.</w:t>
      </w:r>
    </w:p>
    <w:p w:rsidR="00677F87" w:rsidRPr="00CB681C" w:rsidRDefault="00677F87" w:rsidP="00CB681C">
      <w:pPr>
        <w:spacing w:before="60" w:after="60" w:line="240" w:lineRule="auto"/>
        <w:ind w:right="-450"/>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Posebnim propisima može se definisati obaveza izrade Kadrovskog plana po metodološkom pristupu koji primjenjuje Uprava za kadrove. Ovakav pristup bio bi koristan i za druge subjekte koji vrše javna ovlašćenja u cilju boljeg planiranja i upravljanja kadrovima. U tom postupku Uprava za kadrove bi mogla pružiti i stručnu pomoć i podršku, a mogla bi biti zadužena i za praćenje izrade Kadrovskog plana, davanje mišljenja i vođenje evidencija o istima.</w:t>
      </w:r>
    </w:p>
    <w:p w:rsidR="005B399B" w:rsidRPr="00CB681C" w:rsidRDefault="005B399B" w:rsidP="00CB681C">
      <w:pPr>
        <w:spacing w:before="60" w:after="60" w:line="240" w:lineRule="auto"/>
        <w:ind w:right="-450"/>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Kako bi KIS bio pravi alat za upravljanje ljudskim resursima potrebno je unaprijediti ovu platformu obrascima za određena tipska rješenja koja se odnose na radnopravni status zaposlenih i ostvarivanje prava zaposlenih (npr. obrazac rješenja o imenovanju, zasnivanju radnog osnosa, rasporedu, prestanku radnog odnosa, obrazac rješenja o godišnjem odmoru i sl.).</w:t>
      </w:r>
      <w:r w:rsidR="00305532" w:rsidRPr="00CB681C">
        <w:rPr>
          <w:rStyle w:val="FootnoteReference"/>
          <w:rFonts w:asciiTheme="majorHAnsi" w:hAnsiTheme="majorHAnsi" w:cstheme="majorHAnsi"/>
          <w:color w:val="auto"/>
          <w:sz w:val="24"/>
          <w:szCs w:val="24"/>
        </w:rPr>
        <w:footnoteReference w:id="78"/>
      </w:r>
      <w:r w:rsidRPr="00CB681C">
        <w:rPr>
          <w:rFonts w:asciiTheme="majorHAnsi" w:hAnsiTheme="majorHAnsi" w:cstheme="majorHAnsi"/>
          <w:color w:val="auto"/>
          <w:sz w:val="24"/>
          <w:szCs w:val="24"/>
        </w:rPr>
        <w:t xml:space="preserve">  </w:t>
      </w:r>
    </w:p>
    <w:p w:rsidR="005B399B" w:rsidRPr="00CB681C" w:rsidRDefault="005B399B" w:rsidP="00CB681C">
      <w:pPr>
        <w:spacing w:before="60" w:after="60" w:line="240" w:lineRule="auto"/>
        <w:ind w:right="-450"/>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Jedinice lokalne samouprave nemaju jedinstveni kadrovski informacioni sistem i u tom smislu potrebno je nadograditi KIS sa jedinstvenim kadrovskim informacionim sistemom za njih. </w:t>
      </w:r>
      <w:r w:rsidRPr="00CB681C">
        <w:rPr>
          <w:rFonts w:asciiTheme="majorHAnsi" w:hAnsiTheme="majorHAnsi" w:cstheme="majorHAnsi"/>
          <w:b/>
          <w:color w:val="auto"/>
          <w:sz w:val="24"/>
          <w:szCs w:val="24"/>
        </w:rPr>
        <w:t>Nadogradnjom Kadrovskog informacionog sistema</w:t>
      </w:r>
      <w:r w:rsidRPr="00CB681C">
        <w:rPr>
          <w:rFonts w:asciiTheme="majorHAnsi" w:hAnsiTheme="majorHAnsi" w:cstheme="majorHAnsi"/>
          <w:color w:val="auto"/>
          <w:sz w:val="24"/>
          <w:szCs w:val="24"/>
        </w:rPr>
        <w:t xml:space="preserve"> </w:t>
      </w:r>
      <w:r w:rsidRPr="00CB681C">
        <w:rPr>
          <w:rFonts w:asciiTheme="majorHAnsi" w:hAnsiTheme="majorHAnsi" w:cstheme="majorHAnsi"/>
          <w:b/>
          <w:color w:val="auto"/>
          <w:sz w:val="24"/>
          <w:szCs w:val="24"/>
        </w:rPr>
        <w:t>za potrebe jedinica lokalne samouprave</w:t>
      </w:r>
      <w:r w:rsidRPr="00CB681C">
        <w:rPr>
          <w:rFonts w:asciiTheme="majorHAnsi" w:hAnsiTheme="majorHAnsi" w:cstheme="majorHAnsi"/>
          <w:color w:val="auto"/>
          <w:sz w:val="24"/>
          <w:szCs w:val="24"/>
        </w:rPr>
        <w:t>,</w:t>
      </w:r>
      <w:r w:rsidRPr="00CB681C">
        <w:rPr>
          <w:rStyle w:val="FootnoteReference"/>
          <w:rFonts w:asciiTheme="majorHAnsi" w:hAnsiTheme="majorHAnsi" w:cstheme="majorHAnsi"/>
          <w:color w:val="auto"/>
          <w:sz w:val="24"/>
          <w:szCs w:val="24"/>
        </w:rPr>
        <w:footnoteReference w:id="79"/>
      </w:r>
      <w:r w:rsidRPr="00CB681C">
        <w:rPr>
          <w:rFonts w:asciiTheme="majorHAnsi" w:hAnsiTheme="majorHAnsi" w:cstheme="majorHAnsi"/>
          <w:color w:val="auto"/>
          <w:sz w:val="24"/>
          <w:szCs w:val="24"/>
        </w:rPr>
        <w:t xml:space="preserve"> Uprava za kadrove će biti u mogućnosti da direktno pristupi informacijama za službenike i namještenike na centralnom i lokalnom nivou o licima koja će ostvariti pravo na otpremninu, te poštovati zakonsko ograničenje zapošljavanja u roku od 5 godina nakon isplate otpremnina. </w:t>
      </w:r>
    </w:p>
    <w:p w:rsidR="004F3F84" w:rsidRPr="00CB681C" w:rsidRDefault="004F3F84" w:rsidP="00CB681C">
      <w:pPr>
        <w:spacing w:before="60" w:after="60" w:line="240" w:lineRule="auto"/>
        <w:ind w:right="-450"/>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Takođe, neophodno je uspostaviti </w:t>
      </w:r>
      <w:r w:rsidRPr="00CB681C">
        <w:rPr>
          <w:rFonts w:asciiTheme="majorHAnsi" w:hAnsiTheme="majorHAnsi" w:cstheme="majorHAnsi"/>
          <w:b/>
          <w:color w:val="auto"/>
          <w:sz w:val="24"/>
          <w:szCs w:val="24"/>
        </w:rPr>
        <w:t xml:space="preserve">mehanizam praćenja unosa i ažurnosti podataka kadrovskog informacionog sistema, </w:t>
      </w:r>
      <w:r w:rsidRPr="00CB681C">
        <w:rPr>
          <w:rFonts w:asciiTheme="majorHAnsi" w:hAnsiTheme="majorHAnsi" w:cstheme="majorHAnsi"/>
          <w:color w:val="auto"/>
          <w:sz w:val="24"/>
          <w:szCs w:val="24"/>
        </w:rPr>
        <w:t xml:space="preserve">kao platforme za efikasno kadrovsko planiranje. Osnovna prednost kadrovskog informacionog sistema ne ogleda se samo u digitalizaciji podataka o zaposlenima, već su koristi takvog sistema višestruke: olakšava proces kadrovskog planiranja, analitike, izvještavanja, kao i generalno upravljanje ljudskim resursima. Neophodno je uspostaviti mehanizme kontrole unosa i ažurnosti podataka na svim nivoima djelovanja (ne samo od strane Upravne inspekcije), već je potrebno raditi periodično obavezne presjeke podataka i u slučaju neažurnosti sankcionisati odgovorna lica zavisno od razloga neažurnosti. </w:t>
      </w:r>
    </w:p>
    <w:p w:rsidR="004F3F84" w:rsidRPr="00CB681C" w:rsidRDefault="004F3F84" w:rsidP="00CB681C">
      <w:pPr>
        <w:spacing w:before="60" w:after="60" w:line="240" w:lineRule="auto"/>
        <w:ind w:right="-446"/>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lastRenderedPageBreak/>
        <w:t>Starješine organa bi morale snositi odgovornost  za neažurnost kadrovskih evidencija. Takođe, putem uputstava, sastanaka, prezentacija, konferencija i slično trebalo bi informisati starješine organa i visoko rukovodni kadar o značaju CKE. Ovo posebno u pogledu na budućnost,  kada očekujemo novu postavu starješina organa i visoko rukovodnog kadra. Kreiranje izvještaja CKE, koji bi Uprava za kadrove jednom mjesečno slala Vladi CG na upoznavanje i objavljivala na sajtu Uprave (transparentnost podataka), bio bi još jedan od novouspostavljenih mehanizama za ažurnost podataka.</w:t>
      </w:r>
    </w:p>
    <w:p w:rsidR="004F3F84" w:rsidRPr="00CB681C" w:rsidRDefault="004F3F84" w:rsidP="00CB681C">
      <w:pPr>
        <w:spacing w:before="60" w:after="60" w:line="240" w:lineRule="auto"/>
        <w:ind w:right="-446"/>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Takođe, potrebno je preći na obračun (centralizovani) zarada na osnovu podataka iz CKE, kao jedan od mehanizama za postizanje ažurnosti ove evidencije. Ovakvim obračunom zarada povećava se stepen ažurnosti, tačnosti i kvaliteta podataka unijetih u CKE, što će doprinijeti pravilnijem upravljanju ljudskim resursima, kvalitetnijem izvještavanju kao osnovi za pripremu i donošenje strateških i planskih dokumenata.</w:t>
      </w:r>
    </w:p>
    <w:p w:rsidR="005142C3" w:rsidRPr="00CB681C" w:rsidRDefault="005142C3" w:rsidP="00CB681C">
      <w:pPr>
        <w:spacing w:before="60" w:after="60" w:line="240" w:lineRule="auto"/>
        <w:ind w:right="-446"/>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Potrebno je unaprijediti postupak prijave i izbora kandidata kroz uvođenje </w:t>
      </w:r>
      <w:r w:rsidRPr="00CB681C">
        <w:rPr>
          <w:rFonts w:asciiTheme="majorHAnsi" w:eastAsia="Calibri" w:hAnsiTheme="majorHAnsi" w:cstheme="majorHAnsi"/>
          <w:b/>
          <w:color w:val="auto"/>
          <w:kern w:val="0"/>
          <w:sz w:val="24"/>
          <w:szCs w:val="24"/>
          <w:lang w:eastAsia="zh-CN"/>
        </w:rPr>
        <w:t>elektronske prijave i dokumentacije kandidata na oglase i konkurse</w:t>
      </w:r>
      <w:r w:rsidRPr="00CB681C">
        <w:rPr>
          <w:rFonts w:asciiTheme="majorHAnsi" w:eastAsia="Calibri" w:hAnsiTheme="majorHAnsi" w:cstheme="majorHAnsi"/>
          <w:color w:val="auto"/>
          <w:kern w:val="0"/>
          <w:sz w:val="24"/>
          <w:szCs w:val="24"/>
          <w:lang w:eastAsia="zh-CN"/>
        </w:rPr>
        <w:t xml:space="preserve"> kao i organizovati </w:t>
      </w:r>
      <w:r w:rsidRPr="00CB681C">
        <w:rPr>
          <w:rFonts w:asciiTheme="majorHAnsi" w:eastAsia="Calibri" w:hAnsiTheme="majorHAnsi" w:cstheme="majorHAnsi"/>
          <w:b/>
          <w:color w:val="auto"/>
          <w:kern w:val="0"/>
          <w:sz w:val="24"/>
          <w:szCs w:val="24"/>
          <w:lang w:eastAsia="zh-CN"/>
        </w:rPr>
        <w:t>promotivne aktivnosti</w:t>
      </w:r>
      <w:r w:rsidRPr="00CB681C">
        <w:rPr>
          <w:rFonts w:asciiTheme="majorHAnsi" w:eastAsia="Calibri" w:hAnsiTheme="majorHAnsi" w:cstheme="majorHAnsi"/>
          <w:color w:val="auto"/>
          <w:kern w:val="0"/>
          <w:sz w:val="24"/>
          <w:szCs w:val="24"/>
          <w:lang w:eastAsia="zh-CN"/>
        </w:rPr>
        <w:t xml:space="preserve"> u cilju posticaja zapošljavanja u javnoj upravi.</w:t>
      </w:r>
    </w:p>
    <w:p w:rsidR="00677F87" w:rsidRPr="00CB681C" w:rsidRDefault="00677F87" w:rsidP="00CB681C">
      <w:pPr>
        <w:spacing w:before="60" w:after="60" w:line="240" w:lineRule="auto"/>
        <w:ind w:right="-446"/>
        <w:jc w:val="both"/>
        <w:rPr>
          <w:rFonts w:asciiTheme="majorHAnsi" w:hAnsiTheme="majorHAnsi" w:cstheme="majorHAnsi"/>
          <w:color w:val="auto"/>
          <w:sz w:val="24"/>
          <w:szCs w:val="24"/>
        </w:rPr>
      </w:pPr>
      <w:r w:rsidRPr="00CB681C">
        <w:rPr>
          <w:rFonts w:asciiTheme="majorHAnsi" w:hAnsiTheme="majorHAnsi" w:cstheme="majorHAnsi"/>
          <w:b/>
          <w:color w:val="auto"/>
          <w:sz w:val="24"/>
          <w:szCs w:val="24"/>
        </w:rPr>
        <w:t>Interno trziste rada</w:t>
      </w:r>
      <w:r w:rsidRPr="00CB681C">
        <w:rPr>
          <w:rFonts w:asciiTheme="majorHAnsi" w:hAnsiTheme="majorHAnsi" w:cstheme="majorHAnsi"/>
          <w:color w:val="auto"/>
          <w:sz w:val="24"/>
          <w:szCs w:val="24"/>
        </w:rPr>
        <w:t>, podijeljeno na centra</w:t>
      </w:r>
      <w:r w:rsidR="00E80D2E" w:rsidRPr="00CB681C">
        <w:rPr>
          <w:rFonts w:asciiTheme="majorHAnsi" w:hAnsiTheme="majorHAnsi" w:cstheme="majorHAnsi"/>
          <w:color w:val="auto"/>
          <w:sz w:val="24"/>
          <w:szCs w:val="24"/>
        </w:rPr>
        <w:t>l</w:t>
      </w:r>
      <w:r w:rsidRPr="00CB681C">
        <w:rPr>
          <w:rFonts w:asciiTheme="majorHAnsi" w:hAnsiTheme="majorHAnsi" w:cstheme="majorHAnsi"/>
          <w:color w:val="auto"/>
          <w:sz w:val="24"/>
          <w:szCs w:val="24"/>
        </w:rPr>
        <w:t xml:space="preserve">ni i lokalni nivo, treba objediniti u interno tržiste </w:t>
      </w:r>
      <w:r w:rsidRPr="00BC60FF">
        <w:rPr>
          <w:rFonts w:asciiTheme="majorHAnsi" w:hAnsiTheme="majorHAnsi" w:cstheme="majorHAnsi"/>
          <w:color w:val="auto"/>
          <w:sz w:val="24"/>
          <w:szCs w:val="24"/>
        </w:rPr>
        <w:t>rada javne uprave.</w:t>
      </w:r>
      <w:r w:rsidRPr="00CB681C">
        <w:rPr>
          <w:rFonts w:asciiTheme="majorHAnsi" w:hAnsiTheme="majorHAnsi" w:cstheme="majorHAnsi"/>
          <w:color w:val="auto"/>
          <w:sz w:val="24"/>
          <w:szCs w:val="24"/>
        </w:rPr>
        <w:t xml:space="preserve"> Ovaj institut je potrebno normativno remodelovati u smislu da postane insistut koji će omogućiti lakšu mobilnost i regrutaciju ne samo službenika koji su ostali bez radnog mjesta nakon reorganizacije u organu, nego i službenika koji su zainteresovani i da promijene radno mjesto, ali i institut koji će omogućiti ravnomjernu raspodjelu radne snage. U Programu Vlade i </w:t>
      </w:r>
      <w:r w:rsidR="00E80D2E" w:rsidRPr="00CB681C">
        <w:rPr>
          <w:rFonts w:asciiTheme="majorHAnsi" w:hAnsiTheme="majorHAnsi" w:cstheme="majorHAnsi"/>
          <w:color w:val="auto"/>
          <w:sz w:val="24"/>
          <w:szCs w:val="24"/>
        </w:rPr>
        <w:t>P</w:t>
      </w:r>
      <w:r w:rsidRPr="00CB681C">
        <w:rPr>
          <w:rFonts w:asciiTheme="majorHAnsi" w:hAnsiTheme="majorHAnsi" w:cstheme="majorHAnsi"/>
          <w:color w:val="auto"/>
          <w:sz w:val="24"/>
          <w:szCs w:val="24"/>
        </w:rPr>
        <w:t>rogramu rada MJUDDM istaknuta</w:t>
      </w:r>
      <w:r w:rsidR="00E80D2E" w:rsidRPr="00CB681C">
        <w:rPr>
          <w:rFonts w:asciiTheme="majorHAnsi" w:hAnsiTheme="majorHAnsi" w:cstheme="majorHAnsi"/>
          <w:color w:val="auto"/>
          <w:sz w:val="24"/>
          <w:szCs w:val="24"/>
        </w:rPr>
        <w:t xml:space="preserve"> je </w:t>
      </w:r>
      <w:r w:rsidRPr="00CB681C">
        <w:rPr>
          <w:rFonts w:asciiTheme="majorHAnsi" w:hAnsiTheme="majorHAnsi" w:cstheme="majorHAnsi"/>
          <w:color w:val="auto"/>
          <w:sz w:val="24"/>
          <w:szCs w:val="24"/>
        </w:rPr>
        <w:t>optimizacija kao važan mehanizam u pružanju boljih usluga građanima. Obzirom da je 55.</w:t>
      </w:r>
      <w:r w:rsidR="004F3F84" w:rsidRPr="00CB681C">
        <w:rPr>
          <w:rFonts w:asciiTheme="majorHAnsi" w:hAnsiTheme="majorHAnsi" w:cstheme="majorHAnsi"/>
          <w:color w:val="auto"/>
          <w:sz w:val="24"/>
          <w:szCs w:val="24"/>
        </w:rPr>
        <w:t xml:space="preserve">674 </w:t>
      </w:r>
      <w:r w:rsidRPr="00CB681C">
        <w:rPr>
          <w:rFonts w:asciiTheme="majorHAnsi" w:hAnsiTheme="majorHAnsi" w:cstheme="majorHAnsi"/>
          <w:color w:val="auto"/>
          <w:sz w:val="24"/>
          <w:szCs w:val="24"/>
        </w:rPr>
        <w:t xml:space="preserve">zaposleno u javnom sektoru (od kojih oko 24.000 u javnoj upravi </w:t>
      </w:r>
      <w:r w:rsidR="00E80D2E" w:rsidRPr="00CB681C">
        <w:rPr>
          <w:rFonts w:asciiTheme="majorHAnsi" w:hAnsiTheme="majorHAnsi" w:cstheme="majorHAnsi"/>
          <w:color w:val="auto"/>
          <w:sz w:val="24"/>
          <w:szCs w:val="24"/>
        </w:rPr>
        <w:t>–</w:t>
      </w:r>
      <w:r w:rsidRPr="00CB681C">
        <w:rPr>
          <w:rFonts w:asciiTheme="majorHAnsi" w:hAnsiTheme="majorHAnsi" w:cstheme="majorHAnsi"/>
          <w:color w:val="auto"/>
          <w:sz w:val="24"/>
          <w:szCs w:val="24"/>
        </w:rPr>
        <w:t xml:space="preserve"> ministarstvima, organima drzavne uprave i lokalne samouprave), interno tržište rada predstavlja regrutaciono polje koje smanjuje potrebu za javnim oglašavanjem, čime se postižu budžetske uštede i koriste postojeći resursi. Sa druge strane, ne odbacuje se javni oglas kao mehanizam za regrutaciju novih zaposlenih, jer postoji diskreciono pravo s</w:t>
      </w:r>
      <w:r w:rsidR="00CB681C">
        <w:rPr>
          <w:rFonts w:asciiTheme="majorHAnsi" w:hAnsiTheme="majorHAnsi" w:cstheme="majorHAnsi"/>
          <w:color w:val="auto"/>
          <w:sz w:val="24"/>
          <w:szCs w:val="24"/>
        </w:rPr>
        <w:t>tarješine da izabere saradnike.</w:t>
      </w:r>
    </w:p>
    <w:tbl>
      <w:tblPr>
        <w:tblStyle w:val="TableGrid"/>
        <w:tblW w:w="5289"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32"/>
        <w:gridCol w:w="1740"/>
        <w:gridCol w:w="2253"/>
        <w:gridCol w:w="1704"/>
        <w:gridCol w:w="2157"/>
      </w:tblGrid>
      <w:tr w:rsidR="00AC188A" w:rsidRPr="001A6CA9" w:rsidTr="003B6A44">
        <w:tc>
          <w:tcPr>
            <w:tcW w:w="1068" w:type="pct"/>
            <w:shd w:val="clear" w:color="auto" w:fill="DFE4E5" w:themeFill="accent5" w:themeFillTint="33"/>
            <w:vAlign w:val="center"/>
          </w:tcPr>
          <w:p w:rsidR="008A1C96" w:rsidRPr="00253588" w:rsidRDefault="008A1C96">
            <w:pPr>
              <w:spacing w:after="40"/>
              <w:rPr>
                <w:rFonts w:asciiTheme="majorHAnsi" w:hAnsiTheme="majorHAnsi" w:cstheme="majorHAnsi"/>
                <w:b/>
                <w:color w:val="3A4B5B" w:themeColor="accent1" w:themeShade="80"/>
              </w:rPr>
            </w:pPr>
            <w:r w:rsidRPr="00253588">
              <w:rPr>
                <w:rFonts w:asciiTheme="majorHAnsi" w:hAnsiTheme="majorHAnsi" w:cstheme="majorHAnsi"/>
                <w:b/>
                <w:color w:val="3A4B5B" w:themeColor="accent1" w:themeShade="80"/>
              </w:rPr>
              <w:t>OPERATIVNI CILJ 3.1</w:t>
            </w:r>
          </w:p>
        </w:tc>
        <w:tc>
          <w:tcPr>
            <w:tcW w:w="3932" w:type="pct"/>
            <w:gridSpan w:val="4"/>
            <w:shd w:val="clear" w:color="auto" w:fill="DFE4E5" w:themeFill="accent5" w:themeFillTint="33"/>
            <w:vAlign w:val="center"/>
          </w:tcPr>
          <w:p w:rsidR="008A1C96" w:rsidRPr="00253588" w:rsidRDefault="008A1C96">
            <w:pPr>
              <w:spacing w:after="40"/>
              <w:rPr>
                <w:rFonts w:asciiTheme="majorHAnsi" w:hAnsiTheme="majorHAnsi" w:cstheme="majorHAnsi"/>
                <w:b/>
                <w:color w:val="3A4B5B" w:themeColor="accent1" w:themeShade="80"/>
              </w:rPr>
            </w:pPr>
            <w:r w:rsidRPr="00253588">
              <w:rPr>
                <w:rFonts w:asciiTheme="majorHAnsi" w:hAnsiTheme="majorHAnsi" w:cstheme="majorHAnsi"/>
                <w:b/>
                <w:color w:val="3A4B5B" w:themeColor="accent1" w:themeShade="80"/>
              </w:rPr>
              <w:t>Efikasan sistem planiranja na osnovu identifikovanih potreba, unaprjeđenje postupka zapošljavanja ljudskih resursa i dalja digitalizacija u oblasti službeničkog sistema</w:t>
            </w:r>
          </w:p>
        </w:tc>
      </w:tr>
      <w:tr w:rsidR="00AC188A" w:rsidRPr="001A6CA9" w:rsidTr="008A1C96">
        <w:tc>
          <w:tcPr>
            <w:tcW w:w="1939" w:type="pct"/>
            <w:gridSpan w:val="2"/>
            <w:shd w:val="clear" w:color="auto" w:fill="DAF2F6"/>
            <w:vAlign w:val="center"/>
          </w:tcPr>
          <w:p w:rsidR="008A1C96" w:rsidRPr="001972E9" w:rsidRDefault="008A1C96" w:rsidP="007E14C5">
            <w:pPr>
              <w:spacing w:after="40"/>
              <w:rPr>
                <w:rFonts w:asciiTheme="majorHAnsi" w:hAnsiTheme="majorHAnsi" w:cstheme="majorHAnsi"/>
                <w:b/>
                <w:color w:val="3A4B5B" w:themeColor="accent1" w:themeShade="80"/>
                <w:sz w:val="18"/>
                <w:szCs w:val="18"/>
              </w:rPr>
            </w:pPr>
            <w:r w:rsidRPr="001972E9">
              <w:rPr>
                <w:rFonts w:asciiTheme="majorHAnsi" w:hAnsiTheme="majorHAnsi" w:cstheme="majorHAnsi"/>
                <w:b/>
                <w:color w:val="3A4B5B" w:themeColor="accent1" w:themeShade="80"/>
                <w:sz w:val="18"/>
                <w:szCs w:val="18"/>
              </w:rPr>
              <w:t>Indikator</w:t>
            </w:r>
          </w:p>
        </w:tc>
        <w:tc>
          <w:tcPr>
            <w:tcW w:w="1128" w:type="pct"/>
            <w:shd w:val="clear" w:color="auto" w:fill="DAF2F6"/>
            <w:vAlign w:val="center"/>
          </w:tcPr>
          <w:p w:rsidR="008A1C96" w:rsidRPr="001972E9" w:rsidRDefault="008A1C96" w:rsidP="007E14C5">
            <w:pPr>
              <w:spacing w:after="40"/>
              <w:rPr>
                <w:rFonts w:asciiTheme="majorHAnsi" w:hAnsiTheme="majorHAnsi" w:cstheme="majorHAnsi"/>
                <w:b/>
                <w:color w:val="3A4B5B" w:themeColor="accent1" w:themeShade="80"/>
                <w:sz w:val="18"/>
                <w:szCs w:val="18"/>
              </w:rPr>
            </w:pPr>
            <w:r w:rsidRPr="001972E9">
              <w:rPr>
                <w:rFonts w:asciiTheme="majorHAnsi" w:hAnsiTheme="majorHAnsi" w:cstheme="majorHAnsi"/>
                <w:b/>
                <w:color w:val="3A4B5B" w:themeColor="accent1" w:themeShade="80"/>
                <w:sz w:val="18"/>
                <w:szCs w:val="18"/>
              </w:rPr>
              <w:t>Početna vrijednost</w:t>
            </w:r>
          </w:p>
        </w:tc>
        <w:tc>
          <w:tcPr>
            <w:tcW w:w="853" w:type="pct"/>
            <w:shd w:val="clear" w:color="auto" w:fill="DAF2F6"/>
            <w:vAlign w:val="center"/>
          </w:tcPr>
          <w:p w:rsidR="008A1C96" w:rsidRPr="001972E9" w:rsidRDefault="008A1C96" w:rsidP="007E14C5">
            <w:pPr>
              <w:spacing w:after="40"/>
              <w:rPr>
                <w:rFonts w:asciiTheme="majorHAnsi" w:hAnsiTheme="majorHAnsi" w:cstheme="majorHAnsi"/>
                <w:b/>
                <w:color w:val="3A4B5B" w:themeColor="accent1" w:themeShade="80"/>
                <w:sz w:val="18"/>
                <w:szCs w:val="18"/>
              </w:rPr>
            </w:pPr>
            <w:r w:rsidRPr="001972E9">
              <w:rPr>
                <w:rFonts w:asciiTheme="majorHAnsi" w:hAnsiTheme="majorHAnsi" w:cstheme="majorHAnsi"/>
                <w:b/>
                <w:color w:val="3A4B5B" w:themeColor="accent1" w:themeShade="80"/>
                <w:sz w:val="18"/>
                <w:szCs w:val="18"/>
              </w:rPr>
              <w:t>Ciljana vrijednost do 2024.</w:t>
            </w:r>
          </w:p>
        </w:tc>
        <w:tc>
          <w:tcPr>
            <w:tcW w:w="1080" w:type="pct"/>
            <w:shd w:val="clear" w:color="auto" w:fill="DAF2F6"/>
            <w:vAlign w:val="center"/>
          </w:tcPr>
          <w:p w:rsidR="008A1C96" w:rsidRPr="001972E9" w:rsidRDefault="008A1C96" w:rsidP="007E14C5">
            <w:pPr>
              <w:spacing w:after="40"/>
              <w:rPr>
                <w:rFonts w:asciiTheme="majorHAnsi" w:hAnsiTheme="majorHAnsi" w:cstheme="majorHAnsi"/>
                <w:b/>
                <w:color w:val="3A4B5B" w:themeColor="accent1" w:themeShade="80"/>
                <w:sz w:val="18"/>
                <w:szCs w:val="18"/>
              </w:rPr>
            </w:pPr>
            <w:r w:rsidRPr="001972E9">
              <w:rPr>
                <w:rFonts w:asciiTheme="majorHAnsi" w:hAnsiTheme="majorHAnsi" w:cstheme="majorHAnsi"/>
                <w:b/>
                <w:color w:val="3A4B5B" w:themeColor="accent1" w:themeShade="80"/>
                <w:sz w:val="18"/>
                <w:szCs w:val="18"/>
              </w:rPr>
              <w:t>Ciljana vrijednost u 2026.</w:t>
            </w:r>
          </w:p>
        </w:tc>
      </w:tr>
      <w:tr w:rsidR="003B6A44" w:rsidRPr="001A6CA9" w:rsidTr="003B6A44">
        <w:tc>
          <w:tcPr>
            <w:tcW w:w="1939" w:type="pct"/>
            <w:gridSpan w:val="2"/>
            <w:shd w:val="clear" w:color="auto" w:fill="auto"/>
          </w:tcPr>
          <w:p w:rsidR="003B6A44" w:rsidRPr="003B6A44" w:rsidRDefault="003B6A44" w:rsidP="003B6A44">
            <w:pPr>
              <w:spacing w:after="40"/>
              <w:rPr>
                <w:rFonts w:asciiTheme="majorHAnsi" w:hAnsiTheme="majorHAnsi" w:cstheme="majorHAnsi"/>
                <w:color w:val="auto"/>
              </w:rPr>
            </w:pPr>
            <w:r w:rsidRPr="003B6A44">
              <w:rPr>
                <w:rFonts w:asciiTheme="majorHAnsi" w:hAnsiTheme="majorHAnsi" w:cstheme="majorHAnsi"/>
                <w:color w:val="auto"/>
              </w:rPr>
              <w:t>% organa</w:t>
            </w:r>
            <w:r w:rsidR="00D407A5">
              <w:rPr>
                <w:rStyle w:val="FootnoteReference"/>
                <w:rFonts w:asciiTheme="majorHAnsi" w:hAnsiTheme="majorHAnsi" w:cstheme="majorHAnsi"/>
                <w:color w:val="auto"/>
              </w:rPr>
              <w:footnoteReference w:id="80"/>
            </w:r>
            <w:r w:rsidRPr="003B6A44">
              <w:rPr>
                <w:rFonts w:asciiTheme="majorHAnsi" w:hAnsiTheme="majorHAnsi" w:cstheme="majorHAnsi"/>
                <w:color w:val="auto"/>
              </w:rPr>
              <w:t xml:space="preserve"> koji su izradili Kadrovski plan unaprijeđenog kvaliteta kroz CKE</w:t>
            </w:r>
          </w:p>
          <w:p w:rsidR="003B6A44" w:rsidRPr="003B6A44" w:rsidRDefault="003B6A44" w:rsidP="00D407A5">
            <w:pPr>
              <w:spacing w:after="40"/>
              <w:rPr>
                <w:rFonts w:asciiTheme="majorHAnsi" w:hAnsiTheme="majorHAnsi" w:cstheme="majorHAnsi"/>
                <w:color w:val="auto"/>
                <w:sz w:val="18"/>
                <w:szCs w:val="18"/>
              </w:rPr>
            </w:pPr>
            <w:r w:rsidRPr="003B6A44">
              <w:rPr>
                <w:rFonts w:asciiTheme="majorHAnsi" w:hAnsiTheme="majorHAnsi" w:cstheme="majorHAnsi"/>
                <w:color w:val="auto"/>
              </w:rPr>
              <w:t>% organa lokalne uprave, posebnih i stručnih službi na lokalnom nivou</w:t>
            </w:r>
            <w:r w:rsidR="00D407A5">
              <w:rPr>
                <w:rStyle w:val="FootnoteReference"/>
                <w:rFonts w:asciiTheme="majorHAnsi" w:hAnsiTheme="majorHAnsi" w:cstheme="majorHAnsi"/>
                <w:color w:val="auto"/>
              </w:rPr>
              <w:footnoteReference w:id="81"/>
            </w:r>
            <w:r w:rsidRPr="003B6A44">
              <w:rPr>
                <w:rFonts w:asciiTheme="majorHAnsi" w:hAnsiTheme="majorHAnsi" w:cstheme="majorHAnsi"/>
                <w:color w:val="auto"/>
              </w:rPr>
              <w:t xml:space="preserve"> koji su izradili Kadrovski plan kroz CKE u skladu sa ZDSN i u skladu sa ZLS</w:t>
            </w:r>
          </w:p>
        </w:tc>
        <w:tc>
          <w:tcPr>
            <w:tcW w:w="1128" w:type="pct"/>
            <w:shd w:val="clear" w:color="auto" w:fill="auto"/>
            <w:vAlign w:val="center"/>
          </w:tcPr>
          <w:p w:rsidR="003B6A44" w:rsidRPr="003B6A44" w:rsidRDefault="003B6A44" w:rsidP="003B6A44">
            <w:pPr>
              <w:spacing w:after="40"/>
              <w:jc w:val="center"/>
              <w:rPr>
                <w:rFonts w:asciiTheme="majorHAnsi" w:hAnsiTheme="majorHAnsi" w:cstheme="majorHAnsi"/>
                <w:color w:val="auto"/>
              </w:rPr>
            </w:pPr>
            <w:r w:rsidRPr="003B6A44">
              <w:rPr>
                <w:rFonts w:asciiTheme="majorHAnsi" w:hAnsiTheme="majorHAnsi" w:cstheme="majorHAnsi"/>
                <w:color w:val="auto"/>
              </w:rPr>
              <w:t>28,5% državnih organa (2021)</w:t>
            </w:r>
          </w:p>
          <w:p w:rsidR="003B6A44" w:rsidRPr="003B6A44" w:rsidRDefault="003B6A44" w:rsidP="003B6A44">
            <w:pPr>
              <w:spacing w:after="40"/>
              <w:jc w:val="center"/>
              <w:rPr>
                <w:rFonts w:asciiTheme="majorHAnsi" w:hAnsiTheme="majorHAnsi" w:cstheme="majorHAnsi"/>
                <w:color w:val="auto"/>
              </w:rPr>
            </w:pPr>
          </w:p>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rPr>
              <w:t>0% organa lokalne uprave, posebnih i stručnih službi (2021)</w:t>
            </w:r>
          </w:p>
        </w:tc>
        <w:tc>
          <w:tcPr>
            <w:tcW w:w="853" w:type="pct"/>
            <w:shd w:val="clear" w:color="auto" w:fill="auto"/>
            <w:vAlign w:val="center"/>
          </w:tcPr>
          <w:p w:rsidR="003B6A44" w:rsidRPr="003B6A44" w:rsidRDefault="003B6A44" w:rsidP="003B6A44">
            <w:pPr>
              <w:spacing w:after="40"/>
              <w:ind w:right="-21"/>
              <w:jc w:val="center"/>
              <w:rPr>
                <w:rFonts w:asciiTheme="majorHAnsi" w:hAnsiTheme="majorHAnsi" w:cstheme="majorHAnsi"/>
                <w:color w:val="auto"/>
              </w:rPr>
            </w:pPr>
            <w:r w:rsidRPr="003B6A44">
              <w:rPr>
                <w:rFonts w:asciiTheme="majorHAnsi" w:hAnsiTheme="majorHAnsi" w:cstheme="majorHAnsi"/>
                <w:color w:val="auto"/>
              </w:rPr>
              <w:t>70 % državnih organa organa</w:t>
            </w:r>
          </w:p>
          <w:p w:rsidR="003B6A44" w:rsidRPr="003B6A44" w:rsidRDefault="003B6A44" w:rsidP="003B6A44">
            <w:pPr>
              <w:pStyle w:val="ListParagraph"/>
              <w:spacing w:after="40"/>
              <w:ind w:left="179" w:right="-21"/>
              <w:jc w:val="center"/>
              <w:rPr>
                <w:rFonts w:asciiTheme="majorHAnsi" w:hAnsiTheme="majorHAnsi" w:cstheme="majorHAnsi"/>
                <w:color w:val="auto"/>
              </w:rPr>
            </w:pPr>
          </w:p>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rPr>
              <w:t>30% organa lokalne uprave, posebnih i stručnih službi</w:t>
            </w:r>
          </w:p>
        </w:tc>
        <w:tc>
          <w:tcPr>
            <w:tcW w:w="1080" w:type="pct"/>
            <w:shd w:val="clear" w:color="auto" w:fill="auto"/>
            <w:vAlign w:val="center"/>
          </w:tcPr>
          <w:p w:rsidR="003B6A44" w:rsidRPr="003B6A44" w:rsidRDefault="003B6A44" w:rsidP="003B6A44">
            <w:pPr>
              <w:spacing w:after="40"/>
              <w:ind w:right="-19"/>
              <w:jc w:val="center"/>
              <w:rPr>
                <w:rFonts w:asciiTheme="majorHAnsi" w:hAnsiTheme="majorHAnsi" w:cstheme="majorHAnsi"/>
                <w:color w:val="auto"/>
              </w:rPr>
            </w:pPr>
            <w:r w:rsidRPr="003B6A44">
              <w:rPr>
                <w:rFonts w:asciiTheme="majorHAnsi" w:hAnsiTheme="majorHAnsi" w:cstheme="majorHAnsi"/>
                <w:color w:val="auto"/>
              </w:rPr>
              <w:t>100% državnih organa</w:t>
            </w:r>
          </w:p>
          <w:p w:rsidR="003B6A44" w:rsidRPr="003B6A44" w:rsidRDefault="003B6A44" w:rsidP="003B6A44">
            <w:pPr>
              <w:spacing w:after="40"/>
              <w:ind w:right="-19"/>
              <w:jc w:val="center"/>
              <w:rPr>
                <w:rFonts w:asciiTheme="majorHAnsi" w:hAnsiTheme="majorHAnsi" w:cstheme="majorHAnsi"/>
                <w:color w:val="auto"/>
              </w:rPr>
            </w:pPr>
          </w:p>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rPr>
              <w:t>100 % organa lokalne uprave, posebnih i stručnih službi</w:t>
            </w:r>
          </w:p>
        </w:tc>
      </w:tr>
      <w:tr w:rsidR="003B6A44" w:rsidRPr="001A6CA9" w:rsidTr="003B6A44">
        <w:tc>
          <w:tcPr>
            <w:tcW w:w="1939" w:type="pct"/>
            <w:gridSpan w:val="2"/>
            <w:shd w:val="clear" w:color="auto" w:fill="auto"/>
          </w:tcPr>
          <w:p w:rsidR="003B6A44" w:rsidRPr="003B6A44" w:rsidRDefault="003B6A44" w:rsidP="003B6A44">
            <w:pPr>
              <w:spacing w:after="40"/>
              <w:rPr>
                <w:rFonts w:asciiTheme="majorHAnsi" w:hAnsiTheme="majorHAnsi" w:cstheme="majorHAnsi"/>
                <w:color w:val="auto"/>
                <w:sz w:val="18"/>
                <w:szCs w:val="18"/>
              </w:rPr>
            </w:pPr>
            <w:r w:rsidRPr="003B6A44">
              <w:rPr>
                <w:rFonts w:asciiTheme="majorHAnsi" w:hAnsiTheme="majorHAnsi" w:cstheme="majorHAnsi"/>
                <w:color w:val="auto"/>
              </w:rPr>
              <w:t>% realizacije Kadrovskog plana državnih organa i organa lokalne uprave</w:t>
            </w:r>
          </w:p>
        </w:tc>
        <w:tc>
          <w:tcPr>
            <w:tcW w:w="1128" w:type="pct"/>
            <w:shd w:val="clear" w:color="auto" w:fill="auto"/>
          </w:tcPr>
          <w:p w:rsidR="003B6A44" w:rsidRPr="003B6A44" w:rsidRDefault="003B6A44" w:rsidP="003B6A44">
            <w:pPr>
              <w:spacing w:after="40"/>
              <w:ind w:right="144"/>
              <w:jc w:val="center"/>
              <w:rPr>
                <w:rFonts w:asciiTheme="majorHAnsi" w:hAnsiTheme="majorHAnsi" w:cstheme="majorHAnsi"/>
                <w:color w:val="auto"/>
              </w:rPr>
            </w:pPr>
            <w:r w:rsidRPr="003B6A44">
              <w:rPr>
                <w:rFonts w:asciiTheme="majorHAnsi" w:hAnsiTheme="majorHAnsi" w:cstheme="majorHAnsi"/>
                <w:color w:val="auto"/>
              </w:rPr>
              <w:t>63% KP državnih organa</w:t>
            </w:r>
          </w:p>
          <w:p w:rsidR="003B6A44" w:rsidRPr="003B6A44" w:rsidRDefault="003B6A44" w:rsidP="003B6A44">
            <w:pPr>
              <w:spacing w:after="40"/>
              <w:ind w:right="144"/>
              <w:jc w:val="center"/>
              <w:rPr>
                <w:rFonts w:asciiTheme="majorHAnsi" w:hAnsiTheme="majorHAnsi" w:cstheme="majorHAnsi"/>
                <w:color w:val="auto"/>
                <w:sz w:val="18"/>
                <w:szCs w:val="18"/>
              </w:rPr>
            </w:pPr>
            <w:r w:rsidRPr="003B6A44">
              <w:rPr>
                <w:rFonts w:asciiTheme="majorHAnsi" w:hAnsiTheme="majorHAnsi" w:cstheme="majorHAnsi"/>
                <w:color w:val="auto"/>
              </w:rPr>
              <w:lastRenderedPageBreak/>
              <w:t>37 % KP organa lokalne uprave (2020)</w:t>
            </w:r>
          </w:p>
        </w:tc>
        <w:tc>
          <w:tcPr>
            <w:tcW w:w="853" w:type="pct"/>
            <w:shd w:val="clear" w:color="auto" w:fill="auto"/>
          </w:tcPr>
          <w:p w:rsidR="003B6A44" w:rsidRPr="003B6A44" w:rsidRDefault="003B6A44" w:rsidP="003B6A44">
            <w:pPr>
              <w:spacing w:after="40"/>
              <w:ind w:right="144"/>
              <w:jc w:val="center"/>
              <w:rPr>
                <w:rFonts w:asciiTheme="majorHAnsi" w:hAnsiTheme="majorHAnsi" w:cstheme="majorHAnsi"/>
                <w:color w:val="auto"/>
              </w:rPr>
            </w:pPr>
            <w:r w:rsidRPr="003B6A44">
              <w:rPr>
                <w:rFonts w:asciiTheme="majorHAnsi" w:hAnsiTheme="majorHAnsi" w:cstheme="majorHAnsi"/>
                <w:color w:val="auto"/>
              </w:rPr>
              <w:lastRenderedPageBreak/>
              <w:t>70% KP državnih organa</w:t>
            </w:r>
          </w:p>
          <w:p w:rsidR="003B6A44" w:rsidRPr="003B6A44" w:rsidRDefault="003B6A44" w:rsidP="003B6A44">
            <w:pPr>
              <w:spacing w:after="40"/>
              <w:ind w:right="144"/>
              <w:jc w:val="center"/>
              <w:rPr>
                <w:rFonts w:asciiTheme="majorHAnsi" w:hAnsiTheme="majorHAnsi" w:cstheme="majorHAnsi"/>
                <w:color w:val="auto"/>
                <w:sz w:val="18"/>
                <w:szCs w:val="18"/>
              </w:rPr>
            </w:pPr>
            <w:r w:rsidRPr="003B6A44">
              <w:rPr>
                <w:rFonts w:asciiTheme="majorHAnsi" w:hAnsiTheme="majorHAnsi" w:cstheme="majorHAnsi"/>
                <w:color w:val="auto"/>
              </w:rPr>
              <w:lastRenderedPageBreak/>
              <w:t>50% KP organa lokalne uprave</w:t>
            </w:r>
          </w:p>
        </w:tc>
        <w:tc>
          <w:tcPr>
            <w:tcW w:w="1080" w:type="pct"/>
            <w:shd w:val="clear" w:color="auto" w:fill="auto"/>
          </w:tcPr>
          <w:p w:rsidR="003B6A44" w:rsidRPr="003B6A44" w:rsidRDefault="003B6A44" w:rsidP="003B6A44">
            <w:pPr>
              <w:spacing w:after="40"/>
              <w:ind w:right="144"/>
              <w:jc w:val="center"/>
              <w:rPr>
                <w:rFonts w:asciiTheme="majorHAnsi" w:hAnsiTheme="majorHAnsi" w:cstheme="majorHAnsi"/>
                <w:color w:val="auto"/>
              </w:rPr>
            </w:pPr>
            <w:r w:rsidRPr="003B6A44">
              <w:rPr>
                <w:rFonts w:asciiTheme="majorHAnsi" w:hAnsiTheme="majorHAnsi" w:cstheme="majorHAnsi"/>
                <w:color w:val="auto"/>
              </w:rPr>
              <w:lastRenderedPageBreak/>
              <w:t>90% KP državnih organa</w:t>
            </w:r>
          </w:p>
          <w:p w:rsidR="003B6A44" w:rsidRPr="003B6A44" w:rsidRDefault="003B6A44" w:rsidP="003B6A44">
            <w:pPr>
              <w:spacing w:after="40"/>
              <w:ind w:right="144"/>
              <w:jc w:val="center"/>
              <w:rPr>
                <w:rFonts w:asciiTheme="majorHAnsi" w:hAnsiTheme="majorHAnsi" w:cstheme="majorHAnsi"/>
                <w:color w:val="auto"/>
                <w:sz w:val="18"/>
                <w:szCs w:val="18"/>
              </w:rPr>
            </w:pPr>
            <w:r w:rsidRPr="003B6A44">
              <w:rPr>
                <w:rFonts w:asciiTheme="majorHAnsi" w:hAnsiTheme="majorHAnsi" w:cstheme="majorHAnsi"/>
                <w:color w:val="auto"/>
              </w:rPr>
              <w:lastRenderedPageBreak/>
              <w:t>70 % KP organa lokalne uprave</w:t>
            </w:r>
          </w:p>
        </w:tc>
      </w:tr>
      <w:tr w:rsidR="003B6A44" w:rsidRPr="001A6CA9" w:rsidTr="003B6A44">
        <w:tc>
          <w:tcPr>
            <w:tcW w:w="1939" w:type="pct"/>
            <w:gridSpan w:val="2"/>
            <w:shd w:val="clear" w:color="auto" w:fill="auto"/>
          </w:tcPr>
          <w:p w:rsidR="003B6A44" w:rsidRPr="003B6A44" w:rsidRDefault="003B6A44" w:rsidP="003B6A44">
            <w:pPr>
              <w:spacing w:after="40"/>
              <w:rPr>
                <w:rFonts w:asciiTheme="majorHAnsi" w:hAnsiTheme="majorHAnsi" w:cstheme="majorHAnsi"/>
                <w:color w:val="auto"/>
                <w:sz w:val="18"/>
                <w:szCs w:val="18"/>
              </w:rPr>
            </w:pPr>
            <w:r w:rsidRPr="003B6A44">
              <w:rPr>
                <w:rFonts w:asciiTheme="majorHAnsi" w:hAnsiTheme="majorHAnsi" w:cstheme="majorHAnsi"/>
                <w:color w:val="auto"/>
              </w:rPr>
              <w:lastRenderedPageBreak/>
              <w:t>Prosječan broj kandidata na oglas</w:t>
            </w:r>
          </w:p>
        </w:tc>
        <w:tc>
          <w:tcPr>
            <w:tcW w:w="1128" w:type="pct"/>
            <w:shd w:val="clear" w:color="auto" w:fill="auto"/>
          </w:tcPr>
          <w:p w:rsidR="003B6A44" w:rsidRPr="003B6A44" w:rsidRDefault="003B6A44" w:rsidP="003B6A44">
            <w:pPr>
              <w:ind w:right="144"/>
              <w:jc w:val="center"/>
              <w:rPr>
                <w:rFonts w:asciiTheme="majorHAnsi" w:hAnsiTheme="majorHAnsi" w:cstheme="majorHAnsi"/>
                <w:color w:val="auto"/>
              </w:rPr>
            </w:pPr>
            <w:r w:rsidRPr="003B6A44">
              <w:rPr>
                <w:rFonts w:asciiTheme="majorHAnsi" w:hAnsiTheme="majorHAnsi" w:cstheme="majorHAnsi"/>
                <w:color w:val="auto"/>
              </w:rPr>
              <w:t>Interni oglas 1.1 (2020)</w:t>
            </w:r>
          </w:p>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rPr>
              <w:t>Javni oglas 4.8 (2020)</w:t>
            </w:r>
          </w:p>
        </w:tc>
        <w:tc>
          <w:tcPr>
            <w:tcW w:w="853" w:type="pct"/>
            <w:shd w:val="clear" w:color="auto" w:fill="auto"/>
          </w:tcPr>
          <w:p w:rsidR="003B6A44" w:rsidRPr="003B6A44" w:rsidRDefault="003B6A44" w:rsidP="00253588">
            <w:pPr>
              <w:ind w:right="920"/>
              <w:jc w:val="center"/>
              <w:rPr>
                <w:rFonts w:asciiTheme="majorHAnsi" w:hAnsiTheme="majorHAnsi" w:cstheme="majorHAnsi"/>
                <w:color w:val="auto"/>
              </w:rPr>
            </w:pPr>
            <w:r w:rsidRPr="003B6A44">
              <w:rPr>
                <w:rFonts w:asciiTheme="majorHAnsi" w:hAnsiTheme="majorHAnsi" w:cstheme="majorHAnsi"/>
                <w:color w:val="auto"/>
              </w:rPr>
              <w:t>1.6</w:t>
            </w:r>
          </w:p>
          <w:p w:rsidR="003B6A44" w:rsidRPr="003B6A44" w:rsidRDefault="003B6A44" w:rsidP="00253588">
            <w:pPr>
              <w:spacing w:after="40"/>
              <w:jc w:val="center"/>
              <w:rPr>
                <w:rFonts w:asciiTheme="majorHAnsi" w:hAnsiTheme="majorHAnsi" w:cstheme="majorHAnsi"/>
                <w:color w:val="auto"/>
                <w:sz w:val="18"/>
                <w:szCs w:val="18"/>
              </w:rPr>
            </w:pPr>
            <w:r w:rsidRPr="003B6A44">
              <w:rPr>
                <w:rFonts w:asciiTheme="majorHAnsi" w:hAnsiTheme="majorHAnsi" w:cstheme="majorHAnsi"/>
                <w:color w:val="auto"/>
              </w:rPr>
              <w:t>5</w:t>
            </w:r>
          </w:p>
        </w:tc>
        <w:tc>
          <w:tcPr>
            <w:tcW w:w="1080" w:type="pct"/>
            <w:shd w:val="clear" w:color="auto" w:fill="auto"/>
          </w:tcPr>
          <w:p w:rsidR="003B6A44" w:rsidRPr="003B6A44" w:rsidRDefault="003B6A44" w:rsidP="003B6A44">
            <w:pPr>
              <w:ind w:right="252"/>
              <w:jc w:val="center"/>
              <w:rPr>
                <w:rFonts w:asciiTheme="majorHAnsi" w:hAnsiTheme="majorHAnsi" w:cstheme="majorHAnsi"/>
                <w:color w:val="auto"/>
              </w:rPr>
            </w:pPr>
            <w:r>
              <w:rPr>
                <w:rFonts w:asciiTheme="majorHAnsi" w:hAnsiTheme="majorHAnsi" w:cstheme="majorHAnsi"/>
                <w:color w:val="auto"/>
              </w:rPr>
              <w:t xml:space="preserve">     </w:t>
            </w:r>
            <w:r w:rsidRPr="003B6A44">
              <w:rPr>
                <w:rFonts w:asciiTheme="majorHAnsi" w:hAnsiTheme="majorHAnsi" w:cstheme="majorHAnsi"/>
                <w:color w:val="auto"/>
              </w:rPr>
              <w:t>1.8</w:t>
            </w:r>
          </w:p>
          <w:p w:rsidR="003B6A44" w:rsidRPr="003B6A44" w:rsidRDefault="003B6A44" w:rsidP="00D407A5">
            <w:pPr>
              <w:spacing w:after="40"/>
              <w:jc w:val="center"/>
              <w:rPr>
                <w:rFonts w:asciiTheme="majorHAnsi" w:hAnsiTheme="majorHAnsi" w:cstheme="majorHAnsi"/>
                <w:color w:val="auto"/>
                <w:sz w:val="18"/>
                <w:szCs w:val="18"/>
              </w:rPr>
            </w:pPr>
            <w:r w:rsidRPr="003B6A44">
              <w:rPr>
                <w:rFonts w:asciiTheme="majorHAnsi" w:hAnsiTheme="majorHAnsi" w:cstheme="majorHAnsi"/>
                <w:color w:val="auto"/>
              </w:rPr>
              <w:t>5.5</w:t>
            </w:r>
          </w:p>
        </w:tc>
      </w:tr>
      <w:tr w:rsidR="003B6A44" w:rsidRPr="001A6CA9" w:rsidTr="003B6A44">
        <w:tc>
          <w:tcPr>
            <w:tcW w:w="1939" w:type="pct"/>
            <w:gridSpan w:val="2"/>
            <w:shd w:val="clear" w:color="auto" w:fill="auto"/>
          </w:tcPr>
          <w:p w:rsidR="003B6A44" w:rsidRPr="003B6A44" w:rsidRDefault="003B6A44" w:rsidP="003B6A44">
            <w:pPr>
              <w:spacing w:after="40"/>
              <w:rPr>
                <w:rFonts w:asciiTheme="majorHAnsi" w:hAnsiTheme="majorHAnsi" w:cstheme="majorHAnsi"/>
                <w:color w:val="auto"/>
                <w:sz w:val="18"/>
                <w:szCs w:val="18"/>
              </w:rPr>
            </w:pPr>
            <w:r w:rsidRPr="003B6A44">
              <w:rPr>
                <w:rFonts w:asciiTheme="majorHAnsi" w:hAnsiTheme="majorHAnsi" w:cstheme="majorHAnsi"/>
                <w:color w:val="auto"/>
              </w:rPr>
              <w:t>Prosječan broj kandidata na konkursu</w:t>
            </w:r>
          </w:p>
        </w:tc>
        <w:tc>
          <w:tcPr>
            <w:tcW w:w="1128" w:type="pct"/>
            <w:shd w:val="clear" w:color="auto" w:fill="auto"/>
          </w:tcPr>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rPr>
              <w:t>2.14 (2020)</w:t>
            </w:r>
          </w:p>
        </w:tc>
        <w:tc>
          <w:tcPr>
            <w:tcW w:w="853" w:type="pct"/>
            <w:shd w:val="clear" w:color="auto" w:fill="auto"/>
            <w:vAlign w:val="center"/>
          </w:tcPr>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rPr>
              <w:t>4</w:t>
            </w:r>
          </w:p>
        </w:tc>
        <w:tc>
          <w:tcPr>
            <w:tcW w:w="1080" w:type="pct"/>
            <w:shd w:val="clear" w:color="auto" w:fill="auto"/>
          </w:tcPr>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rPr>
              <w:t>6</w:t>
            </w:r>
          </w:p>
        </w:tc>
      </w:tr>
      <w:tr w:rsidR="003B6A44" w:rsidRPr="001A6CA9" w:rsidTr="003B6A44">
        <w:tc>
          <w:tcPr>
            <w:tcW w:w="1939" w:type="pct"/>
            <w:gridSpan w:val="2"/>
            <w:shd w:val="clear" w:color="auto" w:fill="auto"/>
          </w:tcPr>
          <w:p w:rsidR="003B6A44" w:rsidRPr="003B6A44" w:rsidRDefault="003B6A44" w:rsidP="003B6A44">
            <w:pPr>
              <w:spacing w:after="40"/>
              <w:rPr>
                <w:rFonts w:asciiTheme="majorHAnsi" w:hAnsiTheme="majorHAnsi" w:cstheme="majorHAnsi"/>
                <w:color w:val="auto"/>
                <w:sz w:val="18"/>
                <w:szCs w:val="18"/>
              </w:rPr>
            </w:pPr>
            <w:r w:rsidRPr="003B6A44">
              <w:rPr>
                <w:rFonts w:asciiTheme="majorHAnsi" w:hAnsiTheme="majorHAnsi" w:cstheme="majorHAnsi"/>
                <w:color w:val="auto"/>
              </w:rPr>
              <w:t>Broj HR funkcija gdje se evidencija vodi samo kroz KIS</w:t>
            </w:r>
          </w:p>
        </w:tc>
        <w:tc>
          <w:tcPr>
            <w:tcW w:w="1128" w:type="pct"/>
            <w:shd w:val="clear" w:color="auto" w:fill="auto"/>
          </w:tcPr>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rPr>
              <w:t>0 (2020)</w:t>
            </w:r>
          </w:p>
        </w:tc>
        <w:tc>
          <w:tcPr>
            <w:tcW w:w="853" w:type="pct"/>
            <w:shd w:val="clear" w:color="auto" w:fill="auto"/>
          </w:tcPr>
          <w:p w:rsidR="003B6A44" w:rsidRPr="003B6A44" w:rsidRDefault="003B6A44" w:rsidP="00D407A5">
            <w:pPr>
              <w:spacing w:after="40"/>
              <w:jc w:val="center"/>
              <w:rPr>
                <w:rFonts w:asciiTheme="majorHAnsi" w:hAnsiTheme="majorHAnsi" w:cstheme="majorHAnsi"/>
                <w:color w:val="auto"/>
                <w:sz w:val="18"/>
                <w:szCs w:val="18"/>
              </w:rPr>
            </w:pPr>
            <w:r w:rsidRPr="003B6A44">
              <w:rPr>
                <w:rFonts w:asciiTheme="majorHAnsi" w:hAnsiTheme="majorHAnsi" w:cstheme="majorHAnsi"/>
                <w:color w:val="auto"/>
              </w:rPr>
              <w:t>3</w:t>
            </w:r>
            <w:r w:rsidR="00D407A5">
              <w:rPr>
                <w:rStyle w:val="FootnoteReference"/>
                <w:rFonts w:asciiTheme="majorHAnsi" w:hAnsiTheme="majorHAnsi" w:cstheme="majorHAnsi"/>
                <w:color w:val="auto"/>
              </w:rPr>
              <w:footnoteReference w:id="82"/>
            </w:r>
            <w:r w:rsidRPr="003B6A44">
              <w:rPr>
                <w:rFonts w:asciiTheme="majorHAnsi" w:hAnsiTheme="majorHAnsi" w:cstheme="majorHAnsi"/>
                <w:color w:val="auto"/>
              </w:rPr>
              <w:t xml:space="preserve"> </w:t>
            </w:r>
          </w:p>
        </w:tc>
        <w:tc>
          <w:tcPr>
            <w:tcW w:w="1080" w:type="pct"/>
            <w:shd w:val="clear" w:color="auto" w:fill="auto"/>
          </w:tcPr>
          <w:p w:rsidR="003B6A44" w:rsidRPr="003B6A44" w:rsidRDefault="003B6A44" w:rsidP="00D407A5">
            <w:pPr>
              <w:spacing w:after="40"/>
              <w:jc w:val="center"/>
              <w:rPr>
                <w:rFonts w:asciiTheme="majorHAnsi" w:hAnsiTheme="majorHAnsi" w:cstheme="majorHAnsi"/>
                <w:color w:val="auto"/>
                <w:sz w:val="18"/>
                <w:szCs w:val="18"/>
              </w:rPr>
            </w:pPr>
            <w:r w:rsidRPr="003B6A44">
              <w:rPr>
                <w:rFonts w:asciiTheme="majorHAnsi" w:hAnsiTheme="majorHAnsi" w:cstheme="majorHAnsi"/>
                <w:color w:val="auto"/>
              </w:rPr>
              <w:t xml:space="preserve">5 </w:t>
            </w:r>
            <w:r w:rsidR="00D407A5">
              <w:rPr>
                <w:rStyle w:val="FootnoteReference"/>
                <w:rFonts w:asciiTheme="majorHAnsi" w:hAnsiTheme="majorHAnsi" w:cstheme="majorHAnsi"/>
                <w:color w:val="auto"/>
              </w:rPr>
              <w:footnoteReference w:id="83"/>
            </w:r>
          </w:p>
        </w:tc>
      </w:tr>
      <w:tr w:rsidR="003B6A44" w:rsidRPr="001A6CA9" w:rsidTr="003B6A44">
        <w:tc>
          <w:tcPr>
            <w:tcW w:w="1939" w:type="pct"/>
            <w:gridSpan w:val="2"/>
            <w:shd w:val="clear" w:color="auto" w:fill="auto"/>
          </w:tcPr>
          <w:p w:rsidR="003B6A44" w:rsidRPr="003B6A44" w:rsidRDefault="003B6A44" w:rsidP="003B6A44">
            <w:pPr>
              <w:spacing w:after="40"/>
              <w:rPr>
                <w:rFonts w:asciiTheme="majorHAnsi" w:hAnsiTheme="majorHAnsi" w:cstheme="majorHAnsi"/>
                <w:color w:val="auto"/>
                <w:sz w:val="18"/>
                <w:szCs w:val="18"/>
              </w:rPr>
            </w:pPr>
            <w:r w:rsidRPr="003B6A44">
              <w:rPr>
                <w:rFonts w:asciiTheme="majorHAnsi" w:hAnsiTheme="majorHAnsi" w:cstheme="majorHAnsi"/>
                <w:color w:val="auto"/>
              </w:rPr>
              <w:t>% lokalnih samouprava sa razvijenim KIS-om</w:t>
            </w:r>
          </w:p>
        </w:tc>
        <w:tc>
          <w:tcPr>
            <w:tcW w:w="1128" w:type="pct"/>
            <w:shd w:val="clear" w:color="auto" w:fill="auto"/>
            <w:vAlign w:val="center"/>
          </w:tcPr>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rPr>
              <w:t>0</w:t>
            </w:r>
          </w:p>
        </w:tc>
        <w:tc>
          <w:tcPr>
            <w:tcW w:w="853" w:type="pct"/>
            <w:shd w:val="clear" w:color="auto" w:fill="auto"/>
            <w:vAlign w:val="center"/>
          </w:tcPr>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rPr>
              <w:t>10% LS</w:t>
            </w:r>
          </w:p>
        </w:tc>
        <w:tc>
          <w:tcPr>
            <w:tcW w:w="1080" w:type="pct"/>
            <w:shd w:val="clear" w:color="auto" w:fill="auto"/>
            <w:vAlign w:val="center"/>
          </w:tcPr>
          <w:p w:rsidR="003B6A44" w:rsidRPr="003B6A44" w:rsidRDefault="003B6A44" w:rsidP="003B6A44">
            <w:pPr>
              <w:spacing w:after="40"/>
              <w:jc w:val="center"/>
              <w:rPr>
                <w:rFonts w:asciiTheme="majorHAnsi" w:hAnsiTheme="majorHAnsi" w:cstheme="majorHAnsi"/>
                <w:color w:val="auto"/>
                <w:sz w:val="18"/>
                <w:szCs w:val="18"/>
              </w:rPr>
            </w:pPr>
            <w:r w:rsidRPr="003B6A44">
              <w:rPr>
                <w:rFonts w:asciiTheme="majorHAnsi" w:hAnsiTheme="majorHAnsi" w:cstheme="majorHAnsi"/>
                <w:color w:val="auto"/>
              </w:rPr>
              <w:t>100% LS</w:t>
            </w:r>
          </w:p>
        </w:tc>
      </w:tr>
    </w:tbl>
    <w:p w:rsidR="00045694" w:rsidRPr="007E14C5" w:rsidRDefault="00045694" w:rsidP="00677F87">
      <w:pPr>
        <w:spacing w:before="60" w:after="60" w:line="240" w:lineRule="auto"/>
        <w:ind w:right="-471"/>
        <w:jc w:val="both"/>
        <w:rPr>
          <w:rFonts w:asciiTheme="majorHAnsi" w:eastAsia="Times New Roman" w:hAnsiTheme="majorHAnsi" w:cstheme="majorHAnsi"/>
          <w:b/>
          <w:color w:val="002060"/>
          <w:kern w:val="0"/>
          <w:sz w:val="24"/>
          <w:szCs w:val="24"/>
          <w:lang w:eastAsia="en-US"/>
        </w:rPr>
      </w:pPr>
    </w:p>
    <w:p w:rsidR="004D4153" w:rsidRPr="00253588" w:rsidRDefault="00677F87" w:rsidP="00253588">
      <w:pPr>
        <w:pStyle w:val="Heading4"/>
        <w:spacing w:before="60" w:after="60" w:line="240" w:lineRule="auto"/>
        <w:ind w:right="-450"/>
        <w:jc w:val="both"/>
        <w:rPr>
          <w:rFonts w:eastAsia="Times New Roman" w:cstheme="majorHAnsi"/>
          <w:i w:val="0"/>
          <w:color w:val="auto"/>
          <w:kern w:val="0"/>
          <w:sz w:val="24"/>
          <w:szCs w:val="24"/>
          <w:lang w:eastAsia="en-US"/>
        </w:rPr>
      </w:pPr>
      <w:r w:rsidRPr="00CB681C">
        <w:rPr>
          <w:rFonts w:eastAsia="Times New Roman" w:cstheme="majorHAnsi"/>
          <w:color w:val="auto"/>
          <w:kern w:val="0"/>
          <w:sz w:val="24"/>
          <w:szCs w:val="24"/>
          <w:lang w:eastAsia="en-US"/>
        </w:rPr>
        <w:t>OPERATIVNI CILJ 3.2</w:t>
      </w:r>
      <w:r w:rsidR="008A1C96" w:rsidRPr="00CB681C">
        <w:rPr>
          <w:rFonts w:eastAsia="Times New Roman" w:cstheme="majorHAnsi"/>
          <w:color w:val="auto"/>
          <w:kern w:val="0"/>
          <w:sz w:val="24"/>
          <w:szCs w:val="24"/>
          <w:lang w:eastAsia="en-US"/>
        </w:rPr>
        <w:t>.</w:t>
      </w:r>
      <w:r w:rsidRPr="00CB681C">
        <w:rPr>
          <w:rFonts w:eastAsia="Times New Roman" w:cstheme="majorHAnsi"/>
          <w:color w:val="auto"/>
          <w:kern w:val="0"/>
          <w:sz w:val="24"/>
          <w:szCs w:val="24"/>
          <w:lang w:eastAsia="en-US"/>
        </w:rPr>
        <w:t xml:space="preserve"> </w:t>
      </w:r>
      <w:r w:rsidR="008A1C96" w:rsidRPr="00CB681C">
        <w:rPr>
          <w:rFonts w:eastAsia="Times New Roman" w:cstheme="majorHAnsi"/>
          <w:i w:val="0"/>
          <w:color w:val="auto"/>
          <w:kern w:val="0"/>
          <w:sz w:val="24"/>
          <w:szCs w:val="24"/>
          <w:lang w:eastAsia="en-US"/>
        </w:rPr>
        <w:t xml:space="preserve">Javna uprava </w:t>
      </w:r>
      <w:r w:rsidR="00045694" w:rsidRPr="00CB681C">
        <w:rPr>
          <w:rFonts w:eastAsia="Times New Roman" w:cstheme="majorHAnsi"/>
          <w:i w:val="0"/>
          <w:color w:val="auto"/>
          <w:kern w:val="0"/>
          <w:sz w:val="24"/>
          <w:szCs w:val="24"/>
          <w:lang w:eastAsia="en-US"/>
        </w:rPr>
        <w:t>atraktivan poslodavac – efikasan sistem napredovanja i nagrađivanja na osnovu praćenja rezultata rada, ocjenjivanja i stalnog usavršavanja</w:t>
      </w:r>
    </w:p>
    <w:p w:rsidR="004F3F84" w:rsidRPr="00CB681C" w:rsidRDefault="004F3F84" w:rsidP="00CB681C">
      <w:pPr>
        <w:spacing w:before="60" w:after="60" w:line="240" w:lineRule="auto"/>
        <w:ind w:right="-471"/>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Profesionalizacija javne uprave kroz usvajanje </w:t>
      </w:r>
      <w:r w:rsidRPr="00CB681C">
        <w:rPr>
          <w:rFonts w:asciiTheme="majorHAnsi" w:hAnsiTheme="majorHAnsi" w:cstheme="majorHAnsi"/>
          <w:b/>
          <w:color w:val="auto"/>
          <w:sz w:val="24"/>
          <w:szCs w:val="24"/>
        </w:rPr>
        <w:t xml:space="preserve">Okvira kompetencija za sve kategorije državnih službenika i primjena okvira kompetencija u postupku zapošljavanja i ocjenjivanja </w:t>
      </w:r>
      <w:r w:rsidRPr="00CB681C">
        <w:rPr>
          <w:rFonts w:asciiTheme="majorHAnsi" w:hAnsiTheme="majorHAnsi" w:cstheme="majorHAnsi"/>
          <w:color w:val="auto"/>
          <w:sz w:val="24"/>
          <w:szCs w:val="24"/>
        </w:rPr>
        <w:t>do</w:t>
      </w:r>
      <w:r w:rsidR="00305532" w:rsidRPr="00CB681C">
        <w:rPr>
          <w:rFonts w:asciiTheme="majorHAnsi" w:hAnsiTheme="majorHAnsi" w:cstheme="majorHAnsi"/>
          <w:color w:val="auto"/>
          <w:sz w:val="24"/>
          <w:szCs w:val="24"/>
        </w:rPr>
        <w:t>p</w:t>
      </w:r>
      <w:r w:rsidRPr="00CB681C">
        <w:rPr>
          <w:rFonts w:asciiTheme="majorHAnsi" w:hAnsiTheme="majorHAnsi" w:cstheme="majorHAnsi"/>
          <w:color w:val="auto"/>
          <w:sz w:val="24"/>
          <w:szCs w:val="24"/>
        </w:rPr>
        <w:t>rineće usklađivanju znanja vještina i sposobnosti zaposlenih sa zahtjevima radnog mjesta, a samim tim i efikasnosti rada organa i postizanju strateških ciljeva.</w:t>
      </w:r>
      <w:r w:rsidR="00CA4168" w:rsidRPr="00CB681C">
        <w:rPr>
          <w:rFonts w:asciiTheme="majorHAnsi" w:hAnsiTheme="majorHAnsi" w:cstheme="majorHAnsi"/>
          <w:color w:val="auto"/>
          <w:sz w:val="24"/>
          <w:szCs w:val="24"/>
        </w:rPr>
        <w:t xml:space="preserve"> Kompetencije će biti</w:t>
      </w:r>
      <w:r w:rsidRPr="00CB681C">
        <w:rPr>
          <w:rFonts w:asciiTheme="majorHAnsi" w:hAnsiTheme="majorHAnsi" w:cstheme="majorHAnsi"/>
          <w:color w:val="auto"/>
          <w:sz w:val="24"/>
          <w:szCs w:val="24"/>
        </w:rPr>
        <w:t xml:space="preserve"> uređene za radna mjesta koja nijesu rukovodeća, za radna mjesta rukovodilaca užih unutrašnjih organizacionih jedinica i na kraju visokorukovodni kadar i starješine organa. Kompetencije bi bile prepoznate i kroz Pravilnik o unutrašnjoj organizaciji i sistematizaciji i predstavljale bi osnov za selekciju i testiranje kandidata.</w:t>
      </w:r>
    </w:p>
    <w:p w:rsidR="004F3F84" w:rsidRPr="00CB681C" w:rsidRDefault="004F3F84" w:rsidP="00CB681C">
      <w:pPr>
        <w:spacing w:before="60" w:after="60" w:line="240" w:lineRule="auto"/>
        <w:ind w:right="-450"/>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Takođe,  neophodno je unaprijediti </w:t>
      </w:r>
      <w:r w:rsidRPr="00CB681C">
        <w:rPr>
          <w:rFonts w:asciiTheme="majorHAnsi" w:hAnsiTheme="majorHAnsi" w:cstheme="majorHAnsi"/>
          <w:b/>
          <w:color w:val="auto"/>
          <w:sz w:val="24"/>
          <w:szCs w:val="24"/>
        </w:rPr>
        <w:t xml:space="preserve">strateško planiranje obuka i razvoj zaposlenih </w:t>
      </w:r>
      <w:r w:rsidRPr="00CB681C">
        <w:rPr>
          <w:rFonts w:asciiTheme="majorHAnsi" w:hAnsiTheme="majorHAnsi" w:cstheme="majorHAnsi"/>
          <w:color w:val="auto"/>
          <w:sz w:val="24"/>
          <w:szCs w:val="24"/>
        </w:rPr>
        <w:t>na način što će se</w:t>
      </w:r>
      <w:r w:rsidR="00CA4168" w:rsidRPr="00CB681C">
        <w:rPr>
          <w:rFonts w:asciiTheme="majorHAnsi" w:hAnsiTheme="majorHAnsi" w:cstheme="majorHAnsi"/>
          <w:color w:val="auto"/>
          <w:sz w:val="24"/>
          <w:szCs w:val="24"/>
        </w:rPr>
        <w:t xml:space="preserve"> </w:t>
      </w:r>
      <w:r w:rsidRPr="00CB681C">
        <w:rPr>
          <w:rFonts w:asciiTheme="majorHAnsi" w:hAnsiTheme="majorHAnsi" w:cstheme="majorHAnsi"/>
          <w:color w:val="auto"/>
          <w:sz w:val="24"/>
          <w:szCs w:val="24"/>
        </w:rPr>
        <w:t>utvrditi potrebe za obukom na osnovu koje će se precizno identifikovati prioritetne oblasti i ciljne grupe službenika;</w:t>
      </w:r>
      <w:r w:rsidR="00CA4168" w:rsidRPr="00CB681C">
        <w:rPr>
          <w:rFonts w:asciiTheme="majorHAnsi" w:hAnsiTheme="majorHAnsi" w:cstheme="majorHAnsi"/>
          <w:color w:val="auto"/>
          <w:sz w:val="24"/>
          <w:szCs w:val="24"/>
        </w:rPr>
        <w:t xml:space="preserve"> </w:t>
      </w:r>
      <w:r w:rsidRPr="00CB681C">
        <w:rPr>
          <w:rFonts w:asciiTheme="majorHAnsi" w:hAnsiTheme="majorHAnsi" w:cstheme="majorHAnsi"/>
          <w:color w:val="auto"/>
          <w:sz w:val="24"/>
          <w:szCs w:val="24"/>
        </w:rPr>
        <w:t>planirati i programirati stručno usavršavanje, kojima se dodatno operacionalizuju sadržajni, metodološki i finansijski aspekti planiranih obuka</w:t>
      </w:r>
      <w:r w:rsidR="00CA4168" w:rsidRPr="00CB681C">
        <w:rPr>
          <w:rFonts w:asciiTheme="majorHAnsi" w:hAnsiTheme="majorHAnsi" w:cstheme="majorHAnsi"/>
          <w:color w:val="auto"/>
          <w:sz w:val="24"/>
          <w:szCs w:val="24"/>
        </w:rPr>
        <w:t xml:space="preserve">; </w:t>
      </w:r>
      <w:r w:rsidRPr="00CB681C">
        <w:rPr>
          <w:rFonts w:asciiTheme="majorHAnsi" w:hAnsiTheme="majorHAnsi" w:cstheme="majorHAnsi"/>
          <w:color w:val="auto"/>
          <w:sz w:val="24"/>
          <w:szCs w:val="24"/>
        </w:rPr>
        <w:t>unaprijediti evaluaciju, čijom analizom dobijamo povratne informacije o kvalitetu različitih aspekata realizovanih obuka i njihovom uticaju na svakodnevni rad državnih službenika;</w:t>
      </w:r>
      <w:r w:rsidR="00CA4168" w:rsidRPr="00CB681C">
        <w:rPr>
          <w:rFonts w:asciiTheme="majorHAnsi" w:hAnsiTheme="majorHAnsi" w:cstheme="majorHAnsi"/>
          <w:color w:val="auto"/>
          <w:sz w:val="24"/>
          <w:szCs w:val="24"/>
        </w:rPr>
        <w:t xml:space="preserve"> </w:t>
      </w:r>
      <w:r w:rsidRPr="00CB681C">
        <w:rPr>
          <w:rFonts w:asciiTheme="majorHAnsi" w:hAnsiTheme="majorHAnsi" w:cstheme="majorHAnsi"/>
          <w:color w:val="auto"/>
          <w:sz w:val="24"/>
          <w:szCs w:val="24"/>
        </w:rPr>
        <w:t>uspostaviti izvještavanje kojim efekti rada postaju mjerljivi, a informacije transparentne i dostupne javnosti (uspostavljanje sistema kvaliteta i efekata obuke);</w:t>
      </w:r>
      <w:r w:rsidR="00CA4168" w:rsidRPr="00CB681C">
        <w:rPr>
          <w:rFonts w:asciiTheme="majorHAnsi" w:hAnsiTheme="majorHAnsi" w:cstheme="majorHAnsi"/>
          <w:color w:val="auto"/>
          <w:sz w:val="24"/>
          <w:szCs w:val="24"/>
        </w:rPr>
        <w:t xml:space="preserve"> </w:t>
      </w:r>
      <w:r w:rsidRPr="00CB681C">
        <w:rPr>
          <w:rFonts w:asciiTheme="majorHAnsi" w:hAnsiTheme="majorHAnsi" w:cstheme="majorHAnsi"/>
          <w:color w:val="auto"/>
          <w:sz w:val="24"/>
          <w:szCs w:val="24"/>
        </w:rPr>
        <w:t xml:space="preserve">jačati kompetencije  visokorukovodnog kadra i zaposlenih koji po prvi put zasnivaju radni odnos. </w:t>
      </w:r>
    </w:p>
    <w:p w:rsidR="004F3F84" w:rsidRPr="00CB681C" w:rsidRDefault="004F3F84" w:rsidP="00CB681C">
      <w:pPr>
        <w:spacing w:before="60" w:after="60" w:line="240" w:lineRule="auto"/>
        <w:ind w:right="-450"/>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Takođe, potrebno je omogućiti </w:t>
      </w:r>
      <w:r w:rsidRPr="00CB681C">
        <w:rPr>
          <w:rFonts w:asciiTheme="majorHAnsi" w:hAnsiTheme="majorHAnsi" w:cstheme="majorHAnsi"/>
          <w:b/>
          <w:color w:val="auto"/>
          <w:sz w:val="24"/>
          <w:szCs w:val="24"/>
        </w:rPr>
        <w:t>Upravi za kadrove</w:t>
      </w:r>
      <w:r w:rsidRPr="00CB681C">
        <w:rPr>
          <w:rFonts w:asciiTheme="majorHAnsi" w:hAnsiTheme="majorHAnsi" w:cstheme="majorHAnsi"/>
          <w:color w:val="auto"/>
          <w:sz w:val="24"/>
          <w:szCs w:val="24"/>
        </w:rPr>
        <w:t xml:space="preserve"> da svojom horizontalnom funkcijom obavlja posebnu ulogu u smislu razvoja i </w:t>
      </w:r>
      <w:r w:rsidRPr="00CB681C">
        <w:rPr>
          <w:rFonts w:asciiTheme="majorHAnsi" w:hAnsiTheme="majorHAnsi" w:cstheme="majorHAnsi"/>
          <w:b/>
          <w:color w:val="auto"/>
          <w:sz w:val="24"/>
          <w:szCs w:val="24"/>
        </w:rPr>
        <w:t>upravljanja organizacionim jedinicama za ljudske resurse</w:t>
      </w:r>
      <w:r w:rsidRPr="00CB681C">
        <w:rPr>
          <w:rFonts w:asciiTheme="majorHAnsi" w:hAnsiTheme="majorHAnsi" w:cstheme="majorHAnsi"/>
          <w:color w:val="auto"/>
          <w:sz w:val="24"/>
          <w:szCs w:val="24"/>
        </w:rPr>
        <w:t xml:space="preserve">, tako što će doprinijeti inkluziji najboljih standarda. Drugačije, nije moguće postići uspjeh dok se ne ojačaju kompetencije službenika za upravljanje ljudskim resursima i ne uspostave organizacione jedinice za ljudske resurse, odnosno dok se ne ojača HR funkcija na svim nivoima administratitvnog upravljanja. Dokazano znanje, vještine i kompetencije, uključujući i iskustvo trebaju da budu glavni kriterijumi po kojima će se mjeriti uspješnost kadrovske politike. HR funkcija treba da se organizuje u skladu sa ciljevima i uslugama  koje treba da pruži javna uprava, obimom aktivnosti koje uključuju obuku, selekciju, znanja, vještine, kompetencije zaposlenih, upravljanje znanjem i HR usluge na svim nivoima administrativnog upravljanja. Neophodno je normativno regulisati status ovih službenika i definisati kao uslov za obavljanje poslova. Potvrdu o stečenoj ključnoj vještini za upravljanje ljudskim resursima, </w:t>
      </w:r>
      <w:r w:rsidRPr="00CB681C">
        <w:rPr>
          <w:rFonts w:asciiTheme="majorHAnsi" w:hAnsiTheme="majorHAnsi" w:cstheme="majorHAnsi"/>
          <w:color w:val="auto"/>
          <w:sz w:val="24"/>
          <w:szCs w:val="24"/>
        </w:rPr>
        <w:lastRenderedPageBreak/>
        <w:t xml:space="preserve">na taj način bi se iskoristio potencijal sužbenika koji su pohađali Program obuke koju organizuje Uprava za kadrove. </w:t>
      </w:r>
    </w:p>
    <w:p w:rsidR="004F3F84" w:rsidRPr="00CB681C" w:rsidRDefault="004F3F84" w:rsidP="00CB681C">
      <w:pPr>
        <w:spacing w:before="60" w:after="60" w:line="240" w:lineRule="auto"/>
        <w:ind w:right="-450"/>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Jedinice za upravlj</w:t>
      </w:r>
      <w:r w:rsidR="00976F01" w:rsidRPr="00CB681C">
        <w:rPr>
          <w:rFonts w:asciiTheme="majorHAnsi" w:hAnsiTheme="majorHAnsi" w:cstheme="majorHAnsi"/>
          <w:color w:val="auto"/>
          <w:sz w:val="24"/>
          <w:szCs w:val="24"/>
        </w:rPr>
        <w:t>a</w:t>
      </w:r>
      <w:r w:rsidRPr="00CB681C">
        <w:rPr>
          <w:rFonts w:asciiTheme="majorHAnsi" w:hAnsiTheme="majorHAnsi" w:cstheme="majorHAnsi"/>
          <w:color w:val="auto"/>
          <w:sz w:val="24"/>
          <w:szCs w:val="24"/>
        </w:rPr>
        <w:t>nje ljuds</w:t>
      </w:r>
      <w:r w:rsidR="00976F01" w:rsidRPr="00CB681C">
        <w:rPr>
          <w:rFonts w:asciiTheme="majorHAnsi" w:hAnsiTheme="majorHAnsi" w:cstheme="majorHAnsi"/>
          <w:color w:val="auto"/>
          <w:sz w:val="24"/>
          <w:szCs w:val="24"/>
        </w:rPr>
        <w:t>k</w:t>
      </w:r>
      <w:r w:rsidRPr="00CB681C">
        <w:rPr>
          <w:rFonts w:asciiTheme="majorHAnsi" w:hAnsiTheme="majorHAnsi" w:cstheme="majorHAnsi"/>
          <w:color w:val="auto"/>
          <w:sz w:val="24"/>
          <w:szCs w:val="24"/>
        </w:rPr>
        <w:t xml:space="preserve">im resursima </w:t>
      </w:r>
      <w:r w:rsidR="00305532" w:rsidRPr="00CB681C">
        <w:rPr>
          <w:rFonts w:asciiTheme="majorHAnsi" w:hAnsiTheme="majorHAnsi" w:cstheme="majorHAnsi"/>
          <w:color w:val="auto"/>
          <w:sz w:val="24"/>
          <w:szCs w:val="24"/>
        </w:rPr>
        <w:t>imaju za cilj</w:t>
      </w:r>
      <w:r w:rsidRPr="00CB681C">
        <w:rPr>
          <w:rFonts w:asciiTheme="majorHAnsi" w:hAnsiTheme="majorHAnsi" w:cstheme="majorHAnsi"/>
          <w:color w:val="auto"/>
          <w:sz w:val="24"/>
          <w:szCs w:val="24"/>
        </w:rPr>
        <w:t xml:space="preserve"> pružanje neophodne pomoći u izradi Kadrovskog plana, </w:t>
      </w:r>
      <w:r w:rsidR="00305532" w:rsidRPr="00CB681C">
        <w:rPr>
          <w:rFonts w:asciiTheme="majorHAnsi" w:hAnsiTheme="majorHAnsi" w:cstheme="majorHAnsi"/>
          <w:color w:val="auto"/>
          <w:sz w:val="24"/>
          <w:szCs w:val="24"/>
        </w:rPr>
        <w:t>p</w:t>
      </w:r>
      <w:r w:rsidRPr="00CB681C">
        <w:rPr>
          <w:rFonts w:asciiTheme="majorHAnsi" w:hAnsiTheme="majorHAnsi" w:cstheme="majorHAnsi"/>
          <w:color w:val="auto"/>
          <w:sz w:val="24"/>
          <w:szCs w:val="24"/>
        </w:rPr>
        <w:t>lana obuka službenika na nivou organa, praćenje uspješnosti same obuke na kvalitet rada zaposlenih (kroz evaluaciju i analizu kvaliteta rada zaposlenih), praćenje ocjene rada državnih službenika i namještenika u okviru organa u cilju napredovanja po merit sistemu</w:t>
      </w:r>
      <w:r w:rsidR="00305532" w:rsidRPr="00CB681C">
        <w:rPr>
          <w:rFonts w:asciiTheme="majorHAnsi" w:hAnsiTheme="majorHAnsi" w:cstheme="majorHAnsi"/>
          <w:color w:val="auto"/>
          <w:sz w:val="24"/>
          <w:szCs w:val="24"/>
        </w:rPr>
        <w:t>, p</w:t>
      </w:r>
      <w:r w:rsidRPr="00CB681C">
        <w:rPr>
          <w:rFonts w:asciiTheme="majorHAnsi" w:hAnsiTheme="majorHAnsi" w:cstheme="majorHAnsi"/>
          <w:color w:val="auto"/>
          <w:sz w:val="24"/>
          <w:szCs w:val="24"/>
        </w:rPr>
        <w:t>raćenje obaveznog programa za novozaposlene, praćenje probnog rada</w:t>
      </w:r>
      <w:r w:rsidR="00A41541" w:rsidRPr="00CB681C">
        <w:rPr>
          <w:rFonts w:asciiTheme="majorHAnsi" w:hAnsiTheme="majorHAnsi" w:cstheme="majorHAnsi"/>
          <w:color w:val="auto"/>
          <w:sz w:val="24"/>
          <w:szCs w:val="24"/>
        </w:rPr>
        <w:t>,</w:t>
      </w:r>
      <w:r w:rsidRPr="00CB681C">
        <w:rPr>
          <w:rFonts w:asciiTheme="majorHAnsi" w:hAnsiTheme="majorHAnsi" w:cstheme="majorHAnsi"/>
          <w:color w:val="auto"/>
          <w:sz w:val="24"/>
          <w:szCs w:val="24"/>
        </w:rPr>
        <w:t xml:space="preserve"> rada mentora </w:t>
      </w:r>
      <w:r w:rsidR="00A41541" w:rsidRPr="00CB681C">
        <w:rPr>
          <w:rFonts w:asciiTheme="majorHAnsi" w:hAnsiTheme="majorHAnsi" w:cstheme="majorHAnsi"/>
          <w:color w:val="auto"/>
          <w:sz w:val="24"/>
          <w:szCs w:val="24"/>
        </w:rPr>
        <w:t>i sl.</w:t>
      </w:r>
    </w:p>
    <w:p w:rsidR="00976F01" w:rsidRPr="00CB681C" w:rsidRDefault="004F3F84" w:rsidP="00CB681C">
      <w:pPr>
        <w:spacing w:before="60" w:after="60" w:line="240" w:lineRule="auto"/>
        <w:ind w:right="-471"/>
        <w:jc w:val="both"/>
        <w:rPr>
          <w:rFonts w:asciiTheme="majorHAnsi" w:hAnsiTheme="majorHAnsi" w:cstheme="majorHAnsi"/>
          <w:color w:val="auto"/>
          <w:sz w:val="24"/>
          <w:szCs w:val="24"/>
        </w:rPr>
      </w:pPr>
      <w:r w:rsidRPr="00CB681C">
        <w:rPr>
          <w:rFonts w:asciiTheme="majorHAnsi" w:hAnsiTheme="majorHAnsi" w:cstheme="majorHAnsi"/>
          <w:b/>
          <w:color w:val="auto"/>
          <w:sz w:val="24"/>
          <w:szCs w:val="24"/>
        </w:rPr>
        <w:t>Sistemom ocjenjivanja</w:t>
      </w:r>
      <w:r w:rsidRPr="00CB681C">
        <w:rPr>
          <w:rFonts w:asciiTheme="majorHAnsi" w:hAnsiTheme="majorHAnsi" w:cstheme="majorHAnsi"/>
          <w:color w:val="auto"/>
          <w:sz w:val="24"/>
          <w:szCs w:val="24"/>
        </w:rPr>
        <w:t xml:space="preserve"> potrebno je razviti instrumente za uvezivanje ovog postupka sa postupkom osposobljavanja i usavršavanja i  predvidjeti materijalne oblike nagrađivanja za kategoriju „ističe se“ ocijenjenih službenika, ali ujedno raditi i na normiranju tzv. nematerijalnih oblika nagrađivanja kao što su prednost u upućivanju na značajna stručna usavršavanja i osposobljavanja, slobodni dani, i dr. Službenik koji ostvaruje izvanredne rezultate rada i teži daljem ličnom i profesionalnom razvoju ima priliku za daljim napredovanjem.</w:t>
      </w:r>
    </w:p>
    <w:tbl>
      <w:tblPr>
        <w:tblStyle w:val="TableGrid"/>
        <w:tblW w:w="524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40"/>
        <w:gridCol w:w="1439"/>
        <w:gridCol w:w="2268"/>
        <w:gridCol w:w="1838"/>
        <w:gridCol w:w="2110"/>
      </w:tblGrid>
      <w:tr w:rsidR="00AC188A" w:rsidRPr="001A6CA9" w:rsidTr="00B027E2">
        <w:tc>
          <w:tcPr>
            <w:tcW w:w="1132" w:type="pct"/>
            <w:shd w:val="clear" w:color="auto" w:fill="DFE4E5" w:themeFill="accent5" w:themeFillTint="33"/>
            <w:vAlign w:val="center"/>
          </w:tcPr>
          <w:p w:rsidR="00B027E2" w:rsidRPr="00253588" w:rsidRDefault="00B027E2">
            <w:pPr>
              <w:spacing w:after="40"/>
              <w:rPr>
                <w:rFonts w:asciiTheme="majorHAnsi" w:hAnsiTheme="majorHAnsi" w:cstheme="majorHAnsi"/>
                <w:b/>
                <w:color w:val="3A4B5B" w:themeColor="accent1" w:themeShade="80"/>
              </w:rPr>
            </w:pPr>
            <w:r w:rsidRPr="00253588">
              <w:rPr>
                <w:rFonts w:asciiTheme="majorHAnsi" w:hAnsiTheme="majorHAnsi" w:cstheme="majorHAnsi"/>
                <w:b/>
                <w:color w:val="3A4B5B" w:themeColor="accent1" w:themeShade="80"/>
              </w:rPr>
              <w:t>OPERATIVNI CILJ 3.2</w:t>
            </w:r>
          </w:p>
        </w:tc>
        <w:tc>
          <w:tcPr>
            <w:tcW w:w="3868" w:type="pct"/>
            <w:gridSpan w:val="4"/>
            <w:shd w:val="clear" w:color="auto" w:fill="DFE4E5" w:themeFill="accent5" w:themeFillTint="33"/>
            <w:vAlign w:val="center"/>
          </w:tcPr>
          <w:p w:rsidR="00B027E2" w:rsidRPr="00253588" w:rsidRDefault="00B027E2">
            <w:pPr>
              <w:spacing w:after="40"/>
              <w:rPr>
                <w:rFonts w:asciiTheme="majorHAnsi" w:hAnsiTheme="majorHAnsi" w:cstheme="majorHAnsi"/>
                <w:b/>
                <w:color w:val="3A4B5B" w:themeColor="accent1" w:themeShade="80"/>
              </w:rPr>
            </w:pPr>
            <w:r w:rsidRPr="00253588">
              <w:rPr>
                <w:rFonts w:asciiTheme="majorHAnsi" w:hAnsiTheme="majorHAnsi" w:cstheme="majorHAnsi"/>
                <w:b/>
                <w:color w:val="3A4B5B" w:themeColor="accent1" w:themeShade="80"/>
              </w:rPr>
              <w:t xml:space="preserve">JU atraktivan poslodavac – efikasan sistem ocjenjivanja, napredovanja i nagrađivanja po sistemu zasluga i stalnog usavršavanja  </w:t>
            </w:r>
          </w:p>
        </w:tc>
      </w:tr>
      <w:tr w:rsidR="00AC188A" w:rsidRPr="001A6CA9" w:rsidTr="00B027E2">
        <w:tc>
          <w:tcPr>
            <w:tcW w:w="1859" w:type="pct"/>
            <w:gridSpan w:val="2"/>
            <w:shd w:val="clear" w:color="auto" w:fill="DAF2F6"/>
            <w:vAlign w:val="center"/>
          </w:tcPr>
          <w:p w:rsidR="00B027E2" w:rsidRPr="001972E9" w:rsidRDefault="00B027E2" w:rsidP="007E14C5">
            <w:pPr>
              <w:spacing w:after="40"/>
              <w:rPr>
                <w:rFonts w:asciiTheme="majorHAnsi" w:hAnsiTheme="majorHAnsi" w:cstheme="majorHAnsi"/>
                <w:b/>
                <w:color w:val="3A4B5B" w:themeColor="accent1" w:themeShade="80"/>
                <w:sz w:val="18"/>
                <w:szCs w:val="18"/>
              </w:rPr>
            </w:pPr>
            <w:r w:rsidRPr="001972E9">
              <w:rPr>
                <w:rFonts w:asciiTheme="majorHAnsi" w:hAnsiTheme="majorHAnsi" w:cstheme="majorHAnsi"/>
                <w:b/>
                <w:color w:val="3A4B5B" w:themeColor="accent1" w:themeShade="80"/>
                <w:sz w:val="18"/>
                <w:szCs w:val="18"/>
              </w:rPr>
              <w:t>Indikator</w:t>
            </w:r>
          </w:p>
        </w:tc>
        <w:tc>
          <w:tcPr>
            <w:tcW w:w="1146" w:type="pct"/>
            <w:shd w:val="clear" w:color="auto" w:fill="DAF2F6"/>
            <w:vAlign w:val="center"/>
          </w:tcPr>
          <w:p w:rsidR="00B027E2" w:rsidRPr="001972E9" w:rsidRDefault="00B027E2" w:rsidP="007E14C5">
            <w:pPr>
              <w:spacing w:after="40"/>
              <w:rPr>
                <w:rFonts w:asciiTheme="majorHAnsi" w:hAnsiTheme="majorHAnsi" w:cstheme="majorHAnsi"/>
                <w:b/>
                <w:color w:val="3A4B5B" w:themeColor="accent1" w:themeShade="80"/>
                <w:sz w:val="18"/>
                <w:szCs w:val="18"/>
              </w:rPr>
            </w:pPr>
            <w:r w:rsidRPr="001972E9">
              <w:rPr>
                <w:rFonts w:asciiTheme="majorHAnsi" w:hAnsiTheme="majorHAnsi" w:cstheme="majorHAnsi"/>
                <w:b/>
                <w:color w:val="3A4B5B" w:themeColor="accent1" w:themeShade="80"/>
                <w:sz w:val="18"/>
                <w:szCs w:val="18"/>
              </w:rPr>
              <w:t>Početna vrijednost</w:t>
            </w:r>
          </w:p>
        </w:tc>
        <w:tc>
          <w:tcPr>
            <w:tcW w:w="929" w:type="pct"/>
            <w:shd w:val="clear" w:color="auto" w:fill="DAF2F6"/>
            <w:vAlign w:val="center"/>
          </w:tcPr>
          <w:p w:rsidR="00B027E2" w:rsidRPr="001972E9" w:rsidRDefault="00B027E2" w:rsidP="007E14C5">
            <w:pPr>
              <w:spacing w:after="40"/>
              <w:rPr>
                <w:rFonts w:asciiTheme="majorHAnsi" w:hAnsiTheme="majorHAnsi" w:cstheme="majorHAnsi"/>
                <w:b/>
                <w:color w:val="3A4B5B" w:themeColor="accent1" w:themeShade="80"/>
                <w:sz w:val="18"/>
                <w:szCs w:val="18"/>
              </w:rPr>
            </w:pPr>
            <w:r w:rsidRPr="001972E9">
              <w:rPr>
                <w:rFonts w:asciiTheme="majorHAnsi" w:hAnsiTheme="majorHAnsi" w:cstheme="majorHAnsi"/>
                <w:b/>
                <w:color w:val="3A4B5B" w:themeColor="accent1" w:themeShade="80"/>
                <w:sz w:val="18"/>
                <w:szCs w:val="18"/>
              </w:rPr>
              <w:t>Ciljana vrijednost do 2024.</w:t>
            </w:r>
          </w:p>
        </w:tc>
        <w:tc>
          <w:tcPr>
            <w:tcW w:w="1066" w:type="pct"/>
            <w:shd w:val="clear" w:color="auto" w:fill="DAF2F6"/>
            <w:vAlign w:val="center"/>
          </w:tcPr>
          <w:p w:rsidR="00B027E2" w:rsidRPr="001972E9" w:rsidRDefault="00B027E2" w:rsidP="007E14C5">
            <w:pPr>
              <w:spacing w:after="40"/>
              <w:rPr>
                <w:rFonts w:asciiTheme="majorHAnsi" w:hAnsiTheme="majorHAnsi" w:cstheme="majorHAnsi"/>
                <w:b/>
                <w:color w:val="3A4B5B" w:themeColor="accent1" w:themeShade="80"/>
                <w:sz w:val="18"/>
                <w:szCs w:val="18"/>
              </w:rPr>
            </w:pPr>
            <w:r w:rsidRPr="001972E9">
              <w:rPr>
                <w:rFonts w:asciiTheme="majorHAnsi" w:hAnsiTheme="majorHAnsi" w:cstheme="majorHAnsi"/>
                <w:b/>
                <w:color w:val="3A4B5B" w:themeColor="accent1" w:themeShade="80"/>
                <w:sz w:val="18"/>
                <w:szCs w:val="18"/>
              </w:rPr>
              <w:t>Ciljana vrijednost u 2026.</w:t>
            </w:r>
          </w:p>
        </w:tc>
      </w:tr>
      <w:tr w:rsidR="00D407A5" w:rsidRPr="001A6CA9" w:rsidTr="00D407A5">
        <w:tc>
          <w:tcPr>
            <w:tcW w:w="1859" w:type="pct"/>
            <w:gridSpan w:val="2"/>
            <w:shd w:val="clear" w:color="auto" w:fill="auto"/>
          </w:tcPr>
          <w:p w:rsidR="00D407A5" w:rsidRPr="00D407A5" w:rsidRDefault="00D407A5" w:rsidP="00D407A5">
            <w:pPr>
              <w:spacing w:after="40"/>
              <w:rPr>
                <w:rFonts w:asciiTheme="majorHAnsi" w:hAnsiTheme="majorHAnsi" w:cstheme="majorHAnsi"/>
                <w:color w:val="auto"/>
              </w:rPr>
            </w:pPr>
            <w:r w:rsidRPr="00D407A5">
              <w:rPr>
                <w:rFonts w:asciiTheme="majorHAnsi" w:hAnsiTheme="majorHAnsi" w:cstheme="majorHAnsi"/>
                <w:color w:val="auto"/>
              </w:rPr>
              <w:t xml:space="preserve">% službenika u državnim organima koji su ocijenjeni </w:t>
            </w:r>
            <w:r>
              <w:rPr>
                <w:rStyle w:val="FootnoteReference"/>
                <w:rFonts w:asciiTheme="majorHAnsi" w:hAnsiTheme="majorHAnsi" w:cstheme="majorHAnsi"/>
                <w:color w:val="auto"/>
              </w:rPr>
              <w:footnoteReference w:id="84"/>
            </w:r>
          </w:p>
        </w:tc>
        <w:tc>
          <w:tcPr>
            <w:tcW w:w="1146" w:type="pct"/>
            <w:shd w:val="clear" w:color="auto" w:fill="auto"/>
          </w:tcPr>
          <w:p w:rsidR="00D407A5" w:rsidRPr="00D407A5" w:rsidRDefault="00D407A5" w:rsidP="00D407A5">
            <w:pPr>
              <w:spacing w:after="40"/>
              <w:jc w:val="center"/>
              <w:rPr>
                <w:rFonts w:asciiTheme="majorHAnsi" w:hAnsiTheme="majorHAnsi" w:cstheme="majorHAnsi"/>
                <w:color w:val="auto"/>
              </w:rPr>
            </w:pPr>
            <w:r w:rsidRPr="00D407A5">
              <w:rPr>
                <w:rFonts w:asciiTheme="majorHAnsi" w:hAnsiTheme="majorHAnsi" w:cstheme="majorHAnsi"/>
                <w:color w:val="auto"/>
              </w:rPr>
              <w:t>63,38</w:t>
            </w:r>
            <w:r>
              <w:rPr>
                <w:rStyle w:val="FootnoteReference"/>
                <w:rFonts w:asciiTheme="majorHAnsi" w:hAnsiTheme="majorHAnsi" w:cstheme="majorHAnsi"/>
                <w:color w:val="auto"/>
              </w:rPr>
              <w:footnoteReference w:id="85"/>
            </w:r>
            <w:r w:rsidRPr="00D407A5">
              <w:rPr>
                <w:rFonts w:asciiTheme="majorHAnsi" w:hAnsiTheme="majorHAnsi" w:cstheme="majorHAnsi"/>
                <w:color w:val="auto"/>
              </w:rPr>
              <w:t>(2019)</w:t>
            </w:r>
          </w:p>
        </w:tc>
        <w:tc>
          <w:tcPr>
            <w:tcW w:w="929" w:type="pct"/>
            <w:shd w:val="clear" w:color="auto" w:fill="auto"/>
          </w:tcPr>
          <w:p w:rsidR="00D407A5" w:rsidRPr="00D407A5" w:rsidRDefault="00D407A5" w:rsidP="00F735BC">
            <w:pPr>
              <w:spacing w:after="40"/>
              <w:jc w:val="both"/>
              <w:rPr>
                <w:rFonts w:asciiTheme="majorHAnsi" w:hAnsiTheme="majorHAnsi" w:cstheme="majorHAnsi"/>
                <w:color w:val="auto"/>
              </w:rPr>
            </w:pPr>
            <w:r w:rsidRPr="00D407A5">
              <w:rPr>
                <w:rFonts w:asciiTheme="majorHAnsi" w:hAnsiTheme="majorHAnsi" w:cstheme="majorHAnsi"/>
                <w:color w:val="auto"/>
              </w:rPr>
              <w:t>Povećanje za 10% u odnosu na početnu vrijednost</w:t>
            </w:r>
          </w:p>
        </w:tc>
        <w:tc>
          <w:tcPr>
            <w:tcW w:w="1066" w:type="pct"/>
            <w:shd w:val="clear" w:color="auto" w:fill="auto"/>
          </w:tcPr>
          <w:p w:rsidR="00D407A5" w:rsidRPr="00D407A5" w:rsidRDefault="00D407A5" w:rsidP="00F735BC">
            <w:pPr>
              <w:spacing w:after="40"/>
              <w:jc w:val="both"/>
              <w:rPr>
                <w:rFonts w:asciiTheme="majorHAnsi" w:hAnsiTheme="majorHAnsi" w:cstheme="majorHAnsi"/>
                <w:color w:val="auto"/>
              </w:rPr>
            </w:pPr>
            <w:r w:rsidRPr="00D407A5">
              <w:rPr>
                <w:rFonts w:asciiTheme="majorHAnsi" w:hAnsiTheme="majorHAnsi" w:cstheme="majorHAnsi"/>
                <w:color w:val="auto"/>
              </w:rPr>
              <w:t>Povećanje za 20% u donosu na početnu vrijednost</w:t>
            </w:r>
          </w:p>
        </w:tc>
      </w:tr>
      <w:tr w:rsidR="00D407A5" w:rsidRPr="001A6CA9" w:rsidTr="00D407A5">
        <w:tc>
          <w:tcPr>
            <w:tcW w:w="1859" w:type="pct"/>
            <w:gridSpan w:val="2"/>
            <w:shd w:val="clear" w:color="auto" w:fill="auto"/>
          </w:tcPr>
          <w:p w:rsidR="00D407A5" w:rsidRPr="00D407A5" w:rsidRDefault="00D407A5" w:rsidP="00D407A5">
            <w:pPr>
              <w:spacing w:after="40"/>
              <w:rPr>
                <w:rFonts w:asciiTheme="majorHAnsi" w:hAnsiTheme="majorHAnsi" w:cstheme="majorHAnsi"/>
                <w:color w:val="auto"/>
              </w:rPr>
            </w:pPr>
            <w:r w:rsidRPr="00D407A5">
              <w:rPr>
                <w:rFonts w:asciiTheme="majorHAnsi" w:hAnsiTheme="majorHAnsi" w:cstheme="majorHAnsi"/>
                <w:color w:val="auto"/>
              </w:rPr>
              <w:t>Sistem ocjenjivanja radnog učinka unaprijeđen</w:t>
            </w:r>
          </w:p>
        </w:tc>
        <w:tc>
          <w:tcPr>
            <w:tcW w:w="1146" w:type="pct"/>
            <w:shd w:val="clear" w:color="auto" w:fill="auto"/>
          </w:tcPr>
          <w:p w:rsidR="00D407A5" w:rsidRPr="00D407A5" w:rsidRDefault="00D407A5" w:rsidP="00D407A5">
            <w:pPr>
              <w:spacing w:after="40"/>
              <w:jc w:val="center"/>
              <w:rPr>
                <w:rFonts w:asciiTheme="majorHAnsi" w:hAnsiTheme="majorHAnsi" w:cstheme="majorHAnsi"/>
                <w:color w:val="auto"/>
              </w:rPr>
            </w:pPr>
            <w:r w:rsidRPr="00D407A5">
              <w:rPr>
                <w:rFonts w:asciiTheme="majorHAnsi" w:hAnsiTheme="majorHAnsi" w:cstheme="majorHAnsi"/>
                <w:color w:val="auto"/>
              </w:rPr>
              <w:t>Sistem ocjenjivanja nije uvezan sa nagrađivanjem i napredovanjem u službi</w:t>
            </w:r>
          </w:p>
        </w:tc>
        <w:tc>
          <w:tcPr>
            <w:tcW w:w="929" w:type="pct"/>
            <w:shd w:val="clear" w:color="auto" w:fill="auto"/>
          </w:tcPr>
          <w:p w:rsidR="00D407A5" w:rsidRPr="00D407A5" w:rsidRDefault="00D407A5" w:rsidP="00F735BC">
            <w:pPr>
              <w:spacing w:after="40"/>
              <w:jc w:val="both"/>
              <w:rPr>
                <w:rFonts w:asciiTheme="majorHAnsi" w:hAnsiTheme="majorHAnsi" w:cstheme="majorHAnsi"/>
                <w:color w:val="auto"/>
              </w:rPr>
            </w:pPr>
            <w:r w:rsidRPr="00D407A5">
              <w:rPr>
                <w:rFonts w:asciiTheme="majorHAnsi" w:hAnsiTheme="majorHAnsi" w:cstheme="majorHAnsi"/>
                <w:color w:val="auto"/>
              </w:rPr>
              <w:t>Unaprijeđen normativni okvir u sistemu nagrađivanja i napredovanjan u službi</w:t>
            </w:r>
          </w:p>
        </w:tc>
        <w:tc>
          <w:tcPr>
            <w:tcW w:w="1066" w:type="pct"/>
            <w:shd w:val="clear" w:color="auto" w:fill="auto"/>
          </w:tcPr>
          <w:p w:rsidR="00D407A5" w:rsidRPr="00D407A5" w:rsidRDefault="00D407A5" w:rsidP="00F735BC">
            <w:pPr>
              <w:spacing w:after="40"/>
              <w:jc w:val="both"/>
              <w:rPr>
                <w:rFonts w:asciiTheme="majorHAnsi" w:hAnsiTheme="majorHAnsi" w:cstheme="majorHAnsi"/>
                <w:color w:val="auto"/>
              </w:rPr>
            </w:pPr>
            <w:r w:rsidRPr="00D407A5">
              <w:rPr>
                <w:rFonts w:asciiTheme="majorHAnsi" w:hAnsiTheme="majorHAnsi" w:cstheme="majorHAnsi"/>
                <w:color w:val="auto"/>
              </w:rPr>
              <w:t>Utvrditi polaznu osnovu o broju zaposlenih koji se ocjenjuju shodno unaprijeđenom sistemu</w:t>
            </w:r>
          </w:p>
        </w:tc>
      </w:tr>
      <w:tr w:rsidR="00D407A5" w:rsidRPr="001A6CA9" w:rsidTr="00D407A5">
        <w:tc>
          <w:tcPr>
            <w:tcW w:w="1859" w:type="pct"/>
            <w:gridSpan w:val="2"/>
            <w:shd w:val="clear" w:color="auto" w:fill="auto"/>
          </w:tcPr>
          <w:p w:rsidR="00D407A5" w:rsidRPr="00D407A5" w:rsidRDefault="00D407A5" w:rsidP="00D407A5">
            <w:pPr>
              <w:spacing w:after="40"/>
              <w:rPr>
                <w:rFonts w:asciiTheme="majorHAnsi" w:hAnsiTheme="majorHAnsi" w:cstheme="majorHAnsi"/>
                <w:color w:val="auto"/>
              </w:rPr>
            </w:pPr>
            <w:r w:rsidRPr="00D407A5">
              <w:rPr>
                <w:rFonts w:asciiTheme="majorHAnsi" w:hAnsiTheme="majorHAnsi" w:cstheme="majorHAnsi"/>
                <w:color w:val="auto"/>
              </w:rPr>
              <w:t>Uspostavljanje mehanizma starteškog planiranja obuka</w:t>
            </w:r>
          </w:p>
        </w:tc>
        <w:tc>
          <w:tcPr>
            <w:tcW w:w="1146" w:type="pct"/>
            <w:shd w:val="clear" w:color="auto" w:fill="auto"/>
          </w:tcPr>
          <w:p w:rsidR="00D407A5" w:rsidRPr="00D407A5" w:rsidRDefault="00D407A5" w:rsidP="00D407A5">
            <w:pPr>
              <w:spacing w:after="40"/>
              <w:jc w:val="center"/>
              <w:rPr>
                <w:rFonts w:asciiTheme="majorHAnsi" w:hAnsiTheme="majorHAnsi" w:cstheme="majorHAnsi"/>
                <w:color w:val="auto"/>
              </w:rPr>
            </w:pPr>
            <w:r w:rsidRPr="00D407A5">
              <w:rPr>
                <w:rFonts w:asciiTheme="majorHAnsi" w:hAnsiTheme="majorHAnsi" w:cstheme="majorHAnsi"/>
                <w:color w:val="auto"/>
              </w:rPr>
              <w:t>Državni organi i jedinice lokalne samouprave strateški ne planiraju obuku</w:t>
            </w:r>
          </w:p>
        </w:tc>
        <w:tc>
          <w:tcPr>
            <w:tcW w:w="929" w:type="pct"/>
            <w:shd w:val="clear" w:color="auto" w:fill="auto"/>
          </w:tcPr>
          <w:p w:rsidR="00D407A5" w:rsidRPr="00D407A5" w:rsidRDefault="00D407A5" w:rsidP="00F735BC">
            <w:pPr>
              <w:spacing w:after="40"/>
              <w:jc w:val="both"/>
              <w:rPr>
                <w:rFonts w:asciiTheme="majorHAnsi" w:hAnsiTheme="majorHAnsi" w:cstheme="majorHAnsi"/>
                <w:color w:val="auto"/>
              </w:rPr>
            </w:pPr>
            <w:r w:rsidRPr="00D407A5">
              <w:rPr>
                <w:rFonts w:asciiTheme="majorHAnsi" w:hAnsiTheme="majorHAnsi" w:cstheme="majorHAnsi"/>
                <w:color w:val="auto"/>
              </w:rPr>
              <w:t>50% organa strateski planira obuku</w:t>
            </w:r>
          </w:p>
        </w:tc>
        <w:tc>
          <w:tcPr>
            <w:tcW w:w="1066" w:type="pct"/>
            <w:shd w:val="clear" w:color="auto" w:fill="auto"/>
          </w:tcPr>
          <w:p w:rsidR="00D407A5" w:rsidRPr="00D407A5" w:rsidRDefault="00D407A5" w:rsidP="00F735BC">
            <w:pPr>
              <w:spacing w:after="40"/>
              <w:jc w:val="both"/>
              <w:rPr>
                <w:rFonts w:asciiTheme="majorHAnsi" w:hAnsiTheme="majorHAnsi" w:cstheme="majorHAnsi"/>
                <w:color w:val="auto"/>
              </w:rPr>
            </w:pPr>
            <w:r w:rsidRPr="00D407A5">
              <w:rPr>
                <w:rFonts w:asciiTheme="majorHAnsi" w:hAnsiTheme="majorHAnsi" w:cstheme="majorHAnsi"/>
                <w:color w:val="auto"/>
              </w:rPr>
              <w:t>70% organa strateski planira obuku</w:t>
            </w:r>
          </w:p>
        </w:tc>
      </w:tr>
      <w:tr w:rsidR="00D407A5" w:rsidRPr="001A6CA9" w:rsidTr="00D407A5">
        <w:tc>
          <w:tcPr>
            <w:tcW w:w="1859" w:type="pct"/>
            <w:gridSpan w:val="2"/>
            <w:shd w:val="clear" w:color="auto" w:fill="auto"/>
          </w:tcPr>
          <w:p w:rsidR="00D407A5" w:rsidRPr="00D407A5" w:rsidRDefault="00D407A5" w:rsidP="00D407A5">
            <w:pPr>
              <w:spacing w:after="40"/>
              <w:rPr>
                <w:rFonts w:asciiTheme="majorHAnsi" w:hAnsiTheme="majorHAnsi" w:cstheme="majorHAnsi"/>
                <w:color w:val="auto"/>
              </w:rPr>
            </w:pPr>
            <w:r w:rsidRPr="00D407A5">
              <w:rPr>
                <w:rFonts w:asciiTheme="majorHAnsi" w:hAnsiTheme="majorHAnsi" w:cstheme="majorHAnsi"/>
                <w:color w:val="auto"/>
              </w:rPr>
              <w:t>% novozaposlenih službenika koji su prošli kroz obuku u prvoj godini rada na početnim pozicijama službenih zvanja</w:t>
            </w:r>
          </w:p>
        </w:tc>
        <w:tc>
          <w:tcPr>
            <w:tcW w:w="1146" w:type="pct"/>
            <w:shd w:val="clear" w:color="auto" w:fill="auto"/>
          </w:tcPr>
          <w:p w:rsidR="00D407A5" w:rsidRPr="00D407A5" w:rsidRDefault="00D407A5" w:rsidP="00D407A5">
            <w:pPr>
              <w:spacing w:after="40"/>
              <w:jc w:val="center"/>
              <w:rPr>
                <w:rFonts w:asciiTheme="majorHAnsi" w:hAnsiTheme="majorHAnsi" w:cstheme="majorHAnsi"/>
                <w:color w:val="auto"/>
              </w:rPr>
            </w:pPr>
            <w:r w:rsidRPr="00D407A5">
              <w:rPr>
                <w:rFonts w:asciiTheme="majorHAnsi" w:hAnsiTheme="majorHAnsi" w:cstheme="majorHAnsi"/>
                <w:color w:val="auto"/>
              </w:rPr>
              <w:t>Utvrđen program obuke za novozaposlene</w:t>
            </w:r>
          </w:p>
        </w:tc>
        <w:tc>
          <w:tcPr>
            <w:tcW w:w="929" w:type="pct"/>
            <w:shd w:val="clear" w:color="auto" w:fill="auto"/>
          </w:tcPr>
          <w:p w:rsidR="00D407A5" w:rsidRPr="00D407A5" w:rsidRDefault="00D407A5" w:rsidP="00D407A5">
            <w:pPr>
              <w:spacing w:after="40"/>
              <w:jc w:val="center"/>
              <w:rPr>
                <w:rFonts w:asciiTheme="majorHAnsi" w:hAnsiTheme="majorHAnsi" w:cstheme="majorHAnsi"/>
                <w:color w:val="auto"/>
              </w:rPr>
            </w:pPr>
            <w:r w:rsidRPr="00D407A5">
              <w:rPr>
                <w:rFonts w:asciiTheme="majorHAnsi" w:hAnsiTheme="majorHAnsi" w:cstheme="majorHAnsi"/>
                <w:color w:val="auto"/>
              </w:rPr>
              <w:t>50%</w:t>
            </w:r>
          </w:p>
        </w:tc>
        <w:tc>
          <w:tcPr>
            <w:tcW w:w="1066" w:type="pct"/>
            <w:shd w:val="clear" w:color="auto" w:fill="auto"/>
          </w:tcPr>
          <w:p w:rsidR="00D407A5" w:rsidRPr="00D407A5" w:rsidRDefault="00D407A5" w:rsidP="00D407A5">
            <w:pPr>
              <w:spacing w:after="40"/>
              <w:jc w:val="center"/>
              <w:rPr>
                <w:rFonts w:asciiTheme="majorHAnsi" w:hAnsiTheme="majorHAnsi" w:cstheme="majorHAnsi"/>
                <w:color w:val="auto"/>
              </w:rPr>
            </w:pPr>
            <w:r w:rsidRPr="00D407A5">
              <w:rPr>
                <w:rFonts w:asciiTheme="majorHAnsi" w:hAnsiTheme="majorHAnsi" w:cstheme="majorHAnsi"/>
                <w:color w:val="auto"/>
              </w:rPr>
              <w:t>80%</w:t>
            </w:r>
          </w:p>
        </w:tc>
      </w:tr>
      <w:tr w:rsidR="00D407A5" w:rsidRPr="001A6CA9" w:rsidTr="00D407A5">
        <w:tc>
          <w:tcPr>
            <w:tcW w:w="1859" w:type="pct"/>
            <w:gridSpan w:val="2"/>
            <w:shd w:val="clear" w:color="auto" w:fill="auto"/>
          </w:tcPr>
          <w:p w:rsidR="00D407A5" w:rsidRPr="00D407A5" w:rsidRDefault="00D407A5" w:rsidP="00D407A5">
            <w:pPr>
              <w:spacing w:after="40"/>
              <w:rPr>
                <w:rFonts w:asciiTheme="majorHAnsi" w:hAnsiTheme="majorHAnsi" w:cstheme="majorHAnsi"/>
                <w:color w:val="auto"/>
              </w:rPr>
            </w:pPr>
            <w:r w:rsidRPr="00D407A5">
              <w:rPr>
                <w:rFonts w:asciiTheme="majorHAnsi" w:hAnsiTheme="majorHAnsi" w:cstheme="majorHAnsi"/>
                <w:color w:val="auto"/>
              </w:rPr>
              <w:t>Broj institucija koje mjere zadovoljstvo državnih i lokalnih službenika</w:t>
            </w:r>
          </w:p>
        </w:tc>
        <w:tc>
          <w:tcPr>
            <w:tcW w:w="1146" w:type="pct"/>
            <w:shd w:val="clear" w:color="auto" w:fill="auto"/>
          </w:tcPr>
          <w:p w:rsidR="00D407A5" w:rsidRPr="00D407A5" w:rsidRDefault="00D407A5" w:rsidP="00D407A5">
            <w:pPr>
              <w:spacing w:after="40"/>
              <w:jc w:val="center"/>
              <w:rPr>
                <w:rFonts w:asciiTheme="majorHAnsi" w:hAnsiTheme="majorHAnsi" w:cstheme="majorHAnsi"/>
                <w:color w:val="auto"/>
              </w:rPr>
            </w:pPr>
            <w:r w:rsidRPr="00D407A5">
              <w:rPr>
                <w:rFonts w:asciiTheme="majorHAnsi" w:hAnsiTheme="majorHAnsi" w:cstheme="majorHAnsi"/>
                <w:color w:val="auto"/>
              </w:rPr>
              <w:t>3 institucije</w:t>
            </w:r>
          </w:p>
        </w:tc>
        <w:tc>
          <w:tcPr>
            <w:tcW w:w="929" w:type="pct"/>
            <w:shd w:val="clear" w:color="auto" w:fill="auto"/>
          </w:tcPr>
          <w:p w:rsidR="00D407A5" w:rsidRPr="00D407A5" w:rsidRDefault="00D407A5" w:rsidP="00F735BC">
            <w:pPr>
              <w:spacing w:after="40"/>
              <w:jc w:val="both"/>
              <w:rPr>
                <w:rFonts w:asciiTheme="majorHAnsi" w:hAnsiTheme="majorHAnsi" w:cstheme="majorHAnsi"/>
                <w:color w:val="auto"/>
              </w:rPr>
            </w:pPr>
            <w:r w:rsidRPr="00D407A5">
              <w:rPr>
                <w:rFonts w:asciiTheme="majorHAnsi" w:hAnsiTheme="majorHAnsi" w:cstheme="majorHAnsi"/>
                <w:color w:val="auto"/>
              </w:rPr>
              <w:t>50% organa državne uprave mjeri zadovoljstvo zaposlenih</w:t>
            </w:r>
          </w:p>
        </w:tc>
        <w:tc>
          <w:tcPr>
            <w:tcW w:w="1066" w:type="pct"/>
            <w:shd w:val="clear" w:color="auto" w:fill="auto"/>
          </w:tcPr>
          <w:p w:rsidR="00D407A5" w:rsidRPr="00D407A5" w:rsidRDefault="00D407A5" w:rsidP="00F735BC">
            <w:pPr>
              <w:spacing w:after="40"/>
              <w:jc w:val="both"/>
              <w:rPr>
                <w:rFonts w:asciiTheme="majorHAnsi" w:hAnsiTheme="majorHAnsi" w:cstheme="majorHAnsi"/>
                <w:color w:val="auto"/>
              </w:rPr>
            </w:pPr>
            <w:r w:rsidRPr="00D407A5">
              <w:rPr>
                <w:rFonts w:asciiTheme="majorHAnsi" w:hAnsiTheme="majorHAnsi" w:cstheme="majorHAnsi"/>
                <w:color w:val="auto"/>
              </w:rPr>
              <w:t>70% organa državne uprave</w:t>
            </w:r>
          </w:p>
          <w:p w:rsidR="00D407A5" w:rsidRPr="00D407A5" w:rsidRDefault="00D407A5" w:rsidP="00D407A5">
            <w:pPr>
              <w:spacing w:after="40"/>
              <w:jc w:val="center"/>
              <w:rPr>
                <w:rFonts w:asciiTheme="majorHAnsi" w:hAnsiTheme="majorHAnsi" w:cstheme="majorHAnsi"/>
                <w:color w:val="auto"/>
              </w:rPr>
            </w:pPr>
            <w:r w:rsidRPr="00D407A5">
              <w:rPr>
                <w:rFonts w:asciiTheme="majorHAnsi" w:hAnsiTheme="majorHAnsi" w:cstheme="majorHAnsi"/>
                <w:color w:val="auto"/>
              </w:rPr>
              <w:t>40% JLS</w:t>
            </w:r>
          </w:p>
        </w:tc>
      </w:tr>
    </w:tbl>
    <w:p w:rsidR="00CB681C" w:rsidRDefault="00CB681C" w:rsidP="00985023">
      <w:pPr>
        <w:pStyle w:val="Heading4"/>
        <w:spacing w:before="0" w:line="240" w:lineRule="auto"/>
        <w:ind w:right="-450"/>
        <w:jc w:val="both"/>
        <w:rPr>
          <w:rFonts w:eastAsiaTheme="minorHAnsi" w:cstheme="majorHAnsi"/>
          <w:b w:val="0"/>
          <w:bCs w:val="0"/>
          <w:i w:val="0"/>
          <w:iCs w:val="0"/>
          <w:color w:val="002060"/>
          <w:sz w:val="24"/>
          <w:szCs w:val="24"/>
        </w:rPr>
      </w:pPr>
    </w:p>
    <w:p w:rsidR="00677F87" w:rsidRPr="00CB681C" w:rsidRDefault="00677F87" w:rsidP="00CB681C">
      <w:pPr>
        <w:pStyle w:val="Heading4"/>
        <w:spacing w:before="60" w:after="60" w:line="240" w:lineRule="auto"/>
        <w:ind w:right="-450"/>
        <w:jc w:val="both"/>
        <w:rPr>
          <w:rFonts w:eastAsia="Times New Roman" w:cstheme="majorHAnsi"/>
          <w:b w:val="0"/>
          <w:i w:val="0"/>
          <w:color w:val="auto"/>
          <w:kern w:val="0"/>
          <w:sz w:val="24"/>
          <w:szCs w:val="24"/>
          <w:lang w:eastAsia="en-US"/>
        </w:rPr>
      </w:pPr>
      <w:r w:rsidRPr="00CB681C">
        <w:rPr>
          <w:rFonts w:eastAsia="Times New Roman" w:cstheme="majorHAnsi"/>
          <w:color w:val="auto"/>
          <w:kern w:val="0"/>
          <w:sz w:val="24"/>
          <w:szCs w:val="24"/>
          <w:lang w:eastAsia="en-US"/>
        </w:rPr>
        <w:t>OPERATIVNI CILJ 3.3</w:t>
      </w:r>
      <w:r w:rsidR="00B027E2" w:rsidRPr="00CB681C">
        <w:rPr>
          <w:rFonts w:eastAsia="Times New Roman" w:cstheme="majorHAnsi"/>
          <w:color w:val="auto"/>
          <w:kern w:val="0"/>
          <w:sz w:val="24"/>
          <w:szCs w:val="24"/>
          <w:lang w:eastAsia="en-US"/>
        </w:rPr>
        <w:t>.</w:t>
      </w:r>
      <w:r w:rsidR="00306BB7" w:rsidRPr="00CB681C">
        <w:rPr>
          <w:rFonts w:eastAsia="Times New Roman" w:cstheme="majorHAnsi"/>
          <w:i w:val="0"/>
          <w:color w:val="auto"/>
          <w:kern w:val="0"/>
          <w:sz w:val="24"/>
          <w:szCs w:val="24"/>
          <w:lang w:eastAsia="en-US"/>
        </w:rPr>
        <w:t xml:space="preserve"> </w:t>
      </w:r>
      <w:r w:rsidR="00045694" w:rsidRPr="00CB681C">
        <w:rPr>
          <w:rFonts w:eastAsia="Times New Roman" w:cstheme="majorHAnsi"/>
          <w:i w:val="0"/>
          <w:color w:val="auto"/>
          <w:kern w:val="0"/>
          <w:sz w:val="24"/>
          <w:szCs w:val="24"/>
          <w:lang w:eastAsia="en-US"/>
        </w:rPr>
        <w:t xml:space="preserve">Optimalna i efikasna javna </w:t>
      </w:r>
      <w:r w:rsidR="00E670ED" w:rsidRPr="00CB681C">
        <w:rPr>
          <w:rFonts w:eastAsia="Times New Roman" w:cstheme="majorHAnsi"/>
          <w:i w:val="0"/>
          <w:color w:val="auto"/>
          <w:kern w:val="0"/>
          <w:sz w:val="24"/>
          <w:szCs w:val="24"/>
          <w:lang w:eastAsia="en-US"/>
        </w:rPr>
        <w:t>administracija</w:t>
      </w:r>
    </w:p>
    <w:p w:rsidR="008F5779" w:rsidRPr="00CB681C" w:rsidRDefault="007054A2" w:rsidP="00CB681C">
      <w:pPr>
        <w:spacing w:before="60" w:after="60" w:line="240" w:lineRule="auto"/>
        <w:ind w:right="-547"/>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Potrebno je unaprijediti organizaciono funkcionisanje i poboljšati efikasnost rada organa i javne uprave u cjelini, a prvi korak predstavlja mapiranje procesa za kompletnu javnu upravu, kao i na nivou organa – </w:t>
      </w:r>
      <w:r w:rsidRPr="00CB681C">
        <w:rPr>
          <w:rFonts w:asciiTheme="majorHAnsi" w:hAnsiTheme="majorHAnsi" w:cstheme="majorHAnsi"/>
          <w:color w:val="auto"/>
          <w:sz w:val="24"/>
          <w:szCs w:val="24"/>
        </w:rPr>
        <w:lastRenderedPageBreak/>
        <w:t xml:space="preserve">kroz izradu </w:t>
      </w:r>
      <w:r w:rsidRPr="00CB681C">
        <w:rPr>
          <w:rFonts w:asciiTheme="majorHAnsi" w:hAnsiTheme="majorHAnsi" w:cstheme="majorHAnsi"/>
          <w:b/>
          <w:color w:val="auto"/>
          <w:sz w:val="24"/>
          <w:szCs w:val="24"/>
        </w:rPr>
        <w:t>funkcionalnih analiza, što će doprinijeti i optimizaciji procesa unutar organa</w:t>
      </w:r>
      <w:r w:rsidRPr="00CB681C">
        <w:rPr>
          <w:rFonts w:asciiTheme="majorHAnsi" w:hAnsiTheme="majorHAnsi" w:cstheme="majorHAnsi"/>
          <w:color w:val="auto"/>
          <w:sz w:val="24"/>
          <w:szCs w:val="24"/>
        </w:rPr>
        <w:t>. Kroz sprovođenje funkcionalnih analiza, potrebno je jasno mapirati procese rada i nadležnosti u institucijama, sagledati broj zaposlenih i nivo opterećenosti na nivou organa, organizacionih jedinica i na nivou svakog zaposlenog, s posebnim osvrtom na sektore obrazovanja i zdravstva.</w:t>
      </w:r>
    </w:p>
    <w:p w:rsidR="000553E1" w:rsidRPr="00CB681C" w:rsidRDefault="007054A2" w:rsidP="00CB681C">
      <w:pPr>
        <w:spacing w:before="60" w:after="60" w:line="240" w:lineRule="auto"/>
        <w:ind w:right="-547"/>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Potrebno je </w:t>
      </w:r>
      <w:r w:rsidRPr="00CB681C">
        <w:rPr>
          <w:rFonts w:asciiTheme="majorHAnsi" w:hAnsiTheme="majorHAnsi" w:cstheme="majorHAnsi"/>
          <w:b/>
          <w:color w:val="auto"/>
          <w:sz w:val="24"/>
          <w:szCs w:val="24"/>
        </w:rPr>
        <w:t xml:space="preserve">izmjeniti </w:t>
      </w:r>
      <w:r w:rsidR="000553E1" w:rsidRPr="00CB681C">
        <w:rPr>
          <w:rFonts w:asciiTheme="majorHAnsi" w:hAnsiTheme="majorHAnsi" w:cstheme="majorHAnsi"/>
          <w:b/>
          <w:color w:val="auto"/>
          <w:sz w:val="24"/>
          <w:szCs w:val="24"/>
        </w:rPr>
        <w:t>normativni okvir</w:t>
      </w:r>
      <w:r w:rsidR="000553E1" w:rsidRPr="00CB681C">
        <w:rPr>
          <w:rFonts w:asciiTheme="majorHAnsi" w:hAnsiTheme="majorHAnsi" w:cstheme="majorHAnsi"/>
          <w:color w:val="auto"/>
          <w:sz w:val="24"/>
          <w:szCs w:val="24"/>
        </w:rPr>
        <w:t xml:space="preserve"> i to </w:t>
      </w:r>
      <w:r w:rsidRPr="00CB681C">
        <w:rPr>
          <w:rFonts w:asciiTheme="majorHAnsi" w:hAnsiTheme="majorHAnsi" w:cstheme="majorHAnsi"/>
          <w:color w:val="auto"/>
          <w:sz w:val="24"/>
          <w:szCs w:val="24"/>
        </w:rPr>
        <w:t>Z</w:t>
      </w:r>
      <w:r w:rsidR="000553E1" w:rsidRPr="00CB681C">
        <w:rPr>
          <w:rFonts w:asciiTheme="majorHAnsi" w:hAnsiTheme="majorHAnsi" w:cstheme="majorHAnsi"/>
          <w:color w:val="auto"/>
          <w:sz w:val="24"/>
          <w:szCs w:val="24"/>
        </w:rPr>
        <w:t xml:space="preserve">akon o </w:t>
      </w:r>
      <w:r w:rsidRPr="00CB681C">
        <w:rPr>
          <w:rFonts w:asciiTheme="majorHAnsi" w:hAnsiTheme="majorHAnsi" w:cstheme="majorHAnsi"/>
          <w:color w:val="auto"/>
          <w:sz w:val="24"/>
          <w:szCs w:val="24"/>
        </w:rPr>
        <w:t xml:space="preserve">radu, radi uspostavljanja </w:t>
      </w:r>
      <w:r w:rsidR="000553E1" w:rsidRPr="00CB681C">
        <w:rPr>
          <w:rFonts w:asciiTheme="majorHAnsi" w:hAnsiTheme="majorHAnsi" w:cstheme="majorHAnsi"/>
          <w:color w:val="auto"/>
          <w:sz w:val="24"/>
          <w:szCs w:val="24"/>
        </w:rPr>
        <w:t>k</w:t>
      </w:r>
      <w:r w:rsidRPr="00CB681C">
        <w:rPr>
          <w:rFonts w:asciiTheme="majorHAnsi" w:hAnsiTheme="majorHAnsi" w:cstheme="majorHAnsi"/>
          <w:color w:val="auto"/>
          <w:sz w:val="24"/>
          <w:szCs w:val="24"/>
        </w:rPr>
        <w:t>adrovskog planiranja</w:t>
      </w:r>
      <w:r w:rsidR="004D0FCB" w:rsidRPr="00CB681C">
        <w:rPr>
          <w:rFonts w:asciiTheme="majorHAnsi" w:hAnsiTheme="majorHAnsi" w:cstheme="majorHAnsi"/>
          <w:color w:val="auto"/>
          <w:sz w:val="24"/>
          <w:szCs w:val="24"/>
        </w:rPr>
        <w:t xml:space="preserve"> za sve</w:t>
      </w:r>
      <w:r w:rsidRPr="00CB681C">
        <w:rPr>
          <w:rFonts w:asciiTheme="majorHAnsi" w:hAnsiTheme="majorHAnsi" w:cstheme="majorHAnsi"/>
          <w:color w:val="auto"/>
          <w:sz w:val="24"/>
          <w:szCs w:val="24"/>
        </w:rPr>
        <w:t xml:space="preserve"> institucij</w:t>
      </w:r>
      <w:r w:rsidR="004D0FCB" w:rsidRPr="00CB681C">
        <w:rPr>
          <w:rFonts w:asciiTheme="majorHAnsi" w:hAnsiTheme="majorHAnsi" w:cstheme="majorHAnsi"/>
          <w:color w:val="auto"/>
          <w:sz w:val="24"/>
          <w:szCs w:val="24"/>
        </w:rPr>
        <w:t>e i zaposlene</w:t>
      </w:r>
      <w:r w:rsidRPr="00CB681C">
        <w:rPr>
          <w:rFonts w:asciiTheme="majorHAnsi" w:hAnsiTheme="majorHAnsi" w:cstheme="majorHAnsi"/>
          <w:color w:val="auto"/>
          <w:sz w:val="24"/>
          <w:szCs w:val="24"/>
        </w:rPr>
        <w:t xml:space="preserve"> koj</w:t>
      </w:r>
      <w:r w:rsidR="004D0FCB" w:rsidRPr="00CB681C">
        <w:rPr>
          <w:rFonts w:asciiTheme="majorHAnsi" w:hAnsiTheme="majorHAnsi" w:cstheme="majorHAnsi"/>
          <w:color w:val="auto"/>
          <w:sz w:val="24"/>
          <w:szCs w:val="24"/>
        </w:rPr>
        <w:t>i</w:t>
      </w:r>
      <w:r w:rsidRPr="00CB681C">
        <w:rPr>
          <w:rFonts w:asciiTheme="majorHAnsi" w:hAnsiTheme="majorHAnsi" w:cstheme="majorHAnsi"/>
          <w:color w:val="auto"/>
          <w:sz w:val="24"/>
          <w:szCs w:val="24"/>
        </w:rPr>
        <w:t xml:space="preserve"> se finansiraju iz Budžeta</w:t>
      </w:r>
      <w:r w:rsidR="000553E1" w:rsidRPr="00CB681C">
        <w:rPr>
          <w:rFonts w:asciiTheme="majorHAnsi" w:hAnsiTheme="majorHAnsi" w:cstheme="majorHAnsi"/>
          <w:color w:val="auto"/>
          <w:sz w:val="24"/>
          <w:szCs w:val="24"/>
        </w:rPr>
        <w:t xml:space="preserve"> (kontrola zapošljavanja u institucijama u kojima se primjenjuje Zakon o radu), kao i Zakona o porezu na dohodak fizičkih lica kako bi se povećala poreska stopa na ugovore o dijelu kao destimulirajuća mjera. Dodatno je potrebno izmjeniti zakon i podzakonska akta kojima se reguliše sistem zarada u javnom sektoru u dijelu mjerenja učinka rada zaposlenih i definisanja efikasnijeg mehanizma između razultata rada zaposlenih i nagrađivanja; uspostavljanja </w:t>
      </w:r>
      <w:r w:rsidR="000553E1" w:rsidRPr="00CB681C">
        <w:rPr>
          <w:rFonts w:asciiTheme="majorHAnsi" w:hAnsiTheme="majorHAnsi" w:cstheme="majorHAnsi"/>
          <w:b/>
          <w:color w:val="auto"/>
          <w:sz w:val="24"/>
          <w:szCs w:val="24"/>
        </w:rPr>
        <w:t xml:space="preserve">obaveznosti vođenja </w:t>
      </w:r>
      <w:r w:rsidR="000862CF" w:rsidRPr="00CB681C">
        <w:rPr>
          <w:rFonts w:asciiTheme="majorHAnsi" w:hAnsiTheme="majorHAnsi" w:cstheme="majorHAnsi"/>
          <w:b/>
          <w:color w:val="auto"/>
          <w:sz w:val="24"/>
          <w:szCs w:val="24"/>
        </w:rPr>
        <w:t xml:space="preserve">elektronske </w:t>
      </w:r>
      <w:r w:rsidR="000553E1" w:rsidRPr="00CB681C">
        <w:rPr>
          <w:rFonts w:asciiTheme="majorHAnsi" w:hAnsiTheme="majorHAnsi" w:cstheme="majorHAnsi"/>
          <w:b/>
          <w:color w:val="auto"/>
          <w:sz w:val="24"/>
          <w:szCs w:val="24"/>
        </w:rPr>
        <w:t>jedinstvene evidencije o broju zaposlenih u javnoj upravi koji se finansiraju iz Budžeta</w:t>
      </w:r>
      <w:r w:rsidR="000553E1" w:rsidRPr="00CB681C">
        <w:rPr>
          <w:rFonts w:asciiTheme="majorHAnsi" w:hAnsiTheme="majorHAnsi" w:cstheme="majorHAnsi"/>
          <w:color w:val="auto"/>
          <w:sz w:val="24"/>
          <w:szCs w:val="24"/>
        </w:rPr>
        <w:t>,</w:t>
      </w:r>
      <w:r w:rsidR="004D0FCB" w:rsidRPr="00CB681C">
        <w:rPr>
          <w:rFonts w:asciiTheme="majorHAnsi" w:hAnsiTheme="majorHAnsi" w:cstheme="majorHAnsi"/>
          <w:color w:val="auto"/>
          <w:sz w:val="24"/>
          <w:szCs w:val="24"/>
        </w:rPr>
        <w:t xml:space="preserve"> kao i sistema centralizovanog obračuna zarada za sve zaposlene koji se finansiraju iz budžeta,</w:t>
      </w:r>
      <w:r w:rsidR="000553E1" w:rsidRPr="00CB681C">
        <w:rPr>
          <w:rFonts w:asciiTheme="majorHAnsi" w:hAnsiTheme="majorHAnsi" w:cstheme="majorHAnsi"/>
          <w:color w:val="auto"/>
          <w:sz w:val="24"/>
          <w:szCs w:val="24"/>
        </w:rPr>
        <w:t xml:space="preserve"> stvaranje pravnog osnova za sporazumni prestanak radnog odnosa i tehnološkog viška uz otpremnine.</w:t>
      </w:r>
      <w:r w:rsidR="004D0FCB" w:rsidRPr="00CB681C">
        <w:rPr>
          <w:rFonts w:asciiTheme="majorHAnsi" w:hAnsiTheme="majorHAnsi" w:cstheme="majorHAnsi"/>
          <w:color w:val="auto"/>
          <w:sz w:val="24"/>
          <w:szCs w:val="24"/>
        </w:rPr>
        <w:t xml:space="preserve"> </w:t>
      </w:r>
    </w:p>
    <w:p w:rsidR="00B027E2" w:rsidRPr="00CB681C" w:rsidRDefault="000553E1" w:rsidP="00CB681C">
      <w:pPr>
        <w:spacing w:before="60" w:after="60" w:line="240" w:lineRule="auto"/>
        <w:ind w:right="-547"/>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Cilj je,</w:t>
      </w:r>
      <w:r w:rsidR="004D0FCB" w:rsidRPr="00CB681C">
        <w:rPr>
          <w:rFonts w:asciiTheme="majorHAnsi" w:hAnsiTheme="majorHAnsi" w:cstheme="majorHAnsi"/>
          <w:color w:val="auto"/>
          <w:sz w:val="24"/>
          <w:szCs w:val="24"/>
        </w:rPr>
        <w:t xml:space="preserve"> da se nakon izvršenih funkcionalnih analiza u cijelom sistemu javne uprave, </w:t>
      </w:r>
      <w:r w:rsidR="00E31955" w:rsidRPr="00CB681C">
        <w:rPr>
          <w:rFonts w:asciiTheme="majorHAnsi" w:hAnsiTheme="majorHAnsi" w:cstheme="majorHAnsi"/>
          <w:color w:val="auto"/>
          <w:sz w:val="24"/>
          <w:szCs w:val="24"/>
        </w:rPr>
        <w:t xml:space="preserve">koje će identifikovati procese rade, broj zaposlenih, efikasnost rada( posebno u sektorima gdje je najveći broj zapsolenih) izvrše organizacione, kadrovske i funkcionalne izmjene i stvore uslovi da javna uprava bude optimalna i u odnsou na broj  zaposlenih, i u odnosu na efikasnost u pružanju usluga. </w:t>
      </w:r>
    </w:p>
    <w:tbl>
      <w:tblPr>
        <w:tblStyle w:val="TableGrid"/>
        <w:tblW w:w="5289"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83"/>
        <w:gridCol w:w="2259"/>
        <w:gridCol w:w="1622"/>
        <w:gridCol w:w="1785"/>
        <w:gridCol w:w="2237"/>
      </w:tblGrid>
      <w:tr w:rsidR="00AC188A" w:rsidRPr="001A6CA9" w:rsidTr="00B027E2">
        <w:tc>
          <w:tcPr>
            <w:tcW w:w="1043" w:type="pct"/>
            <w:shd w:val="clear" w:color="auto" w:fill="DFE4E5" w:themeFill="accent5" w:themeFillTint="33"/>
            <w:vAlign w:val="center"/>
          </w:tcPr>
          <w:p w:rsidR="00B027E2" w:rsidRPr="00253588" w:rsidRDefault="00B027E2">
            <w:pPr>
              <w:spacing w:after="40"/>
              <w:rPr>
                <w:rFonts w:asciiTheme="majorHAnsi" w:hAnsiTheme="majorHAnsi" w:cstheme="majorHAnsi"/>
                <w:b/>
                <w:color w:val="3A4B5B" w:themeColor="accent1" w:themeShade="80"/>
              </w:rPr>
            </w:pPr>
            <w:r w:rsidRPr="00253588">
              <w:rPr>
                <w:rFonts w:asciiTheme="majorHAnsi" w:hAnsiTheme="majorHAnsi" w:cstheme="majorHAnsi"/>
                <w:b/>
                <w:color w:val="3A4B5B" w:themeColor="accent1" w:themeShade="80"/>
              </w:rPr>
              <w:t>OPERATIVNI CILJ 3.3</w:t>
            </w:r>
            <w:r w:rsidR="001A6CA9" w:rsidRPr="00253588">
              <w:rPr>
                <w:rFonts w:asciiTheme="majorHAnsi" w:hAnsiTheme="majorHAnsi" w:cstheme="majorHAnsi"/>
                <w:b/>
                <w:color w:val="3A4B5B" w:themeColor="accent1" w:themeShade="80"/>
              </w:rPr>
              <w:t>.</w:t>
            </w:r>
          </w:p>
        </w:tc>
        <w:tc>
          <w:tcPr>
            <w:tcW w:w="3957" w:type="pct"/>
            <w:gridSpan w:val="4"/>
            <w:shd w:val="clear" w:color="auto" w:fill="DFE4E5" w:themeFill="accent5" w:themeFillTint="33"/>
            <w:vAlign w:val="center"/>
          </w:tcPr>
          <w:p w:rsidR="00B027E2" w:rsidRPr="00253588" w:rsidRDefault="00B027E2">
            <w:pPr>
              <w:spacing w:after="40"/>
              <w:rPr>
                <w:rFonts w:asciiTheme="majorHAnsi" w:hAnsiTheme="majorHAnsi" w:cstheme="majorHAnsi"/>
                <w:b/>
                <w:color w:val="3A4B5B" w:themeColor="accent1" w:themeShade="80"/>
              </w:rPr>
            </w:pPr>
            <w:r w:rsidRPr="00253588">
              <w:rPr>
                <w:rFonts w:asciiTheme="majorHAnsi" w:hAnsiTheme="majorHAnsi" w:cstheme="majorHAnsi"/>
                <w:b/>
                <w:color w:val="3A4B5B" w:themeColor="accent1" w:themeShade="80"/>
              </w:rPr>
              <w:t xml:space="preserve">Optimalna i efikasna javna administracija  </w:t>
            </w:r>
          </w:p>
        </w:tc>
      </w:tr>
      <w:tr w:rsidR="00AC188A" w:rsidRPr="001A6CA9" w:rsidTr="00D407A5">
        <w:tc>
          <w:tcPr>
            <w:tcW w:w="2174" w:type="pct"/>
            <w:gridSpan w:val="2"/>
            <w:shd w:val="clear" w:color="auto" w:fill="DAF2F6"/>
            <w:vAlign w:val="center"/>
          </w:tcPr>
          <w:p w:rsidR="00B027E2" w:rsidRPr="001972E9" w:rsidRDefault="00B027E2" w:rsidP="007E14C5">
            <w:pPr>
              <w:spacing w:after="40"/>
              <w:rPr>
                <w:rFonts w:asciiTheme="majorHAnsi" w:hAnsiTheme="majorHAnsi" w:cstheme="majorHAnsi"/>
                <w:b/>
                <w:color w:val="3A4B5B" w:themeColor="accent1" w:themeShade="80"/>
                <w:sz w:val="18"/>
                <w:szCs w:val="18"/>
              </w:rPr>
            </w:pPr>
            <w:r w:rsidRPr="001972E9">
              <w:rPr>
                <w:rFonts w:asciiTheme="majorHAnsi" w:hAnsiTheme="majorHAnsi" w:cstheme="majorHAnsi"/>
                <w:b/>
                <w:color w:val="3A4B5B" w:themeColor="accent1" w:themeShade="80"/>
                <w:sz w:val="18"/>
                <w:szCs w:val="18"/>
              </w:rPr>
              <w:t>Indikator</w:t>
            </w:r>
          </w:p>
        </w:tc>
        <w:tc>
          <w:tcPr>
            <w:tcW w:w="812" w:type="pct"/>
            <w:shd w:val="clear" w:color="auto" w:fill="DAF2F6"/>
            <w:vAlign w:val="center"/>
          </w:tcPr>
          <w:p w:rsidR="00B027E2" w:rsidRPr="001972E9" w:rsidRDefault="00B027E2" w:rsidP="007E14C5">
            <w:pPr>
              <w:spacing w:after="40"/>
              <w:rPr>
                <w:rFonts w:asciiTheme="majorHAnsi" w:hAnsiTheme="majorHAnsi" w:cstheme="majorHAnsi"/>
                <w:b/>
                <w:color w:val="3A4B5B" w:themeColor="accent1" w:themeShade="80"/>
                <w:sz w:val="18"/>
                <w:szCs w:val="18"/>
              </w:rPr>
            </w:pPr>
            <w:r w:rsidRPr="001972E9">
              <w:rPr>
                <w:rFonts w:asciiTheme="majorHAnsi" w:hAnsiTheme="majorHAnsi" w:cstheme="majorHAnsi"/>
                <w:b/>
                <w:color w:val="3A4B5B" w:themeColor="accent1" w:themeShade="80"/>
                <w:sz w:val="18"/>
                <w:szCs w:val="18"/>
              </w:rPr>
              <w:t>Početna vrijednost</w:t>
            </w:r>
          </w:p>
        </w:tc>
        <w:tc>
          <w:tcPr>
            <w:tcW w:w="894" w:type="pct"/>
            <w:shd w:val="clear" w:color="auto" w:fill="DAF2F6"/>
            <w:vAlign w:val="center"/>
          </w:tcPr>
          <w:p w:rsidR="00B027E2" w:rsidRPr="001972E9" w:rsidRDefault="00B027E2" w:rsidP="007E14C5">
            <w:pPr>
              <w:spacing w:after="40"/>
              <w:rPr>
                <w:rFonts w:asciiTheme="majorHAnsi" w:hAnsiTheme="majorHAnsi" w:cstheme="majorHAnsi"/>
                <w:b/>
                <w:color w:val="3A4B5B" w:themeColor="accent1" w:themeShade="80"/>
                <w:sz w:val="18"/>
                <w:szCs w:val="18"/>
              </w:rPr>
            </w:pPr>
            <w:r w:rsidRPr="001972E9">
              <w:rPr>
                <w:rFonts w:asciiTheme="majorHAnsi" w:hAnsiTheme="majorHAnsi" w:cstheme="majorHAnsi"/>
                <w:b/>
                <w:color w:val="3A4B5B" w:themeColor="accent1" w:themeShade="80"/>
                <w:sz w:val="18"/>
                <w:szCs w:val="18"/>
              </w:rPr>
              <w:t>Ciljana vrijednost do 2024.</w:t>
            </w:r>
          </w:p>
        </w:tc>
        <w:tc>
          <w:tcPr>
            <w:tcW w:w="1120" w:type="pct"/>
            <w:shd w:val="clear" w:color="auto" w:fill="DAF2F6"/>
            <w:vAlign w:val="center"/>
          </w:tcPr>
          <w:p w:rsidR="00B027E2" w:rsidRPr="001972E9" w:rsidRDefault="00B027E2" w:rsidP="007E14C5">
            <w:pPr>
              <w:spacing w:after="40"/>
              <w:rPr>
                <w:rFonts w:asciiTheme="majorHAnsi" w:hAnsiTheme="majorHAnsi" w:cstheme="majorHAnsi"/>
                <w:b/>
                <w:color w:val="3A4B5B" w:themeColor="accent1" w:themeShade="80"/>
                <w:sz w:val="18"/>
                <w:szCs w:val="18"/>
              </w:rPr>
            </w:pPr>
            <w:r w:rsidRPr="001972E9">
              <w:rPr>
                <w:rFonts w:asciiTheme="majorHAnsi" w:hAnsiTheme="majorHAnsi" w:cstheme="majorHAnsi"/>
                <w:b/>
                <w:color w:val="3A4B5B" w:themeColor="accent1" w:themeShade="80"/>
                <w:sz w:val="18"/>
                <w:szCs w:val="18"/>
              </w:rPr>
              <w:t>Ciljana vrijednost u 2026.</w:t>
            </w:r>
          </w:p>
        </w:tc>
      </w:tr>
      <w:tr w:rsidR="00D407A5" w:rsidRPr="001A6CA9" w:rsidTr="00997D8C">
        <w:tc>
          <w:tcPr>
            <w:tcW w:w="2174" w:type="pct"/>
            <w:gridSpan w:val="2"/>
            <w:shd w:val="clear" w:color="auto" w:fill="auto"/>
          </w:tcPr>
          <w:p w:rsidR="00D407A5" w:rsidRPr="00997D8C" w:rsidRDefault="00D407A5" w:rsidP="00D407A5">
            <w:pPr>
              <w:spacing w:after="40"/>
              <w:rPr>
                <w:rFonts w:asciiTheme="majorHAnsi" w:hAnsiTheme="majorHAnsi" w:cstheme="majorHAnsi"/>
                <w:color w:val="auto"/>
              </w:rPr>
            </w:pPr>
            <w:r w:rsidRPr="00997D8C">
              <w:rPr>
                <w:rFonts w:asciiTheme="majorHAnsi" w:hAnsiTheme="majorHAnsi" w:cstheme="majorHAnsi"/>
                <w:color w:val="auto"/>
              </w:rPr>
              <w:t>Broj institucija/sektora sa izmijenjenom organizacionom i funkcionalnom sturkturom na osnovu preporuka funkcionalnih analiza</w:t>
            </w:r>
          </w:p>
        </w:tc>
        <w:tc>
          <w:tcPr>
            <w:tcW w:w="812" w:type="pct"/>
            <w:shd w:val="clear" w:color="auto" w:fill="auto"/>
            <w:vAlign w:val="center"/>
          </w:tcPr>
          <w:p w:rsidR="00D407A5" w:rsidRPr="00997D8C" w:rsidRDefault="00D407A5" w:rsidP="00997D8C">
            <w:pPr>
              <w:spacing w:after="40"/>
              <w:jc w:val="center"/>
              <w:rPr>
                <w:rFonts w:asciiTheme="majorHAnsi" w:hAnsiTheme="majorHAnsi" w:cstheme="majorHAnsi"/>
                <w:color w:val="auto"/>
              </w:rPr>
            </w:pPr>
            <w:r w:rsidRPr="00997D8C">
              <w:rPr>
                <w:rFonts w:asciiTheme="majorHAnsi" w:hAnsiTheme="majorHAnsi" w:cstheme="majorHAnsi"/>
                <w:color w:val="auto"/>
              </w:rPr>
              <w:t>0</w:t>
            </w:r>
          </w:p>
        </w:tc>
        <w:tc>
          <w:tcPr>
            <w:tcW w:w="894" w:type="pct"/>
            <w:shd w:val="clear" w:color="auto" w:fill="auto"/>
            <w:vAlign w:val="center"/>
          </w:tcPr>
          <w:p w:rsidR="00D407A5" w:rsidRPr="00997D8C" w:rsidRDefault="00D407A5" w:rsidP="00997D8C">
            <w:pPr>
              <w:spacing w:after="40"/>
              <w:jc w:val="center"/>
              <w:rPr>
                <w:rFonts w:asciiTheme="majorHAnsi" w:hAnsiTheme="majorHAnsi" w:cstheme="majorHAnsi"/>
                <w:color w:val="auto"/>
              </w:rPr>
            </w:pPr>
            <w:r w:rsidRPr="00997D8C">
              <w:rPr>
                <w:rFonts w:asciiTheme="majorHAnsi" w:hAnsiTheme="majorHAnsi" w:cstheme="majorHAnsi"/>
                <w:color w:val="auto"/>
              </w:rPr>
              <w:t>Vrijednost će biti uspostavljena nakon izrađenih funkcionalnih analiza</w:t>
            </w:r>
          </w:p>
        </w:tc>
        <w:tc>
          <w:tcPr>
            <w:tcW w:w="1120" w:type="pct"/>
            <w:shd w:val="clear" w:color="auto" w:fill="auto"/>
            <w:vAlign w:val="center"/>
          </w:tcPr>
          <w:p w:rsidR="00D407A5" w:rsidRPr="00997D8C" w:rsidRDefault="00D407A5" w:rsidP="00997D8C">
            <w:pPr>
              <w:spacing w:after="40"/>
              <w:jc w:val="center"/>
              <w:rPr>
                <w:rFonts w:asciiTheme="majorHAnsi" w:hAnsiTheme="majorHAnsi" w:cstheme="majorHAnsi"/>
                <w:color w:val="auto"/>
              </w:rPr>
            </w:pPr>
            <w:r w:rsidRPr="00997D8C">
              <w:rPr>
                <w:rFonts w:asciiTheme="majorHAnsi" w:hAnsiTheme="majorHAnsi" w:cstheme="majorHAnsi"/>
                <w:color w:val="auto"/>
              </w:rPr>
              <w:t>Vrijednost će biti uspostavljena nakon izrađenih funkcionalnih analiza</w:t>
            </w:r>
          </w:p>
        </w:tc>
      </w:tr>
      <w:tr w:rsidR="00D407A5" w:rsidRPr="001A6CA9" w:rsidTr="00997D8C">
        <w:tc>
          <w:tcPr>
            <w:tcW w:w="2174" w:type="pct"/>
            <w:gridSpan w:val="2"/>
            <w:shd w:val="clear" w:color="auto" w:fill="auto"/>
          </w:tcPr>
          <w:p w:rsidR="00D407A5" w:rsidRPr="00997D8C" w:rsidRDefault="00D407A5" w:rsidP="00D407A5">
            <w:pPr>
              <w:spacing w:after="40"/>
              <w:rPr>
                <w:rFonts w:asciiTheme="majorHAnsi" w:hAnsiTheme="majorHAnsi" w:cstheme="majorHAnsi"/>
                <w:color w:val="auto"/>
              </w:rPr>
            </w:pPr>
            <w:r w:rsidRPr="00997D8C">
              <w:rPr>
                <w:rFonts w:asciiTheme="majorHAnsi" w:hAnsiTheme="majorHAnsi" w:cstheme="majorHAnsi"/>
                <w:color w:val="auto"/>
              </w:rPr>
              <w:t>Participacije zaposlenih u javnoj upravi u ukupnoj zaposlenosti</w:t>
            </w:r>
          </w:p>
        </w:tc>
        <w:tc>
          <w:tcPr>
            <w:tcW w:w="812" w:type="pct"/>
            <w:shd w:val="clear" w:color="auto" w:fill="auto"/>
          </w:tcPr>
          <w:p w:rsidR="00D407A5" w:rsidRPr="00997D8C" w:rsidRDefault="00C00385" w:rsidP="00997D8C">
            <w:pPr>
              <w:spacing w:after="40"/>
              <w:ind w:right="144"/>
              <w:jc w:val="center"/>
              <w:rPr>
                <w:rFonts w:asciiTheme="majorHAnsi" w:hAnsiTheme="majorHAnsi" w:cstheme="majorHAnsi"/>
                <w:color w:val="auto"/>
              </w:rPr>
            </w:pPr>
            <w:r>
              <w:rPr>
                <w:rFonts w:asciiTheme="majorHAnsi" w:hAnsiTheme="majorHAnsi" w:cstheme="majorHAnsi"/>
                <w:color w:val="auto"/>
              </w:rPr>
              <w:t>32%</w:t>
            </w:r>
          </w:p>
        </w:tc>
        <w:tc>
          <w:tcPr>
            <w:tcW w:w="894" w:type="pct"/>
            <w:shd w:val="clear" w:color="auto" w:fill="auto"/>
          </w:tcPr>
          <w:p w:rsidR="00D407A5" w:rsidRPr="00997D8C" w:rsidRDefault="00D407A5" w:rsidP="00997D8C">
            <w:pPr>
              <w:spacing w:after="40"/>
              <w:ind w:right="144"/>
              <w:jc w:val="center"/>
              <w:rPr>
                <w:rFonts w:asciiTheme="majorHAnsi" w:hAnsiTheme="majorHAnsi" w:cstheme="majorHAnsi"/>
                <w:color w:val="auto"/>
              </w:rPr>
            </w:pPr>
          </w:p>
        </w:tc>
        <w:tc>
          <w:tcPr>
            <w:tcW w:w="1120" w:type="pct"/>
            <w:shd w:val="clear" w:color="auto" w:fill="auto"/>
          </w:tcPr>
          <w:p w:rsidR="00D407A5" w:rsidRPr="00997D8C" w:rsidRDefault="00D407A5" w:rsidP="00997D8C">
            <w:pPr>
              <w:spacing w:after="40"/>
              <w:ind w:right="144"/>
              <w:jc w:val="center"/>
              <w:rPr>
                <w:rFonts w:asciiTheme="majorHAnsi" w:hAnsiTheme="majorHAnsi" w:cstheme="majorHAnsi"/>
                <w:color w:val="auto"/>
              </w:rPr>
            </w:pPr>
          </w:p>
        </w:tc>
      </w:tr>
    </w:tbl>
    <w:p w:rsidR="00983989" w:rsidRPr="007E14C5" w:rsidRDefault="00983989">
      <w:pPr>
        <w:rPr>
          <w:rFonts w:asciiTheme="majorHAnsi" w:eastAsiaTheme="majorEastAsia" w:hAnsiTheme="majorHAnsi" w:cstheme="majorHAnsi"/>
          <w:b/>
          <w:caps/>
          <w:color w:val="002060"/>
          <w:sz w:val="24"/>
          <w:szCs w:val="24"/>
          <w14:ligatures w14:val="standardContextual"/>
        </w:rPr>
      </w:pPr>
    </w:p>
    <w:p w:rsidR="00983989" w:rsidRPr="007E14C5" w:rsidRDefault="00983989">
      <w:pPr>
        <w:rPr>
          <w:rFonts w:asciiTheme="majorHAnsi" w:eastAsiaTheme="majorEastAsia" w:hAnsiTheme="majorHAnsi" w:cstheme="majorHAnsi"/>
          <w:b/>
          <w:caps/>
          <w:color w:val="002060"/>
          <w:sz w:val="24"/>
          <w:szCs w:val="24"/>
          <w14:ligatures w14:val="standardContextual"/>
        </w:rPr>
      </w:pPr>
      <w:r w:rsidRPr="007E14C5">
        <w:rPr>
          <w:rFonts w:asciiTheme="majorHAnsi" w:eastAsiaTheme="majorEastAsia" w:hAnsiTheme="majorHAnsi" w:cstheme="majorHAnsi"/>
          <w:b/>
          <w:caps/>
          <w:color w:val="002060"/>
          <w:sz w:val="24"/>
          <w:szCs w:val="24"/>
          <w14:ligatures w14:val="standardContextual"/>
        </w:rPr>
        <w:br w:type="page"/>
      </w:r>
    </w:p>
    <w:p w:rsidR="00035588" w:rsidRPr="00CA6C1C" w:rsidRDefault="00CC32F3" w:rsidP="00153229">
      <w:pPr>
        <w:pStyle w:val="Heading2"/>
        <w:spacing w:after="360"/>
        <w:ind w:left="360" w:right="-471"/>
        <w:jc w:val="both"/>
        <w:rPr>
          <w:rFonts w:cstheme="majorHAnsi"/>
          <w:b/>
          <w:color w:val="auto"/>
          <w:sz w:val="32"/>
          <w:szCs w:val="32"/>
        </w:rPr>
      </w:pPr>
      <w:bookmarkStart w:id="32" w:name="_Toc87353407"/>
      <w:r w:rsidRPr="00253588">
        <w:rPr>
          <w:rFonts w:cstheme="majorHAnsi"/>
          <w:b/>
          <w:color w:val="auto"/>
          <w:sz w:val="32"/>
          <w:szCs w:val="32"/>
        </w:rPr>
        <w:lastRenderedPageBreak/>
        <w:t>4</w:t>
      </w:r>
      <w:r w:rsidR="009855BC" w:rsidRPr="00CA6C1C">
        <w:rPr>
          <w:rFonts w:cstheme="majorHAnsi"/>
          <w:b/>
          <w:color w:val="002060"/>
          <w:sz w:val="32"/>
          <w:szCs w:val="32"/>
        </w:rPr>
        <w:t>.</w:t>
      </w:r>
      <w:r w:rsidRPr="00CA6C1C">
        <w:rPr>
          <w:rFonts w:cstheme="majorHAnsi"/>
          <w:b/>
          <w:color w:val="002060"/>
          <w:sz w:val="32"/>
          <w:szCs w:val="32"/>
        </w:rPr>
        <w:t xml:space="preserve">   </w:t>
      </w:r>
      <w:r w:rsidRPr="00CA6C1C">
        <w:rPr>
          <w:rFonts w:cstheme="majorHAnsi"/>
          <w:b/>
          <w:color w:val="auto"/>
          <w:sz w:val="32"/>
          <w:szCs w:val="32"/>
        </w:rPr>
        <w:t xml:space="preserve">TRANSPARENTNA I </w:t>
      </w:r>
      <w:r w:rsidR="00AF504D" w:rsidRPr="00CA6C1C">
        <w:rPr>
          <w:rFonts w:cstheme="majorHAnsi"/>
          <w:b/>
          <w:color w:val="auto"/>
          <w:sz w:val="32"/>
          <w:szCs w:val="32"/>
        </w:rPr>
        <w:t>OTVORENA</w:t>
      </w:r>
      <w:r w:rsidRPr="00CA6C1C">
        <w:rPr>
          <w:rFonts w:cstheme="majorHAnsi"/>
          <w:b/>
          <w:color w:val="auto"/>
          <w:sz w:val="32"/>
          <w:szCs w:val="32"/>
        </w:rPr>
        <w:t xml:space="preserve"> JAVNA UPRAVA</w:t>
      </w:r>
      <w:bookmarkEnd w:id="32"/>
    </w:p>
    <w:p w:rsidR="00906668" w:rsidRPr="00CA6C1C" w:rsidRDefault="00AA4C34" w:rsidP="00B43D4E">
      <w:pPr>
        <w:pStyle w:val="ListParagraph"/>
        <w:keepNext/>
        <w:keepLines/>
        <w:numPr>
          <w:ilvl w:val="0"/>
          <w:numId w:val="20"/>
        </w:numPr>
        <w:spacing w:before="120" w:after="240" w:line="240" w:lineRule="auto"/>
        <w:ind w:right="-475"/>
        <w:contextualSpacing w:val="0"/>
        <w:outlineLvl w:val="2"/>
        <w:rPr>
          <w:rFonts w:asciiTheme="majorHAnsi" w:eastAsia="Times New Roman" w:hAnsiTheme="majorHAnsi" w:cstheme="majorHAnsi"/>
          <w:b/>
          <w:color w:val="auto"/>
          <w:kern w:val="0"/>
          <w:sz w:val="28"/>
          <w:szCs w:val="28"/>
          <w:lang w:eastAsia="en-US"/>
        </w:rPr>
      </w:pPr>
      <w:bookmarkStart w:id="33" w:name="_Toc87353408"/>
      <w:r w:rsidRPr="00CA6C1C">
        <w:rPr>
          <w:rFonts w:asciiTheme="majorHAnsi" w:eastAsia="Times New Roman" w:hAnsiTheme="majorHAnsi" w:cstheme="majorHAnsi"/>
          <w:b/>
          <w:color w:val="auto"/>
          <w:kern w:val="0"/>
          <w:sz w:val="28"/>
          <w:szCs w:val="28"/>
          <w:lang w:eastAsia="en-US"/>
        </w:rPr>
        <w:t>STRATEŠKI CILJ</w:t>
      </w:r>
      <w:bookmarkEnd w:id="33"/>
    </w:p>
    <w:p w:rsidR="00256111" w:rsidRPr="00CB681C" w:rsidRDefault="00012E9B" w:rsidP="00441F5B">
      <w:pPr>
        <w:spacing w:before="60" w:after="60" w:line="240" w:lineRule="auto"/>
        <w:ind w:right="-540"/>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Ključni prioriteti u ovoj oblasti odnose se na unapređenje funkcionisanja i jačanje kapaciteta Agencije </w:t>
      </w:r>
      <w:r w:rsidRPr="00CB681C">
        <w:rPr>
          <w:rFonts w:asciiTheme="majorHAnsi" w:eastAsia="Times New Roman" w:hAnsiTheme="majorHAnsi" w:cstheme="majorHAnsi"/>
          <w:color w:val="auto"/>
          <w:kern w:val="0"/>
          <w:sz w:val="24"/>
          <w:szCs w:val="24"/>
          <w:lang w:eastAsia="en-US"/>
        </w:rPr>
        <w:t>za zaštitu ličnih podataka i slobodan pristup informacijama</w:t>
      </w:r>
      <w:r w:rsidRPr="00CB681C">
        <w:rPr>
          <w:rFonts w:asciiTheme="majorHAnsi" w:hAnsiTheme="majorHAnsi" w:cstheme="majorHAnsi"/>
          <w:color w:val="auto"/>
          <w:sz w:val="24"/>
          <w:szCs w:val="24"/>
        </w:rPr>
        <w:t>, ukupno poboljšanje funkcionisanja sistema pravne zaštite u oblasti slobodnog pristupa informacijama (SPI), unapređenje primjene Zakona o SPI od strane organa vlasti i jačanje svijesti i razvijanje vještina službenika za SPI, unapređenje ponovne upotrebe informacija i povećanje dostupnosti otvorenih podataka.</w:t>
      </w:r>
      <w:r w:rsidR="005B0476" w:rsidRPr="00CB681C">
        <w:rPr>
          <w:rFonts w:asciiTheme="majorHAnsi" w:hAnsiTheme="majorHAnsi" w:cstheme="majorHAnsi"/>
          <w:color w:val="auto"/>
          <w:sz w:val="24"/>
          <w:szCs w:val="24"/>
        </w:rPr>
        <w:t xml:space="preserve"> </w:t>
      </w:r>
    </w:p>
    <w:p w:rsidR="006A2C89" w:rsidRPr="00CB681C" w:rsidRDefault="006A2C89" w:rsidP="00441F5B">
      <w:pPr>
        <w:spacing w:before="60" w:after="60" w:line="240" w:lineRule="auto"/>
        <w:ind w:right="-540"/>
        <w:jc w:val="both"/>
        <w:rPr>
          <w:rFonts w:asciiTheme="majorHAnsi" w:eastAsia="Calibri" w:hAnsiTheme="majorHAnsi" w:cstheme="majorHAnsi"/>
          <w:color w:val="auto"/>
          <w:kern w:val="0"/>
          <w:sz w:val="24"/>
          <w:szCs w:val="24"/>
          <w:lang w:eastAsia="zh-CN"/>
        </w:rPr>
      </w:pPr>
      <w:r w:rsidRPr="00CB681C">
        <w:rPr>
          <w:rFonts w:asciiTheme="majorHAnsi" w:hAnsiTheme="majorHAnsi" w:cstheme="majorHAnsi"/>
          <w:color w:val="auto"/>
          <w:sz w:val="24"/>
          <w:szCs w:val="24"/>
        </w:rPr>
        <w:t>Cilj je ojačati proakativno objavljivanje podataka u organima vlasti, uključujući objavljivanje evidencija u mašinski čitljivom formatu (eng. open data), uz istovremeno poboljšanje kvaliteta u reaktivnoj transparentnosti gde organi na zahtev objavljuju informacije od javnog značaja. Drugim rečima, fokus je na poboljšanj</w:t>
      </w:r>
      <w:r w:rsidR="00906668" w:rsidRPr="00CB681C">
        <w:rPr>
          <w:rFonts w:asciiTheme="majorHAnsi" w:hAnsiTheme="majorHAnsi" w:cstheme="majorHAnsi"/>
          <w:color w:val="auto"/>
          <w:sz w:val="24"/>
          <w:szCs w:val="24"/>
        </w:rPr>
        <w:t>u</w:t>
      </w:r>
      <w:r w:rsidRPr="00CB681C">
        <w:rPr>
          <w:rFonts w:asciiTheme="majorHAnsi" w:hAnsiTheme="majorHAnsi" w:cstheme="majorHAnsi"/>
          <w:color w:val="auto"/>
          <w:sz w:val="24"/>
          <w:szCs w:val="24"/>
        </w:rPr>
        <w:t xml:space="preserve"> kvaliteta i zakonitosti rada</w:t>
      </w:r>
      <w:r w:rsidRPr="00CB681C">
        <w:rPr>
          <w:rFonts w:asciiTheme="majorHAnsi" w:eastAsia="Calibri" w:hAnsiTheme="majorHAnsi" w:cstheme="majorHAnsi"/>
          <w:b/>
          <w:color w:val="auto"/>
          <w:kern w:val="0"/>
          <w:sz w:val="24"/>
          <w:szCs w:val="24"/>
          <w:lang w:eastAsia="zh-CN"/>
        </w:rPr>
        <w:t xml:space="preserve"> </w:t>
      </w:r>
      <w:r w:rsidRPr="00CB681C">
        <w:rPr>
          <w:rFonts w:asciiTheme="majorHAnsi" w:eastAsia="Calibri" w:hAnsiTheme="majorHAnsi" w:cstheme="majorHAnsi"/>
          <w:color w:val="auto"/>
          <w:kern w:val="0"/>
          <w:sz w:val="24"/>
          <w:szCs w:val="24"/>
          <w:lang w:eastAsia="zh-CN"/>
        </w:rPr>
        <w:t>prvostepenih organa u postupcima odlučivanja po zahtjevima za slobodan pristup informacijama</w:t>
      </w:r>
      <w:r w:rsidR="00906668" w:rsidRPr="00CB681C">
        <w:rPr>
          <w:rFonts w:asciiTheme="majorHAnsi" w:eastAsia="Calibri" w:hAnsiTheme="majorHAnsi" w:cstheme="majorHAnsi"/>
          <w:color w:val="auto"/>
          <w:kern w:val="0"/>
          <w:sz w:val="24"/>
          <w:szCs w:val="24"/>
          <w:lang w:eastAsia="zh-CN"/>
        </w:rPr>
        <w:t xml:space="preserve"> uz jačanje uloge i kapaciteta Agencije </w:t>
      </w:r>
      <w:r w:rsidR="00906668" w:rsidRPr="00CB681C">
        <w:rPr>
          <w:rFonts w:asciiTheme="majorHAnsi" w:eastAsia="Times New Roman" w:hAnsiTheme="majorHAnsi" w:cstheme="majorHAnsi"/>
          <w:color w:val="auto"/>
          <w:kern w:val="0"/>
          <w:sz w:val="24"/>
          <w:szCs w:val="24"/>
          <w:lang w:eastAsia="en-US"/>
        </w:rPr>
        <w:t>za zaštitu ličnih podataka i slobodan pristup informacijama</w:t>
      </w:r>
      <w:r w:rsidR="00906668" w:rsidRPr="00CB681C">
        <w:rPr>
          <w:rFonts w:asciiTheme="majorHAnsi" w:hAnsiTheme="majorHAnsi" w:cstheme="majorHAnsi"/>
          <w:color w:val="auto"/>
          <w:sz w:val="24"/>
          <w:szCs w:val="24"/>
        </w:rPr>
        <w:t>.</w:t>
      </w:r>
    </w:p>
    <w:p w:rsidR="00906668" w:rsidRPr="00CB681C" w:rsidRDefault="00906668" w:rsidP="00441F5B">
      <w:pPr>
        <w:spacing w:before="60" w:after="60" w:line="240" w:lineRule="auto"/>
        <w:ind w:right="-471"/>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Ministarstvo javne uprave, digitalnog društva i medija pripremilo je, u saradnji sa Agencijom za zaštitu ličnih podataka i slobodan pristup informacijama uz podršku SIGMA, konkretne aktivnosti za ostvarivanje navedenih ciljeva kao dio posebnog Akcionog plana,</w:t>
      </w:r>
      <w:r w:rsidRPr="00C00385">
        <w:rPr>
          <w:rStyle w:val="FootnoteReference"/>
          <w:rFonts w:asciiTheme="majorHAnsi" w:eastAsia="Times New Roman" w:hAnsiTheme="majorHAnsi" w:cstheme="majorHAnsi"/>
          <w:color w:val="auto"/>
          <w:kern w:val="0"/>
          <w:sz w:val="24"/>
          <w:szCs w:val="24"/>
          <w:lang w:eastAsia="en-US"/>
        </w:rPr>
        <w:footnoteReference w:id="86"/>
      </w:r>
      <w:r w:rsidRPr="00CB681C">
        <w:rPr>
          <w:rFonts w:asciiTheme="majorHAnsi" w:eastAsia="Times New Roman" w:hAnsiTheme="majorHAnsi" w:cstheme="majorHAnsi"/>
          <w:color w:val="auto"/>
          <w:kern w:val="0"/>
          <w:sz w:val="24"/>
          <w:szCs w:val="24"/>
          <w:lang w:eastAsia="en-US"/>
        </w:rPr>
        <w:t xml:space="preserve"> kako bi se doprinijelo što djelotvornijem ostvarivanju prava na pristup informacijama i kako bi svi identifikovani problemi u praksi bili prevazidjeni. </w:t>
      </w:r>
    </w:p>
    <w:p w:rsidR="00224B70" w:rsidRPr="00CB681C" w:rsidRDefault="00256111" w:rsidP="007E14C5">
      <w:pPr>
        <w:spacing w:before="0" w:after="120" w:line="240" w:lineRule="auto"/>
        <w:ind w:right="-540"/>
        <w:jc w:val="both"/>
        <w:rPr>
          <w:rFonts w:asciiTheme="majorHAnsi" w:hAnsiTheme="majorHAnsi" w:cstheme="majorHAnsi"/>
          <w:color w:val="auto"/>
          <w:sz w:val="24"/>
          <w:szCs w:val="24"/>
        </w:rPr>
      </w:pPr>
      <w:r w:rsidRPr="00CB681C">
        <w:rPr>
          <w:rFonts w:asciiTheme="majorHAnsi" w:hAnsiTheme="majorHAnsi" w:cstheme="majorHAnsi"/>
          <w:b/>
          <w:color w:val="auto"/>
          <w:sz w:val="24"/>
          <w:szCs w:val="24"/>
        </w:rPr>
        <w:t>STRATEŠKI CILJ SE OSTVARUJE KROZ SLEDEĆE OPERATIVNE CILJEVE</w:t>
      </w:r>
      <w:r w:rsidRPr="00CB681C">
        <w:rPr>
          <w:rFonts w:asciiTheme="majorHAnsi" w:hAnsiTheme="majorHAnsi" w:cstheme="majorHAnsi"/>
          <w:color w:val="auto"/>
          <w:sz w:val="24"/>
          <w:szCs w:val="24"/>
        </w:rPr>
        <w:t>:</w:t>
      </w:r>
    </w:p>
    <w:p w:rsidR="00224B70" w:rsidRPr="00CB681C" w:rsidRDefault="00821D51" w:rsidP="00B43D4E">
      <w:pPr>
        <w:pStyle w:val="ListParagraph"/>
        <w:numPr>
          <w:ilvl w:val="0"/>
          <w:numId w:val="51"/>
        </w:numPr>
        <w:spacing w:before="0" w:after="120" w:line="240" w:lineRule="auto"/>
        <w:ind w:right="-540"/>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Unapređenje funkcionisanja i kapaciteta Agencije za zaštitu ličnih podataka i slobodan pristup informacijama i generalno sistema pravne zaštite u oblasti SPI); </w:t>
      </w:r>
    </w:p>
    <w:p w:rsidR="00224B70" w:rsidRPr="00CB681C" w:rsidRDefault="00821D51" w:rsidP="00B43D4E">
      <w:pPr>
        <w:pStyle w:val="ListParagraph"/>
        <w:numPr>
          <w:ilvl w:val="0"/>
          <w:numId w:val="51"/>
        </w:numPr>
        <w:spacing w:before="0" w:after="120" w:line="240" w:lineRule="auto"/>
        <w:ind w:right="-540"/>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Unapređenje primjene Zakona o SPI od strane organa vlasti radi obezbjeđenja adekvatnog ostvarivanja prava na pristup informacijama i davanje pristupa informacijama u skladu sa institucionalnim pravnim okvirom i jačanje svijesti i razvijanje vještina korisnika Zakona o SPI; </w:t>
      </w:r>
    </w:p>
    <w:p w:rsidR="00256111" w:rsidRPr="00CB681C" w:rsidRDefault="00821D51" w:rsidP="00B43D4E">
      <w:pPr>
        <w:pStyle w:val="ListParagraph"/>
        <w:numPr>
          <w:ilvl w:val="0"/>
          <w:numId w:val="51"/>
        </w:numPr>
        <w:spacing w:before="0" w:after="120" w:line="240" w:lineRule="auto"/>
        <w:ind w:right="-540"/>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Unapređenje ponovne upotrebe informacija i povećanje dostupnosti otvorenih podataka.</w:t>
      </w:r>
    </w:p>
    <w:p w:rsidR="00167FB3" w:rsidRPr="00CB681C" w:rsidRDefault="00167FB3" w:rsidP="00B43D4E">
      <w:pPr>
        <w:pStyle w:val="ListParagraph"/>
        <w:keepNext/>
        <w:keepLines/>
        <w:numPr>
          <w:ilvl w:val="0"/>
          <w:numId w:val="33"/>
        </w:numPr>
        <w:spacing w:before="240" w:after="120" w:line="240" w:lineRule="auto"/>
        <w:ind w:right="-475"/>
        <w:contextualSpacing w:val="0"/>
        <w:outlineLvl w:val="2"/>
        <w:rPr>
          <w:rFonts w:asciiTheme="majorHAnsi" w:eastAsia="Times New Roman" w:hAnsiTheme="majorHAnsi" w:cstheme="majorHAnsi"/>
          <w:b/>
          <w:color w:val="auto"/>
          <w:kern w:val="0"/>
          <w:sz w:val="24"/>
          <w:szCs w:val="24"/>
          <w:lang w:eastAsia="en-US"/>
        </w:rPr>
      </w:pPr>
      <w:bookmarkStart w:id="34" w:name="_Toc87050734"/>
      <w:bookmarkStart w:id="35" w:name="_Toc87353409"/>
      <w:bookmarkEnd w:id="34"/>
      <w:r w:rsidRPr="00CB681C">
        <w:rPr>
          <w:rFonts w:asciiTheme="majorHAnsi" w:eastAsia="Times New Roman" w:hAnsiTheme="majorHAnsi" w:cstheme="majorHAnsi"/>
          <w:b/>
          <w:color w:val="auto"/>
          <w:kern w:val="0"/>
          <w:sz w:val="24"/>
          <w:szCs w:val="24"/>
          <w:lang w:eastAsia="en-US"/>
        </w:rPr>
        <w:t>STANJE U OBLASTI</w:t>
      </w:r>
      <w:bookmarkEnd w:id="35"/>
    </w:p>
    <w:p w:rsidR="00167FB3" w:rsidRPr="00CB681C" w:rsidRDefault="00167FB3" w:rsidP="00CB681C">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b/>
          <w:color w:val="auto"/>
          <w:kern w:val="0"/>
          <w:sz w:val="24"/>
          <w:szCs w:val="24"/>
          <w:lang w:eastAsia="zh-CN"/>
        </w:rPr>
        <w:t>Zakon o slobodnom pristupu informacijama</w:t>
      </w:r>
      <w:r w:rsidRPr="00CB681C">
        <w:rPr>
          <w:rFonts w:asciiTheme="majorHAnsi" w:eastAsia="Calibri" w:hAnsiTheme="majorHAnsi" w:cstheme="majorHAnsi"/>
          <w:b/>
          <w:color w:val="auto"/>
          <w:kern w:val="0"/>
          <w:sz w:val="24"/>
          <w:szCs w:val="24"/>
          <w:vertAlign w:val="superscript"/>
          <w:lang w:eastAsia="zh-CN"/>
        </w:rPr>
        <w:footnoteReference w:id="87"/>
      </w:r>
      <w:r w:rsidRPr="00CB681C">
        <w:rPr>
          <w:rFonts w:asciiTheme="majorHAnsi" w:eastAsia="Calibri" w:hAnsiTheme="majorHAnsi" w:cstheme="majorHAnsi"/>
          <w:b/>
          <w:color w:val="auto"/>
          <w:kern w:val="0"/>
          <w:sz w:val="24"/>
          <w:szCs w:val="24"/>
          <w:lang w:eastAsia="zh-CN"/>
        </w:rPr>
        <w:t xml:space="preserve"> iz 2012. godine</w:t>
      </w:r>
      <w:r w:rsidRPr="00CB681C">
        <w:rPr>
          <w:rFonts w:asciiTheme="majorHAnsi" w:eastAsia="Calibri" w:hAnsiTheme="majorHAnsi" w:cstheme="majorHAnsi"/>
          <w:color w:val="auto"/>
          <w:kern w:val="0"/>
          <w:sz w:val="24"/>
          <w:szCs w:val="24"/>
          <w:lang w:eastAsia="zh-CN"/>
        </w:rPr>
        <w:t xml:space="preserve"> predstavlja pravni okvir i osnov za otvorenost i transparentnost organa vlasti. Zakonska obaveza organa vlasti jeste da proaktivno objavljuju informacije na svojim internet stranicama i da redovno ažuriraju vodiče za slobodan pristup informacija. Postoji nezavisni nadzorni organ nadležan za zaštitu podataka o ličnosti i pristup informacijama – </w:t>
      </w:r>
      <w:r w:rsidRPr="00CB681C">
        <w:rPr>
          <w:rFonts w:asciiTheme="majorHAnsi" w:eastAsia="Calibri" w:hAnsiTheme="majorHAnsi" w:cstheme="majorHAnsi"/>
          <w:b/>
          <w:color w:val="auto"/>
          <w:kern w:val="0"/>
          <w:sz w:val="24"/>
          <w:szCs w:val="24"/>
          <w:lang w:eastAsia="zh-CN"/>
        </w:rPr>
        <w:t>Agencija za zaštitu ličnih podataka i slobodan pristup informacijama</w:t>
      </w:r>
      <w:r w:rsidRPr="00CB681C">
        <w:rPr>
          <w:rFonts w:asciiTheme="majorHAnsi" w:eastAsia="Calibri" w:hAnsiTheme="majorHAnsi" w:cstheme="majorHAnsi"/>
          <w:color w:val="auto"/>
          <w:kern w:val="0"/>
          <w:sz w:val="24"/>
          <w:szCs w:val="24"/>
          <w:lang w:eastAsia="zh-CN"/>
        </w:rPr>
        <w:t>.</w:t>
      </w:r>
      <w:r w:rsidRPr="00CB681C">
        <w:rPr>
          <w:rFonts w:asciiTheme="majorHAnsi" w:eastAsia="Calibri" w:hAnsiTheme="majorHAnsi" w:cstheme="majorHAnsi"/>
          <w:color w:val="auto"/>
          <w:kern w:val="0"/>
          <w:sz w:val="24"/>
          <w:szCs w:val="24"/>
          <w:vertAlign w:val="superscript"/>
          <w:lang w:eastAsia="zh-CN"/>
        </w:rPr>
        <w:footnoteReference w:id="88"/>
      </w:r>
      <w:r w:rsidR="001917C8" w:rsidRPr="00CB681C">
        <w:rPr>
          <w:rFonts w:asciiTheme="majorHAnsi" w:eastAsia="Calibri" w:hAnsiTheme="majorHAnsi" w:cstheme="majorHAnsi"/>
          <w:color w:val="auto"/>
          <w:kern w:val="0"/>
          <w:sz w:val="24"/>
          <w:szCs w:val="24"/>
          <w:lang w:eastAsia="zh-CN"/>
        </w:rPr>
        <w:t xml:space="preserve"> </w:t>
      </w:r>
      <w:r w:rsidR="008E27A8" w:rsidRPr="00CB681C">
        <w:rPr>
          <w:rFonts w:asciiTheme="majorHAnsi" w:eastAsia="Calibri" w:hAnsiTheme="majorHAnsi" w:cstheme="majorHAnsi"/>
          <w:color w:val="auto"/>
          <w:kern w:val="0"/>
          <w:sz w:val="24"/>
          <w:szCs w:val="24"/>
          <w:lang w:val="sr-Latn-ME" w:eastAsia="zh-CN"/>
        </w:rPr>
        <w:t xml:space="preserve">U narednom periodu Crna Gora će biti </w:t>
      </w:r>
      <w:r w:rsidR="00553B1E" w:rsidRPr="00CB681C">
        <w:rPr>
          <w:rFonts w:asciiTheme="majorHAnsi" w:eastAsia="Calibri" w:hAnsiTheme="majorHAnsi" w:cstheme="majorHAnsi"/>
          <w:color w:val="auto"/>
          <w:kern w:val="0"/>
          <w:sz w:val="24"/>
          <w:szCs w:val="24"/>
          <w:lang w:val="sr-Latn-ME" w:eastAsia="zh-CN"/>
        </w:rPr>
        <w:t>u obavezi da</w:t>
      </w:r>
      <w:r w:rsidR="008E27A8" w:rsidRPr="00CB681C">
        <w:rPr>
          <w:rFonts w:asciiTheme="majorHAnsi" w:eastAsia="Calibri" w:hAnsiTheme="majorHAnsi" w:cstheme="majorHAnsi"/>
          <w:color w:val="auto"/>
          <w:kern w:val="0"/>
          <w:sz w:val="24"/>
          <w:szCs w:val="24"/>
          <w:lang w:val="sr-Latn-ME" w:eastAsia="zh-CN"/>
        </w:rPr>
        <w:t xml:space="preserve"> nacionalni zakon</w:t>
      </w:r>
      <w:r w:rsidR="006A2BF7" w:rsidRPr="00CB681C">
        <w:rPr>
          <w:rFonts w:asciiTheme="majorHAnsi" w:eastAsia="Calibri" w:hAnsiTheme="majorHAnsi" w:cstheme="majorHAnsi"/>
          <w:color w:val="auto"/>
          <w:kern w:val="0"/>
          <w:sz w:val="24"/>
          <w:szCs w:val="24"/>
          <w:lang w:val="sr-Latn-ME" w:eastAsia="zh-CN"/>
        </w:rPr>
        <w:t>o</w:t>
      </w:r>
      <w:r w:rsidR="008E27A8" w:rsidRPr="00CB681C">
        <w:rPr>
          <w:rFonts w:asciiTheme="majorHAnsi" w:eastAsia="Calibri" w:hAnsiTheme="majorHAnsi" w:cstheme="majorHAnsi"/>
          <w:color w:val="auto"/>
          <w:kern w:val="0"/>
          <w:sz w:val="24"/>
          <w:szCs w:val="24"/>
          <w:lang w:val="sr-Latn-ME" w:eastAsia="zh-CN"/>
        </w:rPr>
        <w:t xml:space="preserve">davni okvir uskladi sa </w:t>
      </w:r>
      <w:r w:rsidR="001917C8" w:rsidRPr="00CB681C">
        <w:rPr>
          <w:rFonts w:asciiTheme="majorHAnsi" w:eastAsia="Calibri" w:hAnsiTheme="majorHAnsi" w:cstheme="majorHAnsi"/>
          <w:b/>
          <w:color w:val="auto"/>
          <w:kern w:val="0"/>
          <w:sz w:val="24"/>
          <w:szCs w:val="24"/>
          <w:lang w:val="sr-Latn-ME" w:eastAsia="zh-CN"/>
        </w:rPr>
        <w:t>Konvencij</w:t>
      </w:r>
      <w:r w:rsidR="008E27A8" w:rsidRPr="00CB681C">
        <w:rPr>
          <w:rFonts w:asciiTheme="majorHAnsi" w:eastAsia="Calibri" w:hAnsiTheme="majorHAnsi" w:cstheme="majorHAnsi"/>
          <w:b/>
          <w:color w:val="auto"/>
          <w:kern w:val="0"/>
          <w:sz w:val="24"/>
          <w:szCs w:val="24"/>
          <w:lang w:val="sr-Latn-ME" w:eastAsia="zh-CN"/>
        </w:rPr>
        <w:t>om</w:t>
      </w:r>
      <w:r w:rsidR="001917C8" w:rsidRPr="00CB681C">
        <w:rPr>
          <w:rFonts w:asciiTheme="majorHAnsi" w:eastAsia="Calibri" w:hAnsiTheme="majorHAnsi" w:cstheme="majorHAnsi"/>
          <w:b/>
          <w:color w:val="auto"/>
          <w:kern w:val="0"/>
          <w:sz w:val="24"/>
          <w:szCs w:val="24"/>
          <w:lang w:val="sr-Latn-ME" w:eastAsia="zh-CN"/>
        </w:rPr>
        <w:t xml:space="preserve"> Savjeta Evrope o pristupu službenim dokumentima</w:t>
      </w:r>
      <w:r w:rsidR="006A2BF7" w:rsidRPr="00CB681C">
        <w:rPr>
          <w:rFonts w:asciiTheme="majorHAnsi" w:eastAsia="Calibri" w:hAnsiTheme="majorHAnsi" w:cstheme="majorHAnsi"/>
          <w:color w:val="auto"/>
          <w:kern w:val="0"/>
          <w:sz w:val="24"/>
          <w:szCs w:val="24"/>
          <w:lang w:val="sr-Latn-ME" w:eastAsia="zh-CN"/>
        </w:rPr>
        <w:t xml:space="preserve"> (</w:t>
      </w:r>
      <w:r w:rsidR="001917C8" w:rsidRPr="00CB681C">
        <w:rPr>
          <w:rFonts w:asciiTheme="majorHAnsi" w:eastAsia="Calibri" w:hAnsiTheme="majorHAnsi" w:cstheme="majorHAnsi"/>
          <w:color w:val="auto"/>
          <w:kern w:val="0"/>
          <w:sz w:val="24"/>
          <w:szCs w:val="24"/>
          <w:lang w:val="sr-Latn-ME" w:eastAsia="zh-CN"/>
        </w:rPr>
        <w:t>koju je ratifikovala Crna Gora</w:t>
      </w:r>
      <w:r w:rsidR="006A2BF7" w:rsidRPr="00CB681C">
        <w:rPr>
          <w:rFonts w:asciiTheme="majorHAnsi" w:eastAsia="Calibri" w:hAnsiTheme="majorHAnsi" w:cstheme="majorHAnsi"/>
          <w:color w:val="auto"/>
          <w:kern w:val="0"/>
          <w:sz w:val="24"/>
          <w:szCs w:val="24"/>
          <w:lang w:val="sr-Latn-ME" w:eastAsia="zh-CN"/>
        </w:rPr>
        <w:t xml:space="preserve">), </w:t>
      </w:r>
      <w:r w:rsidR="008E27A8" w:rsidRPr="00CB681C">
        <w:rPr>
          <w:rFonts w:asciiTheme="majorHAnsi" w:eastAsia="Calibri" w:hAnsiTheme="majorHAnsi" w:cstheme="majorHAnsi"/>
          <w:color w:val="auto"/>
          <w:kern w:val="0"/>
          <w:sz w:val="24"/>
          <w:szCs w:val="24"/>
          <w:lang w:val="sr-Latn-ME" w:eastAsia="zh-CN"/>
        </w:rPr>
        <w:t xml:space="preserve">koja je </w:t>
      </w:r>
      <w:r w:rsidR="001917C8" w:rsidRPr="00CB681C">
        <w:rPr>
          <w:rFonts w:asciiTheme="majorHAnsi" w:eastAsia="Calibri" w:hAnsiTheme="majorHAnsi" w:cstheme="majorHAnsi"/>
          <w:color w:val="auto"/>
          <w:kern w:val="0"/>
          <w:sz w:val="24"/>
          <w:szCs w:val="24"/>
          <w:lang w:val="sr-Latn-ME" w:eastAsia="zh-CN"/>
        </w:rPr>
        <w:t xml:space="preserve">stupila je na snagu </w:t>
      </w:r>
      <w:r w:rsidR="001917C8" w:rsidRPr="00CB681C">
        <w:rPr>
          <w:rFonts w:asciiTheme="majorHAnsi" w:eastAsia="Calibri" w:hAnsiTheme="majorHAnsi" w:cstheme="majorHAnsi"/>
          <w:color w:val="auto"/>
          <w:kern w:val="0"/>
          <w:sz w:val="24"/>
          <w:szCs w:val="24"/>
          <w:lang w:val="sr-Latn-ME" w:eastAsia="zh-CN"/>
        </w:rPr>
        <w:lastRenderedPageBreak/>
        <w:t>01.12.2020. godine</w:t>
      </w:r>
      <w:r w:rsidR="008E27A8" w:rsidRPr="00CB681C">
        <w:rPr>
          <w:rFonts w:asciiTheme="majorHAnsi" w:eastAsia="Calibri" w:hAnsiTheme="majorHAnsi" w:cstheme="majorHAnsi"/>
          <w:color w:val="auto"/>
          <w:kern w:val="0"/>
          <w:sz w:val="24"/>
          <w:szCs w:val="24"/>
          <w:lang w:val="sr-Latn-ME" w:eastAsia="zh-CN"/>
        </w:rPr>
        <w:t>,</w:t>
      </w:r>
      <w:r w:rsidR="001917C8" w:rsidRPr="00CB681C">
        <w:rPr>
          <w:rFonts w:asciiTheme="majorHAnsi" w:eastAsia="Calibri" w:hAnsiTheme="majorHAnsi" w:cstheme="majorHAnsi"/>
          <w:color w:val="auto"/>
          <w:kern w:val="0"/>
          <w:sz w:val="24"/>
          <w:szCs w:val="24"/>
          <w:lang w:val="sr-Latn-ME" w:eastAsia="zh-CN"/>
        </w:rPr>
        <w:t xml:space="preserve"> kao i </w:t>
      </w:r>
      <w:r w:rsidR="001917C8" w:rsidRPr="00CB681C">
        <w:rPr>
          <w:rFonts w:asciiTheme="majorHAnsi" w:eastAsia="Calibri" w:hAnsiTheme="majorHAnsi" w:cstheme="majorHAnsi"/>
          <w:b/>
          <w:bCs/>
          <w:color w:val="auto"/>
          <w:kern w:val="0"/>
          <w:sz w:val="24"/>
          <w:szCs w:val="24"/>
          <w:lang w:val="sr-Latn-ME" w:eastAsia="zh-CN"/>
        </w:rPr>
        <w:t>Direktivom (EU) 2019/1024</w:t>
      </w:r>
      <w:r w:rsidR="001917C8" w:rsidRPr="00CB681C">
        <w:rPr>
          <w:rFonts w:asciiTheme="majorHAnsi" w:eastAsia="Calibri" w:hAnsiTheme="majorHAnsi" w:cstheme="majorHAnsi"/>
          <w:color w:val="auto"/>
          <w:kern w:val="0"/>
          <w:sz w:val="24"/>
          <w:szCs w:val="24"/>
          <w:lang w:val="sr-Latn-ME" w:eastAsia="zh-CN"/>
        </w:rPr>
        <w:t xml:space="preserve"> o otvorenim podacima i ponovnoj upotrebi informacija, kako bi se dodatno ojačala transparentnost i legitimitet organa vlasti.</w:t>
      </w:r>
    </w:p>
    <w:p w:rsidR="0095234E" w:rsidRPr="00CB681C" w:rsidRDefault="006A2C89" w:rsidP="00CB681C">
      <w:pPr>
        <w:tabs>
          <w:tab w:val="left" w:pos="850"/>
          <w:tab w:val="left" w:pos="1191"/>
          <w:tab w:val="left" w:pos="1531"/>
        </w:tabs>
        <w:spacing w:before="60" w:after="60" w:line="240" w:lineRule="auto"/>
        <w:ind w:right="-471"/>
        <w:jc w:val="both"/>
        <w:rPr>
          <w:rFonts w:asciiTheme="majorHAnsi" w:eastAsia="Calibri" w:hAnsiTheme="majorHAnsi" w:cstheme="majorHAnsi"/>
          <w:b/>
          <w:color w:val="auto"/>
          <w:kern w:val="0"/>
          <w:sz w:val="24"/>
          <w:szCs w:val="24"/>
          <w:lang w:eastAsia="zh-CN"/>
        </w:rPr>
      </w:pPr>
      <w:r w:rsidRPr="00CB681C">
        <w:rPr>
          <w:rFonts w:asciiTheme="majorHAnsi" w:eastAsia="Calibri" w:hAnsiTheme="majorHAnsi" w:cstheme="majorHAnsi"/>
          <w:noProof/>
          <w:color w:val="auto"/>
          <w:kern w:val="0"/>
          <w:sz w:val="24"/>
          <w:szCs w:val="24"/>
          <w:lang w:eastAsia="sr-Latn-RS"/>
        </w:rPr>
        <mc:AlternateContent>
          <mc:Choice Requires="wpg">
            <w:drawing>
              <wp:anchor distT="0" distB="0" distL="228600" distR="228600" simplePos="0" relativeHeight="251774976" behindDoc="0" locked="0" layoutInCell="1" allowOverlap="1" wp14:anchorId="073CB503" wp14:editId="3EF8FB0C">
                <wp:simplePos x="0" y="0"/>
                <wp:positionH relativeFrom="margin">
                  <wp:posOffset>3110865</wp:posOffset>
                </wp:positionH>
                <wp:positionV relativeFrom="page">
                  <wp:posOffset>1756410</wp:posOffset>
                </wp:positionV>
                <wp:extent cx="3106420" cy="1043940"/>
                <wp:effectExtent l="0" t="0" r="0" b="3810"/>
                <wp:wrapSquare wrapText="bothSides"/>
                <wp:docPr id="199" name="Group 199"/>
                <wp:cNvGraphicFramePr/>
                <a:graphic xmlns:a="http://schemas.openxmlformats.org/drawingml/2006/main">
                  <a:graphicData uri="http://schemas.microsoft.com/office/word/2010/wordprocessingGroup">
                    <wpg:wgp>
                      <wpg:cNvGrpSpPr/>
                      <wpg:grpSpPr>
                        <a:xfrm>
                          <a:off x="0" y="0"/>
                          <a:ext cx="3106420" cy="1043940"/>
                          <a:chOff x="-45386" y="-6864"/>
                          <a:chExt cx="3264074" cy="2035630"/>
                        </a:xfrm>
                      </wpg:grpSpPr>
                      <wps:wsp>
                        <wps:cNvPr id="200" name="Rectangle 200"/>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1" name="Group 201"/>
                        <wpg:cNvGrpSpPr/>
                        <wpg:grpSpPr>
                          <a:xfrm>
                            <a:off x="0" y="19050"/>
                            <a:ext cx="2249424" cy="832104"/>
                            <a:chOff x="228600" y="0"/>
                            <a:chExt cx="1472184" cy="1024128"/>
                          </a:xfrm>
                        </wpg:grpSpPr>
                        <wps:wsp>
                          <wps:cNvPr id="202"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 name="Text Box 204"/>
                        <wps:cNvSpPr txBox="1"/>
                        <wps:spPr>
                          <a:xfrm>
                            <a:off x="-45386" y="-6864"/>
                            <a:ext cx="3264059" cy="2035630"/>
                          </a:xfrm>
                          <a:prstGeom prst="rect">
                            <a:avLst/>
                          </a:prstGeom>
                          <a:noFill/>
                          <a:ln w="6350">
                            <a:noFill/>
                          </a:ln>
                          <a:effectLst/>
                        </wps:spPr>
                        <wps:txbx>
                          <w:txbxContent>
                            <w:p w:rsidR="00F735BC" w:rsidRPr="00DA1FF7" w:rsidRDefault="00F735BC" w:rsidP="002B2B48">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Smatram da otvorenost postoji, podaci se pružaju,</w:t>
                              </w:r>
                              <w:r>
                                <w:rPr>
                                  <w:smallCaps/>
                                  <w:color w:val="333C3D" w:themeColor="accent5" w:themeShade="80"/>
                                  <w:kern w:val="20"/>
                                  <w:lang w:val="sr-Latn-RS"/>
                                </w:rPr>
                                <w:t xml:space="preserve"> ali u većem dijelu po zahtjevu</w:t>
                              </w:r>
                              <w:r w:rsidRPr="00DA1FF7">
                                <w:rPr>
                                  <w:smallCaps/>
                                  <w:color w:val="333C3D" w:themeColor="accent5" w:themeShade="80"/>
                                  <w:kern w:val="20"/>
                                  <w:lang w:val="sr-Latn-RS"/>
                                </w:rPr>
                                <w:t>.</w:t>
                              </w:r>
                            </w:p>
                            <w:p w:rsidR="00F735BC" w:rsidRPr="00DA1FF7" w:rsidRDefault="00F735BC" w:rsidP="002B2B48">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Kada su u pitanju javne rasprave, ton je dosta formalan, a u suštini to treba da se jednostavnije iskomunicira sa građanima</w:t>
                              </w:r>
                              <w:r>
                                <w:rPr>
                                  <w:smallCaps/>
                                  <w:color w:val="333C3D" w:themeColor="accent5" w:themeShade="80"/>
                                  <w:kern w:val="20"/>
                                  <w:lang w:val="sr-Latn-RS"/>
                                </w:rPr>
                                <w:t>,</w:t>
                              </w:r>
                            </w:p>
                            <w:p w:rsidR="00F735BC" w:rsidRDefault="00F735BC" w:rsidP="002B2B48">
                              <w:pPr>
                                <w:pStyle w:val="NoSpacing"/>
                                <w:ind w:left="360"/>
                                <w:jc w:val="right"/>
                                <w:rPr>
                                  <w:color w:val="7E97AD" w:themeColor="accent1"/>
                                </w:rPr>
                              </w:pPr>
                              <w:r>
                                <w:rPr>
                                  <w:color w:val="7E97AD" w:themeColor="accent1"/>
                                  <w:sz w:val="18"/>
                                  <w:szCs w:val="18"/>
                                  <w:lang w:val="sr-Latn-RS"/>
                                </w:rPr>
                                <w:t xml:space="preserve">Učesnici </w:t>
                              </w:r>
                              <w:r>
                                <w:rPr>
                                  <w:color w:val="7E97AD" w:themeColor="accent1"/>
                                  <w:sz w:val="18"/>
                                  <w:szCs w:val="18"/>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CB503" id="Group 199" o:spid="_x0000_s1110" style="position:absolute;left:0;text-align:left;margin-left:244.95pt;margin-top:138.3pt;width:244.6pt;height:82.2pt;z-index:251774976;mso-wrap-distance-left:18pt;mso-wrap-distance-right:18pt;mso-position-horizontal-relative:margin;mso-position-vertical-relative:page;mso-width-relative:margin;mso-height-relative:margin" coordorigin="-453,-68" coordsize="32640,20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">
                <v:rect id="Rectangle 200" o:spid="_x0000_s1111"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" stroked="f" strokeweight="2pt">
                  <v:fill opacity="0"/>
                </v:rect>
                <v:group id="Group 201" o:spid="_x0000_s1112"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Rectangle 10" o:spid="_x0000_s111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" path="m,l2240281,,1659256,222885,,822960,,xe" fillcolor="#7e97ad" stroked="f" strokeweight="2pt">
                    <v:path arrowok="t" o:connecttype="custom" o:connectlocs="0,0;1466258,0;1085979,274158;0,1012274;0,0" o:connectangles="0,0,0,0,0"/>
                  </v:shape>
                  <v:rect id="Rectangle 203" o:spid="_x0000_s111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" stroked="f" strokeweight="2pt">
                    <v:fill r:id="rId69" o:title="" recolor="t" rotate="t" type="frame"/>
                  </v:rect>
                </v:group>
                <v:shape id="Text Box 204" o:spid="_x0000_s1115" type="#_x0000_t202" style="position:absolute;left:-453;top:-68;width:32639;height:20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" filled="f" stroked="f" strokeweight=".5pt">
                  <v:textbox inset="3.6pt,7.2pt,0,0">
                    <w:txbxContent>
                      <w:p w:rsidR="00F735BC" w:rsidRPr="00DA1FF7" w:rsidRDefault="00F735BC" w:rsidP="002B2B48">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Smatram da otvorenost postoji, podaci se pružaju,</w:t>
                        </w:r>
                        <w:r>
                          <w:rPr>
                            <w:smallCaps/>
                            <w:color w:val="333C3D" w:themeColor="accent5" w:themeShade="80"/>
                            <w:kern w:val="20"/>
                            <w:lang w:val="sr-Latn-RS"/>
                          </w:rPr>
                          <w:t xml:space="preserve"> ali u većem dijelu po zahtjevu</w:t>
                        </w:r>
                        <w:r w:rsidRPr="00DA1FF7">
                          <w:rPr>
                            <w:smallCaps/>
                            <w:color w:val="333C3D" w:themeColor="accent5" w:themeShade="80"/>
                            <w:kern w:val="20"/>
                            <w:lang w:val="sr-Latn-RS"/>
                          </w:rPr>
                          <w:t>.</w:t>
                        </w:r>
                      </w:p>
                      <w:p w:rsidR="00F735BC" w:rsidRPr="00DA1FF7" w:rsidRDefault="00F735BC" w:rsidP="002B2B48">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Kada su u pitanju javne rasprave, ton je dosta formalan, a u suštini to treba da se jednostavnije iskomunicira sa građanima</w:t>
                        </w:r>
                        <w:r>
                          <w:rPr>
                            <w:smallCaps/>
                            <w:color w:val="333C3D" w:themeColor="accent5" w:themeShade="80"/>
                            <w:kern w:val="20"/>
                            <w:lang w:val="sr-Latn-RS"/>
                          </w:rPr>
                          <w:t>,</w:t>
                        </w:r>
                      </w:p>
                      <w:p w:rsidR="00F735BC" w:rsidRDefault="00F735BC" w:rsidP="002B2B48">
                        <w:pPr>
                          <w:pStyle w:val="NoSpacing"/>
                          <w:ind w:left="360"/>
                          <w:jc w:val="right"/>
                          <w:rPr>
                            <w:color w:val="7E97AD" w:themeColor="accent1"/>
                          </w:rPr>
                        </w:pPr>
                        <w:r>
                          <w:rPr>
                            <w:color w:val="7E97AD" w:themeColor="accent1"/>
                            <w:sz w:val="18"/>
                            <w:szCs w:val="18"/>
                            <w:lang w:val="sr-Latn-RS"/>
                          </w:rPr>
                          <w:t xml:space="preserve">Učesnici </w:t>
                        </w:r>
                        <w:r>
                          <w:rPr>
                            <w:color w:val="7E97AD" w:themeColor="accent1"/>
                            <w:sz w:val="18"/>
                            <w:szCs w:val="18"/>
                          </w:rPr>
                          <w:t>Fokus grupe</w:t>
                        </w:r>
                      </w:p>
                    </w:txbxContent>
                  </v:textbox>
                </v:shape>
                <w10:wrap type="square" anchorx="margin" anchory="page"/>
              </v:group>
            </w:pict>
          </mc:Fallback>
        </mc:AlternateContent>
      </w:r>
      <w:r w:rsidR="00167FB3" w:rsidRPr="00CB681C">
        <w:rPr>
          <w:rFonts w:asciiTheme="majorHAnsi" w:eastAsia="Calibri" w:hAnsiTheme="majorHAnsi" w:cstheme="majorHAnsi"/>
          <w:color w:val="auto"/>
          <w:kern w:val="0"/>
          <w:sz w:val="24"/>
          <w:szCs w:val="24"/>
          <w:lang w:eastAsia="zh-CN"/>
        </w:rPr>
        <w:t>Istraživanje javnog mjenja u regionu Zapadnog Balkana – Balkanski barometar</w:t>
      </w:r>
      <w:r w:rsidR="00167FB3" w:rsidRPr="00CB681C">
        <w:rPr>
          <w:rFonts w:asciiTheme="majorHAnsi" w:eastAsia="Calibri" w:hAnsiTheme="majorHAnsi" w:cstheme="majorHAnsi"/>
          <w:color w:val="auto"/>
          <w:kern w:val="0"/>
          <w:sz w:val="24"/>
          <w:szCs w:val="24"/>
          <w:vertAlign w:val="superscript"/>
          <w:lang w:eastAsia="zh-CN"/>
        </w:rPr>
        <w:footnoteReference w:id="89"/>
      </w:r>
      <w:r w:rsidR="00167FB3" w:rsidRPr="00CB681C">
        <w:rPr>
          <w:rFonts w:asciiTheme="majorHAnsi" w:eastAsia="Calibri" w:hAnsiTheme="majorHAnsi" w:cstheme="majorHAnsi"/>
          <w:color w:val="auto"/>
          <w:kern w:val="0"/>
          <w:sz w:val="24"/>
          <w:szCs w:val="24"/>
          <w:lang w:eastAsia="zh-CN"/>
        </w:rPr>
        <w:t xml:space="preserve"> ukazuje na pad pozitivne percepcije građana i privrednog sektora u oblasti informacija od strane javne uprave: 61% građana u Crnoj Gori smatra da organi uprave na zahtjeve za slobodan pristup informacijama odgovaraju blagovremeno u 2019. godini, 63% u 2020. godini, ali samo 46% u 2021. godini. 65% u 2019. godini smatra da je informacija dostavljena od strane organa relevantna i kompletna, 63% u 2020. godini, a 50% u 2021. godini. 61% građana smatra da su informacije dostavljene uz razuman trošak u 2019. godini, 65% u 2020. godini, a 50% u 2021. godini.</w:t>
      </w:r>
    </w:p>
    <w:p w:rsidR="00167FB3" w:rsidRPr="00CB681C" w:rsidRDefault="006A2C89" w:rsidP="00CB681C">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noProof/>
          <w:color w:val="auto"/>
          <w:kern w:val="0"/>
          <w:sz w:val="24"/>
          <w:szCs w:val="24"/>
          <w:lang w:eastAsia="sr-Latn-RS"/>
        </w:rPr>
        <mc:AlternateContent>
          <mc:Choice Requires="wpg">
            <w:drawing>
              <wp:anchor distT="0" distB="0" distL="228600" distR="228600" simplePos="0" relativeHeight="251887616" behindDoc="0" locked="0" layoutInCell="1" allowOverlap="1" wp14:anchorId="70C3D5B8" wp14:editId="23EAF64C">
                <wp:simplePos x="0" y="0"/>
                <wp:positionH relativeFrom="margin">
                  <wp:posOffset>112144</wp:posOffset>
                </wp:positionH>
                <wp:positionV relativeFrom="page">
                  <wp:posOffset>3630366</wp:posOffset>
                </wp:positionV>
                <wp:extent cx="2747645" cy="581025"/>
                <wp:effectExtent l="0" t="0" r="0" b="9525"/>
                <wp:wrapSquare wrapText="bothSides"/>
                <wp:docPr id="141" name="Group 141"/>
                <wp:cNvGraphicFramePr/>
                <a:graphic xmlns:a="http://schemas.openxmlformats.org/drawingml/2006/main">
                  <a:graphicData uri="http://schemas.microsoft.com/office/word/2010/wordprocessingGroup">
                    <wpg:wgp>
                      <wpg:cNvGrpSpPr/>
                      <wpg:grpSpPr>
                        <a:xfrm>
                          <a:off x="0" y="0"/>
                          <a:ext cx="2747645" cy="581025"/>
                          <a:chOff x="-107516" y="-65127"/>
                          <a:chExt cx="3326204" cy="2093893"/>
                        </a:xfrm>
                      </wpg:grpSpPr>
                      <wps:wsp>
                        <wps:cNvPr id="142" name="Rectangle 142"/>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3" name="Group 143"/>
                        <wpg:cNvGrpSpPr/>
                        <wpg:grpSpPr>
                          <a:xfrm>
                            <a:off x="0" y="19050"/>
                            <a:ext cx="2249424" cy="832104"/>
                            <a:chOff x="228600" y="0"/>
                            <a:chExt cx="1472184" cy="1024128"/>
                          </a:xfrm>
                        </wpg:grpSpPr>
                        <wps:wsp>
                          <wps:cNvPr id="14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 name="Text Box 148"/>
                        <wps:cNvSpPr txBox="1"/>
                        <wps:spPr>
                          <a:xfrm>
                            <a:off x="-107516" y="-65127"/>
                            <a:ext cx="3289986" cy="2091561"/>
                          </a:xfrm>
                          <a:prstGeom prst="rect">
                            <a:avLst/>
                          </a:prstGeom>
                          <a:noFill/>
                          <a:ln w="6350">
                            <a:noFill/>
                          </a:ln>
                          <a:effectLst/>
                        </wps:spPr>
                        <wps:txbx>
                          <w:txbxContent>
                            <w:p w:rsidR="00F735BC" w:rsidRPr="00DA1FF7" w:rsidRDefault="00F735BC" w:rsidP="006A2C89">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Glavni grad Podgorica pruža odličan pristup informacijama preko svoje viber grupe</w:t>
                              </w:r>
                            </w:p>
                            <w:p w:rsidR="00F735BC" w:rsidRDefault="00F735BC" w:rsidP="006A2C89">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C3D5B8" id="Group 141" o:spid="_x0000_s1116" style="position:absolute;left:0;text-align:left;margin-left:8.85pt;margin-top:285.85pt;width:216.35pt;height:45.75pt;z-index:251887616;mso-wrap-distance-left:18pt;mso-wrap-distance-right:18pt;mso-position-horizontal-relative:margin;mso-position-vertical-relative:page;mso-width-relative:margin;mso-height-relative:margin" coordorigin="-1075,-651" coordsize="33262,20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">
                <v:rect id="Rectangle 142" o:spid="_x0000_s111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" stroked="f" strokeweight="2pt">
                  <v:fill opacity="0"/>
                </v:rect>
                <v:group id="Group 143" o:spid="_x0000_s111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Rectangle 10" o:spid="_x0000_s111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" path="m,l2240281,,1659256,222885,,822960,,xe" fillcolor="#7e97ad" stroked="f" strokeweight="2pt">
                    <v:path arrowok="t" o:connecttype="custom" o:connectlocs="0,0;1466258,0;1085979,274158;0,1012274;0,0" o:connectangles="0,0,0,0,0"/>
                  </v:shape>
                  <v:rect id="Rectangle 147" o:spid="_x0000_s112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" stroked="f" strokeweight="2pt">
                    <v:fill r:id="rId69" o:title="" recolor="t" rotate="t" type="frame"/>
                  </v:rect>
                </v:group>
                <v:shape id="Text Box 148" o:spid="_x0000_s1121" type="#_x0000_t202" style="position:absolute;left:-1075;top:-651;width:32899;height:20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" filled="f" stroked="f" strokeweight=".5pt">
                  <v:textbox inset="3.6pt,7.2pt,0,0">
                    <w:txbxContent>
                      <w:p w:rsidR="00F735BC" w:rsidRPr="00DA1FF7" w:rsidRDefault="00F735BC" w:rsidP="006A2C89">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Glavni grad Podgorica pruža odličan pristup informacijama preko svoje viber grupe</w:t>
                        </w:r>
                      </w:p>
                      <w:p w:rsidR="00F735BC" w:rsidRDefault="00F735BC" w:rsidP="006A2C89">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v:textbox>
                </v:shape>
                <w10:wrap type="square" anchorx="margin" anchory="page"/>
              </v:group>
            </w:pict>
          </mc:Fallback>
        </mc:AlternateContent>
      </w:r>
      <w:r w:rsidR="00167FB3" w:rsidRPr="00CB681C">
        <w:rPr>
          <w:rFonts w:asciiTheme="majorHAnsi" w:eastAsia="Calibri" w:hAnsiTheme="majorHAnsi" w:cstheme="majorHAnsi"/>
          <w:color w:val="auto"/>
          <w:kern w:val="0"/>
          <w:sz w:val="24"/>
          <w:szCs w:val="24"/>
          <w:lang w:eastAsia="zh-CN"/>
        </w:rPr>
        <w:t>Kada je u pitanju stav poslovne zajednice, 60% predstavnika biznisa smatra da organi uprave na zahtjeve za slobodan pristup informacijama odgovaraju blagovremeno u 2019. godini, 42% u 2020. godini, a 35% u 2021. godini. 64% njih smatra da je informacija dostavljena od strane organa relevantna i kompletna u 2019. godini, 47% u 2020. godini, a 43% u 2021. godini. 66% smatra da su informacije u posjedu organa vlasti dostavljene uz razuman trošak u 2019. godini, 41% u 2020. godini, a 35% u 2021. godini.</w:t>
      </w:r>
      <w:r w:rsidRPr="00CB681C">
        <w:rPr>
          <w:rFonts w:asciiTheme="majorHAnsi" w:eastAsia="Calibri" w:hAnsiTheme="majorHAnsi" w:cstheme="majorHAnsi"/>
          <w:noProof/>
          <w:color w:val="auto"/>
          <w:kern w:val="0"/>
          <w:sz w:val="24"/>
          <w:szCs w:val="24"/>
          <w:lang w:eastAsia="en-US"/>
        </w:rPr>
        <w:t xml:space="preserve"> </w:t>
      </w:r>
    </w:p>
    <w:p w:rsidR="00752595" w:rsidRPr="00CB681C" w:rsidRDefault="00752595" w:rsidP="00CB681C">
      <w:pPr>
        <w:tabs>
          <w:tab w:val="left" w:pos="850"/>
          <w:tab w:val="left" w:pos="1191"/>
          <w:tab w:val="left" w:pos="1531"/>
        </w:tabs>
        <w:spacing w:before="60" w:after="60" w:line="240" w:lineRule="auto"/>
        <w:ind w:right="-471"/>
        <w:jc w:val="both"/>
        <w:rPr>
          <w:rFonts w:asciiTheme="majorHAnsi" w:eastAsia="Calibri" w:hAnsiTheme="majorHAnsi" w:cstheme="majorHAnsi"/>
          <w:b/>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Na </w:t>
      </w:r>
      <w:r w:rsidR="00906668" w:rsidRPr="00CB681C">
        <w:rPr>
          <w:rFonts w:asciiTheme="majorHAnsi" w:eastAsia="Calibri" w:hAnsiTheme="majorHAnsi" w:cstheme="majorHAnsi"/>
          <w:color w:val="auto"/>
          <w:kern w:val="0"/>
          <w:sz w:val="24"/>
          <w:szCs w:val="24"/>
          <w:lang w:eastAsia="zh-CN"/>
        </w:rPr>
        <w:t>P</w:t>
      </w:r>
      <w:r w:rsidRPr="00CB681C">
        <w:rPr>
          <w:rFonts w:asciiTheme="majorHAnsi" w:eastAsia="Calibri" w:hAnsiTheme="majorHAnsi" w:cstheme="majorHAnsi"/>
          <w:color w:val="auto"/>
          <w:kern w:val="0"/>
          <w:sz w:val="24"/>
          <w:szCs w:val="24"/>
          <w:lang w:eastAsia="zh-CN"/>
        </w:rPr>
        <w:t xml:space="preserve">ortalu otvorenih podataka </w:t>
      </w:r>
      <w:hyperlink r:id="rId94" w:history="1">
        <w:r w:rsidR="008407AC" w:rsidRPr="00CB681C">
          <w:rPr>
            <w:rStyle w:val="Hyperlink"/>
            <w:rFonts w:asciiTheme="majorHAnsi" w:eastAsia="Calibri" w:hAnsiTheme="majorHAnsi" w:cstheme="majorHAnsi"/>
            <w:color w:val="auto"/>
            <w:kern w:val="0"/>
            <w:sz w:val="24"/>
            <w:szCs w:val="24"/>
            <w:lang w:eastAsia="zh-CN"/>
          </w:rPr>
          <w:t>https://data.gov.me/</w:t>
        </w:r>
      </w:hyperlink>
      <w:r w:rsidR="008407AC" w:rsidRPr="00CB681C">
        <w:rPr>
          <w:rFonts w:asciiTheme="majorHAnsi" w:eastAsia="Calibri" w:hAnsiTheme="majorHAnsi" w:cstheme="majorHAnsi"/>
          <w:color w:val="auto"/>
          <w:kern w:val="0"/>
          <w:sz w:val="24"/>
          <w:szCs w:val="24"/>
          <w:lang w:eastAsia="zh-CN"/>
        </w:rPr>
        <w:t xml:space="preserve"> </w:t>
      </w:r>
      <w:r w:rsidRPr="00CB681C">
        <w:rPr>
          <w:rFonts w:asciiTheme="majorHAnsi" w:eastAsia="Calibri" w:hAnsiTheme="majorHAnsi" w:cstheme="majorHAnsi"/>
          <w:color w:val="auto"/>
          <w:kern w:val="0"/>
          <w:sz w:val="24"/>
          <w:szCs w:val="24"/>
          <w:lang w:eastAsia="zh-CN"/>
        </w:rPr>
        <w:t xml:space="preserve">ukupno je 146 data setova, objavljenih od strane 20 institucija iz 15 različitih tematskih oblasti. </w:t>
      </w:r>
      <w:r w:rsidR="00C5712D" w:rsidRPr="00CB681C">
        <w:rPr>
          <w:rFonts w:asciiTheme="majorHAnsi" w:eastAsia="Calibri" w:hAnsiTheme="majorHAnsi" w:cstheme="majorHAnsi"/>
          <w:color w:val="auto"/>
          <w:kern w:val="0"/>
          <w:sz w:val="24"/>
          <w:szCs w:val="24"/>
          <w:lang w:eastAsia="zh-CN"/>
        </w:rPr>
        <w:t>Do danas ukupan broj preuzetih podataka sa portala otvorenih podataka je 61,672.</w:t>
      </w:r>
      <w:r w:rsidR="00B23FA0" w:rsidRPr="00CB681C">
        <w:rPr>
          <w:rFonts w:asciiTheme="majorHAnsi" w:eastAsia="Calibri" w:hAnsiTheme="majorHAnsi" w:cstheme="majorHAnsi"/>
          <w:color w:val="auto"/>
          <w:kern w:val="0"/>
          <w:sz w:val="24"/>
          <w:szCs w:val="24"/>
          <w:lang w:eastAsia="zh-CN"/>
        </w:rPr>
        <w:t xml:space="preserve"> Podaci na portalu su dostupni u formi </w:t>
      </w:r>
      <w:r w:rsidR="00B23FA0" w:rsidRPr="00CB681C">
        <w:rPr>
          <w:rFonts w:asciiTheme="majorHAnsi" w:eastAsia="Calibri" w:hAnsiTheme="majorHAnsi" w:cstheme="majorHAnsi"/>
          <w:i/>
          <w:color w:val="auto"/>
          <w:kern w:val="0"/>
          <w:sz w:val="24"/>
          <w:szCs w:val="24"/>
          <w:lang w:eastAsia="zh-CN"/>
        </w:rPr>
        <w:t>excel</w:t>
      </w:r>
      <w:r w:rsidR="00956AA6" w:rsidRPr="00CB681C">
        <w:rPr>
          <w:rFonts w:asciiTheme="majorHAnsi" w:eastAsia="Calibri" w:hAnsiTheme="majorHAnsi" w:cstheme="majorHAnsi"/>
          <w:color w:val="auto"/>
          <w:kern w:val="0"/>
          <w:sz w:val="24"/>
          <w:szCs w:val="24"/>
          <w:lang w:eastAsia="zh-CN"/>
        </w:rPr>
        <w:t xml:space="preserve">, </w:t>
      </w:r>
      <w:r w:rsidR="00956AA6" w:rsidRPr="00CB681C">
        <w:rPr>
          <w:rFonts w:asciiTheme="majorHAnsi" w:eastAsia="Calibri" w:hAnsiTheme="majorHAnsi" w:cstheme="majorHAnsi"/>
          <w:i/>
          <w:color w:val="auto"/>
          <w:kern w:val="0"/>
          <w:sz w:val="24"/>
          <w:szCs w:val="24"/>
          <w:lang w:eastAsia="zh-CN"/>
        </w:rPr>
        <w:t>cvs, xml, json.</w:t>
      </w:r>
    </w:p>
    <w:p w:rsidR="0095234E" w:rsidRPr="00CB681C" w:rsidRDefault="00167FB3" w:rsidP="00B43D4E">
      <w:pPr>
        <w:pStyle w:val="ListParagraph"/>
        <w:keepNext/>
        <w:keepLines/>
        <w:numPr>
          <w:ilvl w:val="0"/>
          <w:numId w:val="34"/>
        </w:numPr>
        <w:spacing w:before="240" w:after="240" w:line="240" w:lineRule="auto"/>
        <w:ind w:right="-475"/>
        <w:contextualSpacing w:val="0"/>
        <w:jc w:val="both"/>
        <w:outlineLvl w:val="2"/>
        <w:rPr>
          <w:rFonts w:asciiTheme="majorHAnsi" w:eastAsia="Calibri" w:hAnsiTheme="majorHAnsi" w:cstheme="majorHAnsi"/>
          <w:b/>
          <w:color w:val="auto"/>
          <w:kern w:val="0"/>
          <w:sz w:val="24"/>
          <w:szCs w:val="24"/>
        </w:rPr>
      </w:pPr>
      <w:bookmarkStart w:id="36" w:name="_Toc87353410"/>
      <w:r w:rsidRPr="00CB681C">
        <w:rPr>
          <w:rFonts w:asciiTheme="majorHAnsi" w:eastAsia="Calibri" w:hAnsiTheme="majorHAnsi" w:cstheme="majorHAnsi"/>
          <w:b/>
          <w:color w:val="auto"/>
          <w:kern w:val="0"/>
          <w:sz w:val="24"/>
          <w:szCs w:val="24"/>
        </w:rPr>
        <w:t>IDENTIFIKOVANI PROBLEMI</w:t>
      </w:r>
      <w:bookmarkEnd w:id="36"/>
    </w:p>
    <w:p w:rsidR="00116872" w:rsidRPr="00CB681C" w:rsidRDefault="00116872" w:rsidP="00B43D4E">
      <w:pPr>
        <w:pStyle w:val="ListParagraph"/>
        <w:numPr>
          <w:ilvl w:val="0"/>
          <w:numId w:val="35"/>
        </w:numPr>
        <w:tabs>
          <w:tab w:val="left" w:pos="850"/>
          <w:tab w:val="left" w:pos="1191"/>
          <w:tab w:val="left" w:pos="1531"/>
        </w:tabs>
        <w:spacing w:before="60" w:after="60" w:line="240" w:lineRule="auto"/>
        <w:ind w:left="274" w:right="-471" w:hanging="274"/>
        <w:contextualSpacing w:val="0"/>
        <w:jc w:val="both"/>
        <w:rPr>
          <w:rFonts w:asciiTheme="majorHAnsi" w:eastAsia="Calibri" w:hAnsiTheme="majorHAnsi" w:cstheme="majorHAnsi"/>
          <w:b/>
          <w:i/>
          <w:color w:val="auto"/>
          <w:kern w:val="0"/>
          <w:sz w:val="24"/>
          <w:szCs w:val="24"/>
          <w:lang w:eastAsia="zh-CN"/>
        </w:rPr>
      </w:pPr>
      <w:r w:rsidRPr="00CB681C">
        <w:rPr>
          <w:rFonts w:asciiTheme="majorHAnsi" w:eastAsia="Calibri" w:hAnsiTheme="majorHAnsi" w:cstheme="majorHAnsi"/>
          <w:b/>
          <w:i/>
          <w:color w:val="auto"/>
          <w:kern w:val="0"/>
          <w:sz w:val="24"/>
          <w:szCs w:val="24"/>
          <w:lang w:eastAsia="zh-CN"/>
        </w:rPr>
        <w:t>Nedovoljni kapaciteti Agencije za zaštitu ličnih podataka i slobodan pristup informacijama za efikasno sprovodjenje ZSPI</w:t>
      </w:r>
    </w:p>
    <w:p w:rsidR="00116872" w:rsidRPr="00CB681C" w:rsidRDefault="006A2BF7" w:rsidP="00CB681C">
      <w:pPr>
        <w:pStyle w:val="ListParagraph"/>
        <w:tabs>
          <w:tab w:val="left" w:pos="850"/>
          <w:tab w:val="left" w:pos="1191"/>
          <w:tab w:val="left" w:pos="1531"/>
        </w:tabs>
        <w:spacing w:before="60" w:after="60" w:line="240" w:lineRule="auto"/>
        <w:ind w:left="0" w:right="-475"/>
        <w:contextualSpacing w:val="0"/>
        <w:jc w:val="both"/>
        <w:rPr>
          <w:rFonts w:asciiTheme="majorHAnsi" w:eastAsia="Calibri" w:hAnsiTheme="majorHAnsi" w:cstheme="majorHAnsi"/>
          <w:color w:val="auto"/>
          <w:sz w:val="24"/>
          <w:szCs w:val="24"/>
          <w:shd w:val="clear" w:color="auto" w:fill="FFFFFF"/>
          <w:lang w:val="bs-Latn-BA"/>
        </w:rPr>
      </w:pPr>
      <w:r w:rsidRPr="00CB681C">
        <w:rPr>
          <w:rFonts w:asciiTheme="majorHAnsi" w:hAnsiTheme="majorHAnsi" w:cstheme="majorHAnsi"/>
          <w:color w:val="auto"/>
          <w:sz w:val="24"/>
          <w:szCs w:val="24"/>
        </w:rPr>
        <w:t>Izvještaj o stanju zaštite ličnih podataka i stanju u oblasti pristupa informacijama za 2020. godinu,</w:t>
      </w:r>
      <w:r w:rsidRPr="00CB681C">
        <w:rPr>
          <w:rStyle w:val="FootnoteReference"/>
          <w:rFonts w:asciiTheme="majorHAnsi" w:hAnsiTheme="majorHAnsi" w:cstheme="majorHAnsi"/>
          <w:color w:val="auto"/>
          <w:sz w:val="24"/>
          <w:szCs w:val="24"/>
        </w:rPr>
        <w:footnoteReference w:id="90"/>
      </w:r>
      <w:r w:rsidRPr="00CB681C">
        <w:rPr>
          <w:rFonts w:asciiTheme="majorHAnsi" w:hAnsiTheme="majorHAnsi" w:cstheme="majorHAnsi"/>
          <w:color w:val="auto"/>
          <w:sz w:val="24"/>
          <w:szCs w:val="24"/>
        </w:rPr>
        <w:t xml:space="preserve"> konstatuje da administrativni kapaciteti Agencije ostaju ograničeni i da je neophodno ojačati administrativne kapacitete kroz zapošljavanje određenog broja izvršilaca i edukaciju postojećeg kadra. Od ukupno sistematizovanih 28 radnih mjesta sa 47 izvršioca, na kraju 2020. godine definisane poslove i zadatke je obavljalo 30 izvršilaca (63,83%). Nadležnosti i obim posla Agencije nije srazmeran</w:t>
      </w:r>
      <w:r w:rsidR="000408E3" w:rsidRPr="00CB681C">
        <w:rPr>
          <w:rFonts w:asciiTheme="majorHAnsi" w:hAnsiTheme="majorHAnsi" w:cstheme="majorHAnsi"/>
          <w:color w:val="auto"/>
          <w:sz w:val="24"/>
          <w:szCs w:val="24"/>
        </w:rPr>
        <w:t xml:space="preserve"> trenutnim</w:t>
      </w:r>
      <w:r w:rsidRPr="00CB681C">
        <w:rPr>
          <w:rFonts w:asciiTheme="majorHAnsi" w:hAnsiTheme="majorHAnsi" w:cstheme="majorHAnsi"/>
          <w:color w:val="auto"/>
          <w:sz w:val="24"/>
          <w:szCs w:val="24"/>
        </w:rPr>
        <w:t xml:space="preserve"> kapacitetima, npr. samo u oblasti SPI, toku 2020. godine odlučeno je ukupno po 4.328 žalbi upućenih Agenciji kao drugostepenom organu, shodno Zakonu o slobodnom pristupu informacijama</w:t>
      </w:r>
      <w:r w:rsidR="00BC0956" w:rsidRPr="00CB681C">
        <w:rPr>
          <w:rFonts w:asciiTheme="majorHAnsi" w:hAnsiTheme="majorHAnsi" w:cstheme="majorHAnsi"/>
          <w:color w:val="auto"/>
          <w:sz w:val="24"/>
          <w:szCs w:val="24"/>
        </w:rPr>
        <w:t xml:space="preserve">. </w:t>
      </w:r>
      <w:r w:rsidR="00BC0956" w:rsidRPr="00CB681C">
        <w:rPr>
          <w:rFonts w:asciiTheme="majorHAnsi" w:hAnsiTheme="majorHAnsi" w:cstheme="majorHAnsi"/>
          <w:color w:val="auto"/>
          <w:sz w:val="24"/>
          <w:szCs w:val="24"/>
          <w:shd w:val="clear" w:color="auto" w:fill="FFFFFF"/>
          <w:lang w:val="bs-Latn-BA"/>
        </w:rPr>
        <w:t xml:space="preserve">Broj žalbi koje primi Agencija izuzetno je visok. Premda Agencija identifikuje oko 3.000-4.000 zahtjeva u informacionom sistemu, sa 2/3 pozitivnih odluka, ona istovremeno primi više od 3.000 žalbi u toku </w:t>
      </w:r>
      <w:r w:rsidR="00BC0956" w:rsidRPr="00CB681C">
        <w:rPr>
          <w:rFonts w:asciiTheme="majorHAnsi" w:hAnsiTheme="majorHAnsi" w:cstheme="majorHAnsi"/>
          <w:color w:val="auto"/>
          <w:sz w:val="24"/>
          <w:szCs w:val="24"/>
          <w:shd w:val="clear" w:color="auto" w:fill="FFFFFF"/>
          <w:lang w:val="bs-Latn-BA"/>
        </w:rPr>
        <w:lastRenderedPageBreak/>
        <w:t>jedne godine. Pozitivan trend blagog pada broja žalbi zabilježen je u periodu od 2016. do 2020. godine, kao i porast u broju rješenja Agencije (npr. 2.687 tokom 2016, a 4.238 u 2020. godini).</w:t>
      </w:r>
      <w:r w:rsidR="00BC0956" w:rsidRPr="00CB681C">
        <w:rPr>
          <w:rStyle w:val="FootnoteReference"/>
          <w:rFonts w:asciiTheme="majorHAnsi" w:hAnsiTheme="majorHAnsi" w:cstheme="majorHAnsi"/>
          <w:color w:val="auto"/>
          <w:sz w:val="24"/>
          <w:szCs w:val="24"/>
          <w:shd w:val="clear" w:color="auto" w:fill="FFFFFF"/>
          <w:lang w:val="bs-Latn-BA"/>
        </w:rPr>
        <w:footnoteReference w:id="91"/>
      </w:r>
      <w:r w:rsidR="00BC0956" w:rsidRPr="00CB681C">
        <w:rPr>
          <w:rFonts w:asciiTheme="majorHAnsi" w:hAnsiTheme="majorHAnsi" w:cstheme="majorHAnsi"/>
          <w:color w:val="auto"/>
          <w:sz w:val="24"/>
          <w:szCs w:val="24"/>
          <w:shd w:val="clear" w:color="auto" w:fill="FFFFFF"/>
          <w:lang w:val="bs-Latn-BA"/>
        </w:rPr>
        <w:t xml:space="preserve"> Međutim, činjenica da Agencija ne može postupati po svim žalbama pravovremeno zbog njihovog velikog broja i kratkog roka koji je za to predviđen (15 dana) dovodi do velikog broja postupaka pokrenutih pred sudom. </w:t>
      </w:r>
      <w:r w:rsidR="005917FD" w:rsidRPr="00CB681C">
        <w:rPr>
          <w:rFonts w:asciiTheme="majorHAnsi" w:hAnsiTheme="majorHAnsi" w:cstheme="majorHAnsi"/>
          <w:color w:val="auto"/>
          <w:sz w:val="24"/>
          <w:szCs w:val="24"/>
          <w:shd w:val="clear" w:color="auto" w:fill="FFFFFF"/>
          <w:lang w:val="bs-Latn-BA"/>
        </w:rPr>
        <w:t xml:space="preserve"> </w:t>
      </w:r>
      <w:r w:rsidR="005917FD" w:rsidRPr="00CB681C">
        <w:rPr>
          <w:rFonts w:asciiTheme="majorHAnsi" w:eastAsia="Calibri" w:hAnsiTheme="majorHAnsi" w:cstheme="majorHAnsi"/>
          <w:color w:val="auto"/>
          <w:sz w:val="24"/>
          <w:szCs w:val="24"/>
          <w:shd w:val="clear" w:color="auto" w:fill="FFFFFF"/>
          <w:lang w:val="bs-Latn-BA"/>
        </w:rPr>
        <w:t>U periodu 2018-2020. godina, pokrenuto je ukupno 5387 upravnih sporova</w:t>
      </w:r>
      <w:r w:rsidR="005917FD" w:rsidRPr="00CB681C">
        <w:rPr>
          <w:rFonts w:asciiTheme="majorHAnsi" w:eastAsia="Calibri" w:hAnsiTheme="majorHAnsi" w:cstheme="majorHAnsi"/>
          <w:b/>
          <w:color w:val="auto"/>
          <w:sz w:val="24"/>
          <w:szCs w:val="24"/>
          <w:shd w:val="clear" w:color="auto" w:fill="FFFFFF"/>
          <w:lang w:val="bs-Latn-BA"/>
        </w:rPr>
        <w:t xml:space="preserve"> </w:t>
      </w:r>
      <w:r w:rsidR="005917FD" w:rsidRPr="00CB681C">
        <w:rPr>
          <w:rFonts w:asciiTheme="majorHAnsi" w:eastAsia="Calibri" w:hAnsiTheme="majorHAnsi" w:cstheme="majorHAnsi"/>
          <w:color w:val="auto"/>
          <w:sz w:val="24"/>
          <w:szCs w:val="24"/>
          <w:shd w:val="clear" w:color="auto" w:fill="FFFFFF"/>
          <w:lang w:val="bs-Latn-BA"/>
        </w:rPr>
        <w:t xml:space="preserve">zbog rješenja Agencije (1948 ili 36,16%) ili ćutanja Agencije (3437 ili 63,83%). Dominantan udio sporova zbog nepostupanja Agencije (63,80%) pokazuje da </w:t>
      </w:r>
      <w:r w:rsidR="005917FD" w:rsidRPr="00CB681C">
        <w:rPr>
          <w:rFonts w:asciiTheme="majorHAnsi" w:eastAsia="Calibri" w:hAnsiTheme="majorHAnsi" w:cstheme="majorHAnsi"/>
          <w:b/>
          <w:color w:val="auto"/>
          <w:sz w:val="24"/>
          <w:szCs w:val="24"/>
          <w:shd w:val="clear" w:color="auto" w:fill="FFFFFF"/>
          <w:lang w:val="bs-Latn-BA"/>
        </w:rPr>
        <w:t>Agencija nema kapacitete</w:t>
      </w:r>
      <w:r w:rsidR="00EE5759" w:rsidRPr="00CB681C">
        <w:rPr>
          <w:rFonts w:asciiTheme="majorHAnsi" w:eastAsia="Calibri" w:hAnsiTheme="majorHAnsi" w:cstheme="majorHAnsi"/>
          <w:b/>
          <w:color w:val="auto"/>
          <w:sz w:val="24"/>
          <w:szCs w:val="24"/>
          <w:shd w:val="clear" w:color="auto" w:fill="FFFFFF"/>
          <w:lang w:val="bs-Latn-BA"/>
        </w:rPr>
        <w:t xml:space="preserve"> da predmete rješava u Z</w:t>
      </w:r>
      <w:r w:rsidR="005917FD" w:rsidRPr="00CB681C">
        <w:rPr>
          <w:rFonts w:asciiTheme="majorHAnsi" w:eastAsia="Calibri" w:hAnsiTheme="majorHAnsi" w:cstheme="majorHAnsi"/>
          <w:b/>
          <w:color w:val="auto"/>
          <w:sz w:val="24"/>
          <w:szCs w:val="24"/>
          <w:shd w:val="clear" w:color="auto" w:fill="FFFFFF"/>
          <w:lang w:val="bs-Latn-BA"/>
        </w:rPr>
        <w:t>akonom propisanom roku</w:t>
      </w:r>
      <w:r w:rsidR="005917FD" w:rsidRPr="00CB681C">
        <w:rPr>
          <w:rFonts w:asciiTheme="majorHAnsi" w:eastAsia="Calibri" w:hAnsiTheme="majorHAnsi" w:cstheme="majorHAnsi"/>
          <w:color w:val="auto"/>
          <w:sz w:val="24"/>
          <w:szCs w:val="24"/>
          <w:shd w:val="clear" w:color="auto" w:fill="FFFFFF"/>
          <w:lang w:val="bs-Latn-BA"/>
        </w:rPr>
        <w:t>.</w:t>
      </w:r>
    </w:p>
    <w:p w:rsidR="00AA64B8" w:rsidRPr="00CB681C" w:rsidRDefault="000408E3" w:rsidP="00CB681C">
      <w:pPr>
        <w:pStyle w:val="ListParagraph"/>
        <w:tabs>
          <w:tab w:val="left" w:pos="850"/>
          <w:tab w:val="left" w:pos="1191"/>
          <w:tab w:val="left" w:pos="1531"/>
        </w:tabs>
        <w:spacing w:before="60" w:after="60" w:line="240" w:lineRule="auto"/>
        <w:ind w:left="0" w:right="-475"/>
        <w:contextualSpacing w:val="0"/>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sz w:val="24"/>
          <w:szCs w:val="24"/>
          <w:lang w:val="bs-Latn-BA"/>
        </w:rPr>
        <w:t>Sa druge strane, u</w:t>
      </w:r>
      <w:r w:rsidR="00AA64B8" w:rsidRPr="00CB681C">
        <w:rPr>
          <w:rFonts w:asciiTheme="majorHAnsi" w:eastAsia="Calibri" w:hAnsiTheme="majorHAnsi" w:cstheme="majorHAnsi"/>
          <w:color w:val="auto"/>
          <w:sz w:val="24"/>
          <w:szCs w:val="24"/>
          <w:lang w:val="bs-Latn-BA"/>
        </w:rPr>
        <w:t>spostavljanje adekvatnog sistema za upravljanje predmetima od ključnog je značaja za uspjeh u radu na žalbama i upravnim sporovima, za poštovanje rokova, obezbjeđenje djelotvornosti u radu i praćenje primjene zakona. Agencija još uvijek nije uspostavila sistem elektronskog upravljanja</w:t>
      </w:r>
      <w:r w:rsidR="00121340" w:rsidRPr="00CB681C">
        <w:rPr>
          <w:rFonts w:asciiTheme="majorHAnsi" w:eastAsia="Calibri" w:hAnsiTheme="majorHAnsi" w:cstheme="majorHAnsi"/>
          <w:color w:val="auto"/>
          <w:sz w:val="24"/>
          <w:szCs w:val="24"/>
          <w:lang w:val="bs-Latn-BA"/>
        </w:rPr>
        <w:t xml:space="preserve"> dokumentima</w:t>
      </w:r>
      <w:r w:rsidR="00AA64B8" w:rsidRPr="00CB681C">
        <w:rPr>
          <w:rFonts w:asciiTheme="majorHAnsi" w:eastAsia="Calibri" w:hAnsiTheme="majorHAnsi" w:cstheme="majorHAnsi"/>
          <w:color w:val="auto"/>
          <w:sz w:val="24"/>
          <w:szCs w:val="24"/>
          <w:lang w:val="bs-Latn-BA"/>
        </w:rPr>
        <w:t>, već se i dalje u radu koristi papir, što onemogućava praćenje i upravljanje dokumentima, grupama dokumenata i upravljanje timovima, što obuhvata i izvještavanje i analize. Dodatno</w:t>
      </w:r>
      <w:r w:rsidRPr="00CB681C">
        <w:rPr>
          <w:rFonts w:asciiTheme="majorHAnsi" w:eastAsia="Calibri" w:hAnsiTheme="majorHAnsi" w:cstheme="majorHAnsi"/>
          <w:color w:val="auto"/>
          <w:sz w:val="24"/>
          <w:szCs w:val="24"/>
          <w:lang w:val="bs-Latn-BA"/>
        </w:rPr>
        <w:t>,</w:t>
      </w:r>
      <w:r w:rsidR="00AA64B8" w:rsidRPr="00CB681C">
        <w:rPr>
          <w:rFonts w:asciiTheme="majorHAnsi" w:eastAsia="Calibri" w:hAnsiTheme="majorHAnsi" w:cstheme="majorHAnsi"/>
          <w:color w:val="auto"/>
          <w:sz w:val="24"/>
          <w:szCs w:val="24"/>
          <w:lang w:val="bs-Latn-BA"/>
        </w:rPr>
        <w:t xml:space="preserve"> nepotpun je </w:t>
      </w:r>
      <w:r w:rsidRPr="00CB681C">
        <w:rPr>
          <w:rFonts w:asciiTheme="majorHAnsi" w:eastAsia="Calibri" w:hAnsiTheme="majorHAnsi" w:cstheme="majorHAnsi"/>
          <w:color w:val="auto"/>
          <w:sz w:val="24"/>
          <w:szCs w:val="24"/>
          <w:lang w:val="bs-Latn-BA"/>
        </w:rPr>
        <w:t xml:space="preserve">spoljni </w:t>
      </w:r>
      <w:r w:rsidR="00AA64B8" w:rsidRPr="00CB681C">
        <w:rPr>
          <w:rFonts w:asciiTheme="majorHAnsi" w:eastAsia="Calibri" w:hAnsiTheme="majorHAnsi" w:cstheme="majorHAnsi"/>
          <w:color w:val="auto"/>
          <w:kern w:val="0"/>
          <w:sz w:val="24"/>
          <w:szCs w:val="24"/>
          <w:lang w:eastAsia="zh-CN"/>
        </w:rPr>
        <w:t>monitoring sistem Agencije. Agencija za zaštitu ličnih podataka i slobodan pristup informacijama počela je da vrši monitoring proaktivnog objavljivanja informacija od marta 2017. godine, ali ne posjeduje IT sistem za prikupljanje podataka, evidenciju svih zahtjeva i riješenja.</w:t>
      </w:r>
      <w:r w:rsidR="00AA64B8" w:rsidRPr="00CB681C">
        <w:rPr>
          <w:rStyle w:val="FootnoteReference"/>
          <w:rFonts w:asciiTheme="majorHAnsi" w:eastAsia="Calibri" w:hAnsiTheme="majorHAnsi" w:cstheme="majorHAnsi"/>
          <w:color w:val="auto"/>
          <w:kern w:val="0"/>
          <w:sz w:val="24"/>
          <w:szCs w:val="24"/>
          <w:lang w:eastAsia="zh-CN"/>
        </w:rPr>
        <w:footnoteReference w:id="92"/>
      </w:r>
      <w:r w:rsidR="00AA64B8" w:rsidRPr="00CB681C">
        <w:rPr>
          <w:rFonts w:asciiTheme="majorHAnsi" w:eastAsia="Calibri" w:hAnsiTheme="majorHAnsi" w:cstheme="majorHAnsi"/>
          <w:color w:val="auto"/>
          <w:kern w:val="0"/>
          <w:sz w:val="24"/>
          <w:szCs w:val="24"/>
          <w:lang w:eastAsia="zh-CN"/>
        </w:rPr>
        <w:t xml:space="preserve"> Dodatno, Agencija nema ovlašćenje izricanja sankcija zbog kršenja Zakona, već su ovakvi slučajevi u isključivoj nadležnosti Upravne inspekcije, koja može podnijeti zahtjev za pokretanje</w:t>
      </w:r>
      <w:r w:rsidR="00576B0C" w:rsidRPr="00CB681C">
        <w:rPr>
          <w:rFonts w:asciiTheme="majorHAnsi" w:eastAsia="Calibri" w:hAnsiTheme="majorHAnsi" w:cstheme="majorHAnsi"/>
          <w:color w:val="auto"/>
          <w:kern w:val="0"/>
          <w:sz w:val="24"/>
          <w:szCs w:val="24"/>
          <w:lang w:eastAsia="zh-CN"/>
        </w:rPr>
        <w:t xml:space="preserve"> prekršajnog</w:t>
      </w:r>
      <w:r w:rsidR="00AA64B8" w:rsidRPr="00CB681C">
        <w:rPr>
          <w:rFonts w:asciiTheme="majorHAnsi" w:eastAsia="Calibri" w:hAnsiTheme="majorHAnsi" w:cstheme="majorHAnsi"/>
          <w:color w:val="auto"/>
          <w:kern w:val="0"/>
          <w:sz w:val="24"/>
          <w:szCs w:val="24"/>
          <w:lang w:eastAsia="zh-CN"/>
        </w:rPr>
        <w:t xml:space="preserve"> postupka. Prema podacima SIGMA, Agencija je tokom 2016. godine podnijela 243 ovakva zahtjeva Upravnoj inspekciji, ali ne raspolaže podacima o postupcima Upravne inspekcije po podnijetim zahtjevima niti o rezultatima pokrentutih prek</w:t>
      </w:r>
      <w:r w:rsidR="00576B0C" w:rsidRPr="00CB681C">
        <w:rPr>
          <w:rFonts w:asciiTheme="majorHAnsi" w:eastAsia="Calibri" w:hAnsiTheme="majorHAnsi" w:cstheme="majorHAnsi"/>
          <w:color w:val="auto"/>
          <w:kern w:val="0"/>
          <w:sz w:val="24"/>
          <w:szCs w:val="24"/>
          <w:lang w:eastAsia="zh-CN"/>
        </w:rPr>
        <w:t>r</w:t>
      </w:r>
      <w:r w:rsidR="00AA64B8" w:rsidRPr="00CB681C">
        <w:rPr>
          <w:rFonts w:asciiTheme="majorHAnsi" w:eastAsia="Calibri" w:hAnsiTheme="majorHAnsi" w:cstheme="majorHAnsi"/>
          <w:color w:val="auto"/>
          <w:kern w:val="0"/>
          <w:sz w:val="24"/>
          <w:szCs w:val="24"/>
          <w:lang w:eastAsia="zh-CN"/>
        </w:rPr>
        <w:t xml:space="preserve">šajnih postupaka. Imajući ovo u vidu, SIGMA je konstatovala da nedostatak informacija o posljedicama nepoštovanja zakonskog okvira ukazuje na to da postojeći mehanizam monitoringa nije efikasan. </w:t>
      </w:r>
    </w:p>
    <w:p w:rsidR="00AA64B8" w:rsidRPr="00CB681C" w:rsidRDefault="00AA64B8" w:rsidP="00CB681C">
      <w:pPr>
        <w:pStyle w:val="ListParagraph"/>
        <w:tabs>
          <w:tab w:val="left" w:pos="850"/>
          <w:tab w:val="left" w:pos="1191"/>
          <w:tab w:val="left" w:pos="1531"/>
        </w:tabs>
        <w:spacing w:before="60" w:after="60" w:line="240" w:lineRule="auto"/>
        <w:ind w:left="0" w:right="-471"/>
        <w:contextualSpacing w:val="0"/>
        <w:jc w:val="both"/>
        <w:rPr>
          <w:rFonts w:asciiTheme="majorHAnsi" w:hAnsiTheme="majorHAnsi" w:cstheme="majorHAnsi"/>
          <w:color w:val="auto"/>
          <w:sz w:val="24"/>
          <w:szCs w:val="24"/>
        </w:rPr>
      </w:pPr>
      <w:r w:rsidRPr="00CB681C">
        <w:rPr>
          <w:rFonts w:asciiTheme="majorHAnsi" w:eastAsia="Calibri" w:hAnsiTheme="majorHAnsi" w:cstheme="majorHAnsi"/>
          <w:color w:val="auto"/>
          <w:kern w:val="0"/>
          <w:sz w:val="24"/>
          <w:szCs w:val="24"/>
          <w:lang w:eastAsia="zh-CN"/>
        </w:rPr>
        <w:t>Sem što se z</w:t>
      </w:r>
      <w:r w:rsidR="006A2BF7" w:rsidRPr="00CB681C">
        <w:rPr>
          <w:rFonts w:asciiTheme="majorHAnsi" w:eastAsia="Calibri" w:hAnsiTheme="majorHAnsi" w:cstheme="majorHAnsi"/>
          <w:color w:val="auto"/>
          <w:kern w:val="0"/>
          <w:sz w:val="24"/>
          <w:szCs w:val="24"/>
          <w:lang w:val="sr-Latn-ME" w:eastAsia="zh-CN"/>
        </w:rPr>
        <w:t xml:space="preserve">akonodavni okvir </w:t>
      </w:r>
      <w:r w:rsidRPr="00CB681C">
        <w:rPr>
          <w:rFonts w:asciiTheme="majorHAnsi" w:eastAsia="Calibri" w:hAnsiTheme="majorHAnsi" w:cstheme="majorHAnsi"/>
          <w:color w:val="auto"/>
          <w:kern w:val="0"/>
          <w:sz w:val="24"/>
          <w:szCs w:val="24"/>
          <w:lang w:val="sr-Latn-ME" w:eastAsia="zh-CN"/>
        </w:rPr>
        <w:t>mora uskladiti</w:t>
      </w:r>
      <w:r w:rsidR="006A2BF7" w:rsidRPr="00CB681C">
        <w:rPr>
          <w:rFonts w:asciiTheme="majorHAnsi" w:eastAsia="Calibri" w:hAnsiTheme="majorHAnsi" w:cstheme="majorHAnsi"/>
          <w:color w:val="auto"/>
          <w:kern w:val="0"/>
          <w:sz w:val="24"/>
          <w:szCs w:val="24"/>
          <w:lang w:val="sr-Latn-ME" w:eastAsia="zh-CN"/>
        </w:rPr>
        <w:t xml:space="preserve"> sa Konvencijom Savjeta Evrope o pristupu službenim dokumentima i </w:t>
      </w:r>
      <w:r w:rsidR="006A2BF7" w:rsidRPr="00CB681C">
        <w:rPr>
          <w:rFonts w:asciiTheme="majorHAnsi" w:eastAsia="Calibri" w:hAnsiTheme="majorHAnsi" w:cstheme="majorHAnsi"/>
          <w:bCs/>
          <w:color w:val="auto"/>
          <w:kern w:val="0"/>
          <w:sz w:val="24"/>
          <w:szCs w:val="24"/>
          <w:lang w:val="sr-Latn-ME" w:eastAsia="zh-CN"/>
        </w:rPr>
        <w:t>Direktivom (EU) 2019/1024</w:t>
      </w:r>
      <w:r w:rsidRPr="00CB681C">
        <w:rPr>
          <w:rFonts w:asciiTheme="majorHAnsi" w:eastAsia="Calibri" w:hAnsiTheme="majorHAnsi" w:cstheme="majorHAnsi"/>
          <w:bCs/>
          <w:color w:val="auto"/>
          <w:kern w:val="0"/>
          <w:sz w:val="24"/>
          <w:szCs w:val="24"/>
          <w:lang w:val="sr-Latn-ME" w:eastAsia="zh-CN"/>
        </w:rPr>
        <w:t xml:space="preserve">, potrebno je izmjeniti Zakon o SPI kako bi se </w:t>
      </w:r>
      <w:r w:rsidRPr="00CB681C">
        <w:rPr>
          <w:rFonts w:asciiTheme="majorHAnsi" w:eastAsia="Calibri" w:hAnsiTheme="majorHAnsi" w:cstheme="majorHAnsi"/>
          <w:b/>
          <w:bCs/>
          <w:color w:val="auto"/>
          <w:kern w:val="0"/>
          <w:sz w:val="24"/>
          <w:szCs w:val="24"/>
          <w:lang w:val="sr-Latn-ME" w:eastAsia="zh-CN"/>
        </w:rPr>
        <w:t>smanjile zloupotrebe</w:t>
      </w:r>
      <w:r w:rsidRPr="00CB681C">
        <w:rPr>
          <w:rFonts w:asciiTheme="majorHAnsi" w:eastAsia="Calibri" w:hAnsiTheme="majorHAnsi" w:cstheme="majorHAnsi"/>
          <w:bCs/>
          <w:color w:val="auto"/>
          <w:kern w:val="0"/>
          <w:sz w:val="24"/>
          <w:szCs w:val="24"/>
          <w:lang w:val="sr-Latn-ME" w:eastAsia="zh-CN"/>
        </w:rPr>
        <w:t xml:space="preserve">. </w:t>
      </w:r>
      <w:r w:rsidRPr="00CB681C">
        <w:rPr>
          <w:rFonts w:asciiTheme="majorHAnsi" w:eastAsia="Calibri" w:hAnsiTheme="majorHAnsi" w:cstheme="majorHAnsi"/>
          <w:color w:val="auto"/>
          <w:sz w:val="24"/>
          <w:szCs w:val="24"/>
          <w:shd w:val="clear" w:color="auto" w:fill="FFFFFF"/>
          <w:lang w:val="bs-Latn-BA"/>
        </w:rPr>
        <w:t>Trenutna nemogućnost spajanja žalbi na odluke o SPI, dovodi do zloupotreba kada se više zahtjeva za informacijama na istu temu podnose odjednom, a u trenutku kad nema odgovora, isti broj žalbi se može podnijeti Agenciji. Postojeći zakonski okvir ne dozvoljava Agenciji da ove žalbe spoji u jednu kako bi ih efikasnije procesuirala. Zakon o upravnom postupku</w:t>
      </w:r>
      <w:r w:rsidRPr="00CB681C">
        <w:rPr>
          <w:rStyle w:val="FootnoteReference"/>
          <w:rFonts w:asciiTheme="majorHAnsi" w:eastAsia="Calibri" w:hAnsiTheme="majorHAnsi" w:cstheme="majorHAnsi"/>
          <w:color w:val="auto"/>
          <w:sz w:val="24"/>
          <w:szCs w:val="24"/>
          <w:shd w:val="clear" w:color="auto" w:fill="FFFFFF"/>
          <w:lang w:val="bs-Latn-BA"/>
        </w:rPr>
        <w:footnoteReference w:id="93"/>
      </w:r>
      <w:r w:rsidRPr="00CB681C">
        <w:rPr>
          <w:rFonts w:asciiTheme="majorHAnsi" w:eastAsia="Calibri" w:hAnsiTheme="majorHAnsi" w:cstheme="majorHAnsi"/>
          <w:color w:val="auto"/>
          <w:sz w:val="24"/>
          <w:szCs w:val="24"/>
          <w:shd w:val="clear" w:color="auto" w:fill="FFFFFF"/>
          <w:lang w:val="bs-Latn-BA"/>
        </w:rPr>
        <w:t xml:space="preserve"> (ZUP) ne dozvoljava spajanje žalbi (osim ako to ne dozvoljava poseban zakon), a Zakon o slobodnom pristupu informacijama to takođe ne dozvoljava. Stoga Agencija mora potrošiti više sredstava nego što je potrebno za obradu velikog broja žalbi na istu temu, a zakonska mogućnost spajanja žalbi omogućila bi efikasnije upravljanje njima. </w:t>
      </w:r>
    </w:p>
    <w:p w:rsidR="00D0493C" w:rsidRPr="00CB681C" w:rsidRDefault="00D0493C" w:rsidP="00CB681C">
      <w:pPr>
        <w:tabs>
          <w:tab w:val="left" w:pos="850"/>
          <w:tab w:val="left" w:pos="1191"/>
          <w:tab w:val="left" w:pos="1531"/>
        </w:tabs>
        <w:spacing w:before="60" w:after="60" w:line="240" w:lineRule="auto"/>
        <w:ind w:right="-475"/>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val="sr-Latn-ME" w:eastAsia="zh-CN"/>
        </w:rPr>
        <w:t>Izazov je i praksa</w:t>
      </w:r>
      <w:r w:rsidRPr="00CB681C">
        <w:rPr>
          <w:rFonts w:asciiTheme="majorHAnsi" w:eastAsia="Calibri" w:hAnsiTheme="majorHAnsi" w:cstheme="majorHAnsi"/>
          <w:color w:val="auto"/>
          <w:kern w:val="0"/>
          <w:sz w:val="24"/>
          <w:szCs w:val="24"/>
          <w:lang w:eastAsia="zh-CN"/>
        </w:rPr>
        <w:t xml:space="preserve"> proglašavanja traženih dokumenata tajnima kako bi se ograničio pristup informacijama u oblastima kod kojih postoji sklonost ka korupciji i u sektorima koji se bave opredjeljivanjem većih djelova državnog budžeta ili imovine. Apsolutna dostupnost informacijama nije moguća zbog uske povezanosti Zakona o slobodnom pristupu informacijama i Zakona kojim se uređuje </w:t>
      </w:r>
      <w:r w:rsidRPr="00CB681C">
        <w:rPr>
          <w:rFonts w:asciiTheme="majorHAnsi" w:eastAsia="Calibri" w:hAnsiTheme="majorHAnsi" w:cstheme="majorHAnsi"/>
          <w:color w:val="auto"/>
          <w:kern w:val="0"/>
          <w:sz w:val="24"/>
          <w:szCs w:val="24"/>
          <w:lang w:eastAsia="zh-CN"/>
        </w:rPr>
        <w:lastRenderedPageBreak/>
        <w:t>zaštita ličnih podataka i podataka</w:t>
      </w:r>
      <w:r w:rsidRPr="00CB681C">
        <w:rPr>
          <w:rFonts w:asciiTheme="majorHAnsi" w:eastAsia="Calibri" w:hAnsiTheme="majorHAnsi" w:cstheme="majorHAnsi"/>
          <w:color w:val="auto"/>
          <w:kern w:val="0"/>
          <w:sz w:val="24"/>
          <w:szCs w:val="24"/>
          <w:vertAlign w:val="superscript"/>
          <w:lang w:eastAsia="zh-CN"/>
        </w:rPr>
        <w:footnoteReference w:id="94"/>
      </w:r>
      <w:r w:rsidRPr="00CB681C">
        <w:rPr>
          <w:rFonts w:asciiTheme="majorHAnsi" w:eastAsia="Calibri" w:hAnsiTheme="majorHAnsi" w:cstheme="majorHAnsi"/>
          <w:color w:val="auto"/>
          <w:kern w:val="0"/>
          <w:sz w:val="24"/>
          <w:szCs w:val="24"/>
          <w:lang w:eastAsia="zh-CN"/>
        </w:rPr>
        <w:t xml:space="preserve"> koji se smatraju tajnim. Jedan od izazova predstavljaju informacije koje se traže, a koje se označavaju tajnim. Izmjenama i dopunama Zakona o slobodnom pristupu informacijama iz 2017. godine propisano je da, sve informacije koje su označene stepenom tajnosti u potpunosti su izuzete od primjene ovoga zakona, što u praksi stvara probleme prilikom odlučivanja o zahtjevima za slobodan pristup informacijama, imajući u vidu koliziju ovakvog određenja sa daljim odredbama ovoga zakona, kojima je propisano da se za informacije koje su određene stepenom tajnosti vrši test štetnosti i propisuje postupanje organa vlasti po takvim zahtjevima. Evropska komisija je u Izvještaju za 2019. godinu konstatovala da sve češća praksa proglašavanja traženih dokumenata tajnima kako bi se ograničio pristup informacijama, što predstavlja pitanje za ozbiljnu brigu. Naime, evidentan je trend rasta odbijenih zahtjeva po ovom osnovu, s obzirom da su tokom 2018. godine 104 dokumenta proglašena tajnim, tokom 2017. godine 50 dokumenata, a tokom 2016. godine 30 dokumenata. E</w:t>
      </w:r>
      <w:r w:rsidR="00AA64B8" w:rsidRPr="00CB681C">
        <w:rPr>
          <w:rFonts w:asciiTheme="majorHAnsi" w:eastAsia="Calibri" w:hAnsiTheme="majorHAnsi" w:cstheme="majorHAnsi"/>
          <w:color w:val="auto"/>
          <w:kern w:val="0"/>
          <w:sz w:val="24"/>
          <w:szCs w:val="24"/>
          <w:lang w:eastAsia="zh-CN"/>
        </w:rPr>
        <w:t>vropska komisija</w:t>
      </w:r>
      <w:r w:rsidRPr="00CB681C">
        <w:rPr>
          <w:rFonts w:asciiTheme="majorHAnsi" w:eastAsia="Calibri" w:hAnsiTheme="majorHAnsi" w:cstheme="majorHAnsi"/>
          <w:color w:val="auto"/>
          <w:kern w:val="0"/>
          <w:sz w:val="24"/>
          <w:szCs w:val="24"/>
          <w:lang w:eastAsia="zh-CN"/>
        </w:rPr>
        <w:t xml:space="preserve"> je posebno naglasila da javne institucije treba da obezbijede veću transparentnost i odgovornost, naročito u oblastima kod kojih postoji sklonost ka korupciji i u sektorima koji se bave opredjeljivanjem većih djelova državnog budžeta ili imovine.</w:t>
      </w:r>
    </w:p>
    <w:p w:rsidR="00167FB3" w:rsidRPr="00CB681C" w:rsidRDefault="00167FB3" w:rsidP="00B43D4E">
      <w:pPr>
        <w:pStyle w:val="ListParagraph"/>
        <w:numPr>
          <w:ilvl w:val="0"/>
          <w:numId w:val="35"/>
        </w:numPr>
        <w:tabs>
          <w:tab w:val="left" w:pos="850"/>
          <w:tab w:val="left" w:pos="1191"/>
          <w:tab w:val="left" w:pos="1531"/>
        </w:tabs>
        <w:spacing w:before="60" w:after="60" w:line="240" w:lineRule="auto"/>
        <w:ind w:left="274" w:right="-475" w:hanging="274"/>
        <w:contextualSpacing w:val="0"/>
        <w:jc w:val="both"/>
        <w:rPr>
          <w:rFonts w:asciiTheme="majorHAnsi" w:eastAsia="Calibri" w:hAnsiTheme="majorHAnsi" w:cstheme="majorHAnsi"/>
          <w:b/>
          <w:i/>
          <w:color w:val="auto"/>
          <w:kern w:val="0"/>
          <w:sz w:val="24"/>
          <w:szCs w:val="24"/>
          <w:lang w:eastAsia="zh-CN"/>
        </w:rPr>
      </w:pPr>
      <w:r w:rsidRPr="00CB681C">
        <w:rPr>
          <w:rFonts w:asciiTheme="majorHAnsi" w:eastAsia="Calibri" w:hAnsiTheme="majorHAnsi" w:cstheme="majorHAnsi"/>
          <w:b/>
          <w:i/>
          <w:color w:val="auto"/>
          <w:kern w:val="0"/>
          <w:sz w:val="24"/>
          <w:szCs w:val="24"/>
          <w:lang w:eastAsia="zh-CN"/>
        </w:rPr>
        <w:t>Nedostatak kvaliteta i zakonitosti rada prvostepenih organa u postupcima odlučivanja po zahtjevima za slobodan pristup informacijama</w:t>
      </w:r>
    </w:p>
    <w:p w:rsidR="00167FB3" w:rsidRPr="00CB681C" w:rsidRDefault="00167FB3" w:rsidP="00CB681C">
      <w:pPr>
        <w:tabs>
          <w:tab w:val="left" w:pos="850"/>
          <w:tab w:val="left" w:pos="1191"/>
          <w:tab w:val="left" w:pos="1531"/>
        </w:tabs>
        <w:spacing w:before="60" w:after="60" w:line="240" w:lineRule="auto"/>
        <w:ind w:right="-475"/>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Tokom 2020. godine visok je procent usvojenih žalbi 76% žalbi od strane Agencije za zaštitu ličnih podataka i slobodan pristup informacijama (AZLP), jedna trećina se odnosi na ćutanje administracije, a</w:t>
      </w:r>
      <w:r w:rsidR="000744D1" w:rsidRPr="00CB681C">
        <w:rPr>
          <w:rFonts w:asciiTheme="majorHAnsi" w:eastAsia="Calibri" w:hAnsiTheme="majorHAnsi" w:cstheme="majorHAnsi"/>
          <w:color w:val="auto"/>
          <w:kern w:val="0"/>
          <w:sz w:val="24"/>
          <w:szCs w:val="24"/>
          <w:lang w:eastAsia="zh-CN"/>
        </w:rPr>
        <w:t xml:space="preserve"> 8,16% </w:t>
      </w:r>
      <w:r w:rsidRPr="00CB681C">
        <w:rPr>
          <w:rFonts w:asciiTheme="majorHAnsi" w:eastAsia="Calibri" w:hAnsiTheme="majorHAnsi" w:cstheme="majorHAnsi"/>
          <w:color w:val="auto"/>
          <w:kern w:val="0"/>
          <w:sz w:val="24"/>
          <w:szCs w:val="24"/>
          <w:lang w:eastAsia="zh-CN"/>
        </w:rPr>
        <w:t xml:space="preserve">odluka AZLP poništeno je od strane Upravnog suda u 2020. godini. Evropska komisija je, takođe, u Izvještaju za 2019. godinu konstatovala zabrinutost zbog velikog broja zahtjeva za slobodan pristup informacijama koji su ostali bez odgovora i naglasila da se sudske odluke ne sprovode djelotvorno. U Izvještaju za 2020. godinu, Evropska komisija je u konstatovala da sprovođenje važećeg Zakona o slobodnom pristupu informacijama nije pomoglo povećanju odgovornosti i transparentnosti organa vlasti. </w:t>
      </w:r>
    </w:p>
    <w:tbl>
      <w:tblPr>
        <w:tblStyle w:val="GridTable6Colorful1"/>
        <w:tblpPr w:leftFromText="180" w:rightFromText="180" w:vertAnchor="text" w:horzAnchor="margin" w:tblpY="121"/>
        <w:tblW w:w="9805" w:type="dxa"/>
        <w:tblLook w:val="04A0" w:firstRow="1" w:lastRow="0" w:firstColumn="1" w:lastColumn="0" w:noHBand="0" w:noVBand="1"/>
      </w:tblPr>
      <w:tblGrid>
        <w:gridCol w:w="1067"/>
        <w:gridCol w:w="1146"/>
        <w:gridCol w:w="1136"/>
        <w:gridCol w:w="1407"/>
        <w:gridCol w:w="1693"/>
        <w:gridCol w:w="1694"/>
        <w:gridCol w:w="1662"/>
      </w:tblGrid>
      <w:tr w:rsidR="00AC188A" w:rsidRPr="001A6CA9" w:rsidTr="009523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shd w:val="clear" w:color="auto" w:fill="E0BB9F" w:themeFill="accent2" w:themeFillTint="99"/>
            <w:vAlign w:val="center"/>
          </w:tcPr>
          <w:p w:rsidR="0095234E" w:rsidRPr="00CB681C" w:rsidRDefault="0095234E" w:rsidP="006600F4">
            <w:pPr>
              <w:tabs>
                <w:tab w:val="left" w:pos="850"/>
                <w:tab w:val="left" w:pos="1191"/>
                <w:tab w:val="left" w:pos="1531"/>
              </w:tabs>
              <w:ind w:right="-116"/>
              <w:jc w:val="center"/>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Uporedni pregled po godinama</w:t>
            </w:r>
          </w:p>
        </w:tc>
        <w:tc>
          <w:tcPr>
            <w:tcW w:w="1146" w:type="dxa"/>
            <w:shd w:val="clear" w:color="auto" w:fill="E0BB9F" w:themeFill="accent2" w:themeFillTint="99"/>
            <w:vAlign w:val="center"/>
          </w:tcPr>
          <w:p w:rsidR="0095234E" w:rsidRPr="00CB681C" w:rsidRDefault="0095234E" w:rsidP="006600F4">
            <w:pPr>
              <w:tabs>
                <w:tab w:val="left" w:pos="850"/>
                <w:tab w:val="left" w:pos="1191"/>
                <w:tab w:val="left" w:pos="1531"/>
              </w:tabs>
              <w:ind w:right="-49"/>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Ukupan broj zaprimljenih žalbi AZLP</w:t>
            </w:r>
          </w:p>
        </w:tc>
        <w:tc>
          <w:tcPr>
            <w:tcW w:w="1136" w:type="dxa"/>
            <w:shd w:val="clear" w:color="auto" w:fill="E0BB9F" w:themeFill="accent2" w:themeFillTint="99"/>
            <w:vAlign w:val="center"/>
          </w:tcPr>
          <w:p w:rsidR="0095234E" w:rsidRPr="00CB681C" w:rsidRDefault="0095234E" w:rsidP="006600F4">
            <w:pPr>
              <w:tabs>
                <w:tab w:val="left" w:pos="850"/>
                <w:tab w:val="left" w:pos="1191"/>
                <w:tab w:val="left" w:pos="1531"/>
              </w:tabs>
              <w:ind w:right="-84"/>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Ukupn broj dostavljenih žalbi AZLP</w:t>
            </w:r>
          </w:p>
        </w:tc>
        <w:tc>
          <w:tcPr>
            <w:tcW w:w="1407" w:type="dxa"/>
            <w:shd w:val="clear" w:color="auto" w:fill="E0BB9F" w:themeFill="accent2" w:themeFillTint="99"/>
            <w:vAlign w:val="center"/>
          </w:tcPr>
          <w:p w:rsidR="0095234E" w:rsidRPr="00CB681C" w:rsidRDefault="0095234E" w:rsidP="006600F4">
            <w:pPr>
              <w:tabs>
                <w:tab w:val="left" w:pos="850"/>
                <w:tab w:val="left" w:pos="1191"/>
                <w:tab w:val="left" w:pos="1531"/>
              </w:tabs>
              <w:ind w:right="-31"/>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Ukupan broj/ procenat usvojenih žalbi od strane AZLP</w:t>
            </w:r>
          </w:p>
        </w:tc>
        <w:tc>
          <w:tcPr>
            <w:tcW w:w="1693" w:type="dxa"/>
            <w:shd w:val="clear" w:color="auto" w:fill="E0BB9F" w:themeFill="accent2" w:themeFillTint="99"/>
            <w:vAlign w:val="center"/>
          </w:tcPr>
          <w:p w:rsidR="0095234E" w:rsidRPr="00CB681C" w:rsidRDefault="0095234E" w:rsidP="006600F4">
            <w:pPr>
              <w:tabs>
                <w:tab w:val="left" w:pos="850"/>
                <w:tab w:val="left" w:pos="1191"/>
                <w:tab w:val="left" w:pos="1531"/>
              </w:tabs>
              <w:ind w:right="-45"/>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Od usvojenih žalbi, ukupan broj/procenat poništenih rješenja prvostepenog organa</w:t>
            </w:r>
          </w:p>
        </w:tc>
        <w:tc>
          <w:tcPr>
            <w:tcW w:w="1694" w:type="dxa"/>
            <w:shd w:val="clear" w:color="auto" w:fill="E0BB9F" w:themeFill="accent2" w:themeFillTint="99"/>
            <w:vAlign w:val="center"/>
          </w:tcPr>
          <w:p w:rsidR="0095234E" w:rsidRPr="00CB681C" w:rsidRDefault="0095234E" w:rsidP="006600F4">
            <w:pPr>
              <w:tabs>
                <w:tab w:val="left" w:pos="850"/>
                <w:tab w:val="left" w:pos="1191"/>
                <w:tab w:val="left" w:pos="1531"/>
              </w:tabs>
              <w:ind w:right="-58"/>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Od usvojenih žalbi,  ukupan broj/procenat usvojenih zbog ćutanja administracije</w:t>
            </w:r>
          </w:p>
        </w:tc>
        <w:tc>
          <w:tcPr>
            <w:tcW w:w="1662" w:type="dxa"/>
            <w:shd w:val="clear" w:color="auto" w:fill="E0BB9F" w:themeFill="accent2" w:themeFillTint="99"/>
            <w:vAlign w:val="center"/>
          </w:tcPr>
          <w:p w:rsidR="0095234E" w:rsidRPr="00CB681C" w:rsidRDefault="0095234E" w:rsidP="006600F4">
            <w:pPr>
              <w:tabs>
                <w:tab w:val="left" w:pos="850"/>
                <w:tab w:val="left" w:pos="1191"/>
                <w:tab w:val="left" w:pos="1531"/>
              </w:tabs>
              <w:ind w:right="-108"/>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Broj/ procenat predmeta u kojima je Upravni sud poništio rješenje AZLP</w:t>
            </w:r>
          </w:p>
        </w:tc>
      </w:tr>
      <w:tr w:rsidR="00AC188A" w:rsidRPr="001A6CA9" w:rsidTr="0095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shd w:val="clear" w:color="auto" w:fill="F0E9E1" w:themeFill="accent4" w:themeFillTint="33"/>
            <w:vAlign w:val="center"/>
          </w:tcPr>
          <w:p w:rsidR="0095234E" w:rsidRPr="00CB681C" w:rsidRDefault="0095234E" w:rsidP="006600F4">
            <w:pPr>
              <w:tabs>
                <w:tab w:val="left" w:pos="850"/>
                <w:tab w:val="left" w:pos="1191"/>
                <w:tab w:val="left" w:pos="1531"/>
              </w:tabs>
              <w:spacing w:after="120"/>
              <w:ind w:right="-116"/>
              <w:jc w:val="center"/>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2018. godina</w:t>
            </w:r>
            <w:r w:rsidRPr="00CB681C">
              <w:rPr>
                <w:rFonts w:asciiTheme="majorHAnsi" w:eastAsia="Calibri" w:hAnsiTheme="majorHAnsi" w:cstheme="majorHAnsi"/>
                <w:color w:val="auto"/>
                <w:kern w:val="0"/>
                <w:sz w:val="18"/>
                <w:szCs w:val="18"/>
                <w:vertAlign w:val="superscript"/>
                <w:lang w:eastAsia="zh-CN"/>
              </w:rPr>
              <w:footnoteReference w:id="95"/>
            </w:r>
          </w:p>
        </w:tc>
        <w:tc>
          <w:tcPr>
            <w:tcW w:w="1146" w:type="dxa"/>
            <w:shd w:val="clear" w:color="auto" w:fill="FFFFFF"/>
            <w:vAlign w:val="center"/>
          </w:tcPr>
          <w:p w:rsidR="0095234E" w:rsidRPr="00CB681C" w:rsidRDefault="0095234E" w:rsidP="006600F4">
            <w:pPr>
              <w:tabs>
                <w:tab w:val="left" w:pos="850"/>
                <w:tab w:val="left" w:pos="1191"/>
                <w:tab w:val="left" w:pos="1531"/>
              </w:tabs>
              <w:ind w:right="-49"/>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3909</w:t>
            </w:r>
          </w:p>
        </w:tc>
        <w:tc>
          <w:tcPr>
            <w:tcW w:w="1136" w:type="dxa"/>
            <w:shd w:val="clear" w:color="auto" w:fill="FFFFFF"/>
            <w:vAlign w:val="center"/>
          </w:tcPr>
          <w:p w:rsidR="0095234E" w:rsidRPr="00CB681C" w:rsidRDefault="0095234E" w:rsidP="006600F4">
            <w:pPr>
              <w:tabs>
                <w:tab w:val="left" w:pos="850"/>
                <w:tab w:val="left" w:pos="1191"/>
                <w:tab w:val="left" w:pos="1531"/>
              </w:tabs>
              <w:ind w:right="-84"/>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3.284</w:t>
            </w:r>
          </w:p>
        </w:tc>
        <w:tc>
          <w:tcPr>
            <w:tcW w:w="1407" w:type="dxa"/>
            <w:shd w:val="clear" w:color="auto" w:fill="FFFFFF"/>
            <w:vAlign w:val="center"/>
          </w:tcPr>
          <w:p w:rsidR="0095234E" w:rsidRPr="00CB681C" w:rsidRDefault="0095234E" w:rsidP="006600F4">
            <w:pPr>
              <w:tabs>
                <w:tab w:val="left" w:pos="850"/>
                <w:tab w:val="left" w:pos="1191"/>
                <w:tab w:val="left" w:pos="1531"/>
              </w:tabs>
              <w:ind w:right="-31"/>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1.077/ 32,8%</w:t>
            </w:r>
          </w:p>
        </w:tc>
        <w:tc>
          <w:tcPr>
            <w:tcW w:w="1693" w:type="dxa"/>
            <w:shd w:val="clear" w:color="auto" w:fill="FFFFFF"/>
            <w:vAlign w:val="center"/>
          </w:tcPr>
          <w:p w:rsidR="0095234E" w:rsidRPr="00CB681C" w:rsidRDefault="0095234E" w:rsidP="006600F4">
            <w:pPr>
              <w:tabs>
                <w:tab w:val="left" w:pos="850"/>
                <w:tab w:val="left" w:pos="1191"/>
                <w:tab w:val="left" w:pos="1531"/>
              </w:tabs>
              <w:ind w:right="-45"/>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658/ 61,1%</w:t>
            </w:r>
          </w:p>
        </w:tc>
        <w:tc>
          <w:tcPr>
            <w:tcW w:w="1694" w:type="dxa"/>
            <w:shd w:val="clear" w:color="auto" w:fill="FFFFFF"/>
            <w:vAlign w:val="center"/>
          </w:tcPr>
          <w:p w:rsidR="0095234E" w:rsidRPr="00CB681C" w:rsidRDefault="0095234E" w:rsidP="006600F4">
            <w:pPr>
              <w:tabs>
                <w:tab w:val="left" w:pos="850"/>
                <w:tab w:val="left" w:pos="1191"/>
                <w:tab w:val="left" w:pos="1531"/>
              </w:tabs>
              <w:ind w:right="-58"/>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419/ 38,9%</w:t>
            </w:r>
          </w:p>
        </w:tc>
        <w:tc>
          <w:tcPr>
            <w:tcW w:w="1662" w:type="dxa"/>
            <w:shd w:val="clear" w:color="auto" w:fill="FFFFFF"/>
            <w:vAlign w:val="center"/>
          </w:tcPr>
          <w:p w:rsidR="0095234E" w:rsidRPr="00CB681C" w:rsidRDefault="0095234E" w:rsidP="006600F4">
            <w:pPr>
              <w:tabs>
                <w:tab w:val="left" w:pos="850"/>
                <w:tab w:val="left" w:pos="1191"/>
                <w:tab w:val="left" w:pos="1531"/>
              </w:tabs>
              <w:ind w:right="-108"/>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94 od ukupno 565 predmeta (16.6%)</w:t>
            </w:r>
            <w:r w:rsidRPr="00CB681C">
              <w:rPr>
                <w:rFonts w:asciiTheme="majorHAnsi" w:eastAsia="Calibri" w:hAnsiTheme="majorHAnsi" w:cstheme="majorHAnsi"/>
                <w:color w:val="auto"/>
                <w:kern w:val="0"/>
                <w:sz w:val="18"/>
                <w:szCs w:val="18"/>
                <w:vertAlign w:val="superscript"/>
                <w:lang w:eastAsia="zh-CN"/>
              </w:rPr>
              <w:footnoteReference w:id="96"/>
            </w:r>
          </w:p>
        </w:tc>
      </w:tr>
      <w:tr w:rsidR="00AC188A" w:rsidRPr="001A6CA9" w:rsidTr="0095234E">
        <w:tc>
          <w:tcPr>
            <w:cnfStyle w:val="001000000000" w:firstRow="0" w:lastRow="0" w:firstColumn="1" w:lastColumn="0" w:oddVBand="0" w:evenVBand="0" w:oddHBand="0" w:evenHBand="0" w:firstRowFirstColumn="0" w:firstRowLastColumn="0" w:lastRowFirstColumn="0" w:lastRowLastColumn="0"/>
            <w:tcW w:w="1067" w:type="dxa"/>
            <w:shd w:val="clear" w:color="auto" w:fill="F0E9E1" w:themeFill="accent4" w:themeFillTint="33"/>
            <w:vAlign w:val="center"/>
          </w:tcPr>
          <w:p w:rsidR="0095234E" w:rsidRPr="00CB681C" w:rsidRDefault="0095234E" w:rsidP="006600F4">
            <w:pPr>
              <w:tabs>
                <w:tab w:val="left" w:pos="850"/>
                <w:tab w:val="left" w:pos="1191"/>
                <w:tab w:val="left" w:pos="1531"/>
              </w:tabs>
              <w:spacing w:after="120"/>
              <w:ind w:right="-116"/>
              <w:jc w:val="center"/>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2019. godina</w:t>
            </w:r>
            <w:r w:rsidRPr="00CB681C">
              <w:rPr>
                <w:rFonts w:asciiTheme="majorHAnsi" w:eastAsia="Calibri" w:hAnsiTheme="majorHAnsi" w:cstheme="majorHAnsi"/>
                <w:color w:val="auto"/>
                <w:kern w:val="0"/>
                <w:sz w:val="18"/>
                <w:szCs w:val="18"/>
                <w:vertAlign w:val="superscript"/>
                <w:lang w:eastAsia="zh-CN"/>
              </w:rPr>
              <w:footnoteReference w:id="97"/>
            </w:r>
          </w:p>
        </w:tc>
        <w:tc>
          <w:tcPr>
            <w:tcW w:w="1146" w:type="dxa"/>
            <w:shd w:val="clear" w:color="auto" w:fill="FFFFFF"/>
            <w:vAlign w:val="center"/>
          </w:tcPr>
          <w:p w:rsidR="0095234E" w:rsidRPr="00CB681C" w:rsidRDefault="0095234E" w:rsidP="006600F4">
            <w:pPr>
              <w:tabs>
                <w:tab w:val="left" w:pos="850"/>
                <w:tab w:val="left" w:pos="1191"/>
                <w:tab w:val="left" w:pos="1531"/>
              </w:tabs>
              <w:ind w:right="-49"/>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3518</w:t>
            </w:r>
          </w:p>
        </w:tc>
        <w:tc>
          <w:tcPr>
            <w:tcW w:w="1136" w:type="dxa"/>
            <w:shd w:val="clear" w:color="auto" w:fill="FFFFFF"/>
            <w:vAlign w:val="center"/>
          </w:tcPr>
          <w:p w:rsidR="0095234E" w:rsidRPr="00CB681C" w:rsidRDefault="0095234E" w:rsidP="006600F4">
            <w:pPr>
              <w:tabs>
                <w:tab w:val="left" w:pos="850"/>
                <w:tab w:val="left" w:pos="1191"/>
                <w:tab w:val="left" w:pos="1531"/>
              </w:tabs>
              <w:ind w:right="-84"/>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3.684</w:t>
            </w:r>
          </w:p>
        </w:tc>
        <w:tc>
          <w:tcPr>
            <w:tcW w:w="1407" w:type="dxa"/>
            <w:shd w:val="clear" w:color="auto" w:fill="FFFFFF"/>
            <w:vAlign w:val="center"/>
          </w:tcPr>
          <w:p w:rsidR="0095234E" w:rsidRPr="00CB681C" w:rsidRDefault="0095234E" w:rsidP="006600F4">
            <w:pPr>
              <w:tabs>
                <w:tab w:val="left" w:pos="850"/>
                <w:tab w:val="left" w:pos="1191"/>
                <w:tab w:val="left" w:pos="1531"/>
              </w:tabs>
              <w:ind w:right="-31"/>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1.924/ 52,2%</w:t>
            </w:r>
          </w:p>
        </w:tc>
        <w:tc>
          <w:tcPr>
            <w:tcW w:w="1693" w:type="dxa"/>
            <w:shd w:val="clear" w:color="auto" w:fill="FFFFFF"/>
            <w:vAlign w:val="center"/>
          </w:tcPr>
          <w:p w:rsidR="0095234E" w:rsidRPr="00CB681C" w:rsidRDefault="0095234E" w:rsidP="006600F4">
            <w:pPr>
              <w:tabs>
                <w:tab w:val="left" w:pos="850"/>
                <w:tab w:val="left" w:pos="1191"/>
                <w:tab w:val="left" w:pos="1531"/>
              </w:tabs>
              <w:ind w:right="-45"/>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1.381/ 71,8%</w:t>
            </w:r>
          </w:p>
        </w:tc>
        <w:tc>
          <w:tcPr>
            <w:tcW w:w="1694" w:type="dxa"/>
            <w:shd w:val="clear" w:color="auto" w:fill="FFFFFF"/>
            <w:vAlign w:val="center"/>
          </w:tcPr>
          <w:p w:rsidR="0095234E" w:rsidRPr="00CB681C" w:rsidRDefault="0095234E" w:rsidP="006600F4">
            <w:pPr>
              <w:tabs>
                <w:tab w:val="left" w:pos="850"/>
                <w:tab w:val="left" w:pos="1191"/>
                <w:tab w:val="left" w:pos="1531"/>
              </w:tabs>
              <w:ind w:right="-58"/>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543/ 28,2%</w:t>
            </w:r>
          </w:p>
        </w:tc>
        <w:tc>
          <w:tcPr>
            <w:tcW w:w="1662" w:type="dxa"/>
            <w:shd w:val="clear" w:color="auto" w:fill="FFFFFF"/>
            <w:vAlign w:val="center"/>
          </w:tcPr>
          <w:p w:rsidR="0095234E" w:rsidRPr="00CB681C" w:rsidRDefault="0095234E" w:rsidP="006600F4">
            <w:pPr>
              <w:tabs>
                <w:tab w:val="left" w:pos="850"/>
                <w:tab w:val="left" w:pos="1191"/>
                <w:tab w:val="left" w:pos="1531"/>
              </w:tabs>
              <w:ind w:right="-108"/>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638 presuda po žalbama protiv Agencije.</w:t>
            </w:r>
          </w:p>
          <w:p w:rsidR="0095234E" w:rsidRPr="00CB681C" w:rsidRDefault="0095234E" w:rsidP="006600F4">
            <w:pPr>
              <w:tabs>
                <w:tab w:val="left" w:pos="850"/>
                <w:tab w:val="left" w:pos="1191"/>
                <w:tab w:val="left" w:pos="1531"/>
              </w:tabs>
              <w:ind w:right="-108"/>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lastRenderedPageBreak/>
              <w:t>202 su usvojene -31,7%</w:t>
            </w:r>
          </w:p>
        </w:tc>
      </w:tr>
      <w:tr w:rsidR="00AC188A" w:rsidRPr="001A6CA9" w:rsidTr="009523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7" w:type="dxa"/>
            <w:shd w:val="clear" w:color="auto" w:fill="F0E9E1" w:themeFill="accent4" w:themeFillTint="33"/>
            <w:vAlign w:val="center"/>
          </w:tcPr>
          <w:p w:rsidR="0095234E" w:rsidRPr="00CB681C" w:rsidRDefault="0095234E" w:rsidP="006600F4">
            <w:pPr>
              <w:tabs>
                <w:tab w:val="left" w:pos="850"/>
                <w:tab w:val="left" w:pos="1191"/>
                <w:tab w:val="left" w:pos="1531"/>
              </w:tabs>
              <w:spacing w:after="120"/>
              <w:ind w:right="-116"/>
              <w:jc w:val="center"/>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lastRenderedPageBreak/>
              <w:t>2020. godina</w:t>
            </w:r>
            <w:r w:rsidRPr="00CB681C">
              <w:rPr>
                <w:rFonts w:asciiTheme="majorHAnsi" w:eastAsia="Calibri" w:hAnsiTheme="majorHAnsi" w:cstheme="majorHAnsi"/>
                <w:color w:val="auto"/>
                <w:kern w:val="0"/>
                <w:sz w:val="18"/>
                <w:szCs w:val="18"/>
                <w:vertAlign w:val="superscript"/>
                <w:lang w:eastAsia="zh-CN"/>
              </w:rPr>
              <w:footnoteReference w:id="98"/>
            </w:r>
          </w:p>
        </w:tc>
        <w:tc>
          <w:tcPr>
            <w:tcW w:w="1146" w:type="dxa"/>
            <w:shd w:val="clear" w:color="auto" w:fill="FFFFFF"/>
            <w:vAlign w:val="center"/>
          </w:tcPr>
          <w:p w:rsidR="0095234E" w:rsidRPr="00CB681C" w:rsidRDefault="0095234E" w:rsidP="006600F4">
            <w:pPr>
              <w:tabs>
                <w:tab w:val="left" w:pos="850"/>
                <w:tab w:val="left" w:pos="1191"/>
                <w:tab w:val="left" w:pos="1531"/>
              </w:tabs>
              <w:ind w:right="-49"/>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3.000</w:t>
            </w:r>
          </w:p>
        </w:tc>
        <w:tc>
          <w:tcPr>
            <w:tcW w:w="1136" w:type="dxa"/>
            <w:shd w:val="clear" w:color="auto" w:fill="FFFFFF"/>
            <w:vAlign w:val="center"/>
          </w:tcPr>
          <w:p w:rsidR="0095234E" w:rsidRPr="00CB681C" w:rsidRDefault="0095234E" w:rsidP="006600F4">
            <w:pPr>
              <w:tabs>
                <w:tab w:val="left" w:pos="850"/>
                <w:tab w:val="left" w:pos="1191"/>
                <w:tab w:val="left" w:pos="1531"/>
              </w:tabs>
              <w:ind w:right="-84"/>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4.328</w:t>
            </w:r>
          </w:p>
        </w:tc>
        <w:tc>
          <w:tcPr>
            <w:tcW w:w="1407" w:type="dxa"/>
            <w:shd w:val="clear" w:color="auto" w:fill="FFFFFF"/>
            <w:vAlign w:val="center"/>
          </w:tcPr>
          <w:p w:rsidR="0095234E" w:rsidRPr="00CB681C" w:rsidRDefault="0095234E" w:rsidP="006600F4">
            <w:pPr>
              <w:tabs>
                <w:tab w:val="left" w:pos="850"/>
                <w:tab w:val="left" w:pos="1191"/>
                <w:tab w:val="left" w:pos="1531"/>
              </w:tabs>
              <w:ind w:right="-31"/>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3.304/ 76,3%</w:t>
            </w:r>
          </w:p>
        </w:tc>
        <w:tc>
          <w:tcPr>
            <w:tcW w:w="1693" w:type="dxa"/>
            <w:shd w:val="clear" w:color="auto" w:fill="FFFFFF"/>
            <w:vAlign w:val="center"/>
          </w:tcPr>
          <w:p w:rsidR="0095234E" w:rsidRPr="00CB681C" w:rsidRDefault="0095234E" w:rsidP="006600F4">
            <w:pPr>
              <w:tabs>
                <w:tab w:val="left" w:pos="850"/>
                <w:tab w:val="left" w:pos="1191"/>
                <w:tab w:val="left" w:pos="1531"/>
              </w:tabs>
              <w:ind w:right="-45"/>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2.302/ 69,7%</w:t>
            </w:r>
          </w:p>
        </w:tc>
        <w:tc>
          <w:tcPr>
            <w:tcW w:w="1694" w:type="dxa"/>
            <w:shd w:val="clear" w:color="auto" w:fill="FFFFFF"/>
            <w:vAlign w:val="center"/>
          </w:tcPr>
          <w:p w:rsidR="0095234E" w:rsidRPr="00CB681C" w:rsidRDefault="0095234E" w:rsidP="006600F4">
            <w:pPr>
              <w:tabs>
                <w:tab w:val="left" w:pos="850"/>
                <w:tab w:val="left" w:pos="1191"/>
                <w:tab w:val="left" w:pos="1531"/>
              </w:tabs>
              <w:ind w:right="-58"/>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1.002/ 30,3%</w:t>
            </w:r>
          </w:p>
        </w:tc>
        <w:tc>
          <w:tcPr>
            <w:tcW w:w="1662" w:type="dxa"/>
            <w:shd w:val="clear" w:color="auto" w:fill="FFFFFF"/>
            <w:vAlign w:val="center"/>
          </w:tcPr>
          <w:p w:rsidR="00404505" w:rsidRPr="00CB681C" w:rsidRDefault="00102E24" w:rsidP="006600F4">
            <w:pPr>
              <w:tabs>
                <w:tab w:val="left" w:pos="850"/>
                <w:tab w:val="left" w:pos="1191"/>
                <w:tab w:val="left" w:pos="1531"/>
              </w:tabs>
              <w:ind w:right="-108"/>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566</w:t>
            </w:r>
            <w:r w:rsidR="00404505" w:rsidRPr="00CB681C">
              <w:rPr>
                <w:rFonts w:asciiTheme="majorHAnsi" w:eastAsia="Calibri" w:hAnsiTheme="majorHAnsi" w:cstheme="majorHAnsi"/>
                <w:color w:val="auto"/>
                <w:kern w:val="0"/>
                <w:sz w:val="18"/>
                <w:szCs w:val="18"/>
                <w:lang w:eastAsia="zh-CN"/>
              </w:rPr>
              <w:t xml:space="preserve"> predmet</w:t>
            </w:r>
          </w:p>
          <w:p w:rsidR="0095234E" w:rsidRPr="00CB681C" w:rsidRDefault="0095234E" w:rsidP="006600F4">
            <w:pPr>
              <w:tabs>
                <w:tab w:val="left" w:pos="850"/>
                <w:tab w:val="left" w:pos="1191"/>
                <w:tab w:val="left" w:pos="1531"/>
              </w:tabs>
              <w:ind w:right="-108"/>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83 presude po žalbama protiv Agencije.</w:t>
            </w:r>
            <w:r w:rsidR="00CF5CC9" w:rsidRPr="00CB681C">
              <w:rPr>
                <w:rStyle w:val="FootnoteReference"/>
                <w:rFonts w:asciiTheme="majorHAnsi" w:eastAsia="Calibri" w:hAnsiTheme="majorHAnsi" w:cstheme="majorHAnsi"/>
                <w:color w:val="auto"/>
                <w:kern w:val="0"/>
                <w:sz w:val="18"/>
                <w:szCs w:val="18"/>
                <w:lang w:eastAsia="zh-CN"/>
              </w:rPr>
              <w:footnoteReference w:id="99"/>
            </w:r>
          </w:p>
          <w:p w:rsidR="0095234E" w:rsidRPr="00CB681C" w:rsidRDefault="000744D1" w:rsidP="006600F4">
            <w:pPr>
              <w:tabs>
                <w:tab w:val="left" w:pos="850"/>
                <w:tab w:val="left" w:pos="1191"/>
                <w:tab w:val="left" w:pos="1531"/>
              </w:tabs>
              <w:ind w:right="-108"/>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auto"/>
                <w:kern w:val="0"/>
                <w:sz w:val="18"/>
                <w:szCs w:val="18"/>
                <w:lang w:eastAsia="zh-CN"/>
              </w:rPr>
            </w:pPr>
            <w:r w:rsidRPr="00CB681C">
              <w:rPr>
                <w:rFonts w:asciiTheme="majorHAnsi" w:eastAsia="Calibri" w:hAnsiTheme="majorHAnsi" w:cstheme="majorHAnsi"/>
                <w:color w:val="auto"/>
                <w:kern w:val="0"/>
                <w:sz w:val="18"/>
                <w:szCs w:val="18"/>
                <w:lang w:eastAsia="zh-CN"/>
              </w:rPr>
              <w:t>42 tužbe su usvojene 8,16</w:t>
            </w:r>
            <w:r w:rsidR="0095234E" w:rsidRPr="00CB681C">
              <w:rPr>
                <w:rFonts w:asciiTheme="majorHAnsi" w:eastAsia="Calibri" w:hAnsiTheme="majorHAnsi" w:cstheme="majorHAnsi"/>
                <w:color w:val="auto"/>
                <w:kern w:val="0"/>
                <w:sz w:val="18"/>
                <w:szCs w:val="18"/>
                <w:lang w:eastAsia="zh-CN"/>
              </w:rPr>
              <w:t>%</w:t>
            </w:r>
            <w:r w:rsidRPr="00CB681C">
              <w:rPr>
                <w:rStyle w:val="FootnoteReference"/>
                <w:rFonts w:asciiTheme="majorHAnsi" w:eastAsia="Calibri" w:hAnsiTheme="majorHAnsi" w:cstheme="majorHAnsi"/>
                <w:color w:val="auto"/>
                <w:kern w:val="0"/>
                <w:sz w:val="18"/>
                <w:szCs w:val="18"/>
                <w:lang w:eastAsia="zh-CN"/>
              </w:rPr>
              <w:footnoteReference w:id="100"/>
            </w:r>
          </w:p>
        </w:tc>
      </w:tr>
    </w:tbl>
    <w:p w:rsidR="0095234E" w:rsidRPr="00CB681C" w:rsidRDefault="00167FB3" w:rsidP="00153229">
      <w:pPr>
        <w:tabs>
          <w:tab w:val="left" w:pos="850"/>
          <w:tab w:val="left" w:pos="1191"/>
          <w:tab w:val="left" w:pos="1531"/>
        </w:tabs>
        <w:spacing w:before="12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Kada je u pitanju </w:t>
      </w:r>
      <w:r w:rsidRPr="00CB681C">
        <w:rPr>
          <w:rFonts w:asciiTheme="majorHAnsi" w:eastAsia="Calibri" w:hAnsiTheme="majorHAnsi" w:cstheme="majorHAnsi"/>
          <w:b/>
          <w:color w:val="auto"/>
          <w:kern w:val="0"/>
          <w:sz w:val="24"/>
          <w:szCs w:val="24"/>
          <w:lang w:eastAsia="zh-CN"/>
        </w:rPr>
        <w:t>blagovremenost odlučivanja organa vlasti</w:t>
      </w:r>
      <w:r w:rsidRPr="00CB681C">
        <w:rPr>
          <w:rFonts w:asciiTheme="majorHAnsi" w:eastAsia="Calibri" w:hAnsiTheme="majorHAnsi" w:cstheme="majorHAnsi"/>
          <w:color w:val="auto"/>
          <w:kern w:val="0"/>
          <w:sz w:val="24"/>
          <w:szCs w:val="24"/>
          <w:lang w:eastAsia="zh-CN"/>
        </w:rPr>
        <w:t>, u četvrtini predmeta prvostepeni organi su prekoračili rok odlučivanja i to: 1.499 predmeta u 2018. godini što čini 24.6% ukupnog broja predmeta, 1.487 predmeta u 2019. godini, što čini 25.1% ukupnog broja predmeta, 1.264 predmeta u 2021. godini što čini 26,3% od ukupnog broja predmeta.</w:t>
      </w:r>
    </w:p>
    <w:p w:rsidR="00D0493C" w:rsidRPr="00CB681C" w:rsidRDefault="00167FB3" w:rsidP="00153229">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Na osnovu navedenih podataka zaključuje se da u proteklom trogodišnjem periodu broj izjavljenih žalbi na odluke prvostepenih organa ostaje na visokom nivou. Takođe, broj žalbi zbog ćutanja administracije godinama predstavlja trećinu usvojenih žalbi od strane Agencije. Vrijednosti ovih indikatora govore o </w:t>
      </w:r>
      <w:r w:rsidRPr="00CB681C">
        <w:rPr>
          <w:rFonts w:asciiTheme="majorHAnsi" w:eastAsia="Calibri" w:hAnsiTheme="majorHAnsi" w:cstheme="majorHAnsi"/>
          <w:b/>
          <w:color w:val="auto"/>
          <w:kern w:val="0"/>
          <w:sz w:val="24"/>
          <w:szCs w:val="24"/>
          <w:lang w:eastAsia="zh-CN"/>
        </w:rPr>
        <w:t>nedostatku kvaliteta i zakonitosti rada prvostepenih organa</w:t>
      </w:r>
      <w:r w:rsidRPr="00CB681C">
        <w:rPr>
          <w:rFonts w:asciiTheme="majorHAnsi" w:eastAsia="Calibri" w:hAnsiTheme="majorHAnsi" w:cstheme="majorHAnsi"/>
          <w:color w:val="auto"/>
          <w:kern w:val="0"/>
          <w:sz w:val="24"/>
          <w:szCs w:val="24"/>
          <w:lang w:eastAsia="zh-CN"/>
        </w:rPr>
        <w:t xml:space="preserve"> u postupcima odlučivanja po zahtjevima za s</w:t>
      </w:r>
      <w:r w:rsidR="0095234E" w:rsidRPr="00CB681C">
        <w:rPr>
          <w:rFonts w:asciiTheme="majorHAnsi" w:eastAsia="Calibri" w:hAnsiTheme="majorHAnsi" w:cstheme="majorHAnsi"/>
          <w:color w:val="auto"/>
          <w:kern w:val="0"/>
          <w:sz w:val="24"/>
          <w:szCs w:val="24"/>
          <w:lang w:eastAsia="zh-CN"/>
        </w:rPr>
        <w:t xml:space="preserve">lobodan pristup informacijama. </w:t>
      </w:r>
    </w:p>
    <w:p w:rsidR="003D7384" w:rsidRPr="00CB681C" w:rsidRDefault="003D7384" w:rsidP="00B43D4E">
      <w:pPr>
        <w:pStyle w:val="ListParagraph"/>
        <w:numPr>
          <w:ilvl w:val="0"/>
          <w:numId w:val="35"/>
        </w:numPr>
        <w:tabs>
          <w:tab w:val="left" w:pos="850"/>
          <w:tab w:val="left" w:pos="1191"/>
          <w:tab w:val="left" w:pos="1531"/>
        </w:tabs>
        <w:spacing w:before="120" w:after="120" w:line="240" w:lineRule="auto"/>
        <w:ind w:left="274" w:right="-471" w:hanging="274"/>
        <w:contextualSpacing w:val="0"/>
        <w:jc w:val="both"/>
        <w:rPr>
          <w:rFonts w:asciiTheme="majorHAnsi" w:hAnsiTheme="majorHAnsi" w:cstheme="majorHAnsi"/>
          <w:b/>
          <w:i/>
          <w:color w:val="auto"/>
          <w:sz w:val="24"/>
          <w:szCs w:val="24"/>
        </w:rPr>
      </w:pPr>
      <w:r w:rsidRPr="00CB681C">
        <w:rPr>
          <w:rFonts w:asciiTheme="majorHAnsi" w:hAnsiTheme="majorHAnsi" w:cstheme="majorHAnsi"/>
          <w:b/>
          <w:i/>
          <w:color w:val="auto"/>
          <w:sz w:val="24"/>
          <w:szCs w:val="24"/>
          <w:lang w:eastAsia="zh-CN"/>
        </w:rPr>
        <w:t>Nedovoljno proaktivno objavljivanje podataka u posjedu organa vlasti, uključujući i mašinski čitljive podatke</w:t>
      </w:r>
    </w:p>
    <w:p w:rsidR="003D7384" w:rsidRPr="00CB681C" w:rsidRDefault="00CB681C" w:rsidP="00CB681C">
      <w:pPr>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noProof/>
          <w:color w:val="auto"/>
          <w:kern w:val="0"/>
          <w:sz w:val="24"/>
          <w:szCs w:val="24"/>
          <w:lang w:eastAsia="sr-Latn-RS"/>
        </w:rPr>
        <mc:AlternateContent>
          <mc:Choice Requires="wpg">
            <w:drawing>
              <wp:anchor distT="0" distB="0" distL="228600" distR="228600" simplePos="0" relativeHeight="251885568" behindDoc="1" locked="0" layoutInCell="1" allowOverlap="1" wp14:anchorId="07F77E3B" wp14:editId="3CB24EE3">
                <wp:simplePos x="0" y="0"/>
                <wp:positionH relativeFrom="margin">
                  <wp:posOffset>2921007</wp:posOffset>
                </wp:positionH>
                <wp:positionV relativeFrom="page">
                  <wp:posOffset>5579435</wp:posOffset>
                </wp:positionV>
                <wp:extent cx="3329940" cy="1120140"/>
                <wp:effectExtent l="0" t="0" r="3810" b="3810"/>
                <wp:wrapTight wrapText="bothSides">
                  <wp:wrapPolygon edited="0">
                    <wp:start x="0" y="0"/>
                    <wp:lineTo x="0" y="21306"/>
                    <wp:lineTo x="21501" y="21306"/>
                    <wp:lineTo x="21501" y="1837"/>
                    <wp:lineTo x="21254" y="1469"/>
                    <wp:lineTo x="15323" y="0"/>
                    <wp:lineTo x="0" y="0"/>
                  </wp:wrapPolygon>
                </wp:wrapTight>
                <wp:docPr id="112" name="Group 112"/>
                <wp:cNvGraphicFramePr/>
                <a:graphic xmlns:a="http://schemas.openxmlformats.org/drawingml/2006/main">
                  <a:graphicData uri="http://schemas.microsoft.com/office/word/2010/wordprocessingGroup">
                    <wpg:wgp>
                      <wpg:cNvGrpSpPr/>
                      <wpg:grpSpPr>
                        <a:xfrm>
                          <a:off x="0" y="0"/>
                          <a:ext cx="3329940" cy="1120140"/>
                          <a:chOff x="-44808" y="0"/>
                          <a:chExt cx="3263496" cy="2028766"/>
                        </a:xfrm>
                      </wpg:grpSpPr>
                      <wps:wsp>
                        <wps:cNvPr id="113" name="Rectangle 113"/>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2" name="Group 122"/>
                        <wpg:cNvGrpSpPr/>
                        <wpg:grpSpPr>
                          <a:xfrm>
                            <a:off x="0" y="19050"/>
                            <a:ext cx="2249424" cy="832104"/>
                            <a:chOff x="228600" y="0"/>
                            <a:chExt cx="1472184" cy="1024128"/>
                          </a:xfrm>
                        </wpg:grpSpPr>
                        <wps:wsp>
                          <wps:cNvPr id="124"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 name="Text Box 126"/>
                        <wps:cNvSpPr txBox="1"/>
                        <wps:spPr>
                          <a:xfrm>
                            <a:off x="-44808" y="0"/>
                            <a:ext cx="3249812" cy="2028766"/>
                          </a:xfrm>
                          <a:prstGeom prst="rect">
                            <a:avLst/>
                          </a:prstGeom>
                          <a:noFill/>
                          <a:ln w="6350">
                            <a:noFill/>
                          </a:ln>
                          <a:effectLst/>
                        </wps:spPr>
                        <wps:txbx>
                          <w:txbxContent>
                            <w:p w:rsidR="00F735BC" w:rsidRPr="00DA1FF7" w:rsidRDefault="00F735BC" w:rsidP="003D7384">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Izbacuju informacije bukvalno selektivno. Nešto izbace, nešto ne i</w:t>
                              </w:r>
                              <w:r>
                                <w:rPr>
                                  <w:smallCaps/>
                                  <w:color w:val="333C3D" w:themeColor="accent5" w:themeShade="80"/>
                                  <w:kern w:val="20"/>
                                  <w:lang w:val="sr-Latn-RS"/>
                                </w:rPr>
                                <w:t>zbace, uvijek morate da zovete.</w:t>
                              </w:r>
                            </w:p>
                            <w:p w:rsidR="00F735BC" w:rsidRPr="00DA1FF7" w:rsidRDefault="00F735BC" w:rsidP="003D7384">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 xml:space="preserve">Sajtovi i portali služe jednosmjernim </w:t>
                              </w:r>
                              <w:r>
                                <w:rPr>
                                  <w:smallCaps/>
                                  <w:color w:val="333C3D" w:themeColor="accent5" w:themeShade="80"/>
                                  <w:kern w:val="20"/>
                                  <w:lang w:val="sr-Latn-RS"/>
                                </w:rPr>
                                <w:t>komunikacijama, što nije dobro.</w:t>
                              </w:r>
                            </w:p>
                            <w:p w:rsidR="00F735BC" w:rsidRPr="00DA1FF7" w:rsidRDefault="00F735BC" w:rsidP="003D7384">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Google nažalost o</w:t>
                              </w:r>
                              <w:r>
                                <w:rPr>
                                  <w:smallCaps/>
                                  <w:color w:val="333C3D" w:themeColor="accent5" w:themeShade="80"/>
                                  <w:kern w:val="20"/>
                                  <w:lang w:val="sr-Latn-RS"/>
                                </w:rPr>
                                <w:t>staje glavni izvor informacija</w:t>
                              </w:r>
                            </w:p>
                            <w:p w:rsidR="00F735BC" w:rsidRPr="00DE4601" w:rsidRDefault="00F735BC" w:rsidP="003D7384">
                              <w:pPr>
                                <w:pStyle w:val="NoSpacing"/>
                                <w:ind w:left="360"/>
                                <w:jc w:val="right"/>
                                <w:rPr>
                                  <w:color w:val="7E97AD" w:themeColor="accent1"/>
                                  <w:lang w:val="sr-Latn-RS"/>
                                </w:rPr>
                              </w:pPr>
                              <w:r>
                                <w:rPr>
                                  <w:color w:val="7E97AD" w:themeColor="accent1"/>
                                  <w:sz w:val="18"/>
                                  <w:szCs w:val="18"/>
                                  <w:lang w:val="sr-Latn-RS"/>
                                </w:rPr>
                                <w:t xml:space="preserve">Učesnici </w:t>
                              </w:r>
                              <w:r w:rsidRPr="00DE4601">
                                <w:rPr>
                                  <w:color w:val="7E97AD" w:themeColor="accent1"/>
                                  <w:sz w:val="18"/>
                                  <w:szCs w:val="18"/>
                                  <w:lang w:val="sr-Latn-RS"/>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F77E3B" id="Group 112" o:spid="_x0000_s1122" style="position:absolute;left:0;text-align:left;margin-left:230pt;margin-top:439.35pt;width:262.2pt;height:88.2pt;z-index:-251430912;mso-wrap-distance-left:18pt;mso-wrap-distance-right:18pt;mso-position-horizontal-relative:margin;mso-position-vertical-relative:page;mso-width-relative:margin;mso-height-relative:margin" coordorigin="-448" coordsize="32634,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">
                <v:rect id="Rectangle 113" o:spid="_x0000_s1123"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" stroked="f" strokeweight="2pt">
                  <v:fill opacity="0"/>
                </v:rect>
                <v:group id="Group 122" o:spid="_x0000_s1124"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Rectangle 10" o:spid="_x0000_s1125"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" path="m,l2240281,,1659256,222885,,822960,,xe" fillcolor="#7e97ad" stroked="f" strokeweight="2pt">
                    <v:path arrowok="t" o:connecttype="custom" o:connectlocs="0,0;1466258,0;1085979,274158;0,1012274;0,0" o:connectangles="0,0,0,0,0"/>
                  </v:shape>
                  <v:rect id="Rectangle 125" o:spid="_x0000_s112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" stroked="f" strokeweight="2pt">
                    <v:fill r:id="rId69" o:title="" recolor="t" rotate="t" type="frame"/>
                  </v:rect>
                </v:group>
                <v:shape id="Text Box 126" o:spid="_x0000_s1127" type="#_x0000_t202" style="position:absolute;left:-448;width:32498;height:2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" filled="f" stroked="f" strokeweight=".5pt">
                  <v:textbox inset="3.6pt,7.2pt,0,0">
                    <w:txbxContent>
                      <w:p w:rsidR="00F735BC" w:rsidRPr="00DA1FF7" w:rsidRDefault="00F735BC" w:rsidP="003D7384">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Izbacuju informacije bukvalno selektivno. Nešto izbace, nešto ne i</w:t>
                        </w:r>
                        <w:r>
                          <w:rPr>
                            <w:smallCaps/>
                            <w:color w:val="333C3D" w:themeColor="accent5" w:themeShade="80"/>
                            <w:kern w:val="20"/>
                            <w:lang w:val="sr-Latn-RS"/>
                          </w:rPr>
                          <w:t>zbace, uvijek morate da zovete.</w:t>
                        </w:r>
                      </w:p>
                      <w:p w:rsidR="00F735BC" w:rsidRPr="00DA1FF7" w:rsidRDefault="00F735BC" w:rsidP="003D7384">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 xml:space="preserve">Sajtovi i portali služe jednosmjernim </w:t>
                        </w:r>
                        <w:r>
                          <w:rPr>
                            <w:smallCaps/>
                            <w:color w:val="333C3D" w:themeColor="accent5" w:themeShade="80"/>
                            <w:kern w:val="20"/>
                            <w:lang w:val="sr-Latn-RS"/>
                          </w:rPr>
                          <w:t>komunikacijama, što nije dobro.</w:t>
                        </w:r>
                      </w:p>
                      <w:p w:rsidR="00F735BC" w:rsidRPr="00DA1FF7" w:rsidRDefault="00F735BC" w:rsidP="003D7384">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Google nažalost o</w:t>
                        </w:r>
                        <w:r>
                          <w:rPr>
                            <w:smallCaps/>
                            <w:color w:val="333C3D" w:themeColor="accent5" w:themeShade="80"/>
                            <w:kern w:val="20"/>
                            <w:lang w:val="sr-Latn-RS"/>
                          </w:rPr>
                          <w:t>staje glavni izvor informacija</w:t>
                        </w:r>
                      </w:p>
                      <w:p w:rsidR="00F735BC" w:rsidRPr="00DE4601" w:rsidRDefault="00F735BC" w:rsidP="003D7384">
                        <w:pPr>
                          <w:pStyle w:val="NoSpacing"/>
                          <w:ind w:left="360"/>
                          <w:jc w:val="right"/>
                          <w:rPr>
                            <w:color w:val="7E97AD" w:themeColor="accent1"/>
                            <w:lang w:val="sr-Latn-RS"/>
                          </w:rPr>
                        </w:pPr>
                        <w:r>
                          <w:rPr>
                            <w:color w:val="7E97AD" w:themeColor="accent1"/>
                            <w:sz w:val="18"/>
                            <w:szCs w:val="18"/>
                            <w:lang w:val="sr-Latn-RS"/>
                          </w:rPr>
                          <w:t xml:space="preserve">Učesnici </w:t>
                        </w:r>
                        <w:r w:rsidRPr="00DE4601">
                          <w:rPr>
                            <w:color w:val="7E97AD" w:themeColor="accent1"/>
                            <w:sz w:val="18"/>
                            <w:szCs w:val="18"/>
                            <w:lang w:val="sr-Latn-RS"/>
                          </w:rPr>
                          <w:t>Fokus grupe</w:t>
                        </w:r>
                      </w:p>
                    </w:txbxContent>
                  </v:textbox>
                </v:shape>
                <w10:wrap type="tight" anchorx="margin" anchory="page"/>
              </v:group>
            </w:pict>
          </mc:Fallback>
        </mc:AlternateContent>
      </w:r>
      <w:r w:rsidR="003D7384" w:rsidRPr="00CB681C">
        <w:rPr>
          <w:rFonts w:asciiTheme="majorHAnsi" w:eastAsia="Calibri" w:hAnsiTheme="majorHAnsi" w:cstheme="majorHAnsi"/>
          <w:color w:val="auto"/>
          <w:kern w:val="0"/>
          <w:sz w:val="24"/>
          <w:szCs w:val="24"/>
          <w:lang w:eastAsia="zh-CN"/>
        </w:rPr>
        <w:t xml:space="preserve">U praksi, </w:t>
      </w:r>
      <w:r w:rsidR="003D7384" w:rsidRPr="00CB681C">
        <w:rPr>
          <w:rFonts w:asciiTheme="majorHAnsi" w:eastAsia="Calibri" w:hAnsiTheme="majorHAnsi" w:cstheme="majorHAnsi"/>
          <w:b/>
          <w:color w:val="auto"/>
          <w:kern w:val="0"/>
          <w:sz w:val="24"/>
          <w:szCs w:val="24"/>
          <w:lang w:eastAsia="zh-CN"/>
        </w:rPr>
        <w:t>organi vlasti u nedovoljnoj mjeri pokazuju proaktivnost i transparetnost</w:t>
      </w:r>
      <w:r w:rsidR="003D7384" w:rsidRPr="00CB681C">
        <w:rPr>
          <w:rFonts w:asciiTheme="majorHAnsi" w:eastAsia="Calibri" w:hAnsiTheme="majorHAnsi" w:cstheme="majorHAnsi"/>
          <w:color w:val="auto"/>
          <w:kern w:val="0"/>
          <w:sz w:val="24"/>
          <w:szCs w:val="24"/>
          <w:lang w:eastAsia="zh-CN"/>
        </w:rPr>
        <w:t xml:space="preserve"> kada je u pitanju odnos prema relevantnim podacima i dokumentima, odnosno informacijama koje drže u svom posjedu. Iako je ciljana vrijednost indikatora predviđenog Strategijom reforme javne uprave 2016-2020. kojim se prati proaktivno objavljivanje informacija ispunjen (97.35%),</w:t>
      </w:r>
      <w:r w:rsidR="003D7384" w:rsidRPr="00CB681C">
        <w:rPr>
          <w:rFonts w:asciiTheme="majorHAnsi" w:eastAsia="Calibri" w:hAnsiTheme="majorHAnsi" w:cstheme="majorHAnsi"/>
          <w:color w:val="auto"/>
          <w:kern w:val="0"/>
          <w:sz w:val="24"/>
          <w:szCs w:val="24"/>
          <w:vertAlign w:val="superscript"/>
          <w:lang w:eastAsia="zh-CN"/>
        </w:rPr>
        <w:footnoteReference w:id="101"/>
      </w:r>
      <w:r w:rsidR="003D7384" w:rsidRPr="00CB681C">
        <w:rPr>
          <w:rFonts w:asciiTheme="majorHAnsi" w:eastAsia="Calibri" w:hAnsiTheme="majorHAnsi" w:cstheme="majorHAnsi"/>
          <w:color w:val="auto"/>
          <w:kern w:val="0"/>
          <w:sz w:val="24"/>
          <w:szCs w:val="24"/>
          <w:lang w:eastAsia="zh-CN"/>
        </w:rPr>
        <w:t xml:space="preserve"> uočeno je nekoliko nedostataka. Identifikovani nedostaci u proaktivnom objavljivanju informacija uzrokuju </w:t>
      </w:r>
      <w:r w:rsidR="003D7384" w:rsidRPr="00CB681C">
        <w:rPr>
          <w:rFonts w:asciiTheme="majorHAnsi" w:eastAsia="Calibri" w:hAnsiTheme="majorHAnsi" w:cstheme="majorHAnsi"/>
          <w:b/>
          <w:color w:val="auto"/>
          <w:kern w:val="0"/>
          <w:sz w:val="24"/>
          <w:szCs w:val="24"/>
          <w:lang w:eastAsia="zh-CN"/>
        </w:rPr>
        <w:t>veliki broj podnijetih zahtjeva za slobodan pristup informacijama (SPI),</w:t>
      </w:r>
      <w:r w:rsidR="003D7384" w:rsidRPr="00CB681C">
        <w:rPr>
          <w:rFonts w:asciiTheme="majorHAnsi" w:eastAsia="Calibri" w:hAnsiTheme="majorHAnsi" w:cstheme="majorHAnsi"/>
          <w:color w:val="auto"/>
          <w:kern w:val="0"/>
          <w:sz w:val="24"/>
          <w:szCs w:val="24"/>
          <w:lang w:eastAsia="zh-CN"/>
        </w:rPr>
        <w:t xml:space="preserve"> administrativnu i tehničku opterećenost organa vlasti, koja dovodi do čestog „ćutanja uprave“, a s tim u vezi i velikog broja žalbi Agenciji za zaštitu ličnih podataka i slobodan pristup informacijama (997 žalbi 2016. godine, 1002 žalbe 2020. godine).</w:t>
      </w:r>
      <w:r w:rsidR="003D7384" w:rsidRPr="00CB681C">
        <w:rPr>
          <w:rFonts w:asciiTheme="majorHAnsi" w:eastAsia="Calibri" w:hAnsiTheme="majorHAnsi" w:cstheme="majorHAnsi"/>
          <w:color w:val="auto"/>
          <w:kern w:val="0"/>
          <w:sz w:val="24"/>
          <w:szCs w:val="24"/>
          <w:vertAlign w:val="superscript"/>
          <w:lang w:eastAsia="zh-CN"/>
        </w:rPr>
        <w:footnoteReference w:id="102"/>
      </w:r>
      <w:r w:rsidR="003D7384" w:rsidRPr="00CB681C">
        <w:rPr>
          <w:rFonts w:asciiTheme="majorHAnsi" w:eastAsia="Calibri" w:hAnsiTheme="majorHAnsi" w:cstheme="majorHAnsi"/>
          <w:color w:val="auto"/>
          <w:kern w:val="0"/>
          <w:sz w:val="24"/>
          <w:szCs w:val="24"/>
          <w:lang w:eastAsia="zh-CN"/>
        </w:rPr>
        <w:t xml:space="preserve"> Naime, fokus grupe</w:t>
      </w:r>
      <w:r w:rsidR="003D7384" w:rsidRPr="00CB681C">
        <w:rPr>
          <w:rFonts w:asciiTheme="majorHAnsi" w:eastAsia="Calibri" w:hAnsiTheme="majorHAnsi" w:cstheme="majorHAnsi"/>
          <w:color w:val="auto"/>
          <w:kern w:val="0"/>
          <w:sz w:val="24"/>
          <w:szCs w:val="24"/>
          <w:vertAlign w:val="superscript"/>
          <w:lang w:eastAsia="zh-CN"/>
        </w:rPr>
        <w:footnoteReference w:id="103"/>
      </w:r>
      <w:r w:rsidR="003D7384" w:rsidRPr="00CB681C">
        <w:rPr>
          <w:rFonts w:asciiTheme="majorHAnsi" w:eastAsia="Calibri" w:hAnsiTheme="majorHAnsi" w:cstheme="majorHAnsi"/>
          <w:color w:val="auto"/>
          <w:kern w:val="0"/>
          <w:sz w:val="24"/>
          <w:szCs w:val="24"/>
          <w:lang w:eastAsia="zh-CN"/>
        </w:rPr>
        <w:t xml:space="preserve"> su ocijenile da građani ne mogu doći na jednostavan i razumljiv način do svih potrebnih informacija od značaja za ostvarivanje njihovih prava na pristup informacijama putem internet stranice. Ne postoji unificiranost internet stranica državnih organa i </w:t>
      </w:r>
      <w:r w:rsidR="003D7384" w:rsidRPr="00CB681C">
        <w:rPr>
          <w:rFonts w:asciiTheme="majorHAnsi" w:eastAsia="Calibri" w:hAnsiTheme="majorHAnsi" w:cstheme="majorHAnsi"/>
          <w:color w:val="auto"/>
          <w:kern w:val="0"/>
          <w:sz w:val="24"/>
          <w:szCs w:val="24"/>
          <w:lang w:eastAsia="zh-CN"/>
        </w:rPr>
        <w:lastRenderedPageBreak/>
        <w:t>opština, pa informacije nisu jednostavne za pronalaženje. Takodje, ocijenjeno je da su informacije o radu državnih organa selektivne i parcijalne i da postoji nemogućnost dobijanja informacija (koje su objavljene na sajtu, a koji nije trenutno dostupan) od strane javnih službenika bez zahtjeva za SPI. WEBER Izvještaj za 2020. godinu takođe ukazuje da nema napretka u odnosu na 2017. godinu u oblasti proaktivnog informisanja javnosti od strane organa vlasti.</w:t>
      </w:r>
      <w:r w:rsidR="003D7384" w:rsidRPr="00CB681C">
        <w:rPr>
          <w:rFonts w:asciiTheme="majorHAnsi" w:eastAsia="Calibri" w:hAnsiTheme="majorHAnsi" w:cstheme="majorHAnsi"/>
          <w:color w:val="auto"/>
          <w:kern w:val="0"/>
          <w:sz w:val="24"/>
          <w:szCs w:val="24"/>
          <w:vertAlign w:val="superscript"/>
          <w:lang w:eastAsia="zh-CN"/>
        </w:rPr>
        <w:footnoteReference w:id="104"/>
      </w:r>
      <w:r w:rsidR="003D7384" w:rsidRPr="00CB681C">
        <w:rPr>
          <w:rFonts w:asciiTheme="majorHAnsi" w:eastAsia="Calibri" w:hAnsiTheme="majorHAnsi" w:cstheme="majorHAnsi"/>
          <w:noProof/>
          <w:color w:val="auto"/>
          <w:kern w:val="0"/>
          <w:sz w:val="24"/>
          <w:szCs w:val="24"/>
          <w:lang w:eastAsia="en-US"/>
        </w:rPr>
        <w:t xml:space="preserve"> </w:t>
      </w:r>
    </w:p>
    <w:p w:rsidR="003D7384" w:rsidRPr="00CB681C" w:rsidRDefault="003D7384" w:rsidP="00CB681C">
      <w:pPr>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Kada je u pitanju </w:t>
      </w:r>
      <w:r w:rsidRPr="00CB681C">
        <w:rPr>
          <w:rFonts w:asciiTheme="majorHAnsi" w:eastAsia="Calibri" w:hAnsiTheme="majorHAnsi" w:cstheme="majorHAnsi"/>
          <w:b/>
          <w:color w:val="auto"/>
          <w:kern w:val="0"/>
          <w:sz w:val="24"/>
          <w:szCs w:val="24"/>
          <w:lang w:eastAsia="zh-CN"/>
        </w:rPr>
        <w:t>objavljivanje podataka u otvorenom formatu</w:t>
      </w:r>
      <w:r w:rsidRPr="00CB681C">
        <w:rPr>
          <w:rFonts w:asciiTheme="majorHAnsi" w:eastAsia="Calibri" w:hAnsiTheme="majorHAnsi" w:cstheme="majorHAnsi"/>
          <w:color w:val="auto"/>
          <w:kern w:val="0"/>
          <w:sz w:val="24"/>
          <w:szCs w:val="24"/>
          <w:lang w:eastAsia="zh-CN"/>
        </w:rPr>
        <w:t xml:space="preserve"> postoje mnogobrojni izazovi, prije svega u spremnosti institucija da podatke objavljuju u otvorenom formatu. Na taj način se onemogućava stvaranje kvalitetnih aplikativnih rješenja koja bi korišćenjem podataka mogla stvoriti dodatnu vrijednost u rješevanju</w:t>
      </w:r>
      <w:r w:rsidR="00CB681C" w:rsidRPr="00CB681C">
        <w:rPr>
          <w:rFonts w:asciiTheme="majorHAnsi" w:eastAsia="Calibri" w:hAnsiTheme="majorHAnsi" w:cstheme="majorHAnsi"/>
          <w:color w:val="auto"/>
          <w:kern w:val="0"/>
          <w:sz w:val="24"/>
          <w:szCs w:val="24"/>
          <w:lang w:eastAsia="zh-CN"/>
        </w:rPr>
        <w:t xml:space="preserve"> svakodnevnih problema građana.</w:t>
      </w:r>
    </w:p>
    <w:p w:rsidR="0080584D" w:rsidRPr="00CB681C" w:rsidRDefault="0080584D" w:rsidP="00B43D4E">
      <w:pPr>
        <w:pStyle w:val="ListParagraph"/>
        <w:numPr>
          <w:ilvl w:val="0"/>
          <w:numId w:val="35"/>
        </w:numPr>
        <w:tabs>
          <w:tab w:val="left" w:pos="850"/>
          <w:tab w:val="left" w:pos="1191"/>
          <w:tab w:val="left" w:pos="1531"/>
        </w:tabs>
        <w:spacing w:before="60" w:after="60" w:line="240" w:lineRule="auto"/>
        <w:ind w:left="360" w:right="-471" w:firstLine="0"/>
        <w:contextualSpacing w:val="0"/>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b/>
          <w:i/>
          <w:color w:val="auto"/>
          <w:kern w:val="0"/>
          <w:sz w:val="24"/>
          <w:szCs w:val="24"/>
          <w:lang w:eastAsia="zh-CN"/>
        </w:rPr>
        <w:t xml:space="preserve">Mali broj institucija objavljuje data setove na portalu otvorenih podataka </w:t>
      </w:r>
    </w:p>
    <w:p w:rsidR="00956AA6" w:rsidRPr="00CB681C" w:rsidRDefault="00956AA6" w:rsidP="00CB681C">
      <w:pPr>
        <w:tabs>
          <w:tab w:val="left" w:pos="850"/>
          <w:tab w:val="left" w:pos="1191"/>
          <w:tab w:val="left" w:pos="1531"/>
        </w:tabs>
        <w:spacing w:before="60" w:after="60" w:line="240" w:lineRule="auto"/>
        <w:ind w:right="-475"/>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Na osnovu ist</w:t>
      </w:r>
      <w:r w:rsidR="00D1194A" w:rsidRPr="00CB681C">
        <w:rPr>
          <w:rFonts w:asciiTheme="majorHAnsi" w:hAnsiTheme="majorHAnsi" w:cstheme="majorHAnsi"/>
          <w:color w:val="auto"/>
          <w:sz w:val="24"/>
          <w:szCs w:val="24"/>
        </w:rPr>
        <w:t>raživanja agencije „Damar“, koje</w:t>
      </w:r>
      <w:r w:rsidRPr="00CB681C">
        <w:rPr>
          <w:rFonts w:asciiTheme="majorHAnsi" w:hAnsiTheme="majorHAnsi" w:cstheme="majorHAnsi"/>
          <w:color w:val="auto"/>
          <w:sz w:val="24"/>
          <w:szCs w:val="24"/>
        </w:rPr>
        <w:t xml:space="preserve"> je </w:t>
      </w:r>
      <w:r w:rsidR="00D1194A" w:rsidRPr="00CB681C">
        <w:rPr>
          <w:rFonts w:asciiTheme="majorHAnsi" w:hAnsiTheme="majorHAnsi" w:cstheme="majorHAnsi"/>
          <w:color w:val="auto"/>
          <w:sz w:val="24"/>
          <w:szCs w:val="24"/>
        </w:rPr>
        <w:t>sprovedeno</w:t>
      </w:r>
      <w:r w:rsidRPr="00CB681C">
        <w:rPr>
          <w:rFonts w:asciiTheme="majorHAnsi" w:hAnsiTheme="majorHAnsi" w:cstheme="majorHAnsi"/>
          <w:color w:val="auto"/>
          <w:sz w:val="24"/>
          <w:szCs w:val="24"/>
        </w:rPr>
        <w:t xml:space="preserve"> u okviru projekta „Ubrzanje digitalnog upravljanja“ dobijeni su sledeći podaci:</w:t>
      </w:r>
    </w:p>
    <w:p w:rsidR="00956AA6" w:rsidRPr="00CB681C" w:rsidRDefault="00956AA6" w:rsidP="00B43D4E">
      <w:pPr>
        <w:pStyle w:val="Default"/>
        <w:numPr>
          <w:ilvl w:val="1"/>
          <w:numId w:val="35"/>
        </w:numPr>
        <w:spacing w:before="60" w:after="60"/>
        <w:ind w:right="-475"/>
        <w:rPr>
          <w:rFonts w:asciiTheme="majorHAnsi" w:hAnsiTheme="majorHAnsi" w:cstheme="majorHAnsi"/>
          <w:color w:val="auto"/>
        </w:rPr>
      </w:pPr>
      <w:r w:rsidRPr="00CB681C">
        <w:rPr>
          <w:rFonts w:asciiTheme="majorHAnsi" w:hAnsiTheme="majorHAnsi" w:cstheme="majorHAnsi"/>
          <w:color w:val="auto"/>
        </w:rPr>
        <w:t xml:space="preserve">sa konceptom otvorenih podataka nije upoznato 84,6% zaposlenih u javnoj upravi. </w:t>
      </w:r>
    </w:p>
    <w:p w:rsidR="00956AA6" w:rsidRPr="00CB681C" w:rsidRDefault="00956AA6" w:rsidP="00B43D4E">
      <w:pPr>
        <w:pStyle w:val="Default"/>
        <w:numPr>
          <w:ilvl w:val="1"/>
          <w:numId w:val="35"/>
        </w:numPr>
        <w:spacing w:before="60" w:after="60"/>
        <w:ind w:right="-475"/>
        <w:rPr>
          <w:rFonts w:asciiTheme="majorHAnsi" w:hAnsiTheme="majorHAnsi" w:cstheme="majorHAnsi"/>
          <w:color w:val="auto"/>
        </w:rPr>
      </w:pPr>
      <w:r w:rsidRPr="00CB681C">
        <w:rPr>
          <w:rFonts w:asciiTheme="majorHAnsi" w:hAnsiTheme="majorHAnsi" w:cstheme="majorHAnsi"/>
          <w:color w:val="auto"/>
        </w:rPr>
        <w:t>93,5% zaposlenih nije upoznato sa konceptom ponovne upotrebe već dostupnih/publikovanih podataka.</w:t>
      </w:r>
    </w:p>
    <w:p w:rsidR="00956AA6" w:rsidRPr="00CB681C" w:rsidRDefault="00956AA6" w:rsidP="00B43D4E">
      <w:pPr>
        <w:pStyle w:val="Default"/>
        <w:numPr>
          <w:ilvl w:val="1"/>
          <w:numId w:val="35"/>
        </w:numPr>
        <w:spacing w:before="60" w:after="60"/>
        <w:ind w:right="-475"/>
        <w:rPr>
          <w:rFonts w:asciiTheme="majorHAnsi" w:hAnsiTheme="majorHAnsi" w:cstheme="majorHAnsi"/>
          <w:color w:val="auto"/>
        </w:rPr>
      </w:pPr>
      <w:r w:rsidRPr="00CB681C">
        <w:rPr>
          <w:rFonts w:asciiTheme="majorHAnsi" w:hAnsiTheme="majorHAnsi" w:cstheme="majorHAnsi"/>
          <w:color w:val="auto"/>
        </w:rPr>
        <w:t xml:space="preserve">83,0% zaposlenih nije čulo za pojam mašinski čitljivi podaci. </w:t>
      </w:r>
    </w:p>
    <w:p w:rsidR="00956AA6" w:rsidRPr="00CB681C" w:rsidRDefault="00956AA6" w:rsidP="00CB681C">
      <w:pPr>
        <w:tabs>
          <w:tab w:val="left" w:pos="850"/>
          <w:tab w:val="left" w:pos="1191"/>
          <w:tab w:val="left" w:pos="1531"/>
        </w:tabs>
        <w:spacing w:before="60" w:after="60" w:line="240" w:lineRule="auto"/>
        <w:ind w:right="-475"/>
        <w:jc w:val="both"/>
        <w:rPr>
          <w:rFonts w:asciiTheme="majorHAnsi" w:hAnsiTheme="majorHAnsi" w:cstheme="majorHAnsi"/>
          <w:color w:val="auto"/>
          <w:sz w:val="24"/>
          <w:szCs w:val="24"/>
        </w:rPr>
      </w:pPr>
      <w:r w:rsidRPr="00CB681C">
        <w:rPr>
          <w:rFonts w:asciiTheme="majorHAnsi" w:eastAsia="Calibri" w:hAnsiTheme="majorHAnsi" w:cstheme="majorHAnsi"/>
          <w:color w:val="auto"/>
          <w:kern w:val="0"/>
          <w:sz w:val="24"/>
          <w:szCs w:val="24"/>
          <w:lang w:eastAsia="zh-CN"/>
        </w:rPr>
        <w:t xml:space="preserve">Takođe, zaposleni u javnoj upravi nisu informisani da organi javne vlasti, prepoznati </w:t>
      </w:r>
      <w:r w:rsidR="008407AC" w:rsidRPr="00CB681C">
        <w:rPr>
          <w:rFonts w:asciiTheme="majorHAnsi" w:eastAsia="Calibri" w:hAnsiTheme="majorHAnsi" w:cstheme="majorHAnsi"/>
          <w:color w:val="auto"/>
          <w:kern w:val="0"/>
          <w:sz w:val="24"/>
          <w:szCs w:val="24"/>
          <w:lang w:eastAsia="zh-CN"/>
        </w:rPr>
        <w:t>Z</w:t>
      </w:r>
      <w:r w:rsidRPr="00CB681C">
        <w:rPr>
          <w:rFonts w:asciiTheme="majorHAnsi" w:eastAsia="Calibri" w:hAnsiTheme="majorHAnsi" w:cstheme="majorHAnsi"/>
          <w:color w:val="auto"/>
          <w:kern w:val="0"/>
          <w:sz w:val="24"/>
          <w:szCs w:val="24"/>
          <w:lang w:eastAsia="zh-CN"/>
        </w:rPr>
        <w:t>akonom o SPI imaju, obavezu da informacije za ponovnu upotrebu objavljuju u otvorenom formatu na portalu otvorenih podataka koji je centralna tačka pristupa organima vlasti i dostupan je 24/7, shodnu članu 12</w:t>
      </w:r>
      <w:r w:rsidR="00B20E07" w:rsidRPr="00CB681C">
        <w:rPr>
          <w:rFonts w:asciiTheme="majorHAnsi" w:eastAsia="Calibri" w:hAnsiTheme="majorHAnsi" w:cstheme="majorHAnsi"/>
          <w:color w:val="auto"/>
          <w:kern w:val="0"/>
          <w:sz w:val="24"/>
          <w:szCs w:val="24"/>
          <w:lang w:eastAsia="zh-CN"/>
        </w:rPr>
        <w:t>.</w:t>
      </w:r>
      <w:r w:rsidRPr="00CB681C">
        <w:rPr>
          <w:rFonts w:asciiTheme="majorHAnsi" w:eastAsia="Calibri" w:hAnsiTheme="majorHAnsi" w:cstheme="majorHAnsi"/>
          <w:color w:val="auto"/>
          <w:kern w:val="0"/>
          <w:sz w:val="24"/>
          <w:szCs w:val="24"/>
          <w:lang w:eastAsia="zh-CN"/>
        </w:rPr>
        <w:t xml:space="preserve"> pomenutog zakona SPI.</w:t>
      </w:r>
      <w:r w:rsidRPr="00CB681C">
        <w:rPr>
          <w:rFonts w:asciiTheme="majorHAnsi" w:hAnsiTheme="majorHAnsi" w:cstheme="majorHAnsi"/>
          <w:color w:val="auto"/>
          <w:sz w:val="24"/>
          <w:szCs w:val="24"/>
        </w:rPr>
        <w:t xml:space="preserve"> </w:t>
      </w:r>
    </w:p>
    <w:p w:rsidR="003D7384" w:rsidRPr="00CB681C" w:rsidRDefault="00956AA6" w:rsidP="00CB681C">
      <w:pPr>
        <w:tabs>
          <w:tab w:val="left" w:pos="850"/>
          <w:tab w:val="left" w:pos="1191"/>
          <w:tab w:val="left" w:pos="1531"/>
        </w:tabs>
        <w:spacing w:before="60" w:after="60" w:line="240" w:lineRule="auto"/>
        <w:ind w:right="-475"/>
        <w:jc w:val="both"/>
        <w:rPr>
          <w:rFonts w:asciiTheme="majorHAnsi" w:hAnsiTheme="majorHAnsi" w:cstheme="majorHAnsi"/>
          <w:b/>
          <w:color w:val="auto"/>
          <w:sz w:val="24"/>
          <w:szCs w:val="24"/>
        </w:rPr>
      </w:pPr>
      <w:r w:rsidRPr="00CB681C">
        <w:rPr>
          <w:rFonts w:asciiTheme="majorHAnsi" w:hAnsiTheme="majorHAnsi" w:cstheme="majorHAnsi"/>
          <w:color w:val="auto"/>
          <w:sz w:val="24"/>
          <w:szCs w:val="24"/>
        </w:rPr>
        <w:t xml:space="preserve">Značaj objavljivanja podataka u posjedu organa vlasti u otvorenom formatu nije dovoljno prepoznat,i pored tog što je istaknut u prošlim strateškim dokumentima, kroz </w:t>
      </w:r>
      <w:r w:rsidRPr="00CB681C">
        <w:rPr>
          <w:rFonts w:asciiTheme="majorHAnsi" w:hAnsiTheme="majorHAnsi" w:cstheme="majorHAnsi"/>
          <w:b/>
          <w:color w:val="auto"/>
          <w:sz w:val="24"/>
          <w:szCs w:val="24"/>
        </w:rPr>
        <w:t>ključnu obavezu pr</w:t>
      </w:r>
      <w:r w:rsidR="00CB681C" w:rsidRPr="00CB681C">
        <w:rPr>
          <w:rFonts w:asciiTheme="majorHAnsi" w:hAnsiTheme="majorHAnsi" w:cstheme="majorHAnsi"/>
          <w:b/>
          <w:color w:val="auto"/>
          <w:sz w:val="24"/>
          <w:szCs w:val="24"/>
        </w:rPr>
        <w:t>oaktivni pristup informacijama.</w:t>
      </w:r>
    </w:p>
    <w:p w:rsidR="00956AA6" w:rsidRPr="00CB681C" w:rsidRDefault="00956AA6" w:rsidP="00B43D4E">
      <w:pPr>
        <w:pStyle w:val="ListParagraph"/>
        <w:numPr>
          <w:ilvl w:val="0"/>
          <w:numId w:val="35"/>
        </w:numPr>
        <w:tabs>
          <w:tab w:val="left" w:pos="850"/>
          <w:tab w:val="left" w:pos="1191"/>
          <w:tab w:val="left" w:pos="1531"/>
        </w:tabs>
        <w:spacing w:before="0" w:after="120" w:line="240" w:lineRule="auto"/>
        <w:ind w:right="-471"/>
        <w:jc w:val="both"/>
        <w:rPr>
          <w:rFonts w:asciiTheme="majorHAnsi" w:eastAsia="Calibri" w:hAnsiTheme="majorHAnsi" w:cstheme="majorHAnsi"/>
          <w:b/>
          <w:i/>
          <w:color w:val="auto"/>
          <w:kern w:val="0"/>
          <w:sz w:val="24"/>
          <w:szCs w:val="24"/>
          <w:lang w:eastAsia="zh-CN"/>
        </w:rPr>
      </w:pPr>
      <w:r w:rsidRPr="00CB681C">
        <w:rPr>
          <w:rFonts w:asciiTheme="majorHAnsi" w:eastAsia="Calibri" w:hAnsiTheme="majorHAnsi" w:cstheme="majorHAnsi"/>
          <w:b/>
          <w:i/>
          <w:color w:val="auto"/>
          <w:kern w:val="0"/>
          <w:sz w:val="24"/>
          <w:szCs w:val="24"/>
          <w:lang w:eastAsia="zh-CN"/>
        </w:rPr>
        <w:t>Nedovoljan broj (kvalitetnih) data setova na Portalu otvorenih podataka</w:t>
      </w:r>
    </w:p>
    <w:p w:rsidR="00956AA6" w:rsidRPr="00CB681C" w:rsidRDefault="00956AA6" w:rsidP="00211F05">
      <w:pPr>
        <w:tabs>
          <w:tab w:val="left" w:pos="850"/>
          <w:tab w:val="left" w:pos="1191"/>
          <w:tab w:val="left" w:pos="1531"/>
        </w:tabs>
        <w:spacing w:before="60" w:after="60" w:line="240" w:lineRule="auto"/>
        <w:ind w:right="-475"/>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Mada nova Direktiva o otvorenim podacima daje preporuku i specifikaciju za objavljivanje skupova podataka visoke vrijednosti, kao što su: geoprostorni podaci, podaci o zaštiti životne sredine, meteorološki podaci, statistički podaci, preduzeća i vlasništvo nad njima, mobilnost, te iako se radilo na podizanju kvaliteta i količini podataka, ipak nije bilo dovoljno da se postigne veći broj ovakvih data</w:t>
      </w:r>
      <w:r w:rsidR="00B20E07" w:rsidRPr="00CB681C">
        <w:rPr>
          <w:rFonts w:asciiTheme="majorHAnsi" w:hAnsiTheme="majorHAnsi" w:cstheme="majorHAnsi"/>
          <w:color w:val="auto"/>
          <w:sz w:val="24"/>
          <w:szCs w:val="24"/>
        </w:rPr>
        <w:t xml:space="preserve"> </w:t>
      </w:r>
      <w:r w:rsidRPr="00CB681C">
        <w:rPr>
          <w:rFonts w:asciiTheme="majorHAnsi" w:hAnsiTheme="majorHAnsi" w:cstheme="majorHAnsi"/>
          <w:color w:val="auto"/>
          <w:sz w:val="24"/>
          <w:szCs w:val="24"/>
        </w:rPr>
        <w:t xml:space="preserve">setova koje povećava puni potencijal otvorenih podataka. </w:t>
      </w:r>
    </w:p>
    <w:p w:rsidR="002A14A7" w:rsidRPr="00CB681C" w:rsidRDefault="00956AA6" w:rsidP="00211F05">
      <w:pPr>
        <w:tabs>
          <w:tab w:val="left" w:pos="850"/>
          <w:tab w:val="left" w:pos="1191"/>
          <w:tab w:val="left" w:pos="1531"/>
        </w:tabs>
        <w:spacing w:before="60" w:after="60" w:line="240" w:lineRule="auto"/>
        <w:ind w:right="-475"/>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Identifikovan je problem nepostojanja targetiranih, sistematizovanih i upotrebljivih podataka na Portalu otvorenih podataka koji bi omogućili početnicima u biznisu pristup informacijama i podacima koje bi koristili u cilju pokretanja biznisa i jačanja tržišne pozicije. Kreiran je mali broj objavljenih ot</w:t>
      </w:r>
      <w:r w:rsidR="002A14A7" w:rsidRPr="00CB681C">
        <w:rPr>
          <w:rFonts w:asciiTheme="majorHAnsi" w:hAnsiTheme="majorHAnsi" w:cstheme="majorHAnsi"/>
          <w:color w:val="auto"/>
          <w:sz w:val="24"/>
          <w:szCs w:val="24"/>
        </w:rPr>
        <w:t>vorenih podataka u pravcu unapr</w:t>
      </w:r>
      <w:r w:rsidRPr="00CB681C">
        <w:rPr>
          <w:rFonts w:asciiTheme="majorHAnsi" w:hAnsiTheme="majorHAnsi" w:cstheme="majorHAnsi"/>
          <w:color w:val="auto"/>
          <w:sz w:val="24"/>
          <w:szCs w:val="24"/>
        </w:rPr>
        <w:t xml:space="preserve">eđenja unutarsektorske i međusektorske komunikacije, a pogotovo u odnosu na potpuniju informisanost javnosti u različitim oblastima od javnog interesa. Iako je postojala interakcija sa privrednim sektorom, nedovoljno je postojala komunikacija sa samim korisnicima podataka, pa je trebalo organizovati ispitivanje početnika u biznisu o vrsti i strukturi podataka koji bi trebalo da se nađu na Portalu otvorenih podataka, a koji bi im omogućili brže i jednostavnije pokretanje </w:t>
      </w:r>
      <w:r w:rsidRPr="00CB681C">
        <w:rPr>
          <w:rFonts w:asciiTheme="majorHAnsi" w:hAnsiTheme="majorHAnsi" w:cstheme="majorHAnsi"/>
          <w:color w:val="auto"/>
          <w:sz w:val="24"/>
          <w:szCs w:val="24"/>
        </w:rPr>
        <w:lastRenderedPageBreak/>
        <w:t>biznisa, stvaranje dodatne vrijednosti na tržištu i razmjenu podataka sa dr</w:t>
      </w:r>
      <w:r w:rsidR="002A14A7" w:rsidRPr="00CB681C">
        <w:rPr>
          <w:rFonts w:asciiTheme="majorHAnsi" w:hAnsiTheme="majorHAnsi" w:cstheme="majorHAnsi"/>
          <w:color w:val="auto"/>
          <w:sz w:val="24"/>
          <w:szCs w:val="24"/>
        </w:rPr>
        <w:t xml:space="preserve">ugim zainteresovanim stranama. </w:t>
      </w:r>
    </w:p>
    <w:bookmarkStart w:id="37" w:name="_Toc87353411"/>
    <w:p w:rsidR="00211F05" w:rsidRPr="00CB681C" w:rsidRDefault="00CB681C" w:rsidP="00B43D4E">
      <w:pPr>
        <w:pStyle w:val="ListParagraph"/>
        <w:keepNext/>
        <w:keepLines/>
        <w:numPr>
          <w:ilvl w:val="0"/>
          <w:numId w:val="21"/>
        </w:numPr>
        <w:spacing w:before="240" w:after="240" w:line="240" w:lineRule="auto"/>
        <w:ind w:right="-471"/>
        <w:contextualSpacing w:val="0"/>
        <w:outlineLvl w:val="2"/>
        <w:rPr>
          <w:rFonts w:asciiTheme="majorHAnsi" w:eastAsia="Calibri" w:hAnsiTheme="majorHAnsi" w:cstheme="majorHAnsi"/>
          <w:b/>
          <w:color w:val="auto"/>
          <w:kern w:val="0"/>
          <w:sz w:val="24"/>
          <w:szCs w:val="24"/>
        </w:rPr>
      </w:pPr>
      <w:r w:rsidRPr="007E14C5">
        <w:rPr>
          <w:rFonts w:asciiTheme="majorHAnsi" w:hAnsiTheme="majorHAnsi" w:cstheme="majorHAnsi"/>
          <w:noProof/>
          <w:color w:val="002060"/>
          <w:sz w:val="24"/>
          <w:szCs w:val="24"/>
          <w:lang w:eastAsia="sr-Latn-RS"/>
        </w:rPr>
        <mc:AlternateContent>
          <mc:Choice Requires="wps">
            <w:drawing>
              <wp:anchor distT="45720" distB="45720" distL="114300" distR="114300" simplePos="0" relativeHeight="251728896" behindDoc="1" locked="0" layoutInCell="1" allowOverlap="1" wp14:anchorId="1F892FCF" wp14:editId="6CFBEDC4">
                <wp:simplePos x="0" y="0"/>
                <wp:positionH relativeFrom="column">
                  <wp:posOffset>3695700</wp:posOffset>
                </wp:positionH>
                <wp:positionV relativeFrom="paragraph">
                  <wp:posOffset>473710</wp:posOffset>
                </wp:positionV>
                <wp:extent cx="2700655" cy="3710305"/>
                <wp:effectExtent l="0" t="0" r="23495" b="23495"/>
                <wp:wrapTight wrapText="bothSides">
                  <wp:wrapPolygon edited="0">
                    <wp:start x="0" y="0"/>
                    <wp:lineTo x="0" y="21626"/>
                    <wp:lineTo x="21636" y="21626"/>
                    <wp:lineTo x="21636" y="0"/>
                    <wp:lineTo x="0" y="0"/>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3710305"/>
                        </a:xfrm>
                        <a:prstGeom prst="rect">
                          <a:avLst/>
                        </a:prstGeom>
                        <a:solidFill>
                          <a:srgbClr val="FFFFFF"/>
                        </a:solidFill>
                        <a:ln w="9525">
                          <a:solidFill>
                            <a:srgbClr val="FFFFFF"/>
                          </a:solidFill>
                          <a:miter lim="800000"/>
                          <a:headEnd/>
                          <a:tailEnd/>
                        </a:ln>
                      </wps:spPr>
                      <wps:txbx>
                        <w:txbxContent>
                          <w:p w:rsidR="00F735BC" w:rsidRPr="00CB681C" w:rsidRDefault="00F735BC" w:rsidP="00211F05">
                            <w:pPr>
                              <w:spacing w:after="40" w:line="240" w:lineRule="auto"/>
                              <w:ind w:right="135"/>
                              <w:jc w:val="both"/>
                              <w:rPr>
                                <w:rFonts w:asciiTheme="majorHAnsi" w:hAnsiTheme="majorHAnsi" w:cstheme="majorHAnsi"/>
                                <w:bCs/>
                                <w:color w:val="auto"/>
                                <w:sz w:val="24"/>
                                <w:szCs w:val="24"/>
                              </w:rPr>
                            </w:pPr>
                            <w:r w:rsidRPr="00CB681C">
                              <w:rPr>
                                <w:rFonts w:asciiTheme="majorHAnsi" w:hAnsiTheme="majorHAnsi" w:cstheme="majorHAnsi"/>
                                <w:bCs/>
                                <w:color w:val="auto"/>
                                <w:sz w:val="24"/>
                                <w:szCs w:val="24"/>
                              </w:rPr>
                              <w:t>Prikazani grafik daje sažet prikaz analize zainteresovanih strana, prema kojem se uočava veliki interes svih relevantnih aktera. Pitanje transparentnosti rada javne uprave ima uticaj na cjelokupno društvo. U matrici su pozicionirane institucije koje su neposredno uključene u sam proces reforme organizacije javne uprave koje u najvećnoj mjeri i utiču na kreiranje politika u ovoj oblasti kao i njenoj implemenetaciji: AZLP, Upravni sud i Upravna inspekcija, kao i svi obveznici Zakona o slobodnom pristupu informacija. Prvostepeni organi uprave imaju velik uticaja na implementaciju Zakona o SPI, a posebno na proaktivnu objavu podataka. EU, SIGMA, OECD, UN posmatraju kao najvažniji partneri.</w:t>
                            </w:r>
                          </w:p>
                          <w:p w:rsidR="00F735BC" w:rsidRDefault="00F735BC" w:rsidP="00064A89">
                            <w:pPr>
                              <w:ind w:righ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92FCF" id="_x0000_s1128" type="#_x0000_t202" style="position:absolute;left:0;text-align:left;margin-left:291pt;margin-top:37.3pt;width:212.65pt;height:292.15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" strokecolor="white">
                <v:textbox>
                  <w:txbxContent>
                    <w:p w:rsidR="00F735BC" w:rsidRPr="00CB681C" w:rsidRDefault="00F735BC" w:rsidP="00211F05">
                      <w:pPr>
                        <w:spacing w:after="40" w:line="240" w:lineRule="auto"/>
                        <w:ind w:right="135"/>
                        <w:jc w:val="both"/>
                        <w:rPr>
                          <w:rFonts w:asciiTheme="majorHAnsi" w:hAnsiTheme="majorHAnsi" w:cstheme="majorHAnsi"/>
                          <w:bCs/>
                          <w:color w:val="auto"/>
                          <w:sz w:val="24"/>
                          <w:szCs w:val="24"/>
                        </w:rPr>
                      </w:pPr>
                      <w:r w:rsidRPr="00CB681C">
                        <w:rPr>
                          <w:rFonts w:asciiTheme="majorHAnsi" w:hAnsiTheme="majorHAnsi" w:cstheme="majorHAnsi"/>
                          <w:bCs/>
                          <w:color w:val="auto"/>
                          <w:sz w:val="24"/>
                          <w:szCs w:val="24"/>
                        </w:rPr>
                        <w:t>Prikazani grafik daje sažet prikaz analize zainteresovanih strana, prema kojem se uočava veliki interes svih relevantnih aktera. Pitanje transparentnosti rada javne uprave ima uticaj na cjelokupno društvo. U matrici su pozicionirane institucije koje su neposredno uključene u sam proces reforme organizacije javne uprave koje u najvećnoj mjeri i utiču na kreiranje politika u ovoj oblasti kao i njenoj implemenetaciji: AZLP, Upravni sud i Upravna inspekcija, kao i svi obveznici Zakona o slobodnom pristupu informacija. Prvostepeni organi uprave imaju velik uticaja na implementaciju Zakona o SPI, a posebno na proaktivnu objavu podataka. EU, SIGMA, OECD, UN posmatraju kao najvažniji partneri.</w:t>
                      </w:r>
                    </w:p>
                    <w:p w:rsidR="00F735BC" w:rsidRDefault="00F735BC" w:rsidP="00064A89">
                      <w:pPr>
                        <w:ind w:right="-66"/>
                      </w:pPr>
                    </w:p>
                  </w:txbxContent>
                </v:textbox>
                <w10:wrap type="tight"/>
              </v:shape>
            </w:pict>
          </mc:Fallback>
        </mc:AlternateContent>
      </w:r>
      <w:r w:rsidR="00045694" w:rsidRPr="00CB681C">
        <w:rPr>
          <w:rFonts w:asciiTheme="majorHAnsi" w:hAnsiTheme="majorHAnsi" w:cstheme="majorHAnsi"/>
          <w:bCs/>
          <w:noProof/>
          <w:color w:val="auto"/>
          <w:sz w:val="24"/>
          <w:szCs w:val="24"/>
          <w:lang w:eastAsia="sr-Latn-RS"/>
        </w:rPr>
        <mc:AlternateContent>
          <mc:Choice Requires="wps">
            <w:drawing>
              <wp:anchor distT="45720" distB="45720" distL="114300" distR="114300" simplePos="0" relativeHeight="251725824" behindDoc="0" locked="0" layoutInCell="1" allowOverlap="1" wp14:anchorId="17DD62AE" wp14:editId="231F6509">
                <wp:simplePos x="0" y="0"/>
                <wp:positionH relativeFrom="margin">
                  <wp:posOffset>-396240</wp:posOffset>
                </wp:positionH>
                <wp:positionV relativeFrom="paragraph">
                  <wp:posOffset>1379432</wp:posOffset>
                </wp:positionV>
                <wp:extent cx="297180" cy="182118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821180"/>
                        </a:xfrm>
                        <a:prstGeom prst="rect">
                          <a:avLst/>
                        </a:prstGeom>
                        <a:noFill/>
                        <a:ln w="9525">
                          <a:noFill/>
                          <a:miter lim="800000"/>
                          <a:headEnd/>
                          <a:tailEnd/>
                        </a:ln>
                      </wps:spPr>
                      <wps:txbx>
                        <w:txbxContent>
                          <w:p w:rsidR="00F735BC" w:rsidRPr="0031303E" w:rsidRDefault="00F735BC" w:rsidP="00064A89">
                            <w:pPr>
                              <w:ind w:right="-12"/>
                              <w:rPr>
                                <w:color w:val="7030A0"/>
                                <w:sz w:val="24"/>
                                <w:szCs w:val="24"/>
                              </w:rPr>
                            </w:pPr>
                            <w:r w:rsidRPr="0031303E">
                              <w:rPr>
                                <w:color w:val="7030A0"/>
                                <w:sz w:val="24"/>
                                <w:szCs w:val="24"/>
                              </w:rPr>
                              <w:t>INTERES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D62AE" id="_x0000_s1129" type="#_x0000_t202" style="position:absolute;left:0;text-align:left;margin-left:-31.2pt;margin-top:108.6pt;width:23.4pt;height:143.4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" filled="f" stroked="f">
                <v:textbox>
                  <w:txbxContent>
                    <w:p w:rsidR="00F735BC" w:rsidRPr="0031303E" w:rsidRDefault="00F735BC" w:rsidP="00064A89">
                      <w:pPr>
                        <w:ind w:right="-12"/>
                        <w:rPr>
                          <w:color w:val="7030A0"/>
                          <w:sz w:val="24"/>
                          <w:szCs w:val="24"/>
                        </w:rPr>
                      </w:pPr>
                      <w:r w:rsidRPr="0031303E">
                        <w:rPr>
                          <w:color w:val="7030A0"/>
                          <w:sz w:val="24"/>
                          <w:szCs w:val="24"/>
                        </w:rPr>
                        <w:t>INTERES</w:t>
                      </w:r>
                    </w:p>
                  </w:txbxContent>
                </v:textbox>
                <w10:wrap type="square" anchorx="margin"/>
              </v:shape>
            </w:pict>
          </mc:Fallback>
        </mc:AlternateContent>
      </w:r>
      <w:r w:rsidR="00211F05" w:rsidRPr="00CB681C">
        <w:rPr>
          <w:rFonts w:asciiTheme="majorHAnsi" w:hAnsiTheme="majorHAnsi" w:cstheme="majorHAnsi"/>
          <w:bCs/>
          <w:noProof/>
          <w:color w:val="auto"/>
          <w:sz w:val="24"/>
          <w:szCs w:val="24"/>
          <w:lang w:eastAsia="sr-Latn-RS"/>
        </w:rPr>
        <w:drawing>
          <wp:anchor distT="0" distB="0" distL="114300" distR="114300" simplePos="0" relativeHeight="251726848" behindDoc="1" locked="0" layoutInCell="1" allowOverlap="1" wp14:anchorId="0673CA1D" wp14:editId="231D64B9">
            <wp:simplePos x="0" y="0"/>
            <wp:positionH relativeFrom="column">
              <wp:posOffset>338455</wp:posOffset>
            </wp:positionH>
            <wp:positionV relativeFrom="paragraph">
              <wp:posOffset>416560</wp:posOffset>
            </wp:positionV>
            <wp:extent cx="3124200" cy="3063240"/>
            <wp:effectExtent l="171450" t="0" r="171450" b="3810"/>
            <wp:wrapTight wrapText="bothSides">
              <wp:wrapPolygon edited="0">
                <wp:start x="10405" y="0"/>
                <wp:lineTo x="-527" y="0"/>
                <wp:lineTo x="-527" y="8597"/>
                <wp:lineTo x="-1185" y="8597"/>
                <wp:lineTo x="-1185" y="12896"/>
                <wp:lineTo x="-395" y="12896"/>
                <wp:lineTo x="-395" y="21493"/>
                <wp:lineTo x="10405" y="21493"/>
                <wp:lineTo x="11063" y="21493"/>
                <wp:lineTo x="16332" y="21493"/>
                <wp:lineTo x="21600" y="20418"/>
                <wp:lineTo x="21600" y="12896"/>
                <wp:lineTo x="22654" y="10881"/>
                <wp:lineTo x="22654" y="10746"/>
                <wp:lineTo x="21995" y="8731"/>
                <wp:lineTo x="22127" y="1209"/>
                <wp:lineTo x="19229" y="672"/>
                <wp:lineTo x="11063" y="0"/>
                <wp:lineTo x="10405" y="0"/>
              </wp:wrapPolygon>
            </wp:wrapTight>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14:sizeRelH relativeFrom="page">
              <wp14:pctWidth>0</wp14:pctWidth>
            </wp14:sizeRelH>
            <wp14:sizeRelV relativeFrom="page">
              <wp14:pctHeight>0</wp14:pctHeight>
            </wp14:sizeRelV>
          </wp:anchor>
        </w:drawing>
      </w:r>
      <w:r w:rsidR="00211F05" w:rsidRPr="00CB681C">
        <w:rPr>
          <w:rFonts w:asciiTheme="majorHAnsi" w:eastAsia="Calibri" w:hAnsiTheme="majorHAnsi" w:cstheme="majorHAnsi"/>
          <w:b/>
          <w:color w:val="auto"/>
          <w:kern w:val="0"/>
          <w:sz w:val="24"/>
          <w:szCs w:val="24"/>
        </w:rPr>
        <w:t>STAKEHOLDER ANALIZA/ ANALIZA ZAINTERESOVANIH STRANA</w:t>
      </w:r>
      <w:r w:rsidR="00791C82" w:rsidRPr="00CB681C">
        <w:rPr>
          <w:rFonts w:asciiTheme="majorHAnsi" w:eastAsia="Calibri" w:hAnsiTheme="majorHAnsi" w:cstheme="majorHAnsi"/>
          <w:b/>
          <w:color w:val="auto"/>
          <w:kern w:val="0"/>
          <w:sz w:val="24"/>
          <w:szCs w:val="24"/>
        </w:rPr>
        <w:t xml:space="preserve"> STRATEŠKOG CILJA 4.</w:t>
      </w:r>
      <w:bookmarkEnd w:id="37"/>
    </w:p>
    <w:p w:rsidR="00064A89" w:rsidRPr="007E14C5" w:rsidRDefault="00211F05" w:rsidP="007E14C5">
      <w:pPr>
        <w:rPr>
          <w:rFonts w:asciiTheme="majorHAnsi" w:eastAsia="Calibri" w:hAnsiTheme="majorHAnsi" w:cstheme="majorHAnsi"/>
          <w:b/>
          <w:color w:val="002060"/>
          <w:kern w:val="0"/>
          <w:sz w:val="24"/>
          <w:szCs w:val="24"/>
        </w:rPr>
      </w:pPr>
      <w:r w:rsidRPr="007E14C5">
        <w:rPr>
          <w:rFonts w:asciiTheme="majorHAnsi" w:hAnsiTheme="majorHAnsi" w:cstheme="majorHAnsi"/>
          <w:noProof/>
          <w:color w:val="002060"/>
          <w:sz w:val="24"/>
          <w:szCs w:val="24"/>
          <w:lang w:eastAsia="sr-Latn-RS"/>
        </w:rPr>
        <mc:AlternateContent>
          <mc:Choice Requires="wps">
            <w:drawing>
              <wp:anchor distT="0" distB="0" distL="114300" distR="114300" simplePos="0" relativeHeight="251724800" behindDoc="0" locked="0" layoutInCell="1" allowOverlap="1" wp14:anchorId="39ADCACC" wp14:editId="5B49D9C9">
                <wp:simplePos x="0" y="0"/>
                <wp:positionH relativeFrom="column">
                  <wp:posOffset>-25400</wp:posOffset>
                </wp:positionH>
                <wp:positionV relativeFrom="paragraph">
                  <wp:posOffset>387350</wp:posOffset>
                </wp:positionV>
                <wp:extent cx="15240" cy="2659380"/>
                <wp:effectExtent l="57150" t="38100" r="118110" b="102870"/>
                <wp:wrapNone/>
                <wp:docPr id="41" name="Straight Arrow Connector 41"/>
                <wp:cNvGraphicFramePr/>
                <a:graphic xmlns:a="http://schemas.openxmlformats.org/drawingml/2006/main">
                  <a:graphicData uri="http://schemas.microsoft.com/office/word/2010/wordprocessingShape">
                    <wps:wsp>
                      <wps:cNvCnPr/>
                      <wps:spPr>
                        <a:xfrm flipV="1">
                          <a:off x="0" y="0"/>
                          <a:ext cx="15240" cy="2659380"/>
                        </a:xfrm>
                        <a:prstGeom prst="straightConnector1">
                          <a:avLst/>
                        </a:prstGeom>
                        <a:noFill/>
                        <a:ln w="9525" cap="flat" cmpd="sng" algn="ctr">
                          <a:solidFill>
                            <a:srgbClr val="7030A0"/>
                          </a:solidFill>
                          <a:prstDash val="solid"/>
                          <a:tailEnd type="triangle"/>
                        </a:ln>
                        <a:effectLst>
                          <a:outerShdw blurRad="50800" dist="38100" dir="2700000" algn="tl" rotWithShape="0">
                            <a:prstClr val="black">
                              <a:alpha val="40000"/>
                            </a:prstClr>
                          </a:outerShdw>
                        </a:effectLst>
                      </wps:spPr>
                      <wps:bodyPr/>
                    </wps:wsp>
                  </a:graphicData>
                </a:graphic>
              </wp:anchor>
            </w:drawing>
          </mc:Choice>
          <mc:Fallback>
            <w:pict>
              <v:shape w14:anchorId="7E54B27E" id="Straight Arrow Connector 41" o:spid="_x0000_s1026" type="#_x0000_t32" style="position:absolute;margin-left:-2pt;margin-top:30.5pt;width:1.2pt;height:209.4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" strokecolor="#7030a0">
                <v:stroke endarrow="block"/>
                <v:shadow on="t" color="black" opacity="26214f" origin="-.5,-.5" offset=".74836mm,.74836mm"/>
              </v:shape>
            </w:pict>
          </mc:Fallback>
        </mc:AlternateContent>
      </w:r>
    </w:p>
    <w:p w:rsidR="00064A89" w:rsidRPr="007E14C5" w:rsidRDefault="00064A89" w:rsidP="00153229">
      <w:pPr>
        <w:spacing w:after="40" w:line="240" w:lineRule="auto"/>
        <w:ind w:right="-471"/>
        <w:jc w:val="both"/>
        <w:rPr>
          <w:rFonts w:asciiTheme="majorHAnsi" w:hAnsiTheme="majorHAnsi" w:cstheme="majorHAnsi"/>
          <w:bCs/>
          <w:color w:val="002060"/>
          <w:sz w:val="24"/>
          <w:szCs w:val="24"/>
        </w:rPr>
      </w:pPr>
    </w:p>
    <w:p w:rsidR="00064A89" w:rsidRPr="007E14C5" w:rsidRDefault="00211F05" w:rsidP="00153229">
      <w:pPr>
        <w:spacing w:after="40" w:line="240" w:lineRule="auto"/>
        <w:ind w:right="-471"/>
        <w:jc w:val="both"/>
        <w:rPr>
          <w:rFonts w:asciiTheme="majorHAnsi" w:hAnsiTheme="majorHAnsi" w:cstheme="majorHAnsi"/>
          <w:bCs/>
          <w:color w:val="002060"/>
          <w:sz w:val="24"/>
          <w:szCs w:val="24"/>
        </w:rPr>
      </w:pPr>
      <w:r w:rsidRPr="007E14C5">
        <w:rPr>
          <w:rFonts w:asciiTheme="majorHAnsi" w:hAnsiTheme="majorHAnsi" w:cstheme="majorHAnsi"/>
          <w:bCs/>
          <w:noProof/>
          <w:color w:val="002060"/>
          <w:sz w:val="24"/>
          <w:szCs w:val="24"/>
          <w:lang w:eastAsia="sr-Latn-RS"/>
        </w:rPr>
        <mc:AlternateContent>
          <mc:Choice Requires="wps">
            <w:drawing>
              <wp:anchor distT="45720" distB="45720" distL="114300" distR="114300" simplePos="0" relativeHeight="251727872" behindDoc="0" locked="0" layoutInCell="1" allowOverlap="1" wp14:anchorId="3B34E084" wp14:editId="76960263">
                <wp:simplePos x="0" y="0"/>
                <wp:positionH relativeFrom="column">
                  <wp:posOffset>1209675</wp:posOffset>
                </wp:positionH>
                <wp:positionV relativeFrom="paragraph">
                  <wp:posOffset>102235</wp:posOffset>
                </wp:positionV>
                <wp:extent cx="1325880" cy="358140"/>
                <wp:effectExtent l="0" t="0" r="26670" b="2286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358140"/>
                        </a:xfrm>
                        <a:prstGeom prst="rect">
                          <a:avLst/>
                        </a:prstGeom>
                        <a:solidFill>
                          <a:srgbClr val="FFFFFF"/>
                        </a:solidFill>
                        <a:ln w="9525">
                          <a:solidFill>
                            <a:srgbClr val="FFFFFF"/>
                          </a:solidFill>
                          <a:miter lim="800000"/>
                          <a:headEnd/>
                          <a:tailEnd/>
                        </a:ln>
                      </wps:spPr>
                      <wps:txbx>
                        <w:txbxContent>
                          <w:p w:rsidR="00F735BC" w:rsidRPr="0031303E" w:rsidRDefault="00F735BC" w:rsidP="00064A89">
                            <w:pPr>
                              <w:spacing w:after="40" w:line="240" w:lineRule="auto"/>
                              <w:ind w:right="-410"/>
                              <w:rPr>
                                <w:rFonts w:ascii="Cambria" w:hAnsi="Cambria" w:cstheme="majorHAnsi"/>
                                <w:bCs/>
                                <w:color w:val="7030A0"/>
                                <w:sz w:val="24"/>
                                <w:szCs w:val="24"/>
                              </w:rPr>
                            </w:pPr>
                            <w:r w:rsidRPr="0031303E">
                              <w:rPr>
                                <w:rFonts w:ascii="Cambria" w:hAnsi="Cambria" w:cstheme="majorHAnsi"/>
                                <w:bCs/>
                                <w:color w:val="7030A0"/>
                                <w:sz w:val="24"/>
                                <w:szCs w:val="24"/>
                              </w:rPr>
                              <w:t>UTICAJ/SNAGA</w:t>
                            </w:r>
                          </w:p>
                          <w:p w:rsidR="00F735BC" w:rsidRDefault="00F735BC" w:rsidP="00064A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4E084" id="_x0000_s1130" type="#_x0000_t202" style="position:absolute;left:0;text-align:left;margin-left:95.25pt;margin-top:8.05pt;width:104.4pt;height:28.2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" strokecolor="white">
                <v:textbox>
                  <w:txbxContent>
                    <w:p w:rsidR="00F735BC" w:rsidRPr="0031303E" w:rsidRDefault="00F735BC" w:rsidP="00064A89">
                      <w:pPr>
                        <w:spacing w:after="40" w:line="240" w:lineRule="auto"/>
                        <w:ind w:right="-410"/>
                        <w:rPr>
                          <w:rFonts w:ascii="Cambria" w:hAnsi="Cambria" w:cstheme="majorHAnsi"/>
                          <w:bCs/>
                          <w:color w:val="7030A0"/>
                          <w:sz w:val="24"/>
                          <w:szCs w:val="24"/>
                        </w:rPr>
                      </w:pPr>
                      <w:r w:rsidRPr="0031303E">
                        <w:rPr>
                          <w:rFonts w:ascii="Cambria" w:hAnsi="Cambria" w:cstheme="majorHAnsi"/>
                          <w:bCs/>
                          <w:color w:val="7030A0"/>
                          <w:sz w:val="24"/>
                          <w:szCs w:val="24"/>
                        </w:rPr>
                        <w:t>UTICAJ/SNAGA</w:t>
                      </w:r>
                    </w:p>
                    <w:p w:rsidR="00F735BC" w:rsidRDefault="00F735BC" w:rsidP="00064A89"/>
                  </w:txbxContent>
                </v:textbox>
                <w10:wrap type="square"/>
              </v:shape>
            </w:pict>
          </mc:Fallback>
        </mc:AlternateContent>
      </w:r>
      <w:r w:rsidRPr="007E14C5">
        <w:rPr>
          <w:rFonts w:asciiTheme="majorHAnsi" w:hAnsiTheme="majorHAnsi" w:cstheme="majorHAnsi"/>
          <w:bCs/>
          <w:noProof/>
          <w:color w:val="002060"/>
          <w:sz w:val="24"/>
          <w:szCs w:val="24"/>
          <w:lang w:eastAsia="sr-Latn-RS"/>
        </w:rPr>
        <mc:AlternateContent>
          <mc:Choice Requires="wps">
            <w:drawing>
              <wp:anchor distT="0" distB="0" distL="114300" distR="114300" simplePos="0" relativeHeight="251723776" behindDoc="0" locked="0" layoutInCell="1" allowOverlap="1" wp14:anchorId="73E69961" wp14:editId="70972388">
                <wp:simplePos x="0" y="0"/>
                <wp:positionH relativeFrom="column">
                  <wp:posOffset>551815</wp:posOffset>
                </wp:positionH>
                <wp:positionV relativeFrom="paragraph">
                  <wp:posOffset>43180</wp:posOffset>
                </wp:positionV>
                <wp:extent cx="2651760" cy="0"/>
                <wp:effectExtent l="0" t="76200" r="53340" b="171450"/>
                <wp:wrapNone/>
                <wp:docPr id="43" name="Straight Arrow Connector 43"/>
                <wp:cNvGraphicFramePr/>
                <a:graphic xmlns:a="http://schemas.openxmlformats.org/drawingml/2006/main">
                  <a:graphicData uri="http://schemas.microsoft.com/office/word/2010/wordprocessingShape">
                    <wps:wsp>
                      <wps:cNvCnPr/>
                      <wps:spPr>
                        <a:xfrm flipV="1">
                          <a:off x="0" y="0"/>
                          <a:ext cx="2651760" cy="0"/>
                        </a:xfrm>
                        <a:prstGeom prst="straightConnector1">
                          <a:avLst/>
                        </a:prstGeom>
                        <a:noFill/>
                        <a:ln w="9525" cap="flat" cmpd="sng" algn="ctr">
                          <a:solidFill>
                            <a:srgbClr val="7030A0"/>
                          </a:solidFill>
                          <a:prstDash val="solid"/>
                          <a:round/>
                          <a:headEnd type="none" w="med" len="med"/>
                          <a:tailEnd type="arrow" w="med" len="med"/>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D91D254" id="Straight Arrow Connector 43" o:spid="_x0000_s1026" type="#_x0000_t32" style="position:absolute;margin-left:43.45pt;margin-top:3.4pt;width:208.8pt;height:0;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" strokecolor="#7030a0">
                <v:stroke endarrow="open"/>
                <v:shadow on="t" color="black" opacity="26214f" origin="-.5,-.5" offset=".74836mm,.74836mm"/>
              </v:shape>
            </w:pict>
          </mc:Fallback>
        </mc:AlternateContent>
      </w:r>
    </w:p>
    <w:p w:rsidR="00211F05" w:rsidRPr="007E14C5" w:rsidRDefault="00211F05" w:rsidP="00211F05">
      <w:pPr>
        <w:spacing w:before="240" w:after="240" w:line="240" w:lineRule="auto"/>
        <w:ind w:right="-471"/>
        <w:rPr>
          <w:rFonts w:asciiTheme="majorHAnsi" w:eastAsia="Calibri" w:hAnsiTheme="majorHAnsi" w:cstheme="majorHAnsi"/>
          <w:b/>
          <w:color w:val="002060"/>
          <w:kern w:val="0"/>
          <w:sz w:val="24"/>
          <w:szCs w:val="24"/>
        </w:rPr>
      </w:pPr>
    </w:p>
    <w:p w:rsidR="00D0493C" w:rsidRDefault="00791C82" w:rsidP="00CB681C">
      <w:pPr>
        <w:spacing w:before="0" w:after="0" w:line="240" w:lineRule="auto"/>
        <w:ind w:left="634" w:right="-475"/>
        <w:jc w:val="both"/>
        <w:rPr>
          <w:rFonts w:asciiTheme="majorHAnsi" w:hAnsiTheme="majorHAnsi" w:cstheme="majorHAnsi"/>
          <w:i/>
          <w:color w:val="002060"/>
        </w:rPr>
      </w:pPr>
      <w:r w:rsidRPr="00CB681C">
        <w:rPr>
          <w:rFonts w:asciiTheme="majorHAnsi" w:hAnsiTheme="majorHAnsi" w:cstheme="majorHAnsi"/>
          <w:i/>
          <w:color w:val="002060"/>
        </w:rPr>
        <w:t>Grafik: Analiza zainteresovanih strana S</w:t>
      </w:r>
      <w:r w:rsidR="00CB681C" w:rsidRPr="00CB681C">
        <w:rPr>
          <w:rFonts w:asciiTheme="majorHAnsi" w:hAnsiTheme="majorHAnsi" w:cstheme="majorHAnsi"/>
          <w:i/>
          <w:color w:val="002060"/>
        </w:rPr>
        <w:t xml:space="preserve">trateškog cilja: </w:t>
      </w:r>
      <w:r w:rsidRPr="00CB681C">
        <w:rPr>
          <w:rFonts w:asciiTheme="majorHAnsi" w:hAnsiTheme="majorHAnsi" w:cstheme="majorHAnsi"/>
          <w:i/>
          <w:color w:val="002060"/>
        </w:rPr>
        <w:t>Transparentna i otvorena javna uprava</w:t>
      </w:r>
    </w:p>
    <w:p w:rsidR="00CB681C" w:rsidRPr="00CB681C" w:rsidRDefault="00CB681C" w:rsidP="00CB681C">
      <w:pPr>
        <w:spacing w:before="0" w:after="0" w:line="240" w:lineRule="auto"/>
        <w:ind w:left="634" w:right="-475"/>
        <w:jc w:val="both"/>
        <w:rPr>
          <w:rFonts w:asciiTheme="majorHAnsi" w:hAnsiTheme="majorHAnsi" w:cstheme="majorHAnsi"/>
          <w:i/>
          <w:color w:val="002060"/>
        </w:rPr>
      </w:pPr>
    </w:p>
    <w:p w:rsidR="00CD75BD" w:rsidRPr="00CB681C" w:rsidRDefault="00CD75BD" w:rsidP="00B43D4E">
      <w:pPr>
        <w:pStyle w:val="ListParagraph"/>
        <w:keepNext/>
        <w:keepLines/>
        <w:numPr>
          <w:ilvl w:val="0"/>
          <w:numId w:val="20"/>
        </w:numPr>
        <w:spacing w:before="60" w:after="60" w:line="240" w:lineRule="auto"/>
        <w:ind w:right="-471"/>
        <w:contextualSpacing w:val="0"/>
        <w:outlineLvl w:val="2"/>
        <w:rPr>
          <w:rFonts w:asciiTheme="majorHAnsi" w:eastAsia="Calibri" w:hAnsiTheme="majorHAnsi" w:cstheme="majorHAnsi"/>
          <w:b/>
          <w:color w:val="auto"/>
          <w:kern w:val="0"/>
          <w:sz w:val="24"/>
          <w:szCs w:val="24"/>
        </w:rPr>
      </w:pPr>
      <w:bookmarkStart w:id="38" w:name="_Toc87353412"/>
      <w:r w:rsidRPr="00CB681C">
        <w:rPr>
          <w:rFonts w:asciiTheme="majorHAnsi" w:eastAsia="Calibri" w:hAnsiTheme="majorHAnsi" w:cstheme="majorHAnsi"/>
          <w:b/>
          <w:color w:val="auto"/>
          <w:kern w:val="0"/>
          <w:sz w:val="24"/>
          <w:szCs w:val="24"/>
        </w:rPr>
        <w:t>OPERATIVNI CILJEVI NA OSNOVU IDENTIFIKOVANIH IZAZOVA</w:t>
      </w:r>
      <w:bookmarkEnd w:id="38"/>
    </w:p>
    <w:p w:rsidR="00CA2AC8" w:rsidRPr="00CB681C" w:rsidRDefault="00CA2AC8" w:rsidP="00CB681C">
      <w:pPr>
        <w:spacing w:before="60" w:after="60" w:line="240" w:lineRule="auto"/>
        <w:ind w:right="-471"/>
        <w:jc w:val="both"/>
        <w:rPr>
          <w:rFonts w:asciiTheme="majorHAnsi" w:hAnsiTheme="majorHAnsi" w:cstheme="majorHAnsi"/>
          <w:color w:val="auto"/>
          <w:sz w:val="24"/>
          <w:szCs w:val="24"/>
        </w:rPr>
      </w:pPr>
    </w:p>
    <w:p w:rsidR="00A703A0" w:rsidRPr="00CB681C" w:rsidRDefault="0099169E" w:rsidP="00CB681C">
      <w:pPr>
        <w:pStyle w:val="Heading4"/>
        <w:spacing w:before="60" w:after="60" w:line="240" w:lineRule="auto"/>
        <w:ind w:right="-450"/>
        <w:jc w:val="both"/>
        <w:rPr>
          <w:rFonts w:eastAsia="Times New Roman" w:cstheme="majorHAnsi"/>
          <w:b w:val="0"/>
          <w:color w:val="auto"/>
          <w:sz w:val="24"/>
          <w:szCs w:val="24"/>
          <w:lang w:eastAsia="en-US"/>
        </w:rPr>
      </w:pPr>
      <w:r w:rsidRPr="00CB681C">
        <w:rPr>
          <w:rFonts w:eastAsia="Times New Roman" w:cstheme="majorHAnsi"/>
          <w:i w:val="0"/>
          <w:color w:val="auto"/>
          <w:sz w:val="24"/>
          <w:szCs w:val="24"/>
          <w:lang w:eastAsia="en-US"/>
        </w:rPr>
        <w:t>OPERATIVNI CILJ 4.1</w:t>
      </w:r>
      <w:r w:rsidR="00D56B8C" w:rsidRPr="00CB681C">
        <w:rPr>
          <w:rFonts w:eastAsia="Times New Roman" w:cstheme="majorHAnsi"/>
          <w:i w:val="0"/>
          <w:color w:val="auto"/>
          <w:sz w:val="24"/>
          <w:szCs w:val="24"/>
          <w:lang w:eastAsia="en-US"/>
        </w:rPr>
        <w:t>.</w:t>
      </w:r>
      <w:r w:rsidRPr="00CB681C">
        <w:rPr>
          <w:rFonts w:eastAsia="Times New Roman" w:cstheme="majorHAnsi"/>
          <w:color w:val="auto"/>
          <w:sz w:val="24"/>
          <w:szCs w:val="24"/>
          <w:lang w:eastAsia="en-US"/>
        </w:rPr>
        <w:t xml:space="preserve"> </w:t>
      </w:r>
      <w:r w:rsidR="00045694" w:rsidRPr="00CB681C">
        <w:rPr>
          <w:rFonts w:eastAsia="Times New Roman" w:cstheme="majorHAnsi"/>
          <w:color w:val="auto"/>
          <w:sz w:val="24"/>
          <w:szCs w:val="24"/>
          <w:lang w:eastAsia="en-US"/>
        </w:rPr>
        <w:t>Unapređenje funkcionisanja i kapaciteta Agencije za zaštitu ličnih podataka i slobodan pristup informacijama i generalno sistema pravne zaštite u oblasti SPI</w:t>
      </w:r>
    </w:p>
    <w:p w:rsidR="00A703A0" w:rsidRPr="00CB681C" w:rsidRDefault="00A703A0" w:rsidP="00CB681C">
      <w:pPr>
        <w:spacing w:before="60" w:after="60" w:line="240" w:lineRule="auto"/>
        <w:ind w:right="-450"/>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Cilj je uskladiti Zakon o slobodnom pristupu informacijama (ZSPI) sa međunarodnim standardima i unaprijediti žalbeni i druge postupke uz istovremeno jačanje kapaciteta i načina rada Agencije za zaštitu ličnih podatka i slobodan pristup informacijama.</w:t>
      </w:r>
      <w:r w:rsidR="00880FD7" w:rsidRPr="00CB681C">
        <w:rPr>
          <w:rFonts w:asciiTheme="majorHAnsi" w:eastAsia="Times New Roman" w:hAnsiTheme="majorHAnsi" w:cstheme="majorHAnsi"/>
          <w:color w:val="auto"/>
          <w:kern w:val="0"/>
          <w:sz w:val="24"/>
          <w:szCs w:val="24"/>
          <w:lang w:eastAsia="en-US"/>
        </w:rPr>
        <w:t xml:space="preserve"> Dodatno, potrebno je digitalizovati i unaprijediti rad na predmetima i unošenju evidencija unutar Agencije (eDMS), kao i eksternog informacionog sistema Agencije o SPI kroz objavljivanje podataka koje poseduje Agencija u mašinski čitljivom formatu. Komunikacione aktivnosti i metodologija pripreme i prezentovanja godišnjeg izveštaja Agencije biće unaprijeđene. </w:t>
      </w:r>
    </w:p>
    <w:p w:rsidR="00BE0E3C" w:rsidRPr="00CB681C" w:rsidRDefault="00BE0E3C" w:rsidP="002764E2">
      <w:pPr>
        <w:spacing w:before="60" w:after="60" w:line="240" w:lineRule="auto"/>
        <w:ind w:right="-450"/>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Indikatori kojim se prati ispunj</w:t>
      </w:r>
      <w:r w:rsidR="00CB681C">
        <w:rPr>
          <w:rFonts w:asciiTheme="majorHAnsi" w:eastAsia="Times New Roman" w:hAnsiTheme="majorHAnsi" w:cstheme="majorHAnsi"/>
          <w:color w:val="auto"/>
          <w:kern w:val="0"/>
          <w:sz w:val="24"/>
          <w:szCs w:val="24"/>
          <w:lang w:eastAsia="en-US"/>
        </w:rPr>
        <w:t>enje ovog operativnog cilja su:</w:t>
      </w:r>
    </w:p>
    <w:tbl>
      <w:tblPr>
        <w:tblStyle w:val="TableGrid"/>
        <w:tblW w:w="99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225"/>
        <w:gridCol w:w="1620"/>
        <w:gridCol w:w="2070"/>
        <w:gridCol w:w="2070"/>
      </w:tblGrid>
      <w:tr w:rsidR="00AC188A" w:rsidRPr="001A6CA9" w:rsidTr="00441F5B">
        <w:tc>
          <w:tcPr>
            <w:tcW w:w="4225" w:type="dxa"/>
            <w:shd w:val="clear" w:color="auto" w:fill="DAF2F6"/>
            <w:vAlign w:val="center"/>
          </w:tcPr>
          <w:p w:rsidR="00BE0E3C" w:rsidRPr="00441F5B" w:rsidRDefault="00BE0E3C" w:rsidP="0081506D">
            <w:pPr>
              <w:spacing w:after="40"/>
              <w:ind w:right="-450"/>
              <w:rPr>
                <w:rFonts w:asciiTheme="majorHAnsi" w:hAnsiTheme="majorHAnsi" w:cstheme="majorHAnsi"/>
                <w:b/>
                <w:color w:val="3A4B5B" w:themeColor="accent1" w:themeShade="80"/>
              </w:rPr>
            </w:pPr>
            <w:r w:rsidRPr="00441F5B">
              <w:rPr>
                <w:rFonts w:asciiTheme="majorHAnsi" w:hAnsiTheme="majorHAnsi" w:cstheme="majorHAnsi"/>
                <w:b/>
                <w:color w:val="3A4B5B" w:themeColor="accent1" w:themeShade="80"/>
              </w:rPr>
              <w:lastRenderedPageBreak/>
              <w:t>OPERATIVNI CILJ 4.1</w:t>
            </w:r>
            <w:r w:rsidR="001A6CA9" w:rsidRPr="00441F5B">
              <w:rPr>
                <w:rFonts w:asciiTheme="majorHAnsi" w:hAnsiTheme="majorHAnsi" w:cstheme="majorHAnsi"/>
                <w:b/>
                <w:color w:val="3A4B5B" w:themeColor="accent1" w:themeShade="80"/>
              </w:rPr>
              <w:t>.</w:t>
            </w:r>
          </w:p>
        </w:tc>
        <w:tc>
          <w:tcPr>
            <w:tcW w:w="5760" w:type="dxa"/>
            <w:gridSpan w:val="3"/>
            <w:shd w:val="clear" w:color="auto" w:fill="DAF2F6"/>
            <w:vAlign w:val="center"/>
          </w:tcPr>
          <w:p w:rsidR="00BE0E3C" w:rsidRPr="00441F5B" w:rsidRDefault="00BE0E3C" w:rsidP="007E14C5">
            <w:pPr>
              <w:ind w:right="-18"/>
              <w:rPr>
                <w:rFonts w:asciiTheme="majorHAnsi" w:hAnsiTheme="majorHAnsi" w:cstheme="majorHAnsi"/>
                <w:b/>
                <w:color w:val="3A4B5B" w:themeColor="accent1" w:themeShade="80"/>
              </w:rPr>
            </w:pPr>
            <w:r w:rsidRPr="00441F5B">
              <w:rPr>
                <w:rFonts w:asciiTheme="majorHAnsi" w:hAnsiTheme="majorHAnsi" w:cstheme="majorHAnsi"/>
                <w:b/>
                <w:color w:val="3A4B5B" w:themeColor="accent1" w:themeShade="80"/>
                <w:lang w:val="sr-Latn-ME"/>
              </w:rPr>
              <w:t>Unapređenje funkcionisanja i kapaciteta Agencije za zaštitu ličnih podataka i slobodan pristup informacijama i generalno sistema pravne zaštite u oblasti SPI</w:t>
            </w:r>
          </w:p>
        </w:tc>
      </w:tr>
      <w:tr w:rsidR="00AC188A" w:rsidRPr="001A6CA9" w:rsidTr="00441F5B">
        <w:tc>
          <w:tcPr>
            <w:tcW w:w="4225" w:type="dxa"/>
            <w:shd w:val="clear" w:color="auto" w:fill="DAF2F6"/>
            <w:vAlign w:val="center"/>
          </w:tcPr>
          <w:p w:rsidR="00BE0E3C" w:rsidRPr="00C00385" w:rsidRDefault="00BE0E3C" w:rsidP="007E14C5">
            <w:pPr>
              <w:spacing w:after="40"/>
              <w:ind w:right="-450"/>
              <w:rPr>
                <w:rFonts w:asciiTheme="majorHAnsi" w:hAnsiTheme="majorHAnsi" w:cstheme="majorHAnsi"/>
                <w:b/>
                <w:color w:val="3A4B5B" w:themeColor="accent1" w:themeShade="80"/>
                <w:sz w:val="18"/>
                <w:szCs w:val="18"/>
              </w:rPr>
            </w:pPr>
            <w:r w:rsidRPr="00C00385">
              <w:rPr>
                <w:rFonts w:asciiTheme="majorHAnsi" w:hAnsiTheme="majorHAnsi" w:cstheme="majorHAnsi"/>
                <w:color w:val="3A4B5B" w:themeColor="accent1" w:themeShade="80"/>
                <w:sz w:val="18"/>
                <w:szCs w:val="18"/>
                <w:lang w:eastAsia="en-US"/>
              </w:rPr>
              <w:br w:type="page"/>
            </w:r>
            <w:r w:rsidRPr="00C00385">
              <w:rPr>
                <w:rFonts w:asciiTheme="majorHAnsi" w:hAnsiTheme="majorHAnsi" w:cstheme="majorHAnsi"/>
                <w:b/>
                <w:color w:val="3A4B5B" w:themeColor="accent1" w:themeShade="80"/>
                <w:sz w:val="18"/>
                <w:szCs w:val="18"/>
              </w:rPr>
              <w:t>Indikator</w:t>
            </w:r>
          </w:p>
        </w:tc>
        <w:tc>
          <w:tcPr>
            <w:tcW w:w="1620" w:type="dxa"/>
            <w:shd w:val="clear" w:color="auto" w:fill="DAF2F6"/>
            <w:vAlign w:val="center"/>
          </w:tcPr>
          <w:p w:rsidR="00BE0E3C" w:rsidRPr="00C00385" w:rsidRDefault="00BE0E3C" w:rsidP="007E14C5">
            <w:pPr>
              <w:spacing w:after="40"/>
              <w:ind w:right="-71"/>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Početna vrijednost</w:t>
            </w:r>
          </w:p>
        </w:tc>
        <w:tc>
          <w:tcPr>
            <w:tcW w:w="2070" w:type="dxa"/>
            <w:shd w:val="clear" w:color="auto" w:fill="DAF2F6"/>
            <w:vAlign w:val="center"/>
          </w:tcPr>
          <w:p w:rsidR="00BE0E3C" w:rsidRPr="00C00385" w:rsidRDefault="00BE0E3C" w:rsidP="007E14C5">
            <w:pPr>
              <w:spacing w:after="40"/>
              <w:ind w:right="-450"/>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Ciljana vrijednost u 2024.</w:t>
            </w:r>
          </w:p>
        </w:tc>
        <w:tc>
          <w:tcPr>
            <w:tcW w:w="2070" w:type="dxa"/>
            <w:shd w:val="clear" w:color="auto" w:fill="DAF2F6"/>
            <w:vAlign w:val="center"/>
          </w:tcPr>
          <w:p w:rsidR="00BE0E3C" w:rsidRPr="00C00385" w:rsidRDefault="00BE0E3C" w:rsidP="007E14C5">
            <w:pPr>
              <w:spacing w:after="40"/>
              <w:ind w:right="-450"/>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Ciljana vrijednost u 2026.</w:t>
            </w:r>
          </w:p>
        </w:tc>
      </w:tr>
      <w:tr w:rsidR="00997D8C" w:rsidRPr="001A6CA9" w:rsidTr="00441F5B">
        <w:trPr>
          <w:trHeight w:val="665"/>
        </w:trPr>
        <w:tc>
          <w:tcPr>
            <w:tcW w:w="4225" w:type="dxa"/>
            <w:shd w:val="clear" w:color="auto" w:fill="auto"/>
          </w:tcPr>
          <w:p w:rsidR="00997D8C" w:rsidRPr="00C00385" w:rsidRDefault="00997D8C" w:rsidP="00997D8C">
            <w:pPr>
              <w:spacing w:after="40"/>
              <w:rPr>
                <w:rFonts w:asciiTheme="majorHAnsi" w:hAnsiTheme="majorHAnsi" w:cstheme="majorHAnsi"/>
                <w:color w:val="auto"/>
              </w:rPr>
            </w:pPr>
            <w:r w:rsidRPr="00C00385">
              <w:rPr>
                <w:rFonts w:asciiTheme="majorHAnsi" w:hAnsiTheme="majorHAnsi" w:cstheme="majorHAnsi"/>
                <w:color w:val="auto"/>
              </w:rPr>
              <w:t>Udio poništenih odluka Agencije od strane Upravnog suda, u odnosu na ukupan broj presuda u upravnim sporovima u odnosu na rješenja Agencije</w:t>
            </w:r>
          </w:p>
        </w:tc>
        <w:tc>
          <w:tcPr>
            <w:tcW w:w="1620" w:type="dxa"/>
            <w:shd w:val="clear" w:color="auto" w:fill="auto"/>
          </w:tcPr>
          <w:p w:rsidR="00997D8C" w:rsidRPr="00C00385" w:rsidRDefault="00997D8C" w:rsidP="00997D8C">
            <w:pPr>
              <w:spacing w:after="40"/>
              <w:ind w:right="19"/>
              <w:jc w:val="center"/>
              <w:rPr>
                <w:rFonts w:asciiTheme="majorHAnsi" w:hAnsiTheme="majorHAnsi" w:cstheme="majorHAnsi"/>
                <w:color w:val="auto"/>
              </w:rPr>
            </w:pPr>
            <w:r w:rsidRPr="00C00385">
              <w:rPr>
                <w:rFonts w:asciiTheme="majorHAnsi" w:hAnsiTheme="majorHAnsi" w:cstheme="majorHAnsi"/>
                <w:color w:val="auto"/>
              </w:rPr>
              <w:t>42,17% - 35 od 83 presuda (2020)</w:t>
            </w:r>
          </w:p>
        </w:tc>
        <w:tc>
          <w:tcPr>
            <w:tcW w:w="2070" w:type="dxa"/>
            <w:shd w:val="clear" w:color="auto" w:fill="auto"/>
          </w:tcPr>
          <w:p w:rsidR="00997D8C" w:rsidRPr="00C00385" w:rsidRDefault="00997D8C" w:rsidP="00441F5B">
            <w:pPr>
              <w:spacing w:after="40"/>
              <w:ind w:right="-108"/>
              <w:rPr>
                <w:rFonts w:asciiTheme="majorHAnsi" w:hAnsiTheme="majorHAnsi" w:cstheme="majorHAnsi"/>
                <w:color w:val="auto"/>
              </w:rPr>
            </w:pPr>
            <w:r w:rsidRPr="00C00385">
              <w:rPr>
                <w:rFonts w:asciiTheme="majorHAnsi" w:hAnsiTheme="majorHAnsi" w:cstheme="majorHAnsi"/>
                <w:color w:val="auto"/>
              </w:rPr>
              <w:t>-10% u odnosu na početnu vrijednost</w:t>
            </w:r>
          </w:p>
        </w:tc>
        <w:tc>
          <w:tcPr>
            <w:tcW w:w="2070" w:type="dxa"/>
            <w:shd w:val="clear" w:color="auto" w:fill="auto"/>
          </w:tcPr>
          <w:p w:rsidR="00997D8C" w:rsidRPr="00C00385" w:rsidRDefault="00997D8C" w:rsidP="00441F5B">
            <w:pPr>
              <w:spacing w:after="40"/>
              <w:ind w:right="-102"/>
              <w:jc w:val="center"/>
              <w:rPr>
                <w:rFonts w:asciiTheme="majorHAnsi" w:hAnsiTheme="majorHAnsi" w:cstheme="majorHAnsi"/>
                <w:color w:val="auto"/>
              </w:rPr>
            </w:pPr>
            <w:r w:rsidRPr="00C00385">
              <w:rPr>
                <w:rFonts w:asciiTheme="majorHAnsi" w:hAnsiTheme="majorHAnsi" w:cstheme="majorHAnsi"/>
                <w:color w:val="auto"/>
              </w:rPr>
              <w:t>-15 % u donosu na početnu</w:t>
            </w:r>
            <w:r w:rsidR="00C00385">
              <w:rPr>
                <w:rFonts w:asciiTheme="majorHAnsi" w:hAnsiTheme="majorHAnsi" w:cstheme="majorHAnsi"/>
                <w:color w:val="auto"/>
              </w:rPr>
              <w:t xml:space="preserve"> </w:t>
            </w:r>
            <w:r w:rsidRPr="00C00385">
              <w:rPr>
                <w:rFonts w:asciiTheme="majorHAnsi" w:hAnsiTheme="majorHAnsi" w:cstheme="majorHAnsi"/>
                <w:color w:val="auto"/>
              </w:rPr>
              <w:t>vrijednost</w:t>
            </w:r>
          </w:p>
        </w:tc>
      </w:tr>
      <w:tr w:rsidR="00997D8C" w:rsidRPr="001A6CA9" w:rsidTr="00441F5B">
        <w:tc>
          <w:tcPr>
            <w:tcW w:w="4225" w:type="dxa"/>
            <w:shd w:val="clear" w:color="auto" w:fill="auto"/>
          </w:tcPr>
          <w:p w:rsidR="00997D8C" w:rsidRPr="00C00385" w:rsidRDefault="00997D8C" w:rsidP="00997D8C">
            <w:pPr>
              <w:spacing w:after="40"/>
              <w:rPr>
                <w:rFonts w:asciiTheme="majorHAnsi" w:hAnsiTheme="majorHAnsi" w:cstheme="majorHAnsi"/>
                <w:color w:val="auto"/>
              </w:rPr>
            </w:pPr>
            <w:r w:rsidRPr="00C00385">
              <w:rPr>
                <w:rFonts w:asciiTheme="majorHAnsi" w:hAnsiTheme="majorHAnsi" w:cstheme="majorHAnsi"/>
                <w:color w:val="auto"/>
              </w:rPr>
              <w:t xml:space="preserve">Udio odluka Upravnog suda u upravnim sporovima pokrenutim zbog nedonošenja rješenja Agencije </w:t>
            </w:r>
          </w:p>
        </w:tc>
        <w:tc>
          <w:tcPr>
            <w:tcW w:w="1620" w:type="dxa"/>
            <w:shd w:val="clear" w:color="auto" w:fill="auto"/>
          </w:tcPr>
          <w:p w:rsidR="00997D8C" w:rsidRPr="00C00385" w:rsidRDefault="00997D8C" w:rsidP="00997D8C">
            <w:pPr>
              <w:spacing w:after="40"/>
              <w:ind w:right="19"/>
              <w:jc w:val="center"/>
              <w:rPr>
                <w:rFonts w:asciiTheme="majorHAnsi" w:hAnsiTheme="majorHAnsi" w:cstheme="majorHAnsi"/>
                <w:color w:val="auto"/>
              </w:rPr>
            </w:pPr>
            <w:r w:rsidRPr="00C00385">
              <w:rPr>
                <w:rFonts w:asciiTheme="majorHAnsi" w:hAnsiTheme="majorHAnsi" w:cstheme="majorHAnsi"/>
                <w:color w:val="auto"/>
              </w:rPr>
              <w:t>82,28%</w:t>
            </w:r>
          </w:p>
        </w:tc>
        <w:tc>
          <w:tcPr>
            <w:tcW w:w="2070" w:type="dxa"/>
            <w:shd w:val="clear" w:color="auto" w:fill="auto"/>
          </w:tcPr>
          <w:p w:rsidR="00997D8C" w:rsidRPr="00C00385" w:rsidRDefault="00C00385" w:rsidP="00441F5B">
            <w:pPr>
              <w:spacing w:after="40"/>
              <w:ind w:right="-108"/>
              <w:rPr>
                <w:rFonts w:asciiTheme="majorHAnsi" w:hAnsiTheme="majorHAnsi" w:cstheme="majorHAnsi"/>
                <w:color w:val="auto"/>
              </w:rPr>
            </w:pPr>
            <w:r>
              <w:rPr>
                <w:rFonts w:asciiTheme="majorHAnsi" w:hAnsiTheme="majorHAnsi" w:cstheme="majorHAnsi"/>
                <w:color w:val="auto"/>
              </w:rPr>
              <w:t xml:space="preserve">             </w:t>
            </w:r>
            <w:r w:rsidR="00997D8C" w:rsidRPr="00C00385">
              <w:rPr>
                <w:rFonts w:asciiTheme="majorHAnsi" w:hAnsiTheme="majorHAnsi" w:cstheme="majorHAnsi"/>
                <w:color w:val="auto"/>
              </w:rPr>
              <w:t>55%</w:t>
            </w:r>
          </w:p>
        </w:tc>
        <w:tc>
          <w:tcPr>
            <w:tcW w:w="2070" w:type="dxa"/>
            <w:shd w:val="clear" w:color="auto" w:fill="auto"/>
          </w:tcPr>
          <w:p w:rsidR="00997D8C" w:rsidRPr="00C00385" w:rsidRDefault="00C00385" w:rsidP="00441F5B">
            <w:pPr>
              <w:spacing w:after="40"/>
              <w:ind w:right="-102"/>
              <w:rPr>
                <w:rFonts w:asciiTheme="majorHAnsi" w:hAnsiTheme="majorHAnsi" w:cstheme="majorHAnsi"/>
                <w:color w:val="auto"/>
              </w:rPr>
            </w:pPr>
            <w:r>
              <w:rPr>
                <w:rFonts w:asciiTheme="majorHAnsi" w:hAnsiTheme="majorHAnsi" w:cstheme="majorHAnsi"/>
                <w:color w:val="auto"/>
              </w:rPr>
              <w:t xml:space="preserve">               </w:t>
            </w:r>
            <w:r w:rsidR="00997D8C" w:rsidRPr="00C00385">
              <w:rPr>
                <w:rFonts w:asciiTheme="majorHAnsi" w:hAnsiTheme="majorHAnsi" w:cstheme="majorHAnsi"/>
                <w:color w:val="auto"/>
              </w:rPr>
              <w:t>40%</w:t>
            </w:r>
          </w:p>
        </w:tc>
      </w:tr>
      <w:tr w:rsidR="00997D8C" w:rsidRPr="001A6CA9" w:rsidTr="00441F5B">
        <w:tc>
          <w:tcPr>
            <w:tcW w:w="4225" w:type="dxa"/>
            <w:shd w:val="clear" w:color="auto" w:fill="auto"/>
          </w:tcPr>
          <w:p w:rsidR="00997D8C" w:rsidRPr="00C00385" w:rsidRDefault="00997D8C" w:rsidP="00997D8C">
            <w:pPr>
              <w:spacing w:after="40"/>
              <w:rPr>
                <w:rFonts w:asciiTheme="majorHAnsi" w:hAnsiTheme="majorHAnsi" w:cstheme="majorHAnsi"/>
                <w:color w:val="auto"/>
              </w:rPr>
            </w:pPr>
            <w:r w:rsidRPr="00C00385">
              <w:rPr>
                <w:rFonts w:asciiTheme="majorHAnsi" w:hAnsiTheme="majorHAnsi" w:cstheme="majorHAnsi"/>
                <w:color w:val="auto"/>
              </w:rPr>
              <w:t xml:space="preserve">Udio organa vlasti koji registriraju zahtjeve za pristup informacijama u informacionom sistemu (u odnosu na ukupan broj organa vlasti)  </w:t>
            </w:r>
          </w:p>
        </w:tc>
        <w:tc>
          <w:tcPr>
            <w:tcW w:w="1620" w:type="dxa"/>
            <w:shd w:val="clear" w:color="auto" w:fill="auto"/>
          </w:tcPr>
          <w:p w:rsidR="00997D8C" w:rsidRPr="00C00385" w:rsidRDefault="00997D8C" w:rsidP="00997D8C">
            <w:pPr>
              <w:spacing w:after="40"/>
              <w:jc w:val="center"/>
              <w:rPr>
                <w:rFonts w:asciiTheme="majorHAnsi" w:hAnsiTheme="majorHAnsi" w:cstheme="majorHAnsi"/>
                <w:color w:val="auto"/>
              </w:rPr>
            </w:pPr>
            <w:r w:rsidRPr="00C00385">
              <w:rPr>
                <w:rFonts w:asciiTheme="majorHAnsi" w:hAnsiTheme="majorHAnsi" w:cstheme="majorHAnsi"/>
                <w:color w:val="auto"/>
              </w:rPr>
              <w:t xml:space="preserve">1140  organa </w:t>
            </w:r>
          </w:p>
          <w:p w:rsidR="00997D8C" w:rsidRPr="00C00385" w:rsidRDefault="00997D8C" w:rsidP="00997D8C">
            <w:pPr>
              <w:spacing w:after="40"/>
              <w:ind w:right="19"/>
              <w:jc w:val="center"/>
              <w:rPr>
                <w:rFonts w:asciiTheme="majorHAnsi" w:hAnsiTheme="majorHAnsi" w:cstheme="majorHAnsi"/>
                <w:color w:val="auto"/>
              </w:rPr>
            </w:pPr>
          </w:p>
        </w:tc>
        <w:tc>
          <w:tcPr>
            <w:tcW w:w="2070" w:type="dxa"/>
            <w:shd w:val="clear" w:color="auto" w:fill="auto"/>
          </w:tcPr>
          <w:p w:rsidR="00997D8C" w:rsidRPr="00C00385" w:rsidRDefault="00997D8C" w:rsidP="00441F5B">
            <w:pPr>
              <w:spacing w:after="40"/>
              <w:ind w:right="-108"/>
              <w:rPr>
                <w:rFonts w:asciiTheme="majorHAnsi" w:hAnsiTheme="majorHAnsi" w:cstheme="majorHAnsi"/>
                <w:color w:val="auto"/>
              </w:rPr>
            </w:pPr>
            <w:r w:rsidRPr="00C00385">
              <w:rPr>
                <w:rFonts w:asciiTheme="majorHAnsi" w:hAnsiTheme="majorHAnsi" w:cstheme="majorHAnsi"/>
                <w:color w:val="auto"/>
              </w:rPr>
              <w:t>+10% u odnosu na početnu vrijednost</w:t>
            </w:r>
          </w:p>
        </w:tc>
        <w:tc>
          <w:tcPr>
            <w:tcW w:w="2070" w:type="dxa"/>
            <w:shd w:val="clear" w:color="auto" w:fill="auto"/>
          </w:tcPr>
          <w:p w:rsidR="00997D8C" w:rsidRPr="00C00385" w:rsidRDefault="00997D8C" w:rsidP="00441F5B">
            <w:pPr>
              <w:spacing w:after="40"/>
              <w:ind w:right="-102"/>
              <w:jc w:val="center"/>
              <w:rPr>
                <w:rFonts w:asciiTheme="majorHAnsi" w:hAnsiTheme="majorHAnsi" w:cstheme="majorHAnsi"/>
                <w:color w:val="auto"/>
              </w:rPr>
            </w:pPr>
            <w:r w:rsidRPr="00C00385">
              <w:rPr>
                <w:rFonts w:asciiTheme="majorHAnsi" w:hAnsiTheme="majorHAnsi" w:cstheme="majorHAnsi"/>
                <w:color w:val="auto"/>
              </w:rPr>
              <w:t>+20% u odnosu na početnu vrijedno</w:t>
            </w:r>
          </w:p>
        </w:tc>
      </w:tr>
    </w:tbl>
    <w:p w:rsidR="00BE0E3C" w:rsidRPr="007E14C5" w:rsidRDefault="00BE0E3C" w:rsidP="002764E2">
      <w:pPr>
        <w:spacing w:before="60" w:after="60" w:line="240" w:lineRule="auto"/>
        <w:ind w:right="-450"/>
        <w:jc w:val="both"/>
        <w:rPr>
          <w:rFonts w:asciiTheme="majorHAnsi" w:eastAsia="Times New Roman" w:hAnsiTheme="majorHAnsi" w:cstheme="majorHAnsi"/>
          <w:color w:val="002060"/>
          <w:kern w:val="0"/>
          <w:sz w:val="24"/>
          <w:szCs w:val="24"/>
          <w:highlight w:val="yellow"/>
          <w:lang w:eastAsia="en-US"/>
        </w:rPr>
      </w:pPr>
    </w:p>
    <w:p w:rsidR="00045694" w:rsidRPr="00CB681C" w:rsidRDefault="00045694" w:rsidP="00CB681C">
      <w:pPr>
        <w:pStyle w:val="Heading4"/>
        <w:spacing w:before="60" w:after="60" w:line="240" w:lineRule="auto"/>
        <w:ind w:right="-446"/>
        <w:jc w:val="both"/>
        <w:rPr>
          <w:rFonts w:eastAsia="Times New Roman" w:cstheme="majorHAnsi"/>
          <w:b w:val="0"/>
          <w:i w:val="0"/>
          <w:color w:val="auto"/>
          <w:kern w:val="0"/>
          <w:sz w:val="24"/>
          <w:szCs w:val="24"/>
          <w:lang w:eastAsia="en-US"/>
        </w:rPr>
      </w:pPr>
      <w:r w:rsidRPr="00CB681C">
        <w:rPr>
          <w:rFonts w:eastAsia="Times New Roman" w:cstheme="majorHAnsi"/>
          <w:i w:val="0"/>
          <w:color w:val="auto"/>
          <w:kern w:val="0"/>
          <w:sz w:val="24"/>
          <w:szCs w:val="24"/>
          <w:lang w:eastAsia="en-US"/>
        </w:rPr>
        <w:t>OPERATIVNI CILJ 4.</w:t>
      </w:r>
      <w:r w:rsidR="00BE0E3C" w:rsidRPr="00CB681C">
        <w:rPr>
          <w:rFonts w:eastAsia="Times New Roman" w:cstheme="majorHAnsi"/>
          <w:i w:val="0"/>
          <w:color w:val="auto"/>
          <w:kern w:val="0"/>
          <w:sz w:val="24"/>
          <w:szCs w:val="24"/>
          <w:lang w:eastAsia="en-US"/>
        </w:rPr>
        <w:t>2.</w:t>
      </w:r>
      <w:r w:rsidRPr="00CB681C">
        <w:rPr>
          <w:rFonts w:eastAsia="Times New Roman" w:cstheme="majorHAnsi"/>
          <w:color w:val="auto"/>
          <w:kern w:val="0"/>
          <w:sz w:val="24"/>
          <w:szCs w:val="24"/>
          <w:lang w:eastAsia="en-US"/>
        </w:rPr>
        <w:t xml:space="preserve"> Unapređenje primjene Zakona o SPI od strane organa vlasti radi obezbjeđenja adekvatnog ostvarivanja prava na pristup informacijama i davanje pristupa informacijama u skladu sa institucionalnim pravnim okvirom i jačanje svijesti i razvijanje vještina korisnika Zakona o SPI</w:t>
      </w:r>
    </w:p>
    <w:p w:rsidR="00BB5C78" w:rsidRPr="00CB681C" w:rsidRDefault="00BB5C78" w:rsidP="00CB681C">
      <w:pPr>
        <w:spacing w:before="60" w:after="60" w:line="240" w:lineRule="auto"/>
        <w:ind w:right="-446"/>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 xml:space="preserve">U pogledu reaktivne transparentnosti, potrebno je smanjiti broj zahteva za pristup informacijama, uz istovremeno proaktivno povećavanje količine i kvaliteta informacija koje objavljuju organi. </w:t>
      </w:r>
      <w:r w:rsidR="00F77D9A" w:rsidRPr="00CB681C">
        <w:rPr>
          <w:rFonts w:asciiTheme="majorHAnsi" w:eastAsia="Times New Roman" w:hAnsiTheme="majorHAnsi" w:cstheme="majorHAnsi"/>
          <w:color w:val="auto"/>
          <w:kern w:val="0"/>
          <w:sz w:val="24"/>
          <w:szCs w:val="24"/>
          <w:lang w:eastAsia="en-US"/>
        </w:rPr>
        <w:t xml:space="preserve">Pored obuka i jačanja svijesti korisnika Zakona o slobodnom pristupu informacijama (ZSPI), potrebno je raditi na uspostavljanju radne grupe za ZSPI na nivou organa vlasti i izraditi model upravljanja kvalitetom u oblasti slobodnog pristupa informacijama u svrhu samoprocjene i </w:t>
      </w:r>
      <w:r w:rsidR="00AA278D" w:rsidRPr="00CB681C">
        <w:rPr>
          <w:rFonts w:asciiTheme="majorHAnsi" w:eastAsia="Times New Roman" w:hAnsiTheme="majorHAnsi" w:cstheme="majorHAnsi"/>
          <w:color w:val="auto"/>
          <w:kern w:val="0"/>
          <w:sz w:val="24"/>
          <w:szCs w:val="24"/>
          <w:lang w:eastAsia="en-US"/>
        </w:rPr>
        <w:t>unapređenja poš</w:t>
      </w:r>
      <w:r w:rsidR="00F77D9A" w:rsidRPr="00CB681C">
        <w:rPr>
          <w:rFonts w:asciiTheme="majorHAnsi" w:eastAsia="Times New Roman" w:hAnsiTheme="majorHAnsi" w:cstheme="majorHAnsi"/>
          <w:color w:val="auto"/>
          <w:kern w:val="0"/>
          <w:sz w:val="24"/>
          <w:szCs w:val="24"/>
          <w:lang w:eastAsia="en-US"/>
        </w:rPr>
        <w:t xml:space="preserve">tovanja ZSPI. </w:t>
      </w:r>
    </w:p>
    <w:p w:rsidR="00F77D9A" w:rsidRPr="00CB681C" w:rsidRDefault="00F77D9A" w:rsidP="00CB681C">
      <w:pPr>
        <w:spacing w:before="60" w:after="60" w:line="240" w:lineRule="auto"/>
        <w:ind w:right="-446"/>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 xml:space="preserve">Potrebno je obezbjediti dodatnu podršku radu Savjeta Agencije </w:t>
      </w:r>
      <w:r w:rsidRPr="00CB681C">
        <w:rPr>
          <w:rFonts w:asciiTheme="majorHAnsi" w:eastAsia="Calibri" w:hAnsiTheme="majorHAnsi" w:cstheme="majorHAnsi"/>
          <w:color w:val="auto"/>
          <w:kern w:val="0"/>
          <w:sz w:val="24"/>
          <w:szCs w:val="24"/>
          <w:lang w:eastAsia="zh-CN"/>
        </w:rPr>
        <w:t>za zaštitu ličnih podataka i slobodan pristup informacijama</w:t>
      </w:r>
      <w:r w:rsidRPr="00CB681C">
        <w:rPr>
          <w:rFonts w:asciiTheme="majorHAnsi" w:eastAsia="Times New Roman" w:hAnsiTheme="majorHAnsi" w:cstheme="majorHAnsi"/>
          <w:color w:val="auto"/>
          <w:kern w:val="0"/>
          <w:sz w:val="24"/>
          <w:szCs w:val="24"/>
          <w:lang w:eastAsia="en-US"/>
        </w:rPr>
        <w:t xml:space="preserve">, kao kolektivnog organa upravljanja Agencijom, formiranjem mreže ovlašćenih lica za ZSPI u organima vlasti i poboljšanjim međusobnim kanalima komunikacije i koordinacije </w:t>
      </w:r>
      <w:r w:rsidR="00236A17" w:rsidRPr="00CB681C">
        <w:rPr>
          <w:rFonts w:asciiTheme="majorHAnsi" w:eastAsia="Times New Roman" w:hAnsiTheme="majorHAnsi" w:cstheme="majorHAnsi"/>
          <w:color w:val="auto"/>
          <w:kern w:val="0"/>
          <w:sz w:val="24"/>
          <w:szCs w:val="24"/>
          <w:lang w:eastAsia="en-US"/>
        </w:rPr>
        <w:t>ovlašćenih lica i Savjeta.</w:t>
      </w:r>
    </w:p>
    <w:p w:rsidR="00AA278D" w:rsidRPr="00CB681C" w:rsidRDefault="00AA278D" w:rsidP="00CB681C">
      <w:pPr>
        <w:spacing w:before="60" w:after="60" w:line="240" w:lineRule="auto"/>
        <w:ind w:right="-446"/>
        <w:jc w:val="both"/>
        <w:rPr>
          <w:rFonts w:asciiTheme="majorHAnsi" w:eastAsia="Calibri" w:hAnsiTheme="majorHAnsi" w:cstheme="majorHAnsi"/>
          <w:color w:val="auto"/>
          <w:sz w:val="24"/>
          <w:szCs w:val="24"/>
          <w:shd w:val="clear" w:color="auto" w:fill="FFFFFF"/>
          <w:lang w:val="sr-Latn-ME"/>
        </w:rPr>
      </w:pPr>
      <w:r w:rsidRPr="00CB681C">
        <w:rPr>
          <w:rFonts w:asciiTheme="majorHAnsi" w:hAnsiTheme="majorHAnsi" w:cstheme="majorHAnsi"/>
          <w:color w:val="auto"/>
          <w:sz w:val="24"/>
          <w:szCs w:val="24"/>
          <w:lang w:val="sr-Latn-ME"/>
        </w:rPr>
        <w:t>Na osnovu prethodnih analiza, potrebno je izraditi pretraživu bazu</w:t>
      </w:r>
      <w:r w:rsidRPr="00CB681C">
        <w:rPr>
          <w:rFonts w:asciiTheme="majorHAnsi" w:eastAsia="Calibri" w:hAnsiTheme="majorHAnsi" w:cstheme="majorHAnsi"/>
          <w:color w:val="auto"/>
          <w:sz w:val="24"/>
          <w:szCs w:val="24"/>
          <w:shd w:val="clear" w:color="auto" w:fill="FFFFFF"/>
          <w:lang w:val="sr-Latn-ME"/>
        </w:rPr>
        <w:t xml:space="preserve"> odluka Agencije </w:t>
      </w:r>
      <w:r w:rsidRPr="00CB681C">
        <w:rPr>
          <w:rFonts w:asciiTheme="majorHAnsi" w:eastAsia="Calibri" w:hAnsiTheme="majorHAnsi" w:cstheme="majorHAnsi"/>
          <w:color w:val="auto"/>
          <w:kern w:val="0"/>
          <w:sz w:val="24"/>
          <w:szCs w:val="24"/>
          <w:lang w:eastAsia="zh-CN"/>
        </w:rPr>
        <w:t>za zaštitu ličnih podataka i slobodan pristup informacijama</w:t>
      </w:r>
      <w:r w:rsidRPr="00CB681C">
        <w:rPr>
          <w:rFonts w:asciiTheme="majorHAnsi" w:eastAsia="Calibri" w:hAnsiTheme="majorHAnsi" w:cstheme="majorHAnsi"/>
          <w:color w:val="auto"/>
          <w:sz w:val="24"/>
          <w:szCs w:val="24"/>
          <w:shd w:val="clear" w:color="auto" w:fill="FFFFFF"/>
          <w:lang w:val="sr-Latn-ME"/>
        </w:rPr>
        <w:t xml:space="preserve"> i sudova u oblasti slobodnog pristupa informacijama</w:t>
      </w:r>
      <w:r w:rsidRPr="00CB681C">
        <w:rPr>
          <w:rFonts w:asciiTheme="majorHAnsi" w:hAnsiTheme="majorHAnsi" w:cstheme="majorHAnsi"/>
          <w:color w:val="auto"/>
          <w:sz w:val="24"/>
          <w:szCs w:val="24"/>
          <w:lang w:val="sr-Latn-ME"/>
        </w:rPr>
        <w:t>, uključujući i interno povezivanje eDMS Agencije sa bazama sudova.</w:t>
      </w:r>
      <w:r w:rsidRPr="00CB681C">
        <w:rPr>
          <w:rFonts w:asciiTheme="majorHAnsi" w:eastAsia="Calibri" w:hAnsiTheme="majorHAnsi" w:cstheme="majorHAnsi"/>
          <w:color w:val="auto"/>
          <w:sz w:val="24"/>
          <w:szCs w:val="24"/>
          <w:shd w:val="clear" w:color="auto" w:fill="FFFFFF"/>
          <w:lang w:val="sr-Latn-ME"/>
        </w:rPr>
        <w:t xml:space="preserve"> </w:t>
      </w:r>
    </w:p>
    <w:p w:rsidR="00BE0E3C" w:rsidRPr="00CB681C" w:rsidRDefault="00BE0E3C" w:rsidP="00CB681C">
      <w:pPr>
        <w:spacing w:before="60" w:after="60" w:line="240" w:lineRule="auto"/>
        <w:ind w:right="-446"/>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Indikatori kojim se prati ispunj</w:t>
      </w:r>
      <w:r w:rsidR="00CB681C">
        <w:rPr>
          <w:rFonts w:asciiTheme="majorHAnsi" w:eastAsia="Times New Roman" w:hAnsiTheme="majorHAnsi" w:cstheme="majorHAnsi"/>
          <w:color w:val="auto"/>
          <w:kern w:val="0"/>
          <w:sz w:val="24"/>
          <w:szCs w:val="24"/>
          <w:lang w:eastAsia="en-US"/>
        </w:rPr>
        <w:t>enje ovog operativnog cilja su:</w:t>
      </w:r>
    </w:p>
    <w:tbl>
      <w:tblPr>
        <w:tblStyle w:val="TableGrid"/>
        <w:tblW w:w="524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30"/>
        <w:gridCol w:w="1987"/>
        <w:gridCol w:w="1821"/>
        <w:gridCol w:w="1977"/>
        <w:gridCol w:w="1880"/>
      </w:tblGrid>
      <w:tr w:rsidR="00AC188A" w:rsidRPr="001A6CA9" w:rsidTr="002764E2">
        <w:tc>
          <w:tcPr>
            <w:tcW w:w="1127" w:type="pct"/>
            <w:shd w:val="clear" w:color="auto" w:fill="DAF2F6"/>
            <w:vAlign w:val="center"/>
          </w:tcPr>
          <w:p w:rsidR="00BE0E3C" w:rsidRPr="00441F5B" w:rsidRDefault="00BE0E3C" w:rsidP="007E14C5">
            <w:pPr>
              <w:spacing w:after="40"/>
              <w:ind w:right="-450"/>
              <w:jc w:val="both"/>
              <w:rPr>
                <w:rFonts w:asciiTheme="majorHAnsi" w:hAnsiTheme="majorHAnsi" w:cstheme="majorHAnsi"/>
                <w:b/>
                <w:color w:val="3A4B5B" w:themeColor="accent1" w:themeShade="80"/>
              </w:rPr>
            </w:pPr>
            <w:r w:rsidRPr="00441F5B">
              <w:rPr>
                <w:rFonts w:asciiTheme="majorHAnsi" w:hAnsiTheme="majorHAnsi" w:cstheme="majorHAnsi"/>
                <w:color w:val="3A4B5B" w:themeColor="accent1" w:themeShade="80"/>
              </w:rPr>
              <w:br w:type="page"/>
            </w:r>
            <w:r w:rsidRPr="00441F5B">
              <w:rPr>
                <w:rFonts w:asciiTheme="majorHAnsi" w:hAnsiTheme="majorHAnsi" w:cstheme="majorHAnsi"/>
                <w:b/>
                <w:color w:val="3A4B5B" w:themeColor="accent1" w:themeShade="80"/>
              </w:rPr>
              <w:t>OPERATIVNI CILJ 4.2</w:t>
            </w:r>
            <w:r w:rsidR="001A6CA9" w:rsidRPr="00441F5B">
              <w:rPr>
                <w:rFonts w:asciiTheme="majorHAnsi" w:hAnsiTheme="majorHAnsi" w:cstheme="majorHAnsi"/>
                <w:b/>
                <w:color w:val="3A4B5B" w:themeColor="accent1" w:themeShade="80"/>
              </w:rPr>
              <w:t>.</w:t>
            </w:r>
          </w:p>
        </w:tc>
        <w:tc>
          <w:tcPr>
            <w:tcW w:w="3873" w:type="pct"/>
            <w:gridSpan w:val="4"/>
            <w:shd w:val="clear" w:color="auto" w:fill="DAF2F6"/>
            <w:vAlign w:val="center"/>
          </w:tcPr>
          <w:p w:rsidR="00BE0E3C" w:rsidRPr="00441F5B" w:rsidRDefault="00BE0E3C" w:rsidP="007E14C5">
            <w:pPr>
              <w:ind w:right="72"/>
              <w:jc w:val="both"/>
              <w:rPr>
                <w:rFonts w:asciiTheme="majorHAnsi" w:hAnsiTheme="majorHAnsi" w:cstheme="majorHAnsi"/>
                <w:b/>
                <w:color w:val="3A4B5B" w:themeColor="accent1" w:themeShade="80"/>
              </w:rPr>
            </w:pPr>
            <w:r w:rsidRPr="00441F5B">
              <w:rPr>
                <w:rFonts w:asciiTheme="majorHAnsi" w:hAnsiTheme="majorHAnsi" w:cstheme="majorHAnsi"/>
                <w:b/>
                <w:color w:val="3A4B5B" w:themeColor="accent1" w:themeShade="80"/>
                <w:lang w:val="sr-Latn-ME"/>
              </w:rPr>
              <w:t>Unapređenje primjene Zakona o SPI od strane organa vlasti radi obezbjeđenja adekvatnog ostvarivanja prava na pristup informacijama i davanje pristupa informacijama u skladu sa institucionalnim pravnim okvirom i jačanje svijesti i razvijanje vještina korisnika Zakona o SPI</w:t>
            </w:r>
          </w:p>
        </w:tc>
      </w:tr>
      <w:tr w:rsidR="00AC188A" w:rsidRPr="001A6CA9" w:rsidTr="00997D8C">
        <w:tc>
          <w:tcPr>
            <w:tcW w:w="2131" w:type="pct"/>
            <w:gridSpan w:val="2"/>
            <w:shd w:val="clear" w:color="auto" w:fill="DAF2F6"/>
            <w:vAlign w:val="center"/>
          </w:tcPr>
          <w:p w:rsidR="00BE0E3C" w:rsidRPr="00C00385" w:rsidRDefault="00BE0E3C" w:rsidP="007E14C5">
            <w:pPr>
              <w:spacing w:after="40"/>
              <w:ind w:right="-450"/>
              <w:rPr>
                <w:rFonts w:asciiTheme="majorHAnsi" w:hAnsiTheme="majorHAnsi" w:cstheme="majorHAnsi"/>
                <w:b/>
                <w:color w:val="3A4B5B" w:themeColor="accent1" w:themeShade="80"/>
                <w:sz w:val="18"/>
                <w:szCs w:val="18"/>
              </w:rPr>
            </w:pPr>
            <w:r w:rsidRPr="00C00385">
              <w:rPr>
                <w:rFonts w:asciiTheme="majorHAnsi" w:hAnsiTheme="majorHAnsi" w:cstheme="majorHAnsi"/>
                <w:color w:val="3A4B5B" w:themeColor="accent1" w:themeShade="80"/>
                <w:sz w:val="18"/>
                <w:szCs w:val="18"/>
                <w:lang w:eastAsia="en-US"/>
              </w:rPr>
              <w:br w:type="page"/>
            </w:r>
            <w:r w:rsidRPr="00C00385">
              <w:rPr>
                <w:rFonts w:asciiTheme="majorHAnsi" w:hAnsiTheme="majorHAnsi" w:cstheme="majorHAnsi"/>
                <w:b/>
                <w:color w:val="3A4B5B" w:themeColor="accent1" w:themeShade="80"/>
                <w:sz w:val="18"/>
                <w:szCs w:val="18"/>
              </w:rPr>
              <w:t>Indikator</w:t>
            </w:r>
          </w:p>
        </w:tc>
        <w:tc>
          <w:tcPr>
            <w:tcW w:w="920" w:type="pct"/>
            <w:shd w:val="clear" w:color="auto" w:fill="DAF2F6"/>
            <w:vAlign w:val="center"/>
          </w:tcPr>
          <w:p w:rsidR="00BE0E3C" w:rsidRPr="00C00385" w:rsidRDefault="00BE0E3C" w:rsidP="007E14C5">
            <w:pPr>
              <w:spacing w:after="40"/>
              <w:ind w:right="-450"/>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Početna vrijednost</w:t>
            </w:r>
          </w:p>
        </w:tc>
        <w:tc>
          <w:tcPr>
            <w:tcW w:w="999" w:type="pct"/>
            <w:shd w:val="clear" w:color="auto" w:fill="DAF2F6"/>
            <w:vAlign w:val="center"/>
          </w:tcPr>
          <w:p w:rsidR="00BE0E3C" w:rsidRPr="00C00385" w:rsidRDefault="00BE0E3C" w:rsidP="007E14C5">
            <w:pPr>
              <w:spacing w:after="40"/>
              <w:ind w:right="-8"/>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Ciljana vrijednost u 2024.</w:t>
            </w:r>
          </w:p>
        </w:tc>
        <w:tc>
          <w:tcPr>
            <w:tcW w:w="950" w:type="pct"/>
            <w:shd w:val="clear" w:color="auto" w:fill="DAF2F6"/>
            <w:vAlign w:val="center"/>
          </w:tcPr>
          <w:p w:rsidR="00BE0E3C" w:rsidRPr="00C00385" w:rsidRDefault="00BE0E3C" w:rsidP="007E14C5">
            <w:pPr>
              <w:spacing w:after="40"/>
              <w:ind w:right="72"/>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Ciljana vrijednost u 2026.</w:t>
            </w:r>
          </w:p>
        </w:tc>
      </w:tr>
      <w:tr w:rsidR="00997D8C" w:rsidRPr="001A6CA9" w:rsidTr="00997D8C">
        <w:tc>
          <w:tcPr>
            <w:tcW w:w="2131" w:type="pct"/>
            <w:gridSpan w:val="2"/>
            <w:shd w:val="clear" w:color="auto" w:fill="auto"/>
          </w:tcPr>
          <w:p w:rsidR="00997D8C" w:rsidRPr="00997D8C" w:rsidRDefault="00997D8C" w:rsidP="00997D8C">
            <w:pPr>
              <w:spacing w:after="40"/>
              <w:rPr>
                <w:rFonts w:asciiTheme="majorHAnsi" w:hAnsiTheme="majorHAnsi" w:cstheme="majorHAnsi"/>
                <w:color w:val="auto"/>
              </w:rPr>
            </w:pPr>
            <w:r w:rsidRPr="00997D8C">
              <w:rPr>
                <w:rFonts w:asciiTheme="majorHAnsi" w:hAnsiTheme="majorHAnsi" w:cstheme="majorHAnsi"/>
                <w:color w:val="auto"/>
              </w:rPr>
              <w:t xml:space="preserve">Udio usvojenih žalbi zbog ćutanja administracije u odnosu na ukupan broj žalbi </w:t>
            </w:r>
          </w:p>
        </w:tc>
        <w:tc>
          <w:tcPr>
            <w:tcW w:w="920" w:type="pct"/>
            <w:shd w:val="clear" w:color="auto" w:fill="auto"/>
          </w:tcPr>
          <w:p w:rsidR="00997D8C" w:rsidRPr="00997D8C" w:rsidRDefault="00997D8C" w:rsidP="00C00385">
            <w:pPr>
              <w:spacing w:after="40"/>
              <w:ind w:right="85"/>
              <w:jc w:val="center"/>
              <w:rPr>
                <w:rFonts w:asciiTheme="majorHAnsi" w:hAnsiTheme="majorHAnsi" w:cstheme="majorHAnsi"/>
                <w:color w:val="auto"/>
              </w:rPr>
            </w:pPr>
            <w:r w:rsidRPr="00997D8C">
              <w:rPr>
                <w:rFonts w:asciiTheme="majorHAnsi" w:hAnsiTheme="majorHAnsi" w:cstheme="majorHAnsi"/>
                <w:color w:val="auto"/>
              </w:rPr>
              <w:t>23,15% (1,002 od 4,328 u 2020)</w:t>
            </w:r>
          </w:p>
        </w:tc>
        <w:tc>
          <w:tcPr>
            <w:tcW w:w="999" w:type="pct"/>
            <w:shd w:val="clear" w:color="auto" w:fill="auto"/>
          </w:tcPr>
          <w:p w:rsidR="00997D8C" w:rsidRPr="00997D8C" w:rsidRDefault="00997D8C" w:rsidP="00C00385">
            <w:pPr>
              <w:spacing w:after="40"/>
              <w:ind w:right="-450"/>
              <w:jc w:val="center"/>
              <w:rPr>
                <w:rFonts w:asciiTheme="majorHAnsi" w:hAnsiTheme="majorHAnsi" w:cstheme="majorHAnsi"/>
                <w:color w:val="auto"/>
              </w:rPr>
            </w:pPr>
            <w:r w:rsidRPr="00997D8C">
              <w:rPr>
                <w:rFonts w:asciiTheme="majorHAnsi" w:hAnsiTheme="majorHAnsi" w:cstheme="majorHAnsi"/>
                <w:color w:val="auto"/>
              </w:rPr>
              <w:t>15%</w:t>
            </w:r>
          </w:p>
        </w:tc>
        <w:tc>
          <w:tcPr>
            <w:tcW w:w="950" w:type="pct"/>
            <w:shd w:val="clear" w:color="auto" w:fill="auto"/>
          </w:tcPr>
          <w:p w:rsidR="00997D8C" w:rsidRPr="00997D8C" w:rsidRDefault="00997D8C" w:rsidP="00C00385">
            <w:pPr>
              <w:spacing w:after="40"/>
              <w:ind w:right="-450"/>
              <w:jc w:val="center"/>
              <w:rPr>
                <w:rFonts w:asciiTheme="majorHAnsi" w:hAnsiTheme="majorHAnsi" w:cstheme="majorHAnsi"/>
                <w:color w:val="auto"/>
              </w:rPr>
            </w:pPr>
            <w:r w:rsidRPr="00997D8C">
              <w:rPr>
                <w:rFonts w:asciiTheme="majorHAnsi" w:hAnsiTheme="majorHAnsi" w:cstheme="majorHAnsi"/>
                <w:color w:val="auto"/>
              </w:rPr>
              <w:t>10%</w:t>
            </w:r>
          </w:p>
        </w:tc>
      </w:tr>
      <w:tr w:rsidR="00997D8C" w:rsidRPr="001A6CA9" w:rsidTr="00997D8C">
        <w:tc>
          <w:tcPr>
            <w:tcW w:w="2131" w:type="pct"/>
            <w:gridSpan w:val="2"/>
            <w:shd w:val="clear" w:color="auto" w:fill="auto"/>
          </w:tcPr>
          <w:p w:rsidR="00997D8C" w:rsidRPr="00997D8C" w:rsidRDefault="00997D8C" w:rsidP="00997D8C">
            <w:pPr>
              <w:spacing w:after="40"/>
              <w:rPr>
                <w:rFonts w:asciiTheme="majorHAnsi" w:hAnsiTheme="majorHAnsi" w:cstheme="majorHAnsi"/>
                <w:color w:val="auto"/>
              </w:rPr>
            </w:pPr>
            <w:r w:rsidRPr="00997D8C">
              <w:rPr>
                <w:rFonts w:asciiTheme="majorHAnsi" w:hAnsiTheme="majorHAnsi" w:cstheme="majorHAnsi"/>
                <w:color w:val="auto"/>
              </w:rPr>
              <w:t>Udio poništenih odluka organa vlasti od strane Agencije u odnosu na ukupan broj žalbi</w:t>
            </w:r>
          </w:p>
        </w:tc>
        <w:tc>
          <w:tcPr>
            <w:tcW w:w="920" w:type="pct"/>
            <w:shd w:val="clear" w:color="auto" w:fill="auto"/>
          </w:tcPr>
          <w:p w:rsidR="00997D8C" w:rsidRPr="00997D8C" w:rsidRDefault="00997D8C" w:rsidP="00C00385">
            <w:pPr>
              <w:spacing w:after="40"/>
              <w:ind w:right="85"/>
              <w:jc w:val="center"/>
              <w:rPr>
                <w:rFonts w:asciiTheme="majorHAnsi" w:hAnsiTheme="majorHAnsi" w:cstheme="majorHAnsi"/>
                <w:color w:val="auto"/>
              </w:rPr>
            </w:pPr>
            <w:r w:rsidRPr="00997D8C">
              <w:rPr>
                <w:rFonts w:asciiTheme="majorHAnsi" w:hAnsiTheme="majorHAnsi" w:cstheme="majorHAnsi"/>
                <w:color w:val="auto"/>
              </w:rPr>
              <w:t>53,19% (2,302 od 4,328 u 2020)</w:t>
            </w:r>
          </w:p>
        </w:tc>
        <w:tc>
          <w:tcPr>
            <w:tcW w:w="999" w:type="pct"/>
            <w:shd w:val="clear" w:color="auto" w:fill="auto"/>
          </w:tcPr>
          <w:p w:rsidR="00997D8C" w:rsidRPr="00997D8C" w:rsidRDefault="00997D8C" w:rsidP="00C00385">
            <w:pPr>
              <w:spacing w:after="40"/>
              <w:ind w:right="-450"/>
              <w:jc w:val="center"/>
              <w:rPr>
                <w:rFonts w:asciiTheme="majorHAnsi" w:hAnsiTheme="majorHAnsi" w:cstheme="majorHAnsi"/>
                <w:color w:val="auto"/>
              </w:rPr>
            </w:pPr>
            <w:r w:rsidRPr="00997D8C">
              <w:rPr>
                <w:rFonts w:asciiTheme="majorHAnsi" w:hAnsiTheme="majorHAnsi" w:cstheme="majorHAnsi"/>
                <w:color w:val="auto"/>
              </w:rPr>
              <w:t>45%</w:t>
            </w:r>
          </w:p>
        </w:tc>
        <w:tc>
          <w:tcPr>
            <w:tcW w:w="950" w:type="pct"/>
            <w:shd w:val="clear" w:color="auto" w:fill="auto"/>
          </w:tcPr>
          <w:p w:rsidR="00997D8C" w:rsidRPr="00997D8C" w:rsidRDefault="00997D8C" w:rsidP="00C00385">
            <w:pPr>
              <w:spacing w:after="40"/>
              <w:ind w:right="-450"/>
              <w:jc w:val="center"/>
              <w:rPr>
                <w:rFonts w:asciiTheme="majorHAnsi" w:hAnsiTheme="majorHAnsi" w:cstheme="majorHAnsi"/>
                <w:color w:val="auto"/>
              </w:rPr>
            </w:pPr>
            <w:r w:rsidRPr="00997D8C">
              <w:rPr>
                <w:rFonts w:asciiTheme="majorHAnsi" w:hAnsiTheme="majorHAnsi" w:cstheme="majorHAnsi"/>
                <w:color w:val="auto"/>
              </w:rPr>
              <w:t>35%</w:t>
            </w:r>
          </w:p>
        </w:tc>
      </w:tr>
    </w:tbl>
    <w:p w:rsidR="00454D62" w:rsidRPr="00CB681C" w:rsidRDefault="0099169E" w:rsidP="00CB681C">
      <w:pPr>
        <w:pStyle w:val="Heading4"/>
        <w:spacing w:before="60" w:after="60" w:line="240" w:lineRule="auto"/>
        <w:ind w:right="-446"/>
        <w:jc w:val="both"/>
        <w:rPr>
          <w:rFonts w:cstheme="majorHAnsi"/>
          <w:b w:val="0"/>
          <w:i w:val="0"/>
          <w:color w:val="auto"/>
          <w:sz w:val="24"/>
          <w:szCs w:val="24"/>
        </w:rPr>
      </w:pPr>
      <w:r w:rsidRPr="00CB681C">
        <w:rPr>
          <w:rFonts w:eastAsia="Times New Roman" w:cstheme="majorHAnsi"/>
          <w:i w:val="0"/>
          <w:color w:val="auto"/>
          <w:kern w:val="0"/>
          <w:sz w:val="24"/>
          <w:szCs w:val="24"/>
          <w:lang w:eastAsia="en-US"/>
        </w:rPr>
        <w:lastRenderedPageBreak/>
        <w:t>OPERATIVNI CILJ 4.</w:t>
      </w:r>
      <w:r w:rsidR="00CD75BD" w:rsidRPr="00CB681C">
        <w:rPr>
          <w:rFonts w:eastAsia="Times New Roman" w:cstheme="majorHAnsi"/>
          <w:i w:val="0"/>
          <w:color w:val="auto"/>
          <w:kern w:val="0"/>
          <w:sz w:val="24"/>
          <w:szCs w:val="24"/>
          <w:lang w:eastAsia="en-US"/>
        </w:rPr>
        <w:t>3.</w:t>
      </w:r>
      <w:r w:rsidRPr="00CB681C">
        <w:rPr>
          <w:rFonts w:eastAsia="Times New Roman" w:cstheme="majorHAnsi"/>
          <w:color w:val="auto"/>
          <w:kern w:val="0"/>
          <w:sz w:val="24"/>
          <w:szCs w:val="24"/>
          <w:lang w:eastAsia="en-US"/>
        </w:rPr>
        <w:t xml:space="preserve"> </w:t>
      </w:r>
      <w:r w:rsidR="00045694" w:rsidRPr="00CB681C">
        <w:rPr>
          <w:rFonts w:eastAsia="Times New Roman" w:cstheme="majorHAnsi"/>
          <w:color w:val="auto"/>
          <w:kern w:val="0"/>
          <w:sz w:val="24"/>
          <w:szCs w:val="24"/>
          <w:lang w:eastAsia="en-US"/>
        </w:rPr>
        <w:t xml:space="preserve">Unapređenje ponovne upotrebe informacija i povećanje dostupnosti otvorenih podataka  </w:t>
      </w:r>
    </w:p>
    <w:p w:rsidR="00612586" w:rsidRPr="00CB681C" w:rsidRDefault="00752595" w:rsidP="00CB681C">
      <w:pPr>
        <w:spacing w:before="60" w:after="60" w:line="240" w:lineRule="auto"/>
        <w:ind w:right="-446"/>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 xml:space="preserve">Transparentnost javne uprave, jačanje uloge građana u kreiranju javnih politika, kao i korišćenje novih tehnologija u upravljanju promjenama su krajnji rezultati koje MJUDDM želi dostići </w:t>
      </w:r>
      <w:r w:rsidR="00447A9D" w:rsidRPr="00CB681C">
        <w:rPr>
          <w:rFonts w:asciiTheme="majorHAnsi" w:eastAsia="Times New Roman" w:hAnsiTheme="majorHAnsi" w:cstheme="majorHAnsi"/>
          <w:color w:val="auto"/>
          <w:kern w:val="0"/>
          <w:sz w:val="24"/>
          <w:szCs w:val="24"/>
          <w:lang w:eastAsia="en-US"/>
        </w:rPr>
        <w:t>realizacijom ovog cilja. MJU</w:t>
      </w:r>
      <w:r w:rsidRPr="00CB681C">
        <w:rPr>
          <w:rFonts w:asciiTheme="majorHAnsi" w:eastAsia="Times New Roman" w:hAnsiTheme="majorHAnsi" w:cstheme="majorHAnsi"/>
          <w:color w:val="auto"/>
          <w:kern w:val="0"/>
          <w:sz w:val="24"/>
          <w:szCs w:val="24"/>
          <w:lang w:eastAsia="en-US"/>
        </w:rPr>
        <w:t>DD</w:t>
      </w:r>
      <w:r w:rsidR="00447A9D" w:rsidRPr="00CB681C">
        <w:rPr>
          <w:rFonts w:asciiTheme="majorHAnsi" w:eastAsia="Times New Roman" w:hAnsiTheme="majorHAnsi" w:cstheme="majorHAnsi"/>
          <w:color w:val="auto"/>
          <w:kern w:val="0"/>
          <w:sz w:val="24"/>
          <w:szCs w:val="24"/>
          <w:lang w:eastAsia="en-US"/>
        </w:rPr>
        <w:t>M</w:t>
      </w:r>
      <w:r w:rsidRPr="00CB681C">
        <w:rPr>
          <w:rFonts w:asciiTheme="majorHAnsi" w:eastAsia="Times New Roman" w:hAnsiTheme="majorHAnsi" w:cstheme="majorHAnsi"/>
          <w:color w:val="auto"/>
          <w:kern w:val="0"/>
          <w:sz w:val="24"/>
          <w:szCs w:val="24"/>
          <w:lang w:eastAsia="en-US"/>
        </w:rPr>
        <w:t xml:space="preserve"> je </w:t>
      </w:r>
      <w:r w:rsidR="00693D89" w:rsidRPr="00CB681C">
        <w:rPr>
          <w:rFonts w:asciiTheme="majorHAnsi" w:eastAsia="Times New Roman" w:hAnsiTheme="majorHAnsi" w:cstheme="majorHAnsi"/>
          <w:color w:val="auto"/>
          <w:kern w:val="0"/>
          <w:sz w:val="24"/>
          <w:szCs w:val="24"/>
          <w:lang w:eastAsia="en-US"/>
        </w:rPr>
        <w:t>P</w:t>
      </w:r>
      <w:r w:rsidRPr="00CB681C">
        <w:rPr>
          <w:rFonts w:asciiTheme="majorHAnsi" w:eastAsia="Times New Roman" w:hAnsiTheme="majorHAnsi" w:cstheme="majorHAnsi"/>
          <w:color w:val="auto"/>
          <w:kern w:val="0"/>
          <w:sz w:val="24"/>
          <w:szCs w:val="24"/>
          <w:lang w:eastAsia="en-US"/>
        </w:rPr>
        <w:t>artnerstvom otvorenih Vlada</w:t>
      </w:r>
      <w:r w:rsidR="00693D89" w:rsidRPr="00CB681C">
        <w:rPr>
          <w:rFonts w:asciiTheme="majorHAnsi" w:eastAsia="Times New Roman" w:hAnsiTheme="majorHAnsi" w:cstheme="majorHAnsi"/>
          <w:color w:val="auto"/>
          <w:kern w:val="0"/>
          <w:sz w:val="24"/>
          <w:szCs w:val="24"/>
          <w:lang w:eastAsia="en-US"/>
        </w:rPr>
        <w:t xml:space="preserve"> (eng. Open Government Partnership </w:t>
      </w:r>
      <w:hyperlink r:id="rId100" w:history="1">
        <w:r w:rsidR="00693D89" w:rsidRPr="00CB681C">
          <w:rPr>
            <w:rStyle w:val="Hyperlink"/>
            <w:rFonts w:asciiTheme="majorHAnsi" w:eastAsia="Times New Roman" w:hAnsiTheme="majorHAnsi" w:cstheme="majorHAnsi"/>
            <w:color w:val="auto"/>
            <w:kern w:val="0"/>
            <w:sz w:val="24"/>
            <w:szCs w:val="24"/>
            <w:lang w:eastAsia="en-US"/>
          </w:rPr>
          <w:t>https://www.opengovpartnership.org/members/montenegro/</w:t>
        </w:r>
      </w:hyperlink>
      <w:r w:rsidR="00693D89" w:rsidRPr="00CB681C">
        <w:rPr>
          <w:rFonts w:asciiTheme="majorHAnsi" w:eastAsia="Times New Roman" w:hAnsiTheme="majorHAnsi" w:cstheme="majorHAnsi"/>
          <w:color w:val="auto"/>
          <w:kern w:val="0"/>
          <w:sz w:val="24"/>
          <w:szCs w:val="24"/>
          <w:lang w:eastAsia="en-US"/>
        </w:rPr>
        <w:t>)</w:t>
      </w:r>
      <w:r w:rsidRPr="00CB681C">
        <w:rPr>
          <w:rFonts w:asciiTheme="majorHAnsi" w:eastAsia="Times New Roman" w:hAnsiTheme="majorHAnsi" w:cstheme="majorHAnsi"/>
          <w:color w:val="auto"/>
          <w:kern w:val="0"/>
          <w:sz w:val="24"/>
          <w:szCs w:val="24"/>
          <w:lang w:eastAsia="en-US"/>
        </w:rPr>
        <w:t xml:space="preserve"> i uspostavljanjem </w:t>
      </w:r>
      <w:r w:rsidR="00693D89" w:rsidRPr="00CB681C">
        <w:rPr>
          <w:rFonts w:asciiTheme="majorHAnsi" w:eastAsia="Times New Roman" w:hAnsiTheme="majorHAnsi" w:cstheme="majorHAnsi"/>
          <w:color w:val="auto"/>
          <w:kern w:val="0"/>
          <w:sz w:val="24"/>
          <w:szCs w:val="24"/>
          <w:lang w:eastAsia="en-US"/>
        </w:rPr>
        <w:t>P</w:t>
      </w:r>
      <w:r w:rsidRPr="00CB681C">
        <w:rPr>
          <w:rFonts w:asciiTheme="majorHAnsi" w:eastAsia="Times New Roman" w:hAnsiTheme="majorHAnsi" w:cstheme="majorHAnsi"/>
          <w:color w:val="auto"/>
          <w:kern w:val="0"/>
          <w:sz w:val="24"/>
          <w:szCs w:val="24"/>
          <w:lang w:eastAsia="en-US"/>
        </w:rPr>
        <w:t>ortala otvorenih podataka</w:t>
      </w:r>
      <w:r w:rsidR="00693D89" w:rsidRPr="00CB681C">
        <w:rPr>
          <w:rFonts w:asciiTheme="majorHAnsi" w:eastAsia="Times New Roman" w:hAnsiTheme="majorHAnsi" w:cstheme="majorHAnsi"/>
          <w:color w:val="auto"/>
          <w:kern w:val="0"/>
          <w:sz w:val="24"/>
          <w:szCs w:val="24"/>
          <w:lang w:eastAsia="en-US"/>
        </w:rPr>
        <w:t xml:space="preserve"> </w:t>
      </w:r>
      <w:hyperlink r:id="rId101" w:history="1">
        <w:r w:rsidR="00693D89" w:rsidRPr="00CB681C">
          <w:rPr>
            <w:rStyle w:val="Hyperlink"/>
            <w:rFonts w:asciiTheme="majorHAnsi" w:eastAsia="Times New Roman" w:hAnsiTheme="majorHAnsi" w:cstheme="majorHAnsi"/>
            <w:color w:val="auto"/>
            <w:kern w:val="0"/>
            <w:sz w:val="24"/>
            <w:szCs w:val="24"/>
            <w:lang w:eastAsia="en-US"/>
          </w:rPr>
          <w:t>https://data.gov.me/</w:t>
        </w:r>
      </w:hyperlink>
      <w:r w:rsidR="00693D89" w:rsidRPr="00CB681C">
        <w:rPr>
          <w:rFonts w:asciiTheme="majorHAnsi" w:eastAsia="Times New Roman" w:hAnsiTheme="majorHAnsi" w:cstheme="majorHAnsi"/>
          <w:color w:val="auto"/>
          <w:kern w:val="0"/>
          <w:sz w:val="24"/>
          <w:szCs w:val="24"/>
          <w:lang w:eastAsia="en-US"/>
        </w:rPr>
        <w:t xml:space="preserve"> </w:t>
      </w:r>
      <w:r w:rsidRPr="00CB681C">
        <w:rPr>
          <w:rFonts w:asciiTheme="majorHAnsi" w:eastAsia="Times New Roman" w:hAnsiTheme="majorHAnsi" w:cstheme="majorHAnsi"/>
          <w:color w:val="auto"/>
          <w:kern w:val="0"/>
          <w:sz w:val="24"/>
          <w:szCs w:val="24"/>
          <w:lang w:eastAsia="en-US"/>
        </w:rPr>
        <w:t>učinilo prvi korak u promovisanju ovih vrijednosti, a savremeni model upravljanja podacima podrzumijeva standardizovane,  dostupne</w:t>
      </w:r>
      <w:r w:rsidR="004D7EAC" w:rsidRPr="00CB681C">
        <w:rPr>
          <w:rFonts w:asciiTheme="majorHAnsi" w:eastAsia="Times New Roman" w:hAnsiTheme="majorHAnsi" w:cstheme="majorHAnsi"/>
          <w:color w:val="auto"/>
          <w:kern w:val="0"/>
          <w:sz w:val="24"/>
          <w:szCs w:val="24"/>
          <w:lang w:eastAsia="en-US"/>
        </w:rPr>
        <w:t>, mašinski čitljive</w:t>
      </w:r>
      <w:r w:rsidRPr="00CB681C">
        <w:rPr>
          <w:rFonts w:asciiTheme="majorHAnsi" w:eastAsia="Times New Roman" w:hAnsiTheme="majorHAnsi" w:cstheme="majorHAnsi"/>
          <w:color w:val="auto"/>
          <w:kern w:val="0"/>
          <w:sz w:val="24"/>
          <w:szCs w:val="24"/>
          <w:lang w:eastAsia="en-US"/>
        </w:rPr>
        <w:t xml:space="preserve"> i pouzdane podatke u stvarnom vremenu, čija široka upotreba i razmjena može doprinijeti razvoju u svim segmentima društva. </w:t>
      </w:r>
    </w:p>
    <w:p w:rsidR="0080584D" w:rsidRPr="00CB681C" w:rsidRDefault="0080584D" w:rsidP="00CB681C">
      <w:pPr>
        <w:spacing w:before="60" w:after="60" w:line="240" w:lineRule="auto"/>
        <w:ind w:right="-446"/>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Promotivnim aktivnostima i kampanjama u cilju podizanja svijesti i širenja inici</w:t>
      </w:r>
      <w:r w:rsidR="002A14A7" w:rsidRPr="00CB681C">
        <w:rPr>
          <w:rFonts w:asciiTheme="majorHAnsi" w:eastAsia="Times New Roman" w:hAnsiTheme="majorHAnsi" w:cstheme="majorHAnsi"/>
          <w:color w:val="auto"/>
          <w:kern w:val="0"/>
          <w:sz w:val="24"/>
          <w:szCs w:val="24"/>
          <w:lang w:eastAsia="en-US"/>
        </w:rPr>
        <w:t xml:space="preserve">jative o otvaranju podataka </w:t>
      </w:r>
      <w:r w:rsidR="004D7EAC" w:rsidRPr="00CB681C">
        <w:rPr>
          <w:rFonts w:asciiTheme="majorHAnsi" w:eastAsia="Times New Roman" w:hAnsiTheme="majorHAnsi" w:cstheme="majorHAnsi"/>
          <w:color w:val="auto"/>
          <w:kern w:val="0"/>
          <w:sz w:val="24"/>
          <w:szCs w:val="24"/>
          <w:lang w:eastAsia="en-US"/>
        </w:rPr>
        <w:t xml:space="preserve">u posedu </w:t>
      </w:r>
      <w:r w:rsidRPr="00CB681C">
        <w:rPr>
          <w:rFonts w:asciiTheme="majorHAnsi" w:eastAsia="Times New Roman" w:hAnsiTheme="majorHAnsi" w:cstheme="majorHAnsi"/>
          <w:color w:val="auto"/>
          <w:kern w:val="0"/>
          <w:sz w:val="24"/>
          <w:szCs w:val="24"/>
          <w:lang w:eastAsia="en-US"/>
        </w:rPr>
        <w:t>javne uprave</w:t>
      </w:r>
      <w:r w:rsidR="004D7EAC" w:rsidRPr="00CB681C">
        <w:rPr>
          <w:rFonts w:asciiTheme="majorHAnsi" w:eastAsia="Times New Roman" w:hAnsiTheme="majorHAnsi" w:cstheme="majorHAnsi"/>
          <w:color w:val="auto"/>
          <w:kern w:val="0"/>
          <w:sz w:val="24"/>
          <w:szCs w:val="24"/>
          <w:lang w:eastAsia="en-US"/>
        </w:rPr>
        <w:t>,</w:t>
      </w:r>
      <w:r w:rsidRPr="00CB681C">
        <w:rPr>
          <w:rFonts w:asciiTheme="majorHAnsi" w:eastAsia="Times New Roman" w:hAnsiTheme="majorHAnsi" w:cstheme="majorHAnsi"/>
          <w:color w:val="auto"/>
          <w:kern w:val="0"/>
          <w:sz w:val="24"/>
          <w:szCs w:val="24"/>
          <w:lang w:eastAsia="en-US"/>
        </w:rPr>
        <w:t xml:space="preserve"> postignuće se veća transparentnost organa</w:t>
      </w:r>
      <w:r w:rsidR="004D7EAC" w:rsidRPr="00CB681C">
        <w:rPr>
          <w:rFonts w:asciiTheme="majorHAnsi" w:eastAsia="Times New Roman" w:hAnsiTheme="majorHAnsi" w:cstheme="majorHAnsi"/>
          <w:color w:val="auto"/>
          <w:kern w:val="0"/>
          <w:sz w:val="24"/>
          <w:szCs w:val="24"/>
          <w:lang w:eastAsia="en-US"/>
        </w:rPr>
        <w:t>, korišćenje</w:t>
      </w:r>
      <w:r w:rsidRPr="00CB681C">
        <w:rPr>
          <w:rFonts w:asciiTheme="majorHAnsi" w:eastAsia="Times New Roman" w:hAnsiTheme="majorHAnsi" w:cstheme="majorHAnsi"/>
          <w:color w:val="auto"/>
          <w:kern w:val="0"/>
          <w:sz w:val="24"/>
          <w:szCs w:val="24"/>
          <w:lang w:eastAsia="en-US"/>
        </w:rPr>
        <w:t xml:space="preserve"> i ponovna upotreba istih podataka. Pored promotivnih aktivnosti, unapređenjem </w:t>
      </w:r>
      <w:r w:rsidR="004D7EAC" w:rsidRPr="00CB681C">
        <w:rPr>
          <w:rFonts w:asciiTheme="majorHAnsi" w:eastAsia="Times New Roman" w:hAnsiTheme="majorHAnsi" w:cstheme="majorHAnsi"/>
          <w:color w:val="auto"/>
          <w:kern w:val="0"/>
          <w:sz w:val="24"/>
          <w:szCs w:val="24"/>
          <w:lang w:eastAsia="en-US"/>
        </w:rPr>
        <w:t>P</w:t>
      </w:r>
      <w:r w:rsidRPr="00CB681C">
        <w:rPr>
          <w:rFonts w:asciiTheme="majorHAnsi" w:eastAsia="Times New Roman" w:hAnsiTheme="majorHAnsi" w:cstheme="majorHAnsi"/>
          <w:color w:val="auto"/>
          <w:kern w:val="0"/>
          <w:sz w:val="24"/>
          <w:szCs w:val="24"/>
          <w:lang w:eastAsia="en-US"/>
        </w:rPr>
        <w:t xml:space="preserve">ortala otvorenih podataka u vidu uvođenja </w:t>
      </w:r>
      <w:r w:rsidRPr="00CB681C">
        <w:rPr>
          <w:rFonts w:asciiTheme="majorHAnsi" w:eastAsia="Times New Roman" w:hAnsiTheme="majorHAnsi" w:cstheme="majorHAnsi"/>
          <w:i/>
          <w:color w:val="auto"/>
          <w:kern w:val="0"/>
          <w:sz w:val="24"/>
          <w:szCs w:val="24"/>
          <w:lang w:eastAsia="en-US"/>
        </w:rPr>
        <w:t>high value</w:t>
      </w:r>
      <w:r w:rsidRPr="00CB681C">
        <w:rPr>
          <w:rFonts w:asciiTheme="majorHAnsi" w:eastAsia="Times New Roman" w:hAnsiTheme="majorHAnsi" w:cstheme="majorHAnsi"/>
          <w:color w:val="auto"/>
          <w:kern w:val="0"/>
          <w:sz w:val="24"/>
          <w:szCs w:val="24"/>
          <w:lang w:eastAsia="en-US"/>
        </w:rPr>
        <w:t xml:space="preserve"> data setova </w:t>
      </w:r>
      <w:r w:rsidR="002E6035" w:rsidRPr="00CB681C">
        <w:rPr>
          <w:rFonts w:asciiTheme="majorHAnsi" w:eastAsia="Times New Roman" w:hAnsiTheme="majorHAnsi" w:cstheme="majorHAnsi"/>
          <w:color w:val="auto"/>
          <w:kern w:val="0"/>
          <w:sz w:val="24"/>
          <w:szCs w:val="24"/>
          <w:lang w:eastAsia="en-US"/>
        </w:rPr>
        <w:t xml:space="preserve">(skupova podataka </w:t>
      </w:r>
      <w:r w:rsidR="002E6035" w:rsidRPr="00CB681C">
        <w:rPr>
          <w:rFonts w:asciiTheme="majorHAnsi" w:hAnsiTheme="majorHAnsi" w:cstheme="majorHAnsi"/>
          <w:color w:val="auto"/>
          <w:sz w:val="24"/>
          <w:szCs w:val="24"/>
        </w:rPr>
        <w:t>povezanih sa važnim koristima za društvo i privredu kada se ponovo koriste)</w:t>
      </w:r>
      <w:r w:rsidR="002E6035" w:rsidRPr="00CB681C">
        <w:rPr>
          <w:rFonts w:asciiTheme="majorHAnsi" w:eastAsia="Times New Roman" w:hAnsiTheme="majorHAnsi" w:cstheme="majorHAnsi"/>
          <w:color w:val="auto"/>
          <w:kern w:val="0"/>
          <w:sz w:val="24"/>
          <w:szCs w:val="24"/>
          <w:lang w:eastAsia="en-US"/>
        </w:rPr>
        <w:t xml:space="preserve"> </w:t>
      </w:r>
      <w:r w:rsidRPr="00CB681C">
        <w:rPr>
          <w:rFonts w:asciiTheme="majorHAnsi" w:eastAsia="Times New Roman" w:hAnsiTheme="majorHAnsi" w:cstheme="majorHAnsi"/>
          <w:color w:val="auto"/>
          <w:kern w:val="0"/>
          <w:sz w:val="24"/>
          <w:szCs w:val="24"/>
          <w:lang w:eastAsia="en-US"/>
        </w:rPr>
        <w:t>i dinamičkih data setova (tj. setov</w:t>
      </w:r>
      <w:r w:rsidR="002A14A7" w:rsidRPr="00CB681C">
        <w:rPr>
          <w:rFonts w:asciiTheme="majorHAnsi" w:eastAsia="Times New Roman" w:hAnsiTheme="majorHAnsi" w:cstheme="majorHAnsi"/>
          <w:color w:val="auto"/>
          <w:kern w:val="0"/>
          <w:sz w:val="24"/>
          <w:szCs w:val="24"/>
          <w:lang w:eastAsia="en-US"/>
        </w:rPr>
        <w:t>a</w:t>
      </w:r>
      <w:r w:rsidRPr="00CB681C">
        <w:rPr>
          <w:rFonts w:asciiTheme="majorHAnsi" w:eastAsia="Times New Roman" w:hAnsiTheme="majorHAnsi" w:cstheme="majorHAnsi"/>
          <w:color w:val="auto"/>
          <w:kern w:val="0"/>
          <w:sz w:val="24"/>
          <w:szCs w:val="24"/>
          <w:lang w:eastAsia="en-US"/>
        </w:rPr>
        <w:t xml:space="preserve"> realnom vremenu), i kroz obuke administratora/službenika organa koji su zaduženi da objavljivanje podataka na portalu, </w:t>
      </w:r>
      <w:r w:rsidR="00693D89" w:rsidRPr="00CB681C">
        <w:rPr>
          <w:rFonts w:asciiTheme="majorHAnsi" w:eastAsia="Times New Roman" w:hAnsiTheme="majorHAnsi" w:cstheme="majorHAnsi"/>
          <w:color w:val="auto"/>
          <w:kern w:val="0"/>
          <w:sz w:val="24"/>
          <w:szCs w:val="24"/>
          <w:lang w:eastAsia="en-US"/>
        </w:rPr>
        <w:t>povećaće se</w:t>
      </w:r>
      <w:r w:rsidRPr="00CB681C">
        <w:rPr>
          <w:rFonts w:asciiTheme="majorHAnsi" w:eastAsia="Times New Roman" w:hAnsiTheme="majorHAnsi" w:cstheme="majorHAnsi"/>
          <w:color w:val="auto"/>
          <w:kern w:val="0"/>
          <w:sz w:val="24"/>
          <w:szCs w:val="24"/>
          <w:lang w:eastAsia="en-US"/>
        </w:rPr>
        <w:t xml:space="preserve"> broj data setova kao </w:t>
      </w:r>
      <w:r w:rsidR="00693D89" w:rsidRPr="00CB681C">
        <w:rPr>
          <w:rFonts w:asciiTheme="majorHAnsi" w:eastAsia="Times New Roman" w:hAnsiTheme="majorHAnsi" w:cstheme="majorHAnsi"/>
          <w:color w:val="auto"/>
          <w:kern w:val="0"/>
          <w:sz w:val="24"/>
          <w:szCs w:val="24"/>
          <w:lang w:eastAsia="en-US"/>
        </w:rPr>
        <w:t>i</w:t>
      </w:r>
      <w:r w:rsidRPr="00CB681C">
        <w:rPr>
          <w:rFonts w:asciiTheme="majorHAnsi" w:eastAsia="Times New Roman" w:hAnsiTheme="majorHAnsi" w:cstheme="majorHAnsi"/>
          <w:color w:val="auto"/>
          <w:kern w:val="0"/>
          <w:sz w:val="24"/>
          <w:szCs w:val="24"/>
          <w:lang w:eastAsia="en-US"/>
        </w:rPr>
        <w:t xml:space="preserve"> institucija koje objavljuju ovakve podatke u skladu sa SPI.</w:t>
      </w:r>
    </w:p>
    <w:p w:rsidR="005F70B5" w:rsidRPr="00CB681C" w:rsidRDefault="00693D89" w:rsidP="00CB681C">
      <w:pPr>
        <w:spacing w:before="60" w:after="60" w:line="240" w:lineRule="auto"/>
        <w:ind w:right="-446"/>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Dodatno unapređenje koordinacije u ovoj oblasti očekuje se kroz rad Savjeta za otvorene podatke kao radnog tijela</w:t>
      </w:r>
      <w:r w:rsidR="00CB681C">
        <w:rPr>
          <w:rFonts w:asciiTheme="majorHAnsi" w:eastAsia="Times New Roman" w:hAnsiTheme="majorHAnsi" w:cstheme="majorHAnsi"/>
          <w:color w:val="auto"/>
          <w:kern w:val="0"/>
          <w:sz w:val="24"/>
          <w:szCs w:val="24"/>
          <w:lang w:eastAsia="en-US"/>
        </w:rPr>
        <w:t xml:space="preserve"> Vlade.</w:t>
      </w:r>
    </w:p>
    <w:p w:rsidR="00CD75BD" w:rsidRPr="00CB681C" w:rsidRDefault="00CD75BD" w:rsidP="00CB681C">
      <w:pPr>
        <w:spacing w:before="60" w:after="60" w:line="240" w:lineRule="auto"/>
        <w:ind w:right="-446"/>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Indikatori kojim se prati ispunj</w:t>
      </w:r>
      <w:r w:rsidR="00CB681C">
        <w:rPr>
          <w:rFonts w:asciiTheme="majorHAnsi" w:eastAsia="Times New Roman" w:hAnsiTheme="majorHAnsi" w:cstheme="majorHAnsi"/>
          <w:color w:val="auto"/>
          <w:kern w:val="0"/>
          <w:sz w:val="24"/>
          <w:szCs w:val="24"/>
          <w:lang w:eastAsia="en-US"/>
        </w:rPr>
        <w:t>enje ovog operativnog cilja su:</w:t>
      </w:r>
    </w:p>
    <w:tbl>
      <w:tblPr>
        <w:tblStyle w:val="TableGrid21"/>
        <w:tblW w:w="98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59"/>
        <w:gridCol w:w="1561"/>
        <w:gridCol w:w="2290"/>
        <w:gridCol w:w="2485"/>
      </w:tblGrid>
      <w:tr w:rsidR="00AC188A" w:rsidRPr="001A6CA9" w:rsidTr="00997D8C">
        <w:tc>
          <w:tcPr>
            <w:tcW w:w="0" w:type="auto"/>
            <w:shd w:val="clear" w:color="auto" w:fill="DAF2F6"/>
            <w:vAlign w:val="center"/>
          </w:tcPr>
          <w:p w:rsidR="00CD75BD" w:rsidRPr="00C00385" w:rsidRDefault="00CD75BD">
            <w:pPr>
              <w:spacing w:before="40" w:after="40"/>
              <w:ind w:right="-450"/>
              <w:rPr>
                <w:rFonts w:asciiTheme="majorHAnsi" w:hAnsiTheme="majorHAnsi" w:cstheme="majorHAnsi"/>
                <w:b/>
                <w:color w:val="3A4B5B" w:themeColor="accent1" w:themeShade="80"/>
              </w:rPr>
            </w:pPr>
            <w:r w:rsidRPr="00C00385">
              <w:rPr>
                <w:rFonts w:asciiTheme="majorHAnsi" w:hAnsiTheme="majorHAnsi" w:cstheme="majorHAnsi"/>
                <w:b/>
                <w:color w:val="3A4B5B" w:themeColor="accent1" w:themeShade="80"/>
                <w:sz w:val="20"/>
                <w:szCs w:val="20"/>
              </w:rPr>
              <w:t>OPERATIVNI CILJ 4.3</w:t>
            </w:r>
          </w:p>
        </w:tc>
        <w:tc>
          <w:tcPr>
            <w:tcW w:w="7441" w:type="dxa"/>
            <w:gridSpan w:val="3"/>
            <w:shd w:val="clear" w:color="auto" w:fill="DAF2F6"/>
            <w:vAlign w:val="center"/>
          </w:tcPr>
          <w:p w:rsidR="00CD75BD" w:rsidRPr="00C00385" w:rsidRDefault="00CD75BD" w:rsidP="007E14C5">
            <w:pPr>
              <w:ind w:right="-450"/>
              <w:rPr>
                <w:rFonts w:asciiTheme="majorHAnsi" w:hAnsiTheme="majorHAnsi" w:cstheme="majorHAnsi"/>
                <w:b/>
                <w:color w:val="3A4B5B" w:themeColor="accent1" w:themeShade="80"/>
              </w:rPr>
            </w:pPr>
            <w:r w:rsidRPr="00C00385">
              <w:rPr>
                <w:rFonts w:asciiTheme="majorHAnsi" w:hAnsiTheme="majorHAnsi" w:cstheme="majorHAnsi"/>
                <w:b/>
                <w:color w:val="3A4B5B" w:themeColor="accent1" w:themeShade="80"/>
                <w:sz w:val="20"/>
                <w:szCs w:val="20"/>
                <w:lang w:val="sr-Latn-ME"/>
              </w:rPr>
              <w:t xml:space="preserve">Unapređenje ponovne upotrebe informacija i povećanje dostupnosti otvorenih podataka  </w:t>
            </w:r>
          </w:p>
        </w:tc>
      </w:tr>
      <w:tr w:rsidR="00AC188A" w:rsidRPr="001A6CA9" w:rsidTr="00997D8C">
        <w:tc>
          <w:tcPr>
            <w:tcW w:w="0" w:type="auto"/>
            <w:shd w:val="clear" w:color="auto" w:fill="DAF2F6"/>
            <w:vAlign w:val="center"/>
          </w:tcPr>
          <w:p w:rsidR="00CD75BD" w:rsidRPr="00C00385" w:rsidRDefault="00CD75BD" w:rsidP="007E14C5">
            <w:pPr>
              <w:spacing w:before="40" w:after="40"/>
              <w:ind w:right="-450"/>
              <w:rPr>
                <w:rFonts w:asciiTheme="majorHAnsi" w:hAnsiTheme="majorHAnsi" w:cstheme="majorHAnsi"/>
                <w:b/>
                <w:color w:val="3A4B5B" w:themeColor="accent1" w:themeShade="80"/>
              </w:rPr>
            </w:pPr>
            <w:r w:rsidRPr="00C00385">
              <w:rPr>
                <w:rFonts w:asciiTheme="majorHAnsi" w:hAnsiTheme="majorHAnsi" w:cstheme="majorHAnsi"/>
                <w:color w:val="3A4B5B" w:themeColor="accent1" w:themeShade="80"/>
                <w:sz w:val="20"/>
                <w:szCs w:val="20"/>
                <w:lang w:eastAsia="en-US"/>
              </w:rPr>
              <w:br w:type="page"/>
            </w:r>
            <w:r w:rsidRPr="00C00385">
              <w:rPr>
                <w:rFonts w:asciiTheme="majorHAnsi" w:hAnsiTheme="majorHAnsi" w:cstheme="majorHAnsi"/>
                <w:b/>
                <w:color w:val="3A4B5B" w:themeColor="accent1" w:themeShade="80"/>
              </w:rPr>
              <w:t>Indikator</w:t>
            </w:r>
          </w:p>
        </w:tc>
        <w:tc>
          <w:tcPr>
            <w:tcW w:w="0" w:type="auto"/>
            <w:shd w:val="clear" w:color="auto" w:fill="DAF2F6"/>
            <w:vAlign w:val="center"/>
          </w:tcPr>
          <w:p w:rsidR="00CD75BD" w:rsidRPr="00C00385" w:rsidRDefault="00CD75BD" w:rsidP="007E14C5">
            <w:pPr>
              <w:spacing w:before="40" w:after="40"/>
              <w:ind w:right="-450"/>
              <w:rPr>
                <w:rFonts w:asciiTheme="majorHAnsi" w:hAnsiTheme="majorHAnsi" w:cstheme="majorHAnsi"/>
                <w:b/>
                <w:color w:val="3A4B5B" w:themeColor="accent1" w:themeShade="80"/>
              </w:rPr>
            </w:pPr>
            <w:r w:rsidRPr="00C00385">
              <w:rPr>
                <w:rFonts w:asciiTheme="majorHAnsi" w:hAnsiTheme="majorHAnsi" w:cstheme="majorHAnsi"/>
                <w:b/>
                <w:color w:val="3A4B5B" w:themeColor="accent1" w:themeShade="80"/>
              </w:rPr>
              <w:t>Početna vrijednost</w:t>
            </w:r>
          </w:p>
        </w:tc>
        <w:tc>
          <w:tcPr>
            <w:tcW w:w="0" w:type="auto"/>
            <w:shd w:val="clear" w:color="auto" w:fill="DAF2F6"/>
            <w:vAlign w:val="center"/>
          </w:tcPr>
          <w:p w:rsidR="00CD75BD" w:rsidRPr="00C00385" w:rsidRDefault="00CD75BD" w:rsidP="007E14C5">
            <w:pPr>
              <w:spacing w:before="40" w:after="40"/>
              <w:ind w:right="-450"/>
              <w:rPr>
                <w:rFonts w:asciiTheme="majorHAnsi" w:hAnsiTheme="majorHAnsi" w:cstheme="majorHAnsi"/>
                <w:b/>
                <w:color w:val="3A4B5B" w:themeColor="accent1" w:themeShade="80"/>
              </w:rPr>
            </w:pPr>
            <w:r w:rsidRPr="00C00385">
              <w:rPr>
                <w:rFonts w:asciiTheme="majorHAnsi" w:hAnsiTheme="majorHAnsi" w:cstheme="majorHAnsi"/>
                <w:b/>
                <w:color w:val="3A4B5B" w:themeColor="accent1" w:themeShade="80"/>
              </w:rPr>
              <w:t>Ciljana vrijednost u 2024.</w:t>
            </w:r>
          </w:p>
        </w:tc>
        <w:tc>
          <w:tcPr>
            <w:tcW w:w="2485" w:type="dxa"/>
            <w:shd w:val="clear" w:color="auto" w:fill="DAF2F6"/>
            <w:vAlign w:val="center"/>
          </w:tcPr>
          <w:p w:rsidR="00CD75BD" w:rsidRPr="00C00385" w:rsidRDefault="00CD75BD" w:rsidP="007E14C5">
            <w:pPr>
              <w:spacing w:before="40" w:after="40"/>
              <w:ind w:right="-450"/>
              <w:rPr>
                <w:rFonts w:asciiTheme="majorHAnsi" w:hAnsiTheme="majorHAnsi" w:cstheme="majorHAnsi"/>
                <w:b/>
                <w:color w:val="3A4B5B" w:themeColor="accent1" w:themeShade="80"/>
              </w:rPr>
            </w:pPr>
            <w:r w:rsidRPr="00C00385">
              <w:rPr>
                <w:rFonts w:asciiTheme="majorHAnsi" w:hAnsiTheme="majorHAnsi" w:cstheme="majorHAnsi"/>
                <w:b/>
                <w:color w:val="3A4B5B" w:themeColor="accent1" w:themeShade="80"/>
              </w:rPr>
              <w:t>Ciljana vrijednost u 2026.</w:t>
            </w:r>
          </w:p>
        </w:tc>
      </w:tr>
      <w:tr w:rsidR="00997D8C" w:rsidRPr="001A6CA9" w:rsidTr="00997D8C">
        <w:tc>
          <w:tcPr>
            <w:tcW w:w="0" w:type="auto"/>
            <w:shd w:val="clear" w:color="auto" w:fill="auto"/>
          </w:tcPr>
          <w:p w:rsidR="00997D8C" w:rsidRPr="00997D8C" w:rsidRDefault="00997D8C" w:rsidP="00997D8C">
            <w:pPr>
              <w:spacing w:before="40" w:after="40"/>
              <w:rPr>
                <w:rFonts w:asciiTheme="majorHAnsi" w:hAnsiTheme="majorHAnsi" w:cstheme="majorHAnsi"/>
                <w:color w:val="auto"/>
              </w:rPr>
            </w:pPr>
            <w:r w:rsidRPr="00997D8C">
              <w:rPr>
                <w:rFonts w:asciiTheme="majorHAnsi" w:hAnsiTheme="majorHAnsi" w:cstheme="majorHAnsi"/>
                <w:color w:val="auto"/>
              </w:rPr>
              <w:t xml:space="preserve">Broj data-setova na portalu otvorenih podataka </w:t>
            </w:r>
            <w:hyperlink r:id="rId102" w:history="1">
              <w:r w:rsidRPr="00997D8C">
                <w:rPr>
                  <w:rFonts w:asciiTheme="majorHAnsi" w:hAnsiTheme="majorHAnsi" w:cstheme="majorHAnsi"/>
                  <w:color w:val="auto"/>
                </w:rPr>
                <w:t>www.data.gov.me</w:t>
              </w:r>
            </w:hyperlink>
            <w:r w:rsidRPr="00997D8C">
              <w:rPr>
                <w:rFonts w:asciiTheme="majorHAnsi" w:hAnsiTheme="majorHAnsi" w:cstheme="majorHAnsi"/>
                <w:color w:val="auto"/>
              </w:rPr>
              <w:t xml:space="preserve"> </w:t>
            </w:r>
            <w:r>
              <w:rPr>
                <w:rFonts w:asciiTheme="majorHAnsi" w:hAnsiTheme="majorHAnsi" w:cstheme="majorHAnsi"/>
                <w:color w:val="auto"/>
              </w:rPr>
              <w:t xml:space="preserve"> </w:t>
            </w:r>
          </w:p>
        </w:tc>
        <w:tc>
          <w:tcPr>
            <w:tcW w:w="0" w:type="auto"/>
            <w:shd w:val="clear" w:color="auto" w:fill="auto"/>
          </w:tcPr>
          <w:p w:rsidR="00997D8C" w:rsidRPr="00997D8C" w:rsidRDefault="00997D8C" w:rsidP="00997D8C">
            <w:pPr>
              <w:spacing w:before="40" w:after="40"/>
              <w:jc w:val="center"/>
              <w:rPr>
                <w:rFonts w:asciiTheme="majorHAnsi" w:hAnsiTheme="majorHAnsi" w:cstheme="majorHAnsi"/>
                <w:color w:val="auto"/>
              </w:rPr>
            </w:pPr>
            <w:r w:rsidRPr="00997D8C">
              <w:rPr>
                <w:rFonts w:asciiTheme="majorHAnsi" w:hAnsiTheme="majorHAnsi" w:cstheme="majorHAnsi"/>
                <w:color w:val="auto"/>
              </w:rPr>
              <w:t>146 (2021)</w:t>
            </w:r>
          </w:p>
        </w:tc>
        <w:tc>
          <w:tcPr>
            <w:tcW w:w="0" w:type="auto"/>
            <w:shd w:val="clear" w:color="auto" w:fill="auto"/>
          </w:tcPr>
          <w:p w:rsidR="00997D8C" w:rsidRPr="00997D8C" w:rsidRDefault="00997D8C" w:rsidP="00997D8C">
            <w:pPr>
              <w:spacing w:before="40" w:after="40"/>
              <w:jc w:val="center"/>
              <w:rPr>
                <w:rFonts w:asciiTheme="majorHAnsi" w:hAnsiTheme="majorHAnsi" w:cstheme="majorHAnsi"/>
                <w:color w:val="auto"/>
              </w:rPr>
            </w:pPr>
            <w:r w:rsidRPr="00997D8C">
              <w:rPr>
                <w:rFonts w:asciiTheme="majorHAnsi" w:hAnsiTheme="majorHAnsi" w:cstheme="majorHAnsi"/>
                <w:color w:val="auto"/>
              </w:rPr>
              <w:t>500</w:t>
            </w:r>
          </w:p>
        </w:tc>
        <w:tc>
          <w:tcPr>
            <w:tcW w:w="2485" w:type="dxa"/>
            <w:shd w:val="clear" w:color="auto" w:fill="auto"/>
          </w:tcPr>
          <w:p w:rsidR="00997D8C" w:rsidRPr="00997D8C" w:rsidRDefault="00997D8C" w:rsidP="00997D8C">
            <w:pPr>
              <w:spacing w:before="40" w:after="40"/>
              <w:jc w:val="center"/>
              <w:rPr>
                <w:rFonts w:asciiTheme="majorHAnsi" w:hAnsiTheme="majorHAnsi" w:cstheme="majorHAnsi"/>
                <w:color w:val="auto"/>
              </w:rPr>
            </w:pPr>
            <w:r w:rsidRPr="00997D8C">
              <w:rPr>
                <w:rFonts w:asciiTheme="majorHAnsi" w:hAnsiTheme="majorHAnsi" w:cstheme="majorHAnsi"/>
                <w:color w:val="auto"/>
              </w:rPr>
              <w:t>800</w:t>
            </w:r>
          </w:p>
        </w:tc>
      </w:tr>
      <w:tr w:rsidR="00997D8C" w:rsidRPr="001A6CA9" w:rsidTr="00997D8C">
        <w:tc>
          <w:tcPr>
            <w:tcW w:w="0" w:type="auto"/>
            <w:shd w:val="clear" w:color="auto" w:fill="auto"/>
          </w:tcPr>
          <w:p w:rsidR="00997D8C" w:rsidRPr="00997D8C" w:rsidRDefault="00997D8C" w:rsidP="00997D8C">
            <w:pPr>
              <w:spacing w:before="40" w:after="40"/>
              <w:rPr>
                <w:rFonts w:asciiTheme="majorHAnsi" w:hAnsiTheme="majorHAnsi" w:cstheme="majorHAnsi"/>
                <w:color w:val="auto"/>
              </w:rPr>
            </w:pPr>
            <w:r w:rsidRPr="00997D8C">
              <w:rPr>
                <w:rFonts w:asciiTheme="majorHAnsi" w:hAnsiTheme="majorHAnsi" w:cstheme="majorHAnsi"/>
                <w:color w:val="auto"/>
              </w:rPr>
              <w:t>Broj institucija</w:t>
            </w:r>
            <w:r>
              <w:rPr>
                <w:rStyle w:val="FootnoteReference"/>
                <w:rFonts w:asciiTheme="majorHAnsi" w:hAnsiTheme="majorHAnsi" w:cstheme="majorHAnsi"/>
                <w:color w:val="auto"/>
              </w:rPr>
              <w:footnoteReference w:id="105"/>
            </w:r>
            <w:r w:rsidRPr="00997D8C">
              <w:rPr>
                <w:rFonts w:asciiTheme="majorHAnsi" w:hAnsiTheme="majorHAnsi" w:cstheme="majorHAnsi"/>
                <w:color w:val="auto"/>
              </w:rPr>
              <w:t xml:space="preserve"> koji objavljuju podatke na portalu otvorenih podataka </w:t>
            </w:r>
          </w:p>
        </w:tc>
        <w:tc>
          <w:tcPr>
            <w:tcW w:w="0" w:type="auto"/>
            <w:shd w:val="clear" w:color="auto" w:fill="auto"/>
          </w:tcPr>
          <w:p w:rsidR="00997D8C" w:rsidRPr="00997D8C" w:rsidRDefault="00997D8C" w:rsidP="00997D8C">
            <w:pPr>
              <w:spacing w:before="40" w:after="40"/>
              <w:jc w:val="center"/>
              <w:rPr>
                <w:rFonts w:asciiTheme="majorHAnsi" w:hAnsiTheme="majorHAnsi" w:cstheme="majorHAnsi"/>
                <w:color w:val="auto"/>
              </w:rPr>
            </w:pPr>
            <w:r w:rsidRPr="00997D8C">
              <w:rPr>
                <w:rFonts w:asciiTheme="majorHAnsi" w:hAnsiTheme="majorHAnsi" w:cstheme="majorHAnsi"/>
                <w:color w:val="auto"/>
              </w:rPr>
              <w:t>1,5% institucija obveznika SPI</w:t>
            </w:r>
          </w:p>
        </w:tc>
        <w:tc>
          <w:tcPr>
            <w:tcW w:w="0" w:type="auto"/>
            <w:shd w:val="clear" w:color="auto" w:fill="auto"/>
          </w:tcPr>
          <w:p w:rsidR="00997D8C" w:rsidRPr="00997D8C" w:rsidRDefault="00997D8C" w:rsidP="00997D8C">
            <w:pPr>
              <w:spacing w:before="40" w:after="40"/>
              <w:jc w:val="center"/>
              <w:rPr>
                <w:rFonts w:asciiTheme="majorHAnsi" w:hAnsiTheme="majorHAnsi" w:cstheme="majorHAnsi"/>
                <w:color w:val="auto"/>
              </w:rPr>
            </w:pPr>
            <w:r w:rsidRPr="00997D8C">
              <w:rPr>
                <w:rFonts w:asciiTheme="majorHAnsi" w:hAnsiTheme="majorHAnsi" w:cstheme="majorHAnsi"/>
                <w:color w:val="auto"/>
              </w:rPr>
              <w:t>10% institucija obveznika SPI</w:t>
            </w:r>
          </w:p>
        </w:tc>
        <w:tc>
          <w:tcPr>
            <w:tcW w:w="2485" w:type="dxa"/>
            <w:shd w:val="clear" w:color="auto" w:fill="auto"/>
          </w:tcPr>
          <w:p w:rsidR="00997D8C" w:rsidRPr="00997D8C" w:rsidRDefault="00997D8C" w:rsidP="00997D8C">
            <w:pPr>
              <w:spacing w:before="40" w:after="40"/>
              <w:jc w:val="center"/>
              <w:rPr>
                <w:rFonts w:asciiTheme="majorHAnsi" w:hAnsiTheme="majorHAnsi" w:cstheme="majorHAnsi"/>
                <w:color w:val="auto"/>
              </w:rPr>
            </w:pPr>
            <w:r w:rsidRPr="00997D8C">
              <w:rPr>
                <w:rFonts w:asciiTheme="majorHAnsi" w:hAnsiTheme="majorHAnsi" w:cstheme="majorHAnsi"/>
                <w:color w:val="auto"/>
              </w:rPr>
              <w:t>15% institucija obveznika SPI</w:t>
            </w:r>
          </w:p>
        </w:tc>
      </w:tr>
      <w:tr w:rsidR="00997D8C" w:rsidRPr="001A6CA9" w:rsidTr="00997D8C">
        <w:tc>
          <w:tcPr>
            <w:tcW w:w="0" w:type="auto"/>
            <w:shd w:val="clear" w:color="auto" w:fill="auto"/>
          </w:tcPr>
          <w:p w:rsidR="00997D8C" w:rsidRPr="00997D8C" w:rsidRDefault="00997D8C" w:rsidP="00997D8C">
            <w:pPr>
              <w:spacing w:before="40" w:after="40"/>
              <w:rPr>
                <w:rFonts w:asciiTheme="majorHAnsi" w:hAnsiTheme="majorHAnsi" w:cstheme="majorHAnsi"/>
                <w:color w:val="auto"/>
              </w:rPr>
            </w:pPr>
            <w:r w:rsidRPr="00997D8C">
              <w:rPr>
                <w:rFonts w:asciiTheme="majorHAnsi" w:hAnsiTheme="majorHAnsi" w:cstheme="majorHAnsi"/>
                <w:color w:val="auto"/>
              </w:rPr>
              <w:t xml:space="preserve">Broj objavljenih setova podataka velike vrijednosti sa API-jem na Portalu otvorenih podataka </w:t>
            </w:r>
          </w:p>
        </w:tc>
        <w:tc>
          <w:tcPr>
            <w:tcW w:w="0" w:type="auto"/>
            <w:shd w:val="clear" w:color="auto" w:fill="auto"/>
          </w:tcPr>
          <w:p w:rsidR="00997D8C" w:rsidRPr="007E14C5" w:rsidRDefault="00997D8C" w:rsidP="00997D8C">
            <w:pPr>
              <w:spacing w:before="40" w:after="40"/>
              <w:jc w:val="center"/>
              <w:rPr>
                <w:rFonts w:asciiTheme="majorHAnsi" w:hAnsiTheme="majorHAnsi" w:cstheme="majorHAnsi"/>
                <w:color w:val="auto"/>
              </w:rPr>
            </w:pPr>
            <w:r w:rsidRPr="00997D8C">
              <w:rPr>
                <w:rFonts w:asciiTheme="majorHAnsi" w:hAnsiTheme="majorHAnsi" w:cstheme="majorHAnsi"/>
                <w:color w:val="auto"/>
              </w:rPr>
              <w:t>podatak provjeriti sa e-upravom</w:t>
            </w:r>
          </w:p>
        </w:tc>
        <w:tc>
          <w:tcPr>
            <w:tcW w:w="0" w:type="auto"/>
            <w:shd w:val="clear" w:color="auto" w:fill="auto"/>
          </w:tcPr>
          <w:p w:rsidR="00997D8C" w:rsidRPr="007E14C5" w:rsidRDefault="00997D8C" w:rsidP="00997D8C">
            <w:pPr>
              <w:spacing w:before="40" w:after="40"/>
              <w:jc w:val="center"/>
              <w:rPr>
                <w:rFonts w:asciiTheme="majorHAnsi" w:hAnsiTheme="majorHAnsi" w:cstheme="majorHAnsi"/>
                <w:color w:val="auto"/>
              </w:rPr>
            </w:pPr>
            <w:r w:rsidRPr="00997D8C">
              <w:rPr>
                <w:rFonts w:asciiTheme="majorHAnsi" w:hAnsiTheme="majorHAnsi" w:cstheme="majorHAnsi"/>
                <w:color w:val="auto"/>
              </w:rPr>
              <w:t>Najmanje 10</w:t>
            </w:r>
          </w:p>
        </w:tc>
        <w:tc>
          <w:tcPr>
            <w:tcW w:w="2485" w:type="dxa"/>
            <w:shd w:val="clear" w:color="auto" w:fill="auto"/>
          </w:tcPr>
          <w:p w:rsidR="00997D8C" w:rsidRPr="007E14C5" w:rsidRDefault="00997D8C" w:rsidP="00997D8C">
            <w:pPr>
              <w:spacing w:before="40" w:after="40"/>
              <w:jc w:val="center"/>
              <w:rPr>
                <w:rFonts w:asciiTheme="majorHAnsi" w:hAnsiTheme="majorHAnsi" w:cstheme="majorHAnsi"/>
                <w:color w:val="auto"/>
              </w:rPr>
            </w:pPr>
            <w:r w:rsidRPr="00997D8C">
              <w:rPr>
                <w:rFonts w:asciiTheme="majorHAnsi" w:hAnsiTheme="majorHAnsi" w:cstheme="majorHAnsi"/>
                <w:color w:val="auto"/>
              </w:rPr>
              <w:t>Najmanje 20</w:t>
            </w:r>
          </w:p>
        </w:tc>
      </w:tr>
      <w:tr w:rsidR="00997D8C" w:rsidRPr="001A6CA9" w:rsidTr="00997D8C">
        <w:tc>
          <w:tcPr>
            <w:tcW w:w="0" w:type="auto"/>
            <w:shd w:val="clear" w:color="auto" w:fill="auto"/>
          </w:tcPr>
          <w:p w:rsidR="00997D8C" w:rsidRPr="00997D8C" w:rsidRDefault="00997D8C" w:rsidP="00997D8C">
            <w:pPr>
              <w:spacing w:before="40" w:after="40"/>
              <w:rPr>
                <w:rFonts w:asciiTheme="majorHAnsi" w:hAnsiTheme="majorHAnsi" w:cstheme="majorHAnsi"/>
                <w:color w:val="auto"/>
              </w:rPr>
            </w:pPr>
            <w:r w:rsidRPr="00997D8C">
              <w:rPr>
                <w:rFonts w:asciiTheme="majorHAnsi" w:hAnsiTheme="majorHAnsi" w:cstheme="majorHAnsi"/>
                <w:color w:val="auto"/>
              </w:rPr>
              <w:t xml:space="preserve">Udio organa vlasti koji proaktivno objavljuju informacije u skladu sa Zakonom o SPI </w:t>
            </w:r>
          </w:p>
        </w:tc>
        <w:tc>
          <w:tcPr>
            <w:tcW w:w="0" w:type="auto"/>
            <w:shd w:val="clear" w:color="auto" w:fill="auto"/>
          </w:tcPr>
          <w:p w:rsidR="00997D8C" w:rsidRPr="00997D8C" w:rsidRDefault="00997D8C" w:rsidP="00997D8C">
            <w:pPr>
              <w:spacing w:before="40" w:after="40"/>
              <w:jc w:val="center"/>
              <w:rPr>
                <w:rFonts w:asciiTheme="majorHAnsi" w:hAnsiTheme="majorHAnsi" w:cstheme="majorHAnsi"/>
                <w:color w:val="auto"/>
              </w:rPr>
            </w:pPr>
            <w:r w:rsidRPr="00997D8C">
              <w:rPr>
                <w:rFonts w:asciiTheme="majorHAnsi" w:hAnsiTheme="majorHAnsi" w:cstheme="majorHAnsi"/>
                <w:color w:val="auto"/>
              </w:rPr>
              <w:t>bez podataka</w:t>
            </w:r>
          </w:p>
        </w:tc>
        <w:tc>
          <w:tcPr>
            <w:tcW w:w="0" w:type="auto"/>
            <w:shd w:val="clear" w:color="auto" w:fill="auto"/>
          </w:tcPr>
          <w:p w:rsidR="00997D8C" w:rsidRDefault="00997D8C" w:rsidP="00997D8C">
            <w:pPr>
              <w:spacing w:before="40" w:after="40"/>
              <w:jc w:val="center"/>
              <w:rPr>
                <w:rFonts w:asciiTheme="majorHAnsi" w:hAnsiTheme="majorHAnsi" w:cstheme="majorHAnsi"/>
                <w:color w:val="auto"/>
              </w:rPr>
            </w:pPr>
            <w:r w:rsidRPr="00997D8C">
              <w:rPr>
                <w:rFonts w:asciiTheme="majorHAnsi" w:hAnsiTheme="majorHAnsi" w:cstheme="majorHAnsi"/>
                <w:color w:val="auto"/>
              </w:rPr>
              <w:t>65% ministarstava i drugih (odabranih) organa uprave</w:t>
            </w:r>
          </w:p>
          <w:p w:rsidR="00997D8C" w:rsidRPr="00997D8C" w:rsidRDefault="00997D8C" w:rsidP="00997D8C">
            <w:pPr>
              <w:spacing w:before="40" w:after="40"/>
              <w:jc w:val="center"/>
              <w:rPr>
                <w:rFonts w:asciiTheme="majorHAnsi" w:hAnsiTheme="majorHAnsi" w:cstheme="majorHAnsi"/>
                <w:color w:val="auto"/>
              </w:rPr>
            </w:pPr>
          </w:p>
          <w:p w:rsidR="00997D8C" w:rsidRPr="00997D8C" w:rsidRDefault="00997D8C" w:rsidP="00997D8C">
            <w:pPr>
              <w:spacing w:before="40" w:after="40"/>
              <w:jc w:val="center"/>
              <w:rPr>
                <w:rFonts w:asciiTheme="majorHAnsi" w:hAnsiTheme="majorHAnsi" w:cstheme="majorHAnsi"/>
                <w:color w:val="auto"/>
              </w:rPr>
            </w:pPr>
            <w:r w:rsidRPr="00997D8C">
              <w:rPr>
                <w:rFonts w:asciiTheme="majorHAnsi" w:hAnsiTheme="majorHAnsi" w:cstheme="majorHAnsi"/>
                <w:color w:val="auto"/>
              </w:rPr>
              <w:t>65% lokalnih samouprava</w:t>
            </w:r>
          </w:p>
        </w:tc>
        <w:tc>
          <w:tcPr>
            <w:tcW w:w="2485" w:type="dxa"/>
            <w:shd w:val="clear" w:color="auto" w:fill="auto"/>
          </w:tcPr>
          <w:p w:rsidR="00997D8C" w:rsidRDefault="00997D8C" w:rsidP="00997D8C">
            <w:pPr>
              <w:spacing w:before="40" w:after="40"/>
              <w:jc w:val="center"/>
              <w:rPr>
                <w:rFonts w:asciiTheme="majorHAnsi" w:hAnsiTheme="majorHAnsi" w:cstheme="majorHAnsi"/>
                <w:color w:val="auto"/>
              </w:rPr>
            </w:pPr>
            <w:r w:rsidRPr="00997D8C">
              <w:rPr>
                <w:rFonts w:asciiTheme="majorHAnsi" w:hAnsiTheme="majorHAnsi" w:cstheme="majorHAnsi"/>
                <w:color w:val="auto"/>
              </w:rPr>
              <w:t>80% ministarstava i drugih organa uprave</w:t>
            </w:r>
          </w:p>
          <w:p w:rsidR="00997D8C" w:rsidRPr="00997D8C" w:rsidRDefault="00997D8C" w:rsidP="00997D8C">
            <w:pPr>
              <w:spacing w:before="40" w:after="40"/>
              <w:jc w:val="center"/>
              <w:rPr>
                <w:rFonts w:asciiTheme="majorHAnsi" w:hAnsiTheme="majorHAnsi" w:cstheme="majorHAnsi"/>
                <w:color w:val="auto"/>
              </w:rPr>
            </w:pPr>
          </w:p>
          <w:p w:rsidR="00997D8C" w:rsidRPr="00997D8C" w:rsidRDefault="00997D8C" w:rsidP="00997D8C">
            <w:pPr>
              <w:spacing w:before="40" w:after="40"/>
              <w:jc w:val="center"/>
              <w:rPr>
                <w:rFonts w:asciiTheme="majorHAnsi" w:hAnsiTheme="majorHAnsi" w:cstheme="majorHAnsi"/>
                <w:color w:val="auto"/>
              </w:rPr>
            </w:pPr>
            <w:r w:rsidRPr="00997D8C">
              <w:rPr>
                <w:rFonts w:asciiTheme="majorHAnsi" w:hAnsiTheme="majorHAnsi" w:cstheme="majorHAnsi"/>
                <w:color w:val="auto"/>
              </w:rPr>
              <w:t>80% lokalnih samouprava</w:t>
            </w:r>
          </w:p>
        </w:tc>
      </w:tr>
    </w:tbl>
    <w:p w:rsidR="00E54958" w:rsidRPr="00CB681C" w:rsidRDefault="00035588" w:rsidP="00CB681C">
      <w:pPr>
        <w:pStyle w:val="Heading2"/>
        <w:spacing w:after="360"/>
        <w:ind w:left="360" w:right="-471"/>
        <w:jc w:val="center"/>
        <w:rPr>
          <w:rFonts w:cstheme="majorHAnsi"/>
          <w:b/>
          <w:color w:val="auto"/>
          <w:sz w:val="32"/>
          <w:szCs w:val="32"/>
        </w:rPr>
      </w:pPr>
      <w:bookmarkStart w:id="39" w:name="_Toc87353413"/>
      <w:r w:rsidRPr="00CB681C">
        <w:rPr>
          <w:rFonts w:cstheme="majorHAnsi"/>
          <w:b/>
          <w:color w:val="auto"/>
          <w:sz w:val="32"/>
          <w:szCs w:val="32"/>
        </w:rPr>
        <w:lastRenderedPageBreak/>
        <w:t>5</w:t>
      </w:r>
      <w:r w:rsidR="009855BC" w:rsidRPr="00CB681C">
        <w:rPr>
          <w:rFonts w:cstheme="majorHAnsi"/>
          <w:b/>
          <w:color w:val="auto"/>
          <w:sz w:val="32"/>
          <w:szCs w:val="32"/>
        </w:rPr>
        <w:t>.</w:t>
      </w:r>
      <w:r w:rsidRPr="00CB681C">
        <w:rPr>
          <w:rFonts w:cstheme="majorHAnsi"/>
          <w:b/>
          <w:color w:val="auto"/>
          <w:sz w:val="32"/>
          <w:szCs w:val="32"/>
        </w:rPr>
        <w:t xml:space="preserve">   </w:t>
      </w:r>
      <w:r w:rsidR="00B444AC" w:rsidRPr="00CB681C">
        <w:rPr>
          <w:rFonts w:cstheme="majorHAnsi"/>
          <w:b/>
          <w:color w:val="auto"/>
          <w:sz w:val="32"/>
          <w:szCs w:val="32"/>
        </w:rPr>
        <w:t>PLANIRANJE POLITIKA SA GRAĐANIMA I ZA GRAĐANE</w:t>
      </w:r>
      <w:bookmarkEnd w:id="39"/>
    </w:p>
    <w:p w:rsidR="007741F9" w:rsidRPr="00CB681C" w:rsidRDefault="007741F9" w:rsidP="00B43D4E">
      <w:pPr>
        <w:pStyle w:val="ListParagraph"/>
        <w:keepNext/>
        <w:keepLines/>
        <w:numPr>
          <w:ilvl w:val="0"/>
          <w:numId w:val="20"/>
        </w:numPr>
        <w:spacing w:before="120" w:after="120" w:line="240" w:lineRule="auto"/>
        <w:ind w:right="-471"/>
        <w:contextualSpacing w:val="0"/>
        <w:outlineLvl w:val="2"/>
        <w:rPr>
          <w:rFonts w:asciiTheme="majorHAnsi" w:eastAsia="Times New Roman" w:hAnsiTheme="majorHAnsi" w:cstheme="majorHAnsi"/>
          <w:b/>
          <w:color w:val="auto"/>
          <w:kern w:val="0"/>
          <w:sz w:val="28"/>
          <w:szCs w:val="28"/>
          <w:lang w:eastAsia="en-US"/>
        </w:rPr>
      </w:pPr>
      <w:bookmarkStart w:id="40" w:name="_Toc87353414"/>
      <w:r w:rsidRPr="00CB681C">
        <w:rPr>
          <w:rFonts w:asciiTheme="majorHAnsi" w:eastAsia="Times New Roman" w:hAnsiTheme="majorHAnsi" w:cstheme="majorHAnsi"/>
          <w:b/>
          <w:color w:val="auto"/>
          <w:kern w:val="0"/>
          <w:sz w:val="28"/>
          <w:szCs w:val="28"/>
          <w:lang w:eastAsia="en-US"/>
        </w:rPr>
        <w:t>STRATEŠKI CILJ</w:t>
      </w:r>
      <w:bookmarkEnd w:id="40"/>
    </w:p>
    <w:p w:rsidR="003B53D9" w:rsidRPr="00CB681C" w:rsidRDefault="00012E9B" w:rsidP="00CB681C">
      <w:pPr>
        <w:spacing w:before="60" w:after="60" w:line="240" w:lineRule="auto"/>
        <w:ind w:right="-471"/>
        <w:jc w:val="both"/>
        <w:rPr>
          <w:rFonts w:asciiTheme="majorHAnsi" w:eastAsia="Times New Roman" w:hAnsiTheme="majorHAnsi" w:cstheme="majorHAnsi"/>
          <w:color w:val="auto"/>
          <w:kern w:val="0"/>
          <w:sz w:val="24"/>
          <w:szCs w:val="24"/>
          <w:lang w:eastAsia="en-US"/>
        </w:rPr>
      </w:pPr>
      <w:r w:rsidRPr="00CB681C">
        <w:rPr>
          <w:rFonts w:asciiTheme="majorHAnsi" w:hAnsiTheme="majorHAnsi" w:cstheme="majorHAnsi"/>
          <w:color w:val="auto"/>
          <w:sz w:val="24"/>
          <w:szCs w:val="24"/>
        </w:rPr>
        <w:t xml:space="preserve">Ključni prioriteti u narednom četvorogodišnjem periodu u ovoj oblasti odnose se </w:t>
      </w:r>
      <w:r w:rsidRPr="00CB681C">
        <w:rPr>
          <w:rFonts w:asciiTheme="majorHAnsi" w:eastAsia="Times New Roman" w:hAnsiTheme="majorHAnsi" w:cstheme="majorHAnsi"/>
          <w:color w:val="auto"/>
          <w:kern w:val="0"/>
          <w:sz w:val="24"/>
          <w:szCs w:val="24"/>
          <w:lang w:eastAsia="en-US"/>
        </w:rPr>
        <w:t xml:space="preserve">na </w:t>
      </w:r>
      <w:r w:rsidRPr="00CB681C">
        <w:rPr>
          <w:rFonts w:asciiTheme="majorHAnsi" w:eastAsia="Times New Roman" w:hAnsiTheme="majorHAnsi" w:cstheme="majorHAnsi"/>
          <w:b/>
          <w:color w:val="auto"/>
          <w:kern w:val="0"/>
          <w:sz w:val="24"/>
          <w:szCs w:val="24"/>
          <w:lang w:eastAsia="en-US"/>
        </w:rPr>
        <w:t>jačanj</w:t>
      </w:r>
      <w:r w:rsidR="00F11C23" w:rsidRPr="00CB681C">
        <w:rPr>
          <w:rFonts w:asciiTheme="majorHAnsi" w:eastAsia="Times New Roman" w:hAnsiTheme="majorHAnsi" w:cstheme="majorHAnsi"/>
          <w:b/>
          <w:color w:val="auto"/>
          <w:kern w:val="0"/>
          <w:sz w:val="24"/>
          <w:szCs w:val="24"/>
          <w:lang w:eastAsia="en-US"/>
        </w:rPr>
        <w:t>e</w:t>
      </w:r>
      <w:r w:rsidRPr="00CB681C">
        <w:rPr>
          <w:rFonts w:asciiTheme="majorHAnsi" w:eastAsia="Times New Roman" w:hAnsiTheme="majorHAnsi" w:cstheme="majorHAnsi"/>
          <w:b/>
          <w:color w:val="auto"/>
          <w:kern w:val="0"/>
          <w:sz w:val="24"/>
          <w:szCs w:val="24"/>
          <w:lang w:eastAsia="en-US"/>
        </w:rPr>
        <w:t xml:space="preserve"> sistema srednjoročnog planiranj</w:t>
      </w:r>
      <w:r w:rsidR="003B53D9" w:rsidRPr="00CB681C">
        <w:rPr>
          <w:rFonts w:asciiTheme="majorHAnsi" w:eastAsia="Times New Roman" w:hAnsiTheme="majorHAnsi" w:cstheme="majorHAnsi"/>
          <w:b/>
          <w:color w:val="auto"/>
          <w:kern w:val="0"/>
          <w:sz w:val="24"/>
          <w:szCs w:val="24"/>
          <w:lang w:eastAsia="en-US"/>
        </w:rPr>
        <w:t>a i razvijanja integrisanog sistema strateškog planiranja</w:t>
      </w:r>
      <w:r w:rsidR="003B53D9" w:rsidRPr="00CB681C">
        <w:rPr>
          <w:rFonts w:asciiTheme="majorHAnsi" w:eastAsia="Times New Roman" w:hAnsiTheme="majorHAnsi" w:cstheme="majorHAnsi"/>
          <w:color w:val="auto"/>
          <w:kern w:val="0"/>
          <w:sz w:val="24"/>
          <w:szCs w:val="24"/>
          <w:lang w:eastAsia="en-US"/>
        </w:rPr>
        <w:t xml:space="preserve"> (povezivanje srednjoročnog budžetskog planiranja, planiranja srednjoročnih i godišnjih programa rada Vlade i ministarstava, planiranja sektorskih politika i procesa evropskih integracija).  Ujedno, </w:t>
      </w:r>
      <w:r w:rsidR="003B53D9" w:rsidRPr="00CB681C">
        <w:rPr>
          <w:rFonts w:asciiTheme="majorHAnsi" w:eastAsia="Times New Roman" w:hAnsiTheme="majorHAnsi" w:cstheme="majorHAnsi"/>
          <w:b/>
          <w:color w:val="auto"/>
          <w:kern w:val="0"/>
          <w:sz w:val="24"/>
          <w:szCs w:val="24"/>
          <w:lang w:eastAsia="en-US"/>
        </w:rPr>
        <w:t>integrisani sistem planiranja</w:t>
      </w:r>
      <w:r w:rsidR="003B53D9" w:rsidRPr="00CB681C">
        <w:rPr>
          <w:rFonts w:asciiTheme="majorHAnsi" w:eastAsia="Times New Roman" w:hAnsiTheme="majorHAnsi" w:cstheme="majorHAnsi"/>
          <w:color w:val="auto"/>
          <w:kern w:val="0"/>
          <w:sz w:val="24"/>
          <w:szCs w:val="24"/>
          <w:lang w:eastAsia="en-US"/>
        </w:rPr>
        <w:t xml:space="preserve"> treba da doprinese </w:t>
      </w:r>
      <w:r w:rsidR="003B53D9" w:rsidRPr="00CB681C">
        <w:rPr>
          <w:rFonts w:asciiTheme="majorHAnsi" w:eastAsia="Times New Roman" w:hAnsiTheme="majorHAnsi" w:cstheme="majorHAnsi"/>
          <w:b/>
          <w:color w:val="auto"/>
          <w:kern w:val="0"/>
          <w:sz w:val="24"/>
          <w:szCs w:val="24"/>
          <w:lang w:eastAsia="en-US"/>
        </w:rPr>
        <w:t>uključivanju rezultata praćenja</w:t>
      </w:r>
      <w:r w:rsidR="003B53D9" w:rsidRPr="00CB681C">
        <w:rPr>
          <w:rFonts w:asciiTheme="majorHAnsi" w:eastAsia="Times New Roman" w:hAnsiTheme="majorHAnsi" w:cstheme="majorHAnsi"/>
          <w:color w:val="auto"/>
          <w:kern w:val="0"/>
          <w:sz w:val="24"/>
          <w:szCs w:val="24"/>
          <w:lang w:eastAsia="en-US"/>
        </w:rPr>
        <w:t xml:space="preserve">, izvještavanja i evaluacije </w:t>
      </w:r>
      <w:r w:rsidR="003B53D9" w:rsidRPr="00CB681C">
        <w:rPr>
          <w:rFonts w:asciiTheme="majorHAnsi" w:eastAsia="Times New Roman" w:hAnsiTheme="majorHAnsi" w:cstheme="majorHAnsi"/>
          <w:b/>
          <w:color w:val="auto"/>
          <w:kern w:val="0"/>
          <w:sz w:val="24"/>
          <w:szCs w:val="24"/>
          <w:lang w:eastAsia="en-US"/>
        </w:rPr>
        <w:t>u buduće cikluse planiranja</w:t>
      </w:r>
      <w:r w:rsidR="003B53D9" w:rsidRPr="00CB681C">
        <w:rPr>
          <w:rFonts w:asciiTheme="majorHAnsi" w:eastAsia="Times New Roman" w:hAnsiTheme="majorHAnsi" w:cstheme="majorHAnsi"/>
          <w:color w:val="auto"/>
          <w:kern w:val="0"/>
          <w:sz w:val="24"/>
          <w:szCs w:val="24"/>
          <w:lang w:eastAsia="en-US"/>
        </w:rPr>
        <w:t xml:space="preserve"> kako bi javne politike bile zasnovane na činjenicama. </w:t>
      </w:r>
    </w:p>
    <w:p w:rsidR="003B53D9" w:rsidRPr="00CB681C" w:rsidRDefault="003B53D9" w:rsidP="00CB681C">
      <w:pPr>
        <w:spacing w:before="60" w:after="60" w:line="240" w:lineRule="auto"/>
        <w:ind w:right="-471"/>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 xml:space="preserve">Doprinos sistemu </w:t>
      </w:r>
      <w:r w:rsidRPr="00CB681C">
        <w:rPr>
          <w:rFonts w:asciiTheme="majorHAnsi" w:eastAsia="Times New Roman" w:hAnsiTheme="majorHAnsi" w:cstheme="majorHAnsi"/>
          <w:b/>
          <w:color w:val="auto"/>
          <w:kern w:val="0"/>
          <w:sz w:val="24"/>
          <w:szCs w:val="24"/>
          <w:lang w:eastAsia="en-US"/>
        </w:rPr>
        <w:t>kreiranja politika zasnovanog na podacima</w:t>
      </w:r>
      <w:r w:rsidRPr="00CB681C">
        <w:rPr>
          <w:rFonts w:asciiTheme="majorHAnsi" w:eastAsia="Times New Roman" w:hAnsiTheme="majorHAnsi" w:cstheme="majorHAnsi"/>
          <w:color w:val="auto"/>
          <w:kern w:val="0"/>
          <w:sz w:val="24"/>
          <w:szCs w:val="24"/>
          <w:lang w:eastAsia="en-US"/>
        </w:rPr>
        <w:t xml:space="preserve"> će se obezbjediti kroz jačanje saradnje s istraživačkom i akademskom zajednicom, NVO, MONSTAT i drugim proizvođačima zvanične statistike u cilju veće dostupnosti i korišćenja podataka. Akcenat će biti stavljen na definisanje konkretnih mehanizama za saradnju i formiranje jedinice po uzoru na inovativne habove i istraživačke centre, čiji bi zadatak, pored istraživačkog rada, bio pospješivanje saradnje na liniji državna uprava – istraživači/ akademska zajednica – civilni sektor i efektivna upotreba podataka i istraživanja</w:t>
      </w:r>
      <w:r w:rsidR="000A0191" w:rsidRPr="00CB681C">
        <w:rPr>
          <w:rFonts w:asciiTheme="majorHAnsi" w:eastAsia="Times New Roman" w:hAnsiTheme="majorHAnsi" w:cstheme="majorHAnsi"/>
          <w:color w:val="auto"/>
          <w:kern w:val="0"/>
          <w:sz w:val="24"/>
          <w:szCs w:val="24"/>
          <w:lang w:eastAsia="en-US"/>
        </w:rPr>
        <w:t>.</w:t>
      </w:r>
    </w:p>
    <w:p w:rsidR="000A0191" w:rsidRPr="00CB681C" w:rsidRDefault="002D41E5" w:rsidP="00CB681C">
      <w:pPr>
        <w:spacing w:before="60" w:after="60" w:line="240" w:lineRule="auto"/>
        <w:ind w:right="-475"/>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 xml:space="preserve">Fokus će biti na </w:t>
      </w:r>
      <w:r w:rsidRPr="00CB681C">
        <w:rPr>
          <w:rFonts w:asciiTheme="majorHAnsi" w:eastAsia="Times New Roman" w:hAnsiTheme="majorHAnsi" w:cstheme="majorHAnsi"/>
          <w:b/>
          <w:color w:val="auto"/>
          <w:kern w:val="0"/>
          <w:sz w:val="24"/>
          <w:szCs w:val="24"/>
          <w:lang w:eastAsia="en-US"/>
        </w:rPr>
        <w:t>mehanizme institucionalne saradnje</w:t>
      </w:r>
      <w:r w:rsidRPr="00CB681C">
        <w:rPr>
          <w:rFonts w:asciiTheme="majorHAnsi" w:eastAsia="Times New Roman" w:hAnsiTheme="majorHAnsi" w:cstheme="majorHAnsi"/>
          <w:color w:val="auto"/>
          <w:kern w:val="0"/>
          <w:sz w:val="24"/>
          <w:szCs w:val="24"/>
          <w:lang w:eastAsia="en-US"/>
        </w:rPr>
        <w:t xml:space="preserve"> i razvoja, jačanje institucionalnih i kadrovskih kapaciteta u konkretnim oblastima neophodnim za efikasnu koordinaciju politika </w:t>
      </w:r>
      <w:r w:rsidRPr="00CB681C">
        <w:rPr>
          <w:rFonts w:asciiTheme="majorHAnsi" w:eastAsia="Times New Roman" w:hAnsiTheme="majorHAnsi" w:cstheme="majorHAnsi"/>
          <w:b/>
          <w:color w:val="auto"/>
          <w:kern w:val="0"/>
          <w:sz w:val="24"/>
          <w:szCs w:val="24"/>
          <w:lang w:eastAsia="en-US"/>
        </w:rPr>
        <w:t>(Mreža državnih službenika za strateško planiranje i formiranje jedinica za strateško planiranje i IPA programiranje).</w:t>
      </w:r>
    </w:p>
    <w:p w:rsidR="00330C9D" w:rsidRPr="00CB681C" w:rsidRDefault="00330C9D" w:rsidP="00CB681C">
      <w:pPr>
        <w:spacing w:before="60" w:after="60" w:line="240" w:lineRule="auto"/>
        <w:ind w:right="-446"/>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 xml:space="preserve">Zarad postizanja veće transparentnosti javnih politika, fokus će biti stavljen i na </w:t>
      </w:r>
      <w:r w:rsidRPr="00CB681C">
        <w:rPr>
          <w:rFonts w:asciiTheme="majorHAnsi" w:eastAsia="Times New Roman" w:hAnsiTheme="majorHAnsi" w:cstheme="majorHAnsi"/>
          <w:b/>
          <w:color w:val="auto"/>
          <w:kern w:val="0"/>
          <w:sz w:val="24"/>
          <w:szCs w:val="24"/>
          <w:lang w:eastAsia="en-US"/>
        </w:rPr>
        <w:t xml:space="preserve">jačanje sistema javnih konsultacija i javnih rasprava, </w:t>
      </w:r>
      <w:r w:rsidRPr="00CB681C">
        <w:rPr>
          <w:rFonts w:asciiTheme="majorHAnsi" w:eastAsia="Times New Roman" w:hAnsiTheme="majorHAnsi" w:cstheme="majorHAnsi"/>
          <w:color w:val="auto"/>
          <w:kern w:val="0"/>
          <w:sz w:val="24"/>
          <w:szCs w:val="24"/>
          <w:lang w:eastAsia="en-US"/>
        </w:rPr>
        <w:t xml:space="preserve">prvenstveno u kontekstu osnaživanja službenika i službenica za sprovođenje ovih procesa prilikom pripreme zakona i strategija. Takođe, </w:t>
      </w:r>
      <w:r w:rsidRPr="00CB681C">
        <w:rPr>
          <w:rFonts w:asciiTheme="majorHAnsi" w:eastAsia="Calibri" w:hAnsiTheme="majorHAnsi" w:cstheme="majorHAnsi"/>
          <w:color w:val="auto"/>
          <w:kern w:val="0"/>
          <w:sz w:val="24"/>
          <w:szCs w:val="24"/>
        </w:rPr>
        <w:t>dodatan fokus će biti stavljen u pravcu jačanja mehanizama za ostvarivanje većeg uticaja lokalnih samouprava i mjesnih zajednica na organe odlučivanja i obaveznosti razmatranja njihovih zahtjeva i djelovanje po prioritetima.</w:t>
      </w:r>
      <w:r w:rsidRPr="00CB681C">
        <w:rPr>
          <w:rFonts w:asciiTheme="majorHAnsi" w:eastAsia="Calibri" w:hAnsiTheme="majorHAnsi" w:cstheme="majorHAnsi"/>
          <w:b/>
          <w:color w:val="auto"/>
          <w:kern w:val="0"/>
          <w:sz w:val="24"/>
          <w:szCs w:val="24"/>
        </w:rPr>
        <w:t xml:space="preserve"> </w:t>
      </w:r>
    </w:p>
    <w:p w:rsidR="000A0191" w:rsidRPr="00CB681C" w:rsidRDefault="000A0191" w:rsidP="00CB681C">
      <w:pPr>
        <w:spacing w:before="60" w:after="60" w:line="240" w:lineRule="auto"/>
        <w:ind w:right="-475"/>
        <w:jc w:val="both"/>
        <w:rPr>
          <w:rFonts w:asciiTheme="majorHAnsi" w:hAnsiTheme="majorHAnsi" w:cstheme="majorHAnsi"/>
          <w:color w:val="auto"/>
          <w:sz w:val="24"/>
          <w:szCs w:val="24"/>
        </w:rPr>
      </w:pPr>
      <w:r w:rsidRPr="00CB681C">
        <w:rPr>
          <w:rFonts w:asciiTheme="majorHAnsi" w:eastAsia="Calibri" w:hAnsiTheme="majorHAnsi" w:cstheme="majorHAnsi"/>
          <w:color w:val="auto"/>
          <w:kern w:val="0"/>
          <w:sz w:val="24"/>
          <w:szCs w:val="24"/>
          <w:lang w:eastAsia="zh-CN"/>
        </w:rPr>
        <w:t xml:space="preserve">Kroz </w:t>
      </w:r>
      <w:r w:rsidRPr="00CB681C">
        <w:rPr>
          <w:rFonts w:asciiTheme="majorHAnsi" w:eastAsia="Calibri" w:hAnsiTheme="majorHAnsi" w:cstheme="majorHAnsi"/>
          <w:b/>
          <w:color w:val="auto"/>
          <w:kern w:val="0"/>
          <w:sz w:val="24"/>
          <w:szCs w:val="24"/>
          <w:lang w:eastAsia="zh-CN"/>
        </w:rPr>
        <w:t>RIA</w:t>
      </w:r>
      <w:r w:rsidRPr="00CB681C">
        <w:rPr>
          <w:rFonts w:asciiTheme="majorHAnsi" w:eastAsia="Calibri" w:hAnsiTheme="majorHAnsi" w:cstheme="majorHAnsi"/>
          <w:color w:val="auto"/>
          <w:kern w:val="0"/>
          <w:sz w:val="24"/>
          <w:szCs w:val="24"/>
          <w:lang w:eastAsia="zh-CN"/>
        </w:rPr>
        <w:t>, potrebno je predvideti jedinstveno rješenje za sprovođenje analize društvenog, ekonomskog, fiskalnog, ekološkog uticaja javnih politika i propisa. Takodje, potrebno je uvesti mjerljive ciljeve i indikatore, kako bi se pratila implementacija regulatornih rješenja.</w:t>
      </w:r>
      <w:r w:rsidRPr="00CB681C">
        <w:rPr>
          <w:rFonts w:asciiTheme="majorHAnsi" w:hAnsiTheme="majorHAnsi" w:cstheme="majorHAnsi"/>
          <w:color w:val="auto"/>
          <w:sz w:val="24"/>
          <w:szCs w:val="24"/>
        </w:rPr>
        <w:t xml:space="preserve"> Dodatno, unapredjenje obuhvata i jačanje kapaciteta za sprovođenje RIA i transparentnost procesa uz dostupnost RIA na jedinstvenom Portalu eUprave.</w:t>
      </w:r>
    </w:p>
    <w:p w:rsidR="00C63DCC" w:rsidRPr="00CB681C" w:rsidRDefault="007741F9" w:rsidP="00CB681C">
      <w:pPr>
        <w:spacing w:before="60" w:after="60" w:line="240" w:lineRule="auto"/>
        <w:ind w:right="-450"/>
        <w:jc w:val="both"/>
        <w:rPr>
          <w:rFonts w:asciiTheme="majorHAnsi" w:hAnsiTheme="majorHAnsi" w:cstheme="majorHAnsi"/>
          <w:color w:val="auto"/>
          <w:sz w:val="24"/>
          <w:szCs w:val="24"/>
        </w:rPr>
      </w:pPr>
      <w:r w:rsidRPr="00CB681C">
        <w:rPr>
          <w:rFonts w:asciiTheme="majorHAnsi" w:hAnsiTheme="majorHAnsi" w:cstheme="majorHAnsi"/>
          <w:b/>
          <w:color w:val="auto"/>
          <w:sz w:val="24"/>
          <w:szCs w:val="24"/>
        </w:rPr>
        <w:t>STRATEŠKI CILJ SE OSTVARUJE KROZ SLEDEĆE OPERATIVNE CILJEVE</w:t>
      </w:r>
      <w:r w:rsidRPr="00CB681C">
        <w:rPr>
          <w:rFonts w:asciiTheme="majorHAnsi" w:hAnsiTheme="majorHAnsi" w:cstheme="majorHAnsi"/>
          <w:color w:val="auto"/>
          <w:sz w:val="24"/>
          <w:szCs w:val="24"/>
        </w:rPr>
        <w:t xml:space="preserve">: </w:t>
      </w:r>
    </w:p>
    <w:p w:rsidR="00C63DCC" w:rsidRPr="00CB681C" w:rsidRDefault="007E1188" w:rsidP="00B43D4E">
      <w:pPr>
        <w:pStyle w:val="ListParagraph"/>
        <w:numPr>
          <w:ilvl w:val="0"/>
          <w:numId w:val="53"/>
        </w:numPr>
        <w:spacing w:before="60" w:after="60" w:line="240" w:lineRule="auto"/>
        <w:ind w:right="-450"/>
        <w:contextualSpacing w:val="0"/>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Jačanje sistema planiranja zasnovanog na podacima koje vodi ka kreiranju održivih politika i postizanju prioriteta Vlade;</w:t>
      </w:r>
    </w:p>
    <w:p w:rsidR="00C63DCC" w:rsidRPr="00CB681C" w:rsidRDefault="00C63DCC" w:rsidP="00B43D4E">
      <w:pPr>
        <w:pStyle w:val="ListParagraph"/>
        <w:numPr>
          <w:ilvl w:val="0"/>
          <w:numId w:val="53"/>
        </w:numPr>
        <w:spacing w:before="60" w:after="60" w:line="240" w:lineRule="auto"/>
        <w:ind w:right="-450"/>
        <w:contextualSpacing w:val="0"/>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U</w:t>
      </w:r>
      <w:r w:rsidR="007E1188" w:rsidRPr="00CB681C">
        <w:rPr>
          <w:rFonts w:asciiTheme="majorHAnsi" w:hAnsiTheme="majorHAnsi" w:cstheme="majorHAnsi"/>
          <w:color w:val="auto"/>
          <w:sz w:val="24"/>
          <w:szCs w:val="24"/>
        </w:rPr>
        <w:t>napređenje institucionalne koordinacije za snažnije efekte javnih politika;</w:t>
      </w:r>
    </w:p>
    <w:p w:rsidR="007741F9" w:rsidRPr="00CB681C" w:rsidRDefault="00C63DCC" w:rsidP="00B43D4E">
      <w:pPr>
        <w:pStyle w:val="ListParagraph"/>
        <w:numPr>
          <w:ilvl w:val="0"/>
          <w:numId w:val="53"/>
        </w:numPr>
        <w:spacing w:before="60" w:after="60" w:line="240" w:lineRule="auto"/>
        <w:ind w:right="-450"/>
        <w:contextualSpacing w:val="0"/>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P</w:t>
      </w:r>
      <w:r w:rsidR="007E1188" w:rsidRPr="00CB681C">
        <w:rPr>
          <w:rFonts w:asciiTheme="majorHAnsi" w:hAnsiTheme="majorHAnsi" w:cstheme="majorHAnsi"/>
          <w:color w:val="auto"/>
          <w:sz w:val="24"/>
          <w:szCs w:val="24"/>
        </w:rPr>
        <w:t>ovećanje obuhvata i kapaciteta za sprovođenje RIA</w:t>
      </w:r>
    </w:p>
    <w:p w:rsidR="00C95C15" w:rsidRPr="00CB681C" w:rsidRDefault="00C95C15" w:rsidP="00B43D4E">
      <w:pPr>
        <w:pStyle w:val="ListParagraph"/>
        <w:keepNext/>
        <w:keepLines/>
        <w:numPr>
          <w:ilvl w:val="0"/>
          <w:numId w:val="36"/>
        </w:numPr>
        <w:spacing w:before="120" w:after="120" w:line="240" w:lineRule="auto"/>
        <w:ind w:right="-475"/>
        <w:contextualSpacing w:val="0"/>
        <w:outlineLvl w:val="2"/>
        <w:rPr>
          <w:rFonts w:asciiTheme="majorHAnsi" w:eastAsia="Times New Roman" w:hAnsiTheme="majorHAnsi" w:cstheme="majorHAnsi"/>
          <w:b/>
          <w:color w:val="auto"/>
          <w:kern w:val="0"/>
          <w:sz w:val="28"/>
          <w:szCs w:val="28"/>
          <w:lang w:eastAsia="en-US"/>
        </w:rPr>
      </w:pPr>
      <w:bookmarkStart w:id="41" w:name="_Toc87353415"/>
      <w:r w:rsidRPr="00CB681C">
        <w:rPr>
          <w:rFonts w:asciiTheme="majorHAnsi" w:eastAsia="Times New Roman" w:hAnsiTheme="majorHAnsi" w:cstheme="majorHAnsi"/>
          <w:b/>
          <w:color w:val="auto"/>
          <w:kern w:val="0"/>
          <w:sz w:val="28"/>
          <w:szCs w:val="28"/>
          <w:lang w:eastAsia="en-US"/>
        </w:rPr>
        <w:lastRenderedPageBreak/>
        <w:t>STANJE U OBLASTI</w:t>
      </w:r>
      <w:bookmarkEnd w:id="41"/>
    </w:p>
    <w:p w:rsidR="009C427B" w:rsidRPr="00CB681C" w:rsidRDefault="009C427B" w:rsidP="00153229">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Crna Gora je uspostavila </w:t>
      </w:r>
      <w:r w:rsidRPr="00CB681C">
        <w:rPr>
          <w:rFonts w:asciiTheme="majorHAnsi" w:eastAsia="Calibri" w:hAnsiTheme="majorHAnsi" w:cstheme="majorHAnsi"/>
          <w:b/>
          <w:color w:val="auto"/>
          <w:kern w:val="0"/>
          <w:sz w:val="24"/>
          <w:szCs w:val="24"/>
          <w:lang w:eastAsia="zh-CN"/>
        </w:rPr>
        <w:t>normativni okvir</w:t>
      </w:r>
      <w:r w:rsidRPr="00CB681C">
        <w:rPr>
          <w:rFonts w:asciiTheme="majorHAnsi" w:eastAsia="Calibri" w:hAnsiTheme="majorHAnsi" w:cstheme="majorHAnsi"/>
          <w:color w:val="auto"/>
          <w:kern w:val="0"/>
          <w:sz w:val="24"/>
          <w:szCs w:val="24"/>
          <w:vertAlign w:val="superscript"/>
          <w:lang w:eastAsia="zh-CN"/>
        </w:rPr>
        <w:footnoteReference w:id="106"/>
      </w:r>
      <w:r w:rsidRPr="00CB681C">
        <w:rPr>
          <w:rFonts w:asciiTheme="majorHAnsi" w:eastAsia="Calibri" w:hAnsiTheme="majorHAnsi" w:cstheme="majorHAnsi"/>
          <w:color w:val="auto"/>
          <w:kern w:val="0"/>
          <w:sz w:val="24"/>
          <w:szCs w:val="24"/>
          <w:lang w:eastAsia="zh-CN"/>
        </w:rPr>
        <w:t xml:space="preserve"> za planiranje i koordinaciju javnih politika, koji je konstantan i potpomognut adekvatnim implementacionim i metodološkim smjernicama</w:t>
      </w:r>
      <w:r w:rsidR="00E72A11" w:rsidRPr="00CB681C">
        <w:rPr>
          <w:rFonts w:asciiTheme="majorHAnsi" w:eastAsia="Calibri" w:hAnsiTheme="majorHAnsi" w:cstheme="majorHAnsi"/>
          <w:color w:val="auto"/>
          <w:kern w:val="0"/>
          <w:sz w:val="24"/>
          <w:szCs w:val="24"/>
          <w:lang w:eastAsia="zh-CN"/>
        </w:rPr>
        <w:t>,</w:t>
      </w:r>
      <w:r w:rsidRPr="00CB681C">
        <w:rPr>
          <w:rFonts w:asciiTheme="majorHAnsi" w:eastAsia="Calibri" w:hAnsiTheme="majorHAnsi" w:cstheme="majorHAnsi"/>
          <w:color w:val="auto"/>
          <w:kern w:val="0"/>
          <w:sz w:val="24"/>
          <w:szCs w:val="24"/>
          <w:vertAlign w:val="superscript"/>
          <w:lang w:eastAsia="zh-CN"/>
        </w:rPr>
        <w:footnoteReference w:id="107"/>
      </w:r>
      <w:r w:rsidRPr="00CB681C">
        <w:rPr>
          <w:rFonts w:asciiTheme="majorHAnsi" w:eastAsia="Calibri" w:hAnsiTheme="majorHAnsi" w:cstheme="majorHAnsi"/>
          <w:color w:val="auto"/>
          <w:kern w:val="0"/>
          <w:sz w:val="24"/>
          <w:szCs w:val="24"/>
          <w:lang w:eastAsia="zh-CN"/>
        </w:rPr>
        <w:t xml:space="preserve"> čime se obezbeđuje solidna osnova za dalji razvoj sistema planiranja i razvoja politika. Izvještaji Evropske komisije za Crnu Goru, iz 2019.</w:t>
      </w:r>
      <w:r w:rsidRPr="00CB681C">
        <w:rPr>
          <w:rFonts w:asciiTheme="majorHAnsi" w:eastAsia="Calibri" w:hAnsiTheme="majorHAnsi" w:cstheme="majorHAnsi"/>
          <w:color w:val="auto"/>
          <w:kern w:val="0"/>
          <w:sz w:val="24"/>
          <w:szCs w:val="24"/>
          <w:vertAlign w:val="superscript"/>
          <w:lang w:eastAsia="zh-CN"/>
        </w:rPr>
        <w:footnoteReference w:id="108"/>
      </w:r>
      <w:r w:rsidRPr="00CB681C">
        <w:rPr>
          <w:rFonts w:asciiTheme="majorHAnsi" w:eastAsia="Calibri" w:hAnsiTheme="majorHAnsi" w:cstheme="majorHAnsi"/>
          <w:color w:val="auto"/>
          <w:kern w:val="0"/>
          <w:sz w:val="24"/>
          <w:szCs w:val="24"/>
          <w:lang w:eastAsia="zh-CN"/>
        </w:rPr>
        <w:t xml:space="preserve"> i 2020.</w:t>
      </w:r>
      <w:r w:rsidRPr="00CB681C">
        <w:rPr>
          <w:rFonts w:asciiTheme="majorHAnsi" w:eastAsia="Calibri" w:hAnsiTheme="majorHAnsi" w:cstheme="majorHAnsi"/>
          <w:color w:val="auto"/>
          <w:kern w:val="0"/>
          <w:sz w:val="24"/>
          <w:szCs w:val="24"/>
          <w:vertAlign w:val="superscript"/>
          <w:lang w:eastAsia="zh-CN"/>
        </w:rPr>
        <w:footnoteReference w:id="109"/>
      </w:r>
      <w:r w:rsidRPr="00CB681C">
        <w:rPr>
          <w:rFonts w:asciiTheme="majorHAnsi" w:eastAsia="Calibri" w:hAnsiTheme="majorHAnsi" w:cstheme="majorHAnsi"/>
          <w:color w:val="auto"/>
          <w:kern w:val="0"/>
          <w:sz w:val="24"/>
          <w:szCs w:val="24"/>
          <w:lang w:eastAsia="zh-CN"/>
        </w:rPr>
        <w:t xml:space="preserve"> ukazuju na značajna unapređenja u sistemu strateškog planiranja politika.</w:t>
      </w:r>
    </w:p>
    <w:p w:rsidR="009C427B" w:rsidRPr="00CB681C" w:rsidRDefault="009C427B" w:rsidP="00153229">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b/>
          <w:color w:val="auto"/>
          <w:kern w:val="0"/>
          <w:sz w:val="24"/>
          <w:szCs w:val="24"/>
          <w:lang w:eastAsia="zh-CN"/>
        </w:rPr>
        <w:t>Institucionalni aranžman</w:t>
      </w:r>
      <w:r w:rsidRPr="00CB681C">
        <w:rPr>
          <w:rFonts w:asciiTheme="majorHAnsi" w:eastAsia="Calibri" w:hAnsiTheme="majorHAnsi" w:cstheme="majorHAnsi"/>
          <w:color w:val="auto"/>
          <w:kern w:val="0"/>
          <w:sz w:val="24"/>
          <w:szCs w:val="24"/>
          <w:lang w:eastAsia="zh-CN"/>
        </w:rPr>
        <w:t xml:space="preserve"> za strateško planiranje je takođe uspostavljen</w:t>
      </w:r>
      <w:r w:rsidRPr="00CB681C">
        <w:rPr>
          <w:rFonts w:asciiTheme="majorHAnsi" w:eastAsia="Calibri" w:hAnsiTheme="majorHAnsi" w:cstheme="majorHAnsi"/>
          <w:color w:val="auto"/>
          <w:kern w:val="0"/>
          <w:sz w:val="24"/>
          <w:szCs w:val="24"/>
          <w:vertAlign w:val="superscript"/>
          <w:lang w:eastAsia="zh-CN"/>
        </w:rPr>
        <w:footnoteReference w:id="110"/>
      </w:r>
      <w:r w:rsidRPr="00CB681C">
        <w:rPr>
          <w:rFonts w:asciiTheme="majorHAnsi" w:eastAsia="Calibri" w:hAnsiTheme="majorHAnsi" w:cstheme="majorHAnsi"/>
          <w:color w:val="auto"/>
          <w:kern w:val="0"/>
          <w:sz w:val="24"/>
          <w:szCs w:val="24"/>
          <w:lang w:eastAsia="zh-CN"/>
        </w:rPr>
        <w:t xml:space="preserve"> kroz osnivanje Sektora za koordinaciju, praćenje usklađenosti i praćenje sprovođenja strategija, u </w:t>
      </w:r>
      <w:r w:rsidR="00445122" w:rsidRPr="00CB681C">
        <w:rPr>
          <w:rFonts w:asciiTheme="majorHAnsi" w:eastAsia="Calibri" w:hAnsiTheme="majorHAnsi" w:cstheme="majorHAnsi"/>
          <w:color w:val="auto"/>
          <w:kern w:val="0"/>
          <w:sz w:val="24"/>
          <w:szCs w:val="24"/>
          <w:lang w:eastAsia="zh-CN"/>
        </w:rPr>
        <w:t>o</w:t>
      </w:r>
      <w:r w:rsidRPr="00CB681C">
        <w:rPr>
          <w:rFonts w:asciiTheme="majorHAnsi" w:eastAsia="Calibri" w:hAnsiTheme="majorHAnsi" w:cstheme="majorHAnsi"/>
          <w:color w:val="auto"/>
          <w:kern w:val="0"/>
          <w:sz w:val="24"/>
          <w:szCs w:val="24"/>
          <w:lang w:eastAsia="zh-CN"/>
        </w:rPr>
        <w:t>kviru Generalnog sekretarijata Vlade, kojima se utvrđuju javne politike. Njegove primarne nadležnosti su:</w:t>
      </w:r>
    </w:p>
    <w:p w:rsidR="009C427B" w:rsidRPr="00CB681C" w:rsidRDefault="009C427B" w:rsidP="00B43D4E">
      <w:pPr>
        <w:numPr>
          <w:ilvl w:val="0"/>
          <w:numId w:val="16"/>
        </w:numPr>
        <w:tabs>
          <w:tab w:val="left" w:pos="850"/>
          <w:tab w:val="left" w:pos="1191"/>
          <w:tab w:val="left" w:pos="1531"/>
        </w:tabs>
        <w:spacing w:before="0" w:after="0" w:line="240" w:lineRule="auto"/>
        <w:ind w:right="-471"/>
        <w:contextualSpacing/>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uspostavljanje i razvoj sistema koordinacije i praćenja usklađenosti strategija kojima se utvrđuju javne politike s ostalim nacionalnim strateškim dokumentima i/ili pravnom tekovinom EU, kao i praćenje njihovog sprovođenja,</w:t>
      </w:r>
    </w:p>
    <w:p w:rsidR="009C427B" w:rsidRPr="00CB681C" w:rsidRDefault="009C427B" w:rsidP="00B43D4E">
      <w:pPr>
        <w:numPr>
          <w:ilvl w:val="0"/>
          <w:numId w:val="16"/>
        </w:numPr>
        <w:tabs>
          <w:tab w:val="left" w:pos="850"/>
          <w:tab w:val="left" w:pos="1191"/>
          <w:tab w:val="left" w:pos="1531"/>
        </w:tabs>
        <w:spacing w:before="0" w:after="0" w:line="240" w:lineRule="auto"/>
        <w:ind w:right="-471"/>
        <w:contextualSpacing/>
        <w:jc w:val="both"/>
        <w:rPr>
          <w:rFonts w:asciiTheme="majorHAnsi" w:eastAsia="Calibri" w:hAnsiTheme="majorHAnsi" w:cstheme="majorHAnsi"/>
          <w:color w:val="auto"/>
          <w:kern w:val="0"/>
          <w:sz w:val="24"/>
          <w:szCs w:val="24"/>
          <w:lang w:eastAsia="en-US"/>
        </w:rPr>
      </w:pPr>
      <w:r w:rsidRPr="00CB681C">
        <w:rPr>
          <w:rFonts w:asciiTheme="majorHAnsi" w:eastAsia="Calibri" w:hAnsiTheme="majorHAnsi" w:cstheme="majorHAnsi"/>
          <w:color w:val="auto"/>
          <w:kern w:val="0"/>
          <w:sz w:val="24"/>
          <w:szCs w:val="24"/>
          <w:lang w:eastAsia="en-US"/>
        </w:rPr>
        <w:t>provjera kvaliteta strateških dokumenata, kao i izvještaja o njihovom sprovođenju, te aktivnosti na njihovom unapređenju.</w:t>
      </w:r>
    </w:p>
    <w:p w:rsidR="009C427B" w:rsidRPr="00CB681C" w:rsidRDefault="009C427B" w:rsidP="00153229">
      <w:pPr>
        <w:tabs>
          <w:tab w:val="left" w:pos="850"/>
          <w:tab w:val="left" w:pos="1191"/>
          <w:tab w:val="left" w:pos="1531"/>
        </w:tabs>
        <w:spacing w:before="120" w:after="0" w:line="240" w:lineRule="auto"/>
        <w:ind w:right="-471"/>
        <w:jc w:val="both"/>
        <w:rPr>
          <w:rFonts w:asciiTheme="majorHAnsi" w:eastAsia="Calibri" w:hAnsiTheme="majorHAnsi" w:cstheme="majorHAnsi"/>
          <w:bCs/>
          <w:color w:val="auto"/>
          <w:kern w:val="0"/>
          <w:sz w:val="24"/>
          <w:szCs w:val="24"/>
          <w:lang w:eastAsia="zh-CN"/>
        </w:rPr>
      </w:pPr>
      <w:r w:rsidRPr="00CB681C">
        <w:rPr>
          <w:rFonts w:asciiTheme="majorHAnsi" w:eastAsia="Calibri" w:hAnsiTheme="majorHAnsi" w:cstheme="majorHAnsi"/>
          <w:bCs/>
          <w:color w:val="auto"/>
          <w:kern w:val="0"/>
          <w:sz w:val="24"/>
          <w:szCs w:val="24"/>
          <w:lang w:eastAsia="zh-CN"/>
        </w:rPr>
        <w:t>S aspekta kontrole kvaliteta strateških dokumenata, GSV</w:t>
      </w:r>
      <w:r w:rsidRPr="00CB681C">
        <w:rPr>
          <w:rFonts w:asciiTheme="majorHAnsi" w:eastAsia="Calibri" w:hAnsiTheme="majorHAnsi" w:cstheme="majorHAnsi"/>
          <w:color w:val="auto"/>
          <w:kern w:val="0"/>
          <w:sz w:val="24"/>
          <w:szCs w:val="24"/>
          <w:lang w:eastAsia="zh-CN"/>
        </w:rPr>
        <w:t xml:space="preserve"> </w:t>
      </w:r>
      <w:r w:rsidRPr="00CB681C">
        <w:rPr>
          <w:rFonts w:asciiTheme="majorHAnsi" w:eastAsia="Calibri" w:hAnsiTheme="majorHAnsi" w:cstheme="majorHAnsi"/>
          <w:bCs/>
          <w:color w:val="auto"/>
          <w:kern w:val="0"/>
          <w:sz w:val="24"/>
          <w:szCs w:val="24"/>
          <w:lang w:eastAsia="zh-CN"/>
        </w:rPr>
        <w:t xml:space="preserve">prati stepen unapređenja kvaliteta svakog strateškog dokumenta, dajući mišljenja na posebno-strukturiranom obrascu u  fazi nacrta i u fazi predloga,  procjenjujući tri nivoa usklađenosti: </w:t>
      </w:r>
    </w:p>
    <w:p w:rsidR="009C427B" w:rsidRPr="00CB681C" w:rsidRDefault="009C427B" w:rsidP="00B43D4E">
      <w:pPr>
        <w:numPr>
          <w:ilvl w:val="0"/>
          <w:numId w:val="17"/>
        </w:numPr>
        <w:tabs>
          <w:tab w:val="left" w:pos="850"/>
          <w:tab w:val="left" w:pos="1191"/>
          <w:tab w:val="left" w:pos="1531"/>
        </w:tabs>
        <w:spacing w:before="0" w:after="0" w:line="240" w:lineRule="auto"/>
        <w:ind w:right="-471"/>
        <w:contextualSpacing/>
        <w:jc w:val="both"/>
        <w:rPr>
          <w:rFonts w:asciiTheme="majorHAnsi" w:eastAsia="Calibri" w:hAnsiTheme="majorHAnsi" w:cstheme="majorHAnsi"/>
          <w:bCs/>
          <w:color w:val="auto"/>
          <w:kern w:val="0"/>
          <w:sz w:val="24"/>
          <w:szCs w:val="24"/>
          <w:lang w:eastAsia="en-US"/>
        </w:rPr>
      </w:pPr>
      <w:r w:rsidRPr="00CB681C">
        <w:rPr>
          <w:rFonts w:asciiTheme="majorHAnsi" w:eastAsia="Calibri" w:hAnsiTheme="majorHAnsi" w:cstheme="majorHAnsi"/>
          <w:bCs/>
          <w:color w:val="auto"/>
          <w:kern w:val="0"/>
          <w:sz w:val="24"/>
          <w:szCs w:val="24"/>
          <w:lang w:eastAsia="en-US"/>
        </w:rPr>
        <w:t>sa nacionalnim strateškim okvirom (vertikalna i horizontalna usklađenost javnih politika)</w:t>
      </w:r>
      <w:r w:rsidRPr="00CB681C">
        <w:rPr>
          <w:rFonts w:asciiTheme="majorHAnsi" w:eastAsia="Calibri" w:hAnsiTheme="majorHAnsi" w:cstheme="majorHAnsi"/>
          <w:bCs/>
          <w:color w:val="auto"/>
          <w:kern w:val="0"/>
          <w:sz w:val="24"/>
          <w:szCs w:val="24"/>
          <w:lang w:eastAsia="zh-CN"/>
        </w:rPr>
        <w:t>,</w:t>
      </w:r>
    </w:p>
    <w:p w:rsidR="009C427B" w:rsidRPr="00CB681C" w:rsidRDefault="009C427B" w:rsidP="00B43D4E">
      <w:pPr>
        <w:numPr>
          <w:ilvl w:val="0"/>
          <w:numId w:val="17"/>
        </w:numPr>
        <w:tabs>
          <w:tab w:val="left" w:pos="850"/>
          <w:tab w:val="left" w:pos="1191"/>
          <w:tab w:val="left" w:pos="1531"/>
        </w:tabs>
        <w:spacing w:before="0" w:after="0" w:line="240" w:lineRule="auto"/>
        <w:ind w:right="-471"/>
        <w:contextualSpacing/>
        <w:jc w:val="both"/>
        <w:rPr>
          <w:rFonts w:asciiTheme="majorHAnsi" w:eastAsia="Calibri" w:hAnsiTheme="majorHAnsi" w:cstheme="majorHAnsi"/>
          <w:bCs/>
          <w:color w:val="auto"/>
          <w:kern w:val="0"/>
          <w:sz w:val="24"/>
          <w:szCs w:val="24"/>
          <w:lang w:eastAsia="en-US"/>
        </w:rPr>
      </w:pPr>
      <w:r w:rsidRPr="00CB681C">
        <w:rPr>
          <w:rFonts w:asciiTheme="majorHAnsi" w:eastAsia="Calibri" w:hAnsiTheme="majorHAnsi" w:cstheme="majorHAnsi"/>
          <w:bCs/>
          <w:color w:val="auto"/>
          <w:kern w:val="0"/>
          <w:sz w:val="24"/>
          <w:szCs w:val="24"/>
          <w:lang w:eastAsia="en-US"/>
        </w:rPr>
        <w:t>strateškim okvirom  EU</w:t>
      </w:r>
      <w:r w:rsidRPr="00CB681C">
        <w:rPr>
          <w:rFonts w:asciiTheme="majorHAnsi" w:eastAsia="Calibri" w:hAnsiTheme="majorHAnsi" w:cstheme="majorHAnsi"/>
          <w:bCs/>
          <w:color w:val="auto"/>
          <w:kern w:val="0"/>
          <w:sz w:val="24"/>
          <w:szCs w:val="24"/>
          <w:lang w:eastAsia="zh-CN"/>
        </w:rPr>
        <w:t>,</w:t>
      </w:r>
    </w:p>
    <w:p w:rsidR="009C427B" w:rsidRPr="00CB681C" w:rsidRDefault="009C427B" w:rsidP="00B43D4E">
      <w:pPr>
        <w:numPr>
          <w:ilvl w:val="0"/>
          <w:numId w:val="17"/>
        </w:numPr>
        <w:tabs>
          <w:tab w:val="left" w:pos="850"/>
          <w:tab w:val="left" w:pos="1191"/>
          <w:tab w:val="left" w:pos="1531"/>
        </w:tabs>
        <w:spacing w:before="0" w:after="0" w:line="240" w:lineRule="auto"/>
        <w:ind w:right="-471"/>
        <w:contextualSpacing/>
        <w:jc w:val="both"/>
        <w:rPr>
          <w:rFonts w:asciiTheme="majorHAnsi" w:eastAsia="Calibri" w:hAnsiTheme="majorHAnsi" w:cstheme="majorHAnsi"/>
          <w:bCs/>
          <w:color w:val="auto"/>
          <w:kern w:val="0"/>
          <w:sz w:val="24"/>
          <w:szCs w:val="24"/>
          <w:lang w:eastAsia="zh-CN"/>
        </w:rPr>
      </w:pPr>
      <w:r w:rsidRPr="00CB681C">
        <w:rPr>
          <w:rFonts w:asciiTheme="majorHAnsi" w:eastAsia="Calibri" w:hAnsiTheme="majorHAnsi" w:cstheme="majorHAnsi"/>
          <w:bCs/>
          <w:color w:val="auto"/>
          <w:kern w:val="0"/>
          <w:sz w:val="24"/>
          <w:szCs w:val="24"/>
          <w:lang w:eastAsia="en-US"/>
        </w:rPr>
        <w:t>Metodologijom razvijanja politika</w:t>
      </w:r>
      <w:r w:rsidRPr="00CB681C">
        <w:rPr>
          <w:rFonts w:asciiTheme="majorHAnsi" w:eastAsia="Calibri" w:hAnsiTheme="majorHAnsi" w:cstheme="majorHAnsi"/>
          <w:bCs/>
          <w:color w:val="auto"/>
          <w:kern w:val="0"/>
          <w:sz w:val="24"/>
          <w:szCs w:val="24"/>
          <w:lang w:eastAsia="zh-CN"/>
        </w:rPr>
        <w:t>, izrade i praćenja sprovođenja strateških dokumenata.</w:t>
      </w:r>
    </w:p>
    <w:p w:rsidR="009C427B" w:rsidRPr="00CB681C" w:rsidRDefault="00CB681C" w:rsidP="00153229">
      <w:pPr>
        <w:tabs>
          <w:tab w:val="left" w:pos="850"/>
          <w:tab w:val="left" w:pos="1191"/>
          <w:tab w:val="left" w:pos="1531"/>
        </w:tabs>
        <w:spacing w:before="60" w:after="60" w:line="240" w:lineRule="auto"/>
        <w:ind w:right="-471"/>
        <w:jc w:val="both"/>
        <w:rPr>
          <w:rFonts w:asciiTheme="majorHAnsi" w:eastAsia="Calibri" w:hAnsiTheme="majorHAnsi" w:cstheme="majorHAnsi"/>
          <w:bCs/>
          <w:color w:val="auto"/>
          <w:kern w:val="0"/>
          <w:sz w:val="24"/>
          <w:szCs w:val="24"/>
          <w:lang w:eastAsia="zh-CN"/>
        </w:rPr>
      </w:pPr>
      <w:r w:rsidRPr="00CB681C">
        <w:rPr>
          <w:rFonts w:asciiTheme="majorHAnsi" w:eastAsia="Calibri" w:hAnsiTheme="majorHAnsi" w:cstheme="majorHAnsi"/>
          <w:noProof/>
          <w:color w:val="auto"/>
          <w:kern w:val="0"/>
          <w:sz w:val="24"/>
          <w:szCs w:val="24"/>
          <w:lang w:eastAsia="sr-Latn-RS"/>
        </w:rPr>
        <mc:AlternateContent>
          <mc:Choice Requires="wpg">
            <w:drawing>
              <wp:anchor distT="0" distB="0" distL="228600" distR="228600" simplePos="0" relativeHeight="251766784" behindDoc="0" locked="0" layoutInCell="1" allowOverlap="1" wp14:anchorId="713B1E00" wp14:editId="03FAE11C">
                <wp:simplePos x="0" y="0"/>
                <wp:positionH relativeFrom="margin">
                  <wp:posOffset>2907488</wp:posOffset>
                </wp:positionH>
                <wp:positionV relativeFrom="page">
                  <wp:posOffset>3200046</wp:posOffset>
                </wp:positionV>
                <wp:extent cx="3246120" cy="693420"/>
                <wp:effectExtent l="0" t="0" r="0" b="0"/>
                <wp:wrapSquare wrapText="bothSides"/>
                <wp:docPr id="218" name="Group 218"/>
                <wp:cNvGraphicFramePr/>
                <a:graphic xmlns:a="http://schemas.openxmlformats.org/drawingml/2006/main">
                  <a:graphicData uri="http://schemas.microsoft.com/office/word/2010/wordprocessingGroup">
                    <wpg:wgp>
                      <wpg:cNvGrpSpPr/>
                      <wpg:grpSpPr>
                        <a:xfrm>
                          <a:off x="0" y="0"/>
                          <a:ext cx="3246120" cy="693420"/>
                          <a:chOff x="0" y="0"/>
                          <a:chExt cx="3218688" cy="2028766"/>
                        </a:xfrm>
                      </wpg:grpSpPr>
                      <wps:wsp>
                        <wps:cNvPr id="219" name="Rectangle 219"/>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 220"/>
                        <wpg:cNvGrpSpPr/>
                        <wpg:grpSpPr>
                          <a:xfrm>
                            <a:off x="0" y="19050"/>
                            <a:ext cx="2249424" cy="832104"/>
                            <a:chOff x="228600" y="0"/>
                            <a:chExt cx="1472184" cy="1024128"/>
                          </a:xfrm>
                        </wpg:grpSpPr>
                        <wps:wsp>
                          <wps:cNvPr id="221"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3" name="Text Box 223"/>
                        <wps:cNvSpPr txBox="1"/>
                        <wps:spPr>
                          <a:xfrm>
                            <a:off x="0" y="195715"/>
                            <a:ext cx="3205005" cy="1765045"/>
                          </a:xfrm>
                          <a:prstGeom prst="rect">
                            <a:avLst/>
                          </a:prstGeom>
                          <a:noFill/>
                          <a:ln w="6350">
                            <a:noFill/>
                          </a:ln>
                          <a:effectLst/>
                        </wps:spPr>
                        <wps:txbx>
                          <w:txbxContent>
                            <w:p w:rsidR="00F735BC" w:rsidRPr="00DA1FF7" w:rsidRDefault="00F735BC" w:rsidP="00393469">
                              <w:pPr>
                                <w:pStyle w:val="NoSpacing"/>
                                <w:ind w:left="360"/>
                                <w:jc w:val="right"/>
                                <w:rPr>
                                  <w:smallCaps/>
                                  <w:color w:val="333C3D" w:themeColor="accent5" w:themeShade="80"/>
                                  <w:kern w:val="20"/>
                                  <w:lang w:val="sr-Latn-RS"/>
                                </w:rPr>
                              </w:pPr>
                              <w:r w:rsidRPr="00393469">
                                <w:rPr>
                                  <w:smallCaps/>
                                  <w:color w:val="333C3D" w:themeColor="accent5" w:themeShade="80"/>
                                  <w:kern w:val="20"/>
                                  <w:lang w:val="sr-Latn-RS"/>
                                </w:rPr>
                                <w:t>Pravimo strategije koje nisu utemeljene na prethodno prikupljenim podacima i indikatorima</w:t>
                              </w:r>
                            </w:p>
                            <w:p w:rsidR="00F735BC" w:rsidRDefault="00F735BC" w:rsidP="00393469">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3B1E00" id="Group 218" o:spid="_x0000_s1131" style="position:absolute;left:0;text-align:left;margin-left:228.95pt;margin-top:251.95pt;width:255.6pt;height:54.6pt;z-index:251766784;mso-wrap-distance-left:18pt;mso-wrap-distance-right:18p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">
                <v:rect id="Rectangle 219" o:spid="_x0000_s113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" stroked="f" strokeweight="2pt">
                  <v:fill opacity="0"/>
                </v:rect>
                <v:group id="Group 220" o:spid="_x0000_s113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Rectangle 10" o:spid="_x0000_s113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" path="m,l2240281,,1659256,222885,,822960,,xe" fillcolor="#7e97ad" stroked="f" strokeweight="2pt">
                    <v:path arrowok="t" o:connecttype="custom" o:connectlocs="0,0;1466258,0;1085979,274158;0,1012274;0,0" o:connectangles="0,0,0,0,0"/>
                  </v:shape>
                  <v:rect id="Rectangle 222" o:spid="_x0000_s113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" stroked="f" strokeweight="2pt">
                    <v:fill r:id="rId69" o:title="" recolor="t" rotate="t" type="frame"/>
                  </v:rect>
                </v:group>
                <v:shape id="Text Box 223" o:spid="_x0000_s1136" type="#_x0000_t202" style="position:absolute;top:1957;width:32050;height:1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" filled="f" stroked="f" strokeweight=".5pt">
                  <v:textbox inset="3.6pt,7.2pt,0,0">
                    <w:txbxContent>
                      <w:p w:rsidR="00F735BC" w:rsidRPr="00DA1FF7" w:rsidRDefault="00F735BC" w:rsidP="00393469">
                        <w:pPr>
                          <w:pStyle w:val="NoSpacing"/>
                          <w:ind w:left="360"/>
                          <w:jc w:val="right"/>
                          <w:rPr>
                            <w:smallCaps/>
                            <w:color w:val="333C3D" w:themeColor="accent5" w:themeShade="80"/>
                            <w:kern w:val="20"/>
                            <w:lang w:val="sr-Latn-RS"/>
                          </w:rPr>
                        </w:pPr>
                        <w:r w:rsidRPr="00393469">
                          <w:rPr>
                            <w:smallCaps/>
                            <w:color w:val="333C3D" w:themeColor="accent5" w:themeShade="80"/>
                            <w:kern w:val="20"/>
                            <w:lang w:val="sr-Latn-RS"/>
                          </w:rPr>
                          <w:t>Pravimo strategije koje nisu utemeljene na prethodno prikupljenim podacima i indikatorima</w:t>
                        </w:r>
                      </w:p>
                      <w:p w:rsidR="00F735BC" w:rsidRDefault="00F735BC" w:rsidP="00393469">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v:textbox>
                </v:shape>
                <w10:wrap type="square" anchorx="margin" anchory="page"/>
              </v:group>
            </w:pict>
          </mc:Fallback>
        </mc:AlternateContent>
      </w:r>
      <w:r w:rsidR="009C427B" w:rsidRPr="00CB681C">
        <w:rPr>
          <w:rFonts w:asciiTheme="majorHAnsi" w:eastAsia="Calibri" w:hAnsiTheme="majorHAnsi" w:cstheme="majorHAnsi"/>
          <w:bCs/>
          <w:color w:val="auto"/>
          <w:kern w:val="0"/>
          <w:sz w:val="24"/>
          <w:szCs w:val="24"/>
          <w:lang w:eastAsia="zh-CN"/>
        </w:rPr>
        <w:t>Novim Pravilnikom o unutrašnjoj organizaciji i sistematizaciji Generalnog sekretarijata Vlade, Sektoru su pripojeni i poslovi planiranja, koordinacije i praćenje politika Vlade,</w:t>
      </w:r>
      <w:r w:rsidR="009C427B" w:rsidRPr="00CB681C">
        <w:rPr>
          <w:rFonts w:asciiTheme="majorHAnsi" w:eastAsia="Calibri" w:hAnsiTheme="majorHAnsi" w:cstheme="majorHAnsi"/>
          <w:bCs/>
          <w:color w:val="auto"/>
          <w:kern w:val="0"/>
          <w:sz w:val="24"/>
          <w:szCs w:val="24"/>
          <w:vertAlign w:val="superscript"/>
          <w:lang w:eastAsia="zh-CN"/>
        </w:rPr>
        <w:footnoteReference w:id="111"/>
      </w:r>
      <w:r w:rsidR="009C427B" w:rsidRPr="00CB681C">
        <w:rPr>
          <w:rFonts w:asciiTheme="majorHAnsi" w:eastAsia="Calibri" w:hAnsiTheme="majorHAnsi" w:cstheme="majorHAnsi"/>
          <w:bCs/>
          <w:color w:val="auto"/>
          <w:kern w:val="0"/>
          <w:sz w:val="24"/>
          <w:szCs w:val="24"/>
          <w:lang w:eastAsia="zh-CN"/>
        </w:rPr>
        <w:t xml:space="preserve"> čime je iskazano nastojanje da se </w:t>
      </w:r>
      <w:r w:rsidR="009C427B" w:rsidRPr="00CB681C">
        <w:rPr>
          <w:rFonts w:asciiTheme="majorHAnsi" w:eastAsia="Calibri" w:hAnsiTheme="majorHAnsi" w:cstheme="majorHAnsi"/>
          <w:b/>
          <w:bCs/>
          <w:color w:val="auto"/>
          <w:kern w:val="0"/>
          <w:sz w:val="24"/>
          <w:szCs w:val="24"/>
          <w:lang w:eastAsia="zh-CN"/>
        </w:rPr>
        <w:t>procesi srednjoročnog planiranja rada Vlade i ministarstava i proces strateškog planiranja objedine u okviru GSV</w:t>
      </w:r>
      <w:r w:rsidR="009C427B" w:rsidRPr="00CB681C">
        <w:rPr>
          <w:rFonts w:asciiTheme="majorHAnsi" w:eastAsia="Calibri" w:hAnsiTheme="majorHAnsi" w:cstheme="majorHAnsi"/>
          <w:bCs/>
          <w:color w:val="auto"/>
          <w:kern w:val="0"/>
          <w:sz w:val="24"/>
          <w:szCs w:val="24"/>
          <w:lang w:eastAsia="zh-CN"/>
        </w:rPr>
        <w:t xml:space="preserve">. Na taj način je napravljen korak ka integrisanom pristupu razvoju i planiranju politika u kojem će planiranje strateških dokumenata i prioriteta Vlade biti šire sagledano. </w:t>
      </w:r>
    </w:p>
    <w:p w:rsidR="009C427B" w:rsidRPr="00CB681C" w:rsidRDefault="009C427B" w:rsidP="00153229">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b/>
          <w:color w:val="auto"/>
          <w:kern w:val="0"/>
          <w:sz w:val="24"/>
          <w:szCs w:val="24"/>
          <w:lang w:eastAsia="zh-CN"/>
        </w:rPr>
        <w:t>U oblasti planiranja politika, praćenja i izvještavanja</w:t>
      </w:r>
      <w:r w:rsidRPr="00CB681C">
        <w:rPr>
          <w:rFonts w:asciiTheme="majorHAnsi" w:eastAsia="Calibri" w:hAnsiTheme="majorHAnsi" w:cstheme="majorHAnsi"/>
          <w:color w:val="auto"/>
          <w:kern w:val="0"/>
          <w:sz w:val="24"/>
          <w:szCs w:val="24"/>
          <w:lang w:eastAsia="zh-CN"/>
        </w:rPr>
        <w:t xml:space="preserve">, jedna od ključnih uloga GSV-a u sistemu strateškog planiranja je da kroz strukturirani obrazac daje mišljenje o kvalitetu javnih politika, prateći kriterijume propisane Uredbom i pratećom Metodologijom. U tom kontekstu treba ukazati da je, u dosadašnjoj praksi primjene Uredbe, prisutan pozitivan trend u pogledu </w:t>
      </w:r>
      <w:r w:rsidRPr="00CB681C">
        <w:rPr>
          <w:rFonts w:asciiTheme="majorHAnsi" w:eastAsia="Calibri" w:hAnsiTheme="majorHAnsi" w:cstheme="majorHAnsi"/>
          <w:b/>
          <w:color w:val="auto"/>
          <w:kern w:val="0"/>
          <w:sz w:val="24"/>
          <w:szCs w:val="24"/>
          <w:lang w:eastAsia="zh-CN"/>
        </w:rPr>
        <w:t>rasta kvaliteta i usklađenosti strateških dokumenata</w:t>
      </w:r>
      <w:r w:rsidRPr="00CB681C">
        <w:rPr>
          <w:rFonts w:asciiTheme="majorHAnsi" w:eastAsia="Calibri" w:hAnsiTheme="majorHAnsi" w:cstheme="majorHAnsi"/>
          <w:color w:val="auto"/>
          <w:kern w:val="0"/>
          <w:sz w:val="24"/>
          <w:szCs w:val="24"/>
          <w:lang w:eastAsia="zh-CN"/>
        </w:rPr>
        <w:t xml:space="preserve"> koja je u 2019. godini iznosila 47%, a do kraja 2020. je povećana na 69%. Pozitivni efekti primjene Uredbe se ogledaju, kroz afirmisanje principa usklađenosti, ekonomičnosti i </w:t>
      </w:r>
      <w:r w:rsidRPr="00CB681C">
        <w:rPr>
          <w:rFonts w:asciiTheme="majorHAnsi" w:eastAsia="Calibri" w:hAnsiTheme="majorHAnsi" w:cstheme="majorHAnsi"/>
          <w:color w:val="auto"/>
          <w:kern w:val="0"/>
          <w:sz w:val="24"/>
          <w:szCs w:val="24"/>
          <w:lang w:eastAsia="zh-CN"/>
        </w:rPr>
        <w:lastRenderedPageBreak/>
        <w:t>racionalnog planiranja, i u smanjenju broj</w:t>
      </w:r>
      <w:r w:rsidR="00447A9D" w:rsidRPr="00CB681C">
        <w:rPr>
          <w:rFonts w:asciiTheme="majorHAnsi" w:eastAsia="Calibri" w:hAnsiTheme="majorHAnsi" w:cstheme="majorHAnsi"/>
          <w:color w:val="auto"/>
          <w:kern w:val="0"/>
          <w:sz w:val="24"/>
          <w:szCs w:val="24"/>
          <w:lang w:eastAsia="zh-CN"/>
        </w:rPr>
        <w:t>a</w:t>
      </w:r>
      <w:r w:rsidRPr="00CB681C">
        <w:rPr>
          <w:rFonts w:asciiTheme="majorHAnsi" w:eastAsia="Calibri" w:hAnsiTheme="majorHAnsi" w:cstheme="majorHAnsi"/>
          <w:color w:val="auto"/>
          <w:kern w:val="0"/>
          <w:sz w:val="24"/>
          <w:szCs w:val="24"/>
          <w:lang w:eastAsia="zh-CN"/>
        </w:rPr>
        <w:t xml:space="preserve"> važećih sektorskih strategija sa preko 120 u 2017. godini na 97 u 2020. godini.</w:t>
      </w:r>
    </w:p>
    <w:p w:rsidR="009C427B" w:rsidRPr="00CB681C" w:rsidRDefault="009C427B" w:rsidP="00153229">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Da bi se podstaklo informisanije praćenje i izvještavanje, razvijen je </w:t>
      </w:r>
      <w:r w:rsidRPr="00CB681C">
        <w:rPr>
          <w:rFonts w:asciiTheme="majorHAnsi" w:eastAsia="Calibri" w:hAnsiTheme="majorHAnsi" w:cstheme="majorHAnsi"/>
          <w:b/>
          <w:color w:val="auto"/>
          <w:kern w:val="0"/>
          <w:sz w:val="24"/>
          <w:szCs w:val="24"/>
          <w:lang w:eastAsia="zh-CN"/>
        </w:rPr>
        <w:t>portal za strateško planiranje u okviru IT sistema za evropske integracije (MESPH).</w:t>
      </w:r>
      <w:r w:rsidRPr="00CB681C">
        <w:rPr>
          <w:rFonts w:asciiTheme="majorHAnsi" w:eastAsia="Calibri" w:hAnsiTheme="majorHAnsi" w:cstheme="majorHAnsi"/>
          <w:color w:val="auto"/>
          <w:kern w:val="0"/>
          <w:sz w:val="24"/>
          <w:szCs w:val="24"/>
          <w:lang w:eastAsia="zh-CN"/>
        </w:rPr>
        <w:t xml:space="preserve"> Na sličan način je uspostavljen </w:t>
      </w:r>
      <w:r w:rsidRPr="00CB681C">
        <w:rPr>
          <w:rFonts w:asciiTheme="majorHAnsi" w:eastAsia="Calibri" w:hAnsiTheme="majorHAnsi" w:cstheme="majorHAnsi"/>
          <w:b/>
          <w:color w:val="auto"/>
          <w:kern w:val="0"/>
          <w:sz w:val="24"/>
          <w:szCs w:val="24"/>
          <w:lang w:eastAsia="zh-CN"/>
        </w:rPr>
        <w:t>IT sistem za praćenje i izvještavanje srednjoročnih programa rada ministarstava – ISPI</w:t>
      </w:r>
      <w:r w:rsidRPr="00CB681C">
        <w:rPr>
          <w:rFonts w:asciiTheme="majorHAnsi" w:eastAsia="Calibri" w:hAnsiTheme="majorHAnsi" w:cstheme="majorHAnsi"/>
          <w:color w:val="auto"/>
          <w:kern w:val="0"/>
          <w:sz w:val="24"/>
          <w:szCs w:val="24"/>
          <w:lang w:eastAsia="zh-CN"/>
        </w:rPr>
        <w:t>. Iako su odvojeni, na osnovu specifikacija se može utvrditi da se radi o dva komplementarna rješenja koja se mogu uvezati. Pored njih, postoji i poseban sistem za pripremu programskog budžeta.</w:t>
      </w:r>
    </w:p>
    <w:p w:rsidR="009C427B" w:rsidRPr="00CB681C" w:rsidRDefault="009C427B" w:rsidP="00153229">
      <w:pPr>
        <w:tabs>
          <w:tab w:val="left" w:pos="850"/>
          <w:tab w:val="left" w:pos="1191"/>
          <w:tab w:val="left" w:pos="1531"/>
        </w:tabs>
        <w:spacing w:before="60" w:after="60" w:line="240" w:lineRule="auto"/>
        <w:ind w:right="-471"/>
        <w:jc w:val="both"/>
        <w:rPr>
          <w:rFonts w:asciiTheme="majorHAnsi" w:eastAsia="Calibri" w:hAnsiTheme="majorHAnsi" w:cstheme="majorHAnsi"/>
          <w:bCs/>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U 2018. je donijet prvi </w:t>
      </w:r>
      <w:r w:rsidRPr="00CB681C">
        <w:rPr>
          <w:rFonts w:asciiTheme="majorHAnsi" w:eastAsia="Calibri" w:hAnsiTheme="majorHAnsi" w:cstheme="majorHAnsi"/>
          <w:b/>
          <w:bCs/>
          <w:color w:val="auto"/>
          <w:kern w:val="0"/>
          <w:sz w:val="24"/>
          <w:szCs w:val="24"/>
          <w:lang w:eastAsia="zh-CN"/>
        </w:rPr>
        <w:t>Srednjoročni program rada Vlade</w:t>
      </w:r>
      <w:r w:rsidRPr="00CB681C">
        <w:rPr>
          <w:rFonts w:asciiTheme="majorHAnsi" w:eastAsia="Calibri" w:hAnsiTheme="majorHAnsi" w:cstheme="majorHAnsi"/>
          <w:color w:val="auto"/>
          <w:kern w:val="0"/>
          <w:sz w:val="24"/>
          <w:szCs w:val="24"/>
          <w:lang w:eastAsia="zh-CN"/>
        </w:rPr>
        <w:t xml:space="preserve"> pripremljen za period 2018-2020, kao i </w:t>
      </w:r>
      <w:r w:rsidRPr="00CB681C">
        <w:rPr>
          <w:rFonts w:asciiTheme="majorHAnsi" w:eastAsia="Calibri" w:hAnsiTheme="majorHAnsi" w:cstheme="majorHAnsi"/>
          <w:b/>
          <w:bCs/>
          <w:color w:val="auto"/>
          <w:kern w:val="0"/>
          <w:sz w:val="24"/>
          <w:szCs w:val="24"/>
          <w:lang w:eastAsia="zh-CN"/>
        </w:rPr>
        <w:t>srednjoročni programi rada za tri pilot ministarstva</w:t>
      </w:r>
      <w:r w:rsidRPr="00CB681C">
        <w:rPr>
          <w:rFonts w:asciiTheme="majorHAnsi" w:eastAsia="Calibri" w:hAnsiTheme="majorHAnsi" w:cstheme="majorHAnsi"/>
          <w:color w:val="auto"/>
          <w:kern w:val="0"/>
          <w:sz w:val="24"/>
          <w:szCs w:val="24"/>
          <w:lang w:eastAsia="zh-CN"/>
        </w:rPr>
        <w:t xml:space="preserve"> – Ministarstvo ekonomije, Ministarstvo poljoprivrede i ruralnog razvoja i Ministarstvo održivog razvoja i turizma za period 2019-2021. Tokom 2018. donijeta je </w:t>
      </w:r>
      <w:r w:rsidRPr="00CB681C">
        <w:rPr>
          <w:rFonts w:asciiTheme="majorHAnsi" w:eastAsia="Calibri" w:hAnsiTheme="majorHAnsi" w:cstheme="majorHAnsi"/>
          <w:bCs/>
          <w:color w:val="auto"/>
          <w:kern w:val="0"/>
          <w:sz w:val="24"/>
          <w:szCs w:val="24"/>
          <w:lang w:eastAsia="zh-CN"/>
        </w:rPr>
        <w:t>Metodologija za srednjoročno planiranje rada Vlade i ministarstava</w:t>
      </w:r>
      <w:r w:rsidRPr="00CB681C">
        <w:rPr>
          <w:rFonts w:asciiTheme="majorHAnsi" w:eastAsia="Calibri" w:hAnsiTheme="majorHAnsi" w:cstheme="majorHAnsi"/>
          <w:color w:val="auto"/>
          <w:kern w:val="0"/>
          <w:sz w:val="24"/>
          <w:szCs w:val="24"/>
          <w:lang w:eastAsia="zh-CN"/>
        </w:rPr>
        <w:t>, koja je služila kao okvir za pripremu prvih srednjoročnih programa rada pilot ministarstava.</w:t>
      </w:r>
    </w:p>
    <w:p w:rsidR="009C427B" w:rsidRPr="00CB681C" w:rsidRDefault="009C427B" w:rsidP="00153229">
      <w:pPr>
        <w:tabs>
          <w:tab w:val="left" w:pos="850"/>
          <w:tab w:val="left" w:pos="1191"/>
          <w:tab w:val="left" w:pos="1531"/>
        </w:tabs>
        <w:spacing w:before="60" w:after="60" w:line="240" w:lineRule="auto"/>
        <w:ind w:right="-471"/>
        <w:jc w:val="both"/>
        <w:rPr>
          <w:rFonts w:asciiTheme="majorHAnsi" w:eastAsia="Calibri" w:hAnsiTheme="majorHAnsi" w:cstheme="majorHAnsi"/>
          <w:bCs/>
          <w:color w:val="auto"/>
          <w:kern w:val="0"/>
          <w:sz w:val="24"/>
          <w:szCs w:val="24"/>
          <w:lang w:eastAsia="zh-CN"/>
        </w:rPr>
      </w:pPr>
      <w:r w:rsidRPr="00CB681C">
        <w:rPr>
          <w:rFonts w:asciiTheme="majorHAnsi" w:eastAsia="Calibri" w:hAnsiTheme="majorHAnsi" w:cstheme="majorHAnsi"/>
          <w:bCs/>
          <w:color w:val="auto"/>
          <w:kern w:val="0"/>
          <w:sz w:val="24"/>
          <w:szCs w:val="24"/>
          <w:lang w:eastAsia="zh-CN"/>
        </w:rPr>
        <w:t xml:space="preserve">U cilju unapređenja koordinacije javnih politika, GSV je u 2019. godini uspostavio </w:t>
      </w:r>
      <w:r w:rsidRPr="00CB681C">
        <w:rPr>
          <w:rFonts w:asciiTheme="majorHAnsi" w:eastAsia="Calibri" w:hAnsiTheme="majorHAnsi" w:cstheme="majorHAnsi"/>
          <w:b/>
          <w:bCs/>
          <w:color w:val="auto"/>
          <w:kern w:val="0"/>
          <w:sz w:val="24"/>
          <w:szCs w:val="24"/>
          <w:lang w:eastAsia="zh-CN"/>
        </w:rPr>
        <w:t>Mrežu državnih službenika za strateško planiranje,</w:t>
      </w:r>
      <w:r w:rsidRPr="00CB681C">
        <w:rPr>
          <w:rFonts w:asciiTheme="majorHAnsi" w:eastAsia="Calibri" w:hAnsiTheme="majorHAnsi" w:cstheme="majorHAnsi"/>
          <w:bCs/>
          <w:color w:val="auto"/>
          <w:kern w:val="0"/>
          <w:sz w:val="24"/>
          <w:szCs w:val="24"/>
          <w:lang w:eastAsia="zh-CN"/>
        </w:rPr>
        <w:t xml:space="preserve"> kao neformalno konsultativno tijelo čija je uloga razmatranje svih pitanja od značaja za razvoj javnih politika. Članstvo Mreže, pored predstavnika GSV-a, čine predstavnici ministarstava koji su uspješno završili </w:t>
      </w:r>
      <w:r w:rsidRPr="00CB681C">
        <w:rPr>
          <w:rFonts w:asciiTheme="majorHAnsi" w:eastAsia="Calibri" w:hAnsiTheme="majorHAnsi" w:cstheme="majorHAnsi"/>
          <w:b/>
          <w:bCs/>
          <w:color w:val="auto"/>
          <w:kern w:val="0"/>
          <w:sz w:val="24"/>
          <w:szCs w:val="24"/>
          <w:lang w:eastAsia="zh-CN"/>
        </w:rPr>
        <w:t>Program obrazovanja za strateško planiranje</w:t>
      </w:r>
      <w:r w:rsidRPr="00CB681C">
        <w:rPr>
          <w:rFonts w:asciiTheme="majorHAnsi" w:eastAsia="Calibri" w:hAnsiTheme="majorHAnsi" w:cstheme="majorHAnsi"/>
          <w:bCs/>
          <w:color w:val="auto"/>
          <w:kern w:val="0"/>
          <w:sz w:val="24"/>
          <w:szCs w:val="24"/>
          <w:lang w:eastAsia="zh-CN"/>
        </w:rPr>
        <w:t>. Program obrazovanja GSV sprovodi u saradnji s Upravom za kadrove, s osnovnim ciljem da državni službenici i službenice steknu ključne vještine za pripremu strateških dokumenata i izvještaja i primjenjuju ih u praksi, uvažavajući utvrđeni pravni i metodološki okvir.</w:t>
      </w:r>
      <w:r w:rsidRPr="00CB681C">
        <w:rPr>
          <w:rFonts w:asciiTheme="majorHAnsi" w:eastAsia="Calibri" w:hAnsiTheme="majorHAnsi" w:cstheme="majorHAnsi"/>
          <w:bCs/>
          <w:color w:val="auto"/>
          <w:kern w:val="0"/>
          <w:sz w:val="24"/>
          <w:szCs w:val="24"/>
          <w:vertAlign w:val="superscript"/>
          <w:lang w:eastAsia="zh-CN"/>
        </w:rPr>
        <w:footnoteReference w:id="112"/>
      </w:r>
    </w:p>
    <w:p w:rsidR="009C427B" w:rsidRPr="00CB681C" w:rsidRDefault="00E72A11" w:rsidP="00153229">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noProof/>
          <w:color w:val="auto"/>
          <w:kern w:val="0"/>
          <w:sz w:val="24"/>
          <w:szCs w:val="24"/>
          <w:lang w:eastAsia="sr-Latn-RS"/>
        </w:rPr>
        <mc:AlternateContent>
          <mc:Choice Requires="wpg">
            <w:drawing>
              <wp:anchor distT="0" distB="0" distL="228600" distR="228600" simplePos="0" relativeHeight="251770880" behindDoc="0" locked="0" layoutInCell="1" allowOverlap="1" wp14:anchorId="4A9AB36E" wp14:editId="2BE26F02">
                <wp:simplePos x="0" y="0"/>
                <wp:positionH relativeFrom="margin">
                  <wp:posOffset>2344420</wp:posOffset>
                </wp:positionH>
                <wp:positionV relativeFrom="page">
                  <wp:posOffset>4724400</wp:posOffset>
                </wp:positionV>
                <wp:extent cx="3914775" cy="933450"/>
                <wp:effectExtent l="0" t="0" r="9525" b="0"/>
                <wp:wrapSquare wrapText="bothSides"/>
                <wp:docPr id="230" name="Group 230"/>
                <wp:cNvGraphicFramePr/>
                <a:graphic xmlns:a="http://schemas.openxmlformats.org/drawingml/2006/main">
                  <a:graphicData uri="http://schemas.microsoft.com/office/word/2010/wordprocessingGroup">
                    <wpg:wgp>
                      <wpg:cNvGrpSpPr/>
                      <wpg:grpSpPr>
                        <a:xfrm>
                          <a:off x="0" y="0"/>
                          <a:ext cx="3914775" cy="933450"/>
                          <a:chOff x="0" y="-31044"/>
                          <a:chExt cx="3415395" cy="2059810"/>
                        </a:xfrm>
                      </wpg:grpSpPr>
                      <wps:wsp>
                        <wps:cNvPr id="231" name="Rectangle 231"/>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2" name="Group 232"/>
                        <wpg:cNvGrpSpPr/>
                        <wpg:grpSpPr>
                          <a:xfrm>
                            <a:off x="0" y="19050"/>
                            <a:ext cx="2249424" cy="832104"/>
                            <a:chOff x="228600" y="0"/>
                            <a:chExt cx="1472184" cy="1024128"/>
                          </a:xfrm>
                        </wpg:grpSpPr>
                        <wps:wsp>
                          <wps:cNvPr id="23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5" name="Text Box 235"/>
                        <wps:cNvSpPr txBox="1"/>
                        <wps:spPr>
                          <a:xfrm>
                            <a:off x="135147" y="-31044"/>
                            <a:ext cx="3280248" cy="2059031"/>
                          </a:xfrm>
                          <a:prstGeom prst="rect">
                            <a:avLst/>
                          </a:prstGeom>
                          <a:noFill/>
                          <a:ln w="6350">
                            <a:noFill/>
                          </a:ln>
                          <a:effectLst/>
                        </wps:spPr>
                        <wps:txbx>
                          <w:txbxContent>
                            <w:p w:rsidR="00F735BC" w:rsidRPr="00DA1FF7" w:rsidRDefault="00F735BC" w:rsidP="00393469">
                              <w:pPr>
                                <w:pStyle w:val="NoSpacing"/>
                                <w:ind w:left="360"/>
                                <w:jc w:val="right"/>
                                <w:rPr>
                                  <w:smallCaps/>
                                  <w:color w:val="333C3D" w:themeColor="accent5" w:themeShade="80"/>
                                  <w:kern w:val="20"/>
                                  <w:lang w:val="sr-Latn-RS"/>
                                </w:rPr>
                              </w:pPr>
                              <w:r w:rsidRPr="00393469">
                                <w:rPr>
                                  <w:smallCaps/>
                                  <w:color w:val="333C3D" w:themeColor="accent5" w:themeShade="80"/>
                                  <w:kern w:val="20"/>
                                  <w:lang w:val="sr-Latn-RS"/>
                                </w:rPr>
                                <w:t>Analiza stvarnih efekata ne postoji. Sve se vrti oko poslova uprava - normativna djelatnost, upravni procesi, inspekcijski nadzor. Oni determinišu sve ostalo. Polazi se od funkcija. Umjesto resornog, neophodno je imati funkcionalni princip</w:t>
                              </w:r>
                            </w:p>
                            <w:p w:rsidR="00F735BC" w:rsidRDefault="00F735BC" w:rsidP="00393469">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9AB36E" id="Group 230" o:spid="_x0000_s1137" style="position:absolute;left:0;text-align:left;margin-left:184.6pt;margin-top:372pt;width:308.25pt;height:73.5pt;z-index:251770880;mso-wrap-distance-left:18pt;mso-wrap-distance-right:18pt;mso-position-horizontal-relative:margin;mso-position-vertical-relative:page;mso-width-relative:margin;mso-height-relative:margin" coordorigin=",-310" coordsize="34153,20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">
                <v:rect id="Rectangle 231" o:spid="_x0000_s113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" stroked="f" strokeweight="2pt">
                  <v:fill opacity="0"/>
                </v:rect>
                <v:group id="Group 232" o:spid="_x0000_s1139"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Rectangle 10" o:spid="_x0000_s114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" path="m,l2240281,,1659256,222885,,822960,,xe" fillcolor="#7e97ad" stroked="f" strokeweight="2pt">
                    <v:path arrowok="t" o:connecttype="custom" o:connectlocs="0,0;1466258,0;1085979,274158;0,1012274;0,0" o:connectangles="0,0,0,0,0"/>
                  </v:shape>
                  <v:rect id="Rectangle 234" o:spid="_x0000_s1141"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" stroked="f" strokeweight="2pt">
                    <v:fill r:id="rId69" o:title="" recolor="t" rotate="t" type="frame"/>
                  </v:rect>
                </v:group>
                <v:shape id="Text Box 235" o:spid="_x0000_s1142" type="#_x0000_t202" style="position:absolute;left:1351;top:-310;width:32802;height:20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" filled="f" stroked="f" strokeweight=".5pt">
                  <v:textbox inset="3.6pt,7.2pt,0,0">
                    <w:txbxContent>
                      <w:p w:rsidR="00F735BC" w:rsidRPr="00DA1FF7" w:rsidRDefault="00F735BC" w:rsidP="00393469">
                        <w:pPr>
                          <w:pStyle w:val="NoSpacing"/>
                          <w:ind w:left="360"/>
                          <w:jc w:val="right"/>
                          <w:rPr>
                            <w:smallCaps/>
                            <w:color w:val="333C3D" w:themeColor="accent5" w:themeShade="80"/>
                            <w:kern w:val="20"/>
                            <w:lang w:val="sr-Latn-RS"/>
                          </w:rPr>
                        </w:pPr>
                        <w:r w:rsidRPr="00393469">
                          <w:rPr>
                            <w:smallCaps/>
                            <w:color w:val="333C3D" w:themeColor="accent5" w:themeShade="80"/>
                            <w:kern w:val="20"/>
                            <w:lang w:val="sr-Latn-RS"/>
                          </w:rPr>
                          <w:t>Analiza stvarnih efekata ne postoji. Sve se vrti oko poslova uprava - normativna djelatnost, upravni procesi, inspekcijski nadzor. Oni determinišu sve ostalo. Polazi se od funkcija. Umjesto resornog, neophodno je imati funkcionalni princip</w:t>
                        </w:r>
                      </w:p>
                      <w:p w:rsidR="00F735BC" w:rsidRDefault="00F735BC" w:rsidP="00393469">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v:textbox>
                </v:shape>
                <w10:wrap type="square" anchorx="margin" anchory="page"/>
              </v:group>
            </w:pict>
          </mc:Fallback>
        </mc:AlternateContent>
      </w:r>
      <w:r w:rsidR="009C427B" w:rsidRPr="00CB681C">
        <w:rPr>
          <w:rFonts w:asciiTheme="majorHAnsi" w:eastAsia="Calibri" w:hAnsiTheme="majorHAnsi" w:cstheme="majorHAnsi"/>
          <w:b/>
          <w:color w:val="auto"/>
          <w:kern w:val="0"/>
          <w:sz w:val="24"/>
          <w:szCs w:val="24"/>
          <w:lang w:eastAsia="zh-CN"/>
        </w:rPr>
        <w:t>Učešće javnosti u postupku kreiranja javnih politika, kroz javne rasprave i učešće nevladinih organizacija u radnim tijelima</w:t>
      </w:r>
      <w:r w:rsidR="009C427B" w:rsidRPr="00CB681C">
        <w:rPr>
          <w:rFonts w:asciiTheme="majorHAnsi" w:eastAsia="Calibri" w:hAnsiTheme="majorHAnsi" w:cstheme="majorHAnsi"/>
          <w:color w:val="auto"/>
          <w:kern w:val="0"/>
          <w:sz w:val="24"/>
          <w:szCs w:val="24"/>
          <w:lang w:eastAsia="zh-CN"/>
        </w:rPr>
        <w:t xml:space="preserve"> organa državne uprave, doprinosi njihovom kvalitetnijem definisanju, kao i unapređenju demokratskih procesa, povećanju transparentnosti i obezbjeđivanju većeg legitimiteta akata kojima se namjeravaju bliže urediti određena pitanja. Vlada Crne Gore </w:t>
      </w:r>
      <w:r w:rsidR="00CB681C" w:rsidRPr="00CB681C">
        <w:rPr>
          <w:rFonts w:asciiTheme="majorHAnsi" w:eastAsia="Calibri" w:hAnsiTheme="majorHAnsi" w:cstheme="majorHAnsi"/>
          <w:color w:val="auto"/>
          <w:kern w:val="0"/>
          <w:sz w:val="24"/>
          <w:szCs w:val="24"/>
          <w:lang w:eastAsia="zh-CN"/>
        </w:rPr>
        <w:t>donijela</w:t>
      </w:r>
      <w:r w:rsidR="009C427B" w:rsidRPr="00CB681C">
        <w:rPr>
          <w:rFonts w:asciiTheme="majorHAnsi" w:eastAsia="Calibri" w:hAnsiTheme="majorHAnsi" w:cstheme="majorHAnsi"/>
          <w:color w:val="auto"/>
          <w:kern w:val="0"/>
          <w:sz w:val="24"/>
          <w:szCs w:val="24"/>
          <w:lang w:eastAsia="zh-CN"/>
        </w:rPr>
        <w:t xml:space="preserve"> je Uredbu o izboru predstavnika nevladinih organizacija u radna tijela organa državne uprave i sprovođenju javne rasprave u pripremi zakona i strategija,</w:t>
      </w:r>
      <w:r w:rsidR="009C427B" w:rsidRPr="00CB681C">
        <w:rPr>
          <w:rFonts w:asciiTheme="majorHAnsi" w:eastAsia="Calibri" w:hAnsiTheme="majorHAnsi" w:cstheme="majorHAnsi"/>
          <w:color w:val="auto"/>
          <w:kern w:val="0"/>
          <w:sz w:val="24"/>
          <w:szCs w:val="24"/>
          <w:vertAlign w:val="superscript"/>
          <w:lang w:eastAsia="zh-CN"/>
        </w:rPr>
        <w:t xml:space="preserve"> </w:t>
      </w:r>
      <w:r w:rsidR="009C427B" w:rsidRPr="00CB681C">
        <w:rPr>
          <w:rFonts w:asciiTheme="majorHAnsi" w:eastAsia="Calibri" w:hAnsiTheme="majorHAnsi" w:cstheme="majorHAnsi"/>
          <w:color w:val="auto"/>
          <w:kern w:val="0"/>
          <w:sz w:val="24"/>
          <w:szCs w:val="24"/>
          <w:vertAlign w:val="superscript"/>
          <w:lang w:eastAsia="zh-CN"/>
        </w:rPr>
        <w:footnoteReference w:id="113"/>
      </w:r>
      <w:r w:rsidR="009C427B" w:rsidRPr="00CB681C">
        <w:rPr>
          <w:rFonts w:asciiTheme="majorHAnsi" w:eastAsia="Calibri" w:hAnsiTheme="majorHAnsi" w:cstheme="majorHAnsi"/>
          <w:color w:val="auto"/>
          <w:kern w:val="0"/>
          <w:sz w:val="24"/>
          <w:szCs w:val="24"/>
          <w:lang w:eastAsia="zh-CN"/>
        </w:rPr>
        <w:t>, kojom između ostalog utvrđuje postupak i način sprovođenja javne rasprave u pripremi zakona i strategija, a koji se sprovodi konsultovanjem zainteresovane javnost</w:t>
      </w:r>
      <w:r w:rsidR="00447A9D" w:rsidRPr="00CB681C">
        <w:rPr>
          <w:rFonts w:asciiTheme="majorHAnsi" w:eastAsia="Calibri" w:hAnsiTheme="majorHAnsi" w:cstheme="majorHAnsi"/>
          <w:color w:val="auto"/>
          <w:kern w:val="0"/>
          <w:sz w:val="24"/>
          <w:szCs w:val="24"/>
          <w:lang w:eastAsia="zh-CN"/>
        </w:rPr>
        <w:t>i</w:t>
      </w:r>
      <w:r w:rsidR="009C427B" w:rsidRPr="00CB681C">
        <w:rPr>
          <w:rFonts w:asciiTheme="majorHAnsi" w:eastAsia="Calibri" w:hAnsiTheme="majorHAnsi" w:cstheme="majorHAnsi"/>
          <w:color w:val="auto"/>
          <w:kern w:val="0"/>
          <w:sz w:val="24"/>
          <w:szCs w:val="24"/>
          <w:lang w:eastAsia="zh-CN"/>
        </w:rPr>
        <w:t xml:space="preserve"> u početnoj fazi pripreme zakona, odnosno strategije i organizovanjem javne rasprave o tekstu nacrta zakona, odnosno strategije. Izvještaj Evropske Komisije za 2020. godinu konstatuje da javnim konsultacijama u zakonodavnom procesu i procesu donošenja politika još uvek nedostaje istinsko i sistematsko uključivanje relevantnih aktera. Takođe, zaključkom Posebne grupe za reformu javne uprave, Crna Gora se obavezala da uspostavi mehanizme za kontrolu kvaliteta javnih konsultacija u postupku kre</w:t>
      </w:r>
      <w:r w:rsidR="00BF4CEF" w:rsidRPr="00CB681C">
        <w:rPr>
          <w:rFonts w:asciiTheme="majorHAnsi" w:eastAsia="Calibri" w:hAnsiTheme="majorHAnsi" w:cstheme="majorHAnsi"/>
          <w:color w:val="auto"/>
          <w:kern w:val="0"/>
          <w:sz w:val="24"/>
          <w:szCs w:val="24"/>
          <w:lang w:eastAsia="zh-CN"/>
        </w:rPr>
        <w:t>iranja</w:t>
      </w:r>
      <w:r w:rsidR="009C427B" w:rsidRPr="00CB681C">
        <w:rPr>
          <w:rFonts w:asciiTheme="majorHAnsi" w:eastAsia="Calibri" w:hAnsiTheme="majorHAnsi" w:cstheme="majorHAnsi"/>
          <w:color w:val="auto"/>
          <w:kern w:val="0"/>
          <w:sz w:val="24"/>
          <w:szCs w:val="24"/>
          <w:lang w:eastAsia="zh-CN"/>
        </w:rPr>
        <w:t xml:space="preserve"> javnih politika.</w:t>
      </w:r>
    </w:p>
    <w:p w:rsidR="009C427B" w:rsidRPr="00CB681C" w:rsidRDefault="00393469" w:rsidP="00153229">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noProof/>
          <w:color w:val="auto"/>
          <w:kern w:val="0"/>
          <w:sz w:val="24"/>
          <w:szCs w:val="24"/>
          <w:lang w:eastAsia="sr-Latn-RS"/>
        </w:rPr>
        <w:lastRenderedPageBreak/>
        <mc:AlternateContent>
          <mc:Choice Requires="wpg">
            <w:drawing>
              <wp:anchor distT="0" distB="0" distL="228600" distR="228600" simplePos="0" relativeHeight="251768832" behindDoc="0" locked="0" layoutInCell="1" allowOverlap="1" wp14:anchorId="28C976B8" wp14:editId="53DC4643">
                <wp:simplePos x="0" y="0"/>
                <wp:positionH relativeFrom="margin">
                  <wp:posOffset>26035</wp:posOffset>
                </wp:positionH>
                <wp:positionV relativeFrom="page">
                  <wp:posOffset>1104900</wp:posOffset>
                </wp:positionV>
                <wp:extent cx="3589020" cy="1135380"/>
                <wp:effectExtent l="0" t="0" r="11430" b="0"/>
                <wp:wrapSquare wrapText="bothSides"/>
                <wp:docPr id="224" name="Group 224"/>
                <wp:cNvGraphicFramePr/>
                <a:graphic xmlns:a="http://schemas.openxmlformats.org/drawingml/2006/main">
                  <a:graphicData uri="http://schemas.microsoft.com/office/word/2010/wordprocessingGroup">
                    <wpg:wgp>
                      <wpg:cNvGrpSpPr/>
                      <wpg:grpSpPr>
                        <a:xfrm>
                          <a:off x="0" y="0"/>
                          <a:ext cx="3589020" cy="1135380"/>
                          <a:chOff x="-13904" y="0"/>
                          <a:chExt cx="3274303" cy="2028766"/>
                        </a:xfrm>
                      </wpg:grpSpPr>
                      <wps:wsp>
                        <wps:cNvPr id="225" name="Rectangle 225"/>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6" name="Group 226"/>
                        <wpg:cNvGrpSpPr/>
                        <wpg:grpSpPr>
                          <a:xfrm>
                            <a:off x="0" y="19050"/>
                            <a:ext cx="2249424" cy="832104"/>
                            <a:chOff x="228600" y="0"/>
                            <a:chExt cx="1472184" cy="1024128"/>
                          </a:xfrm>
                        </wpg:grpSpPr>
                        <wps:wsp>
                          <wps:cNvPr id="227"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9" name="Text Box 229"/>
                        <wps:cNvSpPr txBox="1"/>
                        <wps:spPr>
                          <a:xfrm>
                            <a:off x="-13904" y="2005"/>
                            <a:ext cx="3274303" cy="1876985"/>
                          </a:xfrm>
                          <a:prstGeom prst="rect">
                            <a:avLst/>
                          </a:prstGeom>
                          <a:noFill/>
                          <a:ln w="6350">
                            <a:noFill/>
                          </a:ln>
                          <a:effectLst/>
                        </wps:spPr>
                        <wps:txbx>
                          <w:txbxContent>
                            <w:p w:rsidR="00F735BC" w:rsidRPr="00DA1FF7" w:rsidRDefault="00F735BC" w:rsidP="00393469">
                              <w:pPr>
                                <w:pStyle w:val="NoSpacing"/>
                                <w:ind w:left="360"/>
                                <w:jc w:val="right"/>
                                <w:rPr>
                                  <w:smallCaps/>
                                  <w:color w:val="333C3D" w:themeColor="accent5" w:themeShade="80"/>
                                  <w:kern w:val="20"/>
                                  <w:lang w:val="sr-Latn-RS"/>
                                </w:rPr>
                              </w:pPr>
                              <w:r w:rsidRPr="00393469">
                                <w:rPr>
                                  <w:smallCaps/>
                                  <w:color w:val="333C3D" w:themeColor="accent5" w:themeShade="80"/>
                                  <w:kern w:val="20"/>
                                  <w:lang w:val="sr-Latn-RS"/>
                                </w:rPr>
                                <w:t>Još uvijek se ne angažuje poslovna zajednica dovoljno i pravovremeno. Problem je u otkrivanju svih propisa, podzakonskih akata. Procedura je netransparentna, ne znamo šta rade sva državna tijela. Građani i privreda trebaju biti od početka prisutni u javnim raspravama i donošenju propisa</w:t>
                              </w:r>
                            </w:p>
                            <w:p w:rsidR="00F735BC" w:rsidRDefault="00F735BC" w:rsidP="00393469">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C976B8" id="Group 224" o:spid="_x0000_s1143" style="position:absolute;left:0;text-align:left;margin-left:2.05pt;margin-top:87pt;width:282.6pt;height:89.4pt;z-index:251768832;mso-wrap-distance-left:18pt;mso-wrap-distance-right:18pt;mso-position-horizontal-relative:margin;mso-position-vertical-relative:page;mso-width-relative:margin;mso-height-relative:margin" coordorigin="-139" coordsize="32743,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">
                <v:rect id="Rectangle 225" o:spid="_x0000_s114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" stroked="f" strokeweight="2pt">
                  <v:fill opacity="0"/>
                </v:rect>
                <v:group id="Group 226" o:spid="_x0000_s114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Rectangle 10" o:spid="_x0000_s114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" path="m,l2240281,,1659256,222885,,822960,,xe" fillcolor="#7e97ad" stroked="f" strokeweight="2pt">
                    <v:path arrowok="t" o:connecttype="custom" o:connectlocs="0,0;1466258,0;1085979,274158;0,1012274;0,0" o:connectangles="0,0,0,0,0"/>
                  </v:shape>
                  <v:rect id="Rectangle 228" o:spid="_x0000_s114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" stroked="f" strokeweight="2pt">
                    <v:fill r:id="rId69" o:title="" recolor="t" rotate="t" type="frame"/>
                  </v:rect>
                </v:group>
                <v:shape id="Text Box 229" o:spid="_x0000_s1148" type="#_x0000_t202" style="position:absolute;left:-139;top:20;width:32742;height:1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" filled="f" stroked="f" strokeweight=".5pt">
                  <v:textbox inset="3.6pt,7.2pt,0,0">
                    <w:txbxContent>
                      <w:p w:rsidR="00F735BC" w:rsidRPr="00DA1FF7" w:rsidRDefault="00F735BC" w:rsidP="00393469">
                        <w:pPr>
                          <w:pStyle w:val="NoSpacing"/>
                          <w:ind w:left="360"/>
                          <w:jc w:val="right"/>
                          <w:rPr>
                            <w:smallCaps/>
                            <w:color w:val="333C3D" w:themeColor="accent5" w:themeShade="80"/>
                            <w:kern w:val="20"/>
                            <w:lang w:val="sr-Latn-RS"/>
                          </w:rPr>
                        </w:pPr>
                        <w:r w:rsidRPr="00393469">
                          <w:rPr>
                            <w:smallCaps/>
                            <w:color w:val="333C3D" w:themeColor="accent5" w:themeShade="80"/>
                            <w:kern w:val="20"/>
                            <w:lang w:val="sr-Latn-RS"/>
                          </w:rPr>
                          <w:t>Još uvijek se ne angažuje poslovna zajednica dovoljno i pravovremeno. Problem je u otkrivanju svih propisa, podzakonskih akata. Procedura je netransparentna, ne znamo šta rade sva državna tijela. Građani i privreda trebaju biti od početka prisutni u javnim raspravama i donošenju propisa</w:t>
                        </w:r>
                      </w:p>
                      <w:p w:rsidR="00F735BC" w:rsidRDefault="00F735BC" w:rsidP="00393469">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v:textbox>
                </v:shape>
                <w10:wrap type="square" anchorx="margin" anchory="page"/>
              </v:group>
            </w:pict>
          </mc:Fallback>
        </mc:AlternateContent>
      </w:r>
      <w:r w:rsidR="009C427B" w:rsidRPr="00CB681C">
        <w:rPr>
          <w:rFonts w:asciiTheme="majorHAnsi" w:eastAsia="Calibri" w:hAnsiTheme="majorHAnsi" w:cstheme="majorHAnsi"/>
          <w:color w:val="auto"/>
          <w:kern w:val="0"/>
          <w:sz w:val="24"/>
          <w:szCs w:val="24"/>
          <w:lang w:eastAsia="zh-CN"/>
        </w:rPr>
        <w:t xml:space="preserve">Za otvorenost i transparentnost Vlade Crne Gore jedan od važnih pokazatelja je realizacija novih sistema </w:t>
      </w:r>
      <w:r w:rsidR="009C427B" w:rsidRPr="00CB681C">
        <w:rPr>
          <w:rFonts w:asciiTheme="majorHAnsi" w:eastAsia="Calibri" w:hAnsiTheme="majorHAnsi" w:cstheme="majorHAnsi"/>
          <w:b/>
          <w:color w:val="auto"/>
          <w:kern w:val="0"/>
          <w:sz w:val="24"/>
          <w:szCs w:val="24"/>
          <w:lang w:eastAsia="zh-CN"/>
        </w:rPr>
        <w:t>eParticipacije,</w:t>
      </w:r>
      <w:r w:rsidR="009C427B" w:rsidRPr="00CB681C">
        <w:rPr>
          <w:rFonts w:asciiTheme="majorHAnsi" w:eastAsia="Calibri" w:hAnsiTheme="majorHAnsi" w:cstheme="majorHAnsi"/>
          <w:b/>
          <w:color w:val="auto"/>
          <w:kern w:val="0"/>
          <w:sz w:val="24"/>
          <w:szCs w:val="24"/>
          <w:vertAlign w:val="superscript"/>
          <w:lang w:eastAsia="zh-CN"/>
        </w:rPr>
        <w:footnoteReference w:id="114"/>
      </w:r>
      <w:r w:rsidR="009C427B" w:rsidRPr="00CB681C">
        <w:rPr>
          <w:rFonts w:asciiTheme="majorHAnsi" w:eastAsia="Calibri" w:hAnsiTheme="majorHAnsi" w:cstheme="majorHAnsi"/>
          <w:b/>
          <w:color w:val="auto"/>
          <w:kern w:val="0"/>
          <w:sz w:val="24"/>
          <w:szCs w:val="24"/>
          <w:lang w:eastAsia="zh-CN"/>
        </w:rPr>
        <w:t xml:space="preserve"> ePeticija</w:t>
      </w:r>
      <w:r w:rsidR="009C427B" w:rsidRPr="00CB681C">
        <w:rPr>
          <w:rFonts w:asciiTheme="majorHAnsi" w:eastAsia="Calibri" w:hAnsiTheme="majorHAnsi" w:cstheme="majorHAnsi"/>
          <w:b/>
          <w:color w:val="auto"/>
          <w:kern w:val="0"/>
          <w:sz w:val="24"/>
          <w:szCs w:val="24"/>
          <w:vertAlign w:val="superscript"/>
          <w:lang w:eastAsia="zh-CN"/>
        </w:rPr>
        <w:footnoteReference w:id="115"/>
      </w:r>
      <w:r w:rsidR="009C427B" w:rsidRPr="00CB681C">
        <w:rPr>
          <w:rFonts w:asciiTheme="majorHAnsi" w:eastAsia="Calibri" w:hAnsiTheme="majorHAnsi" w:cstheme="majorHAnsi"/>
          <w:b/>
          <w:color w:val="auto"/>
          <w:kern w:val="0"/>
          <w:sz w:val="24"/>
          <w:szCs w:val="24"/>
          <w:lang w:eastAsia="zh-CN"/>
        </w:rPr>
        <w:t xml:space="preserve"> i objavljivanja podataka u otvorenom formatu</w:t>
      </w:r>
      <w:r w:rsidR="009C427B" w:rsidRPr="00CB681C">
        <w:rPr>
          <w:rFonts w:asciiTheme="majorHAnsi" w:eastAsia="Calibri" w:hAnsiTheme="majorHAnsi" w:cstheme="majorHAnsi"/>
          <w:color w:val="auto"/>
          <w:kern w:val="0"/>
          <w:sz w:val="24"/>
          <w:szCs w:val="24"/>
          <w:lang w:eastAsia="zh-CN"/>
        </w:rPr>
        <w:t>. U kontekstu jačanja otvorenosti javne uprave u prethodnom periodu, shodno aktivnostima iz Strategije reforme javne uprave 2016-2020. godina, uspostavljen je Portal otvorenih podataka,</w:t>
      </w:r>
      <w:r w:rsidR="009C427B" w:rsidRPr="00CB681C">
        <w:rPr>
          <w:rFonts w:asciiTheme="majorHAnsi" w:eastAsia="Calibri" w:hAnsiTheme="majorHAnsi" w:cstheme="majorHAnsi"/>
          <w:color w:val="auto"/>
          <w:kern w:val="0"/>
          <w:sz w:val="24"/>
          <w:szCs w:val="24"/>
          <w:vertAlign w:val="superscript"/>
          <w:lang w:eastAsia="zh-CN"/>
        </w:rPr>
        <w:footnoteReference w:id="116"/>
      </w:r>
      <w:r w:rsidR="009C427B" w:rsidRPr="00CB681C">
        <w:rPr>
          <w:rFonts w:asciiTheme="majorHAnsi" w:eastAsia="Calibri" w:hAnsiTheme="majorHAnsi" w:cstheme="majorHAnsi"/>
          <w:color w:val="auto"/>
          <w:kern w:val="0"/>
          <w:sz w:val="24"/>
          <w:szCs w:val="24"/>
          <w:lang w:eastAsia="zh-CN"/>
        </w:rPr>
        <w:t xml:space="preserve"> a u 2019. </w:t>
      </w:r>
      <w:r w:rsidR="00E72A11" w:rsidRPr="00CB681C">
        <w:rPr>
          <w:rFonts w:asciiTheme="majorHAnsi" w:eastAsia="Calibri" w:hAnsiTheme="majorHAnsi" w:cstheme="majorHAnsi"/>
          <w:color w:val="auto"/>
          <w:kern w:val="0"/>
          <w:sz w:val="24"/>
          <w:szCs w:val="24"/>
          <w:lang w:eastAsia="zh-CN"/>
        </w:rPr>
        <w:t xml:space="preserve">godini </w:t>
      </w:r>
      <w:r w:rsidR="009C427B" w:rsidRPr="00CB681C">
        <w:rPr>
          <w:rFonts w:asciiTheme="majorHAnsi" w:eastAsia="Calibri" w:hAnsiTheme="majorHAnsi" w:cstheme="majorHAnsi"/>
          <w:color w:val="auto"/>
          <w:kern w:val="0"/>
          <w:sz w:val="24"/>
          <w:szCs w:val="24"/>
          <w:lang w:eastAsia="zh-CN"/>
        </w:rPr>
        <w:t>Ministarstvo javne uprave i Privredna komora realizovale su aktivnost uspostavljanja čvorišta otvorenih podataka (HUB) koji doprinosi unapređenju ekosistema otvorenih podataka koji su potencijal u kreiranju novih vrijednosti i doprinose podizanju kvaliteta društva i konkurentnosti privrede. U toku 2021. godine obezbjeđena je mobilna verzija portala eParticipacije sa ciljem da se javnost zainteresuje za veću upotrebu ovog sistema koji prije svega služi informisanju kao i transprarentnijem učešću građana u kreiranju javnih politika.</w:t>
      </w:r>
    </w:p>
    <w:p w:rsidR="009C427B" w:rsidRPr="00CB681C" w:rsidRDefault="009C427B" w:rsidP="00153229">
      <w:pPr>
        <w:tabs>
          <w:tab w:val="left" w:pos="850"/>
          <w:tab w:val="left" w:pos="1191"/>
          <w:tab w:val="left" w:pos="1531"/>
        </w:tabs>
        <w:spacing w:before="60" w:after="60" w:line="240" w:lineRule="auto"/>
        <w:ind w:right="-471"/>
        <w:jc w:val="both"/>
        <w:rPr>
          <w:rFonts w:asciiTheme="majorHAnsi" w:eastAsia="Calibri" w:hAnsiTheme="majorHAnsi" w:cstheme="majorHAnsi"/>
          <w:bCs/>
          <w:color w:val="auto"/>
          <w:kern w:val="0"/>
          <w:sz w:val="24"/>
          <w:szCs w:val="24"/>
          <w:lang w:eastAsia="zh-CN"/>
        </w:rPr>
      </w:pPr>
      <w:r w:rsidRPr="00CB681C">
        <w:rPr>
          <w:rFonts w:asciiTheme="majorHAnsi" w:eastAsia="Calibri" w:hAnsiTheme="majorHAnsi" w:cstheme="majorHAnsi"/>
          <w:bCs/>
          <w:color w:val="auto"/>
          <w:kern w:val="0"/>
          <w:sz w:val="24"/>
          <w:szCs w:val="24"/>
          <w:lang w:eastAsia="zh-CN"/>
        </w:rPr>
        <w:t xml:space="preserve">Proces konsultovanja javnosti za utvrđivanje prioriteta Vlade po prvi put je ostvaren prilikom pripreme godišnjeg </w:t>
      </w:r>
      <w:r w:rsidR="00E72A11" w:rsidRPr="00CB681C">
        <w:rPr>
          <w:rFonts w:asciiTheme="majorHAnsi" w:eastAsia="Calibri" w:hAnsiTheme="majorHAnsi" w:cstheme="majorHAnsi"/>
          <w:bCs/>
          <w:color w:val="auto"/>
          <w:kern w:val="0"/>
          <w:sz w:val="24"/>
          <w:szCs w:val="24"/>
          <w:lang w:eastAsia="zh-CN"/>
        </w:rPr>
        <w:t>Programa rada Vlade (</w:t>
      </w:r>
      <w:r w:rsidRPr="00CB681C">
        <w:rPr>
          <w:rFonts w:asciiTheme="majorHAnsi" w:eastAsia="Calibri" w:hAnsiTheme="majorHAnsi" w:cstheme="majorHAnsi"/>
          <w:bCs/>
          <w:color w:val="auto"/>
          <w:kern w:val="0"/>
          <w:sz w:val="24"/>
          <w:szCs w:val="24"/>
          <w:lang w:eastAsia="zh-CN"/>
        </w:rPr>
        <w:t>PRV</w:t>
      </w:r>
      <w:r w:rsidR="00E72A11" w:rsidRPr="00CB681C">
        <w:rPr>
          <w:rFonts w:asciiTheme="majorHAnsi" w:eastAsia="Calibri" w:hAnsiTheme="majorHAnsi" w:cstheme="majorHAnsi"/>
          <w:bCs/>
          <w:color w:val="auto"/>
          <w:kern w:val="0"/>
          <w:sz w:val="24"/>
          <w:szCs w:val="24"/>
          <w:lang w:eastAsia="zh-CN"/>
        </w:rPr>
        <w:t>)</w:t>
      </w:r>
      <w:r w:rsidRPr="00CB681C">
        <w:rPr>
          <w:rFonts w:asciiTheme="majorHAnsi" w:eastAsia="Calibri" w:hAnsiTheme="majorHAnsi" w:cstheme="majorHAnsi"/>
          <w:bCs/>
          <w:color w:val="auto"/>
          <w:kern w:val="0"/>
          <w:sz w:val="24"/>
          <w:szCs w:val="24"/>
          <w:lang w:eastAsia="zh-CN"/>
        </w:rPr>
        <w:t xml:space="preserve"> za 2021. godinu. Novonastale okolnosti izazavane pandemijom COVID19 pokazale su da građanima i građankama znači mogućnost online predlaganja. Na primjer, od ukupno 361 predloga pristiglih za PRV, njih 350 je dostavljeno putem e-maila ili ankete.</w:t>
      </w:r>
    </w:p>
    <w:p w:rsidR="00393469" w:rsidRPr="00CB681C" w:rsidRDefault="009C427B" w:rsidP="00153229">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bCs/>
          <w:color w:val="auto"/>
          <w:kern w:val="0"/>
          <w:sz w:val="24"/>
          <w:szCs w:val="24"/>
          <w:lang w:eastAsia="zh-CN"/>
        </w:rPr>
        <w:t xml:space="preserve">U dijelu institucionalnog aranžmana treba ukazati i da je, na osnovu Poslovnika Vlade Crne Gore, predlagač u postupku pripreme zakona i drugih propisa dužan da sprovede </w:t>
      </w:r>
      <w:r w:rsidRPr="00CB681C">
        <w:rPr>
          <w:rFonts w:asciiTheme="majorHAnsi" w:eastAsia="Calibri" w:hAnsiTheme="majorHAnsi" w:cstheme="majorHAnsi"/>
          <w:b/>
          <w:bCs/>
          <w:color w:val="auto"/>
          <w:kern w:val="0"/>
          <w:sz w:val="24"/>
          <w:szCs w:val="24"/>
          <w:lang w:eastAsia="zh-CN"/>
        </w:rPr>
        <w:t>analizu procjene uticaja propisa</w:t>
      </w:r>
      <w:r w:rsidRPr="00CB681C">
        <w:rPr>
          <w:rFonts w:asciiTheme="majorHAnsi" w:eastAsia="Calibri" w:hAnsiTheme="majorHAnsi" w:cstheme="majorHAnsi"/>
          <w:bCs/>
          <w:color w:val="auto"/>
          <w:kern w:val="0"/>
          <w:sz w:val="24"/>
          <w:szCs w:val="24"/>
          <w:lang w:eastAsia="zh-CN"/>
        </w:rPr>
        <w:t xml:space="preserve"> (u daljem tekstu: </w:t>
      </w:r>
      <w:r w:rsidRPr="00CB681C">
        <w:rPr>
          <w:rFonts w:asciiTheme="majorHAnsi" w:eastAsia="Calibri" w:hAnsiTheme="majorHAnsi" w:cstheme="majorHAnsi"/>
          <w:b/>
          <w:bCs/>
          <w:color w:val="auto"/>
          <w:kern w:val="0"/>
          <w:sz w:val="24"/>
          <w:szCs w:val="24"/>
          <w:lang w:eastAsia="zh-CN"/>
        </w:rPr>
        <w:t>RIA</w:t>
      </w:r>
      <w:r w:rsidRPr="00CB681C">
        <w:rPr>
          <w:rFonts w:asciiTheme="majorHAnsi" w:eastAsia="Calibri" w:hAnsiTheme="majorHAnsi" w:cstheme="majorHAnsi"/>
          <w:bCs/>
          <w:color w:val="auto"/>
          <w:kern w:val="0"/>
          <w:sz w:val="24"/>
          <w:szCs w:val="24"/>
          <w:lang w:eastAsia="zh-CN"/>
        </w:rPr>
        <w:t xml:space="preserve">) u skladu s aktom Ministarstva finansija i socijalnog staranja, pri čemu Ministarstvo izdaje mišljenje u </w:t>
      </w:r>
      <w:r w:rsidR="00476F54" w:rsidRPr="00CB681C">
        <w:rPr>
          <w:rFonts w:asciiTheme="majorHAnsi" w:eastAsia="Calibri" w:hAnsiTheme="majorHAnsi" w:cstheme="majorHAnsi"/>
          <w:bCs/>
          <w:color w:val="auto"/>
          <w:kern w:val="0"/>
          <w:sz w:val="24"/>
          <w:szCs w:val="24"/>
          <w:lang w:eastAsia="zh-CN"/>
        </w:rPr>
        <w:t>odnosu na podnijeti RIA obrazac</w:t>
      </w:r>
      <w:r w:rsidRPr="00CB681C">
        <w:rPr>
          <w:rFonts w:asciiTheme="majorHAnsi" w:eastAsia="Calibri" w:hAnsiTheme="majorHAnsi" w:cstheme="majorHAnsi"/>
          <w:bCs/>
          <w:color w:val="auto"/>
          <w:kern w:val="0"/>
          <w:sz w:val="24"/>
          <w:szCs w:val="24"/>
          <w:lang w:eastAsia="zh-CN"/>
        </w:rPr>
        <w:t xml:space="preserve">. </w:t>
      </w:r>
      <w:r w:rsidRPr="00CB681C">
        <w:rPr>
          <w:rFonts w:asciiTheme="majorHAnsi" w:eastAsia="Calibri" w:hAnsiTheme="majorHAnsi" w:cstheme="majorHAnsi"/>
          <w:color w:val="auto"/>
          <w:kern w:val="0"/>
          <w:sz w:val="24"/>
          <w:szCs w:val="24"/>
          <w:lang w:eastAsia="zh-CN"/>
        </w:rPr>
        <w:t>Analiza efekata propisa je formalno uvedena u crnogorski regulatorni sistem 2012. godine.</w:t>
      </w:r>
      <w:r w:rsidRPr="00CB681C">
        <w:rPr>
          <w:rFonts w:asciiTheme="majorHAnsi" w:eastAsia="Calibri" w:hAnsiTheme="majorHAnsi" w:cstheme="majorHAnsi"/>
          <w:color w:val="auto"/>
          <w:kern w:val="0"/>
          <w:sz w:val="24"/>
          <w:szCs w:val="24"/>
          <w:vertAlign w:val="superscript"/>
          <w:lang w:eastAsia="zh-CN"/>
        </w:rPr>
        <w:footnoteReference w:id="117"/>
      </w:r>
      <w:r w:rsidRPr="00CB681C">
        <w:rPr>
          <w:rFonts w:asciiTheme="majorHAnsi" w:eastAsia="Calibri" w:hAnsiTheme="majorHAnsi" w:cstheme="majorHAnsi"/>
          <w:color w:val="auto"/>
          <w:kern w:val="0"/>
          <w:sz w:val="24"/>
          <w:szCs w:val="24"/>
          <w:lang w:eastAsia="zh-CN"/>
        </w:rPr>
        <w:t xml:space="preserve"> Korisni savjeti, metodološka i organizaciona uputstva za ministarstva u vezi sa svakom fazom postupka sprovođenja analize dio su Priručnika za analizu efekata propisa (RIA). U svrhu boljeg razumijevanja RIA obrasca, koristi se i Uputstvo o sačinjavanju izvještaja o sprovedenoj analizi uticaja propisa,</w:t>
      </w:r>
      <w:r w:rsidRPr="00CB681C">
        <w:rPr>
          <w:rFonts w:asciiTheme="majorHAnsi" w:eastAsia="Calibri" w:hAnsiTheme="majorHAnsi" w:cstheme="majorHAnsi"/>
          <w:color w:val="auto"/>
          <w:kern w:val="0"/>
          <w:sz w:val="24"/>
          <w:szCs w:val="24"/>
          <w:vertAlign w:val="superscript"/>
          <w:lang w:eastAsia="zh-CN"/>
        </w:rPr>
        <w:footnoteReference w:id="118"/>
      </w:r>
      <w:r w:rsidRPr="00CB681C">
        <w:rPr>
          <w:rFonts w:asciiTheme="majorHAnsi" w:eastAsia="Calibri" w:hAnsiTheme="majorHAnsi" w:cstheme="majorHAnsi"/>
          <w:color w:val="auto"/>
          <w:kern w:val="0"/>
          <w:sz w:val="24"/>
          <w:szCs w:val="24"/>
          <w:lang w:eastAsia="zh-CN"/>
        </w:rPr>
        <w:t xml:space="preserve"> čiji je sastavni dio Obrazac Izvještaja o sprovedenoj analizi uticaja propisa.</w:t>
      </w:r>
    </w:p>
    <w:p w:rsidR="009C427B" w:rsidRPr="00CB681C" w:rsidRDefault="009C427B" w:rsidP="00153229">
      <w:pPr>
        <w:tabs>
          <w:tab w:val="left" w:pos="850"/>
          <w:tab w:val="left" w:pos="1191"/>
          <w:tab w:val="left" w:pos="1531"/>
        </w:tabs>
        <w:spacing w:before="60" w:after="60" w:line="240" w:lineRule="auto"/>
        <w:ind w:right="-471"/>
        <w:jc w:val="both"/>
        <w:rPr>
          <w:rFonts w:asciiTheme="majorHAnsi" w:eastAsia="Calibri" w:hAnsiTheme="majorHAnsi" w:cstheme="majorHAnsi"/>
          <w:bCs/>
          <w:color w:val="auto"/>
          <w:kern w:val="0"/>
          <w:sz w:val="24"/>
          <w:szCs w:val="24"/>
          <w:lang w:eastAsia="zh-CN"/>
        </w:rPr>
      </w:pPr>
      <w:r w:rsidRPr="00CB681C">
        <w:rPr>
          <w:rFonts w:asciiTheme="majorHAnsi" w:eastAsia="Calibri" w:hAnsiTheme="majorHAnsi" w:cstheme="majorHAnsi"/>
          <w:bCs/>
          <w:color w:val="auto"/>
          <w:kern w:val="0"/>
          <w:sz w:val="24"/>
          <w:szCs w:val="24"/>
          <w:lang w:eastAsia="zh-CN"/>
        </w:rPr>
        <w:t>Kada je u pitanju kvalitet RIA obrasca, prema poslednje</w:t>
      </w:r>
      <w:r w:rsidR="00622C27" w:rsidRPr="00CB681C">
        <w:rPr>
          <w:rFonts w:asciiTheme="majorHAnsi" w:eastAsia="Calibri" w:hAnsiTheme="majorHAnsi" w:cstheme="majorHAnsi"/>
          <w:bCs/>
          <w:color w:val="auto"/>
          <w:kern w:val="0"/>
          <w:sz w:val="24"/>
          <w:szCs w:val="24"/>
          <w:lang w:eastAsia="zh-CN"/>
        </w:rPr>
        <w:t>m Izvještaju o kvalitetu za 2020</w:t>
      </w:r>
      <w:r w:rsidRPr="00CB681C">
        <w:rPr>
          <w:rFonts w:asciiTheme="majorHAnsi" w:eastAsia="Calibri" w:hAnsiTheme="majorHAnsi" w:cstheme="majorHAnsi"/>
          <w:bCs/>
          <w:color w:val="auto"/>
          <w:kern w:val="0"/>
          <w:sz w:val="24"/>
          <w:szCs w:val="24"/>
          <w:lang w:eastAsia="zh-CN"/>
        </w:rPr>
        <w:t xml:space="preserve">. godinu, evidentirano je unapređenje kvaliteta u odnosu na prethodni izvještajni period. </w:t>
      </w:r>
      <w:r w:rsidRPr="00CB681C">
        <w:rPr>
          <w:rFonts w:asciiTheme="majorHAnsi" w:eastAsia="Calibri" w:hAnsiTheme="majorHAnsi" w:cstheme="majorHAnsi"/>
          <w:color w:val="auto"/>
          <w:kern w:val="0"/>
          <w:sz w:val="24"/>
          <w:szCs w:val="24"/>
          <w:lang w:eastAsia="zh-CN"/>
        </w:rPr>
        <w:t xml:space="preserve">Bilježi se napredak u sljedećim oblastima/koracima RIA-e: </w:t>
      </w:r>
      <w:r w:rsidR="001D429B" w:rsidRPr="00CB681C">
        <w:rPr>
          <w:rFonts w:asciiTheme="majorHAnsi" w:eastAsia="Calibri" w:hAnsiTheme="majorHAnsi" w:cstheme="majorHAnsi"/>
          <w:color w:val="auto"/>
          <w:kern w:val="0"/>
          <w:sz w:val="24"/>
          <w:szCs w:val="24"/>
          <w:lang w:val="sr-Latn-ME" w:eastAsia="zh-CN"/>
        </w:rPr>
        <w:t>definisanje problema, ciljevi i procjena fiskalnog uticaja</w:t>
      </w:r>
      <w:r w:rsidR="001D429B" w:rsidRPr="00CB681C">
        <w:rPr>
          <w:rFonts w:asciiTheme="majorHAnsi" w:eastAsia="Calibri" w:hAnsiTheme="majorHAnsi" w:cstheme="majorHAnsi"/>
          <w:color w:val="auto"/>
          <w:kern w:val="0"/>
          <w:sz w:val="24"/>
          <w:szCs w:val="24"/>
          <w:lang w:eastAsia="zh-CN"/>
        </w:rPr>
        <w:t>. Oblasti RIA-e koje je potrebno i dalje unapređivati su: Analiza opcija, analiza uticaja, procjena fiskalnog uticaja,</w:t>
      </w:r>
      <w:r w:rsidR="001D429B" w:rsidRPr="00CB681C">
        <w:rPr>
          <w:rFonts w:asciiTheme="majorHAnsi" w:eastAsia="Calibri" w:hAnsiTheme="majorHAnsi" w:cstheme="majorHAnsi"/>
          <w:color w:val="auto"/>
          <w:kern w:val="0"/>
          <w:sz w:val="24"/>
          <w:szCs w:val="24"/>
          <w:lang w:val="sr-Latn-ME" w:eastAsia="zh-CN"/>
        </w:rPr>
        <w:t xml:space="preserve"> Konsultacije zainteresovanih strana,</w:t>
      </w:r>
      <w:r w:rsidR="001D429B" w:rsidRPr="00CB681C">
        <w:rPr>
          <w:rFonts w:asciiTheme="majorHAnsi" w:eastAsia="Calibri" w:hAnsiTheme="majorHAnsi" w:cstheme="majorHAnsi"/>
          <w:color w:val="auto"/>
          <w:kern w:val="0"/>
          <w:sz w:val="24"/>
          <w:szCs w:val="24"/>
          <w:lang w:eastAsia="zh-CN"/>
        </w:rPr>
        <w:t xml:space="preserve"> monitoring i evaluacija. </w:t>
      </w:r>
      <w:r w:rsidRPr="00CB681C">
        <w:rPr>
          <w:rFonts w:asciiTheme="majorHAnsi" w:eastAsia="Calibri" w:hAnsiTheme="majorHAnsi" w:cstheme="majorHAnsi"/>
          <w:color w:val="auto"/>
          <w:kern w:val="0"/>
          <w:sz w:val="24"/>
          <w:szCs w:val="24"/>
          <w:lang w:eastAsia="zh-CN"/>
        </w:rPr>
        <w:t>Obaveza sprovođenja analize o uticaju lokalnih propisa utvrđena je i članom 71 Zakona o lokalnoj samoupravi</w:t>
      </w:r>
      <w:r w:rsidRPr="00CB681C">
        <w:rPr>
          <w:rFonts w:asciiTheme="majorHAnsi" w:eastAsia="Calibri" w:hAnsiTheme="majorHAnsi" w:cstheme="majorHAnsi"/>
          <w:color w:val="auto"/>
          <w:kern w:val="0"/>
          <w:sz w:val="24"/>
          <w:szCs w:val="24"/>
          <w:vertAlign w:val="superscript"/>
          <w:lang w:eastAsia="zh-CN"/>
        </w:rPr>
        <w:footnoteReference w:id="119"/>
      </w:r>
      <w:r w:rsidRPr="00CB681C">
        <w:rPr>
          <w:rFonts w:asciiTheme="majorHAnsi" w:eastAsia="Calibri" w:hAnsiTheme="majorHAnsi" w:cstheme="majorHAnsi"/>
          <w:color w:val="auto"/>
          <w:kern w:val="0"/>
          <w:sz w:val="24"/>
          <w:szCs w:val="24"/>
          <w:lang w:eastAsia="zh-CN"/>
        </w:rPr>
        <w:t xml:space="preserve">, gdje je propisana obaveza organima lokalne uprave da vrše pripremu i procjenu analize uticaja odluka i drugih propisa koje </w:t>
      </w:r>
      <w:r w:rsidRPr="00CB681C">
        <w:rPr>
          <w:rFonts w:asciiTheme="majorHAnsi" w:eastAsia="Calibri" w:hAnsiTheme="majorHAnsi" w:cstheme="majorHAnsi"/>
          <w:color w:val="auto"/>
          <w:kern w:val="0"/>
          <w:sz w:val="24"/>
          <w:szCs w:val="24"/>
          <w:lang w:eastAsia="zh-CN"/>
        </w:rPr>
        <w:lastRenderedPageBreak/>
        <w:t xml:space="preserve">donose skupština i predsjednik opštine. </w:t>
      </w:r>
      <w:r w:rsidRPr="00CB681C">
        <w:rPr>
          <w:rFonts w:asciiTheme="majorHAnsi" w:eastAsia="Calibri" w:hAnsiTheme="majorHAnsi" w:cstheme="majorHAnsi"/>
          <w:bCs/>
          <w:color w:val="auto"/>
          <w:kern w:val="0"/>
          <w:sz w:val="24"/>
          <w:szCs w:val="24"/>
          <w:lang w:eastAsia="zh-CN"/>
        </w:rPr>
        <w:t xml:space="preserve">Radi boljeg razumijevanja RIA obrasca, koji se koristi na lokalnom nivou, u oktobru 2020. godine, Ministarstvo finansija, donijelo je Uputstvo </w:t>
      </w:r>
      <w:r w:rsidRPr="00CB681C">
        <w:rPr>
          <w:rFonts w:asciiTheme="majorHAnsi" w:eastAsia="Calibri" w:hAnsiTheme="majorHAnsi" w:cstheme="majorHAnsi"/>
          <w:color w:val="auto"/>
          <w:kern w:val="0"/>
          <w:sz w:val="24"/>
          <w:szCs w:val="24"/>
          <w:lang w:eastAsia="zh-CN"/>
        </w:rPr>
        <w:t>o pripremi i procjeni analize uticaja odluka i drugih propisa organa lokalne samouprave.</w:t>
      </w:r>
      <w:r w:rsidRPr="00CB681C">
        <w:rPr>
          <w:rFonts w:asciiTheme="majorHAnsi" w:eastAsia="Calibri" w:hAnsiTheme="majorHAnsi" w:cstheme="majorHAnsi"/>
          <w:color w:val="auto"/>
          <w:kern w:val="0"/>
          <w:sz w:val="24"/>
          <w:szCs w:val="24"/>
          <w:vertAlign w:val="superscript"/>
          <w:lang w:eastAsia="zh-CN"/>
        </w:rPr>
        <w:footnoteReference w:id="120"/>
      </w:r>
    </w:p>
    <w:p w:rsidR="009C427B" w:rsidRPr="00CB681C" w:rsidRDefault="009C427B" w:rsidP="00153229">
      <w:pPr>
        <w:tabs>
          <w:tab w:val="left" w:pos="850"/>
          <w:tab w:val="left" w:pos="1191"/>
          <w:tab w:val="left" w:pos="1531"/>
        </w:tabs>
        <w:spacing w:before="60" w:after="60" w:line="240" w:lineRule="auto"/>
        <w:ind w:right="-471"/>
        <w:jc w:val="both"/>
        <w:rPr>
          <w:rFonts w:asciiTheme="majorHAnsi" w:eastAsia="Calibri" w:hAnsiTheme="majorHAnsi" w:cstheme="majorHAnsi"/>
          <w:bCs/>
          <w:color w:val="auto"/>
          <w:kern w:val="0"/>
          <w:sz w:val="24"/>
          <w:szCs w:val="24"/>
          <w:lang w:eastAsia="zh-CN"/>
        </w:rPr>
      </w:pPr>
      <w:r w:rsidRPr="00CB681C">
        <w:rPr>
          <w:rFonts w:asciiTheme="majorHAnsi" w:eastAsia="Calibri" w:hAnsiTheme="majorHAnsi" w:cstheme="majorHAnsi"/>
          <w:color w:val="auto"/>
          <w:kern w:val="0"/>
          <w:sz w:val="24"/>
          <w:szCs w:val="24"/>
          <w:lang w:eastAsia="zh-CN"/>
        </w:rPr>
        <w:t>U cilju unapređenja kvaliteta sprovođenja RIA-e Ministarstvo finansija i socijalnog staranja kontinuirano organizuje obuke. U sara</w:t>
      </w:r>
      <w:r w:rsidR="00447A9D" w:rsidRPr="00CB681C">
        <w:rPr>
          <w:rFonts w:asciiTheme="majorHAnsi" w:eastAsia="Calibri" w:hAnsiTheme="majorHAnsi" w:cstheme="majorHAnsi"/>
          <w:color w:val="auto"/>
          <w:kern w:val="0"/>
          <w:sz w:val="24"/>
          <w:szCs w:val="24"/>
          <w:lang w:eastAsia="zh-CN"/>
        </w:rPr>
        <w:t>dnji sa UZ</w:t>
      </w:r>
      <w:r w:rsidRPr="00CB681C">
        <w:rPr>
          <w:rFonts w:asciiTheme="majorHAnsi" w:eastAsia="Calibri" w:hAnsiTheme="majorHAnsi" w:cstheme="majorHAnsi"/>
          <w:color w:val="auto"/>
          <w:kern w:val="0"/>
          <w:sz w:val="24"/>
          <w:szCs w:val="24"/>
          <w:lang w:eastAsia="zh-CN"/>
        </w:rPr>
        <w:t>K krajem 2019. godine pripremljen je Program za sprovođenje specijalističkih obuka za obavljanje tehničkih vještina kada je u pitanju izrada RIA Izvještaja.</w:t>
      </w:r>
    </w:p>
    <w:p w:rsidR="00C95C15" w:rsidRPr="00CB681C" w:rsidRDefault="00C95C15" w:rsidP="00B43D4E">
      <w:pPr>
        <w:pStyle w:val="ListParagraph"/>
        <w:keepNext/>
        <w:keepLines/>
        <w:numPr>
          <w:ilvl w:val="0"/>
          <w:numId w:val="37"/>
        </w:numPr>
        <w:spacing w:before="240" w:after="240" w:line="240" w:lineRule="auto"/>
        <w:ind w:right="-471"/>
        <w:contextualSpacing w:val="0"/>
        <w:jc w:val="both"/>
        <w:outlineLvl w:val="2"/>
        <w:rPr>
          <w:rFonts w:asciiTheme="majorHAnsi" w:eastAsia="Calibri" w:hAnsiTheme="majorHAnsi" w:cstheme="majorHAnsi"/>
          <w:b/>
          <w:color w:val="auto"/>
          <w:kern w:val="0"/>
          <w:sz w:val="24"/>
          <w:szCs w:val="24"/>
        </w:rPr>
      </w:pPr>
      <w:bookmarkStart w:id="42" w:name="_Toc87353416"/>
      <w:r w:rsidRPr="00CB681C">
        <w:rPr>
          <w:rFonts w:asciiTheme="majorHAnsi" w:eastAsia="Calibri" w:hAnsiTheme="majorHAnsi" w:cstheme="majorHAnsi"/>
          <w:b/>
          <w:color w:val="auto"/>
          <w:kern w:val="0"/>
          <w:sz w:val="24"/>
          <w:szCs w:val="24"/>
        </w:rPr>
        <w:t>IDENTIFIKOVANI PROBLEMI</w:t>
      </w:r>
      <w:bookmarkEnd w:id="42"/>
    </w:p>
    <w:p w:rsidR="00C95C15" w:rsidRPr="00CB681C" w:rsidRDefault="00C95C15" w:rsidP="00B43D4E">
      <w:pPr>
        <w:pStyle w:val="ListParagraph"/>
        <w:numPr>
          <w:ilvl w:val="0"/>
          <w:numId w:val="35"/>
        </w:numPr>
        <w:tabs>
          <w:tab w:val="left" w:pos="850"/>
          <w:tab w:val="left" w:pos="1191"/>
          <w:tab w:val="left" w:pos="1531"/>
        </w:tabs>
        <w:spacing w:before="120" w:after="120" w:line="240" w:lineRule="auto"/>
        <w:ind w:left="270" w:right="-471" w:hanging="270"/>
        <w:jc w:val="both"/>
        <w:rPr>
          <w:rFonts w:asciiTheme="majorHAnsi" w:eastAsia="Calibri" w:hAnsiTheme="majorHAnsi" w:cstheme="majorHAnsi"/>
          <w:b/>
          <w:i/>
          <w:color w:val="auto"/>
          <w:kern w:val="0"/>
          <w:sz w:val="24"/>
          <w:szCs w:val="24"/>
          <w:lang w:eastAsia="zh-CN"/>
        </w:rPr>
      </w:pPr>
      <w:r w:rsidRPr="00CB681C">
        <w:rPr>
          <w:rFonts w:asciiTheme="majorHAnsi" w:eastAsia="Calibri" w:hAnsiTheme="majorHAnsi" w:cstheme="majorHAnsi"/>
          <w:b/>
          <w:i/>
          <w:color w:val="auto"/>
          <w:kern w:val="0"/>
          <w:sz w:val="24"/>
          <w:szCs w:val="24"/>
          <w:lang w:eastAsia="zh-CN"/>
        </w:rPr>
        <w:t>Nekoherentnost javnih po</w:t>
      </w:r>
      <w:r w:rsidR="001F57BE" w:rsidRPr="00CB681C">
        <w:rPr>
          <w:rFonts w:asciiTheme="majorHAnsi" w:eastAsia="Calibri" w:hAnsiTheme="majorHAnsi" w:cstheme="majorHAnsi"/>
          <w:b/>
          <w:i/>
          <w:color w:val="auto"/>
          <w:kern w:val="0"/>
          <w:sz w:val="24"/>
          <w:szCs w:val="24"/>
          <w:lang w:eastAsia="zh-CN"/>
        </w:rPr>
        <w:t>litika sa procesom pripreme budž</w:t>
      </w:r>
      <w:r w:rsidRPr="00CB681C">
        <w:rPr>
          <w:rFonts w:asciiTheme="majorHAnsi" w:eastAsia="Calibri" w:hAnsiTheme="majorHAnsi" w:cstheme="majorHAnsi"/>
          <w:b/>
          <w:i/>
          <w:color w:val="auto"/>
          <w:kern w:val="0"/>
          <w:sz w:val="24"/>
          <w:szCs w:val="24"/>
          <w:lang w:eastAsia="zh-CN"/>
        </w:rPr>
        <w:t>eta, godišnjim i srednjoročnim planiranjem i zahtevima svih zainteresovanih strana</w:t>
      </w:r>
    </w:p>
    <w:p w:rsidR="009C427B" w:rsidRPr="00CB681C" w:rsidRDefault="009707CD" w:rsidP="00153229">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noProof/>
          <w:color w:val="auto"/>
          <w:kern w:val="0"/>
          <w:sz w:val="24"/>
          <w:szCs w:val="24"/>
          <w:lang w:eastAsia="sr-Latn-RS"/>
        </w:rPr>
        <mc:AlternateContent>
          <mc:Choice Requires="wpg">
            <w:drawing>
              <wp:anchor distT="0" distB="0" distL="228600" distR="228600" simplePos="0" relativeHeight="251772928" behindDoc="0" locked="0" layoutInCell="1" allowOverlap="1" wp14:anchorId="448054E0" wp14:editId="0A44FBBB">
                <wp:simplePos x="0" y="0"/>
                <wp:positionH relativeFrom="margin">
                  <wp:posOffset>-143510</wp:posOffset>
                </wp:positionH>
                <wp:positionV relativeFrom="page">
                  <wp:posOffset>6835140</wp:posOffset>
                </wp:positionV>
                <wp:extent cx="3154680" cy="1036320"/>
                <wp:effectExtent l="0" t="0" r="7620" b="11430"/>
                <wp:wrapSquare wrapText="bothSides"/>
                <wp:docPr id="236" name="Group 236"/>
                <wp:cNvGraphicFramePr/>
                <a:graphic xmlns:a="http://schemas.openxmlformats.org/drawingml/2006/main">
                  <a:graphicData uri="http://schemas.microsoft.com/office/word/2010/wordprocessingGroup">
                    <wpg:wgp>
                      <wpg:cNvGrpSpPr/>
                      <wpg:grpSpPr>
                        <a:xfrm>
                          <a:off x="0" y="0"/>
                          <a:ext cx="3154680" cy="1036320"/>
                          <a:chOff x="-182765" y="-16807"/>
                          <a:chExt cx="3401453" cy="2285862"/>
                        </a:xfrm>
                      </wpg:grpSpPr>
                      <wps:wsp>
                        <wps:cNvPr id="237" name="Rectangle 237"/>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8" name="Group 238"/>
                        <wpg:cNvGrpSpPr/>
                        <wpg:grpSpPr>
                          <a:xfrm>
                            <a:off x="0" y="19050"/>
                            <a:ext cx="2249424" cy="832104"/>
                            <a:chOff x="228600" y="0"/>
                            <a:chExt cx="1472184" cy="1024128"/>
                          </a:xfrm>
                        </wpg:grpSpPr>
                        <wps:wsp>
                          <wps:cNvPr id="239"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240"/>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1" name="Text Box 241"/>
                        <wps:cNvSpPr txBox="1"/>
                        <wps:spPr>
                          <a:xfrm>
                            <a:off x="-182765" y="-16807"/>
                            <a:ext cx="3401453" cy="2285862"/>
                          </a:xfrm>
                          <a:prstGeom prst="rect">
                            <a:avLst/>
                          </a:prstGeom>
                          <a:noFill/>
                          <a:ln w="6350">
                            <a:noFill/>
                          </a:ln>
                          <a:effectLst/>
                        </wps:spPr>
                        <wps:txbx>
                          <w:txbxContent>
                            <w:p w:rsidR="00F735BC" w:rsidRPr="00DA1FF7" w:rsidRDefault="00F735BC" w:rsidP="00393469">
                              <w:pPr>
                                <w:pStyle w:val="NoSpacing"/>
                                <w:ind w:left="360"/>
                                <w:jc w:val="right"/>
                                <w:rPr>
                                  <w:smallCaps/>
                                  <w:color w:val="333C3D" w:themeColor="accent5" w:themeShade="80"/>
                                  <w:kern w:val="20"/>
                                  <w:lang w:val="sr-Latn-RS"/>
                                </w:rPr>
                              </w:pPr>
                              <w:r w:rsidRPr="00393469">
                                <w:rPr>
                                  <w:bCs/>
                                  <w:smallCaps/>
                                  <w:color w:val="333C3D" w:themeColor="accent5" w:themeShade="80"/>
                                  <w:kern w:val="20"/>
                                  <w:lang w:val="sr-Latn-RS"/>
                                </w:rPr>
                                <w:t>Javna uprava nikad nije pozvala privredu da pomogne oko ispunjavanja ciljeva RIA. Javnoj upravi nedostaju kapaciteti. Potrebno je obezbijediti da ciljevi ovog izvještaja budu dio strategije reforme javne uprave</w:t>
                              </w:r>
                            </w:p>
                            <w:p w:rsidR="00F735BC" w:rsidRDefault="00F735BC" w:rsidP="00393469">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8054E0" id="Group 236" o:spid="_x0000_s1149" style="position:absolute;left:0;text-align:left;margin-left:-11.3pt;margin-top:538.2pt;width:248.4pt;height:81.6pt;z-index:251772928;mso-wrap-distance-left:18pt;mso-wrap-distance-right:18pt;mso-position-horizontal-relative:margin;mso-position-vertical-relative:page;mso-width-relative:margin;mso-height-relative:margin" coordorigin="-1827,-168" coordsize="34014,2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">
                <v:rect id="Rectangle 237" o:spid="_x0000_s1150"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" stroked="f" strokeweight="2pt">
                  <v:fill opacity="0"/>
                </v:rect>
                <v:group id="Group 238" o:spid="_x0000_s1151"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Rectangle 10" o:spid="_x0000_s1152"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" path="m,l2240281,,1659256,222885,,822960,,xe" fillcolor="#7e97ad" stroked="f" strokeweight="2pt">
                    <v:path arrowok="t" o:connecttype="custom" o:connectlocs="0,0;1466258,0;1085979,274158;0,1012274;0,0" o:connectangles="0,0,0,0,0"/>
                  </v:shape>
                  <v:rect id="Rectangle 240" o:spid="_x0000_s115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" stroked="f" strokeweight="2pt">
                    <v:fill r:id="rId69" o:title="" recolor="t" rotate="t" type="frame"/>
                  </v:rect>
                </v:group>
                <v:shape id="Text Box 241" o:spid="_x0000_s1154" type="#_x0000_t202" style="position:absolute;left:-1827;top:-168;width:34013;height:2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" filled="f" stroked="f" strokeweight=".5pt">
                  <v:textbox inset="3.6pt,7.2pt,0,0">
                    <w:txbxContent>
                      <w:p w:rsidR="00F735BC" w:rsidRPr="00DA1FF7" w:rsidRDefault="00F735BC" w:rsidP="00393469">
                        <w:pPr>
                          <w:pStyle w:val="NoSpacing"/>
                          <w:ind w:left="360"/>
                          <w:jc w:val="right"/>
                          <w:rPr>
                            <w:smallCaps/>
                            <w:color w:val="333C3D" w:themeColor="accent5" w:themeShade="80"/>
                            <w:kern w:val="20"/>
                            <w:lang w:val="sr-Latn-RS"/>
                          </w:rPr>
                        </w:pPr>
                        <w:r w:rsidRPr="00393469">
                          <w:rPr>
                            <w:bCs/>
                            <w:smallCaps/>
                            <w:color w:val="333C3D" w:themeColor="accent5" w:themeShade="80"/>
                            <w:kern w:val="20"/>
                            <w:lang w:val="sr-Latn-RS"/>
                          </w:rPr>
                          <w:t>Javna uprava nikad nije pozvala privredu da pomogne oko ispunjavanja ciljeva RIA. Javnoj upravi nedostaju kapaciteti. Potrebno je obezbijediti da ciljevi ovog izvještaja budu dio strategije reforme javne uprave</w:t>
                        </w:r>
                      </w:p>
                      <w:p w:rsidR="00F735BC" w:rsidRDefault="00F735BC" w:rsidP="00393469">
                        <w:pPr>
                          <w:pStyle w:val="NoSpacing"/>
                          <w:ind w:left="360"/>
                          <w:jc w:val="right"/>
                          <w:rPr>
                            <w:color w:val="7E97AD" w:themeColor="accent1"/>
                          </w:rPr>
                        </w:pPr>
                        <w:r>
                          <w:rPr>
                            <w:color w:val="7E97AD" w:themeColor="accent1"/>
                            <w:sz w:val="18"/>
                            <w:szCs w:val="18"/>
                            <w:lang w:val="sr-Latn-RS"/>
                          </w:rPr>
                          <w:t xml:space="preserve">Učesnik </w:t>
                        </w:r>
                        <w:r>
                          <w:rPr>
                            <w:color w:val="7E97AD" w:themeColor="accent1"/>
                            <w:sz w:val="18"/>
                            <w:szCs w:val="18"/>
                          </w:rPr>
                          <w:t>Fokus grupe</w:t>
                        </w:r>
                      </w:p>
                    </w:txbxContent>
                  </v:textbox>
                </v:shape>
                <w10:wrap type="square" anchorx="margin" anchory="page"/>
              </v:group>
            </w:pict>
          </mc:Fallback>
        </mc:AlternateContent>
      </w:r>
      <w:r w:rsidR="009C427B" w:rsidRPr="00CB681C">
        <w:rPr>
          <w:rFonts w:asciiTheme="majorHAnsi" w:eastAsia="Calibri" w:hAnsiTheme="majorHAnsi" w:cstheme="majorHAnsi"/>
          <w:color w:val="auto"/>
          <w:kern w:val="0"/>
          <w:sz w:val="24"/>
          <w:szCs w:val="24"/>
          <w:lang w:eastAsia="zh-CN"/>
        </w:rPr>
        <w:t xml:space="preserve">I pored evidentnog pozitivnog trenda, </w:t>
      </w:r>
      <w:r w:rsidR="009C427B" w:rsidRPr="00CB681C">
        <w:rPr>
          <w:rFonts w:asciiTheme="majorHAnsi" w:eastAsia="Calibri" w:hAnsiTheme="majorHAnsi" w:cstheme="majorHAnsi"/>
          <w:b/>
          <w:color w:val="auto"/>
          <w:kern w:val="0"/>
          <w:sz w:val="24"/>
          <w:szCs w:val="24"/>
          <w:lang w:eastAsia="zh-CN"/>
        </w:rPr>
        <w:t>ne postoji potpuna usklađenost javnih politika sa propisanim metodološkim kriterijumima.</w:t>
      </w:r>
      <w:r w:rsidR="009C427B" w:rsidRPr="00CB681C">
        <w:rPr>
          <w:rFonts w:asciiTheme="majorHAnsi" w:eastAsia="Calibri" w:hAnsiTheme="majorHAnsi" w:cstheme="majorHAnsi"/>
          <w:color w:val="auto"/>
          <w:kern w:val="0"/>
          <w:sz w:val="24"/>
          <w:szCs w:val="24"/>
          <w:lang w:eastAsia="zh-CN"/>
        </w:rPr>
        <w:t xml:space="preserve"> Razloge treba tražiti u nedostacima važećih zakonskih rješenja kojima bi se uredila oblast strateškog planiranja i nedostatku integrisanog metodološkog pristupa u planskom sistemu Vlade. Trenutno u normativnom okviru Crne Gore postoji značajan broj zakonskih rješenja kojima se predviđa donošenje strateških dokumenata, definiše njihova struktura i prioriteti koje treba adresirati. Ovo za posledicu ima da strateška dokumenta donijeta na osnovu predmetnih zakonskih rješenja nisu u potpunosti usaglašena sa metodološkim kriterijumima propisanim Uredbom, kao i da prioriteti strateških dokumenata ne odgovaraju aktuelnim trendovima zasnovanim na dostupnim podacima. Pored toga, postojeći normativni okvir ne prepoznaje zakone kao javne politike, što doprinosi neintegrisanom pristupu na relaciji normativno djelovanje – prioriteti Vlade – budžetsko planiranje – sektorske politike, a time i smanjenim mogućnostima efektivnog djelovanja Vlade.</w:t>
      </w:r>
    </w:p>
    <w:p w:rsidR="009C427B" w:rsidRPr="00CB681C" w:rsidRDefault="009C427B" w:rsidP="00153229">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Još jedan od evidentiranih problema, koji doprinosi nižoj usklađenosti javnih politika i njihovom slabijem kvalitetu, je što se </w:t>
      </w:r>
      <w:r w:rsidRPr="00CB681C">
        <w:rPr>
          <w:rFonts w:asciiTheme="majorHAnsi" w:eastAsia="Calibri" w:hAnsiTheme="majorHAnsi" w:cstheme="majorHAnsi"/>
          <w:b/>
          <w:color w:val="auto"/>
          <w:kern w:val="0"/>
          <w:sz w:val="24"/>
          <w:szCs w:val="24"/>
          <w:lang w:eastAsia="zh-CN"/>
        </w:rPr>
        <w:t>javne politike ne zasnivaju u dovoljnoj mjeri na javno dostupnim i provjerljivim podacima</w:t>
      </w:r>
      <w:r w:rsidRPr="00CB681C">
        <w:rPr>
          <w:rFonts w:asciiTheme="majorHAnsi" w:eastAsia="Calibri" w:hAnsiTheme="majorHAnsi" w:cstheme="majorHAnsi"/>
          <w:color w:val="auto"/>
          <w:kern w:val="0"/>
          <w:sz w:val="24"/>
          <w:szCs w:val="24"/>
          <w:lang w:eastAsia="zh-CN"/>
        </w:rPr>
        <w:t>. Stepen usklađenosti  strateških dokumenata sa Uredbom na nivou analize stanja u 2020. godini iznosio je 44% , što je znatno niže u odnosu na opšti stepen usklađenosti strateških dokumenata sa Uredbom. Uzrok ovakvog stanja se prije svega ogleda u nedostupnosti jedinstvenih podataka, odnosno odsustvu sistematizovanih i podataka raščlanjenih po osnovu pola, roda, etničke pripadnosti, starosti itd., koji bi stajali na raspolaganju kreatorima javnih politika. S ovim uzrokom je povezano i nepostojanje sistemskog pristupa u obezbeđenju potrebnih podataka, kao i nedostatka sistemske saradnje na liniji institucije – proizvođači zvanične statistike – akademska zajednica i istraživači.</w:t>
      </w:r>
    </w:p>
    <w:p w:rsidR="009C427B" w:rsidRPr="00CB681C" w:rsidRDefault="009C427B" w:rsidP="00153229">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Neusklađenosti javnih politika doprinosi i </w:t>
      </w:r>
      <w:r w:rsidRPr="00CB681C">
        <w:rPr>
          <w:rFonts w:asciiTheme="majorHAnsi" w:eastAsia="Calibri" w:hAnsiTheme="majorHAnsi" w:cstheme="majorHAnsi"/>
          <w:b/>
          <w:color w:val="auto"/>
          <w:kern w:val="0"/>
          <w:sz w:val="24"/>
          <w:szCs w:val="24"/>
          <w:lang w:eastAsia="zh-CN"/>
        </w:rPr>
        <w:t>nepostojanje normativnog okvira za srednjoročno budžetsko planiranje, time i nepostojanje srednjoročnog budžetskog okvira sa definisanim limitima potrošnje</w:t>
      </w:r>
      <w:r w:rsidRPr="00CB681C">
        <w:rPr>
          <w:rFonts w:asciiTheme="majorHAnsi" w:eastAsia="Calibri" w:hAnsiTheme="majorHAnsi" w:cstheme="majorHAnsi"/>
          <w:color w:val="auto"/>
          <w:kern w:val="0"/>
          <w:sz w:val="24"/>
          <w:szCs w:val="24"/>
          <w:lang w:eastAsia="zh-CN"/>
        </w:rPr>
        <w:t xml:space="preserve"> na osnovu kojih bi se planirali finansijski aspekti javnih politika i ostvarila jasna poveznica sektorskih politika sa budžetom. Posledica ovog problema je da javne politike </w:t>
      </w:r>
      <w:r w:rsidRPr="00CB681C">
        <w:rPr>
          <w:rFonts w:asciiTheme="majorHAnsi" w:eastAsia="Calibri" w:hAnsiTheme="majorHAnsi" w:cstheme="majorHAnsi"/>
          <w:color w:val="auto"/>
          <w:kern w:val="0"/>
          <w:sz w:val="24"/>
          <w:szCs w:val="24"/>
          <w:lang w:eastAsia="zh-CN"/>
        </w:rPr>
        <w:lastRenderedPageBreak/>
        <w:t xml:space="preserve">nemaju održivi karakter što utiče na efektivnost njihovog sprovođenja, kao i na efektivnost rada same Vlade. U kontekstu integrisanog metodološkog pristupa u planskom sistemu Vlade, ovdje posebno treba ukazati na nepostojanje jedinstvenog pristupa koji bi povezao srednjoročno budžetsko planiranje, planiranje srednjoročnih i godišnjih programa rada i planiranje sektorskih politika. Metodologija za srednjoročno planiranje rada Vlade je u toku 2020. terminološki usklađivana s Uredbom o načinu i postupku izrade, usklađenosti i praćenja sprovođenja strateških dokumenata i pratećom Metodologijom razvijanja politika i unapređivana je na osnovu iskustva s pilot ministarstvima. Rad na njoj je stao u periodu parlamentarnih izbora, pa su izostale i jasne smjernice za ministarstva, kojima bi se standardizovao proces izrade srednjoročnog i godišnjeg programa rada Vlade i ministarstava i time obezbijedio jedinstveni pristup u pogledu kvaliteta njihovih inputa na osnovu vladinih prioriteta i sektorskih politika. </w:t>
      </w:r>
    </w:p>
    <w:p w:rsidR="009C427B" w:rsidRPr="00CB681C" w:rsidRDefault="009C427B" w:rsidP="00153229">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Kroz drugo izdanje Metodologije razvijanja politika, izrade i praćenja sprovođenja strateš</w:t>
      </w:r>
      <w:r w:rsidR="00BF4CEF" w:rsidRPr="00CB681C">
        <w:rPr>
          <w:rFonts w:asciiTheme="majorHAnsi" w:eastAsia="Calibri" w:hAnsiTheme="majorHAnsi" w:cstheme="majorHAnsi"/>
          <w:color w:val="auto"/>
          <w:kern w:val="0"/>
          <w:sz w:val="24"/>
          <w:szCs w:val="24"/>
          <w:lang w:eastAsia="zh-CN"/>
        </w:rPr>
        <w:t>kih dokumenata nastoji se poboljš</w:t>
      </w:r>
      <w:r w:rsidRPr="00CB681C">
        <w:rPr>
          <w:rFonts w:asciiTheme="majorHAnsi" w:eastAsia="Calibri" w:hAnsiTheme="majorHAnsi" w:cstheme="majorHAnsi"/>
          <w:color w:val="auto"/>
          <w:kern w:val="0"/>
          <w:sz w:val="24"/>
          <w:szCs w:val="24"/>
          <w:lang w:eastAsia="zh-CN"/>
        </w:rPr>
        <w:t>ati kvalitet politika i promovisati orodnjenost politika, odnosno uvažavanje načela rodne ravnopravnosti, kao što je to predviđeno i Zakon</w:t>
      </w:r>
      <w:r w:rsidR="00E72A11" w:rsidRPr="00CB681C">
        <w:rPr>
          <w:rFonts w:asciiTheme="majorHAnsi" w:eastAsia="Calibri" w:hAnsiTheme="majorHAnsi" w:cstheme="majorHAnsi"/>
          <w:color w:val="auto"/>
          <w:kern w:val="0"/>
          <w:sz w:val="24"/>
          <w:szCs w:val="24"/>
          <w:lang w:eastAsia="zh-CN"/>
        </w:rPr>
        <w:t>om</w:t>
      </w:r>
      <w:r w:rsidRPr="00CB681C">
        <w:rPr>
          <w:rFonts w:asciiTheme="majorHAnsi" w:eastAsia="Calibri" w:hAnsiTheme="majorHAnsi" w:cstheme="majorHAnsi"/>
          <w:color w:val="auto"/>
          <w:kern w:val="0"/>
          <w:sz w:val="24"/>
          <w:szCs w:val="24"/>
          <w:lang w:eastAsia="zh-CN"/>
        </w:rPr>
        <w:t xml:space="preserve"> o rodnoj ravnopravnosti </w:t>
      </w:r>
      <w:r w:rsidR="00E72A11" w:rsidRPr="00CB681C">
        <w:rPr>
          <w:rFonts w:asciiTheme="majorHAnsi" w:eastAsia="Calibri" w:hAnsiTheme="majorHAnsi" w:cstheme="majorHAnsi"/>
          <w:color w:val="auto"/>
          <w:kern w:val="0"/>
          <w:sz w:val="24"/>
          <w:szCs w:val="24"/>
          <w:lang w:eastAsia="zh-CN"/>
        </w:rPr>
        <w:t>(</w:t>
      </w:r>
      <w:r w:rsidR="00BF4CEF" w:rsidRPr="00CB681C">
        <w:rPr>
          <w:rFonts w:asciiTheme="majorHAnsi" w:hAnsiTheme="majorHAnsi" w:cstheme="majorHAnsi"/>
          <w:color w:val="auto"/>
          <w:sz w:val="24"/>
          <w:szCs w:val="24"/>
        </w:rPr>
        <w:t>„</w:t>
      </w:r>
      <w:r w:rsidR="00E72A11" w:rsidRPr="00CB681C">
        <w:rPr>
          <w:rFonts w:asciiTheme="majorHAnsi" w:hAnsiTheme="majorHAnsi" w:cstheme="majorHAnsi"/>
          <w:color w:val="auto"/>
          <w:sz w:val="24"/>
          <w:szCs w:val="24"/>
        </w:rPr>
        <w:t xml:space="preserve">Službeni </w:t>
      </w:r>
      <w:r w:rsidR="00BF4CEF" w:rsidRPr="00CB681C">
        <w:rPr>
          <w:rFonts w:asciiTheme="majorHAnsi" w:hAnsiTheme="majorHAnsi" w:cstheme="majorHAnsi"/>
          <w:color w:val="auto"/>
          <w:sz w:val="24"/>
          <w:szCs w:val="24"/>
        </w:rPr>
        <w:t>list RCG“</w:t>
      </w:r>
      <w:r w:rsidR="006B7EDD" w:rsidRPr="00CB681C">
        <w:rPr>
          <w:rFonts w:asciiTheme="majorHAnsi" w:hAnsiTheme="majorHAnsi" w:cstheme="majorHAnsi"/>
          <w:color w:val="auto"/>
          <w:sz w:val="24"/>
          <w:szCs w:val="24"/>
        </w:rPr>
        <w:t xml:space="preserve">, br. </w:t>
      </w:r>
      <w:hyperlink r:id="rId103" w:history="1">
        <w:r w:rsidR="006B7EDD" w:rsidRPr="00CB681C">
          <w:rPr>
            <w:rFonts w:asciiTheme="majorHAnsi" w:hAnsiTheme="majorHAnsi" w:cstheme="majorHAnsi"/>
            <w:color w:val="auto"/>
            <w:sz w:val="24"/>
            <w:szCs w:val="24"/>
          </w:rPr>
          <w:t>46/2007</w:t>
        </w:r>
      </w:hyperlink>
      <w:r w:rsidR="006B7EDD" w:rsidRPr="00CB681C">
        <w:rPr>
          <w:rFonts w:asciiTheme="majorHAnsi" w:hAnsiTheme="majorHAnsi" w:cstheme="majorHAnsi"/>
          <w:color w:val="auto"/>
          <w:sz w:val="24"/>
          <w:szCs w:val="24"/>
        </w:rPr>
        <w:t xml:space="preserve">, </w:t>
      </w:r>
      <w:hyperlink r:id="rId104" w:history="1">
        <w:r w:rsidR="006B7EDD" w:rsidRPr="00CB681C">
          <w:rPr>
            <w:rFonts w:asciiTheme="majorHAnsi" w:hAnsiTheme="majorHAnsi" w:cstheme="majorHAnsi"/>
            <w:color w:val="auto"/>
            <w:sz w:val="24"/>
            <w:szCs w:val="24"/>
            <w:lang w:val="sr-Cyrl-CS"/>
          </w:rPr>
          <w:t>40/2011</w:t>
        </w:r>
      </w:hyperlink>
      <w:r w:rsidR="006B7EDD" w:rsidRPr="00CB681C">
        <w:rPr>
          <w:rFonts w:asciiTheme="majorHAnsi" w:hAnsiTheme="majorHAnsi" w:cstheme="majorHAnsi"/>
          <w:color w:val="auto"/>
          <w:sz w:val="24"/>
          <w:szCs w:val="24"/>
          <w:lang w:val="sr-Cyrl-CS"/>
        </w:rPr>
        <w:t xml:space="preserve"> </w:t>
      </w:r>
      <w:r w:rsidR="006B7EDD" w:rsidRPr="00CB681C">
        <w:rPr>
          <w:rFonts w:asciiTheme="majorHAnsi" w:hAnsiTheme="majorHAnsi" w:cstheme="majorHAnsi"/>
          <w:color w:val="auto"/>
          <w:sz w:val="24"/>
          <w:szCs w:val="24"/>
        </w:rPr>
        <w:t xml:space="preserve">i </w:t>
      </w:r>
      <w:hyperlink r:id="rId105" w:history="1">
        <w:r w:rsidR="006B7EDD" w:rsidRPr="00CB681C">
          <w:rPr>
            <w:rFonts w:asciiTheme="majorHAnsi" w:hAnsiTheme="majorHAnsi" w:cstheme="majorHAnsi"/>
            <w:color w:val="auto"/>
            <w:sz w:val="24"/>
            <w:szCs w:val="24"/>
          </w:rPr>
          <w:t>35/2015</w:t>
        </w:r>
      </w:hyperlink>
      <w:r w:rsidR="00E72A11" w:rsidRPr="00CB681C">
        <w:rPr>
          <w:rFonts w:asciiTheme="majorHAnsi" w:hAnsiTheme="majorHAnsi" w:cstheme="majorHAnsi"/>
          <w:color w:val="auto"/>
          <w:sz w:val="24"/>
          <w:szCs w:val="24"/>
        </w:rPr>
        <w:t>),</w:t>
      </w:r>
      <w:r w:rsidR="006B7EDD" w:rsidRPr="00CB681C">
        <w:rPr>
          <w:rFonts w:asciiTheme="majorHAnsi" w:eastAsia="Calibri" w:hAnsiTheme="majorHAnsi" w:cstheme="majorHAnsi"/>
          <w:color w:val="auto"/>
          <w:kern w:val="0"/>
          <w:sz w:val="24"/>
          <w:szCs w:val="24"/>
          <w:lang w:eastAsia="zh-CN"/>
        </w:rPr>
        <w:t xml:space="preserve"> </w:t>
      </w:r>
      <w:r w:rsidRPr="00CB681C">
        <w:rPr>
          <w:rFonts w:asciiTheme="majorHAnsi" w:eastAsia="Calibri" w:hAnsiTheme="majorHAnsi" w:cstheme="majorHAnsi"/>
          <w:color w:val="auto"/>
          <w:kern w:val="0"/>
          <w:sz w:val="24"/>
          <w:szCs w:val="24"/>
          <w:lang w:eastAsia="zh-CN"/>
        </w:rPr>
        <w:t xml:space="preserve">kako bi se procjenio uticaj politika na položaj žena i muškaraca i odgovorilo na njihove različite potrebe. Međutim, šira slika o stanju u sektorima, orodnjavanju politika, uticaju na životnu sredinu, usklađenosti s prioritetima na nacionalnom nivou kao i usklađenosti sistema sa zahtjevima procesa pristupanja Crne Gore EU, i dostizanja ciljeva održivog razvoja, često nije u prvom planu. Posljedica je da se </w:t>
      </w:r>
      <w:r w:rsidRPr="00CB681C">
        <w:rPr>
          <w:rFonts w:asciiTheme="majorHAnsi" w:eastAsia="Calibri" w:hAnsiTheme="majorHAnsi" w:cstheme="majorHAnsi"/>
          <w:b/>
          <w:color w:val="auto"/>
          <w:kern w:val="0"/>
          <w:sz w:val="24"/>
          <w:szCs w:val="24"/>
          <w:lang w:eastAsia="zh-CN"/>
        </w:rPr>
        <w:t>politike ne koncipiraju na dovoljno inkluzivan način</w:t>
      </w:r>
      <w:r w:rsidRPr="00CB681C">
        <w:rPr>
          <w:rFonts w:asciiTheme="majorHAnsi" w:eastAsia="Calibri" w:hAnsiTheme="majorHAnsi" w:cstheme="majorHAnsi"/>
          <w:color w:val="auto"/>
          <w:kern w:val="0"/>
          <w:sz w:val="24"/>
          <w:szCs w:val="24"/>
          <w:lang w:eastAsia="zh-CN"/>
        </w:rPr>
        <w:t>, gdje bi konsultacije između ministarstava i ključnih zainteresovanih strana bile aktivne u svim fazama ciklusa planiranja i razvoja politika.</w:t>
      </w:r>
    </w:p>
    <w:p w:rsidR="0004773A" w:rsidRPr="00CB681C" w:rsidRDefault="0004773A" w:rsidP="007E14C5">
      <w:pPr>
        <w:tabs>
          <w:tab w:val="left" w:pos="850"/>
          <w:tab w:val="left" w:pos="1191"/>
          <w:tab w:val="left" w:pos="1531"/>
        </w:tabs>
        <w:spacing w:before="120" w:after="12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Postoji </w:t>
      </w:r>
      <w:r w:rsidRPr="00CB681C">
        <w:rPr>
          <w:rFonts w:asciiTheme="majorHAnsi" w:eastAsia="Calibri" w:hAnsiTheme="majorHAnsi" w:cstheme="majorHAnsi"/>
          <w:b/>
          <w:color w:val="auto"/>
          <w:kern w:val="0"/>
          <w:sz w:val="24"/>
          <w:szCs w:val="24"/>
          <w:lang w:eastAsia="zh-CN"/>
        </w:rPr>
        <w:t>neiskorišćenost procesa konsultacija za strateške dokumente i propise</w:t>
      </w:r>
      <w:r w:rsidRPr="00CB681C">
        <w:rPr>
          <w:rFonts w:asciiTheme="majorHAnsi" w:eastAsia="Calibri" w:hAnsiTheme="majorHAnsi" w:cstheme="majorHAnsi"/>
          <w:color w:val="auto"/>
          <w:kern w:val="0"/>
          <w:sz w:val="24"/>
          <w:szCs w:val="24"/>
          <w:lang w:eastAsia="zh-CN"/>
        </w:rPr>
        <w:t>. Ministarstvo javne uprave, digitalnog društva i medija je prepoznato kao institucija zadužena za kontrolu kvaliteta javnih konsultacija. Preduzete su brojne aktivnosti kako bi ovaj mehanizam zaživio (smjernice, obuke, izmjene Poslovnika o radu Vlade i slično).</w:t>
      </w:r>
    </w:p>
    <w:p w:rsidR="0004773A" w:rsidRPr="00CB681C" w:rsidRDefault="0004773A" w:rsidP="0004773A">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Evaluacija Strategije reforme javne uprave  prikazala je da </w:t>
      </w:r>
      <w:r w:rsidRPr="00CB681C">
        <w:rPr>
          <w:rFonts w:asciiTheme="majorHAnsi" w:eastAsia="Calibri" w:hAnsiTheme="majorHAnsi" w:cstheme="majorHAnsi"/>
          <w:b/>
          <w:color w:val="auto"/>
          <w:kern w:val="0"/>
          <w:sz w:val="24"/>
          <w:szCs w:val="24"/>
          <w:lang w:eastAsia="zh-CN"/>
        </w:rPr>
        <w:t>sistemi eParticipacije i ePeticije nisu u dovoljnoj mjeri iskorišćeni</w:t>
      </w:r>
      <w:r w:rsidRPr="00CB681C">
        <w:rPr>
          <w:rFonts w:asciiTheme="majorHAnsi" w:eastAsia="Calibri" w:hAnsiTheme="majorHAnsi" w:cstheme="majorHAnsi"/>
          <w:color w:val="auto"/>
          <w:kern w:val="0"/>
          <w:sz w:val="24"/>
          <w:szCs w:val="24"/>
          <w:lang w:eastAsia="zh-CN"/>
        </w:rPr>
        <w:t xml:space="preserve">, prije svega zbog činjenice da građani nisu prepoznali ovaj sistem (tokom 2019. godine podnijet je samo jedan komentar na nacrte propisa). Sa druge strane, u sistemu ePeticija postoji problem u procedurama koje sprovode institucije u dijelu neobjavljivanja peticija na glasanje. Na taj način građani gube povjerenje jer se njihovim opravdanim zahtjevima ne daje šansa za glasanje. </w:t>
      </w:r>
      <w:r w:rsidRPr="00CB681C">
        <w:rPr>
          <w:rFonts w:asciiTheme="majorHAnsi" w:eastAsia="Calibri" w:hAnsiTheme="majorHAnsi" w:cstheme="majorHAnsi"/>
          <w:noProof/>
          <w:color w:val="auto"/>
          <w:kern w:val="0"/>
          <w:sz w:val="24"/>
          <w:szCs w:val="24"/>
          <w:lang w:eastAsia="sr-Latn-RS"/>
        </w:rPr>
        <mc:AlternateContent>
          <mc:Choice Requires="wpg">
            <w:drawing>
              <wp:anchor distT="0" distB="0" distL="228600" distR="228600" simplePos="0" relativeHeight="251889664" behindDoc="0" locked="0" layoutInCell="1" allowOverlap="1" wp14:anchorId="1379ED0F" wp14:editId="47880DCC">
                <wp:simplePos x="0" y="0"/>
                <wp:positionH relativeFrom="margin">
                  <wp:posOffset>2889250</wp:posOffset>
                </wp:positionH>
                <wp:positionV relativeFrom="page">
                  <wp:posOffset>4048125</wp:posOffset>
                </wp:positionV>
                <wp:extent cx="3345815" cy="784225"/>
                <wp:effectExtent l="0" t="0" r="6985" b="0"/>
                <wp:wrapSquare wrapText="bothSides"/>
                <wp:docPr id="291" name="Group 291"/>
                <wp:cNvGraphicFramePr/>
                <a:graphic xmlns:a="http://schemas.openxmlformats.org/drawingml/2006/main">
                  <a:graphicData uri="http://schemas.microsoft.com/office/word/2010/wordprocessingGroup">
                    <wpg:wgp>
                      <wpg:cNvGrpSpPr/>
                      <wpg:grpSpPr>
                        <a:xfrm>
                          <a:off x="0" y="0"/>
                          <a:ext cx="3345815" cy="784225"/>
                          <a:chOff x="0" y="0"/>
                          <a:chExt cx="3218688" cy="2028766"/>
                        </a:xfrm>
                      </wpg:grpSpPr>
                      <wps:wsp>
                        <wps:cNvPr id="292" name="Rectangle 292"/>
                        <wps:cNvSpPr/>
                        <wps:spPr>
                          <a:xfrm>
                            <a:off x="0" y="0"/>
                            <a:ext cx="3218688" cy="2028766"/>
                          </a:xfrm>
                          <a:prstGeom prst="rect">
                            <a:avLst/>
                          </a:prstGeom>
                          <a:solidFill>
                            <a:srgbClr val="FFFFFF">
                              <a:alpha val="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3" name="Group 293"/>
                        <wpg:cNvGrpSpPr/>
                        <wpg:grpSpPr>
                          <a:xfrm>
                            <a:off x="0" y="19050"/>
                            <a:ext cx="2249424" cy="832104"/>
                            <a:chOff x="228600" y="0"/>
                            <a:chExt cx="1472184" cy="1024128"/>
                          </a:xfrm>
                        </wpg:grpSpPr>
                        <wps:wsp>
                          <wps:cNvPr id="294"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7E97A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228600" y="0"/>
                              <a:ext cx="1472184" cy="1024128"/>
                            </a:xfrm>
                            <a:prstGeom prst="rect">
                              <a:avLst/>
                            </a:prstGeom>
                            <a:blipFill>
                              <a:blip r:embed="rId65"/>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6" name="Text Box 296"/>
                        <wps:cNvSpPr txBox="1"/>
                        <wps:spPr>
                          <a:xfrm>
                            <a:off x="0" y="0"/>
                            <a:ext cx="3138297" cy="1943524"/>
                          </a:xfrm>
                          <a:prstGeom prst="rect">
                            <a:avLst/>
                          </a:prstGeom>
                          <a:noFill/>
                          <a:ln w="6350">
                            <a:noFill/>
                          </a:ln>
                          <a:effectLst/>
                        </wps:spPr>
                        <wps:txbx>
                          <w:txbxContent>
                            <w:p w:rsidR="00F735BC" w:rsidRPr="00DA1FF7" w:rsidRDefault="00F735BC" w:rsidP="0004773A">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Potrebno je da se smanji birokratija i da se neformalnim putem krenu prikupljati mišljenja građana. Koristiti i društvene mreže za prikupljanje mišljenja javnosti</w:t>
                              </w:r>
                              <w:r>
                                <w:rPr>
                                  <w:smallCaps/>
                                  <w:color w:val="333C3D" w:themeColor="accent5" w:themeShade="80"/>
                                  <w:kern w:val="20"/>
                                  <w:lang w:val="sr-Latn-RS"/>
                                </w:rPr>
                                <w:t>,</w:t>
                              </w:r>
                            </w:p>
                            <w:p w:rsidR="00F735BC" w:rsidRPr="00DE4601" w:rsidRDefault="00F735BC" w:rsidP="0004773A">
                              <w:pPr>
                                <w:pStyle w:val="NoSpacing"/>
                                <w:ind w:left="360"/>
                                <w:jc w:val="right"/>
                                <w:rPr>
                                  <w:color w:val="7E97AD" w:themeColor="accent1"/>
                                  <w:lang w:val="sr-Latn-RS"/>
                                </w:rPr>
                              </w:pPr>
                              <w:r>
                                <w:rPr>
                                  <w:color w:val="7E97AD" w:themeColor="accent1"/>
                                  <w:sz w:val="18"/>
                                  <w:szCs w:val="18"/>
                                  <w:lang w:val="sr-Latn-RS"/>
                                </w:rPr>
                                <w:t xml:space="preserve">Učesnik </w:t>
                              </w:r>
                              <w:r w:rsidRPr="00DE4601">
                                <w:rPr>
                                  <w:color w:val="7E97AD" w:themeColor="accent1"/>
                                  <w:sz w:val="18"/>
                                  <w:szCs w:val="18"/>
                                  <w:lang w:val="sr-Latn-RS"/>
                                </w:rPr>
                                <w:t>Fokus grupe</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79ED0F" id="Group 291" o:spid="_x0000_s1155" style="position:absolute;left:0;text-align:left;margin-left:227.5pt;margin-top:318.75pt;width:263.45pt;height:61.75pt;z-index:251889664;mso-wrap-distance-left:18pt;mso-wrap-distance-right:18pt;mso-position-horizontal-relative:margin;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">
                <v:rect id="Rectangle 292" o:spid="_x0000_s115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" stroked="f" strokeweight="2pt">
                  <v:fill opacity="0"/>
                </v:rect>
                <v:group id="Group 293" o:spid="_x0000_s1157"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Rectangle 10" o:spid="_x0000_s115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" path="m,l2240281,,1659256,222885,,822960,,xe" fillcolor="#7e97ad" stroked="f" strokeweight="2pt">
                    <v:path arrowok="t" o:connecttype="custom" o:connectlocs="0,0;1466258,0;1085979,274158;0,1012274;0,0" o:connectangles="0,0,0,0,0"/>
                  </v:shape>
                  <v:rect id="Rectangle 295" o:spid="_x0000_s1159"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" stroked="f" strokeweight="2pt">
                    <v:fill r:id="rId69" o:title="" recolor="t" rotate="t" type="frame"/>
                  </v:rect>
                </v:group>
                <v:shape id="Text Box 296" o:spid="_x0000_s1160" type="#_x0000_t202" style="position:absolute;width:31382;height:19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" filled="f" stroked="f" strokeweight=".5pt">
                  <v:textbox inset="3.6pt,7.2pt,0,0">
                    <w:txbxContent>
                      <w:p w:rsidR="00F735BC" w:rsidRPr="00DA1FF7" w:rsidRDefault="00F735BC" w:rsidP="0004773A">
                        <w:pPr>
                          <w:pStyle w:val="NoSpacing"/>
                          <w:ind w:left="360"/>
                          <w:jc w:val="right"/>
                          <w:rPr>
                            <w:smallCaps/>
                            <w:color w:val="333C3D" w:themeColor="accent5" w:themeShade="80"/>
                            <w:kern w:val="20"/>
                            <w:lang w:val="sr-Latn-RS"/>
                          </w:rPr>
                        </w:pPr>
                        <w:r w:rsidRPr="00DA1FF7">
                          <w:rPr>
                            <w:smallCaps/>
                            <w:color w:val="333C3D" w:themeColor="accent5" w:themeShade="80"/>
                            <w:kern w:val="20"/>
                            <w:lang w:val="sr-Latn-RS"/>
                          </w:rPr>
                          <w:t>Potrebno je da se smanji birokratija i da se neformalnim putem krenu prikupljati mišljenja građana. Koristiti i društvene mreže za prikupljanje mišljenja javnosti</w:t>
                        </w:r>
                        <w:r>
                          <w:rPr>
                            <w:smallCaps/>
                            <w:color w:val="333C3D" w:themeColor="accent5" w:themeShade="80"/>
                            <w:kern w:val="20"/>
                            <w:lang w:val="sr-Latn-RS"/>
                          </w:rPr>
                          <w:t>,</w:t>
                        </w:r>
                      </w:p>
                      <w:p w:rsidR="00F735BC" w:rsidRPr="00DE4601" w:rsidRDefault="00F735BC" w:rsidP="0004773A">
                        <w:pPr>
                          <w:pStyle w:val="NoSpacing"/>
                          <w:ind w:left="360"/>
                          <w:jc w:val="right"/>
                          <w:rPr>
                            <w:color w:val="7E97AD" w:themeColor="accent1"/>
                            <w:lang w:val="sr-Latn-RS"/>
                          </w:rPr>
                        </w:pPr>
                        <w:r>
                          <w:rPr>
                            <w:color w:val="7E97AD" w:themeColor="accent1"/>
                            <w:sz w:val="18"/>
                            <w:szCs w:val="18"/>
                            <w:lang w:val="sr-Latn-RS"/>
                          </w:rPr>
                          <w:t xml:space="preserve">Učesnik </w:t>
                        </w:r>
                        <w:r w:rsidRPr="00DE4601">
                          <w:rPr>
                            <w:color w:val="7E97AD" w:themeColor="accent1"/>
                            <w:sz w:val="18"/>
                            <w:szCs w:val="18"/>
                            <w:lang w:val="sr-Latn-RS"/>
                          </w:rPr>
                          <w:t>Fokus grupe</w:t>
                        </w:r>
                      </w:p>
                    </w:txbxContent>
                  </v:textbox>
                </v:shape>
                <w10:wrap type="square" anchorx="margin" anchory="page"/>
              </v:group>
            </w:pict>
          </mc:Fallback>
        </mc:AlternateContent>
      </w:r>
    </w:p>
    <w:p w:rsidR="0004773A" w:rsidRPr="00CB681C" w:rsidRDefault="0004773A" w:rsidP="0004773A">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Prema Izvještaju o primjeni Uredbe o izboru predstavnika nevladinih organizacija u radna tijela organa državne uprave i sprovođenju javne rasprave u pripremi zakona i strategija u 2019. godini, najveći izazovi ostaju pravovremeno objavljivanje javnih rasprava i informisanje svih o započetim javnim raspravama, objavljivanje izveštaja RIA zajedno sa nacrtom zakona ili strategije, kao i potreba da se unaprijedi kvalitet izvještaja organa o rezultatima konsultacija, u cilju ne samo ispunjenja standrada, već povećanja kvaliteta komunikacije uprave i učesnika konsultacija. U 2019. godini 8 ministarstava je objavilo spisak zakona o kojima će se sprovoditi javna rasprava (47%) od ukupno 17 ministarstava. Pored toga, od 35 objavljenih javnih poziva za učešće u javnoj raspravi o nacrtu teksta zakona, </w:t>
      </w:r>
      <w:r w:rsidRPr="00CB681C">
        <w:rPr>
          <w:rFonts w:asciiTheme="majorHAnsi" w:eastAsia="Calibri" w:hAnsiTheme="majorHAnsi" w:cstheme="majorHAnsi"/>
          <w:color w:val="auto"/>
          <w:kern w:val="0"/>
          <w:sz w:val="24"/>
          <w:szCs w:val="24"/>
          <w:lang w:eastAsia="zh-CN"/>
        </w:rPr>
        <w:lastRenderedPageBreak/>
        <w:t xml:space="preserve">objavljena je 21 analiza procjene uticaja propisa (RIA obrazac) – što je 60%. Napokon, samo je 49% izvještaja o javnim raspravama objavljeno do potrebnog roka. </w:t>
      </w:r>
    </w:p>
    <w:p w:rsidR="0004773A" w:rsidRPr="00CB681C" w:rsidRDefault="0004773A" w:rsidP="00153229">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Dodatno, prema Uredbi o izboru predstavnika nevladinih organizacija u radna tijela organa državne uprave i sprovođenju javne rasprave u pripremi zakona i strategija (Sl. list CG, br. 041/18), izvještaj o sprovedenim javnim konsultacijama dostavlja se u roku od sedam dana od završetka roka za dostavaljanje predloga i sugestija, dok se izvještaj s javne rasprave priprema u roku od 15 dana od isteka vremena trajanja javne rasprave. Međutim, </w:t>
      </w:r>
      <w:r w:rsidRPr="00CB681C">
        <w:rPr>
          <w:rFonts w:asciiTheme="majorHAnsi" w:eastAsia="Calibri" w:hAnsiTheme="majorHAnsi" w:cstheme="majorHAnsi"/>
          <w:b/>
          <w:color w:val="auto"/>
          <w:kern w:val="0"/>
          <w:sz w:val="24"/>
          <w:szCs w:val="24"/>
          <w:lang w:eastAsia="zh-CN"/>
        </w:rPr>
        <w:t xml:space="preserve">ne postoji sistemsko rješenje kroz koje bi zainteresovana javnost mogla dostavljati predloge za bilo koji krovni i sektorski strateški dokument ili zakon ili njihove djelove i da u realnom vremenu prati dalju proceduru, bez odugovlačenja i čekanja na odgovor. </w:t>
      </w:r>
      <w:r w:rsidRPr="00CB681C">
        <w:rPr>
          <w:rFonts w:asciiTheme="majorHAnsi" w:eastAsia="Calibri" w:hAnsiTheme="majorHAnsi" w:cstheme="majorHAnsi"/>
          <w:color w:val="auto"/>
          <w:kern w:val="0"/>
          <w:sz w:val="24"/>
          <w:szCs w:val="24"/>
          <w:lang w:eastAsia="zh-CN"/>
        </w:rPr>
        <w:t>U izvještaju o napretku Crne Gore za 2019. godinu navodi se da je „u praksi za javnu raspravu potrebno bolje planiranje, transparentnost i otvorenost prema sugestijama organizacija civilnog društva kako bi javne rasprave bile suštinski inkluzivnije“, što ujedno dovodi do nedovoljnog povjerenje građana u transparentnost i učinkovitost javne uprave.</w:t>
      </w:r>
    </w:p>
    <w:p w:rsidR="009C427B" w:rsidRPr="00CB681C" w:rsidRDefault="00605E3D" w:rsidP="00153229">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b/>
          <w:color w:val="auto"/>
          <w:kern w:val="0"/>
          <w:sz w:val="24"/>
          <w:szCs w:val="24"/>
          <w:lang w:eastAsia="zh-CN"/>
        </w:rPr>
        <w:t>Izvještavanj</w:t>
      </w:r>
      <w:r w:rsidR="009C427B" w:rsidRPr="00CB681C">
        <w:rPr>
          <w:rFonts w:asciiTheme="majorHAnsi" w:eastAsia="Calibri" w:hAnsiTheme="majorHAnsi" w:cstheme="majorHAnsi"/>
          <w:b/>
          <w:color w:val="auto"/>
          <w:kern w:val="0"/>
          <w:sz w:val="24"/>
          <w:szCs w:val="24"/>
          <w:lang w:eastAsia="zh-CN"/>
        </w:rPr>
        <w:t>e i praćenje o učincima i rezultatima usvojenih strateških dokumenata</w:t>
      </w:r>
      <w:r w:rsidR="009C427B" w:rsidRPr="00CB681C">
        <w:rPr>
          <w:rFonts w:asciiTheme="majorHAnsi" w:eastAsia="Calibri" w:hAnsiTheme="majorHAnsi" w:cstheme="majorHAnsi"/>
          <w:color w:val="auto"/>
          <w:kern w:val="0"/>
          <w:sz w:val="24"/>
          <w:szCs w:val="24"/>
          <w:lang w:eastAsia="zh-CN"/>
        </w:rPr>
        <w:t xml:space="preserve"> je značajan korak ka razvoju strateškog planiranja i razvoju politika orijentisanih na rezultate. Međutim, u nedostatku integrisanog pristupa u sistemu planiranja, rezultati praćenja, izvještavanja i evaluacije nisu uklopljeni i ne koriste se za naredni ciklus planiranja politika ili pla</w:t>
      </w:r>
      <w:r w:rsidR="00447A9D" w:rsidRPr="00CB681C">
        <w:rPr>
          <w:rFonts w:asciiTheme="majorHAnsi" w:eastAsia="Calibri" w:hAnsiTheme="majorHAnsi" w:cstheme="majorHAnsi"/>
          <w:color w:val="auto"/>
          <w:kern w:val="0"/>
          <w:sz w:val="24"/>
          <w:szCs w:val="24"/>
          <w:lang w:eastAsia="zh-CN"/>
        </w:rPr>
        <w:t>niranje priori</w:t>
      </w:r>
      <w:r w:rsidR="009C427B" w:rsidRPr="00CB681C">
        <w:rPr>
          <w:rFonts w:asciiTheme="majorHAnsi" w:eastAsia="Calibri" w:hAnsiTheme="majorHAnsi" w:cstheme="majorHAnsi"/>
          <w:color w:val="auto"/>
          <w:kern w:val="0"/>
          <w:sz w:val="24"/>
          <w:szCs w:val="24"/>
          <w:lang w:eastAsia="zh-CN"/>
        </w:rPr>
        <w:t>teta Vlade za naredni srednjoročni period. U smislu procjene kvaliteta shodno metodološkim zahtjevima, u dijelu generalne procjene kvaliteta izvještaja, pozitivno mišljenje GSV-a dobilo je 52% izvještaja, dok je 48% dobilo uslovno pozitivno mišljenje. U 2020. je zabilježen procenat od 43% izvještaja koji sadrže dobre ili djelimično dobre analize indikatora učinka, što je nešto više u odnosu na 2019. kada je na ovaj kriterijum odgovaralo 35% svih izvještaja. Izazov u ovom pogledu predstavlja izostanak dobre analize indikatora usljed neuporedivosti podataka, nedostatka kvalitetnih i relevantnih podataka i informacija, ali i slabih kapaciteta državnih službenika za sačinjavanje analitičkih izvještaja.  Pored toga, veza između indikatora uspjeha u strateškim dokumentima i indikatora u budžetu nije uspostavljena i nema definisane liste nacionalnih i međunarodnih indikatora koji se redovno produkuju i prate, a koji bi bili uvezani i sa programiranjem i planiranjem IPA podrške. Nalazi evaluacije ne ulaze u novi ciklus planiranja politika kao posljedica izostanka ove faze u praksi planiranja politika (evaluacije se rade sporadi</w:t>
      </w:r>
      <w:r w:rsidR="002129D9" w:rsidRPr="00CB681C">
        <w:rPr>
          <w:rFonts w:asciiTheme="majorHAnsi" w:eastAsia="Calibri" w:hAnsiTheme="majorHAnsi" w:cstheme="majorHAnsi"/>
          <w:color w:val="auto"/>
          <w:kern w:val="0"/>
          <w:sz w:val="24"/>
          <w:szCs w:val="24"/>
          <w:lang w:eastAsia="zh-CN"/>
        </w:rPr>
        <w:t>čno</w:t>
      </w:r>
      <w:r w:rsidR="009C427B" w:rsidRPr="00CB681C">
        <w:rPr>
          <w:rFonts w:asciiTheme="majorHAnsi" w:eastAsia="Calibri" w:hAnsiTheme="majorHAnsi" w:cstheme="majorHAnsi"/>
          <w:color w:val="auto"/>
          <w:kern w:val="0"/>
          <w:sz w:val="24"/>
          <w:szCs w:val="24"/>
          <w:lang w:eastAsia="zh-CN"/>
        </w:rPr>
        <w:t>). Tome doprinose slabi kadrovski i institucionalni kapaciteti za izradu evaluacija, nejasne procedure za sprovođenje evaluacije, a često i izostanak finansijskih sredstava za ovaj proces.</w:t>
      </w:r>
    </w:p>
    <w:p w:rsidR="009C427B" w:rsidRPr="00CB681C" w:rsidRDefault="009C427B" w:rsidP="00153229">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U dijelu izvještavanja o utrošku sredstava, resori su značajno unaprijedili izvještavanje o finansijskim sredstvima utrošenim u realizaciju aktivnosti, gdje 46% izvještaja sadrži u potpunosti prihvatljive informacije o utrošenim sredstvima i izvorima finansiranja, što je 20% više u odnosu na 2019. I dalje, ovaj procenat ukazuje da se budžetiranju nije posvetila pažnja prilikom izrade strateških dokumenata, što potvrđuje i relativno prosječan kvalitet finansijskih procjena u strateškim dokumenata, gdje među novim dokumentima svega 56% ima dobro utvrđen prikaz finansija. </w:t>
      </w:r>
    </w:p>
    <w:p w:rsidR="0004773A" w:rsidRPr="00CB681C" w:rsidRDefault="009C427B" w:rsidP="00153229">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Razvijen je Portal za strateško planiranje u okviru </w:t>
      </w:r>
      <w:r w:rsidRPr="00CB681C">
        <w:rPr>
          <w:rFonts w:asciiTheme="majorHAnsi" w:eastAsia="Calibri" w:hAnsiTheme="majorHAnsi" w:cstheme="majorHAnsi"/>
          <w:b/>
          <w:color w:val="auto"/>
          <w:kern w:val="0"/>
          <w:sz w:val="24"/>
          <w:szCs w:val="24"/>
          <w:lang w:eastAsia="zh-CN"/>
        </w:rPr>
        <w:t>IT sistema za evropske integracije (MESPH</w:t>
      </w:r>
      <w:r w:rsidRPr="00CB681C">
        <w:rPr>
          <w:rFonts w:asciiTheme="majorHAnsi" w:eastAsia="Calibri" w:hAnsiTheme="majorHAnsi" w:cstheme="majorHAnsi"/>
          <w:color w:val="auto"/>
          <w:kern w:val="0"/>
          <w:sz w:val="24"/>
          <w:szCs w:val="24"/>
          <w:lang w:eastAsia="zh-CN"/>
        </w:rPr>
        <w:t>) i uspostavljen je</w:t>
      </w:r>
      <w:r w:rsidRPr="00CB681C">
        <w:rPr>
          <w:rFonts w:asciiTheme="majorHAnsi" w:eastAsia="Calibri" w:hAnsiTheme="majorHAnsi" w:cstheme="majorHAnsi"/>
          <w:b/>
          <w:color w:val="auto"/>
          <w:kern w:val="0"/>
          <w:sz w:val="24"/>
          <w:szCs w:val="24"/>
          <w:lang w:eastAsia="zh-CN"/>
        </w:rPr>
        <w:t xml:space="preserve"> IT sistem za praćenje i izvještavanje srednjoročnih programa rada ministarstava – ISPI. Iako su odvojeni</w:t>
      </w:r>
      <w:r w:rsidRPr="00CB681C">
        <w:rPr>
          <w:rFonts w:asciiTheme="majorHAnsi" w:eastAsia="Calibri" w:hAnsiTheme="majorHAnsi" w:cstheme="majorHAnsi"/>
          <w:color w:val="auto"/>
          <w:kern w:val="0"/>
          <w:sz w:val="24"/>
          <w:szCs w:val="24"/>
          <w:lang w:eastAsia="zh-CN"/>
        </w:rPr>
        <w:t xml:space="preserve">, na osnovu specifikacija se može utvrditi da se radi o dva komplementarna rješenja koja se mogu uvezati. Međutim, kroz pilot upotrebu oba sistema se ispostavilo da ne odgovaraju u potpunosti potrebama korisnika (državnih službenika), te da im nedostaju određeni elementi iz </w:t>
      </w:r>
      <w:r w:rsidRPr="00CB681C">
        <w:rPr>
          <w:rFonts w:asciiTheme="majorHAnsi" w:eastAsia="Calibri" w:hAnsiTheme="majorHAnsi" w:cstheme="majorHAnsi"/>
          <w:color w:val="auto"/>
          <w:kern w:val="0"/>
          <w:sz w:val="24"/>
          <w:szCs w:val="24"/>
          <w:lang w:eastAsia="zh-CN"/>
        </w:rPr>
        <w:lastRenderedPageBreak/>
        <w:t xml:space="preserve">relevatnih metodologija, posebno prilikom pripreme izvještaja o sprovođenju. Pored njih, postoji i poseban sistem za pripremu programskog budžeta. </w:t>
      </w:r>
      <w:r w:rsidRPr="00CB681C">
        <w:rPr>
          <w:rFonts w:asciiTheme="majorHAnsi" w:eastAsia="Calibri" w:hAnsiTheme="majorHAnsi" w:cstheme="majorHAnsi"/>
          <w:b/>
          <w:color w:val="auto"/>
          <w:kern w:val="0"/>
          <w:sz w:val="24"/>
          <w:szCs w:val="24"/>
          <w:lang w:eastAsia="zh-CN"/>
        </w:rPr>
        <w:t>IT rješenja za monitoring politika i programski budžet nijesu sistemski uvezana.</w:t>
      </w:r>
      <w:r w:rsidRPr="00CB681C">
        <w:rPr>
          <w:rFonts w:asciiTheme="majorHAnsi" w:eastAsia="Calibri" w:hAnsiTheme="majorHAnsi" w:cstheme="majorHAnsi"/>
          <w:color w:val="auto"/>
          <w:kern w:val="0"/>
          <w:sz w:val="24"/>
          <w:szCs w:val="24"/>
          <w:lang w:eastAsia="zh-CN"/>
        </w:rPr>
        <w:t xml:space="preserve"> Za sad ne postoji jedinstvena terminologija ili </w:t>
      </w:r>
      <w:r w:rsidR="00447A9D" w:rsidRPr="00CB681C">
        <w:rPr>
          <w:rFonts w:asciiTheme="majorHAnsi" w:eastAsia="Calibri" w:hAnsiTheme="majorHAnsi" w:cstheme="majorHAnsi"/>
          <w:color w:val="auto"/>
          <w:kern w:val="0"/>
          <w:sz w:val="24"/>
          <w:szCs w:val="24"/>
          <w:lang w:eastAsia="zh-CN"/>
        </w:rPr>
        <w:t>šema s podacima koji bi se mogli</w:t>
      </w:r>
      <w:r w:rsidRPr="00CB681C">
        <w:rPr>
          <w:rFonts w:asciiTheme="majorHAnsi" w:eastAsia="Calibri" w:hAnsiTheme="majorHAnsi" w:cstheme="majorHAnsi"/>
          <w:color w:val="auto"/>
          <w:kern w:val="0"/>
          <w:sz w:val="24"/>
          <w:szCs w:val="24"/>
          <w:lang w:eastAsia="zh-CN"/>
        </w:rPr>
        <w:t xml:space="preserve"> preuzimati iz Informacionog sistema za programsko budžetiranje, za potrebe planiranja rada ministarstava i pripremu strateških dokumenata i izvještaja o realizaciji</w:t>
      </w:r>
      <w:r w:rsidR="00CB681C">
        <w:rPr>
          <w:rFonts w:asciiTheme="majorHAnsi" w:eastAsia="Calibri" w:hAnsiTheme="majorHAnsi" w:cstheme="majorHAnsi"/>
          <w:color w:val="auto"/>
          <w:kern w:val="0"/>
          <w:sz w:val="24"/>
          <w:szCs w:val="24"/>
          <w:lang w:eastAsia="zh-CN"/>
        </w:rPr>
        <w:t>.</w:t>
      </w:r>
    </w:p>
    <w:p w:rsidR="0004773A" w:rsidRPr="001014EF" w:rsidRDefault="00C95C15" w:rsidP="00B43D4E">
      <w:pPr>
        <w:pStyle w:val="ListParagraph"/>
        <w:numPr>
          <w:ilvl w:val="0"/>
          <w:numId w:val="38"/>
        </w:numPr>
        <w:tabs>
          <w:tab w:val="left" w:pos="850"/>
          <w:tab w:val="left" w:pos="1191"/>
          <w:tab w:val="left" w:pos="1531"/>
        </w:tabs>
        <w:spacing w:before="120" w:after="120" w:line="240" w:lineRule="auto"/>
        <w:ind w:left="274" w:right="-471" w:hanging="274"/>
        <w:contextualSpacing w:val="0"/>
        <w:jc w:val="both"/>
        <w:rPr>
          <w:rFonts w:asciiTheme="majorHAnsi" w:eastAsia="Calibri" w:hAnsiTheme="majorHAnsi" w:cstheme="majorHAnsi"/>
          <w:b/>
          <w:i/>
          <w:vanish/>
          <w:color w:val="auto"/>
          <w:kern w:val="0"/>
          <w:sz w:val="24"/>
          <w:szCs w:val="24"/>
          <w:lang w:eastAsia="zh-CN"/>
        </w:rPr>
      </w:pPr>
      <w:r w:rsidRPr="00CB681C">
        <w:rPr>
          <w:rFonts w:asciiTheme="majorHAnsi" w:eastAsia="Calibri" w:hAnsiTheme="majorHAnsi" w:cstheme="majorHAnsi"/>
          <w:b/>
          <w:i/>
          <w:color w:val="auto"/>
          <w:kern w:val="0"/>
          <w:sz w:val="24"/>
          <w:szCs w:val="24"/>
          <w:lang w:eastAsia="zh-CN"/>
        </w:rPr>
        <w:t>Nedostatak pravila i procedura koje bi jasno definisale uloge i obaveze svih aktera u procesu strateškog planiranja u svakom organu državne uprave i jedinicama lokalne uprave</w:t>
      </w:r>
      <w:bookmarkStart w:id="43" w:name="_Hlk77588991"/>
    </w:p>
    <w:p w:rsidR="009C427B" w:rsidRPr="00CB681C" w:rsidRDefault="009C427B" w:rsidP="00CB681C">
      <w:pPr>
        <w:tabs>
          <w:tab w:val="left" w:pos="850"/>
          <w:tab w:val="left" w:pos="1191"/>
          <w:tab w:val="left" w:pos="1531"/>
        </w:tabs>
        <w:spacing w:before="60" w:after="60" w:line="240" w:lineRule="auto"/>
        <w:ind w:right="-475"/>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b/>
          <w:bCs/>
          <w:color w:val="auto"/>
          <w:kern w:val="0"/>
          <w:sz w:val="24"/>
          <w:szCs w:val="24"/>
          <w:lang w:eastAsia="zh-CN"/>
        </w:rPr>
        <w:t>Odsustvo propisanih procedura saradnje koje bi jasno definisale uloge i obaveze svih aktera u sistemu strateškog planiranja</w:t>
      </w:r>
      <w:r w:rsidRPr="00CB681C">
        <w:rPr>
          <w:rFonts w:asciiTheme="majorHAnsi" w:eastAsia="Calibri" w:hAnsiTheme="majorHAnsi" w:cstheme="majorHAnsi"/>
          <w:color w:val="auto"/>
          <w:kern w:val="0"/>
          <w:sz w:val="24"/>
          <w:szCs w:val="24"/>
          <w:lang w:eastAsia="zh-CN"/>
        </w:rPr>
        <w:t xml:space="preserve"> </w:t>
      </w:r>
      <w:bookmarkEnd w:id="43"/>
      <w:r w:rsidRPr="00CB681C">
        <w:rPr>
          <w:rFonts w:asciiTheme="majorHAnsi" w:eastAsia="Calibri" w:hAnsiTheme="majorHAnsi" w:cstheme="majorHAnsi"/>
          <w:color w:val="auto"/>
          <w:kern w:val="0"/>
          <w:sz w:val="24"/>
          <w:szCs w:val="24"/>
          <w:lang w:eastAsia="zh-CN"/>
        </w:rPr>
        <w:t xml:space="preserve">ima za posledicu </w:t>
      </w:r>
      <w:bookmarkStart w:id="44" w:name="_Hlk77589011"/>
      <w:r w:rsidRPr="00CB681C">
        <w:rPr>
          <w:rFonts w:asciiTheme="majorHAnsi" w:eastAsia="Calibri" w:hAnsiTheme="majorHAnsi" w:cstheme="majorHAnsi"/>
          <w:color w:val="auto"/>
          <w:kern w:val="0"/>
          <w:sz w:val="24"/>
          <w:szCs w:val="24"/>
          <w:lang w:eastAsia="zh-CN"/>
        </w:rPr>
        <w:t>fragmentirano djelovanje institucija i ograničene kumulativne efekate kojima sistem strateškog planiranja treba da rezultira u praksi</w:t>
      </w:r>
      <w:bookmarkEnd w:id="44"/>
      <w:r w:rsidRPr="00CB681C">
        <w:rPr>
          <w:rFonts w:asciiTheme="majorHAnsi" w:eastAsia="Calibri" w:hAnsiTheme="majorHAnsi" w:cstheme="majorHAnsi"/>
          <w:color w:val="auto"/>
          <w:kern w:val="0"/>
          <w:sz w:val="24"/>
          <w:szCs w:val="24"/>
          <w:lang w:eastAsia="zh-CN"/>
        </w:rPr>
        <w:t>.</w:t>
      </w:r>
    </w:p>
    <w:p w:rsidR="009C427B" w:rsidRPr="00CB681C" w:rsidRDefault="009C427B" w:rsidP="00CB681C">
      <w:pPr>
        <w:tabs>
          <w:tab w:val="left" w:pos="850"/>
          <w:tab w:val="left" w:pos="1191"/>
          <w:tab w:val="left" w:pos="1531"/>
        </w:tabs>
        <w:spacing w:before="60" w:after="60" w:line="240" w:lineRule="auto"/>
        <w:ind w:right="-475"/>
        <w:jc w:val="both"/>
        <w:rPr>
          <w:rFonts w:asciiTheme="majorHAnsi" w:eastAsia="Calibri" w:hAnsiTheme="majorHAnsi" w:cstheme="majorHAnsi"/>
          <w:bCs/>
          <w:color w:val="auto"/>
          <w:kern w:val="0"/>
          <w:sz w:val="24"/>
          <w:szCs w:val="24"/>
          <w:lang w:eastAsia="zh-CN"/>
        </w:rPr>
      </w:pPr>
      <w:bookmarkStart w:id="45" w:name="_Hlk77589028"/>
      <w:r w:rsidRPr="00CB681C">
        <w:rPr>
          <w:rFonts w:asciiTheme="majorHAnsi" w:eastAsia="Calibri" w:hAnsiTheme="majorHAnsi" w:cstheme="majorHAnsi"/>
          <w:bCs/>
          <w:color w:val="auto"/>
          <w:kern w:val="0"/>
          <w:sz w:val="24"/>
          <w:szCs w:val="24"/>
          <w:lang w:eastAsia="zh-CN"/>
        </w:rPr>
        <w:t xml:space="preserve">Zbog svog </w:t>
      </w:r>
      <w:r w:rsidRPr="00CB681C">
        <w:rPr>
          <w:rFonts w:asciiTheme="majorHAnsi" w:eastAsia="Calibri" w:hAnsiTheme="majorHAnsi" w:cstheme="majorHAnsi"/>
          <w:b/>
          <w:color w:val="auto"/>
          <w:kern w:val="0"/>
          <w:sz w:val="24"/>
          <w:szCs w:val="24"/>
          <w:lang w:eastAsia="zh-CN"/>
        </w:rPr>
        <w:t>neformalnog karaktera</w:t>
      </w:r>
      <w:r w:rsidRPr="00CB681C">
        <w:rPr>
          <w:rFonts w:asciiTheme="majorHAnsi" w:eastAsia="Calibri" w:hAnsiTheme="majorHAnsi" w:cstheme="majorHAnsi"/>
          <w:bCs/>
          <w:color w:val="auto"/>
          <w:kern w:val="0"/>
          <w:sz w:val="24"/>
          <w:szCs w:val="24"/>
          <w:lang w:eastAsia="zh-CN"/>
        </w:rPr>
        <w:t xml:space="preserve">, kao i zbog svog operativnog nivoa (ekspertski kadar), </w:t>
      </w:r>
      <w:r w:rsidRPr="00CB681C">
        <w:rPr>
          <w:rFonts w:asciiTheme="majorHAnsi" w:eastAsia="Calibri" w:hAnsiTheme="majorHAnsi" w:cstheme="majorHAnsi"/>
          <w:b/>
          <w:color w:val="auto"/>
          <w:kern w:val="0"/>
          <w:sz w:val="24"/>
          <w:szCs w:val="24"/>
          <w:lang w:eastAsia="zh-CN"/>
        </w:rPr>
        <w:t xml:space="preserve">Mreža </w:t>
      </w:r>
      <w:r w:rsidRPr="00CB681C">
        <w:rPr>
          <w:rFonts w:asciiTheme="majorHAnsi" w:eastAsia="Calibri" w:hAnsiTheme="majorHAnsi" w:cstheme="majorHAnsi"/>
          <w:b/>
          <w:bCs/>
          <w:color w:val="auto"/>
          <w:kern w:val="0"/>
          <w:sz w:val="24"/>
          <w:szCs w:val="24"/>
          <w:lang w:eastAsia="zh-CN"/>
        </w:rPr>
        <w:t xml:space="preserve">državnih službenika za strateško planiranje </w:t>
      </w:r>
      <w:r w:rsidRPr="00CB681C">
        <w:rPr>
          <w:rFonts w:asciiTheme="majorHAnsi" w:eastAsia="Calibri" w:hAnsiTheme="majorHAnsi" w:cstheme="majorHAnsi"/>
          <w:b/>
          <w:color w:val="auto"/>
          <w:kern w:val="0"/>
          <w:sz w:val="24"/>
          <w:szCs w:val="24"/>
          <w:lang w:eastAsia="zh-CN"/>
        </w:rPr>
        <w:t>nije uspjela da se nametne kao funkcionalni koordinacioni mehanizam</w:t>
      </w:r>
      <w:bookmarkEnd w:id="45"/>
      <w:r w:rsidRPr="00CB681C">
        <w:rPr>
          <w:rFonts w:asciiTheme="majorHAnsi" w:eastAsia="Calibri" w:hAnsiTheme="majorHAnsi" w:cstheme="majorHAnsi"/>
          <w:bCs/>
          <w:color w:val="auto"/>
          <w:kern w:val="0"/>
          <w:sz w:val="24"/>
          <w:szCs w:val="24"/>
          <w:lang w:eastAsia="zh-CN"/>
        </w:rPr>
        <w:t>, koji bi odgovorio na nedostatke koje je evidentirala SIGMA u svom izvještaju,</w:t>
      </w:r>
      <w:r w:rsidRPr="00CB681C">
        <w:rPr>
          <w:rFonts w:asciiTheme="majorHAnsi" w:eastAsia="Calibri" w:hAnsiTheme="majorHAnsi" w:cstheme="majorHAnsi"/>
          <w:bCs/>
          <w:color w:val="auto"/>
          <w:kern w:val="0"/>
          <w:sz w:val="24"/>
          <w:szCs w:val="24"/>
          <w:vertAlign w:val="superscript"/>
          <w:lang w:eastAsia="zh-CN"/>
        </w:rPr>
        <w:footnoteReference w:id="121"/>
      </w:r>
      <w:r w:rsidRPr="00CB681C">
        <w:rPr>
          <w:rFonts w:asciiTheme="majorHAnsi" w:eastAsia="Calibri" w:hAnsiTheme="majorHAnsi" w:cstheme="majorHAnsi"/>
          <w:bCs/>
          <w:color w:val="auto"/>
          <w:kern w:val="0"/>
          <w:sz w:val="24"/>
          <w:szCs w:val="24"/>
          <w:lang w:eastAsia="zh-CN"/>
        </w:rPr>
        <w:t xml:space="preserve"> gdje se konstatuje </w:t>
      </w:r>
      <w:bookmarkStart w:id="46" w:name="_Hlk77589045"/>
      <w:r w:rsidRPr="00CB681C">
        <w:rPr>
          <w:rFonts w:asciiTheme="majorHAnsi" w:eastAsia="Calibri" w:hAnsiTheme="majorHAnsi" w:cstheme="majorHAnsi"/>
          <w:bCs/>
          <w:color w:val="auto"/>
          <w:kern w:val="0"/>
          <w:sz w:val="24"/>
          <w:szCs w:val="24"/>
          <w:lang w:eastAsia="zh-CN"/>
        </w:rPr>
        <w:t xml:space="preserve">nedostatak institucionalne koordinacije između institucija centra Vlade </w:t>
      </w:r>
      <w:bookmarkEnd w:id="46"/>
      <w:r w:rsidRPr="00CB681C">
        <w:rPr>
          <w:rFonts w:asciiTheme="majorHAnsi" w:eastAsia="Calibri" w:hAnsiTheme="majorHAnsi" w:cstheme="majorHAnsi"/>
          <w:bCs/>
          <w:color w:val="auto"/>
          <w:kern w:val="0"/>
          <w:sz w:val="24"/>
          <w:szCs w:val="24"/>
          <w:lang w:eastAsia="zh-CN"/>
        </w:rPr>
        <w:t>(GSV, MFSS, SZ, KEI, ZOCG) za pripremu srednjoročnog programa rada Vlade i sektorskih strateških dokumenata koji treba da budu usklađeni s budžetskim okvirom i obavezama koje prostiču iz procesa pristupanja Crne Gore Evropskoj uniji.</w:t>
      </w:r>
    </w:p>
    <w:p w:rsidR="009C427B" w:rsidRPr="00CB681C" w:rsidRDefault="009C427B" w:rsidP="00CB681C">
      <w:pPr>
        <w:tabs>
          <w:tab w:val="left" w:pos="850"/>
          <w:tab w:val="left" w:pos="1191"/>
          <w:tab w:val="left" w:pos="1531"/>
        </w:tabs>
        <w:spacing w:before="60" w:after="60" w:line="240" w:lineRule="auto"/>
        <w:ind w:right="-475"/>
        <w:jc w:val="both"/>
        <w:rPr>
          <w:rFonts w:asciiTheme="majorHAnsi" w:eastAsia="Calibri" w:hAnsiTheme="majorHAnsi" w:cstheme="majorHAnsi"/>
          <w:bCs/>
          <w:color w:val="auto"/>
          <w:kern w:val="0"/>
          <w:sz w:val="24"/>
          <w:szCs w:val="24"/>
          <w:lang w:eastAsia="zh-CN"/>
        </w:rPr>
      </w:pPr>
      <w:r w:rsidRPr="00CB681C">
        <w:rPr>
          <w:rFonts w:asciiTheme="majorHAnsi" w:eastAsia="Calibri" w:hAnsiTheme="majorHAnsi" w:cstheme="majorHAnsi"/>
          <w:bCs/>
          <w:color w:val="auto"/>
          <w:kern w:val="0"/>
          <w:sz w:val="24"/>
          <w:szCs w:val="24"/>
          <w:lang w:eastAsia="zh-CN"/>
        </w:rPr>
        <w:t>Više razloga doprinosi nepostojanju institucionalne koordinacije. Na prvom mjestu ne postoji definisan koordinacioni mehanizam na nivou Vlade koji bi u sebi inkorporirao operativni, administrativni (tehnički) i politički aspekt koordinacije sa jasno definisanim procedurama,</w:t>
      </w:r>
      <w:r w:rsidRPr="00CB681C">
        <w:rPr>
          <w:rFonts w:asciiTheme="majorHAnsi" w:eastAsia="Calibri" w:hAnsiTheme="majorHAnsi" w:cstheme="majorHAnsi"/>
          <w:bCs/>
          <w:color w:val="auto"/>
          <w:kern w:val="0"/>
          <w:sz w:val="24"/>
          <w:szCs w:val="24"/>
          <w:vertAlign w:val="superscript"/>
          <w:lang w:eastAsia="zh-CN"/>
        </w:rPr>
        <w:footnoteReference w:id="122"/>
      </w:r>
      <w:r w:rsidRPr="00CB681C">
        <w:rPr>
          <w:rFonts w:asciiTheme="majorHAnsi" w:eastAsia="Calibri" w:hAnsiTheme="majorHAnsi" w:cstheme="majorHAnsi"/>
          <w:bCs/>
          <w:color w:val="auto"/>
          <w:kern w:val="0"/>
          <w:sz w:val="24"/>
          <w:szCs w:val="24"/>
          <w:lang w:eastAsia="zh-CN"/>
        </w:rPr>
        <w:t xml:space="preserve"> kao i ulogom svih uključenih aktera. Takođe, ne postoji ni </w:t>
      </w:r>
      <w:bookmarkStart w:id="47" w:name="_Hlk77589229"/>
      <w:r w:rsidRPr="00CB681C">
        <w:rPr>
          <w:rFonts w:asciiTheme="majorHAnsi" w:eastAsia="Calibri" w:hAnsiTheme="majorHAnsi" w:cstheme="majorHAnsi"/>
          <w:bCs/>
          <w:color w:val="auto"/>
          <w:kern w:val="0"/>
          <w:sz w:val="24"/>
          <w:szCs w:val="24"/>
          <w:lang w:eastAsia="zh-CN"/>
        </w:rPr>
        <w:t>odgovarajući koordinacioni mehanizmi s odgovarajućim procedurama na nivou ministarstava koje bi obezbjedile jedinstvene i kvalitetne inpute za pripremu predloga politika</w:t>
      </w:r>
      <w:bookmarkEnd w:id="47"/>
      <w:r w:rsidRPr="00CB681C">
        <w:rPr>
          <w:rFonts w:asciiTheme="majorHAnsi" w:eastAsia="Calibri" w:hAnsiTheme="majorHAnsi" w:cstheme="majorHAnsi"/>
          <w:bCs/>
          <w:color w:val="auto"/>
          <w:kern w:val="0"/>
          <w:sz w:val="24"/>
          <w:szCs w:val="24"/>
          <w:lang w:eastAsia="zh-CN"/>
        </w:rPr>
        <w:t>. Bez rješavanja ovih problema ne može se obezbjediti da predlozi javnih politika koji se podnose Vladi na usvajanje budu zaht</w:t>
      </w:r>
      <w:r w:rsidR="00C87DF1" w:rsidRPr="00CB681C">
        <w:rPr>
          <w:rFonts w:asciiTheme="majorHAnsi" w:eastAsia="Calibri" w:hAnsiTheme="majorHAnsi" w:cstheme="majorHAnsi"/>
          <w:bCs/>
          <w:color w:val="auto"/>
          <w:kern w:val="0"/>
          <w:sz w:val="24"/>
          <w:szCs w:val="24"/>
          <w:lang w:eastAsia="zh-CN"/>
        </w:rPr>
        <w:t>i</w:t>
      </w:r>
      <w:r w:rsidRPr="00CB681C">
        <w:rPr>
          <w:rFonts w:asciiTheme="majorHAnsi" w:eastAsia="Calibri" w:hAnsiTheme="majorHAnsi" w:cstheme="majorHAnsi"/>
          <w:bCs/>
          <w:color w:val="auto"/>
          <w:kern w:val="0"/>
          <w:sz w:val="24"/>
          <w:szCs w:val="24"/>
          <w:lang w:eastAsia="zh-CN"/>
        </w:rPr>
        <w:t xml:space="preserve">jevanog kvaliteta u pogledu njihove suštine i forme, kao i da su sve potencijalne neusklađenosti politika razriješene prije nego što predlozi uđu u vladinu proceduru odlučivanja. </w:t>
      </w:r>
    </w:p>
    <w:p w:rsidR="009C427B" w:rsidRPr="00CB681C" w:rsidRDefault="009C427B" w:rsidP="00CB681C">
      <w:pPr>
        <w:tabs>
          <w:tab w:val="left" w:pos="850"/>
          <w:tab w:val="left" w:pos="1191"/>
          <w:tab w:val="left" w:pos="1531"/>
        </w:tabs>
        <w:spacing w:before="60" w:after="60" w:line="240" w:lineRule="auto"/>
        <w:ind w:right="-475"/>
        <w:jc w:val="both"/>
        <w:rPr>
          <w:rFonts w:asciiTheme="majorHAnsi" w:eastAsia="Calibri" w:hAnsiTheme="majorHAnsi" w:cstheme="majorHAnsi"/>
          <w:bCs/>
          <w:color w:val="auto"/>
          <w:kern w:val="0"/>
          <w:sz w:val="24"/>
          <w:szCs w:val="24"/>
          <w:lang w:eastAsia="zh-CN"/>
        </w:rPr>
      </w:pPr>
      <w:r w:rsidRPr="00CB681C">
        <w:rPr>
          <w:rFonts w:asciiTheme="majorHAnsi" w:eastAsia="Calibri" w:hAnsiTheme="majorHAnsi" w:cstheme="majorHAnsi"/>
          <w:bCs/>
          <w:color w:val="auto"/>
          <w:kern w:val="0"/>
          <w:sz w:val="24"/>
          <w:szCs w:val="24"/>
          <w:lang w:eastAsia="zh-CN"/>
        </w:rPr>
        <w:t xml:space="preserve">Takođe, </w:t>
      </w:r>
      <w:bookmarkStart w:id="48" w:name="_Hlk77589206"/>
      <w:r w:rsidRPr="00CB681C">
        <w:rPr>
          <w:rFonts w:asciiTheme="majorHAnsi" w:eastAsia="Calibri" w:hAnsiTheme="majorHAnsi" w:cstheme="majorHAnsi"/>
          <w:b/>
          <w:bCs/>
          <w:color w:val="auto"/>
          <w:kern w:val="0"/>
          <w:sz w:val="24"/>
          <w:szCs w:val="24"/>
          <w:lang w:eastAsia="zh-CN"/>
        </w:rPr>
        <w:t>izostankom efektivne koordinacije izostaće i uskađenost procesa strateškog planiranja sa procesom programiranja IPA-e</w:t>
      </w:r>
      <w:bookmarkEnd w:id="48"/>
      <w:r w:rsidRPr="00CB681C">
        <w:rPr>
          <w:rFonts w:asciiTheme="majorHAnsi" w:eastAsia="Calibri" w:hAnsiTheme="majorHAnsi" w:cstheme="majorHAnsi"/>
          <w:color w:val="auto"/>
          <w:kern w:val="0"/>
          <w:sz w:val="24"/>
          <w:szCs w:val="24"/>
          <w:lang w:eastAsia="zh-CN"/>
        </w:rPr>
        <w:t xml:space="preserve">, zbog čega se u praksi dešava da </w:t>
      </w:r>
      <w:bookmarkStart w:id="49" w:name="_Hlk77589265"/>
      <w:r w:rsidRPr="00CB681C">
        <w:rPr>
          <w:rFonts w:asciiTheme="majorHAnsi" w:eastAsia="Calibri" w:hAnsiTheme="majorHAnsi" w:cstheme="majorHAnsi"/>
          <w:color w:val="auto"/>
          <w:kern w:val="0"/>
          <w:sz w:val="24"/>
          <w:szCs w:val="24"/>
          <w:lang w:eastAsia="zh-CN"/>
        </w:rPr>
        <w:t>programiranje IPA-e prethodi razvijanju strateških dokumenata, umjesto obratno, što dugoročno može negativno uticati na sposobnost apsorpcije IPA sredstava</w:t>
      </w:r>
      <w:bookmarkEnd w:id="49"/>
      <w:r w:rsidRPr="00CB681C">
        <w:rPr>
          <w:rFonts w:asciiTheme="majorHAnsi" w:eastAsia="Calibri" w:hAnsiTheme="majorHAnsi" w:cstheme="majorHAnsi"/>
          <w:color w:val="auto"/>
          <w:kern w:val="0"/>
          <w:sz w:val="24"/>
          <w:szCs w:val="24"/>
          <w:lang w:eastAsia="zh-CN"/>
        </w:rPr>
        <w:t xml:space="preserve">. Između kancelarije Nacionalnog koordinatora za IPA i GSV postoji konsenzus u pogledu potrebe zajedničkog rada na unapređenju ovog segmenta, naročito kad je u pitanju institucionalni okvir za upravljanje strukturnim fondovima. Situaciju usložnjava i to što su po dosadašnjim organizacionim strukturama u ministarstvima </w:t>
      </w:r>
      <w:bookmarkStart w:id="50" w:name="_Hlk77589327"/>
      <w:r w:rsidRPr="00CB681C">
        <w:rPr>
          <w:rFonts w:asciiTheme="majorHAnsi" w:eastAsia="Calibri" w:hAnsiTheme="majorHAnsi" w:cstheme="majorHAnsi"/>
          <w:color w:val="auto"/>
          <w:kern w:val="0"/>
          <w:sz w:val="24"/>
          <w:szCs w:val="24"/>
          <w:lang w:eastAsia="zh-CN"/>
        </w:rPr>
        <w:t>odjeljenja za planiranje IPA i odjeljenja za planiranje nacionalnih politika bili odvojeni pa su se posmatrali kao dva odvojena procesa</w:t>
      </w:r>
      <w:bookmarkEnd w:id="50"/>
      <w:r w:rsidRPr="00CB681C">
        <w:rPr>
          <w:rFonts w:asciiTheme="majorHAnsi" w:eastAsia="Calibri" w:hAnsiTheme="majorHAnsi" w:cstheme="majorHAnsi"/>
          <w:color w:val="auto"/>
          <w:kern w:val="0"/>
          <w:sz w:val="24"/>
          <w:szCs w:val="24"/>
          <w:lang w:eastAsia="zh-CN"/>
        </w:rPr>
        <w:t xml:space="preserve">. To je proizvelo </w:t>
      </w:r>
      <w:bookmarkStart w:id="51" w:name="_Hlk77589362"/>
      <w:r w:rsidRPr="00CB681C">
        <w:rPr>
          <w:rFonts w:asciiTheme="majorHAnsi" w:eastAsia="Calibri" w:hAnsiTheme="majorHAnsi" w:cstheme="majorHAnsi"/>
          <w:color w:val="auto"/>
          <w:kern w:val="0"/>
          <w:sz w:val="24"/>
          <w:szCs w:val="24"/>
          <w:lang w:eastAsia="zh-CN"/>
        </w:rPr>
        <w:t>neusaglašenosti u planiranju podrške iz strukturnih instrumenata i onoga što je definisano kao prioritet na nacionalnom nivou</w:t>
      </w:r>
      <w:bookmarkEnd w:id="51"/>
      <w:r w:rsidRPr="00CB681C">
        <w:rPr>
          <w:rFonts w:asciiTheme="majorHAnsi" w:eastAsia="Calibri" w:hAnsiTheme="majorHAnsi" w:cstheme="majorHAnsi"/>
          <w:color w:val="auto"/>
          <w:kern w:val="0"/>
          <w:sz w:val="24"/>
          <w:szCs w:val="24"/>
          <w:lang w:eastAsia="zh-CN"/>
        </w:rPr>
        <w:t xml:space="preserve">. Iako je saradnja između GSV i KEI dobra, </w:t>
      </w:r>
      <w:bookmarkStart w:id="52" w:name="_Hlk77589374"/>
      <w:r w:rsidRPr="00CB681C">
        <w:rPr>
          <w:rFonts w:asciiTheme="majorHAnsi" w:eastAsia="Calibri" w:hAnsiTheme="majorHAnsi" w:cstheme="majorHAnsi"/>
          <w:color w:val="auto"/>
          <w:kern w:val="0"/>
          <w:sz w:val="24"/>
          <w:szCs w:val="24"/>
          <w:lang w:eastAsia="zh-CN"/>
        </w:rPr>
        <w:t>nema zajedničkog foruma gdje bi se zajednički razmatrali novi predlozi politika i mogućnost njihovog uključivanja u IPA</w:t>
      </w:r>
      <w:bookmarkEnd w:id="52"/>
      <w:r w:rsidRPr="00CB681C">
        <w:rPr>
          <w:rFonts w:asciiTheme="majorHAnsi" w:eastAsia="Calibri" w:hAnsiTheme="majorHAnsi" w:cstheme="majorHAnsi"/>
          <w:color w:val="auto"/>
          <w:kern w:val="0"/>
          <w:sz w:val="24"/>
          <w:szCs w:val="24"/>
          <w:lang w:eastAsia="zh-CN"/>
        </w:rPr>
        <w:t>.</w:t>
      </w:r>
    </w:p>
    <w:p w:rsidR="009C427B" w:rsidRPr="00CB681C" w:rsidRDefault="009C427B" w:rsidP="00CB681C">
      <w:pPr>
        <w:tabs>
          <w:tab w:val="left" w:pos="850"/>
          <w:tab w:val="left" w:pos="1191"/>
          <w:tab w:val="left" w:pos="1531"/>
        </w:tabs>
        <w:spacing w:before="60" w:after="60" w:line="240" w:lineRule="auto"/>
        <w:ind w:right="-475"/>
        <w:jc w:val="both"/>
        <w:rPr>
          <w:rFonts w:asciiTheme="majorHAnsi" w:eastAsia="Calibri" w:hAnsiTheme="majorHAnsi" w:cstheme="majorHAnsi"/>
          <w:bCs/>
          <w:color w:val="auto"/>
          <w:kern w:val="0"/>
          <w:sz w:val="24"/>
          <w:szCs w:val="24"/>
          <w:lang w:eastAsia="zh-CN"/>
        </w:rPr>
      </w:pPr>
      <w:r w:rsidRPr="00CB681C">
        <w:rPr>
          <w:rFonts w:asciiTheme="majorHAnsi" w:eastAsia="Calibri" w:hAnsiTheme="majorHAnsi" w:cstheme="majorHAnsi"/>
          <w:color w:val="auto"/>
          <w:kern w:val="0"/>
          <w:sz w:val="24"/>
          <w:szCs w:val="24"/>
          <w:lang w:eastAsia="zh-CN"/>
        </w:rPr>
        <w:lastRenderedPageBreak/>
        <w:t xml:space="preserve">Izazovi u koordinaciji politika prepoznati su i u relaciji </w:t>
      </w:r>
      <w:r w:rsidRPr="00CB681C">
        <w:rPr>
          <w:rFonts w:asciiTheme="majorHAnsi" w:eastAsia="Calibri" w:hAnsiTheme="majorHAnsi" w:cstheme="majorHAnsi"/>
          <w:b/>
          <w:color w:val="auto"/>
          <w:kern w:val="0"/>
          <w:sz w:val="24"/>
          <w:szCs w:val="24"/>
          <w:lang w:eastAsia="zh-CN"/>
        </w:rPr>
        <w:t>centralni-lokalni nivo</w:t>
      </w:r>
      <w:r w:rsidRPr="00CB681C">
        <w:rPr>
          <w:rFonts w:asciiTheme="majorHAnsi" w:eastAsia="Calibri" w:hAnsiTheme="majorHAnsi" w:cstheme="majorHAnsi"/>
          <w:color w:val="auto"/>
          <w:kern w:val="0"/>
          <w:sz w:val="24"/>
          <w:szCs w:val="24"/>
          <w:lang w:eastAsia="zh-CN"/>
        </w:rPr>
        <w:t xml:space="preserve">, na šta je posebno uticala činjenica da </w:t>
      </w:r>
      <w:bookmarkStart w:id="53" w:name="_Hlk77589402"/>
      <w:r w:rsidRPr="00CB681C">
        <w:rPr>
          <w:rFonts w:asciiTheme="majorHAnsi" w:eastAsia="Calibri" w:hAnsiTheme="majorHAnsi" w:cstheme="majorHAnsi"/>
          <w:color w:val="auto"/>
          <w:kern w:val="0"/>
          <w:sz w:val="24"/>
          <w:szCs w:val="24"/>
          <w:lang w:eastAsia="zh-CN"/>
        </w:rPr>
        <w:t>ne postoji jedinstvena metodologija kojom bi se usaglasila planska dokumenta na centralnom i lokalnom nivou</w:t>
      </w:r>
      <w:bookmarkEnd w:id="53"/>
      <w:r w:rsidRPr="00CB681C">
        <w:rPr>
          <w:rFonts w:asciiTheme="majorHAnsi" w:eastAsia="Calibri" w:hAnsiTheme="majorHAnsi" w:cstheme="majorHAnsi"/>
          <w:color w:val="auto"/>
          <w:kern w:val="0"/>
          <w:sz w:val="24"/>
          <w:szCs w:val="24"/>
          <w:lang w:eastAsia="zh-CN"/>
        </w:rPr>
        <w:t xml:space="preserve">. Postojeći </w:t>
      </w:r>
      <w:bookmarkStart w:id="54" w:name="_Hlk77589629"/>
      <w:r w:rsidRPr="00CB681C">
        <w:rPr>
          <w:rFonts w:asciiTheme="majorHAnsi" w:eastAsia="Calibri" w:hAnsiTheme="majorHAnsi" w:cstheme="majorHAnsi"/>
          <w:color w:val="auto"/>
          <w:kern w:val="0"/>
          <w:sz w:val="24"/>
          <w:szCs w:val="24"/>
          <w:lang w:eastAsia="zh-CN"/>
        </w:rPr>
        <w:t>Program obrazovanja državnih službenika za strateško planiranje je za sada orijentisan na centralni nivo</w:t>
      </w:r>
      <w:bookmarkEnd w:id="54"/>
      <w:r w:rsidRPr="00CB681C">
        <w:rPr>
          <w:rFonts w:asciiTheme="majorHAnsi" w:eastAsia="Calibri" w:hAnsiTheme="majorHAnsi" w:cstheme="majorHAnsi"/>
          <w:color w:val="auto"/>
          <w:kern w:val="0"/>
          <w:sz w:val="24"/>
          <w:szCs w:val="24"/>
          <w:lang w:eastAsia="zh-CN"/>
        </w:rPr>
        <w:t xml:space="preserve"> i u prethodna tri ciklusa su ga pohađale svega dvije službenice iz lokalnih samouprava (Herceg Novi i Tuzi). Lokalne samouprave svoje lokalne planove razrađuju tek nakon što se pripreme </w:t>
      </w:r>
      <w:r w:rsidR="00940C13" w:rsidRPr="00CB681C">
        <w:rPr>
          <w:rFonts w:asciiTheme="majorHAnsi" w:eastAsia="Calibri" w:hAnsiTheme="majorHAnsi" w:cstheme="majorHAnsi"/>
          <w:color w:val="auto"/>
          <w:kern w:val="0"/>
          <w:sz w:val="24"/>
          <w:szCs w:val="24"/>
          <w:lang w:eastAsia="zh-CN"/>
        </w:rPr>
        <w:t>krovna strateška dokumenta</w:t>
      </w:r>
      <w:r w:rsidRPr="00CB681C">
        <w:rPr>
          <w:rFonts w:asciiTheme="majorHAnsi" w:eastAsia="Calibri" w:hAnsiTheme="majorHAnsi" w:cstheme="majorHAnsi"/>
          <w:color w:val="auto"/>
          <w:kern w:val="0"/>
          <w:sz w:val="24"/>
          <w:szCs w:val="24"/>
          <w:lang w:eastAsia="zh-CN"/>
        </w:rPr>
        <w:t xml:space="preserve"> strateška dokumenta, koja njima služe kao okvir za izradu lokalnih planova. Za izradu strateških planova razvoja lokalnih samouprava je razvjena metodologija,</w:t>
      </w:r>
      <w:r w:rsidRPr="00CB681C">
        <w:rPr>
          <w:rFonts w:asciiTheme="majorHAnsi" w:eastAsia="Calibri" w:hAnsiTheme="majorHAnsi" w:cstheme="majorHAnsi"/>
          <w:color w:val="auto"/>
          <w:kern w:val="0"/>
          <w:sz w:val="24"/>
          <w:szCs w:val="24"/>
          <w:vertAlign w:val="superscript"/>
          <w:lang w:eastAsia="zh-CN"/>
        </w:rPr>
        <w:footnoteReference w:id="123"/>
      </w:r>
      <w:r w:rsidRPr="00CB681C">
        <w:rPr>
          <w:rFonts w:asciiTheme="majorHAnsi" w:eastAsia="Calibri" w:hAnsiTheme="majorHAnsi" w:cstheme="majorHAnsi"/>
          <w:color w:val="auto"/>
          <w:kern w:val="0"/>
          <w:sz w:val="24"/>
          <w:szCs w:val="24"/>
          <w:lang w:eastAsia="zh-CN"/>
        </w:rPr>
        <w:t xml:space="preserve"> Strategija regionalnog razvoja</w:t>
      </w:r>
      <w:r w:rsidRPr="00CB681C">
        <w:rPr>
          <w:rFonts w:asciiTheme="majorHAnsi" w:eastAsia="Calibri" w:hAnsiTheme="majorHAnsi" w:cstheme="majorHAnsi"/>
          <w:color w:val="auto"/>
          <w:kern w:val="0"/>
          <w:sz w:val="24"/>
          <w:szCs w:val="24"/>
          <w:vertAlign w:val="superscript"/>
          <w:lang w:eastAsia="zh-CN"/>
        </w:rPr>
        <w:footnoteReference w:id="124"/>
      </w:r>
      <w:r w:rsidRPr="00CB681C">
        <w:rPr>
          <w:rFonts w:asciiTheme="majorHAnsi" w:eastAsia="Calibri" w:hAnsiTheme="majorHAnsi" w:cstheme="majorHAnsi"/>
          <w:color w:val="auto"/>
          <w:kern w:val="0"/>
          <w:sz w:val="24"/>
          <w:szCs w:val="24"/>
          <w:lang w:eastAsia="zh-CN"/>
        </w:rPr>
        <w:t xml:space="preserve"> služi kao okvir, a Ministarstvo ekonomskog razvoja je nadležno za njihovu provjeru i odobravanje. </w:t>
      </w:r>
      <w:bookmarkStart w:id="55" w:name="_Hlk77589747"/>
      <w:r w:rsidRPr="00CB681C">
        <w:rPr>
          <w:rFonts w:asciiTheme="majorHAnsi" w:eastAsia="Calibri" w:hAnsiTheme="majorHAnsi" w:cstheme="majorHAnsi"/>
          <w:color w:val="auto"/>
          <w:kern w:val="0"/>
          <w:sz w:val="24"/>
          <w:szCs w:val="24"/>
          <w:lang w:eastAsia="zh-CN"/>
        </w:rPr>
        <w:t>JLS mogu učestvovati u kreiranju strateških dokumenata na nacionalnom nivou kroz učešće u radnim grupama, kada ih najčešće predstavlja Zajednica opština</w:t>
      </w:r>
      <w:bookmarkEnd w:id="55"/>
      <w:r w:rsidRPr="00CB681C">
        <w:rPr>
          <w:rFonts w:asciiTheme="majorHAnsi" w:eastAsia="Calibri" w:hAnsiTheme="majorHAnsi" w:cstheme="majorHAnsi"/>
          <w:color w:val="auto"/>
          <w:kern w:val="0"/>
          <w:sz w:val="24"/>
          <w:szCs w:val="24"/>
          <w:lang w:eastAsia="zh-CN"/>
        </w:rPr>
        <w:t xml:space="preserve">. </w:t>
      </w:r>
      <w:bookmarkStart w:id="56" w:name="_Hlk77589766"/>
      <w:r w:rsidRPr="00CB681C">
        <w:rPr>
          <w:rFonts w:asciiTheme="majorHAnsi" w:eastAsia="Calibri" w:hAnsiTheme="majorHAnsi" w:cstheme="majorHAnsi"/>
          <w:color w:val="auto"/>
          <w:kern w:val="0"/>
          <w:sz w:val="24"/>
          <w:szCs w:val="24"/>
          <w:lang w:eastAsia="zh-CN"/>
        </w:rPr>
        <w:t>Na nivou JLS ne postoji obuka za jačanje vještina za pripremu lokalnih planova i/ili strateških dokumenata</w:t>
      </w:r>
      <w:bookmarkEnd w:id="56"/>
      <w:r w:rsidRPr="00CB681C">
        <w:rPr>
          <w:rFonts w:asciiTheme="majorHAnsi" w:eastAsia="Calibri" w:hAnsiTheme="majorHAnsi" w:cstheme="majorHAnsi"/>
          <w:color w:val="auto"/>
          <w:kern w:val="0"/>
          <w:sz w:val="24"/>
          <w:szCs w:val="24"/>
          <w:lang w:eastAsia="zh-CN"/>
        </w:rPr>
        <w:t xml:space="preserve">. Posljedica ovakvog stanja je </w:t>
      </w:r>
      <w:bookmarkStart w:id="57" w:name="_Hlk77589783"/>
      <w:r w:rsidRPr="00CB681C">
        <w:rPr>
          <w:rFonts w:asciiTheme="majorHAnsi" w:eastAsia="Calibri" w:hAnsiTheme="majorHAnsi" w:cstheme="majorHAnsi"/>
          <w:color w:val="auto"/>
          <w:kern w:val="0"/>
          <w:sz w:val="24"/>
          <w:szCs w:val="24"/>
          <w:lang w:eastAsia="zh-CN"/>
        </w:rPr>
        <w:t>neujednačen kvalitet lokalnih planova, različit pristup u njihovoj izradi i nedovoljno vidljiva veza sa prioritetima definisanim na centralnom nivou</w:t>
      </w:r>
      <w:bookmarkEnd w:id="57"/>
      <w:r w:rsidRPr="00CB681C">
        <w:rPr>
          <w:rFonts w:asciiTheme="majorHAnsi" w:eastAsia="Calibri" w:hAnsiTheme="majorHAnsi" w:cstheme="majorHAnsi"/>
          <w:color w:val="auto"/>
          <w:kern w:val="0"/>
          <w:sz w:val="24"/>
          <w:szCs w:val="24"/>
          <w:lang w:eastAsia="zh-CN"/>
        </w:rPr>
        <w:t>.</w:t>
      </w:r>
    </w:p>
    <w:p w:rsidR="00C95C15" w:rsidRPr="00CB681C" w:rsidRDefault="009C427B" w:rsidP="00153229">
      <w:pPr>
        <w:tabs>
          <w:tab w:val="left" w:pos="850"/>
          <w:tab w:val="left" w:pos="1191"/>
          <w:tab w:val="left" w:pos="1531"/>
        </w:tabs>
        <w:spacing w:before="60" w:after="60" w:line="240" w:lineRule="auto"/>
        <w:ind w:right="-471"/>
        <w:jc w:val="both"/>
        <w:rPr>
          <w:rFonts w:asciiTheme="majorHAnsi" w:eastAsia="Calibri" w:hAnsiTheme="majorHAnsi" w:cstheme="majorHAnsi"/>
          <w:bCs/>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Izazov u pogledu primjene stečenih znanja u sistemu planiranja politika ogleda se u činjenici da </w:t>
      </w:r>
      <w:bookmarkStart w:id="58" w:name="_Hlk77589802"/>
      <w:r w:rsidRPr="00CB681C">
        <w:rPr>
          <w:rFonts w:asciiTheme="majorHAnsi" w:eastAsia="Calibri" w:hAnsiTheme="majorHAnsi" w:cstheme="majorHAnsi"/>
          <w:b/>
          <w:color w:val="auto"/>
          <w:kern w:val="0"/>
          <w:sz w:val="24"/>
          <w:szCs w:val="24"/>
          <w:lang w:eastAsia="zh-CN"/>
        </w:rPr>
        <w:t>kadar za strateško planiranje nije institucionalizovan</w:t>
      </w:r>
      <w:bookmarkEnd w:id="58"/>
      <w:r w:rsidRPr="00CB681C">
        <w:rPr>
          <w:rFonts w:asciiTheme="majorHAnsi" w:eastAsia="Calibri" w:hAnsiTheme="majorHAnsi" w:cstheme="majorHAnsi"/>
          <w:color w:val="auto"/>
          <w:kern w:val="0"/>
          <w:sz w:val="24"/>
          <w:szCs w:val="24"/>
          <w:lang w:eastAsia="zh-CN"/>
        </w:rPr>
        <w:t xml:space="preserve">, pa </w:t>
      </w:r>
      <w:bookmarkStart w:id="59" w:name="_Hlk77589914"/>
      <w:r w:rsidRPr="00CB681C">
        <w:rPr>
          <w:rFonts w:asciiTheme="majorHAnsi" w:eastAsia="Calibri" w:hAnsiTheme="majorHAnsi" w:cstheme="majorHAnsi"/>
          <w:color w:val="auto"/>
          <w:kern w:val="0"/>
          <w:sz w:val="24"/>
          <w:szCs w:val="24"/>
          <w:lang w:eastAsia="zh-CN"/>
        </w:rPr>
        <w:t>službenici koji su prošli obuke često ostaju „nevidljivi“ unutar svojih institucija, a njihove vještine nisu vrednovane na adekvatan način</w:t>
      </w:r>
      <w:bookmarkEnd w:id="59"/>
      <w:r w:rsidRPr="00CB681C">
        <w:rPr>
          <w:rFonts w:asciiTheme="majorHAnsi" w:eastAsia="Calibri" w:hAnsiTheme="majorHAnsi" w:cstheme="majorHAnsi"/>
          <w:b/>
          <w:color w:val="auto"/>
          <w:kern w:val="0"/>
          <w:sz w:val="24"/>
          <w:szCs w:val="24"/>
          <w:lang w:eastAsia="zh-CN"/>
        </w:rPr>
        <w:t>.</w:t>
      </w:r>
      <w:r w:rsidRPr="00CB681C">
        <w:rPr>
          <w:rFonts w:asciiTheme="majorHAnsi" w:eastAsia="Calibri" w:hAnsiTheme="majorHAnsi" w:cstheme="majorHAnsi"/>
          <w:color w:val="auto"/>
          <w:kern w:val="0"/>
          <w:sz w:val="24"/>
          <w:szCs w:val="24"/>
          <w:lang w:eastAsia="zh-CN"/>
        </w:rPr>
        <w:t xml:space="preserve"> </w:t>
      </w:r>
      <w:bookmarkStart w:id="60" w:name="_Hlk77590027"/>
      <w:r w:rsidRPr="00CB681C">
        <w:rPr>
          <w:rFonts w:asciiTheme="majorHAnsi" w:eastAsia="Calibri" w:hAnsiTheme="majorHAnsi" w:cstheme="majorHAnsi"/>
          <w:color w:val="auto"/>
          <w:kern w:val="0"/>
          <w:sz w:val="24"/>
          <w:szCs w:val="24"/>
          <w:lang w:eastAsia="zh-CN"/>
        </w:rPr>
        <w:t>Program najčešće pohađaju državni službenici na ekspertskom ili ekspertsko-rukovodnom nivou, a učešće visoko-rukovodnog kadra je ograničeno</w:t>
      </w:r>
      <w:bookmarkEnd w:id="60"/>
      <w:r w:rsidRPr="00CB681C">
        <w:rPr>
          <w:rFonts w:asciiTheme="majorHAnsi" w:eastAsia="Calibri" w:hAnsiTheme="majorHAnsi" w:cstheme="majorHAnsi"/>
          <w:color w:val="auto"/>
          <w:kern w:val="0"/>
          <w:sz w:val="24"/>
          <w:szCs w:val="24"/>
          <w:lang w:eastAsia="zh-CN"/>
        </w:rPr>
        <w:t xml:space="preserve">. Potencijalni uzrok ovakvog stanja je to što </w:t>
      </w:r>
      <w:bookmarkStart w:id="61" w:name="_Hlk77590051"/>
      <w:r w:rsidRPr="00CB681C">
        <w:rPr>
          <w:rFonts w:asciiTheme="majorHAnsi" w:eastAsia="Calibri" w:hAnsiTheme="majorHAnsi" w:cstheme="majorHAnsi"/>
          <w:color w:val="auto"/>
          <w:kern w:val="0"/>
          <w:sz w:val="24"/>
          <w:szCs w:val="24"/>
          <w:lang w:eastAsia="zh-CN"/>
        </w:rPr>
        <w:t xml:space="preserve">ne postoje sistematizovana radna mjesta za pozicije državnih službenika za strateško planiranje </w:t>
      </w:r>
      <w:bookmarkEnd w:id="61"/>
      <w:r w:rsidRPr="00CB681C">
        <w:rPr>
          <w:rFonts w:asciiTheme="majorHAnsi" w:eastAsia="Calibri" w:hAnsiTheme="majorHAnsi" w:cstheme="majorHAnsi"/>
          <w:color w:val="auto"/>
          <w:kern w:val="0"/>
          <w:sz w:val="24"/>
          <w:szCs w:val="24"/>
          <w:lang w:eastAsia="zh-CN"/>
        </w:rPr>
        <w:t xml:space="preserve">kojima bi se jasno predvidjela formalizacija i definisanje opsega rada, uključujući i praćenje karijernog razvoja službenika koji učestvuju u strateškom planiranju. Takođe, </w:t>
      </w:r>
      <w:bookmarkStart w:id="62" w:name="_Hlk77590082"/>
      <w:r w:rsidR="00605E3D" w:rsidRPr="00CB681C">
        <w:rPr>
          <w:rFonts w:asciiTheme="majorHAnsi" w:eastAsia="Calibri" w:hAnsiTheme="majorHAnsi" w:cstheme="majorHAnsi"/>
          <w:color w:val="auto"/>
          <w:kern w:val="0"/>
          <w:sz w:val="24"/>
          <w:szCs w:val="24"/>
          <w:lang w:eastAsia="zh-CN"/>
        </w:rPr>
        <w:t>ne postoje odjeljenja/</w:t>
      </w:r>
      <w:r w:rsidRPr="00CB681C">
        <w:rPr>
          <w:rFonts w:asciiTheme="majorHAnsi" w:eastAsia="Calibri" w:hAnsiTheme="majorHAnsi" w:cstheme="majorHAnsi"/>
          <w:color w:val="auto"/>
          <w:kern w:val="0"/>
          <w:sz w:val="24"/>
          <w:szCs w:val="24"/>
          <w:lang w:eastAsia="zh-CN"/>
        </w:rPr>
        <w:t>sektori sa koordinacionom ulogom u procesu strateškog planiranja na nivou ministarstava</w:t>
      </w:r>
      <w:bookmarkEnd w:id="62"/>
      <w:r w:rsidRPr="00CB681C">
        <w:rPr>
          <w:rFonts w:asciiTheme="majorHAnsi" w:eastAsia="Calibri" w:hAnsiTheme="majorHAnsi" w:cstheme="majorHAnsi"/>
          <w:color w:val="auto"/>
          <w:kern w:val="0"/>
          <w:sz w:val="24"/>
          <w:szCs w:val="24"/>
          <w:lang w:eastAsia="zh-CN"/>
        </w:rPr>
        <w:t>. Ta uloga je prepuštena sekretarima koji koordiniraju radom cijelog ministarstva, te se pitanju strateškog planiranja ne poklanja dovoljna pažnja</w:t>
      </w:r>
      <w:r w:rsidR="00C95C15" w:rsidRPr="00CB681C">
        <w:rPr>
          <w:rFonts w:asciiTheme="majorHAnsi" w:eastAsia="Calibri" w:hAnsiTheme="majorHAnsi" w:cstheme="majorHAnsi"/>
          <w:color w:val="auto"/>
          <w:kern w:val="0"/>
          <w:sz w:val="24"/>
          <w:szCs w:val="24"/>
          <w:lang w:eastAsia="zh-CN"/>
        </w:rPr>
        <w:t xml:space="preserve">. </w:t>
      </w:r>
    </w:p>
    <w:p w:rsidR="00C95C15" w:rsidRPr="00CB681C" w:rsidRDefault="00C95C15" w:rsidP="00B43D4E">
      <w:pPr>
        <w:pStyle w:val="ListParagraph"/>
        <w:numPr>
          <w:ilvl w:val="0"/>
          <w:numId w:val="39"/>
        </w:numPr>
        <w:tabs>
          <w:tab w:val="left" w:pos="850"/>
          <w:tab w:val="left" w:pos="1191"/>
          <w:tab w:val="left" w:pos="1531"/>
        </w:tabs>
        <w:spacing w:before="120" w:after="120" w:line="240" w:lineRule="auto"/>
        <w:ind w:left="270" w:right="-471" w:hanging="270"/>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b/>
          <w:i/>
          <w:color w:val="auto"/>
          <w:kern w:val="0"/>
          <w:sz w:val="24"/>
          <w:szCs w:val="24"/>
          <w:lang w:eastAsia="zh-CN"/>
        </w:rPr>
        <w:t>Nedovoljan obuhvat i kapaciteti za prim</w:t>
      </w:r>
      <w:r w:rsidR="00605E3D" w:rsidRPr="00CB681C">
        <w:rPr>
          <w:rFonts w:asciiTheme="majorHAnsi" w:eastAsia="Calibri" w:hAnsiTheme="majorHAnsi" w:cstheme="majorHAnsi"/>
          <w:b/>
          <w:i/>
          <w:color w:val="auto"/>
          <w:kern w:val="0"/>
          <w:sz w:val="24"/>
          <w:szCs w:val="24"/>
          <w:lang w:eastAsia="zh-CN"/>
        </w:rPr>
        <w:t>j</w:t>
      </w:r>
      <w:r w:rsidRPr="00CB681C">
        <w:rPr>
          <w:rFonts w:asciiTheme="majorHAnsi" w:eastAsia="Calibri" w:hAnsiTheme="majorHAnsi" w:cstheme="majorHAnsi"/>
          <w:b/>
          <w:i/>
          <w:color w:val="auto"/>
          <w:kern w:val="0"/>
          <w:sz w:val="24"/>
          <w:szCs w:val="24"/>
          <w:lang w:eastAsia="zh-CN"/>
        </w:rPr>
        <w:t>enu RIA</w:t>
      </w:r>
    </w:p>
    <w:p w:rsidR="009C427B" w:rsidRPr="00CB681C" w:rsidRDefault="009C427B" w:rsidP="00153229">
      <w:pPr>
        <w:tabs>
          <w:tab w:val="left" w:pos="850"/>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b/>
          <w:color w:val="auto"/>
          <w:kern w:val="0"/>
          <w:sz w:val="24"/>
          <w:szCs w:val="24"/>
          <w:lang w:eastAsia="zh-CN"/>
        </w:rPr>
        <w:t>Ne postoji jedinstveno rješenje za sprovođenje analize društvenog, ekonomskog, fiskalnog, ekološkog uticaja javnih politika i propisa</w:t>
      </w:r>
      <w:r w:rsidRPr="00CB681C">
        <w:rPr>
          <w:rFonts w:asciiTheme="majorHAnsi" w:eastAsia="Calibri" w:hAnsiTheme="majorHAnsi" w:cstheme="majorHAnsi"/>
          <w:color w:val="auto"/>
          <w:kern w:val="0"/>
          <w:sz w:val="24"/>
          <w:szCs w:val="24"/>
          <w:lang w:eastAsia="zh-CN"/>
        </w:rPr>
        <w:t xml:space="preserve">. RIA je fokusirana samo na procjenu fiskalnog i ekonomskog uticaja, dok se ne sprovodi analiza uticaja na životnu sredinu, socijalni položaj stanovnika, rodnu ravnopravnost, prava građana, socijalno marginalizovane grupe i dr. Posledica ovakvog normiranja procesa izrade RIA analize je da predlagači javnih politika ne sagledavaju uticaj koji ona može imati u praksi sprovođenja, što značajno povećava mogućnosti da one neće imati željene efekte u odnosu na ciljne grupe, odnosno da mogu imati drastično negativan uticaj, kao što je to bio slučaj sa izmjenama Zakona o socijalnoj i dječijoj zaštiti iz 2015. godine. Dodatno, procjena uticaja na životnu sredinu se vrši nezavisno i u skladu sa Zakonom o procjeni uticaja na životnu sredinu (Sl. list 075/18). </w:t>
      </w:r>
    </w:p>
    <w:p w:rsidR="009C427B" w:rsidRPr="00CB681C" w:rsidRDefault="009C427B" w:rsidP="00153229">
      <w:pPr>
        <w:tabs>
          <w:tab w:val="left" w:pos="1191"/>
          <w:tab w:val="left" w:pos="1531"/>
        </w:tabs>
        <w:spacing w:before="60" w:after="6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Pored ovoga, </w:t>
      </w:r>
      <w:r w:rsidRPr="00CB681C">
        <w:rPr>
          <w:rFonts w:asciiTheme="majorHAnsi" w:eastAsia="Calibri" w:hAnsiTheme="majorHAnsi" w:cstheme="majorHAnsi"/>
          <w:b/>
          <w:color w:val="auto"/>
          <w:kern w:val="0"/>
          <w:sz w:val="24"/>
          <w:szCs w:val="24"/>
          <w:lang w:eastAsia="zh-CN"/>
        </w:rPr>
        <w:t xml:space="preserve">nedovoljni su kapaciteti i znanja za izradu RIA i za monitoring implementacije regulatornih rješenja. </w:t>
      </w:r>
      <w:r w:rsidRPr="00CB681C">
        <w:rPr>
          <w:rFonts w:asciiTheme="majorHAnsi" w:eastAsia="Calibri" w:hAnsiTheme="majorHAnsi" w:cstheme="majorHAnsi"/>
          <w:color w:val="auto"/>
          <w:kern w:val="0"/>
          <w:sz w:val="24"/>
          <w:szCs w:val="24"/>
          <w:lang w:eastAsia="zh-CN"/>
        </w:rPr>
        <w:t>Problemi u vezi sa izradom RIA analize se ogledaju i u:</w:t>
      </w:r>
    </w:p>
    <w:p w:rsidR="009C427B" w:rsidRPr="00CB681C" w:rsidRDefault="009C427B" w:rsidP="00B43D4E">
      <w:pPr>
        <w:numPr>
          <w:ilvl w:val="0"/>
          <w:numId w:val="18"/>
        </w:numPr>
        <w:tabs>
          <w:tab w:val="left" w:pos="850"/>
          <w:tab w:val="left" w:pos="1191"/>
          <w:tab w:val="left" w:pos="1531"/>
        </w:tabs>
        <w:spacing w:before="0" w:after="0" w:line="240" w:lineRule="auto"/>
        <w:ind w:right="-471"/>
        <w:contextualSpacing/>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Ustaljenoj praksi da se u izradu RIA analize ne uključuju svi članovi radnih grupa za izradu javnih politika, čime se ne obezbjeđuje svestrana analiza i time</w:t>
      </w:r>
      <w:r w:rsidR="009707CD" w:rsidRPr="00CB681C">
        <w:rPr>
          <w:rFonts w:asciiTheme="majorHAnsi" w:eastAsia="Calibri" w:hAnsiTheme="majorHAnsi" w:cstheme="majorHAnsi"/>
          <w:color w:val="auto"/>
          <w:kern w:val="0"/>
          <w:sz w:val="24"/>
          <w:szCs w:val="24"/>
          <w:lang w:eastAsia="zh-CN"/>
        </w:rPr>
        <w:t xml:space="preserve"> dovodi u pitanje njen kvalitet</w:t>
      </w:r>
      <w:r w:rsidR="00621BB2" w:rsidRPr="00CB681C">
        <w:rPr>
          <w:rFonts w:asciiTheme="majorHAnsi" w:eastAsia="Calibri" w:hAnsiTheme="majorHAnsi" w:cstheme="majorHAnsi"/>
          <w:color w:val="auto"/>
          <w:kern w:val="0"/>
          <w:sz w:val="24"/>
          <w:szCs w:val="24"/>
          <w:lang w:eastAsia="zh-CN"/>
        </w:rPr>
        <w:t>,</w:t>
      </w:r>
    </w:p>
    <w:p w:rsidR="009C427B" w:rsidRPr="00CB681C" w:rsidRDefault="0004773A" w:rsidP="00B43D4E">
      <w:pPr>
        <w:numPr>
          <w:ilvl w:val="0"/>
          <w:numId w:val="18"/>
        </w:numPr>
        <w:tabs>
          <w:tab w:val="left" w:pos="850"/>
          <w:tab w:val="left" w:pos="1191"/>
          <w:tab w:val="left" w:pos="1531"/>
        </w:tabs>
        <w:spacing w:before="0" w:after="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lastRenderedPageBreak/>
        <w:t xml:space="preserve">Kapaciteti </w:t>
      </w:r>
      <w:r w:rsidR="009C427B" w:rsidRPr="00CB681C">
        <w:rPr>
          <w:rFonts w:asciiTheme="majorHAnsi" w:eastAsia="Calibri" w:hAnsiTheme="majorHAnsi" w:cstheme="majorHAnsi"/>
          <w:color w:val="auto"/>
          <w:kern w:val="0"/>
          <w:sz w:val="24"/>
          <w:szCs w:val="24"/>
          <w:lang w:eastAsia="zh-CN"/>
        </w:rPr>
        <w:t>za primjenu tehnike koja se koristi za procjenu troškova regulative (Model standardnog troška-Standard Cost Model), odnosno procjenu administrativnih troškova koje propisi mogu imati na privredu i gra</w:t>
      </w:r>
      <w:r w:rsidR="009707CD" w:rsidRPr="00CB681C">
        <w:rPr>
          <w:rFonts w:asciiTheme="majorHAnsi" w:eastAsia="Calibri" w:hAnsiTheme="majorHAnsi" w:cstheme="majorHAnsi"/>
          <w:color w:val="auto"/>
          <w:kern w:val="0"/>
          <w:sz w:val="24"/>
          <w:szCs w:val="24"/>
          <w:lang w:eastAsia="zh-CN"/>
        </w:rPr>
        <w:t>đane, su ograničeni</w:t>
      </w:r>
      <w:r w:rsidR="00621BB2" w:rsidRPr="00CB681C">
        <w:rPr>
          <w:rFonts w:asciiTheme="majorHAnsi" w:eastAsia="Calibri" w:hAnsiTheme="majorHAnsi" w:cstheme="majorHAnsi"/>
          <w:color w:val="auto"/>
          <w:kern w:val="0"/>
          <w:sz w:val="24"/>
          <w:szCs w:val="24"/>
          <w:lang w:eastAsia="zh-CN"/>
        </w:rPr>
        <w:t>,</w:t>
      </w:r>
    </w:p>
    <w:p w:rsidR="009C427B" w:rsidRPr="00CB681C" w:rsidRDefault="009C427B" w:rsidP="00B43D4E">
      <w:pPr>
        <w:numPr>
          <w:ilvl w:val="0"/>
          <w:numId w:val="18"/>
        </w:numPr>
        <w:tabs>
          <w:tab w:val="left" w:pos="850"/>
          <w:tab w:val="left" w:pos="1191"/>
          <w:tab w:val="left" w:pos="1531"/>
        </w:tabs>
        <w:spacing w:before="0" w:after="0" w:line="240" w:lineRule="auto"/>
        <w:ind w:right="-471"/>
        <w:contextualSpacing/>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Slabi kapaciteti za sagledavanje dugoročnih fiskalnih implikacija p</w:t>
      </w:r>
      <w:r w:rsidR="009707CD" w:rsidRPr="00CB681C">
        <w:rPr>
          <w:rFonts w:asciiTheme="majorHAnsi" w:eastAsia="Calibri" w:hAnsiTheme="majorHAnsi" w:cstheme="majorHAnsi"/>
          <w:color w:val="auto"/>
          <w:kern w:val="0"/>
          <w:sz w:val="24"/>
          <w:szCs w:val="24"/>
          <w:lang w:eastAsia="zh-CN"/>
        </w:rPr>
        <w:t>ropisa (trogodišnje planiranje)</w:t>
      </w:r>
      <w:r w:rsidR="00621BB2" w:rsidRPr="00CB681C">
        <w:rPr>
          <w:rFonts w:asciiTheme="majorHAnsi" w:eastAsia="Calibri" w:hAnsiTheme="majorHAnsi" w:cstheme="majorHAnsi"/>
          <w:color w:val="auto"/>
          <w:kern w:val="0"/>
          <w:sz w:val="24"/>
          <w:szCs w:val="24"/>
          <w:lang w:eastAsia="zh-CN"/>
        </w:rPr>
        <w:t>,</w:t>
      </w:r>
    </w:p>
    <w:p w:rsidR="009C427B" w:rsidRPr="00CB681C" w:rsidRDefault="009C427B" w:rsidP="00B43D4E">
      <w:pPr>
        <w:numPr>
          <w:ilvl w:val="0"/>
          <w:numId w:val="18"/>
        </w:numPr>
        <w:tabs>
          <w:tab w:val="left" w:pos="850"/>
          <w:tab w:val="left" w:pos="1191"/>
          <w:tab w:val="left" w:pos="1531"/>
        </w:tabs>
        <w:spacing w:before="0" w:after="0" w:line="240" w:lineRule="auto"/>
        <w:ind w:right="-471"/>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Izostanak mjerljivih ciljeva, a posljedično i mjerljivih indikatora i mjera uspjeha, tj. rezultata, kako bi se pratila implementacija r</w:t>
      </w:r>
      <w:r w:rsidR="009707CD" w:rsidRPr="00CB681C">
        <w:rPr>
          <w:rFonts w:asciiTheme="majorHAnsi" w:eastAsia="Calibri" w:hAnsiTheme="majorHAnsi" w:cstheme="majorHAnsi"/>
          <w:color w:val="auto"/>
          <w:kern w:val="0"/>
          <w:sz w:val="24"/>
          <w:szCs w:val="24"/>
          <w:lang w:eastAsia="zh-CN"/>
        </w:rPr>
        <w:t>egulatornih rješenja</w:t>
      </w:r>
      <w:r w:rsidR="00621BB2" w:rsidRPr="00CB681C">
        <w:rPr>
          <w:rFonts w:asciiTheme="majorHAnsi" w:eastAsia="Calibri" w:hAnsiTheme="majorHAnsi" w:cstheme="majorHAnsi"/>
          <w:color w:val="auto"/>
          <w:kern w:val="0"/>
          <w:sz w:val="24"/>
          <w:szCs w:val="24"/>
          <w:lang w:eastAsia="zh-CN"/>
        </w:rPr>
        <w:t>,</w:t>
      </w:r>
    </w:p>
    <w:p w:rsidR="009C427B" w:rsidRPr="00CB681C" w:rsidRDefault="009C427B" w:rsidP="00B43D4E">
      <w:pPr>
        <w:numPr>
          <w:ilvl w:val="0"/>
          <w:numId w:val="18"/>
        </w:numPr>
        <w:tabs>
          <w:tab w:val="left" w:pos="850"/>
          <w:tab w:val="left" w:pos="1191"/>
          <w:tab w:val="left" w:pos="1531"/>
        </w:tabs>
        <w:spacing w:before="0" w:after="0" w:line="240" w:lineRule="auto"/>
        <w:ind w:right="-471"/>
        <w:contextualSpacing/>
        <w:jc w:val="both"/>
        <w:rPr>
          <w:rFonts w:asciiTheme="majorHAnsi" w:eastAsia="Calibri" w:hAnsiTheme="majorHAnsi" w:cstheme="majorHAnsi"/>
          <w:color w:val="auto"/>
          <w:kern w:val="0"/>
          <w:sz w:val="24"/>
          <w:szCs w:val="24"/>
          <w:lang w:eastAsia="zh-CN"/>
        </w:rPr>
      </w:pPr>
      <w:r w:rsidRPr="00CB681C">
        <w:rPr>
          <w:rFonts w:asciiTheme="majorHAnsi" w:eastAsia="Calibri" w:hAnsiTheme="majorHAnsi" w:cstheme="majorHAnsi"/>
          <w:color w:val="auto"/>
          <w:kern w:val="0"/>
          <w:sz w:val="24"/>
          <w:szCs w:val="24"/>
          <w:lang w:eastAsia="zh-CN"/>
        </w:rPr>
        <w:t xml:space="preserve">Nedovoljnoj pažnji posvećenoj analizi </w:t>
      </w:r>
      <w:r w:rsidR="009707CD" w:rsidRPr="00CB681C">
        <w:rPr>
          <w:rFonts w:asciiTheme="majorHAnsi" w:eastAsia="Calibri" w:hAnsiTheme="majorHAnsi" w:cstheme="majorHAnsi"/>
          <w:color w:val="auto"/>
          <w:kern w:val="0"/>
          <w:sz w:val="24"/>
          <w:szCs w:val="24"/>
          <w:lang w:eastAsia="zh-CN"/>
        </w:rPr>
        <w:t>i primjeni neregulatornih mjera</w:t>
      </w:r>
      <w:r w:rsidR="00621BB2" w:rsidRPr="00CB681C">
        <w:rPr>
          <w:rFonts w:asciiTheme="majorHAnsi" w:eastAsia="Calibri" w:hAnsiTheme="majorHAnsi" w:cstheme="majorHAnsi"/>
          <w:color w:val="auto"/>
          <w:kern w:val="0"/>
          <w:sz w:val="24"/>
          <w:szCs w:val="24"/>
          <w:lang w:eastAsia="zh-CN"/>
        </w:rPr>
        <w:t>.</w:t>
      </w:r>
    </w:p>
    <w:p w:rsidR="00162CD0" w:rsidRPr="00CB681C" w:rsidRDefault="00162CD0" w:rsidP="00153229">
      <w:pPr>
        <w:tabs>
          <w:tab w:val="left" w:pos="850"/>
          <w:tab w:val="left" w:pos="1191"/>
          <w:tab w:val="left" w:pos="1531"/>
        </w:tabs>
        <w:spacing w:before="0" w:after="0" w:line="240" w:lineRule="auto"/>
        <w:ind w:right="-471"/>
        <w:contextualSpacing/>
        <w:jc w:val="both"/>
        <w:rPr>
          <w:rFonts w:asciiTheme="majorHAnsi" w:eastAsia="Calibri" w:hAnsiTheme="majorHAnsi" w:cstheme="majorHAnsi"/>
          <w:color w:val="auto"/>
          <w:kern w:val="0"/>
          <w:sz w:val="24"/>
          <w:szCs w:val="24"/>
          <w:lang w:eastAsia="zh-CN"/>
        </w:rPr>
      </w:pPr>
    </w:p>
    <w:p w:rsidR="001C3B11" w:rsidRPr="00CB681C" w:rsidRDefault="009707CD" w:rsidP="00B43D4E">
      <w:pPr>
        <w:pStyle w:val="ListParagraph"/>
        <w:keepNext/>
        <w:keepLines/>
        <w:numPr>
          <w:ilvl w:val="0"/>
          <w:numId w:val="21"/>
        </w:numPr>
        <w:spacing w:before="240" w:after="240" w:line="240" w:lineRule="auto"/>
        <w:ind w:right="-471"/>
        <w:contextualSpacing w:val="0"/>
        <w:outlineLvl w:val="2"/>
        <w:rPr>
          <w:rFonts w:asciiTheme="majorHAnsi" w:eastAsia="Calibri" w:hAnsiTheme="majorHAnsi" w:cstheme="majorHAnsi"/>
          <w:b/>
          <w:color w:val="auto"/>
          <w:kern w:val="0"/>
          <w:sz w:val="24"/>
          <w:szCs w:val="24"/>
        </w:rPr>
      </w:pPr>
      <w:bookmarkStart w:id="63" w:name="_Toc87353417"/>
      <w:r w:rsidRPr="00CB681C">
        <w:rPr>
          <w:rFonts w:asciiTheme="majorHAnsi" w:hAnsiTheme="majorHAnsi" w:cstheme="majorHAnsi"/>
          <w:bCs/>
          <w:noProof/>
          <w:color w:val="auto"/>
          <w:sz w:val="24"/>
          <w:szCs w:val="24"/>
          <w:lang w:eastAsia="sr-Latn-RS"/>
        </w:rPr>
        <w:drawing>
          <wp:anchor distT="0" distB="0" distL="114300" distR="114300" simplePos="0" relativeHeight="251696128" behindDoc="1" locked="0" layoutInCell="1" allowOverlap="1" wp14:anchorId="49863189" wp14:editId="3C273A39">
            <wp:simplePos x="0" y="0"/>
            <wp:positionH relativeFrom="page">
              <wp:posOffset>1314450</wp:posOffset>
            </wp:positionH>
            <wp:positionV relativeFrom="paragraph">
              <wp:posOffset>491490</wp:posOffset>
            </wp:positionV>
            <wp:extent cx="3909060" cy="3185160"/>
            <wp:effectExtent l="0" t="0" r="0" b="0"/>
            <wp:wrapTight wrapText="bothSides">
              <wp:wrapPolygon edited="0">
                <wp:start x="10526" y="0"/>
                <wp:lineTo x="2947" y="258"/>
                <wp:lineTo x="1368" y="517"/>
                <wp:lineTo x="1368" y="8268"/>
                <wp:lineTo x="947" y="10335"/>
                <wp:lineTo x="737" y="10722"/>
                <wp:lineTo x="1053" y="11627"/>
                <wp:lineTo x="1579" y="12402"/>
                <wp:lineTo x="1474" y="19378"/>
                <wp:lineTo x="2000" y="20670"/>
                <wp:lineTo x="2316" y="20799"/>
                <wp:lineTo x="8526" y="21445"/>
                <wp:lineTo x="10421" y="21445"/>
                <wp:lineTo x="11053" y="21445"/>
                <wp:lineTo x="13158" y="21445"/>
                <wp:lineTo x="19053" y="20928"/>
                <wp:lineTo x="19684" y="19249"/>
                <wp:lineTo x="19474" y="12402"/>
                <wp:lineTo x="20316" y="11756"/>
                <wp:lineTo x="20842" y="10722"/>
                <wp:lineTo x="20526" y="10335"/>
                <wp:lineTo x="19789" y="8268"/>
                <wp:lineTo x="20000" y="1163"/>
                <wp:lineTo x="18421" y="775"/>
                <wp:lineTo x="11053" y="0"/>
                <wp:lineTo x="10526"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14:sizeRelH relativeFrom="page">
              <wp14:pctWidth>0</wp14:pctWidth>
            </wp14:sizeRelH>
            <wp14:sizeRelV relativeFrom="page">
              <wp14:pctHeight>0</wp14:pctHeight>
            </wp14:sizeRelV>
          </wp:anchor>
        </w:drawing>
      </w:r>
      <w:r w:rsidRPr="00CB681C">
        <w:rPr>
          <w:rFonts w:asciiTheme="majorHAnsi" w:eastAsia="Calibri" w:hAnsiTheme="majorHAnsi" w:cstheme="majorHAnsi"/>
          <w:b/>
          <w:color w:val="auto"/>
          <w:kern w:val="0"/>
          <w:sz w:val="24"/>
          <w:szCs w:val="24"/>
        </w:rPr>
        <w:t>STAKEHOLDER ANALIZA/ ANALIZA ZAINTERESOVANIH STRANA</w:t>
      </w:r>
      <w:r w:rsidR="00791C82" w:rsidRPr="00CB681C">
        <w:rPr>
          <w:rFonts w:asciiTheme="majorHAnsi" w:eastAsia="Calibri" w:hAnsiTheme="majorHAnsi" w:cstheme="majorHAnsi"/>
          <w:b/>
          <w:color w:val="auto"/>
          <w:kern w:val="0"/>
          <w:sz w:val="24"/>
          <w:szCs w:val="24"/>
        </w:rPr>
        <w:t xml:space="preserve"> STRATEŠKOG CILJA 5.</w:t>
      </w:r>
      <w:bookmarkEnd w:id="63"/>
    </w:p>
    <w:p w:rsidR="001C3B11" w:rsidRPr="007E14C5" w:rsidRDefault="00CB681C" w:rsidP="00153229">
      <w:pPr>
        <w:tabs>
          <w:tab w:val="left" w:pos="850"/>
          <w:tab w:val="left" w:pos="1191"/>
          <w:tab w:val="left" w:pos="1531"/>
        </w:tabs>
        <w:spacing w:before="0" w:after="0" w:line="240" w:lineRule="auto"/>
        <w:ind w:right="-471"/>
        <w:contextualSpacing/>
        <w:jc w:val="both"/>
        <w:rPr>
          <w:rFonts w:asciiTheme="majorHAnsi" w:eastAsia="Calibri" w:hAnsiTheme="majorHAnsi" w:cstheme="majorHAnsi"/>
          <w:color w:val="002060"/>
          <w:kern w:val="0"/>
          <w:sz w:val="24"/>
          <w:szCs w:val="24"/>
          <w:lang w:eastAsia="zh-CN"/>
        </w:rPr>
      </w:pPr>
      <w:r w:rsidRPr="00CB681C">
        <w:rPr>
          <w:rFonts w:asciiTheme="majorHAnsi" w:hAnsiTheme="majorHAnsi" w:cstheme="majorHAnsi"/>
          <w:noProof/>
          <w:color w:val="auto"/>
          <w:sz w:val="24"/>
          <w:szCs w:val="24"/>
          <w:lang w:eastAsia="sr-Latn-RS"/>
        </w:rPr>
        <mc:AlternateContent>
          <mc:Choice Requires="wps">
            <w:drawing>
              <wp:anchor distT="45720" distB="45720" distL="114300" distR="114300" simplePos="0" relativeHeight="251698176" behindDoc="0" locked="0" layoutInCell="1" allowOverlap="1" wp14:anchorId="47F1744C" wp14:editId="15076E6A">
                <wp:simplePos x="0" y="0"/>
                <wp:positionH relativeFrom="column">
                  <wp:posOffset>4152900</wp:posOffset>
                </wp:positionH>
                <wp:positionV relativeFrom="paragraph">
                  <wp:posOffset>131445</wp:posOffset>
                </wp:positionV>
                <wp:extent cx="2190115" cy="4401820"/>
                <wp:effectExtent l="0" t="0" r="19685" b="1778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4401820"/>
                        </a:xfrm>
                        <a:prstGeom prst="rect">
                          <a:avLst/>
                        </a:prstGeom>
                        <a:solidFill>
                          <a:srgbClr val="FFFFFF"/>
                        </a:solidFill>
                        <a:ln w="9525">
                          <a:solidFill>
                            <a:schemeClr val="bg1"/>
                          </a:solidFill>
                          <a:miter lim="800000"/>
                          <a:headEnd/>
                          <a:tailEnd/>
                        </a:ln>
                      </wps:spPr>
                      <wps:txbx>
                        <w:txbxContent>
                          <w:p w:rsidR="00F735BC" w:rsidRPr="00CB681C" w:rsidRDefault="00F735BC" w:rsidP="0040085D">
                            <w:pPr>
                              <w:spacing w:before="0" w:after="0" w:line="240" w:lineRule="auto"/>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Na osnovu navedenog, u grafiku je dat sažet prikaz analize zainteresovanih strana, prema kojem se uočava veliki interes svih relevantnih aktera. Naime, javne politike kao takve imaju uticaj na sve djelove društva. Napravljena je razlika u odnosu na to ko je neposredno uključen u sam proces, s tim da su Vlada, GSV, MFSS, KEI, Sekretarijat za zakonodavstvo, MJUDDM, kao institucije centra Vlade, one koje upravljaju koordinacijom politika ili pojedinim njenim djelvoima, dok se sva ostala ministarstva, Uprava za kadrove, MONSTAT i međunarodne organizacije – EU, SIGMA, OECD, UN (DP) posmatraju kao najvažniji partneri s kojima je neophodno konstatno održavati dobre odnose i saradnju.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1744C" id="_x0000_s1161" type="#_x0000_t202" style="position:absolute;left:0;text-align:left;margin-left:327pt;margin-top:10.35pt;width:172.45pt;height:346.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" strokecolor="white [3212]">
                <v:textbox>
                  <w:txbxContent>
                    <w:p w:rsidR="00F735BC" w:rsidRPr="00CB681C" w:rsidRDefault="00F735BC" w:rsidP="0040085D">
                      <w:pPr>
                        <w:spacing w:before="0" w:after="0" w:line="240" w:lineRule="auto"/>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Na osnovu navedenog, u grafiku je dat sažet prikaz analize zainteresovanih strana, prema kojem se uočava veliki interes svih relevantnih aktera. Naime, javne politike kao takve imaju uticaj na sve djelove društva. Napravljena je razlika u odnosu na to ko je neposredno uključen u sam proces, s tim da su Vlada, GSV, MFSS, KEI, Sekretarijat za zakonodavstvo, MJUDDM, kao institucije centra Vlade, one koje upravljaju koordinacijom politika ili pojedinim njenim djelvoima, dok se sva ostala ministarstva, Uprava za kadrove, MONSTAT i međunarodne organizacije – EU, SIGMA, OECD, UN (DP) posmatraju kao najvažniji partneri s kojima je neophodno konstatno održavati dobre odnose i saradnju.</w:t>
                      </w:r>
                    </w:p>
                  </w:txbxContent>
                </v:textbox>
                <w10:wrap type="square"/>
              </v:shape>
            </w:pict>
          </mc:Fallback>
        </mc:AlternateContent>
      </w:r>
    </w:p>
    <w:p w:rsidR="001C3B11" w:rsidRPr="007E14C5" w:rsidRDefault="001C3B11" w:rsidP="00153229">
      <w:pPr>
        <w:tabs>
          <w:tab w:val="left" w:pos="850"/>
          <w:tab w:val="left" w:pos="1191"/>
          <w:tab w:val="left" w:pos="1531"/>
        </w:tabs>
        <w:spacing w:before="0" w:after="0" w:line="240" w:lineRule="auto"/>
        <w:ind w:right="-471"/>
        <w:contextualSpacing/>
        <w:jc w:val="both"/>
        <w:rPr>
          <w:rFonts w:asciiTheme="majorHAnsi" w:eastAsia="Calibri" w:hAnsiTheme="majorHAnsi" w:cstheme="majorHAnsi"/>
          <w:color w:val="002060"/>
          <w:kern w:val="0"/>
          <w:sz w:val="24"/>
          <w:szCs w:val="24"/>
          <w:lang w:eastAsia="zh-CN"/>
        </w:rPr>
      </w:pPr>
      <w:r w:rsidRPr="007E14C5">
        <w:rPr>
          <w:rFonts w:asciiTheme="majorHAnsi" w:hAnsiTheme="majorHAnsi" w:cstheme="majorHAnsi"/>
          <w:bCs/>
          <w:noProof/>
          <w:color w:val="002060"/>
          <w:sz w:val="24"/>
          <w:szCs w:val="24"/>
          <w:lang w:eastAsia="sr-Latn-RS"/>
        </w:rPr>
        <mc:AlternateContent>
          <mc:Choice Requires="wps">
            <w:drawing>
              <wp:anchor distT="0" distB="0" distL="114300" distR="114300" simplePos="0" relativeHeight="251693056" behindDoc="0" locked="0" layoutInCell="1" allowOverlap="1" wp14:anchorId="59239413" wp14:editId="44F48640">
                <wp:simplePos x="0" y="0"/>
                <wp:positionH relativeFrom="column">
                  <wp:posOffset>407035</wp:posOffset>
                </wp:positionH>
                <wp:positionV relativeFrom="paragraph">
                  <wp:posOffset>37465</wp:posOffset>
                </wp:positionV>
                <wp:extent cx="15240" cy="2659380"/>
                <wp:effectExtent l="57150" t="38100" r="118110" b="102870"/>
                <wp:wrapNone/>
                <wp:docPr id="9" name="Straight Arrow Connector 9"/>
                <wp:cNvGraphicFramePr/>
                <a:graphic xmlns:a="http://schemas.openxmlformats.org/drawingml/2006/main">
                  <a:graphicData uri="http://schemas.microsoft.com/office/word/2010/wordprocessingShape">
                    <wps:wsp>
                      <wps:cNvCnPr/>
                      <wps:spPr>
                        <a:xfrm flipV="1">
                          <a:off x="0" y="0"/>
                          <a:ext cx="15240" cy="2659380"/>
                        </a:xfrm>
                        <a:prstGeom prst="straightConnector1">
                          <a:avLst/>
                        </a:prstGeom>
                        <a:noFill/>
                        <a:ln w="9525" cap="flat" cmpd="sng" algn="ctr">
                          <a:solidFill>
                            <a:srgbClr val="7030A0"/>
                          </a:solidFill>
                          <a:prstDash val="solid"/>
                          <a:tailEnd type="triangle"/>
                        </a:ln>
                        <a:effectLst>
                          <a:outerShdw blurRad="50800" dist="38100" dir="2700000" algn="tl" rotWithShape="0">
                            <a:prstClr val="black">
                              <a:alpha val="40000"/>
                            </a:prstClr>
                          </a:outerShdw>
                        </a:effectLst>
                      </wps:spPr>
                      <wps:bodyPr/>
                    </wps:wsp>
                  </a:graphicData>
                </a:graphic>
              </wp:anchor>
            </w:drawing>
          </mc:Choice>
          <mc:Fallback>
            <w:pict>
              <v:shape w14:anchorId="2CB365AA" id="Straight Arrow Connector 9" o:spid="_x0000_s1026" type="#_x0000_t32" style="position:absolute;margin-left:32.05pt;margin-top:2.95pt;width:1.2pt;height:209.4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" strokecolor="#7030a0">
                <v:stroke endarrow="block"/>
                <v:shadow on="t" color="black" opacity="26214f" origin="-.5,-.5" offset=".74836mm,.74836mm"/>
              </v:shape>
            </w:pict>
          </mc:Fallback>
        </mc:AlternateContent>
      </w:r>
    </w:p>
    <w:p w:rsidR="001C3B11" w:rsidRPr="007E14C5" w:rsidRDefault="001C3B11" w:rsidP="00153229">
      <w:pPr>
        <w:tabs>
          <w:tab w:val="left" w:pos="850"/>
          <w:tab w:val="left" w:pos="1191"/>
          <w:tab w:val="left" w:pos="1531"/>
        </w:tabs>
        <w:spacing w:before="0" w:after="0" w:line="240" w:lineRule="auto"/>
        <w:ind w:right="-471"/>
        <w:contextualSpacing/>
        <w:jc w:val="both"/>
        <w:rPr>
          <w:rFonts w:asciiTheme="majorHAnsi" w:eastAsia="Calibri" w:hAnsiTheme="majorHAnsi" w:cstheme="majorHAnsi"/>
          <w:color w:val="002060"/>
          <w:kern w:val="0"/>
          <w:sz w:val="24"/>
          <w:szCs w:val="24"/>
          <w:lang w:eastAsia="zh-CN"/>
        </w:rPr>
      </w:pPr>
    </w:p>
    <w:p w:rsidR="001C3B11" w:rsidRPr="007E14C5" w:rsidRDefault="001C3B11" w:rsidP="00153229">
      <w:pPr>
        <w:tabs>
          <w:tab w:val="left" w:pos="850"/>
          <w:tab w:val="left" w:pos="1191"/>
          <w:tab w:val="left" w:pos="1531"/>
        </w:tabs>
        <w:spacing w:before="0" w:after="0" w:line="240" w:lineRule="auto"/>
        <w:ind w:right="-471"/>
        <w:contextualSpacing/>
        <w:jc w:val="both"/>
        <w:rPr>
          <w:rFonts w:asciiTheme="majorHAnsi" w:eastAsia="Calibri" w:hAnsiTheme="majorHAnsi" w:cstheme="majorHAnsi"/>
          <w:color w:val="002060"/>
          <w:kern w:val="0"/>
          <w:sz w:val="24"/>
          <w:szCs w:val="24"/>
          <w:lang w:eastAsia="zh-CN"/>
        </w:rPr>
      </w:pPr>
      <w:r w:rsidRPr="007E14C5">
        <w:rPr>
          <w:rFonts w:asciiTheme="majorHAnsi" w:hAnsiTheme="majorHAnsi" w:cstheme="majorHAnsi"/>
          <w:bCs/>
          <w:noProof/>
          <w:color w:val="002060"/>
          <w:sz w:val="24"/>
          <w:szCs w:val="24"/>
          <w:lang w:eastAsia="sr-Latn-RS"/>
        </w:rPr>
        <mc:AlternateContent>
          <mc:Choice Requires="wps">
            <w:drawing>
              <wp:anchor distT="45720" distB="45720" distL="114300" distR="114300" simplePos="0" relativeHeight="251694080" behindDoc="0" locked="0" layoutInCell="1" allowOverlap="1" wp14:anchorId="73CF2DEC" wp14:editId="6E21AD6B">
                <wp:simplePos x="0" y="0"/>
                <wp:positionH relativeFrom="margin">
                  <wp:posOffset>125095</wp:posOffset>
                </wp:positionH>
                <wp:positionV relativeFrom="paragraph">
                  <wp:posOffset>154940</wp:posOffset>
                </wp:positionV>
                <wp:extent cx="198120" cy="1714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8120" cy="1714500"/>
                        </a:xfrm>
                        <a:prstGeom prst="rect">
                          <a:avLst/>
                        </a:prstGeom>
                        <a:noFill/>
                        <a:ln w="9525">
                          <a:noFill/>
                          <a:miter lim="800000"/>
                          <a:headEnd/>
                          <a:tailEnd/>
                        </a:ln>
                      </wps:spPr>
                      <wps:txbx>
                        <w:txbxContent>
                          <w:p w:rsidR="00F735BC" w:rsidRPr="001C3B11" w:rsidRDefault="00F735BC" w:rsidP="001C3B11">
                            <w:pPr>
                              <w:ind w:right="-12"/>
                              <w:rPr>
                                <w:color w:val="7030A0"/>
                                <w:sz w:val="24"/>
                                <w:szCs w:val="24"/>
                              </w:rPr>
                            </w:pPr>
                            <w:r w:rsidRPr="001C3B11">
                              <w:rPr>
                                <w:color w:val="7030A0"/>
                                <w:sz w:val="24"/>
                                <w:szCs w:val="24"/>
                              </w:rPr>
                              <w:t>INTERES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F2DEC" id="_x0000_s1162" type="#_x0000_t202" style="position:absolute;left:0;text-align:left;margin-left:9.85pt;margin-top:12.2pt;width:15.6pt;height:135pt;flip:x;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" filled="f" stroked="f">
                <v:textbox>
                  <w:txbxContent>
                    <w:p w:rsidR="00F735BC" w:rsidRPr="001C3B11" w:rsidRDefault="00F735BC" w:rsidP="001C3B11">
                      <w:pPr>
                        <w:ind w:right="-12"/>
                        <w:rPr>
                          <w:color w:val="7030A0"/>
                          <w:sz w:val="24"/>
                          <w:szCs w:val="24"/>
                        </w:rPr>
                      </w:pPr>
                      <w:r w:rsidRPr="001C3B11">
                        <w:rPr>
                          <w:color w:val="7030A0"/>
                          <w:sz w:val="24"/>
                          <w:szCs w:val="24"/>
                        </w:rPr>
                        <w:t>INTERES</w:t>
                      </w:r>
                    </w:p>
                  </w:txbxContent>
                </v:textbox>
                <w10:wrap type="square" anchorx="margin"/>
              </v:shape>
            </w:pict>
          </mc:Fallback>
        </mc:AlternateContent>
      </w:r>
    </w:p>
    <w:p w:rsidR="001C3B11" w:rsidRPr="007E14C5" w:rsidRDefault="001C3B11" w:rsidP="00153229">
      <w:pPr>
        <w:tabs>
          <w:tab w:val="left" w:pos="850"/>
          <w:tab w:val="left" w:pos="1191"/>
          <w:tab w:val="left" w:pos="1531"/>
        </w:tabs>
        <w:spacing w:before="0" w:after="0" w:line="240" w:lineRule="auto"/>
        <w:ind w:right="-471"/>
        <w:contextualSpacing/>
        <w:jc w:val="both"/>
        <w:rPr>
          <w:rFonts w:asciiTheme="majorHAnsi" w:eastAsia="Calibri" w:hAnsiTheme="majorHAnsi" w:cstheme="majorHAnsi"/>
          <w:color w:val="002060"/>
          <w:kern w:val="0"/>
          <w:sz w:val="24"/>
          <w:szCs w:val="24"/>
          <w:lang w:eastAsia="zh-CN"/>
        </w:rPr>
      </w:pPr>
    </w:p>
    <w:p w:rsidR="001C3B11" w:rsidRPr="007E14C5" w:rsidRDefault="001C3B11" w:rsidP="00153229">
      <w:pPr>
        <w:tabs>
          <w:tab w:val="left" w:pos="850"/>
          <w:tab w:val="left" w:pos="1191"/>
          <w:tab w:val="left" w:pos="1531"/>
        </w:tabs>
        <w:spacing w:before="0" w:after="0" w:line="240" w:lineRule="auto"/>
        <w:ind w:right="-471"/>
        <w:contextualSpacing/>
        <w:jc w:val="both"/>
        <w:rPr>
          <w:rFonts w:asciiTheme="majorHAnsi" w:eastAsia="Calibri" w:hAnsiTheme="majorHAnsi" w:cstheme="majorHAnsi"/>
          <w:color w:val="002060"/>
          <w:kern w:val="0"/>
          <w:sz w:val="24"/>
          <w:szCs w:val="24"/>
          <w:lang w:eastAsia="zh-CN"/>
        </w:rPr>
      </w:pPr>
    </w:p>
    <w:p w:rsidR="001C3B11" w:rsidRPr="007E14C5" w:rsidRDefault="001C3B11" w:rsidP="00153229">
      <w:pPr>
        <w:tabs>
          <w:tab w:val="left" w:pos="850"/>
          <w:tab w:val="left" w:pos="1191"/>
          <w:tab w:val="left" w:pos="1531"/>
        </w:tabs>
        <w:spacing w:before="0" w:after="0" w:line="240" w:lineRule="auto"/>
        <w:ind w:right="-471"/>
        <w:contextualSpacing/>
        <w:jc w:val="both"/>
        <w:rPr>
          <w:rFonts w:asciiTheme="majorHAnsi" w:eastAsia="Calibri" w:hAnsiTheme="majorHAnsi" w:cstheme="majorHAnsi"/>
          <w:color w:val="002060"/>
          <w:kern w:val="0"/>
          <w:sz w:val="24"/>
          <w:szCs w:val="24"/>
          <w:lang w:eastAsia="zh-CN"/>
        </w:rPr>
      </w:pPr>
    </w:p>
    <w:p w:rsidR="001C3B11" w:rsidRPr="007E14C5" w:rsidRDefault="009707CD" w:rsidP="00153229">
      <w:pPr>
        <w:tabs>
          <w:tab w:val="left" w:pos="850"/>
          <w:tab w:val="left" w:pos="1191"/>
          <w:tab w:val="left" w:pos="1531"/>
        </w:tabs>
        <w:spacing w:before="0" w:after="0" w:line="240" w:lineRule="auto"/>
        <w:ind w:right="-471"/>
        <w:contextualSpacing/>
        <w:jc w:val="both"/>
        <w:rPr>
          <w:rFonts w:asciiTheme="majorHAnsi" w:eastAsia="Calibri" w:hAnsiTheme="majorHAnsi" w:cstheme="majorHAnsi"/>
          <w:color w:val="002060"/>
          <w:kern w:val="0"/>
          <w:sz w:val="24"/>
          <w:szCs w:val="24"/>
          <w:lang w:eastAsia="zh-CN"/>
        </w:rPr>
      </w:pPr>
      <w:r w:rsidRPr="007E14C5">
        <w:rPr>
          <w:rFonts w:asciiTheme="majorHAnsi" w:hAnsiTheme="majorHAnsi" w:cstheme="majorHAnsi"/>
          <w:bCs/>
          <w:noProof/>
          <w:color w:val="002060"/>
          <w:sz w:val="24"/>
          <w:szCs w:val="24"/>
          <w:lang w:eastAsia="sr-Latn-RS"/>
        </w:rPr>
        <mc:AlternateContent>
          <mc:Choice Requires="wps">
            <w:drawing>
              <wp:anchor distT="45720" distB="45720" distL="114300" distR="114300" simplePos="0" relativeHeight="251695104" behindDoc="0" locked="0" layoutInCell="1" allowOverlap="1" wp14:anchorId="1D06D749" wp14:editId="2A7DD746">
                <wp:simplePos x="0" y="0"/>
                <wp:positionH relativeFrom="column">
                  <wp:posOffset>1740535</wp:posOffset>
                </wp:positionH>
                <wp:positionV relativeFrom="paragraph">
                  <wp:posOffset>106045</wp:posOffset>
                </wp:positionV>
                <wp:extent cx="1120140" cy="312420"/>
                <wp:effectExtent l="0" t="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12420"/>
                        </a:xfrm>
                        <a:prstGeom prst="rect">
                          <a:avLst/>
                        </a:prstGeom>
                        <a:solidFill>
                          <a:srgbClr val="FFFFFF"/>
                        </a:solidFill>
                        <a:ln w="9525">
                          <a:solidFill>
                            <a:srgbClr val="FFFFFF"/>
                          </a:solidFill>
                          <a:miter lim="800000"/>
                          <a:headEnd/>
                          <a:tailEnd/>
                        </a:ln>
                      </wps:spPr>
                      <wps:txbx>
                        <w:txbxContent>
                          <w:p w:rsidR="00F735BC" w:rsidRPr="001C3B11" w:rsidRDefault="00F735BC" w:rsidP="001C3B11">
                            <w:pPr>
                              <w:rPr>
                                <w:color w:val="441D61"/>
                                <w:sz w:val="22"/>
                                <w:szCs w:val="22"/>
                              </w:rPr>
                            </w:pPr>
                            <w:r w:rsidRPr="001C3B11">
                              <w:rPr>
                                <w:color w:val="441D61"/>
                                <w:sz w:val="22"/>
                                <w:szCs w:val="22"/>
                              </w:rPr>
                              <w:t>UTICAJ/SNAGA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6D749" id="_x0000_s1163" type="#_x0000_t202" style="position:absolute;left:0;text-align:left;margin-left:137.05pt;margin-top:8.35pt;width:88.2pt;height:24.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" strokecolor="white">
                <v:textbox>
                  <w:txbxContent>
                    <w:p w:rsidR="00F735BC" w:rsidRPr="001C3B11" w:rsidRDefault="00F735BC" w:rsidP="001C3B11">
                      <w:pPr>
                        <w:rPr>
                          <w:color w:val="441D61"/>
                          <w:sz w:val="22"/>
                          <w:szCs w:val="22"/>
                        </w:rPr>
                      </w:pPr>
                      <w:r w:rsidRPr="001C3B11">
                        <w:rPr>
                          <w:color w:val="441D61"/>
                          <w:sz w:val="22"/>
                          <w:szCs w:val="22"/>
                        </w:rPr>
                        <w:t>UTICAJ/SNAGA</w:t>
                      </w:r>
                    </w:p>
                  </w:txbxContent>
                </v:textbox>
                <w10:wrap type="square"/>
              </v:shape>
            </w:pict>
          </mc:Fallback>
        </mc:AlternateContent>
      </w:r>
      <w:r w:rsidRPr="007E14C5">
        <w:rPr>
          <w:rFonts w:asciiTheme="majorHAnsi" w:hAnsiTheme="majorHAnsi" w:cstheme="majorHAnsi"/>
          <w:bCs/>
          <w:noProof/>
          <w:color w:val="002060"/>
          <w:sz w:val="24"/>
          <w:szCs w:val="24"/>
          <w:lang w:eastAsia="sr-Latn-RS"/>
        </w:rPr>
        <mc:AlternateContent>
          <mc:Choice Requires="wps">
            <w:drawing>
              <wp:anchor distT="0" distB="0" distL="114300" distR="114300" simplePos="0" relativeHeight="251692032" behindDoc="0" locked="0" layoutInCell="1" allowOverlap="1" wp14:anchorId="38B86468" wp14:editId="14F0CAAB">
                <wp:simplePos x="0" y="0"/>
                <wp:positionH relativeFrom="column">
                  <wp:posOffset>963295</wp:posOffset>
                </wp:positionH>
                <wp:positionV relativeFrom="paragraph">
                  <wp:posOffset>13970</wp:posOffset>
                </wp:positionV>
                <wp:extent cx="2651760" cy="0"/>
                <wp:effectExtent l="0" t="76200" r="53340" b="171450"/>
                <wp:wrapNone/>
                <wp:docPr id="8" name="Straight Arrow Connector 8"/>
                <wp:cNvGraphicFramePr/>
                <a:graphic xmlns:a="http://schemas.openxmlformats.org/drawingml/2006/main">
                  <a:graphicData uri="http://schemas.microsoft.com/office/word/2010/wordprocessingShape">
                    <wps:wsp>
                      <wps:cNvCnPr/>
                      <wps:spPr>
                        <a:xfrm flipV="1">
                          <a:off x="0" y="0"/>
                          <a:ext cx="2651760" cy="0"/>
                        </a:xfrm>
                        <a:prstGeom prst="straightConnector1">
                          <a:avLst/>
                        </a:prstGeom>
                        <a:noFill/>
                        <a:ln w="9525" cap="flat" cmpd="sng" algn="ctr">
                          <a:solidFill>
                            <a:srgbClr val="7030A0"/>
                          </a:solidFill>
                          <a:prstDash val="solid"/>
                          <a:round/>
                          <a:headEnd type="none" w="med" len="med"/>
                          <a:tailEnd type="arrow" w="med" len="med"/>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33338B1" id="Straight Arrow Connector 8" o:spid="_x0000_s1026" type="#_x0000_t32" style="position:absolute;margin-left:75.85pt;margin-top:1.1pt;width:208.8pt;height:0;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" strokecolor="#7030a0">
                <v:stroke endarrow="open"/>
                <v:shadow on="t" color="black" opacity="26214f" origin="-.5,-.5" offset=".74836mm,.74836mm"/>
              </v:shape>
            </w:pict>
          </mc:Fallback>
        </mc:AlternateContent>
      </w:r>
    </w:p>
    <w:p w:rsidR="001C3B11" w:rsidRPr="007E14C5" w:rsidRDefault="001C3B11" w:rsidP="00153229">
      <w:pPr>
        <w:tabs>
          <w:tab w:val="left" w:pos="850"/>
          <w:tab w:val="left" w:pos="1191"/>
          <w:tab w:val="left" w:pos="1531"/>
        </w:tabs>
        <w:spacing w:before="0" w:after="0" w:line="240" w:lineRule="auto"/>
        <w:ind w:right="-471"/>
        <w:contextualSpacing/>
        <w:jc w:val="both"/>
        <w:rPr>
          <w:rFonts w:asciiTheme="majorHAnsi" w:eastAsia="Calibri" w:hAnsiTheme="majorHAnsi" w:cstheme="majorHAnsi"/>
          <w:color w:val="002060"/>
          <w:kern w:val="0"/>
          <w:sz w:val="24"/>
          <w:szCs w:val="24"/>
          <w:lang w:eastAsia="zh-CN"/>
        </w:rPr>
      </w:pPr>
    </w:p>
    <w:p w:rsidR="001C3B11" w:rsidRPr="007E14C5" w:rsidRDefault="001C3B11" w:rsidP="00153229">
      <w:pPr>
        <w:tabs>
          <w:tab w:val="left" w:pos="850"/>
          <w:tab w:val="left" w:pos="1191"/>
          <w:tab w:val="left" w:pos="1531"/>
        </w:tabs>
        <w:spacing w:before="0" w:after="0" w:line="240" w:lineRule="auto"/>
        <w:ind w:right="-471"/>
        <w:contextualSpacing/>
        <w:jc w:val="both"/>
        <w:rPr>
          <w:rFonts w:asciiTheme="majorHAnsi" w:eastAsia="Calibri" w:hAnsiTheme="majorHAnsi" w:cstheme="majorHAnsi"/>
          <w:color w:val="002060"/>
          <w:kern w:val="0"/>
          <w:sz w:val="24"/>
          <w:szCs w:val="24"/>
          <w:lang w:eastAsia="zh-CN"/>
        </w:rPr>
      </w:pPr>
    </w:p>
    <w:p w:rsidR="00CB681C" w:rsidRDefault="00CB681C" w:rsidP="00CB681C">
      <w:pPr>
        <w:spacing w:before="0" w:after="0" w:line="240" w:lineRule="auto"/>
        <w:ind w:right="-475"/>
        <w:jc w:val="both"/>
        <w:rPr>
          <w:rFonts w:asciiTheme="majorHAnsi" w:hAnsiTheme="majorHAnsi" w:cstheme="majorHAnsi"/>
          <w:i/>
          <w:color w:val="002060"/>
        </w:rPr>
      </w:pPr>
    </w:p>
    <w:p w:rsidR="00791C82" w:rsidRPr="00CB681C" w:rsidRDefault="00791C82" w:rsidP="00CB681C">
      <w:pPr>
        <w:spacing w:before="0" w:after="0" w:line="240" w:lineRule="auto"/>
        <w:ind w:right="-475"/>
        <w:jc w:val="both"/>
        <w:rPr>
          <w:rFonts w:asciiTheme="majorHAnsi" w:hAnsiTheme="majorHAnsi" w:cstheme="majorHAnsi"/>
          <w:i/>
          <w:color w:val="002060"/>
        </w:rPr>
      </w:pPr>
      <w:r w:rsidRPr="00CB681C">
        <w:rPr>
          <w:rFonts w:asciiTheme="majorHAnsi" w:hAnsiTheme="majorHAnsi" w:cstheme="majorHAnsi"/>
          <w:i/>
          <w:color w:val="002060"/>
        </w:rPr>
        <w:t>Grafik: Analiza zaintereso</w:t>
      </w:r>
      <w:r w:rsidR="00CB681C">
        <w:rPr>
          <w:rFonts w:asciiTheme="majorHAnsi" w:hAnsiTheme="majorHAnsi" w:cstheme="majorHAnsi"/>
          <w:i/>
          <w:color w:val="002060"/>
        </w:rPr>
        <w:t xml:space="preserve">vanih strana Strateškog cilja: </w:t>
      </w:r>
      <w:r w:rsidRPr="00CB681C">
        <w:rPr>
          <w:rFonts w:asciiTheme="majorHAnsi" w:hAnsiTheme="majorHAnsi" w:cstheme="majorHAnsi"/>
          <w:i/>
          <w:color w:val="002060"/>
        </w:rPr>
        <w:t>Planiranje politika sa građanima i za građane</w:t>
      </w:r>
    </w:p>
    <w:p w:rsidR="00CB681C" w:rsidRDefault="00CB681C" w:rsidP="00153229">
      <w:pPr>
        <w:spacing w:after="40" w:line="240" w:lineRule="auto"/>
        <w:ind w:right="-471"/>
        <w:jc w:val="both"/>
        <w:rPr>
          <w:rFonts w:asciiTheme="majorHAnsi" w:hAnsiTheme="majorHAnsi" w:cstheme="majorHAnsi"/>
          <w:bCs/>
          <w:color w:val="002060"/>
          <w:sz w:val="24"/>
          <w:szCs w:val="24"/>
        </w:rPr>
      </w:pPr>
    </w:p>
    <w:p w:rsidR="001C3B11" w:rsidRPr="00CB681C" w:rsidRDefault="001C3B11" w:rsidP="00153229">
      <w:pPr>
        <w:spacing w:after="40" w:line="240" w:lineRule="auto"/>
        <w:ind w:right="-471"/>
        <w:jc w:val="both"/>
        <w:rPr>
          <w:rFonts w:asciiTheme="majorHAnsi" w:hAnsiTheme="majorHAnsi" w:cstheme="majorHAnsi"/>
          <w:bCs/>
          <w:color w:val="auto"/>
          <w:sz w:val="24"/>
          <w:szCs w:val="24"/>
        </w:rPr>
      </w:pPr>
      <w:r w:rsidRPr="00CB681C">
        <w:rPr>
          <w:rFonts w:asciiTheme="majorHAnsi" w:hAnsiTheme="majorHAnsi" w:cstheme="majorHAnsi"/>
          <w:bCs/>
          <w:color w:val="auto"/>
          <w:sz w:val="24"/>
          <w:szCs w:val="24"/>
        </w:rPr>
        <w:t>S druge strane, za politike zasnovane na podacima je potrebno imati osnaženu saradnju s istraživačkom i akademskom zajednicom, organizacije civilnog društva i same građane na koje utiču sve javne politike, kako bi se obezbjedila transparentnost i inkluzivnost. Članove Mreže i polaznike Programa obrazovanja za strateško planiranje treba osnažiti za vidljiviju ulogu u procesu planiranja, a vještine za izradu strateških dokumenata prenijeti i na lokalni nivo. Iz th razloga je ovo grupa koju treba imati u vidu kao učesnike i krajnje korisnike, te pokretati posebne inicijative kako bi se obuhvatili i zaštitili njihovi interesi.</w:t>
      </w:r>
    </w:p>
    <w:p w:rsidR="001014EF" w:rsidRDefault="001C3B11" w:rsidP="001014EF">
      <w:pPr>
        <w:spacing w:before="60" w:after="60" w:line="240" w:lineRule="auto"/>
        <w:ind w:right="-471"/>
        <w:jc w:val="both"/>
        <w:rPr>
          <w:rFonts w:asciiTheme="majorHAnsi" w:eastAsia="Calibri" w:hAnsiTheme="majorHAnsi" w:cstheme="majorHAnsi"/>
          <w:b/>
          <w:color w:val="002060"/>
          <w:kern w:val="0"/>
          <w:sz w:val="24"/>
          <w:szCs w:val="24"/>
        </w:rPr>
      </w:pPr>
      <w:r w:rsidRPr="00CB681C">
        <w:rPr>
          <w:rFonts w:asciiTheme="majorHAnsi" w:hAnsiTheme="majorHAnsi" w:cstheme="majorHAnsi"/>
          <w:bCs/>
          <w:color w:val="auto"/>
          <w:sz w:val="24"/>
          <w:szCs w:val="24"/>
        </w:rPr>
        <w:lastRenderedPageBreak/>
        <w:t>Uloga medija u ovoj oblasti i njihovo uključivanje u koordinaciju i razvoj politika se treba posmatrati s aspekta saradnje radi informisanja i obavještavanja o važnim koracima u uspostavljanju sistema planiranja politika koje će biti zasnovano na podacima, usmjereno na građane i građan</w:t>
      </w:r>
      <w:r w:rsidR="001014EF">
        <w:rPr>
          <w:rFonts w:asciiTheme="majorHAnsi" w:hAnsiTheme="majorHAnsi" w:cstheme="majorHAnsi"/>
          <w:bCs/>
          <w:color w:val="auto"/>
          <w:sz w:val="24"/>
          <w:szCs w:val="24"/>
        </w:rPr>
        <w:t>ke i orijentisano na rezultate.</w:t>
      </w:r>
    </w:p>
    <w:p w:rsidR="00F42CB0" w:rsidRPr="001014EF" w:rsidRDefault="00F42CB0" w:rsidP="00B43D4E">
      <w:pPr>
        <w:pStyle w:val="ListParagraph"/>
        <w:numPr>
          <w:ilvl w:val="0"/>
          <w:numId w:val="21"/>
        </w:numPr>
        <w:spacing w:before="240" w:after="240" w:line="240" w:lineRule="auto"/>
        <w:ind w:right="-475"/>
        <w:contextualSpacing w:val="0"/>
        <w:jc w:val="both"/>
        <w:rPr>
          <w:rFonts w:asciiTheme="majorHAnsi" w:hAnsiTheme="majorHAnsi" w:cstheme="majorHAnsi"/>
          <w:bCs/>
          <w:color w:val="auto"/>
          <w:sz w:val="24"/>
          <w:szCs w:val="24"/>
        </w:rPr>
      </w:pPr>
      <w:r w:rsidRPr="001014EF">
        <w:rPr>
          <w:rFonts w:asciiTheme="majorHAnsi" w:eastAsia="Calibri" w:hAnsiTheme="majorHAnsi" w:cstheme="majorHAnsi"/>
          <w:b/>
          <w:color w:val="auto"/>
          <w:kern w:val="0"/>
          <w:sz w:val="28"/>
          <w:szCs w:val="28"/>
        </w:rPr>
        <w:t>OPERATIVNI CILJEVI NA OSNOVU IDENTIFIKOVANIH IZAZOVA</w:t>
      </w:r>
    </w:p>
    <w:p w:rsidR="00621BB2" w:rsidRPr="00CB681C" w:rsidRDefault="00F42CB0" w:rsidP="00CB681C">
      <w:pPr>
        <w:pStyle w:val="Heading4"/>
        <w:spacing w:before="0" w:line="240" w:lineRule="auto"/>
        <w:ind w:right="-450"/>
        <w:jc w:val="both"/>
        <w:rPr>
          <w:rFonts w:cstheme="majorHAnsi"/>
          <w:color w:val="auto"/>
          <w:sz w:val="24"/>
          <w:szCs w:val="24"/>
        </w:rPr>
      </w:pPr>
      <w:r w:rsidRPr="00CB681C">
        <w:rPr>
          <w:rFonts w:eastAsia="Times New Roman" w:cstheme="majorHAnsi"/>
          <w:i w:val="0"/>
          <w:color w:val="auto"/>
          <w:sz w:val="24"/>
          <w:szCs w:val="24"/>
          <w:lang w:eastAsia="en-US"/>
        </w:rPr>
        <w:t>OPERATIVNI CILJ 5.1.</w:t>
      </w:r>
      <w:r w:rsidRPr="00CB681C">
        <w:rPr>
          <w:rFonts w:eastAsia="Times New Roman" w:cstheme="majorHAnsi"/>
          <w:color w:val="auto"/>
          <w:sz w:val="24"/>
          <w:szCs w:val="24"/>
          <w:lang w:eastAsia="en-US"/>
        </w:rPr>
        <w:t xml:space="preserve"> </w:t>
      </w:r>
      <w:r w:rsidR="0004773A" w:rsidRPr="00CB681C">
        <w:rPr>
          <w:rFonts w:cstheme="majorHAnsi"/>
          <w:color w:val="auto"/>
          <w:sz w:val="24"/>
          <w:szCs w:val="24"/>
        </w:rPr>
        <w:t>Jačanje sistema planiranja zasnovanog na podacima koje vodi ka kreiranju održivih politika i postizanju prioriteta Vlade</w:t>
      </w:r>
    </w:p>
    <w:p w:rsidR="00B93FBF" w:rsidRPr="00CB681C" w:rsidRDefault="006B031A" w:rsidP="007E14C5">
      <w:pPr>
        <w:spacing w:before="0" w:after="120" w:line="240" w:lineRule="auto"/>
        <w:ind w:right="-446"/>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 xml:space="preserve">U okviru ovog cilja fokus </w:t>
      </w:r>
      <w:r w:rsidR="00B93FBF" w:rsidRPr="00CB681C">
        <w:rPr>
          <w:rFonts w:asciiTheme="majorHAnsi" w:eastAsia="Times New Roman" w:hAnsiTheme="majorHAnsi" w:cstheme="majorHAnsi"/>
          <w:color w:val="auto"/>
          <w:kern w:val="0"/>
          <w:sz w:val="24"/>
          <w:szCs w:val="24"/>
          <w:lang w:eastAsia="en-US"/>
        </w:rPr>
        <w:t>je</w:t>
      </w:r>
      <w:r w:rsidRPr="00CB681C">
        <w:rPr>
          <w:rFonts w:asciiTheme="majorHAnsi" w:eastAsia="Times New Roman" w:hAnsiTheme="majorHAnsi" w:cstheme="majorHAnsi"/>
          <w:color w:val="auto"/>
          <w:kern w:val="0"/>
          <w:sz w:val="24"/>
          <w:szCs w:val="24"/>
          <w:lang w:eastAsia="en-US"/>
        </w:rPr>
        <w:t xml:space="preserve"> na jačanj</w:t>
      </w:r>
      <w:r w:rsidR="00B93FBF" w:rsidRPr="00CB681C">
        <w:rPr>
          <w:rFonts w:asciiTheme="majorHAnsi" w:eastAsia="Times New Roman" w:hAnsiTheme="majorHAnsi" w:cstheme="majorHAnsi"/>
          <w:color w:val="auto"/>
          <w:kern w:val="0"/>
          <w:sz w:val="24"/>
          <w:szCs w:val="24"/>
          <w:lang w:eastAsia="en-US"/>
        </w:rPr>
        <w:t>u</w:t>
      </w:r>
      <w:r w:rsidRPr="00CB681C">
        <w:rPr>
          <w:rFonts w:asciiTheme="majorHAnsi" w:eastAsia="Times New Roman" w:hAnsiTheme="majorHAnsi" w:cstheme="majorHAnsi"/>
          <w:color w:val="auto"/>
          <w:kern w:val="0"/>
          <w:sz w:val="24"/>
          <w:szCs w:val="24"/>
          <w:lang w:eastAsia="en-US"/>
        </w:rPr>
        <w:t xml:space="preserve"> sistema srednjoročnog planiranja, koji se ogleda u kreiranju, sprovođenju i praćenju srednjoročnih programa rada Vlade i ministarstava i orijentisanost na učinke i rezultate. Za efektivan sistem srednjoročnog planiranja politika nužno je uvezati se s procesom srednjoročnog planiranja budžeta kako bi se obezbjedile održive politike i postavili realni i dostižni ciljevi koji će biti prepoznati i programskim budžetom. Sistem strateškog i srednjoročnog planiranja moraju pratiti i odgovarajući IT sistemi </w:t>
      </w:r>
      <w:r w:rsidR="00B93FBF" w:rsidRPr="00CB681C">
        <w:rPr>
          <w:rFonts w:asciiTheme="majorHAnsi" w:eastAsia="Times New Roman" w:hAnsiTheme="majorHAnsi" w:cstheme="majorHAnsi"/>
          <w:color w:val="auto"/>
          <w:kern w:val="0"/>
          <w:sz w:val="24"/>
          <w:szCs w:val="24"/>
          <w:lang w:eastAsia="en-US"/>
        </w:rPr>
        <w:t xml:space="preserve">koji </w:t>
      </w:r>
      <w:r w:rsidRPr="00CB681C">
        <w:rPr>
          <w:rFonts w:asciiTheme="majorHAnsi" w:eastAsia="Times New Roman" w:hAnsiTheme="majorHAnsi" w:cstheme="majorHAnsi"/>
          <w:color w:val="auto"/>
          <w:kern w:val="0"/>
          <w:sz w:val="24"/>
          <w:szCs w:val="24"/>
          <w:lang w:eastAsia="en-US"/>
        </w:rPr>
        <w:t xml:space="preserve">će biti unaprijeđeni prema potrebama sistema, korisnika i uvezani međusobno, </w:t>
      </w:r>
      <w:r w:rsidR="00B93FBF" w:rsidRPr="00CB681C">
        <w:rPr>
          <w:rFonts w:asciiTheme="majorHAnsi" w:eastAsia="Times New Roman" w:hAnsiTheme="majorHAnsi" w:cstheme="majorHAnsi"/>
          <w:color w:val="auto"/>
          <w:kern w:val="0"/>
          <w:sz w:val="24"/>
          <w:szCs w:val="24"/>
          <w:lang w:eastAsia="en-US"/>
        </w:rPr>
        <w:t xml:space="preserve">uključujući i uvezanost </w:t>
      </w:r>
      <w:r w:rsidRPr="00CB681C">
        <w:rPr>
          <w:rFonts w:asciiTheme="majorHAnsi" w:eastAsia="Times New Roman" w:hAnsiTheme="majorHAnsi" w:cstheme="majorHAnsi"/>
          <w:color w:val="auto"/>
          <w:kern w:val="0"/>
          <w:sz w:val="24"/>
          <w:szCs w:val="24"/>
          <w:lang w:eastAsia="en-US"/>
        </w:rPr>
        <w:t xml:space="preserve">sa sistemom za planiranje budžeta kako bi se obezbjedila razmjena podataka. </w:t>
      </w:r>
    </w:p>
    <w:p w:rsidR="00B93FBF" w:rsidRPr="00CB681C" w:rsidRDefault="006B031A" w:rsidP="007E14C5">
      <w:pPr>
        <w:spacing w:before="0" w:after="120" w:line="240" w:lineRule="auto"/>
        <w:ind w:right="-446"/>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 xml:space="preserve">Dodatni napori će biti napravljeni da se razvije integrisan sistem strateškog planiranja, čiji je osnovni cilj povezivanje srednjoročnog budžetskog planiranja, planiranja srednjoročnih i godišnjih programa rada Vlade i ministarstava, planiranja sektorskih politika i procesa evropskih integracija.  Ujedno, integrisani sistem planiranja treba da doprinese uključivanju rezultata praćenja, izvještavanja i evaluacije u buduće cikluse planiranja kako bi javne politike bile zasnovane na činjenicama. </w:t>
      </w:r>
    </w:p>
    <w:p w:rsidR="00B93FBF" w:rsidRPr="00CB681C" w:rsidRDefault="006B031A" w:rsidP="007E14C5">
      <w:pPr>
        <w:spacing w:before="0" w:after="120" w:line="240" w:lineRule="auto"/>
        <w:ind w:right="-446"/>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 xml:space="preserve">Doprinos sistemu kreiranja politika zasnovanog na podacima treba obezbjediti i kroz jačanje saradnje s istraživačkom i akademskom zajednicom, NVO, MONSTAT i drugim proizvođačima zvanične statistike u cilju veće dostupnosti i korišćenja podataka. Akcenat će biti stavljen na definisanje konkretnih mehanizama za saradnju i formiranje jedinice po uzoru na inovativne habove i istraživačke centre, čiji bi zadatak, pored istraživačkog rada, bio pospješivanje saradnje na liniji državna uprava – istraživači/ akademska zajednica – civilni sektor i efektivna upotreba podataka i istraživanja. Biće posvećena pažnja i potencijalnom normativnom uređenju ove oblasti, imajući u vidu da će određeni aspekti prevazilaziti obim postojeće Uredbe o načinu i postupku izrade, usklađenosti i praćenju sprovođenja strateških dokumenata (Sl. list CG 54/18). </w:t>
      </w:r>
    </w:p>
    <w:p w:rsidR="006B031A" w:rsidRDefault="006B031A" w:rsidP="007E14C5">
      <w:pPr>
        <w:spacing w:before="0" w:after="120" w:line="240" w:lineRule="auto"/>
        <w:ind w:right="-446"/>
        <w:jc w:val="both"/>
        <w:rPr>
          <w:rFonts w:asciiTheme="majorHAnsi" w:eastAsia="Calibri" w:hAnsiTheme="majorHAnsi" w:cstheme="majorHAnsi"/>
          <w:b/>
          <w:color w:val="auto"/>
          <w:kern w:val="0"/>
          <w:sz w:val="24"/>
          <w:szCs w:val="24"/>
        </w:rPr>
      </w:pPr>
      <w:r w:rsidRPr="00CB681C">
        <w:rPr>
          <w:rFonts w:asciiTheme="majorHAnsi" w:eastAsia="Times New Roman" w:hAnsiTheme="majorHAnsi" w:cstheme="majorHAnsi"/>
          <w:color w:val="auto"/>
          <w:kern w:val="0"/>
          <w:sz w:val="24"/>
          <w:szCs w:val="24"/>
          <w:lang w:eastAsia="en-US"/>
        </w:rPr>
        <w:t xml:space="preserve">Zarad postizanja veće transparentnosti javnih politika, fokus će biti stavljen i na jačanje sistema javnih konsultacija i javnih rasprava, prvenstveno u kontekstu osnaživanja službenika i službenica za sprovođenje ovih procesa prilikom pripreme zakona i strategija. Takođe, </w:t>
      </w:r>
      <w:r w:rsidRPr="00CB681C">
        <w:rPr>
          <w:rFonts w:asciiTheme="majorHAnsi" w:eastAsia="Calibri" w:hAnsiTheme="majorHAnsi" w:cstheme="majorHAnsi"/>
          <w:color w:val="auto"/>
          <w:kern w:val="0"/>
          <w:sz w:val="24"/>
          <w:szCs w:val="24"/>
        </w:rPr>
        <w:t>dodatan fokus će biti stavljen u pravcu jačanja mehanizama za ostvarivanje većeg uticaja lokalnih samouprava i mjesnih zajednica na organe odlučivanja i obaveznosti razmatranja njihovih zahtjeva i djelovanje po prioritetima.</w:t>
      </w:r>
      <w:r w:rsidRPr="00CB681C">
        <w:rPr>
          <w:rFonts w:asciiTheme="majorHAnsi" w:eastAsia="Calibri" w:hAnsiTheme="majorHAnsi" w:cstheme="majorHAnsi"/>
          <w:b/>
          <w:color w:val="auto"/>
          <w:kern w:val="0"/>
          <w:sz w:val="24"/>
          <w:szCs w:val="24"/>
        </w:rPr>
        <w:t xml:space="preserve"> </w:t>
      </w:r>
    </w:p>
    <w:p w:rsidR="00BC60FF" w:rsidRDefault="00BC60FF" w:rsidP="007E14C5">
      <w:pPr>
        <w:spacing w:before="0" w:after="120" w:line="240" w:lineRule="auto"/>
        <w:ind w:right="-446"/>
        <w:jc w:val="both"/>
        <w:rPr>
          <w:rFonts w:asciiTheme="majorHAnsi" w:eastAsia="Calibri" w:hAnsiTheme="majorHAnsi" w:cstheme="majorHAnsi"/>
          <w:b/>
          <w:color w:val="auto"/>
          <w:kern w:val="0"/>
          <w:sz w:val="24"/>
          <w:szCs w:val="24"/>
        </w:rPr>
      </w:pPr>
    </w:p>
    <w:p w:rsidR="00BC60FF" w:rsidRPr="00CB681C" w:rsidRDefault="00BC60FF" w:rsidP="007E14C5">
      <w:pPr>
        <w:spacing w:before="0" w:after="120" w:line="240" w:lineRule="auto"/>
        <w:ind w:right="-446"/>
        <w:jc w:val="both"/>
        <w:rPr>
          <w:rFonts w:asciiTheme="majorHAnsi" w:eastAsia="Times New Roman" w:hAnsiTheme="majorHAnsi" w:cstheme="majorHAnsi"/>
          <w:color w:val="auto"/>
          <w:kern w:val="0"/>
          <w:sz w:val="24"/>
          <w:szCs w:val="24"/>
          <w:lang w:eastAsia="en-US"/>
        </w:rPr>
      </w:pPr>
    </w:p>
    <w:tbl>
      <w:tblPr>
        <w:tblStyle w:val="TableGrid"/>
        <w:tblW w:w="98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628"/>
        <w:gridCol w:w="2025"/>
        <w:gridCol w:w="1246"/>
        <w:gridCol w:w="1996"/>
      </w:tblGrid>
      <w:tr w:rsidR="00AC188A" w:rsidRPr="00AC188A" w:rsidTr="00997D8C">
        <w:tc>
          <w:tcPr>
            <w:tcW w:w="0" w:type="auto"/>
            <w:shd w:val="clear" w:color="auto" w:fill="DBEFF5"/>
            <w:vAlign w:val="center"/>
          </w:tcPr>
          <w:p w:rsidR="007071F8" w:rsidRPr="001014EF" w:rsidRDefault="007071F8" w:rsidP="0081506D">
            <w:pPr>
              <w:spacing w:after="40"/>
              <w:rPr>
                <w:rFonts w:asciiTheme="majorHAnsi" w:hAnsiTheme="majorHAnsi" w:cstheme="majorHAnsi"/>
                <w:b/>
                <w:color w:val="3A4B5B" w:themeColor="accent1" w:themeShade="80"/>
              </w:rPr>
            </w:pPr>
            <w:r w:rsidRPr="001014EF">
              <w:rPr>
                <w:rFonts w:asciiTheme="majorHAnsi" w:hAnsiTheme="majorHAnsi" w:cstheme="majorHAnsi"/>
                <w:b/>
                <w:color w:val="3A4B5B" w:themeColor="accent1" w:themeShade="80"/>
              </w:rPr>
              <w:lastRenderedPageBreak/>
              <w:t>OPERATIVNI CILJ 5.1</w:t>
            </w:r>
            <w:r w:rsidR="00CA7DAE" w:rsidRPr="001014EF">
              <w:rPr>
                <w:rFonts w:asciiTheme="majorHAnsi" w:hAnsiTheme="majorHAnsi" w:cstheme="majorHAnsi"/>
                <w:b/>
                <w:color w:val="3A4B5B" w:themeColor="accent1" w:themeShade="80"/>
              </w:rPr>
              <w:t>.</w:t>
            </w:r>
          </w:p>
        </w:tc>
        <w:tc>
          <w:tcPr>
            <w:tcW w:w="5637" w:type="dxa"/>
            <w:gridSpan w:val="3"/>
            <w:shd w:val="clear" w:color="auto" w:fill="DBEFF5"/>
            <w:vAlign w:val="center"/>
          </w:tcPr>
          <w:p w:rsidR="007071F8" w:rsidRPr="001014EF" w:rsidRDefault="007071F8">
            <w:pPr>
              <w:spacing w:after="40"/>
              <w:rPr>
                <w:rFonts w:asciiTheme="majorHAnsi" w:hAnsiTheme="majorHAnsi" w:cstheme="majorHAnsi"/>
                <w:b/>
                <w:color w:val="3A4B5B" w:themeColor="accent1" w:themeShade="80"/>
              </w:rPr>
            </w:pPr>
            <w:r w:rsidRPr="001014EF">
              <w:rPr>
                <w:rFonts w:asciiTheme="majorHAnsi" w:hAnsiTheme="majorHAnsi" w:cstheme="majorHAnsi"/>
                <w:b/>
                <w:color w:val="3A4B5B" w:themeColor="accent1" w:themeShade="80"/>
              </w:rPr>
              <w:t>Jačanje sistema planiranja zasnovanog na podacima koje vodi ka kreiranju održivih politika i postizanju prioriteta Vlade</w:t>
            </w:r>
          </w:p>
        </w:tc>
      </w:tr>
      <w:tr w:rsidR="00AC188A" w:rsidRPr="00AC188A" w:rsidTr="007071F8">
        <w:tc>
          <w:tcPr>
            <w:tcW w:w="0" w:type="auto"/>
            <w:shd w:val="clear" w:color="auto" w:fill="DBEFF5"/>
            <w:vAlign w:val="center"/>
          </w:tcPr>
          <w:p w:rsidR="007071F8" w:rsidRPr="00C00385" w:rsidRDefault="007071F8" w:rsidP="007E14C5">
            <w:pPr>
              <w:spacing w:after="40"/>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Indikator</w:t>
            </w:r>
          </w:p>
        </w:tc>
        <w:tc>
          <w:tcPr>
            <w:tcW w:w="0" w:type="auto"/>
            <w:shd w:val="clear" w:color="auto" w:fill="DBEFF5"/>
            <w:vAlign w:val="center"/>
          </w:tcPr>
          <w:p w:rsidR="007071F8" w:rsidRPr="00C00385" w:rsidRDefault="007071F8" w:rsidP="007E14C5">
            <w:pPr>
              <w:spacing w:after="40"/>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Početna vrijednost</w:t>
            </w:r>
          </w:p>
        </w:tc>
        <w:tc>
          <w:tcPr>
            <w:tcW w:w="0" w:type="auto"/>
            <w:shd w:val="clear" w:color="auto" w:fill="DBEFF5"/>
            <w:vAlign w:val="center"/>
          </w:tcPr>
          <w:p w:rsidR="007071F8" w:rsidRPr="00C00385" w:rsidRDefault="007071F8" w:rsidP="007E14C5">
            <w:pPr>
              <w:spacing w:after="40"/>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Ciljana vrijednost do 2024.</w:t>
            </w:r>
          </w:p>
        </w:tc>
        <w:tc>
          <w:tcPr>
            <w:tcW w:w="1996" w:type="dxa"/>
            <w:shd w:val="clear" w:color="auto" w:fill="DBEFF5"/>
            <w:vAlign w:val="center"/>
          </w:tcPr>
          <w:p w:rsidR="007071F8" w:rsidRPr="00C00385" w:rsidRDefault="007071F8" w:rsidP="007E14C5">
            <w:pPr>
              <w:spacing w:after="40"/>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Ciljana vrijednost u 2026.</w:t>
            </w:r>
          </w:p>
        </w:tc>
      </w:tr>
      <w:tr w:rsidR="00997D8C" w:rsidRPr="00AC188A" w:rsidTr="00997D8C">
        <w:tc>
          <w:tcPr>
            <w:tcW w:w="0" w:type="auto"/>
            <w:shd w:val="clear" w:color="auto" w:fill="auto"/>
          </w:tcPr>
          <w:p w:rsidR="00997D8C" w:rsidRPr="00997D8C" w:rsidRDefault="00997D8C" w:rsidP="00997D8C">
            <w:pPr>
              <w:spacing w:after="40"/>
              <w:rPr>
                <w:rFonts w:asciiTheme="majorHAnsi" w:hAnsiTheme="majorHAnsi" w:cstheme="majorHAnsi"/>
                <w:color w:val="auto"/>
                <w:sz w:val="18"/>
                <w:szCs w:val="18"/>
              </w:rPr>
            </w:pPr>
            <w:r w:rsidRPr="00997D8C">
              <w:rPr>
                <w:rFonts w:asciiTheme="majorHAnsi" w:hAnsiTheme="majorHAnsi" w:cstheme="majorHAnsi"/>
                <w:color w:val="auto"/>
              </w:rPr>
              <w:t>% novih strateških dokumenata koji su potpuno usklađeni sa metodološkim kriterijumima</w:t>
            </w:r>
          </w:p>
        </w:tc>
        <w:tc>
          <w:tcPr>
            <w:tcW w:w="0" w:type="auto"/>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69% (2020)</w:t>
            </w:r>
          </w:p>
        </w:tc>
        <w:tc>
          <w:tcPr>
            <w:tcW w:w="0" w:type="auto"/>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75%</w:t>
            </w:r>
          </w:p>
        </w:tc>
        <w:tc>
          <w:tcPr>
            <w:tcW w:w="1996" w:type="dxa"/>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80%</w:t>
            </w:r>
          </w:p>
        </w:tc>
      </w:tr>
      <w:tr w:rsidR="00997D8C" w:rsidRPr="00AC188A" w:rsidTr="00997D8C">
        <w:tc>
          <w:tcPr>
            <w:tcW w:w="0" w:type="auto"/>
            <w:shd w:val="clear" w:color="auto" w:fill="auto"/>
          </w:tcPr>
          <w:p w:rsidR="00997D8C" w:rsidRPr="00997D8C" w:rsidRDefault="00997D8C" w:rsidP="00997D8C">
            <w:pPr>
              <w:spacing w:after="40"/>
              <w:rPr>
                <w:rFonts w:asciiTheme="majorHAnsi" w:hAnsiTheme="majorHAnsi" w:cstheme="majorHAnsi"/>
                <w:color w:val="auto"/>
                <w:sz w:val="18"/>
                <w:szCs w:val="18"/>
              </w:rPr>
            </w:pPr>
            <w:r w:rsidRPr="00997D8C">
              <w:rPr>
                <w:rFonts w:asciiTheme="majorHAnsi" w:hAnsiTheme="majorHAnsi" w:cstheme="majorHAnsi"/>
                <w:color w:val="auto"/>
              </w:rPr>
              <w:t>% izvještaja o sprovođenju strateških dokumenata koji su potpuno usklađeni sa metodologijom</w:t>
            </w:r>
            <w:r>
              <w:rPr>
                <w:rStyle w:val="FootnoteReference"/>
                <w:rFonts w:asciiTheme="majorHAnsi" w:hAnsiTheme="majorHAnsi" w:cstheme="majorHAnsi"/>
                <w:color w:val="auto"/>
              </w:rPr>
              <w:footnoteReference w:id="125"/>
            </w:r>
          </w:p>
        </w:tc>
        <w:tc>
          <w:tcPr>
            <w:tcW w:w="0" w:type="auto"/>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52% (2020)</w:t>
            </w:r>
          </w:p>
        </w:tc>
        <w:tc>
          <w:tcPr>
            <w:tcW w:w="0" w:type="auto"/>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65%</w:t>
            </w:r>
          </w:p>
        </w:tc>
        <w:tc>
          <w:tcPr>
            <w:tcW w:w="1996" w:type="dxa"/>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70%</w:t>
            </w:r>
          </w:p>
        </w:tc>
      </w:tr>
      <w:tr w:rsidR="00997D8C" w:rsidRPr="00AC188A" w:rsidTr="00997D8C">
        <w:tc>
          <w:tcPr>
            <w:tcW w:w="0" w:type="auto"/>
            <w:shd w:val="clear" w:color="auto" w:fill="auto"/>
          </w:tcPr>
          <w:p w:rsidR="00997D8C" w:rsidRPr="00997D8C" w:rsidRDefault="00997D8C" w:rsidP="00997D8C">
            <w:pPr>
              <w:spacing w:after="40"/>
              <w:rPr>
                <w:rFonts w:asciiTheme="majorHAnsi" w:hAnsiTheme="majorHAnsi" w:cstheme="majorHAnsi"/>
                <w:color w:val="auto"/>
                <w:sz w:val="18"/>
                <w:szCs w:val="18"/>
              </w:rPr>
            </w:pPr>
            <w:r w:rsidRPr="00997D8C">
              <w:rPr>
                <w:rFonts w:asciiTheme="majorHAnsi" w:hAnsiTheme="majorHAnsi" w:cstheme="majorHAnsi"/>
                <w:color w:val="auto"/>
              </w:rPr>
              <w:t>Procenat ministarstava čiji godišnji programi rada sadrže jasno postavljene ciljeve i indikatore</w:t>
            </w:r>
          </w:p>
        </w:tc>
        <w:tc>
          <w:tcPr>
            <w:tcW w:w="0" w:type="auto"/>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18% (2019)</w:t>
            </w:r>
          </w:p>
        </w:tc>
        <w:tc>
          <w:tcPr>
            <w:tcW w:w="0" w:type="auto"/>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80%</w:t>
            </w:r>
          </w:p>
        </w:tc>
        <w:tc>
          <w:tcPr>
            <w:tcW w:w="1996" w:type="dxa"/>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100%</w:t>
            </w:r>
          </w:p>
        </w:tc>
      </w:tr>
      <w:tr w:rsidR="00997D8C" w:rsidRPr="00AC188A" w:rsidTr="00997D8C">
        <w:tc>
          <w:tcPr>
            <w:tcW w:w="0" w:type="auto"/>
            <w:shd w:val="clear" w:color="auto" w:fill="auto"/>
          </w:tcPr>
          <w:p w:rsidR="00997D8C" w:rsidRPr="00997D8C" w:rsidRDefault="00997D8C" w:rsidP="00997D8C">
            <w:pPr>
              <w:spacing w:after="40"/>
              <w:rPr>
                <w:rFonts w:asciiTheme="majorHAnsi" w:hAnsiTheme="majorHAnsi" w:cstheme="majorHAnsi"/>
                <w:color w:val="auto"/>
                <w:sz w:val="18"/>
                <w:szCs w:val="18"/>
              </w:rPr>
            </w:pPr>
            <w:r w:rsidRPr="00997D8C">
              <w:rPr>
                <w:rFonts w:asciiTheme="majorHAnsi" w:hAnsiTheme="majorHAnsi" w:cstheme="majorHAnsi"/>
                <w:color w:val="auto"/>
              </w:rPr>
              <w:t>Procenat ministarstava u čijim godišnjim izvještajima  o  radu je predstavljen rezultat na osnovu postavljenih ciljeva i indikatora</w:t>
            </w:r>
          </w:p>
        </w:tc>
        <w:tc>
          <w:tcPr>
            <w:tcW w:w="0" w:type="auto"/>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0%</w:t>
            </w:r>
          </w:p>
        </w:tc>
        <w:tc>
          <w:tcPr>
            <w:tcW w:w="0" w:type="auto"/>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80%</w:t>
            </w:r>
          </w:p>
        </w:tc>
        <w:tc>
          <w:tcPr>
            <w:tcW w:w="1996" w:type="dxa"/>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100%</w:t>
            </w:r>
          </w:p>
        </w:tc>
      </w:tr>
      <w:tr w:rsidR="00997D8C" w:rsidRPr="00AC188A" w:rsidTr="00997D8C">
        <w:tc>
          <w:tcPr>
            <w:tcW w:w="0" w:type="auto"/>
            <w:shd w:val="clear" w:color="auto" w:fill="auto"/>
          </w:tcPr>
          <w:p w:rsidR="00997D8C" w:rsidRPr="00997D8C" w:rsidRDefault="00997D8C" w:rsidP="00997D8C">
            <w:pPr>
              <w:spacing w:after="40"/>
              <w:rPr>
                <w:rFonts w:asciiTheme="majorHAnsi" w:hAnsiTheme="majorHAnsi" w:cstheme="majorHAnsi"/>
                <w:color w:val="auto"/>
                <w:sz w:val="18"/>
                <w:szCs w:val="18"/>
              </w:rPr>
            </w:pPr>
            <w:r w:rsidRPr="00997D8C">
              <w:rPr>
                <w:rFonts w:asciiTheme="majorHAnsi" w:hAnsiTheme="majorHAnsi" w:cstheme="majorHAnsi"/>
                <w:color w:val="auto"/>
              </w:rPr>
              <w:t>Procenat starteških dokumenata za koje je izrađena evaluacija</w:t>
            </w:r>
          </w:p>
        </w:tc>
        <w:tc>
          <w:tcPr>
            <w:tcW w:w="0" w:type="auto"/>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Polazna vrijednost će biti utvrđena nakon izrađene analize (2022)</w:t>
            </w:r>
          </w:p>
        </w:tc>
        <w:tc>
          <w:tcPr>
            <w:tcW w:w="0" w:type="auto"/>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40%</w:t>
            </w:r>
          </w:p>
        </w:tc>
        <w:tc>
          <w:tcPr>
            <w:tcW w:w="1996" w:type="dxa"/>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60%</w:t>
            </w:r>
          </w:p>
        </w:tc>
      </w:tr>
      <w:tr w:rsidR="00997D8C" w:rsidRPr="00AC188A" w:rsidTr="00997D8C">
        <w:tc>
          <w:tcPr>
            <w:tcW w:w="0" w:type="auto"/>
            <w:shd w:val="clear" w:color="auto" w:fill="auto"/>
          </w:tcPr>
          <w:p w:rsidR="00997D8C" w:rsidRPr="00997D8C" w:rsidRDefault="00997D8C" w:rsidP="00997D8C">
            <w:pPr>
              <w:spacing w:after="40"/>
              <w:rPr>
                <w:rFonts w:asciiTheme="majorHAnsi" w:hAnsiTheme="majorHAnsi" w:cstheme="majorHAnsi"/>
                <w:color w:val="auto"/>
                <w:sz w:val="18"/>
                <w:szCs w:val="18"/>
              </w:rPr>
            </w:pPr>
            <w:r w:rsidRPr="00997D8C">
              <w:rPr>
                <w:rFonts w:asciiTheme="majorHAnsi" w:hAnsiTheme="majorHAnsi" w:cstheme="majorHAnsi"/>
                <w:color w:val="auto"/>
              </w:rPr>
              <w:t>% zakona/strateških dokumenata koji se u potpuni priprema u skladu sa Checklist o javnim konsultacijama u organima u skladu sa Uredbom o organizaciji i načinu rada državne uprave</w:t>
            </w:r>
          </w:p>
        </w:tc>
        <w:tc>
          <w:tcPr>
            <w:tcW w:w="0" w:type="auto"/>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1 zakon</w:t>
            </w:r>
          </w:p>
        </w:tc>
        <w:tc>
          <w:tcPr>
            <w:tcW w:w="0" w:type="auto"/>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80%</w:t>
            </w:r>
          </w:p>
        </w:tc>
        <w:tc>
          <w:tcPr>
            <w:tcW w:w="1996" w:type="dxa"/>
            <w:shd w:val="clear" w:color="auto" w:fill="auto"/>
          </w:tcPr>
          <w:p w:rsidR="00997D8C" w:rsidRPr="00997D8C" w:rsidRDefault="00997D8C" w:rsidP="00997D8C">
            <w:pPr>
              <w:spacing w:after="40"/>
              <w:jc w:val="center"/>
              <w:rPr>
                <w:rFonts w:asciiTheme="majorHAnsi" w:hAnsiTheme="majorHAnsi" w:cstheme="majorHAnsi"/>
                <w:color w:val="auto"/>
                <w:sz w:val="18"/>
                <w:szCs w:val="18"/>
              </w:rPr>
            </w:pPr>
            <w:r w:rsidRPr="00997D8C">
              <w:rPr>
                <w:rFonts w:asciiTheme="majorHAnsi" w:hAnsiTheme="majorHAnsi" w:cstheme="majorHAnsi"/>
                <w:color w:val="auto"/>
              </w:rPr>
              <w:t>100%</w:t>
            </w:r>
          </w:p>
        </w:tc>
      </w:tr>
    </w:tbl>
    <w:p w:rsidR="0004773A" w:rsidRPr="007E14C5" w:rsidRDefault="0004773A" w:rsidP="007E14C5">
      <w:pPr>
        <w:ind w:right="-450"/>
        <w:rPr>
          <w:rFonts w:cstheme="majorHAnsi"/>
          <w:color w:val="002060"/>
          <w:sz w:val="24"/>
          <w:szCs w:val="24"/>
        </w:rPr>
      </w:pPr>
    </w:p>
    <w:p w:rsidR="00457FC2" w:rsidRPr="00CB681C" w:rsidRDefault="0004773A" w:rsidP="00CB681C">
      <w:pPr>
        <w:pStyle w:val="Heading4"/>
        <w:spacing w:before="60" w:after="60" w:line="240" w:lineRule="auto"/>
        <w:ind w:right="-450"/>
        <w:jc w:val="both"/>
        <w:rPr>
          <w:rFonts w:cstheme="majorHAnsi"/>
          <w:color w:val="auto"/>
          <w:sz w:val="24"/>
          <w:szCs w:val="24"/>
        </w:rPr>
      </w:pPr>
      <w:r w:rsidRPr="00CB681C">
        <w:rPr>
          <w:rFonts w:eastAsia="Times New Roman" w:cstheme="majorHAnsi"/>
          <w:i w:val="0"/>
          <w:color w:val="auto"/>
          <w:sz w:val="24"/>
          <w:szCs w:val="24"/>
          <w:lang w:eastAsia="en-US"/>
        </w:rPr>
        <w:t>OPERATIVNI CILJ 5.2.</w:t>
      </w:r>
      <w:r w:rsidRPr="00CB681C">
        <w:rPr>
          <w:rFonts w:eastAsia="Times New Roman" w:cstheme="majorHAnsi"/>
          <w:color w:val="auto"/>
          <w:sz w:val="24"/>
          <w:szCs w:val="24"/>
          <w:lang w:eastAsia="en-US"/>
        </w:rPr>
        <w:t xml:space="preserve"> </w:t>
      </w:r>
      <w:r w:rsidRPr="00CB681C">
        <w:rPr>
          <w:rFonts w:cstheme="majorHAnsi"/>
          <w:color w:val="auto"/>
          <w:sz w:val="24"/>
          <w:szCs w:val="24"/>
        </w:rPr>
        <w:t>Unapređenje institucionalne koordinacije za snažnije efekte javnih politika</w:t>
      </w:r>
    </w:p>
    <w:p w:rsidR="00457FC2" w:rsidRPr="00CB681C" w:rsidRDefault="006B031A" w:rsidP="00CB681C">
      <w:pPr>
        <w:spacing w:before="60" w:after="60" w:line="240" w:lineRule="auto"/>
        <w:ind w:right="-450"/>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 xml:space="preserve">Institucionalna koordinacija na nivou institucija centra Vlade je prepoznata kao jedna od ključnih prepreka za ostvariavnje punih efekata javnih politika i dostizanje postavljenih ciljeva. U tom smislu će ovaj cilj biti primarno fokusiran na mehanizme institucionalne saradnje i razvoja, jačanje institucionalnih i kadrovskih kapaciteta u konkretnim oblastima neophodnim za efikasnu koordinaciju politika. Mreža državnih službenika za strateško planiranje će biti formalizovana, a njen rad će biti praćen i definisanom agendom i kalendarom aktivnosti, uz mogućnost kreiranja regionalnog modela saradnje državnih službenika i službenica za strateško planiranje. </w:t>
      </w:r>
    </w:p>
    <w:p w:rsidR="006B031A" w:rsidRPr="00CB681C" w:rsidRDefault="006B031A" w:rsidP="00CB681C">
      <w:pPr>
        <w:spacing w:before="60" w:after="60" w:line="240" w:lineRule="auto"/>
        <w:ind w:right="-446"/>
        <w:jc w:val="both"/>
        <w:rPr>
          <w:rFonts w:asciiTheme="majorHAnsi" w:eastAsia="Calibri" w:hAnsiTheme="majorHAnsi" w:cstheme="majorHAnsi"/>
          <w:color w:val="auto"/>
          <w:kern w:val="0"/>
          <w:sz w:val="24"/>
          <w:szCs w:val="24"/>
        </w:rPr>
      </w:pPr>
      <w:r w:rsidRPr="00CB681C">
        <w:rPr>
          <w:rFonts w:asciiTheme="majorHAnsi" w:eastAsia="Times New Roman" w:hAnsiTheme="majorHAnsi" w:cstheme="majorHAnsi"/>
          <w:color w:val="auto"/>
          <w:kern w:val="0"/>
          <w:sz w:val="24"/>
          <w:szCs w:val="24"/>
          <w:lang w:eastAsia="en-US"/>
        </w:rPr>
        <w:t xml:space="preserve">Program obrazovanja državnih službenika za strateško planiranje će biti revidiran u skladu s potrebama državnih službenika i službenica, ali i zbog potrebe integrisanja tema od značaja za javne politike – orodnjavanje, zaštita životne sredine, upotreba podataka – te utvrđivanje modaliteta za uključivanje službenika lokalnih samouprava u pohađanje Programa u cilju bolje povezanosti s lokalnom samoupravom u ovoj oblasti i unapređenja razumjevanja metodoloških smjernica za izradu nacionalnih strateških dokumenata, kao i lokalnih planova i programa. Institucionalni mehanizmi moraju biti ojačani jedinicama za strateško planiranje, koje bi obuhvatile oblasti planiranja, izvještavanja i evaluacije i koje bi bile povezane s IPA odjeljenjima kako bi se došlo do koherentnog planiranja politika </w:t>
      </w:r>
      <w:r w:rsidRPr="00CB681C">
        <w:rPr>
          <w:rFonts w:asciiTheme="majorHAnsi" w:eastAsia="Times New Roman" w:hAnsiTheme="majorHAnsi" w:cstheme="majorHAnsi"/>
          <w:color w:val="auto"/>
          <w:kern w:val="0"/>
          <w:sz w:val="24"/>
          <w:szCs w:val="24"/>
          <w:lang w:eastAsia="en-US"/>
        </w:rPr>
        <w:lastRenderedPageBreak/>
        <w:t>i programiranja IPA-e, kao dva inače povezana procesa.</w:t>
      </w:r>
      <w:r w:rsidRPr="00CB681C">
        <w:rPr>
          <w:rStyle w:val="FootnoteReference"/>
          <w:rFonts w:asciiTheme="majorHAnsi" w:eastAsia="Times New Roman" w:hAnsiTheme="majorHAnsi" w:cstheme="majorHAnsi"/>
          <w:color w:val="auto"/>
          <w:kern w:val="0"/>
          <w:sz w:val="24"/>
          <w:szCs w:val="24"/>
          <w:lang w:eastAsia="en-US"/>
        </w:rPr>
        <w:footnoteReference w:id="126"/>
      </w:r>
      <w:r w:rsidRPr="00CB681C">
        <w:rPr>
          <w:rFonts w:asciiTheme="majorHAnsi" w:eastAsia="Times New Roman" w:hAnsiTheme="majorHAnsi" w:cstheme="majorHAnsi"/>
          <w:color w:val="auto"/>
          <w:kern w:val="0"/>
          <w:sz w:val="24"/>
          <w:szCs w:val="24"/>
          <w:lang w:eastAsia="en-US"/>
        </w:rPr>
        <w:t xml:space="preserve"> </w:t>
      </w:r>
      <w:r w:rsidR="00457FC2" w:rsidRPr="00CB681C">
        <w:rPr>
          <w:rFonts w:asciiTheme="majorHAnsi" w:eastAsia="Times New Roman" w:hAnsiTheme="majorHAnsi" w:cstheme="majorHAnsi"/>
          <w:color w:val="auto"/>
          <w:kern w:val="0"/>
          <w:sz w:val="24"/>
          <w:szCs w:val="24"/>
          <w:lang w:eastAsia="en-US"/>
        </w:rPr>
        <w:t>Dodatno,</w:t>
      </w:r>
      <w:r w:rsidRPr="00CB681C">
        <w:rPr>
          <w:rFonts w:asciiTheme="majorHAnsi" w:eastAsia="Times New Roman" w:hAnsiTheme="majorHAnsi" w:cstheme="majorHAnsi"/>
          <w:color w:val="auto"/>
          <w:kern w:val="0"/>
          <w:sz w:val="24"/>
          <w:szCs w:val="24"/>
          <w:lang w:eastAsia="en-US"/>
        </w:rPr>
        <w:t xml:space="preserve"> u pogledu unapređenja kapaciteta državnih službenika i službenica, neophodno je raditi na definisanju i sprovođenju obuka za izradu evaluacija, imajući u vidu da su trenutni kapaciteti državne uprave u tom pogledu veoma ograničeni, a da je ovaj proces od krucijalne važnosti za ciklus planiranja politika i definisanja polaznih osnova u kreiranju novih planskih dokumenata, na čemu je fokus </w:t>
      </w:r>
      <w:r w:rsidR="00457FC2" w:rsidRPr="00CB681C">
        <w:rPr>
          <w:rFonts w:asciiTheme="majorHAnsi" w:eastAsia="Times New Roman" w:hAnsiTheme="majorHAnsi" w:cstheme="majorHAnsi"/>
          <w:color w:val="auto"/>
          <w:kern w:val="0"/>
          <w:sz w:val="24"/>
          <w:szCs w:val="24"/>
          <w:lang w:eastAsia="en-US"/>
        </w:rPr>
        <w:t>Operativnog c</w:t>
      </w:r>
      <w:r w:rsidRPr="00CB681C">
        <w:rPr>
          <w:rFonts w:asciiTheme="majorHAnsi" w:eastAsia="Times New Roman" w:hAnsiTheme="majorHAnsi" w:cstheme="majorHAnsi"/>
          <w:color w:val="auto"/>
          <w:kern w:val="0"/>
          <w:sz w:val="24"/>
          <w:szCs w:val="24"/>
          <w:lang w:eastAsia="en-US"/>
        </w:rPr>
        <w:t>ilja 5.1.</w:t>
      </w:r>
    </w:p>
    <w:tbl>
      <w:tblPr>
        <w:tblStyle w:val="TableGrid"/>
        <w:tblW w:w="989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196"/>
        <w:gridCol w:w="1414"/>
        <w:gridCol w:w="1718"/>
        <w:gridCol w:w="2567"/>
      </w:tblGrid>
      <w:tr w:rsidR="00AC188A" w:rsidRPr="00156E08" w:rsidTr="00051F26">
        <w:tc>
          <w:tcPr>
            <w:tcW w:w="0" w:type="auto"/>
            <w:shd w:val="clear" w:color="auto" w:fill="DFE4E5" w:themeFill="accent5" w:themeFillTint="33"/>
            <w:vAlign w:val="center"/>
          </w:tcPr>
          <w:p w:rsidR="00CA7DAE" w:rsidRPr="001014EF" w:rsidRDefault="00CA7DAE" w:rsidP="0081506D">
            <w:pPr>
              <w:spacing w:after="40"/>
              <w:rPr>
                <w:rFonts w:asciiTheme="majorHAnsi" w:hAnsiTheme="majorHAnsi" w:cstheme="majorHAnsi"/>
                <w:b/>
                <w:color w:val="3A4B5B" w:themeColor="accent1" w:themeShade="80"/>
              </w:rPr>
            </w:pPr>
            <w:r w:rsidRPr="001014EF">
              <w:rPr>
                <w:rFonts w:asciiTheme="majorHAnsi" w:hAnsiTheme="majorHAnsi" w:cstheme="majorHAnsi"/>
                <w:b/>
                <w:color w:val="3A4B5B" w:themeColor="accent1" w:themeShade="80"/>
              </w:rPr>
              <w:t>OPERATIVNI CILJ 5.2.</w:t>
            </w:r>
          </w:p>
        </w:tc>
        <w:tc>
          <w:tcPr>
            <w:tcW w:w="7395" w:type="dxa"/>
            <w:gridSpan w:val="3"/>
            <w:shd w:val="clear" w:color="auto" w:fill="DFE4E5" w:themeFill="accent5" w:themeFillTint="33"/>
            <w:vAlign w:val="center"/>
          </w:tcPr>
          <w:p w:rsidR="00CA7DAE" w:rsidRPr="001014EF" w:rsidRDefault="00CA7DAE">
            <w:pPr>
              <w:spacing w:after="40"/>
              <w:rPr>
                <w:rFonts w:asciiTheme="majorHAnsi" w:hAnsiTheme="majorHAnsi" w:cstheme="majorHAnsi"/>
                <w:b/>
                <w:color w:val="3A4B5B" w:themeColor="accent1" w:themeShade="80"/>
              </w:rPr>
            </w:pPr>
            <w:r w:rsidRPr="001014EF">
              <w:rPr>
                <w:rFonts w:asciiTheme="majorHAnsi" w:hAnsiTheme="majorHAnsi" w:cstheme="majorHAnsi"/>
                <w:b/>
                <w:color w:val="3A4B5B" w:themeColor="accent1" w:themeShade="80"/>
              </w:rPr>
              <w:t>Unapređenje institucionalne koordinacije za snažnije efekte javnih politika</w:t>
            </w:r>
          </w:p>
        </w:tc>
      </w:tr>
      <w:tr w:rsidR="00AC188A" w:rsidRPr="00156E08" w:rsidTr="00CA7DAE">
        <w:tc>
          <w:tcPr>
            <w:tcW w:w="0" w:type="auto"/>
            <w:shd w:val="clear" w:color="auto" w:fill="DAF2F6"/>
            <w:vAlign w:val="center"/>
          </w:tcPr>
          <w:p w:rsidR="00CA7DAE" w:rsidRPr="00C00385" w:rsidRDefault="00CA7DAE" w:rsidP="007E14C5">
            <w:pPr>
              <w:spacing w:after="40"/>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Indikator</w:t>
            </w:r>
          </w:p>
        </w:tc>
        <w:tc>
          <w:tcPr>
            <w:tcW w:w="0" w:type="auto"/>
            <w:shd w:val="clear" w:color="auto" w:fill="DAF2F6"/>
            <w:vAlign w:val="center"/>
          </w:tcPr>
          <w:p w:rsidR="00CA7DAE" w:rsidRPr="00C00385" w:rsidRDefault="00CA7DAE" w:rsidP="007E14C5">
            <w:pPr>
              <w:spacing w:after="40"/>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Početna vrijednost</w:t>
            </w:r>
          </w:p>
        </w:tc>
        <w:tc>
          <w:tcPr>
            <w:tcW w:w="0" w:type="auto"/>
            <w:shd w:val="clear" w:color="auto" w:fill="DAF2F6"/>
            <w:vAlign w:val="center"/>
          </w:tcPr>
          <w:p w:rsidR="00CA7DAE" w:rsidRPr="00C00385" w:rsidRDefault="00CA7DAE" w:rsidP="007E14C5">
            <w:pPr>
              <w:spacing w:after="40"/>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Ciljana vrijednost do 2024.</w:t>
            </w:r>
          </w:p>
        </w:tc>
        <w:tc>
          <w:tcPr>
            <w:tcW w:w="2031" w:type="dxa"/>
            <w:shd w:val="clear" w:color="auto" w:fill="DAF2F6"/>
            <w:vAlign w:val="center"/>
          </w:tcPr>
          <w:p w:rsidR="00CA7DAE" w:rsidRPr="00C00385" w:rsidRDefault="00CA7DAE" w:rsidP="007E14C5">
            <w:pPr>
              <w:spacing w:after="40"/>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Ciljana vrijednost u 2026.</w:t>
            </w:r>
          </w:p>
        </w:tc>
      </w:tr>
      <w:tr w:rsidR="00051F26" w:rsidRPr="00156E08" w:rsidTr="00051F26">
        <w:tc>
          <w:tcPr>
            <w:tcW w:w="0" w:type="auto"/>
            <w:shd w:val="clear" w:color="auto" w:fill="auto"/>
          </w:tcPr>
          <w:p w:rsidR="00051F26" w:rsidRPr="00051F26" w:rsidRDefault="00051F26" w:rsidP="00051F26">
            <w:pPr>
              <w:spacing w:after="40"/>
              <w:rPr>
                <w:rFonts w:asciiTheme="majorHAnsi" w:hAnsiTheme="majorHAnsi" w:cstheme="majorHAnsi"/>
                <w:color w:val="auto"/>
              </w:rPr>
            </w:pPr>
            <w:r w:rsidRPr="00051F26">
              <w:rPr>
                <w:rFonts w:asciiTheme="majorHAnsi" w:hAnsiTheme="majorHAnsi" w:cstheme="majorHAnsi"/>
                <w:color w:val="auto"/>
              </w:rPr>
              <w:t>Procenat ministarstava koja imaju uspostavljene jedinice za strateško planiranje</w:t>
            </w:r>
            <w:r>
              <w:rPr>
                <w:rStyle w:val="FootnoteReference"/>
                <w:rFonts w:asciiTheme="majorHAnsi" w:hAnsiTheme="majorHAnsi" w:cstheme="majorHAnsi"/>
                <w:color w:val="auto"/>
              </w:rPr>
              <w:footnoteReference w:id="127"/>
            </w:r>
          </w:p>
        </w:tc>
        <w:tc>
          <w:tcPr>
            <w:tcW w:w="0" w:type="auto"/>
            <w:shd w:val="clear" w:color="auto" w:fill="auto"/>
          </w:tcPr>
          <w:p w:rsidR="00051F26" w:rsidRPr="00051F26" w:rsidRDefault="00051F26" w:rsidP="00051F26">
            <w:pPr>
              <w:spacing w:after="40"/>
              <w:jc w:val="center"/>
              <w:rPr>
                <w:rFonts w:asciiTheme="majorHAnsi" w:hAnsiTheme="majorHAnsi" w:cstheme="majorHAnsi"/>
                <w:color w:val="auto"/>
              </w:rPr>
            </w:pPr>
            <w:r w:rsidRPr="00051F26">
              <w:rPr>
                <w:rFonts w:asciiTheme="majorHAnsi" w:hAnsiTheme="majorHAnsi" w:cstheme="majorHAnsi"/>
                <w:color w:val="auto"/>
              </w:rPr>
              <w:t>30% (2021)</w:t>
            </w:r>
          </w:p>
        </w:tc>
        <w:tc>
          <w:tcPr>
            <w:tcW w:w="0" w:type="auto"/>
            <w:shd w:val="clear" w:color="auto" w:fill="auto"/>
          </w:tcPr>
          <w:p w:rsidR="00051F26" w:rsidRPr="00051F26" w:rsidRDefault="00051F26" w:rsidP="00051F26">
            <w:pPr>
              <w:spacing w:after="40"/>
              <w:jc w:val="center"/>
              <w:rPr>
                <w:rFonts w:asciiTheme="majorHAnsi" w:hAnsiTheme="majorHAnsi" w:cstheme="majorHAnsi"/>
                <w:color w:val="auto"/>
              </w:rPr>
            </w:pPr>
            <w:r w:rsidRPr="00051F26">
              <w:rPr>
                <w:rFonts w:asciiTheme="majorHAnsi" w:hAnsiTheme="majorHAnsi" w:cstheme="majorHAnsi"/>
                <w:color w:val="auto"/>
              </w:rPr>
              <w:t>70%</w:t>
            </w:r>
          </w:p>
        </w:tc>
        <w:tc>
          <w:tcPr>
            <w:tcW w:w="2031" w:type="dxa"/>
            <w:shd w:val="clear" w:color="auto" w:fill="auto"/>
          </w:tcPr>
          <w:p w:rsidR="00051F26" w:rsidRPr="00051F26" w:rsidRDefault="00051F26" w:rsidP="00051F26">
            <w:pPr>
              <w:spacing w:after="40"/>
              <w:jc w:val="center"/>
              <w:rPr>
                <w:rFonts w:asciiTheme="majorHAnsi" w:hAnsiTheme="majorHAnsi" w:cstheme="majorHAnsi"/>
                <w:color w:val="auto"/>
              </w:rPr>
            </w:pPr>
            <w:r w:rsidRPr="00051F26">
              <w:rPr>
                <w:rFonts w:asciiTheme="majorHAnsi" w:hAnsiTheme="majorHAnsi" w:cstheme="majorHAnsi"/>
                <w:color w:val="auto"/>
              </w:rPr>
              <w:t>100%</w:t>
            </w:r>
          </w:p>
        </w:tc>
      </w:tr>
      <w:tr w:rsidR="00051F26" w:rsidRPr="00156E08" w:rsidTr="00051F26">
        <w:tc>
          <w:tcPr>
            <w:tcW w:w="0" w:type="auto"/>
            <w:shd w:val="clear" w:color="auto" w:fill="auto"/>
          </w:tcPr>
          <w:p w:rsidR="00051F26" w:rsidRPr="00051F26" w:rsidRDefault="00051F26" w:rsidP="00051F26">
            <w:pPr>
              <w:spacing w:after="40"/>
              <w:rPr>
                <w:rFonts w:asciiTheme="majorHAnsi" w:hAnsiTheme="majorHAnsi" w:cstheme="majorHAnsi"/>
                <w:color w:val="auto"/>
              </w:rPr>
            </w:pPr>
            <w:r w:rsidRPr="00051F26">
              <w:rPr>
                <w:rFonts w:asciiTheme="majorHAnsi" w:hAnsiTheme="majorHAnsi" w:cstheme="majorHAnsi"/>
                <w:color w:val="auto"/>
              </w:rPr>
              <w:t>Procenat ministarstava koji imaju članove/ članice Mreže državnih službenika za strateško planiranje</w:t>
            </w:r>
          </w:p>
        </w:tc>
        <w:tc>
          <w:tcPr>
            <w:tcW w:w="0" w:type="auto"/>
            <w:shd w:val="clear" w:color="auto" w:fill="auto"/>
          </w:tcPr>
          <w:p w:rsidR="00051F26" w:rsidRPr="00051F26" w:rsidRDefault="00051F26" w:rsidP="00051F26">
            <w:pPr>
              <w:spacing w:after="40"/>
              <w:jc w:val="center"/>
              <w:rPr>
                <w:rFonts w:asciiTheme="majorHAnsi" w:hAnsiTheme="majorHAnsi" w:cstheme="majorHAnsi"/>
                <w:color w:val="auto"/>
              </w:rPr>
            </w:pPr>
            <w:r w:rsidRPr="00051F26">
              <w:rPr>
                <w:rFonts w:asciiTheme="majorHAnsi" w:hAnsiTheme="majorHAnsi" w:cstheme="majorHAnsi"/>
                <w:color w:val="auto"/>
              </w:rPr>
              <w:t>50% (2021)</w:t>
            </w:r>
          </w:p>
        </w:tc>
        <w:tc>
          <w:tcPr>
            <w:tcW w:w="0" w:type="auto"/>
            <w:shd w:val="clear" w:color="auto" w:fill="auto"/>
          </w:tcPr>
          <w:p w:rsidR="00051F26" w:rsidRPr="00051F26" w:rsidRDefault="00051F26" w:rsidP="00051F26">
            <w:pPr>
              <w:spacing w:after="40"/>
              <w:jc w:val="center"/>
              <w:rPr>
                <w:rFonts w:asciiTheme="majorHAnsi" w:hAnsiTheme="majorHAnsi" w:cstheme="majorHAnsi"/>
                <w:color w:val="auto"/>
              </w:rPr>
            </w:pPr>
            <w:r w:rsidRPr="00051F26">
              <w:rPr>
                <w:rFonts w:asciiTheme="majorHAnsi" w:hAnsiTheme="majorHAnsi" w:cstheme="majorHAnsi"/>
                <w:color w:val="auto"/>
              </w:rPr>
              <w:t>70%</w:t>
            </w:r>
          </w:p>
        </w:tc>
        <w:tc>
          <w:tcPr>
            <w:tcW w:w="2031" w:type="dxa"/>
            <w:shd w:val="clear" w:color="auto" w:fill="auto"/>
          </w:tcPr>
          <w:p w:rsidR="00051F26" w:rsidRPr="00051F26" w:rsidRDefault="00051F26" w:rsidP="00051F26">
            <w:pPr>
              <w:spacing w:after="40"/>
              <w:jc w:val="center"/>
              <w:rPr>
                <w:rFonts w:asciiTheme="majorHAnsi" w:hAnsiTheme="majorHAnsi" w:cstheme="majorHAnsi"/>
                <w:color w:val="auto"/>
              </w:rPr>
            </w:pPr>
            <w:r w:rsidRPr="00051F26">
              <w:rPr>
                <w:rFonts w:asciiTheme="majorHAnsi" w:hAnsiTheme="majorHAnsi" w:cstheme="majorHAnsi"/>
                <w:color w:val="auto"/>
              </w:rPr>
              <w:t>100%</w:t>
            </w:r>
          </w:p>
        </w:tc>
      </w:tr>
    </w:tbl>
    <w:p w:rsidR="00CA7DAE" w:rsidRPr="00CB681C" w:rsidRDefault="0004773A" w:rsidP="001014EF">
      <w:pPr>
        <w:pStyle w:val="Heading4"/>
        <w:spacing w:before="120" w:after="60" w:line="240" w:lineRule="auto"/>
        <w:ind w:right="-446"/>
        <w:jc w:val="both"/>
        <w:rPr>
          <w:rFonts w:cstheme="majorHAnsi"/>
          <w:color w:val="auto"/>
          <w:sz w:val="24"/>
          <w:szCs w:val="24"/>
        </w:rPr>
      </w:pPr>
      <w:r w:rsidRPr="001014EF">
        <w:rPr>
          <w:rFonts w:eastAsia="Times New Roman" w:cstheme="majorHAnsi"/>
          <w:i w:val="0"/>
          <w:color w:val="auto"/>
          <w:sz w:val="24"/>
          <w:szCs w:val="24"/>
          <w:lang w:eastAsia="en-US"/>
        </w:rPr>
        <w:t xml:space="preserve">OPERATIVNI </w:t>
      </w:r>
      <w:r w:rsidRPr="00CB681C">
        <w:rPr>
          <w:rFonts w:eastAsia="Times New Roman" w:cstheme="majorHAnsi"/>
          <w:i w:val="0"/>
          <w:color w:val="auto"/>
          <w:sz w:val="24"/>
          <w:szCs w:val="24"/>
          <w:lang w:eastAsia="en-US"/>
        </w:rPr>
        <w:t>CILJ 5.3.</w:t>
      </w:r>
      <w:r w:rsidRPr="00CB681C">
        <w:rPr>
          <w:rFonts w:eastAsia="Times New Roman" w:cstheme="majorHAnsi"/>
          <w:color w:val="auto"/>
          <w:sz w:val="24"/>
          <w:szCs w:val="24"/>
          <w:lang w:eastAsia="en-US"/>
        </w:rPr>
        <w:t xml:space="preserve"> </w:t>
      </w:r>
      <w:r w:rsidRPr="00CB681C">
        <w:rPr>
          <w:rFonts w:cstheme="majorHAnsi"/>
          <w:color w:val="auto"/>
          <w:sz w:val="24"/>
          <w:szCs w:val="24"/>
        </w:rPr>
        <w:t>Povećanje obuhvata i jačanje kapaciteta za sprovođenje RIA</w:t>
      </w:r>
    </w:p>
    <w:p w:rsidR="008A04E6" w:rsidRPr="00CB681C" w:rsidRDefault="008A04E6" w:rsidP="00CB681C">
      <w:pPr>
        <w:spacing w:before="60" w:after="60" w:line="240" w:lineRule="auto"/>
        <w:ind w:right="-446"/>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Kako bi se obezbijedio bolji kvalitet svakog segmenta RIA analize predviđeno je unaprijeđenje procesa davanja mišljenja o kvalitetu RIA analize, od strane Ministarstva finansija i socijalnog staranja, kroz primjenu check liste. Neophodno je uložiti i dodatni napor kako bi se obezbijedilo uvođenje rodne dimenzije u RIA analizu na državnom nivou, što je dodatni korak ka cjelovitijim analiza</w:t>
      </w:r>
      <w:r w:rsidR="0081506D" w:rsidRPr="00CB681C">
        <w:rPr>
          <w:rFonts w:asciiTheme="majorHAnsi" w:eastAsia="Times New Roman" w:hAnsiTheme="majorHAnsi" w:cstheme="majorHAnsi"/>
          <w:color w:val="auto"/>
          <w:kern w:val="0"/>
          <w:sz w:val="24"/>
          <w:szCs w:val="24"/>
          <w:lang w:eastAsia="en-US"/>
        </w:rPr>
        <w:t>ma i u perspektivi “punoj” RIA</w:t>
      </w:r>
      <w:r w:rsidRPr="00CB681C">
        <w:rPr>
          <w:rFonts w:asciiTheme="majorHAnsi" w:eastAsia="Times New Roman" w:hAnsiTheme="majorHAnsi" w:cstheme="majorHAnsi"/>
          <w:color w:val="auto"/>
          <w:kern w:val="0"/>
          <w:sz w:val="24"/>
          <w:szCs w:val="24"/>
          <w:lang w:eastAsia="en-US"/>
        </w:rPr>
        <w:t>. Posebno je važno unaprijediti segment RIA analize koji se odnosi na fiskalne implikacije propisa, kako bi se obezbijedilo bolje sagledavanje dugoročnih posljedica. Ovaj dio treba upotpuniti i na način da se obezbijedi sagledavanje uticaja propisa na budžet lokalnih samouprava. Kroz godišnje izvještaje o kvalitetu primjene RIA-e prati</w:t>
      </w:r>
      <w:r w:rsidR="0081506D" w:rsidRPr="00CB681C">
        <w:rPr>
          <w:rFonts w:asciiTheme="majorHAnsi" w:eastAsia="Times New Roman" w:hAnsiTheme="majorHAnsi" w:cstheme="majorHAnsi"/>
          <w:color w:val="auto"/>
          <w:kern w:val="0"/>
          <w:sz w:val="24"/>
          <w:szCs w:val="24"/>
          <w:lang w:eastAsia="en-US"/>
        </w:rPr>
        <w:t>će se napredak u izradi analiza</w:t>
      </w:r>
      <w:r w:rsidRPr="00CB681C">
        <w:rPr>
          <w:rFonts w:asciiTheme="majorHAnsi" w:eastAsia="Times New Roman" w:hAnsiTheme="majorHAnsi" w:cstheme="majorHAnsi"/>
          <w:color w:val="auto"/>
          <w:kern w:val="0"/>
          <w:sz w:val="24"/>
          <w:szCs w:val="24"/>
          <w:lang w:eastAsia="en-US"/>
        </w:rPr>
        <w:t xml:space="preserve"> i u skladu sa tim definisati mjere za unapređenje kvaliteta.</w:t>
      </w:r>
    </w:p>
    <w:p w:rsidR="00621BB2" w:rsidRPr="00CB681C" w:rsidRDefault="00621BB2" w:rsidP="00CB681C">
      <w:pPr>
        <w:spacing w:before="60" w:after="60" w:line="240" w:lineRule="auto"/>
        <w:ind w:right="-446"/>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 xml:space="preserve">Kvalitetu analize uticaja propisa doprinose i smjernice koje kontinuirano obezbjeđuje Ministarstvo finansija i socijalnog staranja. U tom smislu planirano je unaprijeđenje Uputstva o sačinjavanju Izvještaja o sprovedenoj analizi procjene uticaja propisa, odnosno samog RIA obrasca. </w:t>
      </w:r>
    </w:p>
    <w:p w:rsidR="0081506D" w:rsidRPr="00CB681C" w:rsidRDefault="00CA7DAE" w:rsidP="00CB681C">
      <w:pPr>
        <w:spacing w:before="60" w:after="60" w:line="240" w:lineRule="auto"/>
        <w:ind w:right="-446"/>
        <w:jc w:val="both"/>
        <w:rPr>
          <w:rFonts w:asciiTheme="majorHAnsi" w:eastAsia="Times New Roman" w:hAnsiTheme="majorHAnsi" w:cstheme="majorHAnsi"/>
          <w:color w:val="auto"/>
          <w:kern w:val="0"/>
          <w:sz w:val="24"/>
          <w:szCs w:val="24"/>
          <w:lang w:eastAsia="en-US"/>
        </w:rPr>
      </w:pPr>
      <w:r w:rsidRPr="00CB681C">
        <w:rPr>
          <w:rFonts w:asciiTheme="majorHAnsi" w:eastAsia="Times New Roman" w:hAnsiTheme="majorHAnsi" w:cstheme="majorHAnsi"/>
          <w:color w:val="auto"/>
          <w:kern w:val="0"/>
          <w:sz w:val="24"/>
          <w:szCs w:val="24"/>
          <w:lang w:eastAsia="en-US"/>
        </w:rPr>
        <w:t>Zarad dugoročnih efekta, koji će se ogledati u smanjenju komplikovanih, nejasnih i opterećujućih propisa, kao i adekvatnijem</w:t>
      </w:r>
      <w:r w:rsidR="008A04E6" w:rsidRPr="00CB681C">
        <w:rPr>
          <w:rFonts w:asciiTheme="majorHAnsi" w:eastAsia="Times New Roman" w:hAnsiTheme="majorHAnsi" w:cstheme="majorHAnsi"/>
          <w:color w:val="auto"/>
          <w:kern w:val="0"/>
          <w:sz w:val="24"/>
          <w:szCs w:val="24"/>
          <w:lang w:eastAsia="en-US"/>
        </w:rPr>
        <w:t xml:space="preserve"> i transparentnijem planiranju i bolje</w:t>
      </w:r>
      <w:r w:rsidRPr="00CB681C">
        <w:rPr>
          <w:rFonts w:asciiTheme="majorHAnsi" w:eastAsia="Times New Roman" w:hAnsiTheme="majorHAnsi" w:cstheme="majorHAnsi"/>
          <w:color w:val="auto"/>
          <w:kern w:val="0"/>
          <w:sz w:val="24"/>
          <w:szCs w:val="24"/>
          <w:lang w:eastAsia="en-US"/>
        </w:rPr>
        <w:t xml:space="preserve"> postavljenim regulatornim okvirom</w:t>
      </w:r>
      <w:r w:rsidR="008A04E6" w:rsidRPr="00CB681C">
        <w:rPr>
          <w:rFonts w:asciiTheme="majorHAnsi" w:eastAsia="Times New Roman" w:hAnsiTheme="majorHAnsi" w:cstheme="majorHAnsi"/>
          <w:color w:val="auto"/>
          <w:kern w:val="0"/>
          <w:sz w:val="24"/>
          <w:szCs w:val="24"/>
          <w:lang w:eastAsia="en-US"/>
        </w:rPr>
        <w:t>, potrebno je nastaviti sa organizovanjem obuka na državnom i lokalnom nivou, koje za cilj imaju povećanje upotreb</w:t>
      </w:r>
      <w:r w:rsidR="00517D51" w:rsidRPr="00CB681C">
        <w:rPr>
          <w:rFonts w:asciiTheme="majorHAnsi" w:eastAsia="Times New Roman" w:hAnsiTheme="majorHAnsi" w:cstheme="majorHAnsi"/>
          <w:color w:val="auto"/>
          <w:kern w:val="0"/>
          <w:sz w:val="24"/>
          <w:szCs w:val="24"/>
          <w:lang w:eastAsia="en-US"/>
        </w:rPr>
        <w:t>e</w:t>
      </w:r>
      <w:r w:rsidR="008A04E6" w:rsidRPr="00CB681C">
        <w:rPr>
          <w:rFonts w:asciiTheme="majorHAnsi" w:eastAsia="Times New Roman" w:hAnsiTheme="majorHAnsi" w:cstheme="majorHAnsi"/>
          <w:color w:val="auto"/>
          <w:kern w:val="0"/>
          <w:sz w:val="24"/>
          <w:szCs w:val="24"/>
          <w:lang w:eastAsia="en-US"/>
        </w:rPr>
        <w:t xml:space="preserve"> analitičkih alata za izradu regulative</w:t>
      </w:r>
      <w:r w:rsidRPr="00CB681C">
        <w:rPr>
          <w:rFonts w:asciiTheme="majorHAnsi" w:eastAsia="Times New Roman" w:hAnsiTheme="majorHAnsi" w:cstheme="majorHAnsi"/>
          <w:color w:val="auto"/>
          <w:kern w:val="0"/>
          <w:sz w:val="24"/>
          <w:szCs w:val="24"/>
          <w:lang w:eastAsia="en-US"/>
        </w:rPr>
        <w:t xml:space="preserve">. </w:t>
      </w:r>
    </w:p>
    <w:tbl>
      <w:tblPr>
        <w:tblStyle w:val="TableGrid"/>
        <w:tblW w:w="5241"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53"/>
        <w:gridCol w:w="1957"/>
        <w:gridCol w:w="1900"/>
        <w:gridCol w:w="1783"/>
        <w:gridCol w:w="2302"/>
      </w:tblGrid>
      <w:tr w:rsidR="00AC188A" w:rsidRPr="00156E08" w:rsidTr="0081506D">
        <w:tc>
          <w:tcPr>
            <w:tcW w:w="987" w:type="pct"/>
            <w:shd w:val="clear" w:color="auto" w:fill="DFE4E5" w:themeFill="accent5" w:themeFillTint="33"/>
            <w:vAlign w:val="center"/>
          </w:tcPr>
          <w:p w:rsidR="0081506D" w:rsidRPr="001014EF" w:rsidRDefault="0081506D">
            <w:pPr>
              <w:spacing w:after="40"/>
              <w:rPr>
                <w:rFonts w:asciiTheme="majorHAnsi" w:hAnsiTheme="majorHAnsi" w:cstheme="majorHAnsi"/>
                <w:b/>
                <w:color w:val="3A4B5B" w:themeColor="accent1" w:themeShade="80"/>
              </w:rPr>
            </w:pPr>
            <w:r w:rsidRPr="001014EF">
              <w:rPr>
                <w:rFonts w:asciiTheme="majorHAnsi" w:hAnsiTheme="majorHAnsi" w:cstheme="majorHAnsi"/>
                <w:b/>
                <w:color w:val="3A4B5B" w:themeColor="accent1" w:themeShade="80"/>
              </w:rPr>
              <w:t>OPERATIVNI CILJ 5.3</w:t>
            </w:r>
            <w:r w:rsidR="00156E08" w:rsidRPr="001014EF">
              <w:rPr>
                <w:rFonts w:asciiTheme="majorHAnsi" w:hAnsiTheme="majorHAnsi" w:cstheme="majorHAnsi"/>
                <w:b/>
                <w:color w:val="3A4B5B" w:themeColor="accent1" w:themeShade="80"/>
              </w:rPr>
              <w:t>.</w:t>
            </w:r>
          </w:p>
        </w:tc>
        <w:tc>
          <w:tcPr>
            <w:tcW w:w="4013" w:type="pct"/>
            <w:gridSpan w:val="4"/>
            <w:shd w:val="clear" w:color="auto" w:fill="DFE4E5" w:themeFill="accent5" w:themeFillTint="33"/>
            <w:vAlign w:val="center"/>
          </w:tcPr>
          <w:p w:rsidR="0081506D" w:rsidRPr="001014EF" w:rsidRDefault="0081506D">
            <w:pPr>
              <w:spacing w:after="40"/>
              <w:rPr>
                <w:rFonts w:asciiTheme="majorHAnsi" w:hAnsiTheme="majorHAnsi" w:cstheme="majorHAnsi"/>
                <w:b/>
                <w:color w:val="3A4B5B" w:themeColor="accent1" w:themeShade="80"/>
              </w:rPr>
            </w:pPr>
            <w:r w:rsidRPr="001014EF">
              <w:rPr>
                <w:rFonts w:asciiTheme="majorHAnsi" w:hAnsiTheme="majorHAnsi" w:cstheme="majorHAnsi"/>
                <w:b/>
                <w:color w:val="3A4B5B" w:themeColor="accent1" w:themeShade="80"/>
              </w:rPr>
              <w:t>Povećanje obuhvata i jačanje kapaciteta za sprovođenje RIA</w:t>
            </w:r>
          </w:p>
        </w:tc>
      </w:tr>
      <w:tr w:rsidR="00AC188A" w:rsidRPr="00156E08" w:rsidTr="0081506D">
        <w:tc>
          <w:tcPr>
            <w:tcW w:w="1976" w:type="pct"/>
            <w:gridSpan w:val="2"/>
            <w:shd w:val="clear" w:color="auto" w:fill="DAF2F6"/>
            <w:vAlign w:val="center"/>
          </w:tcPr>
          <w:p w:rsidR="0081506D" w:rsidRPr="00C00385" w:rsidRDefault="0081506D" w:rsidP="007E14C5">
            <w:pPr>
              <w:spacing w:after="40"/>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Indikator</w:t>
            </w:r>
          </w:p>
        </w:tc>
        <w:tc>
          <w:tcPr>
            <w:tcW w:w="960" w:type="pct"/>
            <w:shd w:val="clear" w:color="auto" w:fill="DAF2F6"/>
            <w:vAlign w:val="center"/>
          </w:tcPr>
          <w:p w:rsidR="0081506D" w:rsidRPr="00C00385" w:rsidRDefault="0081506D" w:rsidP="007E14C5">
            <w:pPr>
              <w:spacing w:after="40"/>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Početna vrijednost</w:t>
            </w:r>
          </w:p>
        </w:tc>
        <w:tc>
          <w:tcPr>
            <w:tcW w:w="901" w:type="pct"/>
            <w:shd w:val="clear" w:color="auto" w:fill="DAF2F6"/>
            <w:vAlign w:val="center"/>
          </w:tcPr>
          <w:p w:rsidR="0081506D" w:rsidRPr="00C00385" w:rsidRDefault="0081506D" w:rsidP="007E14C5">
            <w:pPr>
              <w:spacing w:after="40"/>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Ciljana vrijednost do 2024.</w:t>
            </w:r>
          </w:p>
        </w:tc>
        <w:tc>
          <w:tcPr>
            <w:tcW w:w="1163" w:type="pct"/>
            <w:shd w:val="clear" w:color="auto" w:fill="DAF2F6"/>
            <w:vAlign w:val="center"/>
          </w:tcPr>
          <w:p w:rsidR="0081506D" w:rsidRPr="00C00385" w:rsidRDefault="0081506D" w:rsidP="007E14C5">
            <w:pPr>
              <w:spacing w:after="40"/>
              <w:rPr>
                <w:rFonts w:asciiTheme="majorHAnsi" w:hAnsiTheme="majorHAnsi" w:cstheme="majorHAnsi"/>
                <w:b/>
                <w:color w:val="3A4B5B" w:themeColor="accent1" w:themeShade="80"/>
                <w:sz w:val="18"/>
                <w:szCs w:val="18"/>
              </w:rPr>
            </w:pPr>
            <w:r w:rsidRPr="00C00385">
              <w:rPr>
                <w:rFonts w:asciiTheme="majorHAnsi" w:hAnsiTheme="majorHAnsi" w:cstheme="majorHAnsi"/>
                <w:b/>
                <w:color w:val="3A4B5B" w:themeColor="accent1" w:themeShade="80"/>
                <w:sz w:val="18"/>
                <w:szCs w:val="18"/>
              </w:rPr>
              <w:t>Ciljana vrijednost u 2026.</w:t>
            </w:r>
          </w:p>
        </w:tc>
      </w:tr>
      <w:tr w:rsidR="00051F26" w:rsidRPr="00156E08" w:rsidTr="006F7CA6">
        <w:tc>
          <w:tcPr>
            <w:tcW w:w="1976" w:type="pct"/>
            <w:gridSpan w:val="2"/>
            <w:shd w:val="clear" w:color="auto" w:fill="auto"/>
          </w:tcPr>
          <w:p w:rsidR="00051F26" w:rsidRPr="00051F26" w:rsidRDefault="00051F26" w:rsidP="00051F26">
            <w:pPr>
              <w:spacing w:after="40"/>
              <w:rPr>
                <w:rFonts w:asciiTheme="majorHAnsi" w:hAnsiTheme="majorHAnsi" w:cstheme="majorHAnsi"/>
                <w:color w:val="auto"/>
              </w:rPr>
            </w:pPr>
            <w:r w:rsidRPr="00051F26">
              <w:rPr>
                <w:rFonts w:asciiTheme="majorHAnsi" w:hAnsiTheme="majorHAnsi" w:cstheme="majorHAnsi"/>
                <w:color w:val="auto"/>
              </w:rPr>
              <w:t>% nacrta podzakonskih akata sa RIA</w:t>
            </w:r>
          </w:p>
        </w:tc>
        <w:tc>
          <w:tcPr>
            <w:tcW w:w="960" w:type="pct"/>
            <w:shd w:val="clear" w:color="auto" w:fill="auto"/>
          </w:tcPr>
          <w:p w:rsidR="00051F26" w:rsidRPr="00051F26" w:rsidRDefault="00051F26" w:rsidP="00051F26">
            <w:pPr>
              <w:spacing w:after="40"/>
              <w:jc w:val="center"/>
              <w:rPr>
                <w:rFonts w:asciiTheme="majorHAnsi" w:hAnsiTheme="majorHAnsi" w:cstheme="majorHAnsi"/>
                <w:color w:val="auto"/>
              </w:rPr>
            </w:pPr>
            <w:r w:rsidRPr="00051F26">
              <w:rPr>
                <w:rFonts w:asciiTheme="majorHAnsi" w:hAnsiTheme="majorHAnsi" w:cstheme="majorHAnsi"/>
                <w:color w:val="auto"/>
              </w:rPr>
              <w:t>28,49% (2020)</w:t>
            </w:r>
          </w:p>
        </w:tc>
        <w:tc>
          <w:tcPr>
            <w:tcW w:w="901" w:type="pct"/>
            <w:shd w:val="clear" w:color="auto" w:fill="auto"/>
          </w:tcPr>
          <w:p w:rsidR="00051F26" w:rsidRPr="00051F26" w:rsidRDefault="00051F26" w:rsidP="00051F26">
            <w:pPr>
              <w:spacing w:after="40"/>
              <w:jc w:val="center"/>
              <w:rPr>
                <w:rFonts w:asciiTheme="majorHAnsi" w:hAnsiTheme="majorHAnsi" w:cstheme="majorHAnsi"/>
                <w:color w:val="auto"/>
              </w:rPr>
            </w:pPr>
            <w:r w:rsidRPr="00051F26">
              <w:rPr>
                <w:rFonts w:asciiTheme="majorHAnsi" w:hAnsiTheme="majorHAnsi" w:cstheme="majorHAnsi"/>
                <w:color w:val="auto"/>
              </w:rPr>
              <w:t>35%</w:t>
            </w:r>
          </w:p>
        </w:tc>
        <w:tc>
          <w:tcPr>
            <w:tcW w:w="1163" w:type="pct"/>
            <w:shd w:val="clear" w:color="auto" w:fill="auto"/>
          </w:tcPr>
          <w:p w:rsidR="00051F26" w:rsidRPr="00051F26" w:rsidRDefault="00051F26" w:rsidP="00051F26">
            <w:pPr>
              <w:spacing w:after="40"/>
              <w:jc w:val="center"/>
              <w:rPr>
                <w:rFonts w:asciiTheme="majorHAnsi" w:hAnsiTheme="majorHAnsi" w:cstheme="majorHAnsi"/>
                <w:color w:val="auto"/>
              </w:rPr>
            </w:pPr>
            <w:r w:rsidRPr="00051F26">
              <w:rPr>
                <w:rFonts w:asciiTheme="majorHAnsi" w:hAnsiTheme="majorHAnsi" w:cstheme="majorHAnsi"/>
                <w:color w:val="auto"/>
              </w:rPr>
              <w:t>50%</w:t>
            </w:r>
          </w:p>
        </w:tc>
      </w:tr>
      <w:tr w:rsidR="00051F26" w:rsidRPr="00156E08" w:rsidTr="006F7CA6">
        <w:tc>
          <w:tcPr>
            <w:tcW w:w="1976" w:type="pct"/>
            <w:gridSpan w:val="2"/>
            <w:shd w:val="clear" w:color="auto" w:fill="auto"/>
          </w:tcPr>
          <w:p w:rsidR="00051F26" w:rsidRPr="00051F26" w:rsidRDefault="00051F26" w:rsidP="00051F26">
            <w:pPr>
              <w:spacing w:after="40"/>
              <w:rPr>
                <w:rFonts w:asciiTheme="majorHAnsi" w:hAnsiTheme="majorHAnsi" w:cstheme="majorHAnsi"/>
                <w:color w:val="auto"/>
              </w:rPr>
            </w:pPr>
            <w:r w:rsidRPr="00051F26">
              <w:rPr>
                <w:rFonts w:asciiTheme="majorHAnsi" w:hAnsiTheme="majorHAnsi" w:cstheme="majorHAnsi"/>
                <w:color w:val="auto"/>
              </w:rPr>
              <w:lastRenderedPageBreak/>
              <w:t>% zakona kod kojh se za RIA primjenjuje Model standardnog troška (Standard cost model)</w:t>
            </w:r>
          </w:p>
        </w:tc>
        <w:tc>
          <w:tcPr>
            <w:tcW w:w="960" w:type="pct"/>
            <w:shd w:val="clear" w:color="auto" w:fill="auto"/>
          </w:tcPr>
          <w:p w:rsidR="00051F26" w:rsidRPr="00051F26" w:rsidRDefault="00051F26" w:rsidP="00051F26">
            <w:pPr>
              <w:spacing w:after="40"/>
              <w:jc w:val="center"/>
              <w:rPr>
                <w:rFonts w:asciiTheme="majorHAnsi" w:hAnsiTheme="majorHAnsi" w:cstheme="majorHAnsi"/>
                <w:color w:val="auto"/>
              </w:rPr>
            </w:pPr>
            <w:r w:rsidRPr="00051F26">
              <w:rPr>
                <w:rFonts w:asciiTheme="majorHAnsi" w:hAnsiTheme="majorHAnsi" w:cstheme="majorHAnsi"/>
                <w:color w:val="auto"/>
              </w:rPr>
              <w:t>18% (2020)</w:t>
            </w:r>
          </w:p>
        </w:tc>
        <w:tc>
          <w:tcPr>
            <w:tcW w:w="901" w:type="pct"/>
            <w:shd w:val="clear" w:color="auto" w:fill="auto"/>
          </w:tcPr>
          <w:p w:rsidR="00051F26" w:rsidRPr="00051F26" w:rsidRDefault="00051F26" w:rsidP="00051F26">
            <w:pPr>
              <w:spacing w:after="40"/>
              <w:jc w:val="center"/>
              <w:rPr>
                <w:rFonts w:asciiTheme="majorHAnsi" w:hAnsiTheme="majorHAnsi" w:cstheme="majorHAnsi"/>
                <w:color w:val="auto"/>
              </w:rPr>
            </w:pPr>
            <w:r w:rsidRPr="00051F26">
              <w:rPr>
                <w:rFonts w:asciiTheme="majorHAnsi" w:hAnsiTheme="majorHAnsi" w:cstheme="majorHAnsi"/>
                <w:color w:val="auto"/>
              </w:rPr>
              <w:t>20%</w:t>
            </w:r>
          </w:p>
        </w:tc>
        <w:tc>
          <w:tcPr>
            <w:tcW w:w="1163" w:type="pct"/>
            <w:shd w:val="clear" w:color="auto" w:fill="auto"/>
          </w:tcPr>
          <w:p w:rsidR="00051F26" w:rsidRPr="00051F26" w:rsidRDefault="00051F26" w:rsidP="00051F26">
            <w:pPr>
              <w:spacing w:after="40"/>
              <w:jc w:val="center"/>
              <w:rPr>
                <w:rFonts w:asciiTheme="majorHAnsi" w:hAnsiTheme="majorHAnsi" w:cstheme="majorHAnsi"/>
                <w:color w:val="auto"/>
              </w:rPr>
            </w:pPr>
            <w:r w:rsidRPr="00051F26">
              <w:rPr>
                <w:rFonts w:asciiTheme="majorHAnsi" w:hAnsiTheme="majorHAnsi" w:cstheme="majorHAnsi"/>
                <w:color w:val="auto"/>
              </w:rPr>
              <w:t>30%</w:t>
            </w:r>
          </w:p>
        </w:tc>
      </w:tr>
      <w:tr w:rsidR="00051F26" w:rsidRPr="00156E08" w:rsidTr="006F7CA6">
        <w:tc>
          <w:tcPr>
            <w:tcW w:w="1976" w:type="pct"/>
            <w:gridSpan w:val="2"/>
            <w:shd w:val="clear" w:color="auto" w:fill="auto"/>
          </w:tcPr>
          <w:p w:rsidR="00051F26" w:rsidRPr="00051F26" w:rsidRDefault="00051F26" w:rsidP="00051F26">
            <w:pPr>
              <w:spacing w:after="40"/>
              <w:rPr>
                <w:rFonts w:asciiTheme="majorHAnsi" w:hAnsiTheme="majorHAnsi" w:cstheme="majorHAnsi"/>
                <w:color w:val="auto"/>
              </w:rPr>
            </w:pPr>
            <w:r w:rsidRPr="00051F26">
              <w:rPr>
                <w:rFonts w:asciiTheme="majorHAnsi" w:hAnsiTheme="majorHAnsi" w:cstheme="majorHAnsi"/>
                <w:color w:val="auto"/>
              </w:rPr>
              <w:t>% kvalitetno izrađenih RIA u odnosu na ukupan broj RIA koje su dostavljenje na mišljenje MFSS</w:t>
            </w:r>
          </w:p>
        </w:tc>
        <w:tc>
          <w:tcPr>
            <w:tcW w:w="960" w:type="pct"/>
            <w:shd w:val="clear" w:color="auto" w:fill="auto"/>
          </w:tcPr>
          <w:p w:rsidR="00051F26" w:rsidRPr="00051F26" w:rsidRDefault="00051F26" w:rsidP="00051F26">
            <w:pPr>
              <w:spacing w:after="40"/>
              <w:jc w:val="center"/>
              <w:rPr>
                <w:rFonts w:asciiTheme="majorHAnsi" w:hAnsiTheme="majorHAnsi" w:cstheme="majorHAnsi"/>
                <w:color w:val="auto"/>
              </w:rPr>
            </w:pPr>
            <w:r w:rsidRPr="00051F26">
              <w:rPr>
                <w:rFonts w:asciiTheme="majorHAnsi" w:hAnsiTheme="majorHAnsi" w:cstheme="majorHAnsi"/>
                <w:color w:val="auto"/>
              </w:rPr>
              <w:t>68,72% (2020)</w:t>
            </w:r>
          </w:p>
        </w:tc>
        <w:tc>
          <w:tcPr>
            <w:tcW w:w="901" w:type="pct"/>
            <w:shd w:val="clear" w:color="auto" w:fill="auto"/>
          </w:tcPr>
          <w:p w:rsidR="00051F26" w:rsidRPr="00051F26" w:rsidRDefault="00051F26" w:rsidP="00051F26">
            <w:pPr>
              <w:spacing w:after="40"/>
              <w:jc w:val="center"/>
              <w:rPr>
                <w:rFonts w:asciiTheme="majorHAnsi" w:hAnsiTheme="majorHAnsi" w:cstheme="majorHAnsi"/>
                <w:color w:val="auto"/>
              </w:rPr>
            </w:pPr>
            <w:r w:rsidRPr="00051F26">
              <w:rPr>
                <w:rFonts w:asciiTheme="majorHAnsi" w:hAnsiTheme="majorHAnsi" w:cstheme="majorHAnsi"/>
                <w:color w:val="auto"/>
              </w:rPr>
              <w:t>77%</w:t>
            </w:r>
          </w:p>
        </w:tc>
        <w:tc>
          <w:tcPr>
            <w:tcW w:w="1163" w:type="pct"/>
            <w:shd w:val="clear" w:color="auto" w:fill="auto"/>
          </w:tcPr>
          <w:p w:rsidR="00051F26" w:rsidRPr="00051F26" w:rsidRDefault="00051F26" w:rsidP="00051F26">
            <w:pPr>
              <w:spacing w:after="40"/>
              <w:jc w:val="center"/>
              <w:rPr>
                <w:rFonts w:asciiTheme="majorHAnsi" w:hAnsiTheme="majorHAnsi" w:cstheme="majorHAnsi"/>
                <w:color w:val="auto"/>
              </w:rPr>
            </w:pPr>
            <w:r w:rsidRPr="00051F26">
              <w:rPr>
                <w:rFonts w:asciiTheme="majorHAnsi" w:hAnsiTheme="majorHAnsi" w:cstheme="majorHAnsi"/>
                <w:color w:val="auto"/>
              </w:rPr>
              <w:t>88%</w:t>
            </w:r>
          </w:p>
        </w:tc>
      </w:tr>
    </w:tbl>
    <w:p w:rsidR="007213A5" w:rsidRPr="00CB681C" w:rsidRDefault="007213A5" w:rsidP="00CB681C">
      <w:pPr>
        <w:pStyle w:val="Heading1"/>
        <w:ind w:right="-471"/>
        <w:jc w:val="center"/>
        <w:rPr>
          <w:rFonts w:asciiTheme="majorHAnsi" w:hAnsiTheme="majorHAnsi" w:cstheme="majorHAnsi"/>
          <w:b/>
          <w:color w:val="auto"/>
          <w:sz w:val="32"/>
          <w:szCs w:val="32"/>
        </w:rPr>
      </w:pPr>
      <w:bookmarkStart w:id="64" w:name="_Toc87353418"/>
      <w:r w:rsidRPr="00CB681C">
        <w:rPr>
          <w:rFonts w:asciiTheme="majorHAnsi" w:hAnsiTheme="majorHAnsi" w:cstheme="majorHAnsi"/>
          <w:b/>
          <w:color w:val="auto"/>
          <w:sz w:val="32"/>
          <w:szCs w:val="32"/>
        </w:rPr>
        <w:lastRenderedPageBreak/>
        <w:t>III  HORIZONTALNA PITANJA</w:t>
      </w:r>
      <w:bookmarkEnd w:id="64"/>
    </w:p>
    <w:p w:rsidR="007213A5" w:rsidRPr="00CB681C" w:rsidRDefault="00A0336E" w:rsidP="00B43D4E">
      <w:pPr>
        <w:pStyle w:val="ListParagraph"/>
        <w:keepNext/>
        <w:keepLines/>
        <w:numPr>
          <w:ilvl w:val="0"/>
          <w:numId w:val="37"/>
        </w:numPr>
        <w:spacing w:before="120" w:after="120" w:line="240" w:lineRule="auto"/>
        <w:ind w:right="-475"/>
        <w:contextualSpacing w:val="0"/>
        <w:jc w:val="both"/>
        <w:outlineLvl w:val="2"/>
        <w:rPr>
          <w:rFonts w:asciiTheme="majorHAnsi" w:eastAsia="Calibri" w:hAnsiTheme="majorHAnsi" w:cstheme="majorHAnsi"/>
          <w:b/>
          <w:color w:val="auto"/>
          <w:kern w:val="0"/>
          <w:sz w:val="28"/>
          <w:szCs w:val="28"/>
        </w:rPr>
      </w:pPr>
      <w:bookmarkStart w:id="65" w:name="_Toc87353419"/>
      <w:r w:rsidRPr="00CB681C">
        <w:rPr>
          <w:rFonts w:asciiTheme="majorHAnsi" w:eastAsia="Calibri" w:hAnsiTheme="majorHAnsi" w:cstheme="majorHAnsi"/>
          <w:b/>
          <w:color w:val="auto"/>
          <w:kern w:val="0"/>
          <w:sz w:val="28"/>
          <w:szCs w:val="28"/>
        </w:rPr>
        <w:t xml:space="preserve">JAVNA UPRAVA ZASNOVANA NA </w:t>
      </w:r>
      <w:r w:rsidR="007213A5" w:rsidRPr="00CB681C">
        <w:rPr>
          <w:rFonts w:asciiTheme="majorHAnsi" w:eastAsia="Calibri" w:hAnsiTheme="majorHAnsi" w:cstheme="majorHAnsi"/>
          <w:b/>
          <w:color w:val="auto"/>
          <w:kern w:val="0"/>
          <w:sz w:val="28"/>
          <w:szCs w:val="28"/>
        </w:rPr>
        <w:t>RAZNOLIKOST</w:t>
      </w:r>
      <w:r w:rsidRPr="00CB681C">
        <w:rPr>
          <w:rFonts w:asciiTheme="majorHAnsi" w:eastAsia="Calibri" w:hAnsiTheme="majorHAnsi" w:cstheme="majorHAnsi"/>
          <w:b/>
          <w:color w:val="auto"/>
          <w:kern w:val="0"/>
          <w:sz w:val="28"/>
          <w:szCs w:val="28"/>
        </w:rPr>
        <w:t>I</w:t>
      </w:r>
      <w:r w:rsidR="007213A5" w:rsidRPr="00CB681C">
        <w:rPr>
          <w:rFonts w:asciiTheme="majorHAnsi" w:eastAsia="Calibri" w:hAnsiTheme="majorHAnsi" w:cstheme="majorHAnsi"/>
          <w:b/>
          <w:color w:val="auto"/>
          <w:kern w:val="0"/>
          <w:sz w:val="28"/>
          <w:szCs w:val="28"/>
        </w:rPr>
        <w:t>, RAVNOPRAVNOST</w:t>
      </w:r>
      <w:r w:rsidR="006F7CA6">
        <w:rPr>
          <w:rFonts w:asciiTheme="majorHAnsi" w:eastAsia="Calibri" w:hAnsiTheme="majorHAnsi" w:cstheme="majorHAnsi"/>
          <w:b/>
          <w:color w:val="auto"/>
          <w:kern w:val="0"/>
          <w:sz w:val="28"/>
          <w:szCs w:val="28"/>
        </w:rPr>
        <w:t>I</w:t>
      </w:r>
      <w:r w:rsidR="007213A5" w:rsidRPr="00CB681C">
        <w:rPr>
          <w:rFonts w:asciiTheme="majorHAnsi" w:eastAsia="Calibri" w:hAnsiTheme="majorHAnsi" w:cstheme="majorHAnsi"/>
          <w:b/>
          <w:color w:val="auto"/>
          <w:kern w:val="0"/>
          <w:sz w:val="28"/>
          <w:szCs w:val="28"/>
        </w:rPr>
        <w:t xml:space="preserve">, </w:t>
      </w:r>
      <w:r w:rsidR="001014EF">
        <w:rPr>
          <w:rFonts w:asciiTheme="majorHAnsi" w:eastAsia="Calibri" w:hAnsiTheme="majorHAnsi" w:cstheme="majorHAnsi"/>
          <w:b/>
          <w:color w:val="auto"/>
          <w:kern w:val="0"/>
          <w:sz w:val="28"/>
          <w:szCs w:val="28"/>
        </w:rPr>
        <w:t>INKLUZIJI</w:t>
      </w:r>
      <w:r w:rsidR="00A97BF4">
        <w:rPr>
          <w:rFonts w:asciiTheme="majorHAnsi" w:eastAsia="Calibri" w:hAnsiTheme="majorHAnsi" w:cstheme="majorHAnsi"/>
          <w:b/>
          <w:color w:val="auto"/>
          <w:kern w:val="0"/>
          <w:sz w:val="28"/>
          <w:szCs w:val="28"/>
        </w:rPr>
        <w:t>,</w:t>
      </w:r>
      <w:r w:rsidR="001014EF">
        <w:rPr>
          <w:rFonts w:asciiTheme="majorHAnsi" w:eastAsia="Calibri" w:hAnsiTheme="majorHAnsi" w:cstheme="majorHAnsi"/>
          <w:b/>
          <w:color w:val="auto"/>
          <w:kern w:val="0"/>
          <w:sz w:val="28"/>
          <w:szCs w:val="28"/>
        </w:rPr>
        <w:t xml:space="preserve"> ANTI</w:t>
      </w:r>
      <w:r w:rsidRPr="00CB681C">
        <w:rPr>
          <w:rFonts w:asciiTheme="majorHAnsi" w:eastAsia="Calibri" w:hAnsiTheme="majorHAnsi" w:cstheme="majorHAnsi"/>
          <w:b/>
          <w:color w:val="auto"/>
          <w:kern w:val="0"/>
          <w:sz w:val="28"/>
          <w:szCs w:val="28"/>
        </w:rPr>
        <w:t>DISKRIMINACIJI I JEDNAKIM MOGUĆNOSTIMA</w:t>
      </w:r>
      <w:r w:rsidR="001014EF">
        <w:rPr>
          <w:rFonts w:asciiTheme="majorHAnsi" w:eastAsia="Calibri" w:hAnsiTheme="majorHAnsi" w:cstheme="majorHAnsi"/>
          <w:b/>
          <w:color w:val="auto"/>
          <w:kern w:val="0"/>
          <w:sz w:val="28"/>
          <w:szCs w:val="28"/>
        </w:rPr>
        <w:t xml:space="preserve"> ZA SVE</w:t>
      </w:r>
      <w:bookmarkEnd w:id="65"/>
    </w:p>
    <w:p w:rsidR="007213A5" w:rsidRPr="00C00385" w:rsidRDefault="007213A5" w:rsidP="00C00385">
      <w:pPr>
        <w:spacing w:before="60" w:after="60" w:line="240" w:lineRule="auto"/>
        <w:ind w:right="-450"/>
        <w:jc w:val="both"/>
        <w:rPr>
          <w:rFonts w:asciiTheme="majorHAnsi" w:eastAsia="Calibri" w:hAnsiTheme="majorHAnsi" w:cstheme="majorHAnsi"/>
          <w:b/>
          <w:color w:val="auto"/>
          <w:kern w:val="0"/>
          <w:sz w:val="24"/>
          <w:szCs w:val="24"/>
          <w:lang w:eastAsia="en-US"/>
        </w:rPr>
      </w:pPr>
      <w:r w:rsidRPr="00CB681C">
        <w:rPr>
          <w:rFonts w:asciiTheme="majorHAnsi" w:eastAsia="Calibri" w:hAnsiTheme="majorHAnsi" w:cstheme="majorHAnsi"/>
          <w:color w:val="auto"/>
          <w:kern w:val="0"/>
          <w:sz w:val="24"/>
          <w:szCs w:val="24"/>
          <w:lang w:eastAsia="en-US"/>
        </w:rPr>
        <w:t>Evropska</w:t>
      </w:r>
      <w:r w:rsidR="00346859" w:rsidRPr="00CB681C">
        <w:rPr>
          <w:rFonts w:asciiTheme="majorHAnsi" w:eastAsia="Calibri" w:hAnsiTheme="majorHAnsi" w:cstheme="majorHAnsi"/>
          <w:color w:val="auto"/>
          <w:kern w:val="0"/>
          <w:sz w:val="24"/>
          <w:szCs w:val="24"/>
          <w:lang w:eastAsia="en-US"/>
        </w:rPr>
        <w:t xml:space="preserve"> unija</w:t>
      </w:r>
      <w:r w:rsidRPr="00CB681C">
        <w:rPr>
          <w:rFonts w:asciiTheme="majorHAnsi" w:eastAsia="Calibri" w:hAnsiTheme="majorHAnsi" w:cstheme="majorHAnsi"/>
          <w:color w:val="auto"/>
          <w:kern w:val="0"/>
          <w:sz w:val="24"/>
          <w:szCs w:val="24"/>
          <w:lang w:eastAsia="en-US"/>
        </w:rPr>
        <w:t xml:space="preserve"> je 2004. godine pokrenula inicijativu </w:t>
      </w:r>
      <w:r w:rsidRPr="00CB681C">
        <w:rPr>
          <w:rFonts w:asciiTheme="majorHAnsi" w:eastAsia="Calibri" w:hAnsiTheme="majorHAnsi" w:cstheme="majorHAnsi"/>
          <w:b/>
          <w:color w:val="auto"/>
          <w:kern w:val="0"/>
          <w:sz w:val="24"/>
          <w:szCs w:val="24"/>
          <w:lang w:eastAsia="en-US"/>
        </w:rPr>
        <w:t>Povelja o raznolikosti</w:t>
      </w:r>
      <w:r w:rsidRPr="00CB681C">
        <w:rPr>
          <w:rFonts w:asciiTheme="majorHAnsi" w:eastAsia="Calibri" w:hAnsiTheme="majorHAnsi" w:cstheme="majorHAnsi"/>
          <w:color w:val="auto"/>
          <w:kern w:val="0"/>
          <w:sz w:val="24"/>
          <w:szCs w:val="24"/>
          <w:lang w:eastAsia="en-US"/>
        </w:rPr>
        <w:t xml:space="preserve">, koja je prihvaćena u 26 zemalja, </w:t>
      </w:r>
      <w:r w:rsidR="000C6619" w:rsidRPr="00CB681C">
        <w:rPr>
          <w:rFonts w:asciiTheme="majorHAnsi" w:eastAsia="Calibri" w:hAnsiTheme="majorHAnsi" w:cstheme="majorHAnsi"/>
          <w:color w:val="auto"/>
          <w:kern w:val="0"/>
          <w:sz w:val="24"/>
          <w:szCs w:val="24"/>
          <w:lang w:eastAsia="en-US"/>
        </w:rPr>
        <w:t xml:space="preserve">a </w:t>
      </w:r>
      <w:r w:rsidRPr="00CB681C">
        <w:rPr>
          <w:rFonts w:asciiTheme="majorHAnsi" w:eastAsia="Calibri" w:hAnsiTheme="majorHAnsi" w:cstheme="majorHAnsi"/>
          <w:color w:val="auto"/>
          <w:kern w:val="0"/>
          <w:sz w:val="24"/>
          <w:szCs w:val="24"/>
          <w:lang w:eastAsia="en-US"/>
        </w:rPr>
        <w:t>koje predstavljaju preko 12</w:t>
      </w:r>
      <w:r w:rsidR="00346859" w:rsidRPr="00CB681C">
        <w:rPr>
          <w:rFonts w:asciiTheme="majorHAnsi" w:eastAsia="Calibri" w:hAnsiTheme="majorHAnsi" w:cstheme="majorHAnsi"/>
          <w:color w:val="auto"/>
          <w:kern w:val="0"/>
          <w:sz w:val="24"/>
          <w:szCs w:val="24"/>
          <w:lang w:eastAsia="en-US"/>
        </w:rPr>
        <w:t>.</w:t>
      </w:r>
      <w:r w:rsidRPr="00CB681C">
        <w:rPr>
          <w:rFonts w:asciiTheme="majorHAnsi" w:eastAsia="Calibri" w:hAnsiTheme="majorHAnsi" w:cstheme="majorHAnsi"/>
          <w:color w:val="auto"/>
          <w:kern w:val="0"/>
          <w:sz w:val="24"/>
          <w:szCs w:val="24"/>
          <w:lang w:eastAsia="en-US"/>
        </w:rPr>
        <w:t>000 organizacija potpisnica i više od 16 miliona zaposlenih</w:t>
      </w:r>
      <w:r w:rsidR="000C6619" w:rsidRPr="00CB681C">
        <w:rPr>
          <w:rFonts w:asciiTheme="majorHAnsi" w:eastAsia="Calibri" w:hAnsiTheme="majorHAnsi" w:cstheme="majorHAnsi"/>
          <w:color w:val="auto"/>
          <w:kern w:val="0"/>
          <w:sz w:val="24"/>
          <w:szCs w:val="24"/>
          <w:lang w:eastAsia="en-US"/>
        </w:rPr>
        <w:t>. C</w:t>
      </w:r>
      <w:r w:rsidRPr="00CB681C">
        <w:rPr>
          <w:rFonts w:asciiTheme="majorHAnsi" w:eastAsia="Calibri" w:hAnsiTheme="majorHAnsi" w:cstheme="majorHAnsi"/>
          <w:color w:val="auto"/>
          <w:kern w:val="0"/>
          <w:sz w:val="24"/>
          <w:szCs w:val="24"/>
          <w:lang w:eastAsia="en-US"/>
        </w:rPr>
        <w:t xml:space="preserve">ilj joj je </w:t>
      </w:r>
      <w:r w:rsidRPr="00CB681C">
        <w:rPr>
          <w:rFonts w:asciiTheme="majorHAnsi" w:eastAsia="Calibri" w:hAnsiTheme="majorHAnsi" w:cstheme="majorHAnsi"/>
          <w:b/>
          <w:color w:val="auto"/>
          <w:kern w:val="0"/>
          <w:sz w:val="24"/>
          <w:szCs w:val="24"/>
          <w:lang w:eastAsia="en-US"/>
        </w:rPr>
        <w:t>promocija raznolikosti</w:t>
      </w:r>
      <w:r w:rsidR="006F7CA6">
        <w:rPr>
          <w:rStyle w:val="FootnoteReference"/>
          <w:rFonts w:asciiTheme="majorHAnsi" w:eastAsia="Calibri" w:hAnsiTheme="majorHAnsi" w:cstheme="majorHAnsi"/>
          <w:b/>
          <w:color w:val="auto"/>
          <w:kern w:val="0"/>
          <w:sz w:val="24"/>
          <w:szCs w:val="24"/>
          <w:lang w:eastAsia="en-US"/>
        </w:rPr>
        <w:footnoteReference w:id="128"/>
      </w:r>
      <w:r w:rsidRPr="00CB681C">
        <w:rPr>
          <w:rFonts w:asciiTheme="majorHAnsi" w:eastAsia="Calibri" w:hAnsiTheme="majorHAnsi" w:cstheme="majorHAnsi"/>
          <w:b/>
          <w:color w:val="auto"/>
          <w:kern w:val="0"/>
          <w:sz w:val="24"/>
          <w:szCs w:val="24"/>
          <w:lang w:eastAsia="en-US"/>
        </w:rPr>
        <w:t xml:space="preserve">, </w:t>
      </w:r>
      <w:r w:rsidR="006F7CA6">
        <w:rPr>
          <w:rFonts w:asciiTheme="majorHAnsi" w:eastAsia="Calibri" w:hAnsiTheme="majorHAnsi" w:cstheme="majorHAnsi"/>
          <w:b/>
          <w:color w:val="auto"/>
          <w:kern w:val="0"/>
          <w:sz w:val="24"/>
          <w:szCs w:val="24"/>
          <w:lang w:eastAsia="en-US"/>
        </w:rPr>
        <w:t>ravnopravnosti</w:t>
      </w:r>
      <w:r w:rsidR="006F7CA6">
        <w:rPr>
          <w:rStyle w:val="FootnoteReference"/>
          <w:rFonts w:asciiTheme="majorHAnsi" w:eastAsia="Calibri" w:hAnsiTheme="majorHAnsi" w:cstheme="majorHAnsi"/>
          <w:b/>
          <w:color w:val="auto"/>
          <w:kern w:val="0"/>
          <w:sz w:val="24"/>
          <w:szCs w:val="24"/>
          <w:lang w:eastAsia="en-US"/>
        </w:rPr>
        <w:footnoteReference w:id="129"/>
      </w:r>
      <w:r w:rsidR="006F7CA6">
        <w:rPr>
          <w:rFonts w:asciiTheme="majorHAnsi" w:eastAsia="Calibri" w:hAnsiTheme="majorHAnsi" w:cstheme="majorHAnsi"/>
          <w:b/>
          <w:color w:val="auto"/>
          <w:kern w:val="0"/>
          <w:sz w:val="24"/>
          <w:szCs w:val="24"/>
          <w:lang w:eastAsia="en-US"/>
        </w:rPr>
        <w:t xml:space="preserve">, </w:t>
      </w:r>
      <w:r w:rsidRPr="00CB681C">
        <w:rPr>
          <w:rFonts w:asciiTheme="majorHAnsi" w:eastAsia="Calibri" w:hAnsiTheme="majorHAnsi" w:cstheme="majorHAnsi"/>
          <w:b/>
          <w:color w:val="auto"/>
          <w:kern w:val="0"/>
          <w:sz w:val="24"/>
          <w:szCs w:val="24"/>
          <w:lang w:eastAsia="en-US"/>
        </w:rPr>
        <w:t>nediskriminacije, uključ</w:t>
      </w:r>
      <w:r w:rsidR="006F7CA6">
        <w:rPr>
          <w:rFonts w:asciiTheme="majorHAnsi" w:eastAsia="Calibri" w:hAnsiTheme="majorHAnsi" w:cstheme="majorHAnsi"/>
          <w:b/>
          <w:color w:val="auto"/>
          <w:kern w:val="0"/>
          <w:sz w:val="24"/>
          <w:szCs w:val="24"/>
          <w:lang w:eastAsia="en-US"/>
        </w:rPr>
        <w:t xml:space="preserve">enosti </w:t>
      </w:r>
      <w:r w:rsidRPr="00CB681C">
        <w:rPr>
          <w:rFonts w:asciiTheme="majorHAnsi" w:eastAsia="Calibri" w:hAnsiTheme="majorHAnsi" w:cstheme="majorHAnsi"/>
          <w:b/>
          <w:color w:val="auto"/>
          <w:kern w:val="0"/>
          <w:sz w:val="24"/>
          <w:szCs w:val="24"/>
          <w:lang w:eastAsia="en-US"/>
        </w:rPr>
        <w:t>i jednakih mogućnosti na radnom mjestu.</w:t>
      </w:r>
      <w:r w:rsidR="000E69C4">
        <w:rPr>
          <w:rFonts w:asciiTheme="majorHAnsi" w:eastAsia="Calibri" w:hAnsiTheme="majorHAnsi" w:cstheme="majorHAnsi"/>
          <w:color w:val="auto"/>
          <w:kern w:val="0"/>
          <w:sz w:val="24"/>
          <w:szCs w:val="24"/>
          <w:lang w:eastAsia="en-US"/>
        </w:rPr>
        <w:tab/>
      </w:r>
    </w:p>
    <w:p w:rsidR="00CB681C" w:rsidRDefault="007213A5" w:rsidP="00F9563F">
      <w:pPr>
        <w:autoSpaceDE w:val="0"/>
        <w:autoSpaceDN w:val="0"/>
        <w:adjustRightInd w:val="0"/>
        <w:spacing w:before="60" w:after="60" w:line="240" w:lineRule="auto"/>
        <w:ind w:right="-450"/>
        <w:jc w:val="both"/>
        <w:rPr>
          <w:rFonts w:asciiTheme="majorHAnsi" w:hAnsiTheme="majorHAnsi" w:cstheme="majorHAnsi"/>
          <w:b/>
          <w:color w:val="auto"/>
          <w:sz w:val="24"/>
          <w:szCs w:val="24"/>
        </w:rPr>
      </w:pPr>
      <w:r w:rsidRPr="00CB681C">
        <w:rPr>
          <w:rFonts w:asciiTheme="majorHAnsi" w:hAnsiTheme="majorHAnsi" w:cstheme="majorHAnsi"/>
          <w:color w:val="auto"/>
          <w:sz w:val="24"/>
          <w:szCs w:val="24"/>
        </w:rPr>
        <w:t>Ustav Crne Gore, najviši pravni akt u državi</w:t>
      </w:r>
      <w:r w:rsidR="000C6619" w:rsidRPr="00CB681C">
        <w:rPr>
          <w:rFonts w:asciiTheme="majorHAnsi" w:hAnsiTheme="majorHAnsi" w:cstheme="majorHAnsi"/>
          <w:color w:val="auto"/>
          <w:sz w:val="24"/>
          <w:szCs w:val="24"/>
        </w:rPr>
        <w:t>,</w:t>
      </w:r>
      <w:r w:rsidRPr="00CB681C">
        <w:rPr>
          <w:rStyle w:val="FootnoteReference"/>
          <w:rFonts w:asciiTheme="majorHAnsi" w:hAnsiTheme="majorHAnsi" w:cstheme="majorHAnsi"/>
          <w:color w:val="auto"/>
          <w:sz w:val="24"/>
          <w:szCs w:val="24"/>
        </w:rPr>
        <w:footnoteReference w:id="130"/>
      </w:r>
      <w:r w:rsidRPr="00CB681C">
        <w:rPr>
          <w:rFonts w:asciiTheme="majorHAnsi" w:hAnsiTheme="majorHAnsi" w:cstheme="majorHAnsi"/>
          <w:color w:val="auto"/>
          <w:sz w:val="24"/>
          <w:szCs w:val="24"/>
        </w:rPr>
        <w:t xml:space="preserve"> Zakon o rodnoj ravnopravnosti</w:t>
      </w:r>
      <w:r w:rsidR="000C6619" w:rsidRPr="00CB681C">
        <w:rPr>
          <w:rFonts w:asciiTheme="majorHAnsi" w:hAnsiTheme="majorHAnsi" w:cstheme="majorHAnsi"/>
          <w:color w:val="auto"/>
          <w:sz w:val="24"/>
          <w:szCs w:val="24"/>
        </w:rPr>
        <w:t>,</w:t>
      </w:r>
      <w:r w:rsidRPr="00CB681C">
        <w:rPr>
          <w:rStyle w:val="FootnoteReference"/>
          <w:rFonts w:asciiTheme="majorHAnsi" w:hAnsiTheme="majorHAnsi" w:cstheme="majorHAnsi"/>
          <w:color w:val="auto"/>
          <w:sz w:val="24"/>
          <w:szCs w:val="24"/>
        </w:rPr>
        <w:footnoteReference w:id="131"/>
      </w:r>
      <w:r w:rsidRPr="00CB681C">
        <w:rPr>
          <w:rFonts w:asciiTheme="majorHAnsi" w:hAnsiTheme="majorHAnsi" w:cstheme="majorHAnsi"/>
          <w:color w:val="auto"/>
          <w:sz w:val="24"/>
          <w:szCs w:val="24"/>
        </w:rPr>
        <w:t xml:space="preserve"> Zakon o zabrani diskriminacije</w:t>
      </w:r>
      <w:r w:rsidR="000C6619" w:rsidRPr="00CB681C">
        <w:rPr>
          <w:rFonts w:asciiTheme="majorHAnsi" w:hAnsiTheme="majorHAnsi" w:cstheme="majorHAnsi"/>
          <w:color w:val="auto"/>
          <w:sz w:val="24"/>
          <w:szCs w:val="24"/>
        </w:rPr>
        <w:t>,</w:t>
      </w:r>
      <w:r w:rsidRPr="00CB681C">
        <w:rPr>
          <w:rStyle w:val="FootnoteReference"/>
          <w:rFonts w:asciiTheme="majorHAnsi" w:hAnsiTheme="majorHAnsi" w:cstheme="majorHAnsi"/>
          <w:color w:val="auto"/>
          <w:sz w:val="24"/>
          <w:szCs w:val="24"/>
        </w:rPr>
        <w:footnoteReference w:id="132"/>
      </w:r>
      <w:r w:rsidRPr="00CB681C">
        <w:rPr>
          <w:rFonts w:asciiTheme="majorHAnsi" w:hAnsiTheme="majorHAnsi" w:cstheme="majorHAnsi"/>
          <w:color w:val="auto"/>
          <w:sz w:val="24"/>
          <w:szCs w:val="24"/>
        </w:rPr>
        <w:t xml:space="preserve"> čine normativnu osnovu u kojima se definišu pitanja rodne ravnopravnosti u pravnom sistemu Crne Gore. </w:t>
      </w:r>
      <w:r w:rsidR="009F6ADA" w:rsidRPr="00CB681C">
        <w:rPr>
          <w:rFonts w:asciiTheme="majorHAnsi" w:hAnsiTheme="majorHAnsi" w:cstheme="majorHAnsi"/>
          <w:color w:val="auto"/>
          <w:sz w:val="24"/>
          <w:szCs w:val="24"/>
        </w:rPr>
        <w:t>Crna Gora je učestvovala na međunarodnoj konferenciji »Cultural Diversity, Civil Society and International Cultural Cooperation in South-East Europe« i odvija se više aktivnosti u vezi sa antidiskriminacijom, ali ne i u vezi sa raznolikošću. </w:t>
      </w:r>
      <w:r w:rsidR="009F6ADA" w:rsidRPr="00CB681C">
        <w:rPr>
          <w:rFonts w:asciiTheme="majorHAnsi" w:hAnsiTheme="majorHAnsi" w:cstheme="majorHAnsi"/>
          <w:b/>
          <w:color w:val="auto"/>
          <w:sz w:val="24"/>
          <w:szCs w:val="24"/>
        </w:rPr>
        <w:t>U predhodnom period</w:t>
      </w:r>
      <w:r w:rsidR="003864B2" w:rsidRPr="00CB681C">
        <w:rPr>
          <w:rFonts w:asciiTheme="majorHAnsi" w:hAnsiTheme="majorHAnsi" w:cstheme="majorHAnsi"/>
          <w:b/>
          <w:color w:val="auto"/>
          <w:sz w:val="24"/>
          <w:szCs w:val="24"/>
        </w:rPr>
        <w:t>u</w:t>
      </w:r>
      <w:r w:rsidR="009F6ADA" w:rsidRPr="00CB681C">
        <w:rPr>
          <w:rFonts w:asciiTheme="majorHAnsi" w:hAnsiTheme="majorHAnsi" w:cstheme="majorHAnsi"/>
          <w:b/>
          <w:color w:val="auto"/>
          <w:sz w:val="24"/>
          <w:szCs w:val="24"/>
        </w:rPr>
        <w:t xml:space="preserve"> više se radilo na inkluzivnosti, rodnoj ravnopravnosti, manjinskih i marginalizovanih grupa – Roma i Egipćana, osoba sa invliditetom. Rodnoj ravnopravnosti je posvećeno dosta pažnje i napravljeni su značajni pomaci.</w:t>
      </w:r>
    </w:p>
    <w:p w:rsidR="006F7CA6" w:rsidRPr="00F9563F" w:rsidRDefault="006F7CA6" w:rsidP="00F9563F">
      <w:pPr>
        <w:pStyle w:val="Default"/>
        <w:spacing w:before="60" w:after="60"/>
        <w:ind w:right="-471"/>
        <w:jc w:val="both"/>
        <w:rPr>
          <w:rFonts w:asciiTheme="majorHAnsi" w:hAnsiTheme="majorHAnsi" w:cstheme="majorHAnsi"/>
          <w:color w:val="auto"/>
          <w:sz w:val="22"/>
          <w:szCs w:val="22"/>
        </w:rPr>
      </w:pPr>
      <w:r w:rsidRPr="00BC60FF">
        <w:rPr>
          <w:rFonts w:asciiTheme="majorHAnsi" w:hAnsiTheme="majorHAnsi" w:cstheme="majorHAnsi"/>
          <w:color w:val="auto"/>
          <w:sz w:val="22"/>
          <w:szCs w:val="22"/>
        </w:rPr>
        <w:t>Prepoznate aktivnosti u dijelu rodne radnopravnosi u javnoj upravi, prožimaju se kroz sve strateške ciljeve i fokusiraju se na</w:t>
      </w:r>
      <w:r w:rsidR="00BC60FF" w:rsidRPr="00BC60FF">
        <w:rPr>
          <w:rFonts w:asciiTheme="majorHAnsi" w:hAnsiTheme="majorHAnsi" w:cstheme="majorHAnsi"/>
          <w:color w:val="auto"/>
          <w:sz w:val="22"/>
          <w:szCs w:val="22"/>
        </w:rPr>
        <w:t xml:space="preserve"> niz aktivnosti koje treba da doprinesu primjeni i promociiji ovog standarda. </w:t>
      </w:r>
      <w:r w:rsidRPr="00BC60FF">
        <w:rPr>
          <w:rFonts w:asciiTheme="majorHAnsi" w:hAnsiTheme="majorHAnsi" w:cstheme="majorHAnsi"/>
          <w:color w:val="auto"/>
          <w:sz w:val="22"/>
          <w:szCs w:val="22"/>
        </w:rPr>
        <w:t xml:space="preserve"> </w:t>
      </w:r>
    </w:p>
    <w:p w:rsidR="007213A5" w:rsidRPr="00CB681C" w:rsidRDefault="007213A5" w:rsidP="00554AEB">
      <w:pPr>
        <w:spacing w:before="60" w:after="60" w:line="240" w:lineRule="auto"/>
        <w:ind w:right="-450"/>
        <w:jc w:val="both"/>
        <w:rPr>
          <w:rFonts w:asciiTheme="majorHAnsi" w:hAnsiTheme="majorHAnsi" w:cstheme="majorHAnsi"/>
          <w:b/>
          <w:color w:val="auto"/>
          <w:kern w:val="0"/>
          <w:sz w:val="24"/>
          <w:szCs w:val="24"/>
          <w:lang w:eastAsia="en-US"/>
        </w:rPr>
      </w:pPr>
      <w:r w:rsidRPr="00CB681C">
        <w:rPr>
          <w:rFonts w:asciiTheme="majorHAnsi" w:hAnsiTheme="majorHAnsi" w:cstheme="majorHAnsi"/>
          <w:color w:val="auto"/>
          <w:sz w:val="24"/>
          <w:szCs w:val="24"/>
        </w:rPr>
        <w:t>Demografske prom</w:t>
      </w:r>
      <w:r w:rsidR="006F7CA6">
        <w:rPr>
          <w:rFonts w:asciiTheme="majorHAnsi" w:hAnsiTheme="majorHAnsi" w:cstheme="majorHAnsi"/>
          <w:color w:val="auto"/>
          <w:sz w:val="24"/>
          <w:szCs w:val="24"/>
        </w:rPr>
        <w:t>j</w:t>
      </w:r>
      <w:r w:rsidRPr="00CB681C">
        <w:rPr>
          <w:rFonts w:asciiTheme="majorHAnsi" w:hAnsiTheme="majorHAnsi" w:cstheme="majorHAnsi"/>
          <w:color w:val="auto"/>
          <w:sz w:val="24"/>
          <w:szCs w:val="24"/>
        </w:rPr>
        <w:t>ene (povećana mobilnost, starenje stanovništva, migracije)</w:t>
      </w:r>
      <w:r w:rsidR="000C6619" w:rsidRPr="00CB681C">
        <w:rPr>
          <w:rFonts w:asciiTheme="majorHAnsi" w:hAnsiTheme="majorHAnsi" w:cstheme="majorHAnsi"/>
          <w:color w:val="auto"/>
          <w:sz w:val="24"/>
          <w:szCs w:val="24"/>
        </w:rPr>
        <w:t>,</w:t>
      </w:r>
      <w:r w:rsidRPr="00CB681C">
        <w:rPr>
          <w:rFonts w:asciiTheme="majorHAnsi" w:hAnsiTheme="majorHAnsi" w:cstheme="majorHAnsi"/>
          <w:color w:val="auto"/>
          <w:sz w:val="24"/>
          <w:szCs w:val="24"/>
        </w:rPr>
        <w:t xml:space="preserve"> prom</w:t>
      </w:r>
      <w:r w:rsidR="00C00385">
        <w:rPr>
          <w:rFonts w:asciiTheme="majorHAnsi" w:hAnsiTheme="majorHAnsi" w:cstheme="majorHAnsi"/>
          <w:color w:val="auto"/>
          <w:sz w:val="24"/>
          <w:szCs w:val="24"/>
        </w:rPr>
        <w:t>j</w:t>
      </w:r>
      <w:r w:rsidRPr="00CB681C">
        <w:rPr>
          <w:rFonts w:asciiTheme="majorHAnsi" w:hAnsiTheme="majorHAnsi" w:cstheme="majorHAnsi"/>
          <w:color w:val="auto"/>
          <w:sz w:val="24"/>
          <w:szCs w:val="24"/>
        </w:rPr>
        <w:t>enljivi tržišni uslovi i faktori globalizacije doprinose rastućoj raznolikosti radne snage unutar organizacija i na tržištu rada. Postoji velika v</w:t>
      </w:r>
      <w:r w:rsidR="00B3583E">
        <w:rPr>
          <w:rFonts w:asciiTheme="majorHAnsi" w:hAnsiTheme="majorHAnsi" w:cstheme="majorHAnsi"/>
          <w:color w:val="auto"/>
          <w:sz w:val="24"/>
          <w:szCs w:val="24"/>
        </w:rPr>
        <w:t>j</w:t>
      </w:r>
      <w:r w:rsidRPr="00CB681C">
        <w:rPr>
          <w:rFonts w:asciiTheme="majorHAnsi" w:hAnsiTheme="majorHAnsi" w:cstheme="majorHAnsi"/>
          <w:color w:val="auto"/>
          <w:sz w:val="24"/>
          <w:szCs w:val="24"/>
        </w:rPr>
        <w:t xml:space="preserve">erovatnoća da će zaposleni na poslu naići na različite potrebe, vrijednosti, motivaciju, različite doprinose i načine izgradnje odnosa. </w:t>
      </w:r>
      <w:r w:rsidRPr="00CB681C">
        <w:rPr>
          <w:rFonts w:asciiTheme="majorHAnsi" w:hAnsiTheme="majorHAnsi" w:cstheme="majorHAnsi"/>
          <w:b/>
          <w:color w:val="auto"/>
          <w:sz w:val="24"/>
          <w:szCs w:val="24"/>
        </w:rPr>
        <w:t>Raznolikost je više od pola, starosti ili rase pojedinca.  Različitost, uključivanje i jednakost oduv</w:t>
      </w:r>
      <w:r w:rsidR="00B3583E">
        <w:rPr>
          <w:rFonts w:asciiTheme="majorHAnsi" w:hAnsiTheme="majorHAnsi" w:cstheme="majorHAnsi"/>
          <w:b/>
          <w:color w:val="auto"/>
          <w:sz w:val="24"/>
          <w:szCs w:val="24"/>
        </w:rPr>
        <w:t>j</w:t>
      </w:r>
      <w:r w:rsidRPr="00CB681C">
        <w:rPr>
          <w:rFonts w:asciiTheme="majorHAnsi" w:hAnsiTheme="majorHAnsi" w:cstheme="majorHAnsi"/>
          <w:b/>
          <w:color w:val="auto"/>
          <w:sz w:val="24"/>
          <w:szCs w:val="24"/>
        </w:rPr>
        <w:t xml:space="preserve">ek su bili izvor napretka i razvoja pravednijeg društva. </w:t>
      </w:r>
    </w:p>
    <w:p w:rsidR="009F6ADA" w:rsidRPr="00CB681C" w:rsidRDefault="007213A5" w:rsidP="00554AEB">
      <w:pPr>
        <w:spacing w:before="60" w:after="60" w:line="240" w:lineRule="auto"/>
        <w:ind w:right="-450"/>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Kako do sada nije postojao širi koncept raznolikosti, </w:t>
      </w:r>
      <w:r w:rsidR="000C6619" w:rsidRPr="00CB681C">
        <w:rPr>
          <w:rFonts w:asciiTheme="majorHAnsi" w:hAnsiTheme="majorHAnsi" w:cstheme="majorHAnsi"/>
          <w:color w:val="auto"/>
          <w:sz w:val="24"/>
          <w:szCs w:val="24"/>
        </w:rPr>
        <w:t>S</w:t>
      </w:r>
      <w:r w:rsidRPr="00CB681C">
        <w:rPr>
          <w:rFonts w:asciiTheme="majorHAnsi" w:hAnsiTheme="majorHAnsi" w:cstheme="majorHAnsi"/>
          <w:color w:val="auto"/>
          <w:sz w:val="24"/>
          <w:szCs w:val="24"/>
        </w:rPr>
        <w:t xml:space="preserve">trategija će </w:t>
      </w:r>
      <w:r w:rsidR="00B3583E">
        <w:rPr>
          <w:rFonts w:asciiTheme="majorHAnsi" w:hAnsiTheme="majorHAnsi" w:cstheme="majorHAnsi"/>
          <w:color w:val="auto"/>
          <w:sz w:val="24"/>
          <w:szCs w:val="24"/>
        </w:rPr>
        <w:t xml:space="preserve">se </w:t>
      </w:r>
      <w:r w:rsidRPr="00CB681C">
        <w:rPr>
          <w:rFonts w:asciiTheme="majorHAnsi" w:hAnsiTheme="majorHAnsi" w:cstheme="majorHAnsi"/>
          <w:color w:val="auto"/>
          <w:sz w:val="24"/>
          <w:szCs w:val="24"/>
        </w:rPr>
        <w:t>baviti ovom temom kao horizontaln</w:t>
      </w:r>
      <w:r w:rsidR="000C6619" w:rsidRPr="00CB681C">
        <w:rPr>
          <w:rFonts w:asciiTheme="majorHAnsi" w:hAnsiTheme="majorHAnsi" w:cstheme="majorHAnsi"/>
          <w:color w:val="auto"/>
          <w:sz w:val="24"/>
          <w:szCs w:val="24"/>
        </w:rPr>
        <w:t>i</w:t>
      </w:r>
      <w:r w:rsidRPr="00CB681C">
        <w:rPr>
          <w:rFonts w:asciiTheme="majorHAnsi" w:hAnsiTheme="majorHAnsi" w:cstheme="majorHAnsi"/>
          <w:color w:val="auto"/>
          <w:sz w:val="24"/>
          <w:szCs w:val="24"/>
        </w:rPr>
        <w:t>m pitanj</w:t>
      </w:r>
      <w:r w:rsidR="000C6619" w:rsidRPr="00CB681C">
        <w:rPr>
          <w:rFonts w:asciiTheme="majorHAnsi" w:hAnsiTheme="majorHAnsi" w:cstheme="majorHAnsi"/>
          <w:color w:val="auto"/>
          <w:sz w:val="24"/>
          <w:szCs w:val="24"/>
        </w:rPr>
        <w:t>em</w:t>
      </w:r>
      <w:r w:rsidRPr="00CB681C">
        <w:rPr>
          <w:rFonts w:asciiTheme="majorHAnsi" w:hAnsiTheme="majorHAnsi" w:cstheme="majorHAnsi"/>
          <w:color w:val="auto"/>
          <w:sz w:val="24"/>
          <w:szCs w:val="24"/>
        </w:rPr>
        <w:t>. Koncept različitosti odnosi se na poštovanj</w:t>
      </w:r>
      <w:r w:rsidR="009F6ADA" w:rsidRPr="00CB681C">
        <w:rPr>
          <w:rFonts w:asciiTheme="majorHAnsi" w:hAnsiTheme="majorHAnsi" w:cstheme="majorHAnsi"/>
          <w:color w:val="auto"/>
          <w:sz w:val="24"/>
          <w:szCs w:val="24"/>
        </w:rPr>
        <w:t>e vrijednosti raznolikosti, nediskriminacije i jednakih mogućnosti</w:t>
      </w:r>
      <w:r w:rsidRPr="00CB681C">
        <w:rPr>
          <w:rFonts w:asciiTheme="majorHAnsi" w:hAnsiTheme="majorHAnsi" w:cstheme="majorHAnsi"/>
          <w:color w:val="auto"/>
          <w:sz w:val="24"/>
          <w:szCs w:val="24"/>
        </w:rPr>
        <w:t xml:space="preserve"> u odnosu na svakog pojedinca.</w:t>
      </w:r>
      <w:r w:rsidR="000C6619" w:rsidRPr="00CB681C">
        <w:rPr>
          <w:rFonts w:asciiTheme="majorHAnsi" w:hAnsiTheme="majorHAnsi" w:cstheme="majorHAnsi"/>
          <w:color w:val="auto"/>
          <w:sz w:val="24"/>
          <w:szCs w:val="24"/>
        </w:rPr>
        <w:t xml:space="preserve"> </w:t>
      </w:r>
    </w:p>
    <w:p w:rsidR="007213A5" w:rsidRDefault="007213A5" w:rsidP="00CB681C">
      <w:pPr>
        <w:spacing w:before="60" w:after="60" w:line="240" w:lineRule="auto"/>
        <w:ind w:right="-450"/>
        <w:jc w:val="both"/>
        <w:rPr>
          <w:rFonts w:asciiTheme="majorHAnsi" w:hAnsiTheme="majorHAnsi" w:cstheme="majorHAnsi"/>
          <w:color w:val="auto"/>
          <w:sz w:val="24"/>
          <w:szCs w:val="24"/>
          <w:highlight w:val="yellow"/>
        </w:rPr>
      </w:pPr>
      <w:r w:rsidRPr="00CB681C">
        <w:rPr>
          <w:rFonts w:asciiTheme="majorHAnsi" w:hAnsiTheme="majorHAnsi" w:cstheme="majorHAnsi"/>
          <w:color w:val="auto"/>
          <w:sz w:val="24"/>
          <w:szCs w:val="24"/>
        </w:rPr>
        <w:t xml:space="preserve">Ciljevi Strategije će biti usmjereni da se stvori koherentna politika raznolikosti koja će stvoriti inkluzivno okruženje i dati svim zaposlenima priliku da se osećaju uključeno, poštovano i cijenjeno. To znači da se politika upravljanja ljudskim resursima fokusirati na prepoznavanje i poštovanje vještina pojedinca, a ne na karakteristike pojedinca koje mogu biti osnov za diskriminaciju. </w:t>
      </w:r>
    </w:p>
    <w:p w:rsidR="00BC60FF" w:rsidRDefault="000078E3" w:rsidP="00D376EC">
      <w:pPr>
        <w:spacing w:before="60" w:after="60" w:line="240" w:lineRule="auto"/>
        <w:ind w:right="-450"/>
        <w:jc w:val="both"/>
        <w:rPr>
          <w:rFonts w:asciiTheme="majorHAnsi" w:hAnsiTheme="majorHAnsi" w:cstheme="majorHAnsi"/>
          <w:color w:val="auto"/>
          <w:sz w:val="24"/>
          <w:szCs w:val="24"/>
        </w:rPr>
      </w:pPr>
      <w:bookmarkStart w:id="66" w:name="_Toc87304788"/>
      <w:r w:rsidRPr="00B3583E">
        <w:rPr>
          <w:rFonts w:asciiTheme="majorHAnsi" w:hAnsiTheme="majorHAnsi" w:cstheme="majorHAnsi"/>
          <w:color w:val="auto"/>
          <w:sz w:val="24"/>
          <w:szCs w:val="24"/>
        </w:rPr>
        <w:lastRenderedPageBreak/>
        <w:t>Angažovanje građana i učešće javnosti</w:t>
      </w:r>
      <w:r w:rsidR="00BC60FF">
        <w:rPr>
          <w:rFonts w:asciiTheme="majorHAnsi" w:hAnsiTheme="majorHAnsi" w:cstheme="majorHAnsi"/>
          <w:color w:val="auto"/>
          <w:sz w:val="24"/>
          <w:szCs w:val="24"/>
        </w:rPr>
        <w:t xml:space="preserve"> </w:t>
      </w:r>
      <w:r w:rsidR="00BC60FF" w:rsidRPr="00D376EC">
        <w:rPr>
          <w:rFonts w:asciiTheme="majorHAnsi" w:hAnsiTheme="majorHAnsi" w:cstheme="majorHAnsi"/>
          <w:b/>
          <w:color w:val="auto"/>
          <w:sz w:val="24"/>
          <w:szCs w:val="24"/>
        </w:rPr>
        <w:t>( inkluzija)</w:t>
      </w:r>
      <w:r w:rsidR="00BC60FF">
        <w:rPr>
          <w:rFonts w:asciiTheme="majorHAnsi" w:hAnsiTheme="majorHAnsi" w:cstheme="majorHAnsi"/>
          <w:color w:val="auto"/>
          <w:sz w:val="24"/>
          <w:szCs w:val="24"/>
        </w:rPr>
        <w:t xml:space="preserve"> u svim segmentima rada javne uprave</w:t>
      </w:r>
      <w:r w:rsidRPr="00B3583E">
        <w:rPr>
          <w:rFonts w:asciiTheme="majorHAnsi" w:hAnsiTheme="majorHAnsi" w:cstheme="majorHAnsi"/>
          <w:color w:val="auto"/>
          <w:sz w:val="24"/>
          <w:szCs w:val="24"/>
        </w:rPr>
        <w:t xml:space="preserve"> postaje važnije nego ikad. </w:t>
      </w:r>
      <w:bookmarkStart w:id="67" w:name="_Toc87304789"/>
      <w:bookmarkEnd w:id="66"/>
      <w:r w:rsidRPr="00B3583E">
        <w:rPr>
          <w:rFonts w:asciiTheme="majorHAnsi" w:hAnsiTheme="majorHAnsi" w:cstheme="majorHAnsi"/>
          <w:color w:val="auto"/>
          <w:sz w:val="24"/>
          <w:szCs w:val="24"/>
        </w:rPr>
        <w:t>Kroz ovaj strateški dokument princip inkluzivnosti se prožima kroz sve strateške ciljeve i</w:t>
      </w:r>
      <w:r w:rsidR="00BC60FF">
        <w:rPr>
          <w:rFonts w:asciiTheme="majorHAnsi" w:hAnsiTheme="majorHAnsi" w:cstheme="majorHAnsi"/>
          <w:color w:val="auto"/>
          <w:sz w:val="24"/>
          <w:szCs w:val="24"/>
        </w:rPr>
        <w:t xml:space="preserve"> uključuje uključivanje svih</w:t>
      </w:r>
      <w:r w:rsidRPr="00B3583E">
        <w:rPr>
          <w:rFonts w:asciiTheme="majorHAnsi" w:hAnsiTheme="majorHAnsi" w:cstheme="majorHAnsi"/>
          <w:color w:val="auto"/>
          <w:sz w:val="24"/>
          <w:szCs w:val="24"/>
        </w:rPr>
        <w:t xml:space="preserve"> zainteresovanih u procese</w:t>
      </w:r>
      <w:r w:rsidR="00BC60FF">
        <w:rPr>
          <w:rFonts w:asciiTheme="majorHAnsi" w:hAnsiTheme="majorHAnsi" w:cstheme="majorHAnsi"/>
          <w:color w:val="auto"/>
          <w:sz w:val="24"/>
          <w:szCs w:val="24"/>
        </w:rPr>
        <w:t xml:space="preserve"> počev od njihve pripreme do implemtacije. </w:t>
      </w:r>
      <w:r w:rsidRPr="00B3583E">
        <w:rPr>
          <w:rFonts w:asciiTheme="majorHAnsi" w:hAnsiTheme="majorHAnsi" w:cstheme="majorHAnsi"/>
          <w:color w:val="auto"/>
          <w:sz w:val="24"/>
          <w:szCs w:val="24"/>
        </w:rPr>
        <w:t xml:space="preserve"> </w:t>
      </w:r>
      <w:bookmarkEnd w:id="67"/>
    </w:p>
    <w:p w:rsidR="000078E3" w:rsidRPr="00B3583E" w:rsidRDefault="00B62F47" w:rsidP="00D376EC">
      <w:pPr>
        <w:spacing w:before="60" w:after="60" w:line="240" w:lineRule="auto"/>
        <w:ind w:right="-450"/>
        <w:jc w:val="both"/>
        <w:rPr>
          <w:rFonts w:asciiTheme="majorHAnsi" w:hAnsiTheme="majorHAnsi" w:cstheme="majorHAnsi"/>
          <w:color w:val="auto"/>
          <w:sz w:val="24"/>
          <w:szCs w:val="24"/>
        </w:rPr>
      </w:pPr>
      <w:r>
        <w:rPr>
          <w:rFonts w:asciiTheme="majorHAnsi" w:hAnsiTheme="majorHAnsi" w:cstheme="majorHAnsi"/>
          <w:color w:val="auto"/>
          <w:sz w:val="24"/>
          <w:szCs w:val="24"/>
        </w:rPr>
        <w:t>Takođe, k</w:t>
      </w:r>
      <w:r w:rsidRPr="00B3583E">
        <w:rPr>
          <w:rFonts w:asciiTheme="majorHAnsi" w:hAnsiTheme="majorHAnsi" w:cstheme="majorHAnsi"/>
          <w:color w:val="auto"/>
          <w:sz w:val="24"/>
          <w:szCs w:val="24"/>
        </w:rPr>
        <w:t xml:space="preserve">ako bi postigla ciljeve veće otvorenosti i upravu učinila efikasnijom, Vlada Crne Gore je </w:t>
      </w:r>
      <w:r>
        <w:rPr>
          <w:rFonts w:asciiTheme="majorHAnsi" w:hAnsiTheme="majorHAnsi" w:cstheme="majorHAnsi"/>
          <w:color w:val="auto"/>
          <w:sz w:val="24"/>
          <w:szCs w:val="24"/>
        </w:rPr>
        <w:t>pristupila</w:t>
      </w:r>
      <w:r w:rsidRPr="00B3583E">
        <w:rPr>
          <w:rFonts w:asciiTheme="majorHAnsi" w:hAnsiTheme="majorHAnsi" w:cstheme="majorHAnsi"/>
          <w:color w:val="auto"/>
          <w:sz w:val="24"/>
          <w:szCs w:val="24"/>
        </w:rPr>
        <w:t xml:space="preserve"> Partnerstvu za otvorenu upravu (OGP)</w:t>
      </w:r>
      <w:r>
        <w:rPr>
          <w:rFonts w:asciiTheme="majorHAnsi" w:hAnsiTheme="majorHAnsi" w:cstheme="majorHAnsi"/>
          <w:color w:val="auto"/>
          <w:sz w:val="24"/>
          <w:szCs w:val="24"/>
        </w:rPr>
        <w:t xml:space="preserve">. </w:t>
      </w:r>
      <w:r w:rsidRPr="00B3583E">
        <w:rPr>
          <w:rFonts w:asciiTheme="majorHAnsi" w:hAnsiTheme="majorHAnsi" w:cstheme="majorHAnsi"/>
          <w:color w:val="auto"/>
          <w:sz w:val="24"/>
          <w:szCs w:val="24"/>
        </w:rPr>
        <w:t>Učešćem u ovoj inicijativi, Crna Gora se usmjerila na pet ključnih obaveza: poboljšanje javnih usluga, učešće građana, pristup informacijama – otvorenost organa državne uprave, efikasnije upravljanje javnim resursima i povećanje javnog integriteta. Proces konsultacija sa civilnim društvom u izradi Nacionalnog akcionog plana sproveden je u skladu sa standardima koje je propisao Sekretarijat OGP-a.</w:t>
      </w:r>
    </w:p>
    <w:p w:rsidR="000078E3" w:rsidRPr="00B3583E" w:rsidRDefault="00B62F47" w:rsidP="00D376EC">
      <w:pPr>
        <w:spacing w:before="60" w:after="60" w:line="240" w:lineRule="auto"/>
        <w:ind w:right="-450"/>
        <w:jc w:val="both"/>
        <w:rPr>
          <w:rFonts w:asciiTheme="majorHAnsi" w:hAnsiTheme="majorHAnsi" w:cstheme="majorHAnsi"/>
          <w:color w:val="auto"/>
          <w:sz w:val="24"/>
          <w:szCs w:val="24"/>
        </w:rPr>
      </w:pPr>
      <w:bookmarkStart w:id="68" w:name="_Toc87304790"/>
      <w:r>
        <w:rPr>
          <w:rFonts w:asciiTheme="majorHAnsi" w:hAnsiTheme="majorHAnsi" w:cstheme="majorHAnsi"/>
          <w:color w:val="auto"/>
          <w:sz w:val="24"/>
          <w:szCs w:val="24"/>
        </w:rPr>
        <w:t>S tim u vezi, p</w:t>
      </w:r>
      <w:r w:rsidR="000078E3" w:rsidRPr="00B3583E">
        <w:rPr>
          <w:rFonts w:asciiTheme="majorHAnsi" w:hAnsiTheme="majorHAnsi" w:cstheme="majorHAnsi"/>
          <w:color w:val="auto"/>
          <w:sz w:val="24"/>
          <w:szCs w:val="24"/>
        </w:rPr>
        <w:t xml:space="preserve">oseban fokus će biti stavljen na primjeni standarda inkluzivnosti u kreiranja politika prilikom definisanja usluga za potrebe građana, u cilju njihovog optimalnog korisničkog iskustva, gdje će </w:t>
      </w:r>
      <w:r>
        <w:rPr>
          <w:rFonts w:asciiTheme="majorHAnsi" w:hAnsiTheme="majorHAnsi" w:cstheme="majorHAnsi"/>
          <w:color w:val="auto"/>
          <w:sz w:val="24"/>
          <w:szCs w:val="24"/>
        </w:rPr>
        <w:t>se koristiti</w:t>
      </w:r>
      <w:r w:rsidR="000078E3" w:rsidRPr="00B3583E">
        <w:rPr>
          <w:rFonts w:asciiTheme="majorHAnsi" w:hAnsiTheme="majorHAnsi" w:cstheme="majorHAnsi"/>
          <w:color w:val="auto"/>
          <w:sz w:val="24"/>
          <w:szCs w:val="24"/>
        </w:rPr>
        <w:t xml:space="preserve"> kvalitativna i kvantitativna istraživanja</w:t>
      </w:r>
      <w:r>
        <w:rPr>
          <w:rFonts w:asciiTheme="majorHAnsi" w:hAnsiTheme="majorHAnsi" w:cstheme="majorHAnsi"/>
          <w:color w:val="auto"/>
          <w:sz w:val="24"/>
          <w:szCs w:val="24"/>
        </w:rPr>
        <w:t xml:space="preserve"> koja će</w:t>
      </w:r>
      <w:r w:rsidR="000078E3" w:rsidRPr="00B3583E">
        <w:rPr>
          <w:rFonts w:asciiTheme="majorHAnsi" w:hAnsiTheme="majorHAnsi" w:cstheme="majorHAnsi"/>
          <w:color w:val="auto"/>
          <w:sz w:val="24"/>
          <w:szCs w:val="24"/>
        </w:rPr>
        <w:t xml:space="preserve"> poslužiti kao osnova za za djelovanje organa javne uprave i odredjivanja pravaca za unapredjenje stanja u oblasti pružanja usluga.</w:t>
      </w:r>
      <w:bookmarkEnd w:id="68"/>
    </w:p>
    <w:p w:rsidR="00503D4E" w:rsidRPr="00CB681C" w:rsidRDefault="00465318" w:rsidP="00B43D4E">
      <w:pPr>
        <w:pStyle w:val="ListParagraph"/>
        <w:keepNext/>
        <w:keepLines/>
        <w:numPr>
          <w:ilvl w:val="0"/>
          <w:numId w:val="37"/>
        </w:numPr>
        <w:spacing w:before="240" w:after="240" w:line="240" w:lineRule="auto"/>
        <w:ind w:right="-450"/>
        <w:contextualSpacing w:val="0"/>
        <w:jc w:val="both"/>
        <w:outlineLvl w:val="2"/>
        <w:rPr>
          <w:rFonts w:asciiTheme="majorHAnsi" w:eastAsia="Calibri" w:hAnsiTheme="majorHAnsi" w:cstheme="majorHAnsi"/>
          <w:b/>
          <w:color w:val="auto"/>
          <w:kern w:val="0"/>
          <w:sz w:val="28"/>
          <w:szCs w:val="28"/>
        </w:rPr>
      </w:pPr>
      <w:bookmarkStart w:id="69" w:name="_Toc87353420"/>
      <w:r w:rsidRPr="00CB681C">
        <w:rPr>
          <w:rFonts w:asciiTheme="majorHAnsi" w:eastAsia="Calibri" w:hAnsiTheme="majorHAnsi" w:cstheme="majorHAnsi"/>
          <w:b/>
          <w:color w:val="auto"/>
          <w:kern w:val="0"/>
          <w:sz w:val="28"/>
          <w:szCs w:val="28"/>
        </w:rPr>
        <w:t>DIGITALIZACIJA</w:t>
      </w:r>
      <w:r w:rsidR="00A0336E" w:rsidRPr="00CB681C">
        <w:rPr>
          <w:rFonts w:asciiTheme="majorHAnsi" w:eastAsia="Calibri" w:hAnsiTheme="majorHAnsi" w:cstheme="majorHAnsi"/>
          <w:b/>
          <w:color w:val="auto"/>
          <w:kern w:val="0"/>
          <w:sz w:val="28"/>
          <w:szCs w:val="28"/>
        </w:rPr>
        <w:t xml:space="preserve"> U JAVNOJ UPRAVI</w:t>
      </w:r>
      <w:bookmarkEnd w:id="69"/>
    </w:p>
    <w:p w:rsidR="000A2C90" w:rsidRPr="00CB681C" w:rsidRDefault="000A2C90" w:rsidP="001014EF">
      <w:pPr>
        <w:spacing w:before="60" w:after="60" w:line="240" w:lineRule="auto"/>
        <w:ind w:right="-450"/>
        <w:jc w:val="both"/>
        <w:rPr>
          <w:rFonts w:asciiTheme="majorHAnsi" w:hAnsiTheme="majorHAnsi" w:cstheme="majorHAnsi"/>
          <w:color w:val="auto"/>
          <w:sz w:val="24"/>
          <w:szCs w:val="24"/>
        </w:rPr>
      </w:pPr>
      <w:r w:rsidRPr="00CB681C">
        <w:rPr>
          <w:rFonts w:asciiTheme="majorHAnsi" w:hAnsiTheme="majorHAnsi" w:cstheme="majorHAnsi"/>
          <w:b/>
          <w:color w:val="auto"/>
          <w:sz w:val="24"/>
          <w:szCs w:val="24"/>
        </w:rPr>
        <w:t xml:space="preserve">Strategija razvoja informacionog društva Crne Gore </w:t>
      </w:r>
      <w:r w:rsidR="00AC1056" w:rsidRPr="00CB681C">
        <w:rPr>
          <w:rFonts w:asciiTheme="majorHAnsi" w:hAnsiTheme="majorHAnsi" w:cstheme="majorHAnsi"/>
          <w:b/>
          <w:color w:val="auto"/>
          <w:sz w:val="24"/>
          <w:szCs w:val="24"/>
        </w:rPr>
        <w:t xml:space="preserve">od </w:t>
      </w:r>
      <w:r w:rsidRPr="00CB681C">
        <w:rPr>
          <w:rFonts w:asciiTheme="majorHAnsi" w:hAnsiTheme="majorHAnsi" w:cstheme="majorHAnsi"/>
          <w:b/>
          <w:color w:val="auto"/>
          <w:sz w:val="24"/>
          <w:szCs w:val="24"/>
        </w:rPr>
        <w:t>2016. do 2020. godine</w:t>
      </w:r>
      <w:r w:rsidRPr="00CB681C">
        <w:rPr>
          <w:rFonts w:asciiTheme="majorHAnsi" w:hAnsiTheme="majorHAnsi" w:cstheme="majorHAnsi"/>
          <w:color w:val="auto"/>
          <w:sz w:val="24"/>
          <w:szCs w:val="24"/>
        </w:rPr>
        <w:t>, čijim sprovođenjem su u okviru svojih nadležnosti, koordinirali Ministarstvo javne uprave, digitalnog društva i medija i Ministarstvo ekonomskog razvoja</w:t>
      </w:r>
      <w:r w:rsidR="00AC1056" w:rsidRPr="00CB681C">
        <w:rPr>
          <w:rFonts w:asciiTheme="majorHAnsi" w:hAnsiTheme="majorHAnsi" w:cstheme="majorHAnsi"/>
          <w:color w:val="auto"/>
          <w:sz w:val="24"/>
          <w:szCs w:val="24"/>
        </w:rPr>
        <w:t>,</w:t>
      </w:r>
      <w:r w:rsidRPr="00CB681C">
        <w:rPr>
          <w:rFonts w:asciiTheme="majorHAnsi" w:hAnsiTheme="majorHAnsi" w:cstheme="majorHAnsi"/>
          <w:color w:val="auto"/>
          <w:sz w:val="24"/>
          <w:szCs w:val="24"/>
        </w:rPr>
        <w:t xml:space="preserve"> </w:t>
      </w:r>
      <w:r w:rsidRPr="00CB681C">
        <w:rPr>
          <w:rFonts w:asciiTheme="majorHAnsi" w:hAnsiTheme="majorHAnsi" w:cstheme="majorHAnsi"/>
          <w:b/>
          <w:color w:val="auto"/>
          <w:sz w:val="24"/>
          <w:szCs w:val="24"/>
        </w:rPr>
        <w:t xml:space="preserve">implementirana </w:t>
      </w:r>
      <w:r w:rsidR="00AC1056" w:rsidRPr="00CB681C">
        <w:rPr>
          <w:rFonts w:asciiTheme="majorHAnsi" w:hAnsiTheme="majorHAnsi" w:cstheme="majorHAnsi"/>
          <w:b/>
          <w:color w:val="auto"/>
          <w:sz w:val="24"/>
          <w:szCs w:val="24"/>
        </w:rPr>
        <w:t xml:space="preserve">je </w:t>
      </w:r>
      <w:r w:rsidRPr="00CB681C">
        <w:rPr>
          <w:rFonts w:asciiTheme="majorHAnsi" w:hAnsiTheme="majorHAnsi" w:cstheme="majorHAnsi"/>
          <w:b/>
          <w:color w:val="auto"/>
          <w:sz w:val="24"/>
          <w:szCs w:val="24"/>
        </w:rPr>
        <w:t xml:space="preserve">kroz tri </w:t>
      </w:r>
      <w:r w:rsidR="00AC1056" w:rsidRPr="00CB681C">
        <w:rPr>
          <w:rFonts w:asciiTheme="majorHAnsi" w:hAnsiTheme="majorHAnsi" w:cstheme="majorHAnsi"/>
          <w:b/>
          <w:color w:val="auto"/>
          <w:sz w:val="24"/>
          <w:szCs w:val="24"/>
        </w:rPr>
        <w:t>a</w:t>
      </w:r>
      <w:r w:rsidRPr="00CB681C">
        <w:rPr>
          <w:rFonts w:asciiTheme="majorHAnsi" w:hAnsiTheme="majorHAnsi" w:cstheme="majorHAnsi"/>
          <w:b/>
          <w:color w:val="auto"/>
          <w:sz w:val="24"/>
          <w:szCs w:val="24"/>
        </w:rPr>
        <w:t>kciona plana u periodu od 2016</w:t>
      </w:r>
      <w:r w:rsidR="00AC1056" w:rsidRPr="00CB681C">
        <w:rPr>
          <w:rFonts w:asciiTheme="majorHAnsi" w:hAnsiTheme="majorHAnsi" w:cstheme="majorHAnsi"/>
          <w:b/>
          <w:color w:val="auto"/>
          <w:sz w:val="24"/>
          <w:szCs w:val="24"/>
        </w:rPr>
        <w:t>. do</w:t>
      </w:r>
      <w:r w:rsidRPr="00CB681C">
        <w:rPr>
          <w:rFonts w:asciiTheme="majorHAnsi" w:hAnsiTheme="majorHAnsi" w:cstheme="majorHAnsi"/>
          <w:b/>
          <w:color w:val="auto"/>
          <w:sz w:val="24"/>
          <w:szCs w:val="24"/>
        </w:rPr>
        <w:t xml:space="preserve"> 2020. </w:t>
      </w:r>
      <w:r w:rsidRPr="00CB681C">
        <w:rPr>
          <w:rFonts w:asciiTheme="majorHAnsi" w:hAnsiTheme="majorHAnsi" w:cstheme="majorHAnsi"/>
          <w:color w:val="auto"/>
          <w:sz w:val="24"/>
          <w:szCs w:val="24"/>
        </w:rPr>
        <w:t>godine, a u realizaciji različitih aktivnosti učestvovali su organi državne uprave, regulatori i akademska zajednica. U Strategiji razvoja informacionog društva su tada prepoznati strateški pravci razvoja sa ciljem dostizanja standarda EU postavljenih u Digitalnoj agendi 2020. i Strategiji za jedinstveno digitalno tržište</w:t>
      </w:r>
      <w:r w:rsidR="003864B2" w:rsidRPr="00CB681C">
        <w:rPr>
          <w:rFonts w:asciiTheme="majorHAnsi" w:hAnsiTheme="majorHAnsi" w:cstheme="majorHAnsi"/>
          <w:color w:val="auto"/>
          <w:sz w:val="24"/>
          <w:szCs w:val="24"/>
        </w:rPr>
        <w:t>. N</w:t>
      </w:r>
      <w:r w:rsidRPr="00CB681C">
        <w:rPr>
          <w:rFonts w:asciiTheme="majorHAnsi" w:hAnsiTheme="majorHAnsi" w:cstheme="majorHAnsi"/>
          <w:color w:val="auto"/>
          <w:sz w:val="24"/>
          <w:szCs w:val="24"/>
        </w:rPr>
        <w:t>akon isteka implementacije</w:t>
      </w:r>
      <w:r w:rsidR="003864B2" w:rsidRPr="00CB681C">
        <w:rPr>
          <w:rFonts w:asciiTheme="majorHAnsi" w:hAnsiTheme="majorHAnsi" w:cstheme="majorHAnsi"/>
          <w:color w:val="auto"/>
          <w:sz w:val="24"/>
          <w:szCs w:val="24"/>
        </w:rPr>
        <w:t xml:space="preserve"> naveden Strategije</w:t>
      </w:r>
      <w:r w:rsidRPr="00CB681C">
        <w:rPr>
          <w:rFonts w:asciiTheme="majorHAnsi" w:hAnsiTheme="majorHAnsi" w:cstheme="majorHAnsi"/>
          <w:color w:val="auto"/>
          <w:sz w:val="24"/>
          <w:szCs w:val="24"/>
        </w:rPr>
        <w:t xml:space="preserve"> može se konstatovati da iako je postignut određeni napredak u implementaciji, kada su u pitanju pojedini strateški ciljevi, realizacija samih aktivnosti nije bila na zadovoljavajućem nivou. </w:t>
      </w:r>
    </w:p>
    <w:p w:rsidR="000A2C90" w:rsidRPr="00CB681C" w:rsidRDefault="000A2C90" w:rsidP="001014EF">
      <w:pPr>
        <w:spacing w:before="60" w:after="60" w:line="240" w:lineRule="auto"/>
        <w:ind w:right="-446"/>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Najveći napredak je prepoznat u dijelu obezbjeđenja dostupnosti širokopojasnog pristupa internetu, kao i e-poslovanja, pa tako statistike pokazuju da 79% preduzeća koriste ERP sisteme za internu komunikaciju, imamo povećanje primjene ICT-a u nastavi kao i u svakodnevnom radu zaposlenih u obrazovno-vaspitnim ustanovama, u znatnoj mjeri je unaprijeđena dostupnost i povećan kvalitet pružanja zdravstvenih usluga elektronskim putem i sl. </w:t>
      </w:r>
    </w:p>
    <w:p w:rsidR="003864B2" w:rsidRPr="00CB681C" w:rsidRDefault="003864B2" w:rsidP="001014EF">
      <w:pPr>
        <w:spacing w:before="60" w:after="60" w:line="240" w:lineRule="auto"/>
        <w:ind w:right="-446"/>
        <w:jc w:val="both"/>
        <w:rPr>
          <w:rFonts w:asciiTheme="majorHAnsi" w:hAnsiTheme="majorHAnsi" w:cstheme="majorHAnsi"/>
          <w:color w:val="auto"/>
          <w:sz w:val="24"/>
          <w:szCs w:val="24"/>
        </w:rPr>
      </w:pPr>
      <w:r w:rsidRPr="00CB681C">
        <w:rPr>
          <w:rFonts w:asciiTheme="majorHAnsi" w:hAnsiTheme="majorHAnsi" w:cstheme="majorHAnsi"/>
          <w:b/>
          <w:color w:val="auto"/>
          <w:sz w:val="24"/>
          <w:szCs w:val="24"/>
        </w:rPr>
        <w:t>Strategija digitalne transformacije</w:t>
      </w:r>
      <w:r w:rsidRPr="00CB681C">
        <w:rPr>
          <w:rFonts w:asciiTheme="majorHAnsi" w:hAnsiTheme="majorHAnsi" w:cstheme="majorHAnsi"/>
          <w:color w:val="auto"/>
          <w:sz w:val="24"/>
          <w:szCs w:val="24"/>
        </w:rPr>
        <w:t xml:space="preserve"> predstavlja jedan od ključnih odnosno krovnih strateških dokumenata Vlade Crne Gore, od čijeg će stepena realizacije donekle zavisiti i stepen realizacije drugih starteških dokumenata, jer se procesi digitalne transformacije, direktno ili indirektno, odražavaju na sve sfere razvoja društva.</w:t>
      </w:r>
    </w:p>
    <w:p w:rsidR="000A2C90" w:rsidRDefault="000A2C90" w:rsidP="001014EF">
      <w:pPr>
        <w:spacing w:before="60" w:after="60" w:line="240" w:lineRule="auto"/>
        <w:ind w:right="-446"/>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Nova Startegija digitalne transformacije ima za cilj prepoznavanje principa na kojima treba graditi dalju transformaciju društva kroz približavanje i usvajanje načela kojima se rukovodi, ne samo Evropska unija, već i druge razvijene zemlje svijeta. </w:t>
      </w:r>
    </w:p>
    <w:p w:rsidR="006F2597" w:rsidRPr="00CB681C" w:rsidRDefault="001210BA" w:rsidP="001014EF">
      <w:pPr>
        <w:spacing w:before="60" w:after="60" w:line="240" w:lineRule="auto"/>
        <w:ind w:right="-446"/>
        <w:jc w:val="both"/>
        <w:rPr>
          <w:rFonts w:asciiTheme="majorHAnsi" w:hAnsiTheme="majorHAnsi" w:cstheme="majorHAnsi"/>
          <w:color w:val="auto"/>
          <w:sz w:val="24"/>
          <w:szCs w:val="24"/>
        </w:rPr>
      </w:pPr>
      <w:r>
        <w:rPr>
          <w:rFonts w:asciiTheme="majorHAnsi" w:hAnsiTheme="majorHAnsi" w:cstheme="majorHAnsi"/>
          <w:color w:val="auto"/>
          <w:sz w:val="24"/>
          <w:szCs w:val="24"/>
        </w:rPr>
        <w:t>K</w:t>
      </w:r>
      <w:r w:rsidR="006F2597">
        <w:rPr>
          <w:rFonts w:asciiTheme="majorHAnsi" w:hAnsiTheme="majorHAnsi" w:cstheme="majorHAnsi"/>
          <w:color w:val="auto"/>
          <w:sz w:val="24"/>
          <w:szCs w:val="24"/>
        </w:rPr>
        <w:t xml:space="preserve">omplementarnost i paralelni procesi odvijaju </w:t>
      </w:r>
      <w:r>
        <w:rPr>
          <w:rFonts w:asciiTheme="majorHAnsi" w:hAnsiTheme="majorHAnsi" w:cstheme="majorHAnsi"/>
          <w:color w:val="auto"/>
          <w:sz w:val="24"/>
          <w:szCs w:val="24"/>
        </w:rPr>
        <w:t xml:space="preserve">se </w:t>
      </w:r>
      <w:r w:rsidR="006F2597">
        <w:rPr>
          <w:rFonts w:asciiTheme="majorHAnsi" w:hAnsiTheme="majorHAnsi" w:cstheme="majorHAnsi"/>
          <w:color w:val="auto"/>
          <w:sz w:val="24"/>
          <w:szCs w:val="24"/>
        </w:rPr>
        <w:t>između Strategije reforme javne uprave i Strategije digitalne transformacije</w:t>
      </w:r>
      <w:r>
        <w:rPr>
          <w:rFonts w:asciiTheme="majorHAnsi" w:hAnsiTheme="majorHAnsi" w:cstheme="majorHAnsi"/>
          <w:color w:val="auto"/>
          <w:sz w:val="24"/>
          <w:szCs w:val="24"/>
        </w:rPr>
        <w:t>,</w:t>
      </w:r>
      <w:r w:rsidR="006F2597">
        <w:rPr>
          <w:rFonts w:asciiTheme="majorHAnsi" w:hAnsiTheme="majorHAnsi" w:cstheme="majorHAnsi"/>
          <w:color w:val="auto"/>
          <w:sz w:val="24"/>
          <w:szCs w:val="24"/>
        </w:rPr>
        <w:t xml:space="preserve"> posebno u dijelu: p</w:t>
      </w:r>
      <w:r w:rsidR="006F2597" w:rsidRPr="006F2597">
        <w:rPr>
          <w:rFonts w:asciiTheme="majorHAnsi" w:hAnsiTheme="majorHAnsi" w:cstheme="majorHAnsi"/>
          <w:color w:val="auto"/>
          <w:sz w:val="24"/>
          <w:szCs w:val="24"/>
        </w:rPr>
        <w:t>ovećan</w:t>
      </w:r>
      <w:r w:rsidR="006F2597">
        <w:rPr>
          <w:rFonts w:asciiTheme="majorHAnsi" w:hAnsiTheme="majorHAnsi" w:cstheme="majorHAnsi"/>
          <w:color w:val="auto"/>
          <w:sz w:val="24"/>
          <w:szCs w:val="24"/>
        </w:rPr>
        <w:t>e</w:t>
      </w:r>
      <w:r w:rsidR="006F2597" w:rsidRPr="006F2597">
        <w:rPr>
          <w:rFonts w:asciiTheme="majorHAnsi" w:hAnsiTheme="majorHAnsi" w:cstheme="majorHAnsi"/>
          <w:color w:val="auto"/>
          <w:sz w:val="24"/>
          <w:szCs w:val="24"/>
        </w:rPr>
        <w:t xml:space="preserve"> pokrivenost</w:t>
      </w:r>
      <w:r w:rsidR="006F2597">
        <w:rPr>
          <w:rFonts w:asciiTheme="majorHAnsi" w:hAnsiTheme="majorHAnsi" w:cstheme="majorHAnsi"/>
          <w:color w:val="auto"/>
          <w:sz w:val="24"/>
          <w:szCs w:val="24"/>
        </w:rPr>
        <w:t>i</w:t>
      </w:r>
      <w:r w:rsidR="006F2597" w:rsidRPr="006F2597">
        <w:rPr>
          <w:rFonts w:asciiTheme="majorHAnsi" w:hAnsiTheme="majorHAnsi" w:cstheme="majorHAnsi"/>
          <w:color w:val="auto"/>
          <w:sz w:val="24"/>
          <w:szCs w:val="24"/>
        </w:rPr>
        <w:t xml:space="preserve"> i mo</w:t>
      </w:r>
      <w:r w:rsidR="006F2597">
        <w:rPr>
          <w:rFonts w:asciiTheme="majorHAnsi" w:hAnsiTheme="majorHAnsi" w:cstheme="majorHAnsi"/>
          <w:color w:val="auto"/>
          <w:sz w:val="24"/>
          <w:szCs w:val="24"/>
        </w:rPr>
        <w:t>dernizacija IKT infrastrukture, r</w:t>
      </w:r>
      <w:r w:rsidR="006F2597" w:rsidRPr="006F2597">
        <w:rPr>
          <w:rFonts w:asciiTheme="majorHAnsi" w:hAnsiTheme="majorHAnsi" w:cstheme="majorHAnsi"/>
          <w:color w:val="auto"/>
          <w:sz w:val="24"/>
          <w:szCs w:val="24"/>
        </w:rPr>
        <w:t xml:space="preserve">azvoj i unapređenje digitalnih vještina, podizanje svijesti građana i privrede o važnosti </w:t>
      </w:r>
      <w:r w:rsidR="006F2597">
        <w:rPr>
          <w:rFonts w:asciiTheme="majorHAnsi" w:hAnsiTheme="majorHAnsi" w:cstheme="majorHAnsi"/>
          <w:color w:val="auto"/>
          <w:sz w:val="24"/>
          <w:szCs w:val="24"/>
        </w:rPr>
        <w:t>digitalnog razvoja , u</w:t>
      </w:r>
      <w:r w:rsidR="006F2597" w:rsidRPr="006F2597">
        <w:rPr>
          <w:rFonts w:asciiTheme="majorHAnsi" w:hAnsiTheme="majorHAnsi" w:cstheme="majorHAnsi"/>
          <w:color w:val="auto"/>
          <w:sz w:val="24"/>
          <w:szCs w:val="24"/>
        </w:rPr>
        <w:t>napređenje kvaliteta, količine i upotrebe e-usluga</w:t>
      </w:r>
      <w:r w:rsidR="00042F67">
        <w:rPr>
          <w:rFonts w:asciiTheme="majorHAnsi" w:hAnsiTheme="majorHAnsi" w:cstheme="majorHAnsi"/>
          <w:color w:val="auto"/>
          <w:sz w:val="24"/>
          <w:szCs w:val="24"/>
        </w:rPr>
        <w:t>.</w:t>
      </w:r>
    </w:p>
    <w:p w:rsidR="00B37D80" w:rsidRPr="00CB681C" w:rsidRDefault="000A2C90" w:rsidP="001014EF">
      <w:pPr>
        <w:spacing w:before="60" w:after="60" w:line="240" w:lineRule="auto"/>
        <w:ind w:right="-446"/>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lastRenderedPageBreak/>
        <w:t>Digitalna transformacija je mnogo više od upotrebe moderne tehnologije i internet alata. Ona, zapravo, predstavlja fleksibilnost u prilagođavanju promjenama koje se nikad brže nisu dešavale, a da bi bila ostvariva i uspješna, uz jasne strateške pravce mora obuhvatiti: ljude, saradnju i tehnologiju.</w:t>
      </w:r>
    </w:p>
    <w:p w:rsidR="00B37D80" w:rsidRPr="00CB681C" w:rsidRDefault="00B37D80" w:rsidP="001014EF">
      <w:pPr>
        <w:spacing w:before="60" w:after="60" w:line="240" w:lineRule="auto"/>
        <w:ind w:right="-446"/>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Upotreba prednosti novih tehnologija radi lakšeg i preciznijeg prepoznavanja slabosti i grešaka u sistemu, a zatim i mogućnosti da se one koriguju zapravo vodi ka  temeljnim promjenama u javnom sektoru.</w:t>
      </w:r>
      <w:r w:rsidR="00F940E4">
        <w:rPr>
          <w:rFonts w:asciiTheme="majorHAnsi" w:hAnsiTheme="majorHAnsi" w:cstheme="majorHAnsi"/>
          <w:color w:val="auto"/>
          <w:sz w:val="24"/>
          <w:szCs w:val="24"/>
        </w:rPr>
        <w:t xml:space="preserve"> Takođe, d</w:t>
      </w:r>
      <w:r w:rsidRPr="00CB681C">
        <w:rPr>
          <w:rFonts w:asciiTheme="majorHAnsi" w:hAnsiTheme="majorHAnsi" w:cstheme="majorHAnsi"/>
          <w:color w:val="auto"/>
          <w:sz w:val="24"/>
          <w:szCs w:val="24"/>
        </w:rPr>
        <w:t>igitalizacija omogućava organizacione promjene koje će obezbijediti građanima i privredi da ostvaruju svoja prava i obaveze kroz jednostavnije i brže procedure što se postiže uspostavljanjem odgovarajućeg normativnog i institucionalnog okvira i primjenom savremenih alata u postupanju državnih službenika. Pružanjem kvalitetnih</w:t>
      </w:r>
      <w:r w:rsidR="003864B2" w:rsidRPr="00CB681C">
        <w:rPr>
          <w:rFonts w:asciiTheme="majorHAnsi" w:hAnsiTheme="majorHAnsi" w:cstheme="majorHAnsi"/>
          <w:color w:val="auto"/>
          <w:sz w:val="24"/>
          <w:szCs w:val="24"/>
        </w:rPr>
        <w:t>,</w:t>
      </w:r>
      <w:r w:rsidRPr="00CB681C">
        <w:rPr>
          <w:rFonts w:asciiTheme="majorHAnsi" w:hAnsiTheme="majorHAnsi" w:cstheme="majorHAnsi"/>
          <w:color w:val="auto"/>
          <w:sz w:val="24"/>
          <w:szCs w:val="24"/>
        </w:rPr>
        <w:t xml:space="preserve"> svima dostupnih, objedinjenih javnih usluga koje pri tome manje koštaju na optimalan način se zadovoljavaju potrebe građana i istovremeno racionalnije upravlja budžetskim sredstvima</w:t>
      </w:r>
      <w:r w:rsidR="003864B2" w:rsidRPr="00CB681C">
        <w:rPr>
          <w:rFonts w:asciiTheme="majorHAnsi" w:hAnsiTheme="majorHAnsi" w:cstheme="majorHAnsi"/>
          <w:color w:val="auto"/>
          <w:sz w:val="24"/>
          <w:szCs w:val="24"/>
        </w:rPr>
        <w:t>.</w:t>
      </w:r>
    </w:p>
    <w:p w:rsidR="003864B2" w:rsidRPr="00CB681C" w:rsidRDefault="00B37D80" w:rsidP="001014EF">
      <w:pPr>
        <w:spacing w:before="60" w:after="60" w:line="240" w:lineRule="auto"/>
        <w:ind w:right="-450"/>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Promjena kulture i načina rada u javnoj upravi, razvoj novih modela primjene  digitalizacije u službi građana, te aktivno uključivanje građana u identifikovanju i rješavanju problema, uz modernizaciju i inovacije u javnom sektoru i izgradnju administrativnih kapaciteta su preduslovi kvalitetne reforme javne uprave.</w:t>
      </w:r>
    </w:p>
    <w:p w:rsidR="00CD7F65" w:rsidRPr="00CB681C" w:rsidRDefault="00B37D80" w:rsidP="001014EF">
      <w:pPr>
        <w:spacing w:before="60" w:after="60" w:line="240" w:lineRule="auto"/>
        <w:ind w:right="-450"/>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 Za uspješnu transformaciju odnosno reformu neophodni su strategija, ljudi, saradnja i tehnologija.</w:t>
      </w:r>
    </w:p>
    <w:p w:rsidR="00CD7F65" w:rsidRPr="007E14C5" w:rsidRDefault="00CD7F65" w:rsidP="00153229">
      <w:pPr>
        <w:pStyle w:val="Heading1"/>
        <w:ind w:left="0" w:right="-471"/>
        <w:rPr>
          <w:rFonts w:asciiTheme="majorHAnsi" w:hAnsiTheme="majorHAnsi" w:cstheme="majorHAnsi"/>
          <w:b/>
          <w:color w:val="002060"/>
          <w:sz w:val="24"/>
          <w:szCs w:val="24"/>
        </w:rPr>
        <w:sectPr w:rsidR="00CD7F65" w:rsidRPr="007E14C5" w:rsidSect="00BB620B">
          <w:type w:val="oddPage"/>
          <w:pgSz w:w="12240" w:h="15840" w:code="1"/>
          <w:pgMar w:top="1620" w:right="1260" w:bottom="1714" w:left="1530" w:header="864" w:footer="720" w:gutter="0"/>
          <w:pgNumType w:start="1"/>
          <w:cols w:space="720"/>
          <w:docGrid w:linePitch="360"/>
        </w:sectPr>
      </w:pPr>
    </w:p>
    <w:p w:rsidR="004B01A5" w:rsidRPr="006E55E9" w:rsidRDefault="00CD7F65" w:rsidP="00CB681C">
      <w:pPr>
        <w:pStyle w:val="Heading1"/>
        <w:ind w:right="-471"/>
        <w:jc w:val="center"/>
        <w:rPr>
          <w:rFonts w:asciiTheme="majorHAnsi" w:hAnsiTheme="majorHAnsi" w:cstheme="majorHAnsi"/>
          <w:b/>
          <w:color w:val="auto"/>
          <w:sz w:val="32"/>
          <w:szCs w:val="32"/>
        </w:rPr>
      </w:pPr>
      <w:bookmarkStart w:id="70" w:name="_Toc87353421"/>
      <w:r w:rsidRPr="006E55E9">
        <w:rPr>
          <w:rFonts w:asciiTheme="majorHAnsi" w:hAnsiTheme="majorHAnsi" w:cstheme="majorHAnsi"/>
          <w:b/>
          <w:color w:val="002060"/>
          <w:sz w:val="32"/>
          <w:szCs w:val="32"/>
        </w:rPr>
        <w:lastRenderedPageBreak/>
        <w:t xml:space="preserve">IV  </w:t>
      </w:r>
      <w:r w:rsidR="00CB681C" w:rsidRPr="006E55E9">
        <w:rPr>
          <w:rFonts w:asciiTheme="majorHAnsi" w:hAnsiTheme="majorHAnsi" w:cstheme="majorHAnsi"/>
          <w:b/>
          <w:color w:val="002060"/>
          <w:sz w:val="32"/>
          <w:szCs w:val="32"/>
        </w:rPr>
        <w:t xml:space="preserve"> </w:t>
      </w:r>
      <w:r w:rsidR="00CB681C" w:rsidRPr="006E55E9">
        <w:rPr>
          <w:rFonts w:asciiTheme="majorHAnsi" w:hAnsiTheme="majorHAnsi" w:cstheme="majorHAnsi"/>
          <w:b/>
          <w:color w:val="auto"/>
          <w:sz w:val="32"/>
          <w:szCs w:val="32"/>
        </w:rPr>
        <w:t>TABELA</w:t>
      </w:r>
      <w:r w:rsidRPr="006E55E9">
        <w:rPr>
          <w:rFonts w:asciiTheme="majorHAnsi" w:hAnsiTheme="majorHAnsi" w:cstheme="majorHAnsi"/>
          <w:b/>
          <w:color w:val="auto"/>
          <w:sz w:val="32"/>
          <w:szCs w:val="32"/>
        </w:rPr>
        <w:t xml:space="preserve"> STR</w:t>
      </w:r>
      <w:r w:rsidR="001A45D6" w:rsidRPr="006E55E9">
        <w:rPr>
          <w:rFonts w:asciiTheme="majorHAnsi" w:hAnsiTheme="majorHAnsi" w:cstheme="majorHAnsi"/>
          <w:b/>
          <w:color w:val="auto"/>
          <w:sz w:val="32"/>
          <w:szCs w:val="32"/>
        </w:rPr>
        <w:t>ATEŠKI</w:t>
      </w:r>
      <w:r w:rsidR="00CB681C" w:rsidRPr="006E55E9">
        <w:rPr>
          <w:rFonts w:asciiTheme="majorHAnsi" w:hAnsiTheme="majorHAnsi" w:cstheme="majorHAnsi"/>
          <w:b/>
          <w:color w:val="auto"/>
          <w:sz w:val="32"/>
          <w:szCs w:val="32"/>
        </w:rPr>
        <w:t>H</w:t>
      </w:r>
      <w:r w:rsidR="001A45D6" w:rsidRPr="006E55E9">
        <w:rPr>
          <w:rFonts w:asciiTheme="majorHAnsi" w:hAnsiTheme="majorHAnsi" w:cstheme="majorHAnsi"/>
          <w:b/>
          <w:color w:val="auto"/>
          <w:sz w:val="32"/>
          <w:szCs w:val="32"/>
        </w:rPr>
        <w:t xml:space="preserve"> I OPERATIVNI</w:t>
      </w:r>
      <w:r w:rsidR="00CB681C" w:rsidRPr="006E55E9">
        <w:rPr>
          <w:rFonts w:asciiTheme="majorHAnsi" w:hAnsiTheme="majorHAnsi" w:cstheme="majorHAnsi"/>
          <w:b/>
          <w:color w:val="auto"/>
          <w:sz w:val="32"/>
          <w:szCs w:val="32"/>
        </w:rPr>
        <w:t>H</w:t>
      </w:r>
      <w:r w:rsidR="001A45D6" w:rsidRPr="006E55E9">
        <w:rPr>
          <w:rFonts w:asciiTheme="majorHAnsi" w:hAnsiTheme="majorHAnsi" w:cstheme="majorHAnsi"/>
          <w:b/>
          <w:color w:val="auto"/>
          <w:sz w:val="32"/>
          <w:szCs w:val="32"/>
        </w:rPr>
        <w:t xml:space="preserve"> </w:t>
      </w:r>
      <w:r w:rsidR="00D13A62" w:rsidRPr="006E55E9">
        <w:rPr>
          <w:rFonts w:asciiTheme="majorHAnsi" w:hAnsiTheme="majorHAnsi" w:cstheme="majorHAnsi"/>
          <w:b/>
          <w:color w:val="auto"/>
          <w:sz w:val="32"/>
          <w:szCs w:val="32"/>
        </w:rPr>
        <w:t>CILJEVI STRATEG</w:t>
      </w:r>
      <w:r w:rsidR="000A5D41" w:rsidRPr="006E55E9">
        <w:rPr>
          <w:rFonts w:asciiTheme="majorHAnsi" w:hAnsiTheme="majorHAnsi" w:cstheme="majorHAnsi"/>
          <w:b/>
          <w:color w:val="auto"/>
          <w:sz w:val="32"/>
          <w:szCs w:val="32"/>
        </w:rPr>
        <w:t>IJE</w:t>
      </w:r>
      <w:r w:rsidR="001A45D6" w:rsidRPr="006E55E9">
        <w:rPr>
          <w:rFonts w:asciiTheme="majorHAnsi" w:hAnsiTheme="majorHAnsi" w:cstheme="majorHAnsi"/>
          <w:b/>
          <w:color w:val="auto"/>
          <w:sz w:val="32"/>
          <w:szCs w:val="32"/>
        </w:rPr>
        <w:t xml:space="preserve"> (sa indikatorima uspjeha)</w:t>
      </w:r>
      <w:bookmarkEnd w:id="70"/>
    </w:p>
    <w:tbl>
      <w:tblPr>
        <w:tblStyle w:val="GridTable5Dark-Accent1"/>
        <w:tblW w:w="13140" w:type="dxa"/>
        <w:tblInd w:w="-275" w:type="dxa"/>
        <w:tblLook w:val="04A0" w:firstRow="1" w:lastRow="0" w:firstColumn="1" w:lastColumn="0" w:noHBand="0" w:noVBand="1"/>
      </w:tblPr>
      <w:tblGrid>
        <w:gridCol w:w="473"/>
        <w:gridCol w:w="2857"/>
        <w:gridCol w:w="3240"/>
        <w:gridCol w:w="2160"/>
        <w:gridCol w:w="2340"/>
        <w:gridCol w:w="2070"/>
      </w:tblGrid>
      <w:tr w:rsidR="00AC188A" w:rsidRPr="00CB681C" w:rsidTr="00F26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0" w:type="dxa"/>
            <w:gridSpan w:val="6"/>
          </w:tcPr>
          <w:p w:rsidR="00DD1086" w:rsidRPr="001014EF" w:rsidRDefault="00DD1086" w:rsidP="00153229">
            <w:pPr>
              <w:pStyle w:val="ListParagraph"/>
              <w:spacing w:before="120" w:after="120"/>
              <w:ind w:left="0" w:right="-471"/>
              <w:contextualSpacing w:val="0"/>
              <w:jc w:val="both"/>
              <w:rPr>
                <w:rFonts w:asciiTheme="majorHAnsi" w:hAnsiTheme="majorHAnsi" w:cstheme="majorHAnsi"/>
                <w:caps/>
                <w:color w:val="auto"/>
                <w:sz w:val="24"/>
                <w:szCs w:val="24"/>
              </w:rPr>
            </w:pPr>
            <w:r w:rsidRPr="001014EF">
              <w:rPr>
                <w:rFonts w:asciiTheme="majorHAnsi" w:hAnsiTheme="majorHAnsi" w:cstheme="majorHAnsi"/>
                <w:color w:val="auto"/>
                <w:sz w:val="24"/>
                <w:szCs w:val="24"/>
              </w:rPr>
              <w:t>STRATEŠKI CILJ 1: ORGANIZACIJA I RAD JAVNE UPRAVE U FU</w:t>
            </w:r>
            <w:r w:rsidR="00023F33" w:rsidRPr="001014EF">
              <w:rPr>
                <w:rFonts w:asciiTheme="majorHAnsi" w:hAnsiTheme="majorHAnsi" w:cstheme="majorHAnsi"/>
                <w:color w:val="auto"/>
                <w:sz w:val="24"/>
                <w:szCs w:val="24"/>
              </w:rPr>
              <w:t>N</w:t>
            </w:r>
            <w:r w:rsidRPr="001014EF">
              <w:rPr>
                <w:rFonts w:asciiTheme="majorHAnsi" w:hAnsiTheme="majorHAnsi" w:cstheme="majorHAnsi"/>
                <w:color w:val="auto"/>
                <w:sz w:val="24"/>
                <w:szCs w:val="24"/>
              </w:rPr>
              <w:t>KCIJI POTREBA GRAĐANA</w:t>
            </w:r>
          </w:p>
        </w:tc>
      </w:tr>
      <w:tr w:rsidR="004D5DFA" w:rsidRPr="00CB681C" w:rsidTr="00F26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gridSpan w:val="2"/>
            <w:vAlign w:val="center"/>
          </w:tcPr>
          <w:p w:rsidR="00DD1086" w:rsidRPr="00CB681C" w:rsidRDefault="0090165A" w:rsidP="00153229">
            <w:pPr>
              <w:pStyle w:val="ListParagraph"/>
              <w:spacing w:after="40"/>
              <w:ind w:left="0" w:right="-471"/>
              <w:contextualSpacing w:val="0"/>
              <w:jc w:val="center"/>
              <w:rPr>
                <w:rFonts w:asciiTheme="majorHAnsi" w:hAnsiTheme="majorHAnsi" w:cstheme="majorHAnsi"/>
                <w:color w:val="auto"/>
              </w:rPr>
            </w:pPr>
            <w:r w:rsidRPr="00CB681C">
              <w:rPr>
                <w:rFonts w:asciiTheme="majorHAnsi" w:hAnsiTheme="majorHAnsi" w:cstheme="majorHAnsi"/>
                <w:color w:val="auto"/>
              </w:rPr>
              <w:t>OPERATIVNI CILJEVI</w:t>
            </w:r>
          </w:p>
        </w:tc>
        <w:tc>
          <w:tcPr>
            <w:tcW w:w="3240" w:type="dxa"/>
            <w:tcBorders>
              <w:bottom w:val="single" w:sz="4" w:space="0" w:color="FFFFFF" w:themeColor="background1"/>
            </w:tcBorders>
            <w:vAlign w:val="center"/>
          </w:tcPr>
          <w:p w:rsidR="00DD1086" w:rsidRPr="00CB681C" w:rsidRDefault="00DD1086" w:rsidP="00B07FD8">
            <w:pPr>
              <w:pStyle w:val="ListParagraph"/>
              <w:spacing w:after="40"/>
              <w:ind w:left="0" w:right="-383"/>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Indikator učinka</w:t>
            </w:r>
          </w:p>
        </w:tc>
        <w:tc>
          <w:tcPr>
            <w:tcW w:w="2160" w:type="dxa"/>
            <w:tcBorders>
              <w:bottom w:val="single" w:sz="4" w:space="0" w:color="FFFFFF" w:themeColor="background1"/>
            </w:tcBorders>
            <w:vAlign w:val="center"/>
          </w:tcPr>
          <w:p w:rsidR="00DD1086" w:rsidRPr="00CB681C" w:rsidRDefault="00DD1086" w:rsidP="00B07FD8">
            <w:pPr>
              <w:pStyle w:val="ListParagraph"/>
              <w:spacing w:after="40"/>
              <w:ind w:left="0" w:right="-23"/>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Početna vrijednost</w:t>
            </w:r>
          </w:p>
        </w:tc>
        <w:tc>
          <w:tcPr>
            <w:tcW w:w="2340" w:type="dxa"/>
            <w:tcBorders>
              <w:bottom w:val="single" w:sz="4" w:space="0" w:color="FFFFFF" w:themeColor="background1"/>
            </w:tcBorders>
            <w:vAlign w:val="center"/>
          </w:tcPr>
          <w:p w:rsidR="00DD1086" w:rsidRPr="00CB681C" w:rsidRDefault="00DD1086" w:rsidP="00B07FD8">
            <w:pPr>
              <w:pStyle w:val="ListParagraph"/>
              <w:spacing w:after="40"/>
              <w:ind w:left="-23" w:right="-21"/>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Ciljana vrijednost do 2024.</w:t>
            </w:r>
          </w:p>
        </w:tc>
        <w:tc>
          <w:tcPr>
            <w:tcW w:w="2070" w:type="dxa"/>
            <w:tcBorders>
              <w:bottom w:val="single" w:sz="4" w:space="0" w:color="FFFFFF" w:themeColor="background1"/>
            </w:tcBorders>
            <w:vAlign w:val="center"/>
          </w:tcPr>
          <w:p w:rsidR="00DD1086" w:rsidRPr="00CB681C" w:rsidRDefault="00DD1086" w:rsidP="00B07FD8">
            <w:pPr>
              <w:pStyle w:val="ListParagraph"/>
              <w:spacing w:after="40"/>
              <w:ind w:left="65" w:right="-19"/>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Ciljana vrijednost u 2026.</w:t>
            </w:r>
          </w:p>
        </w:tc>
      </w:tr>
      <w:tr w:rsidR="004D5DFA" w:rsidRPr="00CB681C" w:rsidTr="00F26DBC">
        <w:trPr>
          <w:trHeight w:val="1153"/>
        </w:trPr>
        <w:tc>
          <w:tcPr>
            <w:cnfStyle w:val="001000000000" w:firstRow="0" w:lastRow="0" w:firstColumn="1" w:lastColumn="0" w:oddVBand="0" w:evenVBand="0" w:oddHBand="0" w:evenHBand="0" w:firstRowFirstColumn="0" w:firstRowLastColumn="0" w:lastRowFirstColumn="0" w:lastRowLastColumn="0"/>
            <w:tcW w:w="473" w:type="dxa"/>
            <w:vMerge w:val="restart"/>
          </w:tcPr>
          <w:p w:rsidR="006D6ABC" w:rsidRPr="00CB681C" w:rsidRDefault="006D6ABC" w:rsidP="006D6ABC">
            <w:pPr>
              <w:pStyle w:val="ListParagraph"/>
              <w:spacing w:after="40"/>
              <w:ind w:left="0" w:right="-471"/>
              <w:contextualSpacing w:val="0"/>
              <w:jc w:val="both"/>
              <w:rPr>
                <w:rFonts w:asciiTheme="majorHAnsi" w:hAnsiTheme="majorHAnsi" w:cstheme="majorHAnsi"/>
                <w:b w:val="0"/>
                <w:bCs w:val="0"/>
                <w:color w:val="auto"/>
              </w:rPr>
            </w:pPr>
            <w:r w:rsidRPr="00CB681C">
              <w:rPr>
                <w:rFonts w:asciiTheme="majorHAnsi" w:hAnsiTheme="majorHAnsi" w:cstheme="majorHAnsi"/>
                <w:color w:val="auto"/>
              </w:rPr>
              <w:t>1.1</w:t>
            </w:r>
          </w:p>
          <w:p w:rsidR="006D6ABC" w:rsidRPr="00CB681C" w:rsidRDefault="006D6ABC" w:rsidP="006D6ABC">
            <w:pPr>
              <w:pStyle w:val="ListParagraph"/>
              <w:spacing w:after="40"/>
              <w:ind w:left="0" w:right="-471"/>
              <w:contextualSpacing w:val="0"/>
              <w:jc w:val="both"/>
              <w:rPr>
                <w:rFonts w:asciiTheme="majorHAnsi" w:hAnsiTheme="majorHAnsi" w:cstheme="majorHAnsi"/>
                <w:color w:val="auto"/>
              </w:rPr>
            </w:pPr>
          </w:p>
          <w:p w:rsidR="006D6ABC" w:rsidRPr="00CB681C" w:rsidRDefault="006D6ABC" w:rsidP="006D6ABC">
            <w:pPr>
              <w:pStyle w:val="ListParagraph"/>
              <w:spacing w:after="40"/>
              <w:ind w:left="0" w:right="-471"/>
              <w:jc w:val="both"/>
              <w:rPr>
                <w:rFonts w:asciiTheme="majorHAnsi" w:hAnsiTheme="majorHAnsi" w:cstheme="majorHAnsi"/>
                <w:color w:val="auto"/>
              </w:rPr>
            </w:pPr>
          </w:p>
        </w:tc>
        <w:tc>
          <w:tcPr>
            <w:tcW w:w="2857" w:type="dxa"/>
            <w:vMerge w:val="restart"/>
          </w:tcPr>
          <w:p w:rsidR="006D6ABC" w:rsidRPr="00CB681C" w:rsidRDefault="006D6ABC" w:rsidP="006D6ABC">
            <w:pPr>
              <w:spacing w:after="40"/>
              <w:ind w:right="67"/>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Funkcionalna javna uprava sa efikasnim nadzorom nad njenim radom i primjenom koncepta upravljačke odgovornosti</w:t>
            </w:r>
          </w:p>
        </w:tc>
        <w:tc>
          <w:tcPr>
            <w:tcW w:w="3240" w:type="dxa"/>
            <w:tcBorders>
              <w:bottom w:val="single" w:sz="4" w:space="0" w:color="auto"/>
            </w:tcBorders>
            <w:vAlign w:val="center"/>
          </w:tcPr>
          <w:p w:rsidR="006D6ABC" w:rsidRPr="00CB681C" w:rsidRDefault="006D6ABC" w:rsidP="006D6ABC">
            <w:pPr>
              <w:pStyle w:val="ListParagraph"/>
              <w:numPr>
                <w:ilvl w:val="0"/>
                <w:numId w:val="8"/>
              </w:numPr>
              <w:spacing w:after="40"/>
              <w:ind w:left="156" w:right="-20"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Iznos sredstava koji je prinudno naplaćen u radnim predmetima koje zastupa Zaštitnik imovinsko-pravnih interesa</w:t>
            </w:r>
          </w:p>
        </w:tc>
        <w:tc>
          <w:tcPr>
            <w:tcW w:w="2160" w:type="dxa"/>
            <w:tcBorders>
              <w:bottom w:val="single" w:sz="4" w:space="0" w:color="auto"/>
            </w:tcBorders>
          </w:tcPr>
          <w:p w:rsidR="006D6ABC" w:rsidRPr="00CB681C" w:rsidRDefault="006D6ABC" w:rsidP="006D6ABC">
            <w:pPr>
              <w:pStyle w:val="ListParagraph"/>
              <w:numPr>
                <w:ilvl w:val="0"/>
                <w:numId w:val="8"/>
              </w:numPr>
              <w:spacing w:after="40"/>
              <w:ind w:left="16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10.412.089  € (2020)</w:t>
            </w:r>
          </w:p>
        </w:tc>
        <w:tc>
          <w:tcPr>
            <w:tcW w:w="2340" w:type="dxa"/>
            <w:tcBorders>
              <w:bottom w:val="single" w:sz="4" w:space="0" w:color="auto"/>
            </w:tcBorders>
          </w:tcPr>
          <w:p w:rsidR="006D6ABC" w:rsidRPr="00CB681C" w:rsidRDefault="006D6ABC" w:rsidP="006D6ABC">
            <w:pPr>
              <w:pStyle w:val="ListParagraph"/>
              <w:spacing w:after="40"/>
              <w:ind w:left="156" w:right="-2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Nepromijenjeno u odnosu na početnu vrijednost</w:t>
            </w:r>
          </w:p>
        </w:tc>
        <w:tc>
          <w:tcPr>
            <w:tcW w:w="2070" w:type="dxa"/>
            <w:tcBorders>
              <w:bottom w:val="single" w:sz="4" w:space="0" w:color="auto"/>
            </w:tcBorders>
          </w:tcPr>
          <w:p w:rsidR="006D6ABC" w:rsidRPr="00CB681C" w:rsidRDefault="006D6ABC" w:rsidP="006D6ABC">
            <w:pPr>
              <w:spacing w:after="40"/>
              <w:ind w:right="7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-3% od početne vrijednosti</w:t>
            </w:r>
          </w:p>
        </w:tc>
      </w:tr>
      <w:tr w:rsidR="004D5DFA" w:rsidRPr="00CB681C" w:rsidTr="00F26DBC">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473" w:type="dxa"/>
            <w:vMerge/>
          </w:tcPr>
          <w:p w:rsidR="006D6ABC" w:rsidRPr="00CB681C" w:rsidRDefault="006D6ABC" w:rsidP="006D6ABC">
            <w:pPr>
              <w:pStyle w:val="ListParagraph"/>
              <w:spacing w:after="40"/>
              <w:ind w:left="0" w:right="-471"/>
              <w:contextualSpacing w:val="0"/>
              <w:jc w:val="both"/>
              <w:rPr>
                <w:rFonts w:asciiTheme="majorHAnsi" w:hAnsiTheme="majorHAnsi" w:cstheme="majorHAnsi"/>
                <w:color w:val="auto"/>
              </w:rPr>
            </w:pPr>
          </w:p>
        </w:tc>
        <w:tc>
          <w:tcPr>
            <w:tcW w:w="2857" w:type="dxa"/>
            <w:vMerge/>
          </w:tcPr>
          <w:p w:rsidR="006D6ABC" w:rsidRPr="00CB681C" w:rsidRDefault="006D6ABC" w:rsidP="006D6ABC">
            <w:pPr>
              <w:spacing w:after="40"/>
              <w:ind w:right="67"/>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Borders>
              <w:top w:val="single" w:sz="4" w:space="0" w:color="auto"/>
            </w:tcBorders>
          </w:tcPr>
          <w:p w:rsidR="006D6ABC" w:rsidRPr="00CB681C" w:rsidRDefault="006D6ABC" w:rsidP="006D6ABC">
            <w:pPr>
              <w:pStyle w:val="ListParagraph"/>
              <w:numPr>
                <w:ilvl w:val="0"/>
                <w:numId w:val="8"/>
              </w:numPr>
              <w:spacing w:after="40"/>
              <w:ind w:left="156" w:right="-20"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Uspostavljen sistem izvještavanja na nivou pokazatelja ishoda i ciljeva koji bi omogućili praćenje postizanja rezultata</w:t>
            </w:r>
          </w:p>
        </w:tc>
        <w:tc>
          <w:tcPr>
            <w:tcW w:w="2160" w:type="dxa"/>
            <w:tcBorders>
              <w:top w:val="single" w:sz="4" w:space="0" w:color="auto"/>
            </w:tcBorders>
          </w:tcPr>
          <w:p w:rsidR="006D6ABC" w:rsidRPr="00CB681C" w:rsidRDefault="006D6ABC" w:rsidP="006D6ABC">
            <w:pPr>
              <w:pStyle w:val="ListParagraph"/>
              <w:numPr>
                <w:ilvl w:val="0"/>
                <w:numId w:val="8"/>
              </w:numPr>
              <w:spacing w:after="40"/>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Nije uspostavljen sistem</w:t>
            </w:r>
          </w:p>
        </w:tc>
        <w:tc>
          <w:tcPr>
            <w:tcW w:w="2340" w:type="dxa"/>
            <w:tcBorders>
              <w:top w:val="single" w:sz="4" w:space="0" w:color="auto"/>
            </w:tcBorders>
          </w:tcPr>
          <w:p w:rsidR="006D6ABC" w:rsidRPr="00CB681C" w:rsidRDefault="006D6ABC" w:rsidP="006D6ABC">
            <w:pPr>
              <w:pStyle w:val="ListParagraph"/>
              <w:spacing w:after="40"/>
              <w:ind w:left="156" w:right="-2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100% ministarstava imaju uspostavljeno outcome izvještavanje</w:t>
            </w:r>
          </w:p>
        </w:tc>
        <w:tc>
          <w:tcPr>
            <w:tcW w:w="2070" w:type="dxa"/>
            <w:tcBorders>
              <w:top w:val="single" w:sz="4" w:space="0" w:color="auto"/>
            </w:tcBorders>
          </w:tcPr>
          <w:p w:rsidR="006D6ABC" w:rsidRPr="006D6ABC" w:rsidRDefault="006D6ABC" w:rsidP="006D6ABC">
            <w:pPr>
              <w:spacing w:after="40"/>
              <w:ind w:right="144"/>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 xml:space="preserve">100% ministarstava </w:t>
            </w:r>
          </w:p>
          <w:p w:rsidR="006D6ABC" w:rsidRPr="00CB681C" w:rsidRDefault="006D6ABC" w:rsidP="006D6ABC">
            <w:pPr>
              <w:spacing w:after="40"/>
              <w:ind w:right="7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50% organa uprave i javnih ustanove</w:t>
            </w:r>
          </w:p>
        </w:tc>
      </w:tr>
      <w:tr w:rsidR="004D5DFA" w:rsidRPr="00CB681C" w:rsidTr="00F26DBC">
        <w:trPr>
          <w:trHeight w:val="1063"/>
        </w:trPr>
        <w:tc>
          <w:tcPr>
            <w:cnfStyle w:val="001000000000" w:firstRow="0" w:lastRow="0" w:firstColumn="1" w:lastColumn="0" w:oddVBand="0" w:evenVBand="0" w:oddHBand="0" w:evenHBand="0" w:firstRowFirstColumn="0" w:firstRowLastColumn="0" w:lastRowFirstColumn="0" w:lastRowLastColumn="0"/>
            <w:tcW w:w="473" w:type="dxa"/>
            <w:vMerge/>
          </w:tcPr>
          <w:p w:rsidR="006D6ABC" w:rsidRPr="00CB681C" w:rsidRDefault="006D6ABC" w:rsidP="006D6ABC">
            <w:pPr>
              <w:pStyle w:val="ListParagraph"/>
              <w:spacing w:after="40"/>
              <w:ind w:left="0" w:right="-471"/>
              <w:jc w:val="both"/>
              <w:rPr>
                <w:rFonts w:asciiTheme="majorHAnsi" w:hAnsiTheme="majorHAnsi" w:cstheme="majorHAnsi"/>
                <w:color w:val="auto"/>
              </w:rPr>
            </w:pPr>
          </w:p>
        </w:tc>
        <w:tc>
          <w:tcPr>
            <w:tcW w:w="2857" w:type="dxa"/>
            <w:vMerge/>
          </w:tcPr>
          <w:p w:rsidR="006D6ABC" w:rsidRPr="00CB681C" w:rsidRDefault="006D6ABC" w:rsidP="006D6ABC">
            <w:pPr>
              <w:pStyle w:val="ListParagraph"/>
              <w:spacing w:after="40"/>
              <w:ind w:left="0" w:right="67"/>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Borders>
              <w:top w:val="single" w:sz="4" w:space="0" w:color="FFFFFF" w:themeColor="background1"/>
            </w:tcBorders>
          </w:tcPr>
          <w:p w:rsidR="006D6ABC" w:rsidRPr="006D6ABC" w:rsidRDefault="006D6ABC" w:rsidP="006D6ABC">
            <w:pPr>
              <w:pStyle w:val="ListParagraph"/>
              <w:spacing w:after="40"/>
              <w:ind w:left="156" w:right="-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Broj tužbi zbog povrede prava na suđenje u razumnom roku u upravno-sudskom postupku</w:t>
            </w:r>
          </w:p>
        </w:tc>
        <w:tc>
          <w:tcPr>
            <w:tcW w:w="2160" w:type="dxa"/>
            <w:tcBorders>
              <w:top w:val="single" w:sz="4" w:space="0" w:color="FFFFFF" w:themeColor="background1"/>
            </w:tcBorders>
          </w:tcPr>
          <w:p w:rsidR="006D6ABC" w:rsidRPr="006D6ABC" w:rsidRDefault="006D6ABC" w:rsidP="006D6ABC">
            <w:pPr>
              <w:spacing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22 predmeta (2020)</w:t>
            </w:r>
          </w:p>
        </w:tc>
        <w:tc>
          <w:tcPr>
            <w:tcW w:w="2340" w:type="dxa"/>
            <w:tcBorders>
              <w:top w:val="single" w:sz="4" w:space="0" w:color="FFFFFF" w:themeColor="background1"/>
            </w:tcBorders>
          </w:tcPr>
          <w:p w:rsidR="006D6ABC" w:rsidRPr="006D6ABC" w:rsidRDefault="006D6ABC" w:rsidP="006D6ABC">
            <w:pPr>
              <w:spacing w:after="40"/>
              <w:ind w:right="-2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20 predmeta</w:t>
            </w:r>
          </w:p>
        </w:tc>
        <w:tc>
          <w:tcPr>
            <w:tcW w:w="2070" w:type="dxa"/>
            <w:tcBorders>
              <w:top w:val="single" w:sz="4" w:space="0" w:color="FFFFFF" w:themeColor="background1"/>
            </w:tcBorders>
          </w:tcPr>
          <w:p w:rsidR="006D6ABC" w:rsidRPr="006D6ABC" w:rsidRDefault="006D6ABC" w:rsidP="006D6ABC">
            <w:pPr>
              <w:spacing w:after="40"/>
              <w:ind w:right="7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16 predmeta</w:t>
            </w:r>
          </w:p>
        </w:tc>
      </w:tr>
      <w:tr w:rsidR="004D5DFA" w:rsidRPr="00CB681C" w:rsidTr="00F26DBC">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73" w:type="dxa"/>
            <w:vMerge/>
          </w:tcPr>
          <w:p w:rsidR="006D6ABC" w:rsidRPr="00CB681C" w:rsidRDefault="006D6ABC" w:rsidP="006D6ABC">
            <w:pPr>
              <w:pStyle w:val="ListParagraph"/>
              <w:spacing w:after="40"/>
              <w:ind w:left="0" w:right="-471"/>
              <w:jc w:val="both"/>
              <w:rPr>
                <w:rFonts w:asciiTheme="majorHAnsi" w:hAnsiTheme="majorHAnsi" w:cstheme="majorHAnsi"/>
                <w:color w:val="auto"/>
              </w:rPr>
            </w:pPr>
          </w:p>
        </w:tc>
        <w:tc>
          <w:tcPr>
            <w:tcW w:w="2857" w:type="dxa"/>
            <w:vMerge/>
          </w:tcPr>
          <w:p w:rsidR="006D6ABC" w:rsidRPr="00CB681C" w:rsidRDefault="006D6ABC" w:rsidP="006D6ABC">
            <w:pPr>
              <w:pStyle w:val="ListParagraph"/>
              <w:spacing w:after="40"/>
              <w:ind w:left="0" w:right="67"/>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Borders>
              <w:top w:val="single" w:sz="4" w:space="0" w:color="FFFFFF" w:themeColor="background1"/>
            </w:tcBorders>
          </w:tcPr>
          <w:p w:rsidR="006D6ABC" w:rsidRPr="00CB681C" w:rsidRDefault="006D6ABC" w:rsidP="006D6ABC">
            <w:pPr>
              <w:pStyle w:val="ListParagraph"/>
              <w:numPr>
                <w:ilvl w:val="0"/>
                <w:numId w:val="8"/>
              </w:numPr>
              <w:spacing w:after="40"/>
              <w:ind w:left="156" w:right="-20"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Prosječno trajanje upravnog spora u Upravnom sudu</w:t>
            </w:r>
          </w:p>
        </w:tc>
        <w:tc>
          <w:tcPr>
            <w:tcW w:w="2160" w:type="dxa"/>
            <w:tcBorders>
              <w:top w:val="single" w:sz="4" w:space="0" w:color="FFFFFF" w:themeColor="background1"/>
            </w:tcBorders>
          </w:tcPr>
          <w:p w:rsidR="006D6ABC" w:rsidRPr="00CB681C" w:rsidRDefault="006D6ABC" w:rsidP="006D6ABC">
            <w:pPr>
              <w:pStyle w:val="ListParagraph"/>
              <w:numPr>
                <w:ilvl w:val="0"/>
                <w:numId w:val="8"/>
              </w:numPr>
              <w:spacing w:after="40"/>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17 mjeseci</w:t>
            </w:r>
          </w:p>
        </w:tc>
        <w:tc>
          <w:tcPr>
            <w:tcW w:w="2340" w:type="dxa"/>
            <w:tcBorders>
              <w:top w:val="single" w:sz="4" w:space="0" w:color="FFFFFF" w:themeColor="background1"/>
            </w:tcBorders>
          </w:tcPr>
          <w:p w:rsidR="006D6ABC" w:rsidRPr="00CB681C" w:rsidRDefault="006D6ABC" w:rsidP="006D6ABC">
            <w:pPr>
              <w:pStyle w:val="ListParagraph"/>
              <w:numPr>
                <w:ilvl w:val="0"/>
                <w:numId w:val="8"/>
              </w:numPr>
              <w:spacing w:after="40"/>
              <w:ind w:left="156" w:right="-21"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15 mjeseci</w:t>
            </w:r>
          </w:p>
        </w:tc>
        <w:tc>
          <w:tcPr>
            <w:tcW w:w="2070" w:type="dxa"/>
            <w:tcBorders>
              <w:top w:val="single" w:sz="4" w:space="0" w:color="FFFFFF" w:themeColor="background1"/>
            </w:tcBorders>
          </w:tcPr>
          <w:p w:rsidR="006D6ABC" w:rsidRPr="00CB681C" w:rsidRDefault="006D6ABC" w:rsidP="006D6ABC">
            <w:pPr>
              <w:pStyle w:val="ListParagraph"/>
              <w:numPr>
                <w:ilvl w:val="0"/>
                <w:numId w:val="9"/>
              </w:numPr>
              <w:spacing w:after="40"/>
              <w:ind w:left="156" w:right="71" w:hanging="15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12 mjeseci</w:t>
            </w:r>
          </w:p>
        </w:tc>
      </w:tr>
      <w:tr w:rsidR="004D5DFA" w:rsidRPr="00CB681C" w:rsidTr="00F26DBC">
        <w:trPr>
          <w:trHeight w:val="748"/>
        </w:trPr>
        <w:tc>
          <w:tcPr>
            <w:cnfStyle w:val="001000000000" w:firstRow="0" w:lastRow="0" w:firstColumn="1" w:lastColumn="0" w:oddVBand="0" w:evenVBand="0" w:oddHBand="0" w:evenHBand="0" w:firstRowFirstColumn="0" w:firstRowLastColumn="0" w:lastRowFirstColumn="0" w:lastRowLastColumn="0"/>
            <w:tcW w:w="473" w:type="dxa"/>
            <w:vMerge/>
          </w:tcPr>
          <w:p w:rsidR="006D6ABC" w:rsidRPr="00CB681C" w:rsidRDefault="006D6ABC" w:rsidP="006D6ABC">
            <w:pPr>
              <w:pStyle w:val="ListParagraph"/>
              <w:spacing w:after="40"/>
              <w:ind w:left="0" w:right="-471"/>
              <w:contextualSpacing w:val="0"/>
              <w:jc w:val="both"/>
              <w:rPr>
                <w:rFonts w:asciiTheme="majorHAnsi" w:hAnsiTheme="majorHAnsi" w:cstheme="majorHAnsi"/>
                <w:color w:val="auto"/>
              </w:rPr>
            </w:pPr>
          </w:p>
        </w:tc>
        <w:tc>
          <w:tcPr>
            <w:tcW w:w="2857" w:type="dxa"/>
            <w:vMerge/>
          </w:tcPr>
          <w:p w:rsidR="006D6ABC" w:rsidRPr="00CB681C" w:rsidRDefault="006D6ABC" w:rsidP="006D6ABC">
            <w:pPr>
              <w:pStyle w:val="ListParagraph"/>
              <w:spacing w:after="40"/>
              <w:ind w:left="0" w:right="67"/>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Borders>
              <w:top w:val="single" w:sz="4" w:space="0" w:color="FFFFFF" w:themeColor="background1"/>
            </w:tcBorders>
          </w:tcPr>
          <w:p w:rsidR="006D6ABC" w:rsidRPr="00CB681C" w:rsidRDefault="006D6ABC" w:rsidP="006D6ABC">
            <w:pPr>
              <w:pStyle w:val="ListParagraph"/>
              <w:numPr>
                <w:ilvl w:val="0"/>
                <w:numId w:val="8"/>
              </w:numPr>
              <w:spacing w:after="40"/>
              <w:ind w:left="156" w:right="-20"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 preporuka koje su ralizovane od strane organa javne uprave na osnovu Izvještaja Zaštitnika ljudskih prava i sloboda - Ombudsman</w:t>
            </w:r>
          </w:p>
        </w:tc>
        <w:tc>
          <w:tcPr>
            <w:tcW w:w="2160" w:type="dxa"/>
            <w:tcBorders>
              <w:top w:val="single" w:sz="4" w:space="0" w:color="FFFFFF" w:themeColor="background1"/>
            </w:tcBorders>
          </w:tcPr>
          <w:p w:rsidR="006D6ABC" w:rsidRPr="00CB681C" w:rsidRDefault="006D6ABC" w:rsidP="006D6ABC">
            <w:pPr>
              <w:pStyle w:val="ListParagraph"/>
              <w:spacing w:after="40"/>
              <w:ind w:left="162"/>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19,88% (2020)</w:t>
            </w:r>
            <w:r w:rsidRPr="006D6ABC">
              <w:rPr>
                <w:rFonts w:asciiTheme="majorHAnsi" w:hAnsiTheme="majorHAnsi"/>
              </w:rPr>
              <w:footnoteReference w:id="133"/>
            </w:r>
          </w:p>
        </w:tc>
        <w:tc>
          <w:tcPr>
            <w:tcW w:w="2340" w:type="dxa"/>
            <w:tcBorders>
              <w:top w:val="single" w:sz="4" w:space="0" w:color="FFFFFF" w:themeColor="background1"/>
            </w:tcBorders>
          </w:tcPr>
          <w:p w:rsidR="006D6ABC" w:rsidRPr="00CB681C" w:rsidRDefault="006D6ABC" w:rsidP="006D6ABC">
            <w:pPr>
              <w:pStyle w:val="ListParagraph"/>
              <w:numPr>
                <w:ilvl w:val="0"/>
                <w:numId w:val="8"/>
              </w:numPr>
              <w:spacing w:after="40"/>
              <w:ind w:left="156" w:right="-21"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Preko 40% relizovanih preporuka</w:t>
            </w:r>
          </w:p>
        </w:tc>
        <w:tc>
          <w:tcPr>
            <w:tcW w:w="2070" w:type="dxa"/>
            <w:tcBorders>
              <w:top w:val="single" w:sz="4" w:space="0" w:color="FFFFFF" w:themeColor="background1"/>
            </w:tcBorders>
          </w:tcPr>
          <w:p w:rsidR="006D6ABC" w:rsidRPr="00CB681C" w:rsidRDefault="006D6ABC" w:rsidP="006D6ABC">
            <w:pPr>
              <w:pStyle w:val="ListParagraph"/>
              <w:numPr>
                <w:ilvl w:val="0"/>
                <w:numId w:val="9"/>
              </w:numPr>
              <w:spacing w:after="40"/>
              <w:ind w:left="156" w:right="71" w:hanging="15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Preko 60 % realizovanih preporuka</w:t>
            </w:r>
          </w:p>
        </w:tc>
      </w:tr>
      <w:tr w:rsidR="004D5DFA" w:rsidRPr="00CB681C" w:rsidTr="00F26DBC">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73" w:type="dxa"/>
            <w:vMerge/>
            <w:tcBorders>
              <w:bottom w:val="single" w:sz="4" w:space="0" w:color="FFFFFF" w:themeColor="background1"/>
            </w:tcBorders>
          </w:tcPr>
          <w:p w:rsidR="006D6ABC" w:rsidRPr="00CB681C" w:rsidRDefault="006D6ABC" w:rsidP="006D6ABC">
            <w:pPr>
              <w:pStyle w:val="ListParagraph"/>
              <w:spacing w:after="40"/>
              <w:ind w:left="0" w:right="-471"/>
              <w:contextualSpacing w:val="0"/>
              <w:jc w:val="both"/>
              <w:rPr>
                <w:rFonts w:asciiTheme="majorHAnsi" w:hAnsiTheme="majorHAnsi" w:cstheme="majorHAnsi"/>
                <w:color w:val="auto"/>
              </w:rPr>
            </w:pPr>
          </w:p>
        </w:tc>
        <w:tc>
          <w:tcPr>
            <w:tcW w:w="2857" w:type="dxa"/>
            <w:vMerge/>
            <w:tcBorders>
              <w:bottom w:val="single" w:sz="4" w:space="0" w:color="FFFFFF" w:themeColor="background1"/>
            </w:tcBorders>
          </w:tcPr>
          <w:p w:rsidR="006D6ABC" w:rsidRPr="00CB681C" w:rsidRDefault="006D6ABC" w:rsidP="006D6ABC">
            <w:pPr>
              <w:pStyle w:val="ListParagraph"/>
              <w:spacing w:after="40"/>
              <w:ind w:left="0" w:right="67"/>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Borders>
              <w:bottom w:val="single" w:sz="4" w:space="0" w:color="FFFFFF" w:themeColor="background1"/>
            </w:tcBorders>
          </w:tcPr>
          <w:p w:rsidR="006D6ABC" w:rsidRPr="00CB681C" w:rsidRDefault="006D6ABC" w:rsidP="006D6ABC">
            <w:pPr>
              <w:pStyle w:val="ListParagraph"/>
              <w:numPr>
                <w:ilvl w:val="0"/>
                <w:numId w:val="8"/>
              </w:numPr>
              <w:spacing w:after="40"/>
              <w:ind w:left="156" w:right="-20"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 xml:space="preserve">% ministarstava koji delegiraju ovlašćenja za finansijsko upravljanje i unutrašnje kontrole višem </w:t>
            </w:r>
            <w:r w:rsidRPr="006D6ABC">
              <w:rPr>
                <w:rFonts w:asciiTheme="majorHAnsi" w:hAnsiTheme="majorHAnsi" w:cstheme="majorHAnsi"/>
                <w:color w:val="auto"/>
              </w:rPr>
              <w:lastRenderedPageBreak/>
              <w:t>rukovodstvu u skladu sa Uredbom</w:t>
            </w:r>
            <w:r w:rsidRPr="006D6ABC">
              <w:rPr>
                <w:rFonts w:asciiTheme="majorHAnsi" w:hAnsiTheme="majorHAnsi"/>
              </w:rPr>
              <w:footnoteReference w:id="134"/>
            </w:r>
          </w:p>
        </w:tc>
        <w:tc>
          <w:tcPr>
            <w:tcW w:w="2160" w:type="dxa"/>
            <w:tcBorders>
              <w:bottom w:val="single" w:sz="4" w:space="0" w:color="FFFFFF" w:themeColor="background1"/>
            </w:tcBorders>
          </w:tcPr>
          <w:p w:rsidR="006D6ABC" w:rsidRPr="00CB681C" w:rsidRDefault="006D6ABC" w:rsidP="006D6ABC">
            <w:pPr>
              <w:pStyle w:val="ListParagraph"/>
              <w:numPr>
                <w:ilvl w:val="0"/>
                <w:numId w:val="8"/>
              </w:numPr>
              <w:spacing w:after="40"/>
              <w:ind w:left="16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lastRenderedPageBreak/>
              <w:t>8,3%</w:t>
            </w:r>
          </w:p>
        </w:tc>
        <w:tc>
          <w:tcPr>
            <w:tcW w:w="2340" w:type="dxa"/>
            <w:tcBorders>
              <w:bottom w:val="single" w:sz="4" w:space="0" w:color="FFFFFF" w:themeColor="background1"/>
            </w:tcBorders>
          </w:tcPr>
          <w:p w:rsidR="006D6ABC" w:rsidRPr="00CB681C" w:rsidRDefault="006D6ABC" w:rsidP="006D6ABC">
            <w:pPr>
              <w:pStyle w:val="ListParagraph"/>
              <w:numPr>
                <w:ilvl w:val="0"/>
                <w:numId w:val="8"/>
              </w:numPr>
              <w:spacing w:after="40"/>
              <w:ind w:left="156" w:right="-21"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50%</w:t>
            </w:r>
          </w:p>
        </w:tc>
        <w:tc>
          <w:tcPr>
            <w:tcW w:w="2070" w:type="dxa"/>
            <w:tcBorders>
              <w:bottom w:val="single" w:sz="4" w:space="0" w:color="FFFFFF" w:themeColor="background1"/>
            </w:tcBorders>
          </w:tcPr>
          <w:p w:rsidR="006D6ABC" w:rsidRPr="00CB681C" w:rsidRDefault="006D6ABC" w:rsidP="006D6ABC">
            <w:pPr>
              <w:pStyle w:val="ListParagraph"/>
              <w:numPr>
                <w:ilvl w:val="0"/>
                <w:numId w:val="9"/>
              </w:numPr>
              <w:spacing w:after="40"/>
              <w:ind w:left="156" w:right="71" w:hanging="15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6D6ABC">
              <w:rPr>
                <w:rFonts w:asciiTheme="majorHAnsi" w:hAnsiTheme="majorHAnsi" w:cstheme="majorHAnsi"/>
                <w:color w:val="auto"/>
              </w:rPr>
              <w:t>80%</w:t>
            </w:r>
          </w:p>
        </w:tc>
      </w:tr>
      <w:tr w:rsidR="004D5DFA" w:rsidRPr="00CB681C" w:rsidTr="00F26DBC">
        <w:trPr>
          <w:trHeight w:val="572"/>
        </w:trPr>
        <w:tc>
          <w:tcPr>
            <w:cnfStyle w:val="001000000000" w:firstRow="0" w:lastRow="0" w:firstColumn="1" w:lastColumn="0" w:oddVBand="0" w:evenVBand="0" w:oddHBand="0" w:evenHBand="0" w:firstRowFirstColumn="0" w:firstRowLastColumn="0" w:lastRowFirstColumn="0" w:lastRowLastColumn="0"/>
            <w:tcW w:w="473" w:type="dxa"/>
            <w:vMerge w:val="restart"/>
          </w:tcPr>
          <w:p w:rsidR="008E0345" w:rsidRPr="00CB681C" w:rsidRDefault="008E0345" w:rsidP="00153229">
            <w:pPr>
              <w:pStyle w:val="ListParagraph"/>
              <w:spacing w:after="40"/>
              <w:ind w:left="0" w:right="-471"/>
              <w:contextualSpacing w:val="0"/>
              <w:jc w:val="both"/>
              <w:rPr>
                <w:rFonts w:asciiTheme="majorHAnsi" w:hAnsiTheme="majorHAnsi" w:cstheme="majorHAnsi"/>
                <w:color w:val="auto"/>
              </w:rPr>
            </w:pPr>
            <w:r w:rsidRPr="00CB681C">
              <w:rPr>
                <w:rFonts w:asciiTheme="majorHAnsi" w:hAnsiTheme="majorHAnsi" w:cstheme="majorHAnsi"/>
                <w:color w:val="auto"/>
              </w:rPr>
              <w:t>1.2</w:t>
            </w:r>
          </w:p>
        </w:tc>
        <w:tc>
          <w:tcPr>
            <w:tcW w:w="2857" w:type="dxa"/>
            <w:vMerge w:val="restart"/>
          </w:tcPr>
          <w:p w:rsidR="008E0345" w:rsidRPr="00CB681C" w:rsidRDefault="008E0345" w:rsidP="00B07FD8">
            <w:pPr>
              <w:pStyle w:val="ListParagraph"/>
              <w:spacing w:after="40"/>
              <w:ind w:left="0" w:right="67"/>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Administracija bez papira</w:t>
            </w:r>
          </w:p>
        </w:tc>
        <w:tc>
          <w:tcPr>
            <w:tcW w:w="3240" w:type="dxa"/>
            <w:tcBorders>
              <w:bottom w:val="single" w:sz="4" w:space="0" w:color="auto"/>
            </w:tcBorders>
          </w:tcPr>
          <w:p w:rsidR="008E0345" w:rsidRPr="00CB681C" w:rsidRDefault="008E0345" w:rsidP="00B07FD8">
            <w:pPr>
              <w:pStyle w:val="ListParagraph"/>
              <w:numPr>
                <w:ilvl w:val="0"/>
                <w:numId w:val="8"/>
              </w:numPr>
              <w:spacing w:after="40"/>
              <w:ind w:left="156"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 organa u javnoj upravi</w:t>
            </w:r>
            <w:r w:rsidRPr="00CB681C">
              <w:rPr>
                <w:rStyle w:val="FootnoteReference"/>
                <w:rFonts w:asciiTheme="majorHAnsi" w:hAnsiTheme="majorHAnsi" w:cstheme="majorHAnsi"/>
                <w:color w:val="auto"/>
              </w:rPr>
              <w:footnoteReference w:id="135"/>
            </w:r>
            <w:r w:rsidRPr="00CB681C">
              <w:rPr>
                <w:rFonts w:asciiTheme="majorHAnsi" w:hAnsiTheme="majorHAnsi" w:cstheme="majorHAnsi"/>
                <w:color w:val="auto"/>
              </w:rPr>
              <w:t xml:space="preserve"> u kojima je uspostavljen elektronski sistem upravljanja dokumenata</w:t>
            </w:r>
          </w:p>
        </w:tc>
        <w:tc>
          <w:tcPr>
            <w:tcW w:w="2160" w:type="dxa"/>
            <w:tcBorders>
              <w:bottom w:val="single" w:sz="4" w:space="0" w:color="auto"/>
            </w:tcBorders>
          </w:tcPr>
          <w:p w:rsidR="008E0345" w:rsidRPr="00CB681C" w:rsidRDefault="008E0345" w:rsidP="00B43D4E">
            <w:pPr>
              <w:pStyle w:val="ListParagraph"/>
              <w:numPr>
                <w:ilvl w:val="0"/>
                <w:numId w:val="11"/>
              </w:numPr>
              <w:spacing w:after="40"/>
              <w:ind w:left="252" w:right="-383" w:hanging="252"/>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38% (2020)</w:t>
            </w:r>
          </w:p>
        </w:tc>
        <w:tc>
          <w:tcPr>
            <w:tcW w:w="2340" w:type="dxa"/>
            <w:tcBorders>
              <w:bottom w:val="single" w:sz="4" w:space="0" w:color="auto"/>
            </w:tcBorders>
          </w:tcPr>
          <w:p w:rsidR="008E0345" w:rsidRPr="00CB681C" w:rsidRDefault="008E0345" w:rsidP="00B43D4E">
            <w:pPr>
              <w:pStyle w:val="ListParagraph"/>
              <w:numPr>
                <w:ilvl w:val="0"/>
                <w:numId w:val="11"/>
              </w:numPr>
              <w:spacing w:after="40"/>
              <w:ind w:left="194" w:right="-471"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50%</w:t>
            </w:r>
          </w:p>
        </w:tc>
        <w:tc>
          <w:tcPr>
            <w:tcW w:w="2070" w:type="dxa"/>
            <w:tcBorders>
              <w:bottom w:val="single" w:sz="4" w:space="0" w:color="auto"/>
            </w:tcBorders>
          </w:tcPr>
          <w:p w:rsidR="008E0345" w:rsidRPr="00CB681C" w:rsidRDefault="00AA7132" w:rsidP="00153229">
            <w:pPr>
              <w:pStyle w:val="ListParagraph"/>
              <w:numPr>
                <w:ilvl w:val="0"/>
                <w:numId w:val="9"/>
              </w:numPr>
              <w:spacing w:after="40"/>
              <w:ind w:left="156" w:right="-471" w:hanging="15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8</w:t>
            </w:r>
            <w:r w:rsidR="008E0345" w:rsidRPr="00CB681C">
              <w:rPr>
                <w:rFonts w:asciiTheme="majorHAnsi" w:hAnsiTheme="majorHAnsi" w:cstheme="majorHAnsi"/>
                <w:color w:val="auto"/>
              </w:rPr>
              <w:t>0%</w:t>
            </w:r>
          </w:p>
        </w:tc>
      </w:tr>
      <w:tr w:rsidR="004D5DFA" w:rsidRPr="00CB681C" w:rsidTr="00F26DBC">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473" w:type="dxa"/>
            <w:vMerge/>
          </w:tcPr>
          <w:p w:rsidR="005D0E8A" w:rsidRPr="00CB681C" w:rsidRDefault="005D0E8A" w:rsidP="00153229">
            <w:pPr>
              <w:pStyle w:val="ListParagraph"/>
              <w:spacing w:after="40"/>
              <w:ind w:left="0" w:right="-471"/>
              <w:contextualSpacing w:val="0"/>
              <w:jc w:val="both"/>
              <w:rPr>
                <w:rFonts w:asciiTheme="majorHAnsi" w:hAnsiTheme="majorHAnsi" w:cstheme="majorHAnsi"/>
                <w:color w:val="auto"/>
              </w:rPr>
            </w:pPr>
          </w:p>
        </w:tc>
        <w:tc>
          <w:tcPr>
            <w:tcW w:w="2857" w:type="dxa"/>
            <w:vMerge/>
          </w:tcPr>
          <w:p w:rsidR="005D0E8A" w:rsidRPr="00CB681C" w:rsidRDefault="005D0E8A" w:rsidP="00B07FD8">
            <w:pPr>
              <w:pStyle w:val="ListParagraph"/>
              <w:spacing w:after="40"/>
              <w:ind w:left="0" w:right="67"/>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Borders>
              <w:top w:val="single" w:sz="4" w:space="0" w:color="auto"/>
            </w:tcBorders>
          </w:tcPr>
          <w:p w:rsidR="005D0E8A" w:rsidRPr="00CB681C" w:rsidRDefault="00AA7132" w:rsidP="00013531">
            <w:pPr>
              <w:pStyle w:val="ListParagraph"/>
              <w:numPr>
                <w:ilvl w:val="0"/>
                <w:numId w:val="8"/>
              </w:numPr>
              <w:spacing w:after="40"/>
              <w:ind w:left="156"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 organa u javnoj upravi</w:t>
            </w:r>
            <w:r w:rsidRPr="00CB681C">
              <w:rPr>
                <w:rStyle w:val="FootnoteReference"/>
                <w:rFonts w:asciiTheme="majorHAnsi" w:hAnsiTheme="majorHAnsi" w:cstheme="majorHAnsi"/>
                <w:color w:val="auto"/>
              </w:rPr>
              <w:footnoteReference w:id="136"/>
            </w:r>
            <w:r w:rsidRPr="00CB681C">
              <w:rPr>
                <w:rFonts w:asciiTheme="majorHAnsi" w:hAnsiTheme="majorHAnsi" w:cstheme="majorHAnsi"/>
                <w:color w:val="auto"/>
              </w:rPr>
              <w:t xml:space="preserve"> koji u potpunosti elektronski razmijenjuju (eksterno) dokumenta kroz eDMS</w:t>
            </w:r>
          </w:p>
        </w:tc>
        <w:tc>
          <w:tcPr>
            <w:tcW w:w="2160" w:type="dxa"/>
            <w:tcBorders>
              <w:top w:val="single" w:sz="4" w:space="0" w:color="auto"/>
            </w:tcBorders>
          </w:tcPr>
          <w:p w:rsidR="005D0E8A" w:rsidRPr="00CB681C" w:rsidRDefault="005D0E8A" w:rsidP="00B07FD8">
            <w:pPr>
              <w:pStyle w:val="ListParagraph"/>
              <w:numPr>
                <w:ilvl w:val="0"/>
                <w:numId w:val="8"/>
              </w:numPr>
              <w:spacing w:after="40"/>
              <w:ind w:left="162" w:right="-383"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0</w:t>
            </w:r>
          </w:p>
        </w:tc>
        <w:tc>
          <w:tcPr>
            <w:tcW w:w="2340" w:type="dxa"/>
            <w:tcBorders>
              <w:top w:val="single" w:sz="4" w:space="0" w:color="auto"/>
            </w:tcBorders>
          </w:tcPr>
          <w:p w:rsidR="005D0E8A" w:rsidRPr="00CB681C" w:rsidRDefault="005D0E8A" w:rsidP="00153229">
            <w:pPr>
              <w:pStyle w:val="ListParagraph"/>
              <w:numPr>
                <w:ilvl w:val="0"/>
                <w:numId w:val="8"/>
              </w:numPr>
              <w:spacing w:after="40"/>
              <w:ind w:left="156" w:right="-471"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20%</w:t>
            </w:r>
          </w:p>
        </w:tc>
        <w:tc>
          <w:tcPr>
            <w:tcW w:w="2070" w:type="dxa"/>
            <w:tcBorders>
              <w:top w:val="single" w:sz="4" w:space="0" w:color="auto"/>
            </w:tcBorders>
          </w:tcPr>
          <w:p w:rsidR="005D0E8A" w:rsidRPr="00CB681C" w:rsidRDefault="00013531" w:rsidP="00153229">
            <w:pPr>
              <w:pStyle w:val="ListParagraph"/>
              <w:numPr>
                <w:ilvl w:val="0"/>
                <w:numId w:val="9"/>
              </w:numPr>
              <w:spacing w:after="40"/>
              <w:ind w:left="156" w:right="-471" w:hanging="15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4</w:t>
            </w:r>
            <w:r w:rsidR="005D0E8A" w:rsidRPr="00CB681C">
              <w:rPr>
                <w:rFonts w:asciiTheme="majorHAnsi" w:hAnsiTheme="majorHAnsi" w:cstheme="majorHAnsi"/>
                <w:color w:val="auto"/>
              </w:rPr>
              <w:t>0%</w:t>
            </w:r>
          </w:p>
        </w:tc>
      </w:tr>
      <w:tr w:rsidR="004D5DFA" w:rsidRPr="00CB681C" w:rsidTr="00F26DBC">
        <w:trPr>
          <w:trHeight w:val="817"/>
        </w:trPr>
        <w:tc>
          <w:tcPr>
            <w:cnfStyle w:val="001000000000" w:firstRow="0" w:lastRow="0" w:firstColumn="1" w:lastColumn="0" w:oddVBand="0" w:evenVBand="0" w:oddHBand="0" w:evenHBand="0" w:firstRowFirstColumn="0" w:firstRowLastColumn="0" w:lastRowFirstColumn="0" w:lastRowLastColumn="0"/>
            <w:tcW w:w="473" w:type="dxa"/>
            <w:vMerge w:val="restart"/>
          </w:tcPr>
          <w:p w:rsidR="008E0345" w:rsidRPr="00CB681C" w:rsidRDefault="008E0345" w:rsidP="00153229">
            <w:pPr>
              <w:pStyle w:val="ListParagraph"/>
              <w:spacing w:after="40"/>
              <w:ind w:left="0" w:right="-471"/>
              <w:contextualSpacing w:val="0"/>
              <w:jc w:val="both"/>
              <w:rPr>
                <w:rFonts w:asciiTheme="majorHAnsi" w:hAnsiTheme="majorHAnsi" w:cstheme="majorHAnsi"/>
                <w:color w:val="auto"/>
              </w:rPr>
            </w:pPr>
            <w:r w:rsidRPr="00CB681C">
              <w:rPr>
                <w:rFonts w:asciiTheme="majorHAnsi" w:hAnsiTheme="majorHAnsi" w:cstheme="majorHAnsi"/>
                <w:color w:val="auto"/>
              </w:rPr>
              <w:t>1.3</w:t>
            </w:r>
          </w:p>
        </w:tc>
        <w:tc>
          <w:tcPr>
            <w:tcW w:w="2857" w:type="dxa"/>
            <w:vMerge w:val="restart"/>
          </w:tcPr>
          <w:p w:rsidR="008E0345" w:rsidRPr="00CB681C" w:rsidRDefault="008E0345" w:rsidP="00B07FD8">
            <w:pPr>
              <w:pStyle w:val="ListParagraph"/>
              <w:spacing w:after="40"/>
              <w:ind w:left="0" w:right="67"/>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 xml:space="preserve">Jačanje funkcionalnih i finansijski nezavisnih opština u cilju obezbijeđivanja ravnomjernijeg razvoja svih </w:t>
            </w:r>
            <w:r w:rsidR="00D03918" w:rsidRPr="00333D01">
              <w:rPr>
                <w:rFonts w:asciiTheme="majorHAnsi" w:hAnsiTheme="majorHAnsi" w:cstheme="majorHAnsi"/>
                <w:color w:val="auto"/>
              </w:rPr>
              <w:t>JLS</w:t>
            </w:r>
          </w:p>
        </w:tc>
        <w:tc>
          <w:tcPr>
            <w:tcW w:w="3240" w:type="dxa"/>
            <w:tcBorders>
              <w:top w:val="single" w:sz="4" w:space="0" w:color="FFFFFF" w:themeColor="background1"/>
            </w:tcBorders>
          </w:tcPr>
          <w:p w:rsidR="008E0345" w:rsidRPr="00CB681C" w:rsidRDefault="008E0345" w:rsidP="00B07FD8">
            <w:pPr>
              <w:pStyle w:val="ListParagraph"/>
              <w:numPr>
                <w:ilvl w:val="0"/>
                <w:numId w:val="8"/>
              </w:numPr>
              <w:spacing w:after="40"/>
              <w:ind w:left="156"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Broj poslova u kojima je uspostavljena međuopštinska saradnja</w:t>
            </w:r>
          </w:p>
        </w:tc>
        <w:tc>
          <w:tcPr>
            <w:tcW w:w="2160" w:type="dxa"/>
            <w:tcBorders>
              <w:top w:val="single" w:sz="4" w:space="0" w:color="FFFFFF" w:themeColor="background1"/>
            </w:tcBorders>
          </w:tcPr>
          <w:p w:rsidR="008E0345" w:rsidRPr="00CB681C" w:rsidRDefault="00186F93" w:rsidP="00B07FD8">
            <w:pPr>
              <w:pStyle w:val="ListParagraph"/>
              <w:numPr>
                <w:ilvl w:val="0"/>
                <w:numId w:val="8"/>
              </w:numPr>
              <w:spacing w:after="40"/>
              <w:ind w:left="162" w:right="-383"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20 (2020)</w:t>
            </w:r>
          </w:p>
        </w:tc>
        <w:tc>
          <w:tcPr>
            <w:tcW w:w="2340" w:type="dxa"/>
            <w:tcBorders>
              <w:top w:val="single" w:sz="4" w:space="0" w:color="FFFFFF" w:themeColor="background1"/>
            </w:tcBorders>
          </w:tcPr>
          <w:p w:rsidR="008E0345" w:rsidRPr="00CB681C" w:rsidRDefault="00013803" w:rsidP="00153229">
            <w:pPr>
              <w:pStyle w:val="ListParagraph"/>
              <w:numPr>
                <w:ilvl w:val="0"/>
                <w:numId w:val="8"/>
              </w:numPr>
              <w:spacing w:after="40"/>
              <w:ind w:left="156" w:right="-471"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24</w:t>
            </w:r>
          </w:p>
        </w:tc>
        <w:tc>
          <w:tcPr>
            <w:tcW w:w="2070" w:type="dxa"/>
            <w:tcBorders>
              <w:top w:val="single" w:sz="4" w:space="0" w:color="FFFFFF" w:themeColor="background1"/>
            </w:tcBorders>
          </w:tcPr>
          <w:p w:rsidR="008E0345" w:rsidRPr="00CB681C" w:rsidRDefault="00186F93" w:rsidP="00153229">
            <w:pPr>
              <w:pStyle w:val="ListParagraph"/>
              <w:numPr>
                <w:ilvl w:val="0"/>
                <w:numId w:val="9"/>
              </w:numPr>
              <w:spacing w:after="40"/>
              <w:ind w:left="156" w:right="-471" w:hanging="15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30</w:t>
            </w:r>
          </w:p>
        </w:tc>
      </w:tr>
      <w:tr w:rsidR="004D5DFA" w:rsidRPr="00CB681C" w:rsidTr="00F26DBC">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473" w:type="dxa"/>
            <w:vMerge/>
          </w:tcPr>
          <w:p w:rsidR="00CC1B4C" w:rsidRPr="00CB681C" w:rsidRDefault="00CC1B4C" w:rsidP="00CC1B4C">
            <w:pPr>
              <w:pStyle w:val="ListParagraph"/>
              <w:spacing w:after="40"/>
              <w:ind w:left="0" w:right="-471"/>
              <w:contextualSpacing w:val="0"/>
              <w:jc w:val="both"/>
              <w:rPr>
                <w:rFonts w:asciiTheme="majorHAnsi" w:hAnsiTheme="majorHAnsi" w:cstheme="majorHAnsi"/>
                <w:color w:val="auto"/>
              </w:rPr>
            </w:pPr>
          </w:p>
        </w:tc>
        <w:tc>
          <w:tcPr>
            <w:tcW w:w="2857" w:type="dxa"/>
            <w:vMerge/>
          </w:tcPr>
          <w:p w:rsidR="00CC1B4C" w:rsidRPr="00CB681C" w:rsidRDefault="00CC1B4C" w:rsidP="00CC1B4C">
            <w:pPr>
              <w:pStyle w:val="ListParagraph"/>
              <w:spacing w:after="40"/>
              <w:ind w:left="0" w:right="67"/>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Borders>
              <w:top w:val="single" w:sz="4" w:space="0" w:color="FFFFFF" w:themeColor="background1"/>
            </w:tcBorders>
          </w:tcPr>
          <w:p w:rsidR="00CC1B4C" w:rsidRPr="00CB681C" w:rsidRDefault="00CC1B4C" w:rsidP="00CC1B4C">
            <w:pPr>
              <w:pStyle w:val="ListParagraph"/>
              <w:numPr>
                <w:ilvl w:val="0"/>
                <w:numId w:val="8"/>
              </w:numPr>
              <w:spacing w:after="40"/>
              <w:ind w:left="156"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Broj oblasti u kojima je uspostavljena međuopštinska saradnja</w:t>
            </w:r>
          </w:p>
        </w:tc>
        <w:tc>
          <w:tcPr>
            <w:tcW w:w="2160" w:type="dxa"/>
            <w:tcBorders>
              <w:top w:val="single" w:sz="4" w:space="0" w:color="FFFFFF" w:themeColor="background1"/>
            </w:tcBorders>
          </w:tcPr>
          <w:p w:rsidR="00CC1B4C" w:rsidRPr="00CB681C" w:rsidRDefault="00CC1B4C" w:rsidP="00CC1B4C">
            <w:pPr>
              <w:pStyle w:val="ListParagraph"/>
              <w:numPr>
                <w:ilvl w:val="0"/>
                <w:numId w:val="8"/>
              </w:numPr>
              <w:spacing w:after="40"/>
              <w:ind w:left="162" w:right="-383"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3 (2020)</w:t>
            </w:r>
            <w:r w:rsidRPr="00CB681C">
              <w:rPr>
                <w:rStyle w:val="FootnoteReference"/>
                <w:rFonts w:asciiTheme="majorHAnsi" w:hAnsiTheme="majorHAnsi" w:cstheme="majorHAnsi"/>
                <w:color w:val="auto"/>
              </w:rPr>
              <w:footnoteReference w:id="137"/>
            </w:r>
          </w:p>
        </w:tc>
        <w:tc>
          <w:tcPr>
            <w:tcW w:w="2340" w:type="dxa"/>
            <w:tcBorders>
              <w:top w:val="single" w:sz="4" w:space="0" w:color="FFFFFF" w:themeColor="background1"/>
            </w:tcBorders>
          </w:tcPr>
          <w:p w:rsidR="00CC1B4C" w:rsidRPr="00CB681C" w:rsidRDefault="00CC1B4C" w:rsidP="00CC1B4C">
            <w:pPr>
              <w:pStyle w:val="ListParagraph"/>
              <w:numPr>
                <w:ilvl w:val="0"/>
                <w:numId w:val="8"/>
              </w:numPr>
              <w:spacing w:after="40"/>
              <w:ind w:left="156" w:right="-471"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5</w:t>
            </w:r>
          </w:p>
        </w:tc>
        <w:tc>
          <w:tcPr>
            <w:tcW w:w="2070" w:type="dxa"/>
            <w:tcBorders>
              <w:top w:val="single" w:sz="4" w:space="0" w:color="FFFFFF" w:themeColor="background1"/>
            </w:tcBorders>
          </w:tcPr>
          <w:p w:rsidR="00CC1B4C" w:rsidRPr="00CB681C" w:rsidRDefault="00CC1B4C" w:rsidP="00CC1B4C">
            <w:pPr>
              <w:pStyle w:val="ListParagraph"/>
              <w:numPr>
                <w:ilvl w:val="0"/>
                <w:numId w:val="9"/>
              </w:numPr>
              <w:spacing w:after="40"/>
              <w:ind w:left="156" w:right="-471" w:hanging="15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7</w:t>
            </w:r>
          </w:p>
        </w:tc>
      </w:tr>
      <w:tr w:rsidR="004D5DFA" w:rsidRPr="00CB681C" w:rsidTr="00F26DBC">
        <w:trPr>
          <w:trHeight w:val="120"/>
        </w:trPr>
        <w:tc>
          <w:tcPr>
            <w:cnfStyle w:val="001000000000" w:firstRow="0" w:lastRow="0" w:firstColumn="1" w:lastColumn="0" w:oddVBand="0" w:evenVBand="0" w:oddHBand="0" w:evenHBand="0" w:firstRowFirstColumn="0" w:firstRowLastColumn="0" w:lastRowFirstColumn="0" w:lastRowLastColumn="0"/>
            <w:tcW w:w="473" w:type="dxa"/>
            <w:vMerge/>
          </w:tcPr>
          <w:p w:rsidR="00333D01" w:rsidRPr="00CB681C" w:rsidRDefault="00333D01" w:rsidP="00333D01">
            <w:pPr>
              <w:pStyle w:val="ListParagraph"/>
              <w:spacing w:after="40"/>
              <w:ind w:left="0" w:right="-471"/>
              <w:contextualSpacing w:val="0"/>
              <w:jc w:val="both"/>
              <w:rPr>
                <w:rFonts w:asciiTheme="majorHAnsi" w:hAnsiTheme="majorHAnsi" w:cstheme="majorHAnsi"/>
                <w:color w:val="auto"/>
              </w:rPr>
            </w:pPr>
          </w:p>
        </w:tc>
        <w:tc>
          <w:tcPr>
            <w:tcW w:w="2857" w:type="dxa"/>
            <w:vMerge/>
          </w:tcPr>
          <w:p w:rsidR="00333D01" w:rsidRPr="00CB681C" w:rsidRDefault="00333D01" w:rsidP="00333D01">
            <w:pPr>
              <w:pStyle w:val="ListParagraph"/>
              <w:spacing w:after="40"/>
              <w:ind w:left="0" w:right="67"/>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Borders>
              <w:top w:val="single" w:sz="4" w:space="0" w:color="auto"/>
              <w:bottom w:val="single" w:sz="4" w:space="0" w:color="auto"/>
            </w:tcBorders>
          </w:tcPr>
          <w:p w:rsidR="00333D01" w:rsidRPr="00CB681C" w:rsidRDefault="00333D01" w:rsidP="00333D01">
            <w:pPr>
              <w:pStyle w:val="ListParagraph"/>
              <w:numPr>
                <w:ilvl w:val="0"/>
                <w:numId w:val="8"/>
              </w:numPr>
              <w:spacing w:after="40"/>
              <w:ind w:left="156"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333D01">
              <w:rPr>
                <w:rFonts w:asciiTheme="majorHAnsi" w:hAnsiTheme="majorHAnsi" w:cstheme="majorHAnsi"/>
                <w:color w:val="auto"/>
              </w:rPr>
              <w:t>Ukupan iznos duga po kreditima u odnosu na njihove ukupne prihode, na nivou svih opstina.</w:t>
            </w:r>
          </w:p>
        </w:tc>
        <w:tc>
          <w:tcPr>
            <w:tcW w:w="2160" w:type="dxa"/>
            <w:tcBorders>
              <w:top w:val="single" w:sz="4" w:space="0" w:color="auto"/>
              <w:bottom w:val="single" w:sz="4" w:space="0" w:color="auto"/>
            </w:tcBorders>
            <w:vAlign w:val="center"/>
          </w:tcPr>
          <w:p w:rsidR="00333D01" w:rsidRPr="00CB681C" w:rsidRDefault="00333D01" w:rsidP="00333D01">
            <w:pPr>
              <w:pStyle w:val="ListParagraph"/>
              <w:spacing w:before="0"/>
              <w:ind w:left="162" w:right="-38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2,86%</w:t>
            </w:r>
          </w:p>
        </w:tc>
        <w:tc>
          <w:tcPr>
            <w:tcW w:w="2340" w:type="dxa"/>
            <w:tcBorders>
              <w:top w:val="single" w:sz="4" w:space="0" w:color="auto"/>
              <w:bottom w:val="single" w:sz="4" w:space="0" w:color="auto"/>
            </w:tcBorders>
            <w:vAlign w:val="center"/>
          </w:tcPr>
          <w:p w:rsidR="00333D01" w:rsidRPr="00CB681C" w:rsidRDefault="00333D01" w:rsidP="00333D01">
            <w:pPr>
              <w:pStyle w:val="ListParagraph"/>
              <w:numPr>
                <w:ilvl w:val="0"/>
                <w:numId w:val="8"/>
              </w:numPr>
              <w:spacing w:before="0"/>
              <w:ind w:left="246" w:right="-471" w:hanging="24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2,36%</w:t>
            </w:r>
          </w:p>
        </w:tc>
        <w:tc>
          <w:tcPr>
            <w:tcW w:w="2070" w:type="dxa"/>
            <w:tcBorders>
              <w:top w:val="single" w:sz="4" w:space="0" w:color="auto"/>
              <w:bottom w:val="single" w:sz="4" w:space="0" w:color="auto"/>
            </w:tcBorders>
            <w:vAlign w:val="center"/>
          </w:tcPr>
          <w:p w:rsidR="00333D01" w:rsidRPr="00CB681C" w:rsidRDefault="00333D01" w:rsidP="00333D01">
            <w:pPr>
              <w:pStyle w:val="ListParagraph"/>
              <w:numPr>
                <w:ilvl w:val="0"/>
                <w:numId w:val="9"/>
              </w:numPr>
              <w:spacing w:before="0"/>
              <w:ind w:left="156" w:right="-471" w:hanging="15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1,86%</w:t>
            </w:r>
          </w:p>
        </w:tc>
      </w:tr>
    </w:tbl>
    <w:p w:rsidR="00DD1086" w:rsidRPr="00CB681C" w:rsidRDefault="001F57BE" w:rsidP="00153229">
      <w:pPr>
        <w:pStyle w:val="Heading2"/>
        <w:spacing w:before="120" w:after="120"/>
        <w:ind w:right="-471"/>
        <w:jc w:val="both"/>
        <w:rPr>
          <w:rFonts w:cstheme="majorHAnsi"/>
          <w:b/>
          <w:color w:val="auto"/>
          <w:sz w:val="20"/>
        </w:rPr>
      </w:pPr>
      <w:r w:rsidRPr="00CB681C">
        <w:rPr>
          <w:rFonts w:cstheme="majorHAnsi"/>
          <w:b/>
          <w:color w:val="auto"/>
          <w:sz w:val="20"/>
        </w:rPr>
        <w:t xml:space="preserve"> </w:t>
      </w:r>
    </w:p>
    <w:tbl>
      <w:tblPr>
        <w:tblStyle w:val="GridTable5Dark-Accent1"/>
        <w:tblW w:w="13140" w:type="dxa"/>
        <w:tblInd w:w="-275" w:type="dxa"/>
        <w:tblLook w:val="04A0" w:firstRow="1" w:lastRow="0" w:firstColumn="1" w:lastColumn="0" w:noHBand="0" w:noVBand="1"/>
      </w:tblPr>
      <w:tblGrid>
        <w:gridCol w:w="473"/>
        <w:gridCol w:w="2857"/>
        <w:gridCol w:w="3240"/>
        <w:gridCol w:w="2160"/>
        <w:gridCol w:w="2340"/>
        <w:gridCol w:w="2070"/>
      </w:tblGrid>
      <w:tr w:rsidR="00AC188A" w:rsidRPr="00CB681C" w:rsidTr="00F26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0" w:type="dxa"/>
            <w:gridSpan w:val="6"/>
          </w:tcPr>
          <w:p w:rsidR="00DD1086" w:rsidRPr="001014EF" w:rsidRDefault="00DD1086" w:rsidP="00153229">
            <w:pPr>
              <w:pStyle w:val="ListParagraph"/>
              <w:spacing w:before="120" w:after="120"/>
              <w:ind w:left="0" w:right="-471"/>
              <w:contextualSpacing w:val="0"/>
              <w:jc w:val="both"/>
              <w:rPr>
                <w:rFonts w:asciiTheme="majorHAnsi" w:hAnsiTheme="majorHAnsi" w:cstheme="majorHAnsi"/>
                <w:caps/>
                <w:color w:val="auto"/>
                <w:sz w:val="24"/>
                <w:szCs w:val="24"/>
              </w:rPr>
            </w:pPr>
            <w:r w:rsidRPr="001014EF">
              <w:rPr>
                <w:rFonts w:asciiTheme="majorHAnsi" w:hAnsiTheme="majorHAnsi" w:cstheme="majorHAnsi"/>
                <w:color w:val="auto"/>
                <w:sz w:val="24"/>
                <w:szCs w:val="24"/>
              </w:rPr>
              <w:t>STRATEŠKI CILJ 2: GRAĐANI I PRIVREDA KORISTE KVALITET</w:t>
            </w:r>
            <w:r w:rsidR="00023F33" w:rsidRPr="001014EF">
              <w:rPr>
                <w:rFonts w:asciiTheme="majorHAnsi" w:hAnsiTheme="majorHAnsi" w:cstheme="majorHAnsi"/>
                <w:color w:val="auto"/>
                <w:sz w:val="24"/>
                <w:szCs w:val="24"/>
              </w:rPr>
              <w:t>N</w:t>
            </w:r>
            <w:r w:rsidRPr="001014EF">
              <w:rPr>
                <w:rFonts w:asciiTheme="majorHAnsi" w:hAnsiTheme="majorHAnsi" w:cstheme="majorHAnsi"/>
                <w:color w:val="auto"/>
                <w:sz w:val="24"/>
                <w:szCs w:val="24"/>
              </w:rPr>
              <w:t>E USLUGE JAVNE UPRAVE</w:t>
            </w:r>
          </w:p>
        </w:tc>
      </w:tr>
      <w:tr w:rsidR="00CB681C" w:rsidRPr="00CB681C" w:rsidTr="00F26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gridSpan w:val="2"/>
            <w:vAlign w:val="center"/>
          </w:tcPr>
          <w:p w:rsidR="00DD1086" w:rsidRPr="00CB681C" w:rsidRDefault="0090165A" w:rsidP="00153229">
            <w:pPr>
              <w:pStyle w:val="ListParagraph"/>
              <w:spacing w:after="40"/>
              <w:ind w:left="0" w:right="-471"/>
              <w:contextualSpacing w:val="0"/>
              <w:jc w:val="center"/>
              <w:rPr>
                <w:rFonts w:asciiTheme="majorHAnsi" w:hAnsiTheme="majorHAnsi" w:cstheme="majorHAnsi"/>
                <w:color w:val="auto"/>
              </w:rPr>
            </w:pPr>
            <w:r w:rsidRPr="00CB681C">
              <w:rPr>
                <w:rFonts w:asciiTheme="majorHAnsi" w:hAnsiTheme="majorHAnsi" w:cstheme="majorHAnsi"/>
                <w:color w:val="auto"/>
              </w:rPr>
              <w:t>OPERATIVNI CILJEVI</w:t>
            </w:r>
          </w:p>
        </w:tc>
        <w:tc>
          <w:tcPr>
            <w:tcW w:w="3240" w:type="dxa"/>
            <w:vAlign w:val="center"/>
          </w:tcPr>
          <w:p w:rsidR="00DD1086" w:rsidRPr="00CB681C" w:rsidRDefault="00DD1086" w:rsidP="00153229">
            <w:pPr>
              <w:pStyle w:val="ListParagraph"/>
              <w:spacing w:after="40"/>
              <w:ind w:left="0" w:right="-471"/>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Indikator učinka</w:t>
            </w:r>
          </w:p>
        </w:tc>
        <w:tc>
          <w:tcPr>
            <w:tcW w:w="2160" w:type="dxa"/>
            <w:vAlign w:val="center"/>
          </w:tcPr>
          <w:p w:rsidR="00DD1086" w:rsidRPr="00CB681C" w:rsidRDefault="00DD1086" w:rsidP="00B07FD8">
            <w:pPr>
              <w:pStyle w:val="ListParagraph"/>
              <w:spacing w:after="40"/>
              <w:ind w:left="0"/>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Početna vrijednost</w:t>
            </w:r>
          </w:p>
        </w:tc>
        <w:tc>
          <w:tcPr>
            <w:tcW w:w="2340" w:type="dxa"/>
            <w:vAlign w:val="center"/>
          </w:tcPr>
          <w:p w:rsidR="00DD1086" w:rsidRPr="00CB681C" w:rsidRDefault="00DD1086" w:rsidP="00B07FD8">
            <w:pPr>
              <w:pStyle w:val="ListParagraph"/>
              <w:spacing w:after="40"/>
              <w:ind w:left="0" w:right="-111"/>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Ciljana vrijednost do 2024.</w:t>
            </w:r>
          </w:p>
        </w:tc>
        <w:tc>
          <w:tcPr>
            <w:tcW w:w="2070" w:type="dxa"/>
            <w:vAlign w:val="center"/>
          </w:tcPr>
          <w:p w:rsidR="00DD1086" w:rsidRPr="00CB681C" w:rsidRDefault="00DD1086" w:rsidP="00B07FD8">
            <w:pPr>
              <w:pStyle w:val="ListParagraph"/>
              <w:spacing w:after="40"/>
              <w:ind w:left="0"/>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Ciljana vrijednost u 2026.</w:t>
            </w:r>
          </w:p>
        </w:tc>
      </w:tr>
      <w:tr w:rsidR="00333D01" w:rsidRPr="00CB681C" w:rsidTr="00F26DBC">
        <w:trPr>
          <w:trHeight w:val="847"/>
        </w:trPr>
        <w:tc>
          <w:tcPr>
            <w:cnfStyle w:val="001000000000" w:firstRow="0" w:lastRow="0" w:firstColumn="1" w:lastColumn="0" w:oddVBand="0" w:evenVBand="0" w:oddHBand="0" w:evenHBand="0" w:firstRowFirstColumn="0" w:firstRowLastColumn="0" w:lastRowFirstColumn="0" w:lastRowLastColumn="0"/>
            <w:tcW w:w="473" w:type="dxa"/>
          </w:tcPr>
          <w:p w:rsidR="00333D01" w:rsidRPr="00CB681C" w:rsidRDefault="00333D01" w:rsidP="00333D01">
            <w:pPr>
              <w:pStyle w:val="ListParagraph"/>
              <w:spacing w:after="40"/>
              <w:ind w:left="0" w:right="-471"/>
              <w:contextualSpacing w:val="0"/>
              <w:jc w:val="both"/>
              <w:rPr>
                <w:rFonts w:asciiTheme="majorHAnsi" w:hAnsiTheme="majorHAnsi" w:cstheme="majorHAnsi"/>
                <w:color w:val="auto"/>
              </w:rPr>
            </w:pPr>
            <w:r w:rsidRPr="00CB681C">
              <w:rPr>
                <w:rFonts w:asciiTheme="majorHAnsi" w:hAnsiTheme="majorHAnsi" w:cstheme="majorHAnsi"/>
                <w:color w:val="auto"/>
              </w:rPr>
              <w:t>2.1</w:t>
            </w:r>
          </w:p>
        </w:tc>
        <w:tc>
          <w:tcPr>
            <w:tcW w:w="2857" w:type="dxa"/>
          </w:tcPr>
          <w:p w:rsidR="00333D01" w:rsidRPr="00CB681C" w:rsidRDefault="00333D01" w:rsidP="00333D01">
            <w:pPr>
              <w:spacing w:after="40"/>
              <w:ind w:right="-2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333D01">
              <w:rPr>
                <w:rFonts w:asciiTheme="majorHAnsi" w:hAnsiTheme="majorHAnsi" w:cstheme="majorHAnsi"/>
                <w:color w:val="auto"/>
              </w:rPr>
              <w:t>Efikasnije pružanje usluga i uvođenje upravljanja kvalitetom pruženih usluga</w:t>
            </w:r>
          </w:p>
        </w:tc>
        <w:tc>
          <w:tcPr>
            <w:tcW w:w="3240" w:type="dxa"/>
          </w:tcPr>
          <w:p w:rsidR="00333D01" w:rsidRPr="00CB681C" w:rsidRDefault="00333D01" w:rsidP="00333D01">
            <w:pPr>
              <w:pStyle w:val="ListParagraph"/>
              <w:numPr>
                <w:ilvl w:val="0"/>
                <w:numId w:val="8"/>
              </w:numPr>
              <w:spacing w:after="40"/>
              <w:ind w:left="156"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333D01">
              <w:rPr>
                <w:rFonts w:asciiTheme="majorHAnsi" w:hAnsiTheme="majorHAnsi" w:cstheme="majorHAnsi"/>
                <w:color w:val="auto"/>
              </w:rPr>
              <w:t>Pilot institucije  u kojima je izvršeno mapiranje procesa u cilju optimizacije unutrašnjih procesa i kvaliteta pružene usluge</w:t>
            </w:r>
          </w:p>
        </w:tc>
        <w:tc>
          <w:tcPr>
            <w:tcW w:w="2160" w:type="dxa"/>
          </w:tcPr>
          <w:p w:rsidR="00333D01" w:rsidRPr="00CB681C" w:rsidRDefault="00333D01" w:rsidP="00333D01">
            <w:pPr>
              <w:pStyle w:val="ListParagraph"/>
              <w:numPr>
                <w:ilvl w:val="0"/>
                <w:numId w:val="8"/>
              </w:numPr>
              <w:spacing w:after="40"/>
              <w:ind w:left="156"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333D01">
              <w:rPr>
                <w:rFonts w:asciiTheme="majorHAnsi" w:hAnsiTheme="majorHAnsi" w:cstheme="majorHAnsi"/>
                <w:color w:val="auto"/>
              </w:rPr>
              <w:t>0</w:t>
            </w:r>
          </w:p>
        </w:tc>
        <w:tc>
          <w:tcPr>
            <w:tcW w:w="2340" w:type="dxa"/>
          </w:tcPr>
          <w:p w:rsidR="00333D01" w:rsidRPr="00CB681C" w:rsidRDefault="00333D01" w:rsidP="00333D01">
            <w:pPr>
              <w:pStyle w:val="ListParagraph"/>
              <w:numPr>
                <w:ilvl w:val="0"/>
                <w:numId w:val="8"/>
              </w:numPr>
              <w:spacing w:after="40"/>
              <w:ind w:left="156"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333D01">
              <w:rPr>
                <w:rFonts w:asciiTheme="majorHAnsi" w:hAnsiTheme="majorHAnsi" w:cstheme="majorHAnsi"/>
                <w:color w:val="auto"/>
              </w:rPr>
              <w:t>5</w:t>
            </w:r>
          </w:p>
        </w:tc>
        <w:tc>
          <w:tcPr>
            <w:tcW w:w="2070" w:type="dxa"/>
          </w:tcPr>
          <w:p w:rsidR="00333D01" w:rsidRPr="00CB681C" w:rsidRDefault="00333D01" w:rsidP="00333D01">
            <w:pPr>
              <w:pStyle w:val="ListParagraph"/>
              <w:numPr>
                <w:ilvl w:val="0"/>
                <w:numId w:val="8"/>
              </w:numPr>
              <w:spacing w:after="40"/>
              <w:ind w:left="156"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Pr>
                <w:rFonts w:asciiTheme="majorHAnsi" w:hAnsiTheme="majorHAnsi" w:cstheme="majorHAnsi"/>
                <w:color w:val="auto"/>
              </w:rPr>
              <w:t>15</w:t>
            </w:r>
          </w:p>
        </w:tc>
      </w:tr>
      <w:tr w:rsidR="00333D01" w:rsidRPr="00CB681C" w:rsidTr="00F26DBC">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473" w:type="dxa"/>
          </w:tcPr>
          <w:p w:rsidR="00333D01" w:rsidRPr="00CB681C" w:rsidRDefault="00333D01" w:rsidP="00333D01">
            <w:pPr>
              <w:pStyle w:val="ListParagraph"/>
              <w:spacing w:after="40"/>
              <w:ind w:left="0" w:right="-471"/>
              <w:contextualSpacing w:val="0"/>
              <w:jc w:val="both"/>
              <w:rPr>
                <w:rFonts w:asciiTheme="majorHAnsi" w:hAnsiTheme="majorHAnsi" w:cstheme="majorHAnsi"/>
                <w:color w:val="auto"/>
              </w:rPr>
            </w:pPr>
          </w:p>
        </w:tc>
        <w:tc>
          <w:tcPr>
            <w:tcW w:w="2857" w:type="dxa"/>
          </w:tcPr>
          <w:p w:rsidR="00333D01" w:rsidRPr="00333D01" w:rsidRDefault="00333D01" w:rsidP="00333D01">
            <w:pPr>
              <w:spacing w:after="40"/>
              <w:ind w:right="-2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Pr>
          <w:p w:rsidR="00333D01" w:rsidRPr="00CB681C" w:rsidRDefault="00333D01" w:rsidP="00333D01">
            <w:pPr>
              <w:pStyle w:val="ListParagraph"/>
              <w:numPr>
                <w:ilvl w:val="0"/>
                <w:numId w:val="8"/>
              </w:numPr>
              <w:spacing w:after="40"/>
              <w:ind w:left="156"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333D01">
              <w:rPr>
                <w:rFonts w:asciiTheme="majorHAnsi" w:hAnsiTheme="majorHAnsi" w:cstheme="majorHAnsi"/>
                <w:color w:val="auto"/>
              </w:rPr>
              <w:t xml:space="preserve">Zadovoljstvo građana javnim uslugama (Balkan barometar) </w:t>
            </w:r>
          </w:p>
        </w:tc>
        <w:tc>
          <w:tcPr>
            <w:tcW w:w="2160" w:type="dxa"/>
          </w:tcPr>
          <w:p w:rsidR="00333D01" w:rsidRPr="00CB681C" w:rsidRDefault="00333D01" w:rsidP="00333D01">
            <w:pPr>
              <w:pStyle w:val="ListParagraph"/>
              <w:numPr>
                <w:ilvl w:val="0"/>
                <w:numId w:val="8"/>
              </w:numPr>
              <w:spacing w:after="40"/>
              <w:ind w:left="156"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333D01">
              <w:rPr>
                <w:rFonts w:asciiTheme="majorHAnsi" w:hAnsiTheme="majorHAnsi" w:cstheme="majorHAnsi"/>
                <w:color w:val="auto"/>
              </w:rPr>
              <w:t>3,3</w:t>
            </w:r>
          </w:p>
        </w:tc>
        <w:tc>
          <w:tcPr>
            <w:tcW w:w="2340" w:type="dxa"/>
          </w:tcPr>
          <w:p w:rsidR="00333D01" w:rsidRPr="00CB681C" w:rsidRDefault="00333D01" w:rsidP="00333D01">
            <w:pPr>
              <w:pStyle w:val="ListParagraph"/>
              <w:numPr>
                <w:ilvl w:val="0"/>
                <w:numId w:val="8"/>
              </w:numPr>
              <w:spacing w:after="40"/>
              <w:ind w:left="156"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333D01">
              <w:rPr>
                <w:rFonts w:asciiTheme="majorHAnsi" w:hAnsiTheme="majorHAnsi" w:cstheme="majorHAnsi"/>
                <w:color w:val="auto"/>
              </w:rPr>
              <w:t>3,5</w:t>
            </w:r>
          </w:p>
        </w:tc>
        <w:tc>
          <w:tcPr>
            <w:tcW w:w="2070" w:type="dxa"/>
          </w:tcPr>
          <w:p w:rsidR="00333D01" w:rsidRPr="00CB681C" w:rsidRDefault="00333D01" w:rsidP="00333D01">
            <w:pPr>
              <w:pStyle w:val="ListParagraph"/>
              <w:numPr>
                <w:ilvl w:val="0"/>
                <w:numId w:val="8"/>
              </w:numPr>
              <w:spacing w:after="40"/>
              <w:ind w:left="156"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Pr>
                <w:rFonts w:asciiTheme="majorHAnsi" w:hAnsiTheme="majorHAnsi" w:cstheme="majorHAnsi"/>
                <w:color w:val="auto"/>
              </w:rPr>
              <w:t>3,7</w:t>
            </w:r>
          </w:p>
        </w:tc>
      </w:tr>
      <w:tr w:rsidR="00333D01" w:rsidRPr="00CB681C" w:rsidTr="00F26DBC">
        <w:trPr>
          <w:trHeight w:val="847"/>
        </w:trPr>
        <w:tc>
          <w:tcPr>
            <w:cnfStyle w:val="001000000000" w:firstRow="0" w:lastRow="0" w:firstColumn="1" w:lastColumn="0" w:oddVBand="0" w:evenVBand="0" w:oddHBand="0" w:evenHBand="0" w:firstRowFirstColumn="0" w:firstRowLastColumn="0" w:lastRowFirstColumn="0" w:lastRowLastColumn="0"/>
            <w:tcW w:w="473" w:type="dxa"/>
          </w:tcPr>
          <w:p w:rsidR="00333D01" w:rsidRPr="00CB681C" w:rsidRDefault="00333D01" w:rsidP="00333D01">
            <w:pPr>
              <w:pStyle w:val="ListParagraph"/>
              <w:spacing w:after="40"/>
              <w:ind w:left="0" w:right="-471"/>
              <w:contextualSpacing w:val="0"/>
              <w:jc w:val="both"/>
              <w:rPr>
                <w:rFonts w:asciiTheme="majorHAnsi" w:hAnsiTheme="majorHAnsi" w:cstheme="majorHAnsi"/>
                <w:color w:val="auto"/>
              </w:rPr>
            </w:pPr>
          </w:p>
        </w:tc>
        <w:tc>
          <w:tcPr>
            <w:tcW w:w="2857" w:type="dxa"/>
          </w:tcPr>
          <w:p w:rsidR="00333D01" w:rsidRPr="00333D01" w:rsidRDefault="00333D01" w:rsidP="00333D01">
            <w:pPr>
              <w:spacing w:after="40"/>
              <w:ind w:right="-2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Pr>
          <w:p w:rsidR="00333D01" w:rsidRPr="00CB681C" w:rsidRDefault="00333D01" w:rsidP="00333D01">
            <w:pPr>
              <w:pStyle w:val="ListParagraph"/>
              <w:numPr>
                <w:ilvl w:val="0"/>
                <w:numId w:val="8"/>
              </w:numPr>
              <w:spacing w:after="40"/>
              <w:ind w:left="156"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333D01">
              <w:rPr>
                <w:rFonts w:asciiTheme="majorHAnsi" w:hAnsiTheme="majorHAnsi" w:cstheme="majorHAnsi"/>
                <w:color w:val="auto"/>
              </w:rPr>
              <w:t>% upravnih akata poništen od strane Upravnog suda</w:t>
            </w:r>
          </w:p>
        </w:tc>
        <w:tc>
          <w:tcPr>
            <w:tcW w:w="2160" w:type="dxa"/>
          </w:tcPr>
          <w:p w:rsidR="00333D01" w:rsidRPr="00CB681C" w:rsidRDefault="00333D01" w:rsidP="00333D01">
            <w:pPr>
              <w:pStyle w:val="ListParagraph"/>
              <w:numPr>
                <w:ilvl w:val="0"/>
                <w:numId w:val="8"/>
              </w:numPr>
              <w:spacing w:after="40"/>
              <w:ind w:left="156"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333D01">
              <w:rPr>
                <w:rFonts w:asciiTheme="majorHAnsi" w:hAnsiTheme="majorHAnsi" w:cstheme="majorHAnsi"/>
                <w:color w:val="auto"/>
              </w:rPr>
              <w:t>20,33%</w:t>
            </w:r>
          </w:p>
        </w:tc>
        <w:tc>
          <w:tcPr>
            <w:tcW w:w="2340" w:type="dxa"/>
          </w:tcPr>
          <w:p w:rsidR="00333D01" w:rsidRPr="00CB681C" w:rsidRDefault="00333D01" w:rsidP="00333D01">
            <w:pPr>
              <w:pStyle w:val="ListParagraph"/>
              <w:numPr>
                <w:ilvl w:val="0"/>
                <w:numId w:val="8"/>
              </w:numPr>
              <w:spacing w:after="40"/>
              <w:ind w:left="156"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333D01">
              <w:rPr>
                <w:rFonts w:asciiTheme="majorHAnsi" w:hAnsiTheme="majorHAnsi" w:cstheme="majorHAnsi"/>
                <w:color w:val="auto"/>
              </w:rPr>
              <w:t>20%</w:t>
            </w:r>
          </w:p>
        </w:tc>
        <w:tc>
          <w:tcPr>
            <w:tcW w:w="2070" w:type="dxa"/>
          </w:tcPr>
          <w:p w:rsidR="00333D01" w:rsidRPr="00CB681C" w:rsidRDefault="00333D01" w:rsidP="00333D01">
            <w:pPr>
              <w:pStyle w:val="ListParagraph"/>
              <w:numPr>
                <w:ilvl w:val="0"/>
                <w:numId w:val="8"/>
              </w:numPr>
              <w:spacing w:after="40"/>
              <w:ind w:left="156"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Pr>
                <w:rFonts w:asciiTheme="majorHAnsi" w:hAnsiTheme="majorHAnsi" w:cstheme="majorHAnsi"/>
                <w:color w:val="auto"/>
              </w:rPr>
              <w:t>18%</w:t>
            </w:r>
          </w:p>
        </w:tc>
      </w:tr>
      <w:tr w:rsidR="00AC188A" w:rsidRPr="00CB681C" w:rsidTr="00F26DBC">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473" w:type="dxa"/>
            <w:vMerge w:val="restart"/>
          </w:tcPr>
          <w:p w:rsidR="003A074D" w:rsidRPr="00CB681C" w:rsidRDefault="003A074D" w:rsidP="00153229">
            <w:pPr>
              <w:pStyle w:val="ListParagraph"/>
              <w:spacing w:after="40"/>
              <w:ind w:left="0" w:right="-471"/>
              <w:contextualSpacing w:val="0"/>
              <w:jc w:val="both"/>
              <w:rPr>
                <w:rFonts w:asciiTheme="majorHAnsi" w:hAnsiTheme="majorHAnsi" w:cstheme="majorHAnsi"/>
                <w:color w:val="auto"/>
              </w:rPr>
            </w:pPr>
            <w:r w:rsidRPr="00CB681C">
              <w:rPr>
                <w:rFonts w:asciiTheme="majorHAnsi" w:hAnsiTheme="majorHAnsi" w:cstheme="majorHAnsi"/>
                <w:color w:val="auto"/>
              </w:rPr>
              <w:t>2.2</w:t>
            </w:r>
          </w:p>
        </w:tc>
        <w:tc>
          <w:tcPr>
            <w:tcW w:w="2857" w:type="dxa"/>
            <w:vMerge w:val="restart"/>
          </w:tcPr>
          <w:p w:rsidR="003A074D" w:rsidRPr="00CB681C" w:rsidRDefault="003A074D" w:rsidP="00B07FD8">
            <w:pPr>
              <w:spacing w:after="40"/>
              <w:ind w:right="-2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Puna inter</w:t>
            </w:r>
            <w:r w:rsidR="00EA3286" w:rsidRPr="00CB681C">
              <w:rPr>
                <w:rFonts w:asciiTheme="majorHAnsi" w:hAnsiTheme="majorHAnsi" w:cstheme="majorHAnsi"/>
                <w:color w:val="auto"/>
              </w:rPr>
              <w:t>oper</w:t>
            </w:r>
            <w:r w:rsidRPr="00CB681C">
              <w:rPr>
                <w:rFonts w:asciiTheme="majorHAnsi" w:hAnsiTheme="majorHAnsi" w:cstheme="majorHAnsi"/>
                <w:color w:val="auto"/>
              </w:rPr>
              <w:t>abilnost informacionih sistema i povjećanje broja elektronskih usluga na visokom nivou sofisticiranosti</w:t>
            </w:r>
          </w:p>
        </w:tc>
        <w:tc>
          <w:tcPr>
            <w:tcW w:w="3240" w:type="dxa"/>
          </w:tcPr>
          <w:p w:rsidR="003A074D" w:rsidRPr="00CB681C" w:rsidRDefault="003A074D" w:rsidP="00B43D4E">
            <w:pPr>
              <w:pStyle w:val="ListParagraph"/>
              <w:numPr>
                <w:ilvl w:val="0"/>
                <w:numId w:val="12"/>
              </w:numPr>
              <w:spacing w:after="40"/>
              <w:ind w:left="163" w:right="-20" w:hanging="163"/>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Broj digitalizovanih  usluga na jedinstvenom portalu iz oblasti definisanih shodno EU metodologiji „eGoverment benchmark „</w:t>
            </w:r>
            <w:r w:rsidRPr="00CB681C">
              <w:rPr>
                <w:rStyle w:val="FootnoteReference"/>
                <w:rFonts w:asciiTheme="majorHAnsi" w:hAnsiTheme="majorHAnsi" w:cstheme="majorHAnsi"/>
                <w:color w:val="auto"/>
              </w:rPr>
              <w:footnoteReference w:id="138"/>
            </w:r>
          </w:p>
        </w:tc>
        <w:tc>
          <w:tcPr>
            <w:tcW w:w="2160" w:type="dxa"/>
          </w:tcPr>
          <w:p w:rsidR="003A074D" w:rsidRPr="00CB681C" w:rsidRDefault="003A074D" w:rsidP="00B43D4E">
            <w:pPr>
              <w:pStyle w:val="ListParagraph"/>
              <w:numPr>
                <w:ilvl w:val="0"/>
                <w:numId w:val="12"/>
              </w:numPr>
              <w:spacing w:after="40"/>
              <w:ind w:left="162" w:right="-471"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0 (2020)</w:t>
            </w:r>
          </w:p>
        </w:tc>
        <w:tc>
          <w:tcPr>
            <w:tcW w:w="2340" w:type="dxa"/>
          </w:tcPr>
          <w:p w:rsidR="003A074D" w:rsidRPr="00CB681C" w:rsidRDefault="003A074D" w:rsidP="00B43D4E">
            <w:pPr>
              <w:pStyle w:val="ListParagraph"/>
              <w:numPr>
                <w:ilvl w:val="0"/>
                <w:numId w:val="12"/>
              </w:numPr>
              <w:spacing w:after="40"/>
              <w:ind w:left="150" w:hanging="15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10 digitalizovanih usluga na jedinstvenom portalu</w:t>
            </w:r>
          </w:p>
        </w:tc>
        <w:tc>
          <w:tcPr>
            <w:tcW w:w="2070" w:type="dxa"/>
          </w:tcPr>
          <w:p w:rsidR="003A074D" w:rsidRPr="00CB681C" w:rsidRDefault="003A074D" w:rsidP="00B43D4E">
            <w:pPr>
              <w:pStyle w:val="ListParagraph"/>
              <w:numPr>
                <w:ilvl w:val="0"/>
                <w:numId w:val="12"/>
              </w:numPr>
              <w:spacing w:after="40"/>
              <w:ind w:left="246" w:right="71" w:hanging="24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20 digitalizovanih usluga na jedinstvenom portalu</w:t>
            </w:r>
          </w:p>
        </w:tc>
      </w:tr>
      <w:tr w:rsidR="00AC188A" w:rsidRPr="00CB681C" w:rsidTr="00F26DBC">
        <w:trPr>
          <w:trHeight w:val="622"/>
        </w:trPr>
        <w:tc>
          <w:tcPr>
            <w:cnfStyle w:val="001000000000" w:firstRow="0" w:lastRow="0" w:firstColumn="1" w:lastColumn="0" w:oddVBand="0" w:evenVBand="0" w:oddHBand="0" w:evenHBand="0" w:firstRowFirstColumn="0" w:firstRowLastColumn="0" w:lastRowFirstColumn="0" w:lastRowLastColumn="0"/>
            <w:tcW w:w="473" w:type="dxa"/>
            <w:vMerge/>
          </w:tcPr>
          <w:p w:rsidR="003A074D" w:rsidRPr="00CB681C" w:rsidRDefault="003A074D" w:rsidP="00153229">
            <w:pPr>
              <w:pStyle w:val="ListParagraph"/>
              <w:spacing w:after="40"/>
              <w:ind w:left="0" w:right="-471"/>
              <w:contextualSpacing w:val="0"/>
              <w:jc w:val="both"/>
              <w:rPr>
                <w:rFonts w:asciiTheme="majorHAnsi" w:hAnsiTheme="majorHAnsi" w:cstheme="majorHAnsi"/>
                <w:color w:val="auto"/>
              </w:rPr>
            </w:pPr>
          </w:p>
        </w:tc>
        <w:tc>
          <w:tcPr>
            <w:tcW w:w="2857" w:type="dxa"/>
            <w:vMerge/>
          </w:tcPr>
          <w:p w:rsidR="003A074D" w:rsidRPr="00CB681C" w:rsidRDefault="003A074D" w:rsidP="00153229">
            <w:pPr>
              <w:spacing w:after="40"/>
              <w:ind w:right="-47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Pr>
          <w:p w:rsidR="003A074D" w:rsidRPr="00CB681C" w:rsidRDefault="00D478E2" w:rsidP="00B43D4E">
            <w:pPr>
              <w:pStyle w:val="ListParagraph"/>
              <w:numPr>
                <w:ilvl w:val="0"/>
                <w:numId w:val="12"/>
              </w:numPr>
              <w:spacing w:after="40"/>
              <w:ind w:left="163" w:right="-20" w:hanging="163"/>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w:t>
            </w:r>
            <w:r w:rsidR="003A074D" w:rsidRPr="00CB681C">
              <w:rPr>
                <w:rFonts w:asciiTheme="majorHAnsi" w:hAnsiTheme="majorHAnsi" w:cstheme="majorHAnsi"/>
                <w:color w:val="auto"/>
              </w:rPr>
              <w:t xml:space="preserve"> elektronski podnešenih zahtjeva u odnosu na ukupan broj podnešenih zahtjeva od strane korisnika za korišćenje pilot usluge</w:t>
            </w:r>
            <w:r w:rsidR="003A074D" w:rsidRPr="00CB681C">
              <w:rPr>
                <w:rStyle w:val="FootnoteReference"/>
                <w:rFonts w:asciiTheme="majorHAnsi" w:hAnsiTheme="majorHAnsi" w:cstheme="majorHAnsi"/>
                <w:color w:val="auto"/>
              </w:rPr>
              <w:footnoteReference w:id="139"/>
            </w:r>
          </w:p>
        </w:tc>
        <w:tc>
          <w:tcPr>
            <w:tcW w:w="2160" w:type="dxa"/>
          </w:tcPr>
          <w:p w:rsidR="003A074D" w:rsidRPr="00CB681C" w:rsidRDefault="003A074D" w:rsidP="00B43D4E">
            <w:pPr>
              <w:pStyle w:val="ListParagraph"/>
              <w:numPr>
                <w:ilvl w:val="0"/>
                <w:numId w:val="12"/>
              </w:numPr>
              <w:spacing w:after="40"/>
              <w:ind w:left="162" w:right="-471"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0</w:t>
            </w:r>
          </w:p>
        </w:tc>
        <w:tc>
          <w:tcPr>
            <w:tcW w:w="2340" w:type="dxa"/>
          </w:tcPr>
          <w:p w:rsidR="003A074D" w:rsidRPr="00CB681C" w:rsidRDefault="003A074D" w:rsidP="00B43D4E">
            <w:pPr>
              <w:pStyle w:val="ListParagraph"/>
              <w:numPr>
                <w:ilvl w:val="0"/>
                <w:numId w:val="12"/>
              </w:numPr>
              <w:spacing w:after="40"/>
              <w:ind w:left="156" w:hanging="15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15%</w:t>
            </w:r>
            <w:r w:rsidR="00D478E2" w:rsidRPr="00CB681C">
              <w:rPr>
                <w:rFonts w:asciiTheme="majorHAnsi" w:hAnsiTheme="majorHAnsi" w:cstheme="majorHAnsi"/>
                <w:color w:val="auto"/>
              </w:rPr>
              <w:t xml:space="preserve"> po pilot usluzi</w:t>
            </w:r>
          </w:p>
        </w:tc>
        <w:tc>
          <w:tcPr>
            <w:tcW w:w="2070" w:type="dxa"/>
          </w:tcPr>
          <w:p w:rsidR="003A074D" w:rsidRPr="00CB681C" w:rsidRDefault="003A074D" w:rsidP="00B43D4E">
            <w:pPr>
              <w:pStyle w:val="ListParagraph"/>
              <w:numPr>
                <w:ilvl w:val="0"/>
                <w:numId w:val="12"/>
              </w:numPr>
              <w:spacing w:after="40"/>
              <w:ind w:left="246" w:right="71" w:hanging="24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45%</w:t>
            </w:r>
            <w:r w:rsidR="00D478E2" w:rsidRPr="00CB681C">
              <w:rPr>
                <w:rFonts w:asciiTheme="majorHAnsi" w:hAnsiTheme="majorHAnsi" w:cstheme="majorHAnsi"/>
                <w:color w:val="auto"/>
              </w:rPr>
              <w:t xml:space="preserve"> po pilot usluzi</w:t>
            </w:r>
          </w:p>
        </w:tc>
      </w:tr>
      <w:tr w:rsidR="00AC188A" w:rsidRPr="00CB681C" w:rsidTr="00F26DBC">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473" w:type="dxa"/>
            <w:vMerge/>
          </w:tcPr>
          <w:p w:rsidR="00567258" w:rsidRPr="00CB681C" w:rsidRDefault="00567258" w:rsidP="00153229">
            <w:pPr>
              <w:pStyle w:val="ListParagraph"/>
              <w:spacing w:after="40"/>
              <w:ind w:left="0" w:right="-471"/>
              <w:contextualSpacing w:val="0"/>
              <w:jc w:val="both"/>
              <w:rPr>
                <w:rFonts w:asciiTheme="majorHAnsi" w:hAnsiTheme="majorHAnsi" w:cstheme="majorHAnsi"/>
                <w:color w:val="auto"/>
              </w:rPr>
            </w:pPr>
          </w:p>
        </w:tc>
        <w:tc>
          <w:tcPr>
            <w:tcW w:w="2857" w:type="dxa"/>
            <w:vMerge/>
          </w:tcPr>
          <w:p w:rsidR="00567258" w:rsidRPr="00CB681C" w:rsidRDefault="00567258" w:rsidP="00153229">
            <w:pPr>
              <w:spacing w:after="40"/>
              <w:ind w:right="-47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Pr>
          <w:p w:rsidR="00567258" w:rsidRPr="00CB681C" w:rsidRDefault="00567258" w:rsidP="00B43D4E">
            <w:pPr>
              <w:pStyle w:val="ListParagraph"/>
              <w:numPr>
                <w:ilvl w:val="0"/>
                <w:numId w:val="12"/>
              </w:numPr>
              <w:spacing w:after="40"/>
              <w:ind w:left="163" w:right="-20" w:hanging="163"/>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Broj elektronskih razmjena</w:t>
            </w:r>
            <w:r w:rsidR="00013531" w:rsidRPr="00CB681C">
              <w:rPr>
                <w:rStyle w:val="FootnoteReference"/>
                <w:rFonts w:asciiTheme="majorHAnsi" w:hAnsiTheme="majorHAnsi" w:cstheme="majorHAnsi"/>
                <w:color w:val="auto"/>
              </w:rPr>
              <w:footnoteReference w:id="140"/>
            </w:r>
            <w:r w:rsidRPr="00CB681C">
              <w:rPr>
                <w:rFonts w:asciiTheme="majorHAnsi" w:hAnsiTheme="majorHAnsi" w:cstheme="majorHAnsi"/>
                <w:color w:val="auto"/>
              </w:rPr>
              <w:t xml:space="preserve"> između registara iz metaregistra</w:t>
            </w:r>
          </w:p>
        </w:tc>
        <w:tc>
          <w:tcPr>
            <w:tcW w:w="2160" w:type="dxa"/>
          </w:tcPr>
          <w:p w:rsidR="00567258" w:rsidRPr="00CB681C" w:rsidRDefault="00013531" w:rsidP="00B43D4E">
            <w:pPr>
              <w:pStyle w:val="ListParagraph"/>
              <w:numPr>
                <w:ilvl w:val="0"/>
                <w:numId w:val="12"/>
              </w:numPr>
              <w:spacing w:after="40"/>
              <w:ind w:left="162" w:right="-471"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8</w:t>
            </w:r>
            <w:r w:rsidR="00567258" w:rsidRPr="00CB681C">
              <w:rPr>
                <w:rFonts w:asciiTheme="majorHAnsi" w:hAnsiTheme="majorHAnsi" w:cstheme="majorHAnsi"/>
                <w:color w:val="auto"/>
              </w:rPr>
              <w:t xml:space="preserve"> (2021)</w:t>
            </w:r>
          </w:p>
        </w:tc>
        <w:tc>
          <w:tcPr>
            <w:tcW w:w="2340" w:type="dxa"/>
          </w:tcPr>
          <w:p w:rsidR="00567258" w:rsidRPr="00CB681C" w:rsidRDefault="00013531" w:rsidP="00B43D4E">
            <w:pPr>
              <w:pStyle w:val="ListParagraph"/>
              <w:numPr>
                <w:ilvl w:val="0"/>
                <w:numId w:val="12"/>
              </w:numPr>
              <w:spacing w:after="40"/>
              <w:ind w:left="156" w:hanging="15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3</w:t>
            </w:r>
            <w:r w:rsidR="00567258" w:rsidRPr="00CB681C">
              <w:rPr>
                <w:rFonts w:asciiTheme="majorHAnsi" w:hAnsiTheme="majorHAnsi" w:cstheme="majorHAnsi"/>
                <w:color w:val="auto"/>
              </w:rPr>
              <w:t>0</w:t>
            </w:r>
          </w:p>
        </w:tc>
        <w:tc>
          <w:tcPr>
            <w:tcW w:w="2070" w:type="dxa"/>
          </w:tcPr>
          <w:p w:rsidR="00567258" w:rsidRPr="00CB681C" w:rsidRDefault="00013531" w:rsidP="00B43D4E">
            <w:pPr>
              <w:pStyle w:val="ListParagraph"/>
              <w:numPr>
                <w:ilvl w:val="0"/>
                <w:numId w:val="12"/>
              </w:numPr>
              <w:spacing w:after="40"/>
              <w:ind w:left="246" w:right="71" w:hanging="24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5</w:t>
            </w:r>
            <w:r w:rsidR="00567258" w:rsidRPr="00CB681C">
              <w:rPr>
                <w:rFonts w:asciiTheme="majorHAnsi" w:hAnsiTheme="majorHAnsi" w:cstheme="majorHAnsi"/>
                <w:color w:val="auto"/>
              </w:rPr>
              <w:t>0</w:t>
            </w:r>
          </w:p>
        </w:tc>
      </w:tr>
      <w:tr w:rsidR="00CB681C" w:rsidRPr="00CB681C" w:rsidTr="00F26DBC">
        <w:trPr>
          <w:trHeight w:val="622"/>
        </w:trPr>
        <w:tc>
          <w:tcPr>
            <w:cnfStyle w:val="001000000000" w:firstRow="0" w:lastRow="0" w:firstColumn="1" w:lastColumn="0" w:oddVBand="0" w:evenVBand="0" w:oddHBand="0" w:evenHBand="0" w:firstRowFirstColumn="0" w:firstRowLastColumn="0" w:lastRowFirstColumn="0" w:lastRowLastColumn="0"/>
            <w:tcW w:w="473" w:type="dxa"/>
            <w:vMerge/>
          </w:tcPr>
          <w:p w:rsidR="003A074D" w:rsidRPr="00CB681C" w:rsidRDefault="003A074D" w:rsidP="00153229">
            <w:pPr>
              <w:pStyle w:val="ListParagraph"/>
              <w:spacing w:after="40"/>
              <w:ind w:left="0" w:right="-471"/>
              <w:contextualSpacing w:val="0"/>
              <w:jc w:val="both"/>
              <w:rPr>
                <w:rFonts w:asciiTheme="majorHAnsi" w:hAnsiTheme="majorHAnsi" w:cstheme="majorHAnsi"/>
                <w:color w:val="auto"/>
              </w:rPr>
            </w:pPr>
          </w:p>
        </w:tc>
        <w:tc>
          <w:tcPr>
            <w:tcW w:w="2857" w:type="dxa"/>
            <w:vMerge/>
          </w:tcPr>
          <w:p w:rsidR="003A074D" w:rsidRPr="00CB681C" w:rsidRDefault="003A074D" w:rsidP="00153229">
            <w:pPr>
              <w:spacing w:after="40"/>
              <w:ind w:right="-47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Pr>
          <w:p w:rsidR="003A074D" w:rsidRPr="00CB681C" w:rsidRDefault="003A074D" w:rsidP="00B43D4E">
            <w:pPr>
              <w:pStyle w:val="ListParagraph"/>
              <w:numPr>
                <w:ilvl w:val="0"/>
                <w:numId w:val="12"/>
              </w:numPr>
              <w:spacing w:after="40"/>
              <w:ind w:left="163" w:right="-20" w:hanging="163"/>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 xml:space="preserve">Broj opština koje razmjenjuju podatke preko JSRP </w:t>
            </w:r>
          </w:p>
        </w:tc>
        <w:tc>
          <w:tcPr>
            <w:tcW w:w="2160" w:type="dxa"/>
          </w:tcPr>
          <w:p w:rsidR="003A074D" w:rsidRPr="00CB681C" w:rsidRDefault="003A074D" w:rsidP="00B43D4E">
            <w:pPr>
              <w:pStyle w:val="ListParagraph"/>
              <w:numPr>
                <w:ilvl w:val="0"/>
                <w:numId w:val="12"/>
              </w:numPr>
              <w:spacing w:after="40"/>
              <w:ind w:left="162" w:right="-471"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1 (2021)</w:t>
            </w:r>
          </w:p>
        </w:tc>
        <w:tc>
          <w:tcPr>
            <w:tcW w:w="2340" w:type="dxa"/>
          </w:tcPr>
          <w:p w:rsidR="003A074D" w:rsidRPr="00CB681C" w:rsidRDefault="003A074D" w:rsidP="00B43D4E">
            <w:pPr>
              <w:pStyle w:val="ListParagraph"/>
              <w:numPr>
                <w:ilvl w:val="0"/>
                <w:numId w:val="12"/>
              </w:numPr>
              <w:spacing w:after="40"/>
              <w:ind w:left="156" w:right="-471" w:hanging="15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10</w:t>
            </w:r>
          </w:p>
        </w:tc>
        <w:tc>
          <w:tcPr>
            <w:tcW w:w="2070" w:type="dxa"/>
          </w:tcPr>
          <w:p w:rsidR="003A074D" w:rsidRPr="00CB681C" w:rsidRDefault="003A074D" w:rsidP="00B43D4E">
            <w:pPr>
              <w:pStyle w:val="ListParagraph"/>
              <w:numPr>
                <w:ilvl w:val="0"/>
                <w:numId w:val="12"/>
              </w:numPr>
              <w:spacing w:after="40"/>
              <w:ind w:left="246" w:right="-471" w:hanging="24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Sve JLS</w:t>
            </w:r>
          </w:p>
        </w:tc>
      </w:tr>
    </w:tbl>
    <w:p w:rsidR="00DD1086" w:rsidRPr="00CB681C" w:rsidRDefault="00DD1086" w:rsidP="00153229">
      <w:pPr>
        <w:ind w:right="-471"/>
        <w:rPr>
          <w:rFonts w:asciiTheme="majorHAnsi" w:hAnsiTheme="majorHAnsi" w:cstheme="majorHAnsi"/>
          <w:color w:val="auto"/>
        </w:rPr>
      </w:pPr>
    </w:p>
    <w:tbl>
      <w:tblPr>
        <w:tblStyle w:val="GridTable5Dark-Accent1"/>
        <w:tblW w:w="13140" w:type="dxa"/>
        <w:tblInd w:w="-275" w:type="dxa"/>
        <w:tblLook w:val="04A0" w:firstRow="1" w:lastRow="0" w:firstColumn="1" w:lastColumn="0" w:noHBand="0" w:noVBand="1"/>
      </w:tblPr>
      <w:tblGrid>
        <w:gridCol w:w="473"/>
        <w:gridCol w:w="2857"/>
        <w:gridCol w:w="3240"/>
        <w:gridCol w:w="2160"/>
        <w:gridCol w:w="2340"/>
        <w:gridCol w:w="2070"/>
      </w:tblGrid>
      <w:tr w:rsidR="00AC188A" w:rsidRPr="00CB681C" w:rsidTr="00F26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0" w:type="dxa"/>
            <w:gridSpan w:val="6"/>
          </w:tcPr>
          <w:p w:rsidR="00DD1086" w:rsidRPr="001014EF" w:rsidRDefault="00DD1086" w:rsidP="00153229">
            <w:pPr>
              <w:pStyle w:val="ListParagraph"/>
              <w:spacing w:before="120" w:after="120"/>
              <w:ind w:left="0" w:right="-471"/>
              <w:contextualSpacing w:val="0"/>
              <w:jc w:val="both"/>
              <w:rPr>
                <w:rFonts w:asciiTheme="majorHAnsi" w:hAnsiTheme="majorHAnsi" w:cstheme="majorHAnsi"/>
                <w:caps/>
                <w:color w:val="auto"/>
                <w:sz w:val="24"/>
                <w:szCs w:val="24"/>
              </w:rPr>
            </w:pPr>
            <w:r w:rsidRPr="001014EF">
              <w:rPr>
                <w:rFonts w:asciiTheme="majorHAnsi" w:hAnsiTheme="majorHAnsi" w:cstheme="majorHAnsi"/>
                <w:color w:val="auto"/>
                <w:sz w:val="24"/>
                <w:szCs w:val="24"/>
              </w:rPr>
              <w:t>STRATEŠKI CILJ 3: PROFESIONALNA JAVNA ADMINISTRACIJA</w:t>
            </w:r>
          </w:p>
        </w:tc>
      </w:tr>
      <w:tr w:rsidR="00CB681C" w:rsidRPr="00CB681C" w:rsidTr="00F26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gridSpan w:val="2"/>
            <w:vAlign w:val="center"/>
          </w:tcPr>
          <w:p w:rsidR="00DD1086" w:rsidRPr="00CB681C" w:rsidRDefault="0090165A" w:rsidP="00153229">
            <w:pPr>
              <w:pStyle w:val="ListParagraph"/>
              <w:spacing w:after="40"/>
              <w:ind w:left="0" w:right="-471"/>
              <w:contextualSpacing w:val="0"/>
              <w:jc w:val="center"/>
              <w:rPr>
                <w:rFonts w:asciiTheme="majorHAnsi" w:hAnsiTheme="majorHAnsi" w:cstheme="majorHAnsi"/>
                <w:color w:val="auto"/>
              </w:rPr>
            </w:pPr>
            <w:r w:rsidRPr="00CB681C">
              <w:rPr>
                <w:rFonts w:asciiTheme="majorHAnsi" w:hAnsiTheme="majorHAnsi" w:cstheme="majorHAnsi"/>
                <w:color w:val="auto"/>
              </w:rPr>
              <w:t>OPERATIVNI CILJEVI</w:t>
            </w:r>
          </w:p>
        </w:tc>
        <w:tc>
          <w:tcPr>
            <w:tcW w:w="3240" w:type="dxa"/>
            <w:vAlign w:val="center"/>
          </w:tcPr>
          <w:p w:rsidR="00DD1086" w:rsidRPr="00CB681C" w:rsidRDefault="00DD1086" w:rsidP="00153229">
            <w:pPr>
              <w:pStyle w:val="ListParagraph"/>
              <w:spacing w:after="40"/>
              <w:ind w:left="0" w:right="-471"/>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Indikator učinka</w:t>
            </w:r>
          </w:p>
        </w:tc>
        <w:tc>
          <w:tcPr>
            <w:tcW w:w="2160" w:type="dxa"/>
            <w:vAlign w:val="center"/>
          </w:tcPr>
          <w:p w:rsidR="00DD1086" w:rsidRPr="00CB681C" w:rsidRDefault="00DD1086" w:rsidP="00B07FD8">
            <w:pPr>
              <w:pStyle w:val="ListParagraph"/>
              <w:spacing w:after="40"/>
              <w:ind w:left="0" w:right="-113"/>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Početna vrijednost</w:t>
            </w:r>
          </w:p>
        </w:tc>
        <w:tc>
          <w:tcPr>
            <w:tcW w:w="2340" w:type="dxa"/>
            <w:vAlign w:val="center"/>
          </w:tcPr>
          <w:p w:rsidR="00DD1086" w:rsidRPr="00CB681C" w:rsidRDefault="00DD1086" w:rsidP="00B07FD8">
            <w:pPr>
              <w:pStyle w:val="ListParagraph"/>
              <w:spacing w:after="40"/>
              <w:ind w:left="0" w:right="-111"/>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Ciljana vrijednost do 2024.</w:t>
            </w:r>
          </w:p>
        </w:tc>
        <w:tc>
          <w:tcPr>
            <w:tcW w:w="2070" w:type="dxa"/>
            <w:vAlign w:val="center"/>
          </w:tcPr>
          <w:p w:rsidR="00DD1086" w:rsidRPr="00CB681C" w:rsidRDefault="00DD1086" w:rsidP="00B07FD8">
            <w:pPr>
              <w:pStyle w:val="ListParagraph"/>
              <w:spacing w:after="40"/>
              <w:ind w:left="0" w:right="-109"/>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Ciljana vrijednost u 2026.</w:t>
            </w:r>
          </w:p>
        </w:tc>
      </w:tr>
      <w:tr w:rsidR="00792FA8" w:rsidRPr="00792FA8" w:rsidTr="00F26DBC">
        <w:trPr>
          <w:trHeight w:val="514"/>
        </w:trPr>
        <w:tc>
          <w:tcPr>
            <w:cnfStyle w:val="001000000000" w:firstRow="0" w:lastRow="0" w:firstColumn="1" w:lastColumn="0" w:oddVBand="0" w:evenVBand="0" w:oddHBand="0" w:evenHBand="0" w:firstRowFirstColumn="0" w:firstRowLastColumn="0" w:lastRowFirstColumn="0" w:lastRowLastColumn="0"/>
            <w:tcW w:w="473" w:type="dxa"/>
            <w:vMerge w:val="restart"/>
          </w:tcPr>
          <w:p w:rsidR="00792FA8" w:rsidRPr="00CB681C" w:rsidRDefault="00792FA8" w:rsidP="00792FA8">
            <w:pPr>
              <w:pStyle w:val="ListParagraph"/>
              <w:spacing w:after="40"/>
              <w:ind w:left="0" w:right="-471"/>
              <w:contextualSpacing w:val="0"/>
              <w:jc w:val="both"/>
              <w:rPr>
                <w:rFonts w:asciiTheme="majorHAnsi" w:hAnsiTheme="majorHAnsi" w:cstheme="majorHAnsi"/>
                <w:color w:val="auto"/>
              </w:rPr>
            </w:pPr>
            <w:r w:rsidRPr="00CB681C">
              <w:rPr>
                <w:rFonts w:asciiTheme="majorHAnsi" w:hAnsiTheme="majorHAnsi" w:cstheme="majorHAnsi"/>
                <w:color w:val="auto"/>
              </w:rPr>
              <w:t>3.1</w:t>
            </w:r>
          </w:p>
        </w:tc>
        <w:tc>
          <w:tcPr>
            <w:tcW w:w="2857" w:type="dxa"/>
            <w:vMerge w:val="restart"/>
          </w:tcPr>
          <w:p w:rsidR="00792FA8" w:rsidRPr="00CB681C" w:rsidRDefault="00792FA8" w:rsidP="001014EF">
            <w:pPr>
              <w:spacing w:after="40"/>
              <w:ind w:right="-18"/>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333D01">
              <w:rPr>
                <w:rFonts w:asciiTheme="majorHAnsi" w:hAnsiTheme="majorHAnsi" w:cstheme="majorHAnsi"/>
                <w:color w:val="auto"/>
              </w:rPr>
              <w:t xml:space="preserve">Efikasan sistem planiranja na osnovu identifikovanih potreba, unapređenje postupka zapošljavanja ljudskih resursa i </w:t>
            </w:r>
            <w:r w:rsidRPr="00333D01">
              <w:rPr>
                <w:rFonts w:asciiTheme="majorHAnsi" w:hAnsiTheme="majorHAnsi" w:cstheme="majorHAnsi"/>
                <w:color w:val="auto"/>
              </w:rPr>
              <w:lastRenderedPageBreak/>
              <w:t>dalja digitalizacija u oblasti službeničkog sistema</w:t>
            </w:r>
          </w:p>
        </w:tc>
        <w:tc>
          <w:tcPr>
            <w:tcW w:w="3240" w:type="dxa"/>
          </w:tcPr>
          <w:p w:rsidR="00792FA8" w:rsidRPr="001014EF" w:rsidRDefault="00792FA8" w:rsidP="001014EF">
            <w:pPr>
              <w:pStyle w:val="ListParagraph"/>
              <w:numPr>
                <w:ilvl w:val="0"/>
                <w:numId w:val="10"/>
              </w:numPr>
              <w:spacing w:after="40"/>
              <w:ind w:left="179" w:right="-21" w:hanging="17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lastRenderedPageBreak/>
              <w:t>% organa koji su izradili Kadrovski plan unaprijeđenog kvaliteta kroz CKE</w:t>
            </w:r>
          </w:p>
          <w:p w:rsidR="00792FA8" w:rsidRPr="00792FA8" w:rsidRDefault="00792FA8" w:rsidP="00792FA8">
            <w:pPr>
              <w:pStyle w:val="ListParagraph"/>
              <w:numPr>
                <w:ilvl w:val="0"/>
                <w:numId w:val="10"/>
              </w:numPr>
              <w:spacing w:after="40"/>
              <w:ind w:left="179" w:right="-21" w:hanging="17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lastRenderedPageBreak/>
              <w:t>% organa lokalne uprave, posebnih i stručnih službi na lokalnom nivou</w:t>
            </w:r>
            <w:r w:rsidRPr="00792FA8">
              <w:footnoteReference w:id="141"/>
            </w:r>
            <w:r w:rsidRPr="00792FA8">
              <w:rPr>
                <w:rFonts w:asciiTheme="majorHAnsi" w:hAnsiTheme="majorHAnsi" w:cstheme="majorHAnsi"/>
                <w:color w:val="auto"/>
              </w:rPr>
              <w:t xml:space="preserve"> koji su izradili Kadrovski plan kroz CKE u skladu sa ZDSN i u skladu sa ZLS</w:t>
            </w:r>
          </w:p>
        </w:tc>
        <w:tc>
          <w:tcPr>
            <w:tcW w:w="2160" w:type="dxa"/>
            <w:vAlign w:val="center"/>
          </w:tcPr>
          <w:p w:rsidR="00792FA8" w:rsidRPr="001014EF" w:rsidRDefault="00792FA8" w:rsidP="001014EF">
            <w:pPr>
              <w:pStyle w:val="ListParagraph"/>
              <w:numPr>
                <w:ilvl w:val="0"/>
                <w:numId w:val="10"/>
              </w:numPr>
              <w:spacing w:after="40"/>
              <w:ind w:left="179" w:right="-21" w:hanging="17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lastRenderedPageBreak/>
              <w:t>28,5% državnih organa (2021)</w:t>
            </w:r>
          </w:p>
          <w:p w:rsidR="00792FA8" w:rsidRPr="00792FA8" w:rsidRDefault="00792FA8" w:rsidP="00792FA8">
            <w:pPr>
              <w:pStyle w:val="ListParagraph"/>
              <w:numPr>
                <w:ilvl w:val="0"/>
                <w:numId w:val="10"/>
              </w:numPr>
              <w:spacing w:after="40"/>
              <w:ind w:left="179" w:right="-21" w:hanging="17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lastRenderedPageBreak/>
              <w:t>0% organa lokalne uprave, posebnih i stručnih službi (2021)</w:t>
            </w:r>
          </w:p>
        </w:tc>
        <w:tc>
          <w:tcPr>
            <w:tcW w:w="2340" w:type="dxa"/>
            <w:vAlign w:val="center"/>
          </w:tcPr>
          <w:p w:rsidR="00792FA8" w:rsidRPr="001014EF" w:rsidRDefault="00792FA8" w:rsidP="001014EF">
            <w:pPr>
              <w:pStyle w:val="ListParagraph"/>
              <w:numPr>
                <w:ilvl w:val="0"/>
                <w:numId w:val="10"/>
              </w:numPr>
              <w:spacing w:after="40"/>
              <w:ind w:left="179" w:right="-21" w:hanging="17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lastRenderedPageBreak/>
              <w:t>70 % državnih organa organa</w:t>
            </w:r>
          </w:p>
          <w:p w:rsidR="00792FA8" w:rsidRPr="00792FA8" w:rsidRDefault="00792FA8" w:rsidP="00792FA8">
            <w:pPr>
              <w:pStyle w:val="ListParagraph"/>
              <w:numPr>
                <w:ilvl w:val="0"/>
                <w:numId w:val="10"/>
              </w:numPr>
              <w:spacing w:after="40"/>
              <w:ind w:left="179" w:right="-21" w:hanging="17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lastRenderedPageBreak/>
              <w:t>30% organa lokalne uprave, posebnih i stručnih službi</w:t>
            </w:r>
          </w:p>
        </w:tc>
        <w:tc>
          <w:tcPr>
            <w:tcW w:w="2070" w:type="dxa"/>
            <w:vAlign w:val="center"/>
          </w:tcPr>
          <w:p w:rsidR="00792FA8" w:rsidRPr="001014EF" w:rsidRDefault="00792FA8" w:rsidP="001014EF">
            <w:pPr>
              <w:pStyle w:val="ListParagraph"/>
              <w:numPr>
                <w:ilvl w:val="0"/>
                <w:numId w:val="10"/>
              </w:numPr>
              <w:spacing w:after="40"/>
              <w:ind w:left="179" w:right="-21" w:hanging="17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lastRenderedPageBreak/>
              <w:t xml:space="preserve">100% državnih organa </w:t>
            </w:r>
          </w:p>
          <w:p w:rsidR="00792FA8" w:rsidRPr="00CB681C" w:rsidRDefault="00792FA8" w:rsidP="00792FA8">
            <w:pPr>
              <w:pStyle w:val="ListParagraph"/>
              <w:numPr>
                <w:ilvl w:val="0"/>
                <w:numId w:val="10"/>
              </w:numPr>
              <w:spacing w:after="40"/>
              <w:ind w:left="179" w:right="-21" w:hanging="17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 xml:space="preserve">100 % organa lokalne uprave, </w:t>
            </w:r>
            <w:r w:rsidRPr="00792FA8">
              <w:rPr>
                <w:rFonts w:asciiTheme="majorHAnsi" w:hAnsiTheme="majorHAnsi" w:cstheme="majorHAnsi"/>
                <w:color w:val="auto"/>
              </w:rPr>
              <w:lastRenderedPageBreak/>
              <w:t>posebnih i stručnih službi</w:t>
            </w:r>
          </w:p>
        </w:tc>
      </w:tr>
      <w:tr w:rsidR="00792FA8" w:rsidRPr="00792FA8" w:rsidTr="00F26DBC">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473" w:type="dxa"/>
            <w:vMerge/>
          </w:tcPr>
          <w:p w:rsidR="00792FA8" w:rsidRPr="00CB681C" w:rsidRDefault="00792FA8" w:rsidP="00792FA8">
            <w:pPr>
              <w:pStyle w:val="ListParagraph"/>
              <w:spacing w:after="40"/>
              <w:ind w:left="0" w:right="-471"/>
              <w:contextualSpacing w:val="0"/>
              <w:jc w:val="both"/>
              <w:rPr>
                <w:rFonts w:asciiTheme="majorHAnsi" w:hAnsiTheme="majorHAnsi" w:cstheme="majorHAnsi"/>
                <w:color w:val="auto"/>
              </w:rPr>
            </w:pPr>
          </w:p>
        </w:tc>
        <w:tc>
          <w:tcPr>
            <w:tcW w:w="2857" w:type="dxa"/>
            <w:vMerge/>
          </w:tcPr>
          <w:p w:rsidR="00792FA8" w:rsidRPr="00CB681C" w:rsidRDefault="00792FA8" w:rsidP="00792FA8">
            <w:pPr>
              <w:spacing w:after="40"/>
              <w:ind w:right="-47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Pr>
          <w:p w:rsidR="00792FA8" w:rsidRPr="00CB681C" w:rsidRDefault="00792FA8" w:rsidP="00792FA8">
            <w:pPr>
              <w:pStyle w:val="ListParagraph"/>
              <w:numPr>
                <w:ilvl w:val="0"/>
                <w:numId w:val="10"/>
              </w:numPr>
              <w:spacing w:after="40"/>
              <w:ind w:left="246" w:right="-20" w:hanging="24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 realizacije Kadrovskog plana državnih organa i organa lokalne uprave</w:t>
            </w:r>
          </w:p>
        </w:tc>
        <w:tc>
          <w:tcPr>
            <w:tcW w:w="2160" w:type="dxa"/>
          </w:tcPr>
          <w:p w:rsidR="00792FA8" w:rsidRPr="00792FA8" w:rsidRDefault="00792FA8" w:rsidP="00792FA8">
            <w:pPr>
              <w:pStyle w:val="ListParagraph"/>
              <w:numPr>
                <w:ilvl w:val="0"/>
                <w:numId w:val="10"/>
              </w:numPr>
              <w:spacing w:after="40"/>
              <w:ind w:left="179" w:right="-21" w:hanging="179"/>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 xml:space="preserve">63% KP državnih organa </w:t>
            </w:r>
          </w:p>
          <w:p w:rsidR="00792FA8" w:rsidRPr="00CB681C" w:rsidRDefault="00792FA8" w:rsidP="00792FA8">
            <w:pPr>
              <w:pStyle w:val="ListParagraph"/>
              <w:numPr>
                <w:ilvl w:val="0"/>
                <w:numId w:val="10"/>
              </w:numPr>
              <w:spacing w:after="40"/>
              <w:ind w:left="179" w:right="-21" w:hanging="179"/>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37 % KP organa lokalne uprave (2020)</w:t>
            </w:r>
          </w:p>
        </w:tc>
        <w:tc>
          <w:tcPr>
            <w:tcW w:w="2340" w:type="dxa"/>
          </w:tcPr>
          <w:p w:rsidR="00792FA8" w:rsidRPr="00792FA8" w:rsidRDefault="00792FA8" w:rsidP="00792FA8">
            <w:pPr>
              <w:pStyle w:val="ListParagraph"/>
              <w:numPr>
                <w:ilvl w:val="0"/>
                <w:numId w:val="10"/>
              </w:numPr>
              <w:spacing w:after="40"/>
              <w:ind w:left="179" w:right="-21" w:hanging="179"/>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70% KP državnih organa</w:t>
            </w:r>
          </w:p>
          <w:p w:rsidR="00792FA8" w:rsidRDefault="00792FA8" w:rsidP="00792FA8">
            <w:pPr>
              <w:pStyle w:val="ListParagraph"/>
              <w:spacing w:after="40"/>
              <w:ind w:left="179" w:right="-21"/>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p w:rsidR="00792FA8" w:rsidRPr="00792FA8" w:rsidRDefault="00792FA8" w:rsidP="00792FA8">
            <w:pPr>
              <w:pStyle w:val="ListParagraph"/>
              <w:numPr>
                <w:ilvl w:val="0"/>
                <w:numId w:val="10"/>
              </w:numPr>
              <w:spacing w:after="40"/>
              <w:ind w:left="179" w:right="-21" w:hanging="179"/>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50% KP organa lokalne uprave</w:t>
            </w:r>
          </w:p>
        </w:tc>
        <w:tc>
          <w:tcPr>
            <w:tcW w:w="2070" w:type="dxa"/>
          </w:tcPr>
          <w:p w:rsidR="00792FA8" w:rsidRPr="00792FA8" w:rsidRDefault="00792FA8" w:rsidP="00792FA8">
            <w:pPr>
              <w:pStyle w:val="ListParagraph"/>
              <w:numPr>
                <w:ilvl w:val="0"/>
                <w:numId w:val="10"/>
              </w:numPr>
              <w:spacing w:after="40"/>
              <w:ind w:left="179" w:right="-21" w:hanging="179"/>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90% KP državnih organa</w:t>
            </w:r>
          </w:p>
          <w:p w:rsidR="00792FA8" w:rsidRDefault="00792FA8" w:rsidP="00792FA8">
            <w:pPr>
              <w:pStyle w:val="ListParagraph"/>
              <w:spacing w:after="40"/>
              <w:ind w:left="179" w:right="-21"/>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p w:rsidR="00792FA8" w:rsidRPr="00CB681C" w:rsidRDefault="00792FA8" w:rsidP="00792FA8">
            <w:pPr>
              <w:pStyle w:val="ListParagraph"/>
              <w:numPr>
                <w:ilvl w:val="0"/>
                <w:numId w:val="10"/>
              </w:numPr>
              <w:spacing w:after="40"/>
              <w:ind w:left="179" w:right="-21" w:hanging="179"/>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70 % KP organa lokalne uprave</w:t>
            </w:r>
          </w:p>
        </w:tc>
      </w:tr>
      <w:tr w:rsidR="00792FA8" w:rsidRPr="00792FA8" w:rsidTr="00F26DBC">
        <w:trPr>
          <w:trHeight w:val="1155"/>
        </w:trPr>
        <w:tc>
          <w:tcPr>
            <w:cnfStyle w:val="001000000000" w:firstRow="0" w:lastRow="0" w:firstColumn="1" w:lastColumn="0" w:oddVBand="0" w:evenVBand="0" w:oddHBand="0" w:evenHBand="0" w:firstRowFirstColumn="0" w:firstRowLastColumn="0" w:lastRowFirstColumn="0" w:lastRowLastColumn="0"/>
            <w:tcW w:w="473" w:type="dxa"/>
            <w:vMerge/>
          </w:tcPr>
          <w:p w:rsidR="00792FA8" w:rsidRPr="00CB681C" w:rsidRDefault="00792FA8" w:rsidP="00792FA8">
            <w:pPr>
              <w:pStyle w:val="ListParagraph"/>
              <w:spacing w:after="40"/>
              <w:ind w:left="0" w:right="-471"/>
              <w:contextualSpacing w:val="0"/>
              <w:jc w:val="both"/>
              <w:rPr>
                <w:rFonts w:asciiTheme="majorHAnsi" w:hAnsiTheme="majorHAnsi" w:cstheme="majorHAnsi"/>
                <w:color w:val="auto"/>
              </w:rPr>
            </w:pPr>
          </w:p>
        </w:tc>
        <w:tc>
          <w:tcPr>
            <w:tcW w:w="2857" w:type="dxa"/>
            <w:vMerge/>
          </w:tcPr>
          <w:p w:rsidR="00792FA8" w:rsidRPr="00CB681C" w:rsidRDefault="00792FA8" w:rsidP="00792FA8">
            <w:pPr>
              <w:spacing w:after="40"/>
              <w:ind w:right="-47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Pr>
          <w:p w:rsidR="00792FA8" w:rsidRPr="00CB681C" w:rsidRDefault="00792FA8" w:rsidP="00792FA8">
            <w:pPr>
              <w:pStyle w:val="ListParagraph"/>
              <w:numPr>
                <w:ilvl w:val="0"/>
                <w:numId w:val="10"/>
              </w:numPr>
              <w:spacing w:after="40"/>
              <w:ind w:left="246" w:right="-20" w:hanging="246"/>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Prosječan broj kandidata na oglas</w:t>
            </w:r>
          </w:p>
        </w:tc>
        <w:tc>
          <w:tcPr>
            <w:tcW w:w="2160" w:type="dxa"/>
          </w:tcPr>
          <w:p w:rsidR="00792FA8" w:rsidRPr="00792FA8" w:rsidRDefault="00792FA8" w:rsidP="00792FA8">
            <w:pPr>
              <w:pStyle w:val="ListParagraph"/>
              <w:numPr>
                <w:ilvl w:val="0"/>
                <w:numId w:val="10"/>
              </w:numPr>
              <w:spacing w:after="40"/>
              <w:ind w:left="179" w:right="-21" w:hanging="17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Interni oglas 1.1 (2020)</w:t>
            </w:r>
          </w:p>
          <w:p w:rsidR="00792FA8" w:rsidRPr="00792FA8" w:rsidRDefault="00792FA8" w:rsidP="00792FA8">
            <w:pPr>
              <w:pStyle w:val="ListParagraph"/>
              <w:numPr>
                <w:ilvl w:val="0"/>
                <w:numId w:val="10"/>
              </w:numPr>
              <w:spacing w:after="40"/>
              <w:ind w:left="179" w:right="-21" w:hanging="17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Javni oglas 4.8 (2020)</w:t>
            </w:r>
          </w:p>
        </w:tc>
        <w:tc>
          <w:tcPr>
            <w:tcW w:w="2340" w:type="dxa"/>
          </w:tcPr>
          <w:p w:rsidR="00792FA8" w:rsidRPr="00792FA8" w:rsidRDefault="00792FA8" w:rsidP="00792FA8">
            <w:pPr>
              <w:pStyle w:val="ListParagraph"/>
              <w:numPr>
                <w:ilvl w:val="0"/>
                <w:numId w:val="10"/>
              </w:numPr>
              <w:spacing w:after="40"/>
              <w:ind w:left="179" w:right="-21" w:hanging="17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1.6</w:t>
            </w:r>
          </w:p>
          <w:p w:rsidR="00792FA8" w:rsidRDefault="00792FA8" w:rsidP="00792FA8">
            <w:pPr>
              <w:pStyle w:val="ListParagraph"/>
              <w:spacing w:after="40"/>
              <w:ind w:left="179" w:right="-21"/>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p w:rsidR="00792FA8" w:rsidRPr="00792FA8" w:rsidRDefault="00792FA8" w:rsidP="00792FA8">
            <w:pPr>
              <w:pStyle w:val="ListParagraph"/>
              <w:numPr>
                <w:ilvl w:val="0"/>
                <w:numId w:val="10"/>
              </w:numPr>
              <w:spacing w:after="40"/>
              <w:ind w:left="179" w:right="-21" w:hanging="17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5</w:t>
            </w:r>
          </w:p>
        </w:tc>
        <w:tc>
          <w:tcPr>
            <w:tcW w:w="2070" w:type="dxa"/>
          </w:tcPr>
          <w:p w:rsidR="00792FA8" w:rsidRDefault="00792FA8" w:rsidP="00792FA8">
            <w:pPr>
              <w:pStyle w:val="ListParagraph"/>
              <w:numPr>
                <w:ilvl w:val="0"/>
                <w:numId w:val="10"/>
              </w:numPr>
              <w:spacing w:after="40"/>
              <w:ind w:left="179" w:right="-21" w:hanging="17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1.8</w:t>
            </w:r>
          </w:p>
          <w:p w:rsidR="00792FA8" w:rsidRPr="00792FA8" w:rsidRDefault="00792FA8" w:rsidP="00792FA8">
            <w:pPr>
              <w:pStyle w:val="ListParagraph"/>
              <w:spacing w:after="40"/>
              <w:ind w:left="179" w:right="-21"/>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p w:rsidR="00792FA8" w:rsidRPr="00CB681C" w:rsidRDefault="00792FA8" w:rsidP="00792FA8">
            <w:pPr>
              <w:pStyle w:val="ListParagraph"/>
              <w:numPr>
                <w:ilvl w:val="0"/>
                <w:numId w:val="10"/>
              </w:numPr>
              <w:spacing w:after="40"/>
              <w:ind w:left="179" w:right="-21" w:hanging="17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5.5</w:t>
            </w:r>
          </w:p>
        </w:tc>
      </w:tr>
      <w:tr w:rsidR="00792FA8" w:rsidRPr="00792FA8" w:rsidTr="00F26DBC">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473" w:type="dxa"/>
            <w:vMerge/>
          </w:tcPr>
          <w:p w:rsidR="00792FA8" w:rsidRPr="00CB681C" w:rsidRDefault="00792FA8" w:rsidP="00792FA8">
            <w:pPr>
              <w:pStyle w:val="ListParagraph"/>
              <w:spacing w:after="40"/>
              <w:ind w:left="0" w:right="-471"/>
              <w:contextualSpacing w:val="0"/>
              <w:jc w:val="both"/>
              <w:rPr>
                <w:rFonts w:asciiTheme="majorHAnsi" w:hAnsiTheme="majorHAnsi" w:cstheme="majorHAnsi"/>
                <w:color w:val="auto"/>
              </w:rPr>
            </w:pPr>
          </w:p>
        </w:tc>
        <w:tc>
          <w:tcPr>
            <w:tcW w:w="2857" w:type="dxa"/>
            <w:vMerge/>
          </w:tcPr>
          <w:p w:rsidR="00792FA8" w:rsidRPr="00CB681C" w:rsidRDefault="00792FA8" w:rsidP="00792FA8">
            <w:pPr>
              <w:spacing w:after="40"/>
              <w:ind w:right="-47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Pr>
          <w:p w:rsidR="00792FA8" w:rsidRPr="00CB681C" w:rsidRDefault="00792FA8" w:rsidP="00792FA8">
            <w:pPr>
              <w:pStyle w:val="ListParagraph"/>
              <w:numPr>
                <w:ilvl w:val="0"/>
                <w:numId w:val="10"/>
              </w:numPr>
              <w:spacing w:after="40"/>
              <w:ind w:left="246" w:right="-20" w:hanging="246"/>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Prosječan broj kandidata na konkursu</w:t>
            </w:r>
          </w:p>
        </w:tc>
        <w:tc>
          <w:tcPr>
            <w:tcW w:w="2160" w:type="dxa"/>
          </w:tcPr>
          <w:p w:rsidR="00792FA8" w:rsidRPr="00CB681C" w:rsidRDefault="00792FA8" w:rsidP="00792FA8">
            <w:pPr>
              <w:pStyle w:val="ListParagraph"/>
              <w:numPr>
                <w:ilvl w:val="0"/>
                <w:numId w:val="10"/>
              </w:numPr>
              <w:spacing w:after="40"/>
              <w:ind w:left="246" w:right="-23" w:hanging="219"/>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2.14 (2020)</w:t>
            </w:r>
          </w:p>
        </w:tc>
        <w:tc>
          <w:tcPr>
            <w:tcW w:w="2340" w:type="dxa"/>
            <w:vAlign w:val="center"/>
          </w:tcPr>
          <w:p w:rsidR="00792FA8" w:rsidRPr="00CB681C" w:rsidRDefault="00792FA8" w:rsidP="00792FA8">
            <w:pPr>
              <w:pStyle w:val="ListParagraph"/>
              <w:numPr>
                <w:ilvl w:val="0"/>
                <w:numId w:val="10"/>
              </w:numPr>
              <w:spacing w:after="40"/>
              <w:ind w:left="179" w:right="-21" w:hanging="179"/>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4</w:t>
            </w:r>
          </w:p>
        </w:tc>
        <w:tc>
          <w:tcPr>
            <w:tcW w:w="2070" w:type="dxa"/>
          </w:tcPr>
          <w:p w:rsidR="00792FA8" w:rsidRPr="00CB681C" w:rsidRDefault="00792FA8" w:rsidP="00792FA8">
            <w:pPr>
              <w:pStyle w:val="ListParagraph"/>
              <w:numPr>
                <w:ilvl w:val="0"/>
                <w:numId w:val="10"/>
              </w:numPr>
              <w:spacing w:after="40"/>
              <w:ind w:left="179" w:right="-21" w:hanging="179"/>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6</w:t>
            </w:r>
          </w:p>
        </w:tc>
      </w:tr>
      <w:tr w:rsidR="00792FA8" w:rsidRPr="00792FA8" w:rsidTr="00F26DBC">
        <w:trPr>
          <w:trHeight w:val="433"/>
        </w:trPr>
        <w:tc>
          <w:tcPr>
            <w:cnfStyle w:val="001000000000" w:firstRow="0" w:lastRow="0" w:firstColumn="1" w:lastColumn="0" w:oddVBand="0" w:evenVBand="0" w:oddHBand="0" w:evenHBand="0" w:firstRowFirstColumn="0" w:firstRowLastColumn="0" w:lastRowFirstColumn="0" w:lastRowLastColumn="0"/>
            <w:tcW w:w="473" w:type="dxa"/>
            <w:vMerge/>
          </w:tcPr>
          <w:p w:rsidR="00792FA8" w:rsidRPr="00CB681C" w:rsidRDefault="00792FA8" w:rsidP="00792FA8">
            <w:pPr>
              <w:pStyle w:val="ListParagraph"/>
              <w:spacing w:after="40"/>
              <w:ind w:left="0" w:right="-471"/>
              <w:contextualSpacing w:val="0"/>
              <w:jc w:val="both"/>
              <w:rPr>
                <w:rFonts w:asciiTheme="majorHAnsi" w:hAnsiTheme="majorHAnsi" w:cstheme="majorHAnsi"/>
                <w:color w:val="auto"/>
              </w:rPr>
            </w:pPr>
          </w:p>
        </w:tc>
        <w:tc>
          <w:tcPr>
            <w:tcW w:w="2857" w:type="dxa"/>
            <w:vMerge/>
          </w:tcPr>
          <w:p w:rsidR="00792FA8" w:rsidRPr="00CB681C" w:rsidRDefault="00792FA8" w:rsidP="00792FA8">
            <w:pPr>
              <w:spacing w:after="40"/>
              <w:ind w:right="-47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Pr>
          <w:p w:rsidR="00792FA8" w:rsidRPr="00CB681C" w:rsidRDefault="00792FA8" w:rsidP="00792FA8">
            <w:pPr>
              <w:pStyle w:val="ListParagraph"/>
              <w:numPr>
                <w:ilvl w:val="0"/>
                <w:numId w:val="10"/>
              </w:numPr>
              <w:spacing w:after="40"/>
              <w:ind w:left="246" w:right="-20" w:hanging="24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Broj HR funkcija gdje se evidencija vodi samo kroz KIS</w:t>
            </w:r>
          </w:p>
        </w:tc>
        <w:tc>
          <w:tcPr>
            <w:tcW w:w="2160" w:type="dxa"/>
          </w:tcPr>
          <w:p w:rsidR="00792FA8" w:rsidRPr="00CB681C" w:rsidRDefault="00792FA8" w:rsidP="00792FA8">
            <w:pPr>
              <w:pStyle w:val="ListParagraph"/>
              <w:numPr>
                <w:ilvl w:val="0"/>
                <w:numId w:val="10"/>
              </w:numPr>
              <w:spacing w:before="0"/>
              <w:ind w:left="246" w:right="-23" w:hanging="219"/>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0 (2020)</w:t>
            </w:r>
          </w:p>
        </w:tc>
        <w:tc>
          <w:tcPr>
            <w:tcW w:w="2340" w:type="dxa"/>
          </w:tcPr>
          <w:p w:rsidR="00792FA8" w:rsidRPr="00CB681C" w:rsidRDefault="00792FA8" w:rsidP="00792FA8">
            <w:pPr>
              <w:pStyle w:val="ListParagraph"/>
              <w:numPr>
                <w:ilvl w:val="0"/>
                <w:numId w:val="10"/>
              </w:numPr>
              <w:spacing w:before="0"/>
              <w:ind w:left="156" w:right="-21" w:hanging="18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 xml:space="preserve">3 </w:t>
            </w:r>
            <w:r w:rsidRPr="00792FA8">
              <w:rPr>
                <w:rFonts w:asciiTheme="majorHAnsi" w:hAnsiTheme="majorHAnsi"/>
              </w:rPr>
              <w:footnoteReference w:id="142"/>
            </w:r>
            <w:r w:rsidRPr="00792FA8">
              <w:rPr>
                <w:rFonts w:asciiTheme="majorHAnsi" w:hAnsiTheme="majorHAnsi" w:cstheme="majorHAnsi"/>
                <w:color w:val="auto"/>
              </w:rPr>
              <w:t xml:space="preserve"> </w:t>
            </w:r>
          </w:p>
        </w:tc>
        <w:tc>
          <w:tcPr>
            <w:tcW w:w="2070" w:type="dxa"/>
          </w:tcPr>
          <w:p w:rsidR="00792FA8" w:rsidRPr="00CB681C" w:rsidRDefault="00792FA8" w:rsidP="00792FA8">
            <w:pPr>
              <w:pStyle w:val="ListParagraph"/>
              <w:numPr>
                <w:ilvl w:val="0"/>
                <w:numId w:val="10"/>
              </w:numPr>
              <w:spacing w:before="0"/>
              <w:ind w:left="204" w:hanging="270"/>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 xml:space="preserve">5 </w:t>
            </w:r>
            <w:r w:rsidRPr="00792FA8">
              <w:rPr>
                <w:rFonts w:asciiTheme="majorHAnsi" w:hAnsiTheme="majorHAnsi"/>
              </w:rPr>
              <w:footnoteReference w:id="143"/>
            </w:r>
          </w:p>
        </w:tc>
      </w:tr>
      <w:tr w:rsidR="00792FA8" w:rsidRPr="00792FA8" w:rsidTr="00F26DBC">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73" w:type="dxa"/>
            <w:vMerge/>
          </w:tcPr>
          <w:p w:rsidR="00792FA8" w:rsidRPr="00CB681C" w:rsidRDefault="00792FA8" w:rsidP="00792FA8">
            <w:pPr>
              <w:pStyle w:val="ListParagraph"/>
              <w:spacing w:after="40"/>
              <w:ind w:left="0" w:right="-471"/>
              <w:contextualSpacing w:val="0"/>
              <w:jc w:val="both"/>
              <w:rPr>
                <w:rFonts w:asciiTheme="majorHAnsi" w:hAnsiTheme="majorHAnsi" w:cstheme="majorHAnsi"/>
                <w:color w:val="auto"/>
              </w:rPr>
            </w:pPr>
          </w:p>
        </w:tc>
        <w:tc>
          <w:tcPr>
            <w:tcW w:w="2857" w:type="dxa"/>
            <w:vMerge/>
          </w:tcPr>
          <w:p w:rsidR="00792FA8" w:rsidRPr="00CB681C" w:rsidRDefault="00792FA8" w:rsidP="00792FA8">
            <w:pPr>
              <w:spacing w:after="40"/>
              <w:ind w:right="-47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Pr>
          <w:p w:rsidR="00792FA8" w:rsidRPr="00CB681C" w:rsidRDefault="00792FA8" w:rsidP="00792FA8">
            <w:pPr>
              <w:pStyle w:val="ListParagraph"/>
              <w:numPr>
                <w:ilvl w:val="0"/>
                <w:numId w:val="10"/>
              </w:numPr>
              <w:spacing w:after="40"/>
              <w:ind w:left="246" w:right="-20" w:hanging="24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 lokalnih samouprava sa razvijenim KIS-om</w:t>
            </w:r>
          </w:p>
        </w:tc>
        <w:tc>
          <w:tcPr>
            <w:tcW w:w="2160" w:type="dxa"/>
            <w:vAlign w:val="center"/>
          </w:tcPr>
          <w:p w:rsidR="00792FA8" w:rsidRPr="00CB681C" w:rsidRDefault="00792FA8" w:rsidP="00792FA8">
            <w:pPr>
              <w:pStyle w:val="ListParagraph"/>
              <w:numPr>
                <w:ilvl w:val="0"/>
                <w:numId w:val="10"/>
              </w:numPr>
              <w:spacing w:after="40"/>
              <w:ind w:left="246" w:right="-23" w:hanging="219"/>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0</w:t>
            </w:r>
          </w:p>
        </w:tc>
        <w:tc>
          <w:tcPr>
            <w:tcW w:w="2340" w:type="dxa"/>
            <w:vAlign w:val="center"/>
          </w:tcPr>
          <w:p w:rsidR="00792FA8" w:rsidRPr="00CB681C" w:rsidRDefault="00792FA8" w:rsidP="00792FA8">
            <w:pPr>
              <w:pStyle w:val="ListParagraph"/>
              <w:numPr>
                <w:ilvl w:val="0"/>
                <w:numId w:val="10"/>
              </w:numPr>
              <w:spacing w:after="40"/>
              <w:ind w:left="179" w:right="-21" w:hanging="179"/>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10% LS</w:t>
            </w:r>
          </w:p>
        </w:tc>
        <w:tc>
          <w:tcPr>
            <w:tcW w:w="2070" w:type="dxa"/>
            <w:vAlign w:val="center"/>
          </w:tcPr>
          <w:p w:rsidR="00792FA8" w:rsidRPr="00CB681C" w:rsidRDefault="00792FA8" w:rsidP="00792FA8">
            <w:pPr>
              <w:pStyle w:val="ListParagraph"/>
              <w:numPr>
                <w:ilvl w:val="0"/>
                <w:numId w:val="10"/>
              </w:numPr>
              <w:spacing w:after="40"/>
              <w:ind w:left="179" w:right="-21" w:hanging="179"/>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100% LS</w:t>
            </w:r>
          </w:p>
        </w:tc>
      </w:tr>
      <w:tr w:rsidR="001014EF" w:rsidRPr="00CB681C" w:rsidTr="00F26DBC">
        <w:trPr>
          <w:trHeight w:val="543"/>
        </w:trPr>
        <w:tc>
          <w:tcPr>
            <w:cnfStyle w:val="001000000000" w:firstRow="0" w:lastRow="0" w:firstColumn="1" w:lastColumn="0" w:oddVBand="0" w:evenVBand="0" w:oddHBand="0" w:evenHBand="0" w:firstRowFirstColumn="0" w:firstRowLastColumn="0" w:lastRowFirstColumn="0" w:lastRowLastColumn="0"/>
            <w:tcW w:w="473" w:type="dxa"/>
            <w:vMerge w:val="restart"/>
          </w:tcPr>
          <w:p w:rsidR="001014EF" w:rsidRPr="00CB681C" w:rsidRDefault="001014EF" w:rsidP="007342FE">
            <w:pPr>
              <w:pStyle w:val="ListParagraph"/>
              <w:spacing w:after="40"/>
              <w:ind w:left="0" w:right="-471"/>
              <w:contextualSpacing w:val="0"/>
              <w:jc w:val="both"/>
              <w:rPr>
                <w:rFonts w:asciiTheme="majorHAnsi" w:hAnsiTheme="majorHAnsi" w:cstheme="majorHAnsi"/>
                <w:color w:val="auto"/>
              </w:rPr>
            </w:pPr>
          </w:p>
          <w:p w:rsidR="001014EF" w:rsidRPr="00CB681C" w:rsidRDefault="001014EF" w:rsidP="007342FE">
            <w:pPr>
              <w:pStyle w:val="ListParagraph"/>
              <w:spacing w:after="40"/>
              <w:ind w:left="0" w:right="-471"/>
              <w:contextualSpacing w:val="0"/>
              <w:jc w:val="both"/>
              <w:rPr>
                <w:rFonts w:asciiTheme="majorHAnsi" w:hAnsiTheme="majorHAnsi" w:cstheme="majorHAnsi"/>
                <w:color w:val="auto"/>
              </w:rPr>
            </w:pPr>
            <w:r w:rsidRPr="00CB681C">
              <w:rPr>
                <w:rFonts w:asciiTheme="majorHAnsi" w:hAnsiTheme="majorHAnsi" w:cstheme="majorHAnsi"/>
                <w:color w:val="auto"/>
              </w:rPr>
              <w:t>3.2</w:t>
            </w:r>
          </w:p>
        </w:tc>
        <w:tc>
          <w:tcPr>
            <w:tcW w:w="2857" w:type="dxa"/>
            <w:vMerge w:val="restart"/>
          </w:tcPr>
          <w:p w:rsidR="001014EF" w:rsidRPr="00CB681C" w:rsidRDefault="001014EF" w:rsidP="007342FE">
            <w:pPr>
              <w:spacing w:after="40"/>
              <w:ind w:right="-23"/>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92FA8">
              <w:rPr>
                <w:rFonts w:asciiTheme="majorHAnsi" w:hAnsiTheme="majorHAnsi" w:cstheme="majorHAnsi"/>
                <w:color w:val="auto"/>
              </w:rPr>
              <w:t xml:space="preserve">JU atraktivan poslodavac – efikasan sistem ocjenjivanja, napredovanja i nagrađivanja po sistemu zasluga i stalnog usavršavanja  </w:t>
            </w:r>
          </w:p>
        </w:tc>
        <w:tc>
          <w:tcPr>
            <w:tcW w:w="3240" w:type="dxa"/>
          </w:tcPr>
          <w:p w:rsidR="001014EF" w:rsidRPr="00CB681C" w:rsidRDefault="001014EF" w:rsidP="007342FE">
            <w:pPr>
              <w:pStyle w:val="ListParagraph"/>
              <w:numPr>
                <w:ilvl w:val="0"/>
                <w:numId w:val="10"/>
              </w:numPr>
              <w:spacing w:after="40"/>
              <w:ind w:left="246" w:right="-20" w:hanging="246"/>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 xml:space="preserve">% službenika u državnim organima koji su ocijenjeni  </w:t>
            </w:r>
          </w:p>
        </w:tc>
        <w:tc>
          <w:tcPr>
            <w:tcW w:w="2160" w:type="dxa"/>
          </w:tcPr>
          <w:p w:rsidR="001014EF" w:rsidRPr="00CB681C" w:rsidRDefault="001014EF" w:rsidP="007342FE">
            <w:pPr>
              <w:pStyle w:val="ListParagraph"/>
              <w:numPr>
                <w:ilvl w:val="0"/>
                <w:numId w:val="10"/>
              </w:numPr>
              <w:spacing w:after="40"/>
              <w:ind w:left="246" w:right="-20" w:hanging="219"/>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63,38  (2019)</w:t>
            </w:r>
          </w:p>
        </w:tc>
        <w:tc>
          <w:tcPr>
            <w:tcW w:w="2340" w:type="dxa"/>
          </w:tcPr>
          <w:p w:rsidR="001014EF" w:rsidRPr="00CB681C" w:rsidRDefault="001014EF" w:rsidP="007342FE">
            <w:pPr>
              <w:pStyle w:val="ListParagraph"/>
              <w:numPr>
                <w:ilvl w:val="0"/>
                <w:numId w:val="10"/>
              </w:numPr>
              <w:spacing w:after="40"/>
              <w:ind w:left="179" w:right="-20" w:hanging="179"/>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Povećanje za 10% u odnosu na početnu vrijednost</w:t>
            </w:r>
          </w:p>
        </w:tc>
        <w:tc>
          <w:tcPr>
            <w:tcW w:w="2070" w:type="dxa"/>
          </w:tcPr>
          <w:p w:rsidR="001014EF" w:rsidRPr="00CB681C" w:rsidRDefault="001014EF" w:rsidP="007342FE">
            <w:pPr>
              <w:pStyle w:val="ListParagraph"/>
              <w:numPr>
                <w:ilvl w:val="0"/>
                <w:numId w:val="10"/>
              </w:numPr>
              <w:spacing w:after="40"/>
              <w:ind w:left="246" w:right="-20" w:hanging="246"/>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Povećanje za 20% u donosu na početnu vrijednost</w:t>
            </w:r>
          </w:p>
        </w:tc>
      </w:tr>
      <w:tr w:rsidR="001014EF" w:rsidRPr="00CB681C" w:rsidTr="00F26DB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473" w:type="dxa"/>
            <w:vMerge/>
          </w:tcPr>
          <w:p w:rsidR="001014EF" w:rsidRPr="00CB681C" w:rsidRDefault="001014EF" w:rsidP="007342FE">
            <w:pPr>
              <w:pStyle w:val="ListParagraph"/>
              <w:spacing w:after="40"/>
              <w:ind w:left="0" w:right="-471"/>
              <w:contextualSpacing w:val="0"/>
              <w:jc w:val="both"/>
              <w:rPr>
                <w:rFonts w:asciiTheme="majorHAnsi" w:hAnsiTheme="majorHAnsi" w:cstheme="majorHAnsi"/>
                <w:color w:val="auto"/>
              </w:rPr>
            </w:pPr>
          </w:p>
        </w:tc>
        <w:tc>
          <w:tcPr>
            <w:tcW w:w="2857" w:type="dxa"/>
            <w:vMerge/>
          </w:tcPr>
          <w:p w:rsidR="001014EF" w:rsidRPr="00CB681C" w:rsidRDefault="001014EF" w:rsidP="007342FE">
            <w:pPr>
              <w:spacing w:after="40"/>
              <w:ind w:right="-23"/>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Pr>
          <w:p w:rsidR="001014EF" w:rsidRPr="00CB681C" w:rsidRDefault="001014EF" w:rsidP="007342FE">
            <w:pPr>
              <w:pStyle w:val="ListParagraph"/>
              <w:numPr>
                <w:ilvl w:val="0"/>
                <w:numId w:val="10"/>
              </w:numPr>
              <w:spacing w:after="40"/>
              <w:ind w:left="246" w:right="-20" w:hanging="246"/>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Sistem ocjenjivanja radnog učinka unaprijeđen</w:t>
            </w:r>
          </w:p>
        </w:tc>
        <w:tc>
          <w:tcPr>
            <w:tcW w:w="2160" w:type="dxa"/>
          </w:tcPr>
          <w:p w:rsidR="001014EF" w:rsidRPr="00CB681C" w:rsidRDefault="001014EF" w:rsidP="007342FE">
            <w:pPr>
              <w:pStyle w:val="ListParagraph"/>
              <w:numPr>
                <w:ilvl w:val="0"/>
                <w:numId w:val="10"/>
              </w:numPr>
              <w:spacing w:after="40"/>
              <w:ind w:left="246" w:right="-20" w:hanging="219"/>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Sistem ocjenjivanja nije uvezan sa nagrađivanjem i napredovanjem u službi</w:t>
            </w:r>
          </w:p>
        </w:tc>
        <w:tc>
          <w:tcPr>
            <w:tcW w:w="2340" w:type="dxa"/>
          </w:tcPr>
          <w:p w:rsidR="001014EF" w:rsidRPr="00CB681C" w:rsidRDefault="001014EF" w:rsidP="007342FE">
            <w:pPr>
              <w:pStyle w:val="ListParagraph"/>
              <w:numPr>
                <w:ilvl w:val="0"/>
                <w:numId w:val="10"/>
              </w:numPr>
              <w:spacing w:after="40"/>
              <w:ind w:left="179" w:right="-20" w:hanging="179"/>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Unaprijeđen normativni okvir u sistemu nagrađivanja i napredovanjan u službi</w:t>
            </w:r>
          </w:p>
        </w:tc>
        <w:tc>
          <w:tcPr>
            <w:tcW w:w="2070" w:type="dxa"/>
          </w:tcPr>
          <w:p w:rsidR="001014EF" w:rsidRPr="00CB681C" w:rsidRDefault="001014EF" w:rsidP="007342FE">
            <w:pPr>
              <w:pStyle w:val="ListParagraph"/>
              <w:numPr>
                <w:ilvl w:val="0"/>
                <w:numId w:val="10"/>
              </w:numPr>
              <w:spacing w:after="40"/>
              <w:ind w:left="246" w:right="-20" w:hanging="246"/>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Utvrditi polaznu osnovu o broju zaposlenih koji se ocjenjuju shodno unaprijeđenom sistemu</w:t>
            </w:r>
          </w:p>
        </w:tc>
      </w:tr>
      <w:tr w:rsidR="001014EF" w:rsidRPr="00CB681C" w:rsidTr="00F26DBC">
        <w:trPr>
          <w:trHeight w:val="613"/>
        </w:trPr>
        <w:tc>
          <w:tcPr>
            <w:cnfStyle w:val="001000000000" w:firstRow="0" w:lastRow="0" w:firstColumn="1" w:lastColumn="0" w:oddVBand="0" w:evenVBand="0" w:oddHBand="0" w:evenHBand="0" w:firstRowFirstColumn="0" w:firstRowLastColumn="0" w:lastRowFirstColumn="0" w:lastRowLastColumn="0"/>
            <w:tcW w:w="473" w:type="dxa"/>
            <w:vMerge/>
          </w:tcPr>
          <w:p w:rsidR="001014EF" w:rsidRPr="00CB681C" w:rsidRDefault="001014EF" w:rsidP="007342FE">
            <w:pPr>
              <w:pStyle w:val="ListParagraph"/>
              <w:spacing w:after="40"/>
              <w:ind w:left="0" w:right="-471"/>
              <w:contextualSpacing w:val="0"/>
              <w:jc w:val="both"/>
              <w:rPr>
                <w:rFonts w:asciiTheme="majorHAnsi" w:hAnsiTheme="majorHAnsi" w:cstheme="majorHAnsi"/>
                <w:color w:val="auto"/>
              </w:rPr>
            </w:pPr>
          </w:p>
        </w:tc>
        <w:tc>
          <w:tcPr>
            <w:tcW w:w="2857" w:type="dxa"/>
            <w:vMerge/>
          </w:tcPr>
          <w:p w:rsidR="001014EF" w:rsidRPr="00CB681C" w:rsidRDefault="001014EF" w:rsidP="007342FE">
            <w:pPr>
              <w:spacing w:after="40"/>
              <w:ind w:right="-47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Borders>
              <w:top w:val="single" w:sz="4" w:space="0" w:color="auto"/>
            </w:tcBorders>
          </w:tcPr>
          <w:p w:rsidR="001014EF" w:rsidRPr="00CB681C" w:rsidRDefault="001014EF" w:rsidP="007342FE">
            <w:pPr>
              <w:pStyle w:val="ListParagraph"/>
              <w:numPr>
                <w:ilvl w:val="0"/>
                <w:numId w:val="10"/>
              </w:numPr>
              <w:spacing w:after="40"/>
              <w:ind w:left="246" w:right="-20" w:hanging="246"/>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Uspostavljanje mehanizma starteškog planiranja obuka</w:t>
            </w:r>
          </w:p>
        </w:tc>
        <w:tc>
          <w:tcPr>
            <w:tcW w:w="2160" w:type="dxa"/>
            <w:tcBorders>
              <w:top w:val="single" w:sz="4" w:space="0" w:color="auto"/>
            </w:tcBorders>
          </w:tcPr>
          <w:p w:rsidR="001014EF" w:rsidRPr="007342FE" w:rsidRDefault="001014EF" w:rsidP="007342FE">
            <w:pPr>
              <w:pStyle w:val="ListParagraph"/>
              <w:numPr>
                <w:ilvl w:val="0"/>
                <w:numId w:val="10"/>
              </w:numPr>
              <w:spacing w:after="40"/>
              <w:ind w:left="246" w:right="-20" w:hanging="219"/>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 xml:space="preserve"> Državni organi i jedinice lokalne samouprave strateški ne planiraju obuku </w:t>
            </w:r>
          </w:p>
        </w:tc>
        <w:tc>
          <w:tcPr>
            <w:tcW w:w="2340" w:type="dxa"/>
            <w:tcBorders>
              <w:top w:val="single" w:sz="4" w:space="0" w:color="auto"/>
            </w:tcBorders>
          </w:tcPr>
          <w:p w:rsidR="001014EF" w:rsidRPr="00CB681C" w:rsidRDefault="001014EF" w:rsidP="007342FE">
            <w:pPr>
              <w:pStyle w:val="ListParagraph"/>
              <w:numPr>
                <w:ilvl w:val="0"/>
                <w:numId w:val="10"/>
              </w:numPr>
              <w:spacing w:after="40"/>
              <w:ind w:left="246" w:right="-20" w:hanging="219"/>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50% organa strateski planira obuku</w:t>
            </w:r>
          </w:p>
        </w:tc>
        <w:tc>
          <w:tcPr>
            <w:tcW w:w="2070" w:type="dxa"/>
            <w:tcBorders>
              <w:top w:val="single" w:sz="4" w:space="0" w:color="auto"/>
            </w:tcBorders>
          </w:tcPr>
          <w:p w:rsidR="001014EF" w:rsidRPr="00CB681C" w:rsidRDefault="001014EF" w:rsidP="007342FE">
            <w:pPr>
              <w:pStyle w:val="ListParagraph"/>
              <w:numPr>
                <w:ilvl w:val="0"/>
                <w:numId w:val="10"/>
              </w:numPr>
              <w:spacing w:after="40"/>
              <w:ind w:left="246" w:right="-20" w:hanging="219"/>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70% organa strateski planira obuku</w:t>
            </w:r>
          </w:p>
        </w:tc>
      </w:tr>
      <w:tr w:rsidR="001014EF" w:rsidRPr="00CB681C" w:rsidTr="00F26DBC">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73" w:type="dxa"/>
            <w:vMerge/>
          </w:tcPr>
          <w:p w:rsidR="001014EF" w:rsidRPr="00CB681C" w:rsidRDefault="001014EF" w:rsidP="007342FE">
            <w:pPr>
              <w:pStyle w:val="ListParagraph"/>
              <w:spacing w:after="40"/>
              <w:ind w:left="0" w:right="-471"/>
              <w:jc w:val="both"/>
              <w:rPr>
                <w:rFonts w:asciiTheme="majorHAnsi" w:hAnsiTheme="majorHAnsi" w:cstheme="majorHAnsi"/>
                <w:color w:val="auto"/>
              </w:rPr>
            </w:pPr>
          </w:p>
        </w:tc>
        <w:tc>
          <w:tcPr>
            <w:tcW w:w="2857" w:type="dxa"/>
            <w:vMerge/>
          </w:tcPr>
          <w:p w:rsidR="001014EF" w:rsidRPr="00CB681C" w:rsidRDefault="001014EF" w:rsidP="007342FE">
            <w:pPr>
              <w:spacing w:after="40"/>
              <w:ind w:right="67"/>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Pr>
          <w:p w:rsidR="001014EF" w:rsidRPr="00CB681C" w:rsidRDefault="001014EF" w:rsidP="007342FE">
            <w:pPr>
              <w:pStyle w:val="ListParagraph"/>
              <w:numPr>
                <w:ilvl w:val="0"/>
                <w:numId w:val="10"/>
              </w:numPr>
              <w:spacing w:after="40"/>
              <w:ind w:left="246" w:right="-20" w:hanging="246"/>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 novozaposlenih službenika koji su prošli kroz obuku u prvoj godini rada na početnim pozicijama službenih zvanja</w:t>
            </w:r>
          </w:p>
        </w:tc>
        <w:tc>
          <w:tcPr>
            <w:tcW w:w="2160" w:type="dxa"/>
          </w:tcPr>
          <w:p w:rsidR="001014EF" w:rsidRPr="00CB681C" w:rsidRDefault="001014EF" w:rsidP="007342FE">
            <w:pPr>
              <w:pStyle w:val="ListParagraph"/>
              <w:numPr>
                <w:ilvl w:val="0"/>
                <w:numId w:val="10"/>
              </w:numPr>
              <w:spacing w:after="40"/>
              <w:ind w:left="246" w:right="-20" w:hanging="246"/>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 xml:space="preserve"> Utvrđen program obuke za novozaposlene</w:t>
            </w:r>
          </w:p>
        </w:tc>
        <w:tc>
          <w:tcPr>
            <w:tcW w:w="2340" w:type="dxa"/>
          </w:tcPr>
          <w:p w:rsidR="001014EF" w:rsidRPr="00CB681C" w:rsidRDefault="001014EF" w:rsidP="007342FE">
            <w:pPr>
              <w:pStyle w:val="ListParagraph"/>
              <w:numPr>
                <w:ilvl w:val="0"/>
                <w:numId w:val="10"/>
              </w:numPr>
              <w:spacing w:after="40"/>
              <w:ind w:left="179" w:right="-20" w:hanging="246"/>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50%</w:t>
            </w:r>
          </w:p>
        </w:tc>
        <w:tc>
          <w:tcPr>
            <w:tcW w:w="2070" w:type="dxa"/>
          </w:tcPr>
          <w:p w:rsidR="001014EF" w:rsidRPr="00CB681C" w:rsidRDefault="001014EF" w:rsidP="007342FE">
            <w:pPr>
              <w:pStyle w:val="ListParagraph"/>
              <w:numPr>
                <w:ilvl w:val="0"/>
                <w:numId w:val="10"/>
              </w:numPr>
              <w:spacing w:after="40"/>
              <w:ind w:left="179" w:right="-20" w:hanging="246"/>
              <w:contextualSpacing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80%</w:t>
            </w:r>
          </w:p>
        </w:tc>
      </w:tr>
      <w:tr w:rsidR="001014EF" w:rsidRPr="00CB681C" w:rsidTr="00F26DBC">
        <w:trPr>
          <w:trHeight w:val="433"/>
        </w:trPr>
        <w:tc>
          <w:tcPr>
            <w:cnfStyle w:val="001000000000" w:firstRow="0" w:lastRow="0" w:firstColumn="1" w:lastColumn="0" w:oddVBand="0" w:evenVBand="0" w:oddHBand="0" w:evenHBand="0" w:firstRowFirstColumn="0" w:firstRowLastColumn="0" w:lastRowFirstColumn="0" w:lastRowLastColumn="0"/>
            <w:tcW w:w="473" w:type="dxa"/>
            <w:vMerge/>
          </w:tcPr>
          <w:p w:rsidR="001014EF" w:rsidRPr="00CB681C" w:rsidRDefault="001014EF" w:rsidP="007342FE">
            <w:pPr>
              <w:pStyle w:val="ListParagraph"/>
              <w:spacing w:after="40"/>
              <w:ind w:left="0" w:right="-471"/>
              <w:jc w:val="both"/>
              <w:rPr>
                <w:rFonts w:asciiTheme="majorHAnsi" w:hAnsiTheme="majorHAnsi" w:cstheme="majorHAnsi"/>
                <w:color w:val="auto"/>
              </w:rPr>
            </w:pPr>
          </w:p>
        </w:tc>
        <w:tc>
          <w:tcPr>
            <w:tcW w:w="2857" w:type="dxa"/>
            <w:vMerge/>
          </w:tcPr>
          <w:p w:rsidR="001014EF" w:rsidRPr="00CB681C" w:rsidRDefault="001014EF" w:rsidP="007342FE">
            <w:pPr>
              <w:spacing w:after="40"/>
              <w:ind w:right="67"/>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Pr>
          <w:p w:rsidR="001014EF" w:rsidRPr="00CB681C" w:rsidRDefault="001014EF" w:rsidP="007342FE">
            <w:pPr>
              <w:pStyle w:val="ListParagraph"/>
              <w:numPr>
                <w:ilvl w:val="0"/>
                <w:numId w:val="10"/>
              </w:numPr>
              <w:spacing w:after="40"/>
              <w:ind w:left="246" w:right="-20" w:hanging="246"/>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Broj institucija koje mjere zadovoljstvo državnih i lokalnih službenika</w:t>
            </w:r>
          </w:p>
        </w:tc>
        <w:tc>
          <w:tcPr>
            <w:tcW w:w="2160" w:type="dxa"/>
          </w:tcPr>
          <w:p w:rsidR="001014EF" w:rsidRPr="00CB681C" w:rsidRDefault="001014EF" w:rsidP="007342FE">
            <w:pPr>
              <w:pStyle w:val="ListParagraph"/>
              <w:numPr>
                <w:ilvl w:val="0"/>
                <w:numId w:val="10"/>
              </w:numPr>
              <w:spacing w:after="40"/>
              <w:ind w:left="246" w:right="-20" w:hanging="246"/>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3 institucije</w:t>
            </w:r>
          </w:p>
        </w:tc>
        <w:tc>
          <w:tcPr>
            <w:tcW w:w="2340" w:type="dxa"/>
          </w:tcPr>
          <w:p w:rsidR="001014EF" w:rsidRPr="00CB681C" w:rsidRDefault="001014EF" w:rsidP="007342FE">
            <w:pPr>
              <w:pStyle w:val="ListParagraph"/>
              <w:numPr>
                <w:ilvl w:val="0"/>
                <w:numId w:val="10"/>
              </w:numPr>
              <w:spacing w:after="40"/>
              <w:ind w:left="179" w:right="-20" w:hanging="24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50% organa državne uprave mjeri zadovoljstvo zaposlenih</w:t>
            </w:r>
          </w:p>
        </w:tc>
        <w:tc>
          <w:tcPr>
            <w:tcW w:w="2070" w:type="dxa"/>
          </w:tcPr>
          <w:p w:rsidR="001014EF" w:rsidRDefault="001014EF" w:rsidP="007342FE">
            <w:pPr>
              <w:pStyle w:val="ListParagraph"/>
              <w:numPr>
                <w:ilvl w:val="0"/>
                <w:numId w:val="10"/>
              </w:numPr>
              <w:spacing w:after="40"/>
              <w:ind w:left="179" w:right="-20" w:hanging="24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70% organa državne uprave</w:t>
            </w:r>
          </w:p>
          <w:p w:rsidR="001014EF" w:rsidRPr="00CB681C" w:rsidRDefault="001014EF" w:rsidP="007342FE">
            <w:pPr>
              <w:pStyle w:val="ListParagraph"/>
              <w:numPr>
                <w:ilvl w:val="0"/>
                <w:numId w:val="10"/>
              </w:numPr>
              <w:spacing w:after="40"/>
              <w:ind w:left="179" w:right="-20" w:hanging="246"/>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40% JLS</w:t>
            </w:r>
          </w:p>
        </w:tc>
      </w:tr>
      <w:tr w:rsidR="007342FE" w:rsidRPr="00CB681C" w:rsidTr="00F26DBC">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73" w:type="dxa"/>
            <w:vMerge w:val="restart"/>
          </w:tcPr>
          <w:p w:rsidR="007342FE" w:rsidRPr="00CB681C" w:rsidRDefault="007342FE" w:rsidP="007342FE">
            <w:pPr>
              <w:pStyle w:val="ListParagraph"/>
              <w:spacing w:after="40"/>
              <w:ind w:left="0" w:right="-471"/>
              <w:jc w:val="both"/>
              <w:rPr>
                <w:rFonts w:asciiTheme="majorHAnsi" w:hAnsiTheme="majorHAnsi" w:cstheme="majorHAnsi"/>
                <w:color w:val="auto"/>
              </w:rPr>
            </w:pPr>
            <w:r w:rsidRPr="00CB681C">
              <w:rPr>
                <w:rFonts w:asciiTheme="majorHAnsi" w:hAnsiTheme="majorHAnsi" w:cstheme="majorHAnsi"/>
                <w:color w:val="auto"/>
              </w:rPr>
              <w:t>3.3</w:t>
            </w:r>
          </w:p>
        </w:tc>
        <w:tc>
          <w:tcPr>
            <w:tcW w:w="2857" w:type="dxa"/>
            <w:vMerge w:val="restart"/>
          </w:tcPr>
          <w:p w:rsidR="007342FE" w:rsidRPr="00CB681C" w:rsidRDefault="007342FE" w:rsidP="007342FE">
            <w:pPr>
              <w:spacing w:after="40"/>
              <w:ind w:right="67"/>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 xml:space="preserve">Optimalna i efikasna javna administracija  </w:t>
            </w:r>
          </w:p>
        </w:tc>
        <w:tc>
          <w:tcPr>
            <w:tcW w:w="3240" w:type="dxa"/>
          </w:tcPr>
          <w:p w:rsidR="007342FE" w:rsidRPr="00CB681C" w:rsidRDefault="007342FE" w:rsidP="007342FE">
            <w:pPr>
              <w:pStyle w:val="ListParagraph"/>
              <w:numPr>
                <w:ilvl w:val="0"/>
                <w:numId w:val="10"/>
              </w:numPr>
              <w:spacing w:after="40"/>
              <w:ind w:left="246" w:right="-23" w:hanging="219"/>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Broj institucija/sektora sa izmijenjenom organizacionom i funkcionalnom sturkturom na osnovu preporuka funkcionalnih analiza</w:t>
            </w:r>
          </w:p>
        </w:tc>
        <w:tc>
          <w:tcPr>
            <w:tcW w:w="2160" w:type="dxa"/>
            <w:vAlign w:val="center"/>
          </w:tcPr>
          <w:p w:rsidR="007342FE" w:rsidRPr="00CB681C" w:rsidRDefault="007342FE" w:rsidP="007342FE">
            <w:pPr>
              <w:pStyle w:val="ListParagraph"/>
              <w:numPr>
                <w:ilvl w:val="0"/>
                <w:numId w:val="10"/>
              </w:numPr>
              <w:spacing w:after="40"/>
              <w:ind w:left="246" w:right="-23" w:hanging="219"/>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0</w:t>
            </w:r>
          </w:p>
        </w:tc>
        <w:tc>
          <w:tcPr>
            <w:tcW w:w="2340" w:type="dxa"/>
            <w:vAlign w:val="center"/>
          </w:tcPr>
          <w:p w:rsidR="007342FE" w:rsidRPr="00CB681C" w:rsidRDefault="007342FE" w:rsidP="007342FE">
            <w:pPr>
              <w:pStyle w:val="ListParagraph"/>
              <w:numPr>
                <w:ilvl w:val="0"/>
                <w:numId w:val="10"/>
              </w:numPr>
              <w:spacing w:after="40"/>
              <w:ind w:left="179" w:right="-21" w:hanging="179"/>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Vrijednost će biti uspostavljena nakon izrađenih funkcionalnih analiza</w:t>
            </w:r>
          </w:p>
        </w:tc>
        <w:tc>
          <w:tcPr>
            <w:tcW w:w="2070" w:type="dxa"/>
            <w:vAlign w:val="center"/>
          </w:tcPr>
          <w:p w:rsidR="007342FE" w:rsidRPr="00CB681C" w:rsidRDefault="007342FE" w:rsidP="007342FE">
            <w:pPr>
              <w:pStyle w:val="ListParagraph"/>
              <w:spacing w:after="40"/>
              <w:ind w:left="144"/>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Vrijednost će biti uspostavljena nakon izrađenih funkcionalnih analiza</w:t>
            </w:r>
          </w:p>
        </w:tc>
      </w:tr>
      <w:tr w:rsidR="007342FE" w:rsidRPr="00CB681C" w:rsidTr="00F26DBC">
        <w:trPr>
          <w:trHeight w:val="433"/>
        </w:trPr>
        <w:tc>
          <w:tcPr>
            <w:cnfStyle w:val="001000000000" w:firstRow="0" w:lastRow="0" w:firstColumn="1" w:lastColumn="0" w:oddVBand="0" w:evenVBand="0" w:oddHBand="0" w:evenHBand="0" w:firstRowFirstColumn="0" w:firstRowLastColumn="0" w:lastRowFirstColumn="0" w:lastRowLastColumn="0"/>
            <w:tcW w:w="473" w:type="dxa"/>
            <w:vMerge/>
          </w:tcPr>
          <w:p w:rsidR="007342FE" w:rsidRPr="00CB681C" w:rsidRDefault="007342FE" w:rsidP="007342FE">
            <w:pPr>
              <w:pStyle w:val="ListParagraph"/>
              <w:spacing w:after="40"/>
              <w:ind w:left="0" w:right="-471"/>
              <w:jc w:val="both"/>
              <w:rPr>
                <w:rFonts w:asciiTheme="majorHAnsi" w:hAnsiTheme="majorHAnsi" w:cstheme="majorHAnsi"/>
                <w:color w:val="auto"/>
              </w:rPr>
            </w:pPr>
          </w:p>
        </w:tc>
        <w:tc>
          <w:tcPr>
            <w:tcW w:w="2857" w:type="dxa"/>
            <w:vMerge/>
          </w:tcPr>
          <w:p w:rsidR="007342FE" w:rsidRPr="00CB681C" w:rsidRDefault="007342FE" w:rsidP="007342FE">
            <w:pPr>
              <w:spacing w:after="40"/>
              <w:ind w:right="67"/>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Pr>
          <w:p w:rsidR="007342FE" w:rsidRPr="00CB681C" w:rsidRDefault="007342FE" w:rsidP="007342FE">
            <w:pPr>
              <w:pStyle w:val="ListParagraph"/>
              <w:numPr>
                <w:ilvl w:val="0"/>
                <w:numId w:val="10"/>
              </w:numPr>
              <w:spacing w:after="40"/>
              <w:ind w:left="246" w:right="-20" w:hanging="24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Participacije zaposlenih u javnoj upravi u ukupnoj zaposlenosti</w:t>
            </w:r>
          </w:p>
        </w:tc>
        <w:tc>
          <w:tcPr>
            <w:tcW w:w="2160" w:type="dxa"/>
          </w:tcPr>
          <w:p w:rsidR="007342FE" w:rsidRPr="00CB681C" w:rsidRDefault="006E55E9" w:rsidP="007342FE">
            <w:pPr>
              <w:pStyle w:val="ListParagraph"/>
              <w:numPr>
                <w:ilvl w:val="0"/>
                <w:numId w:val="10"/>
              </w:numPr>
              <w:spacing w:after="40"/>
              <w:ind w:left="246" w:right="-23" w:hanging="219"/>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Pr>
                <w:rFonts w:asciiTheme="majorHAnsi" w:hAnsiTheme="majorHAnsi" w:cstheme="majorHAnsi"/>
                <w:color w:val="auto"/>
              </w:rPr>
              <w:t>32%</w:t>
            </w:r>
          </w:p>
        </w:tc>
        <w:tc>
          <w:tcPr>
            <w:tcW w:w="2340" w:type="dxa"/>
          </w:tcPr>
          <w:p w:rsidR="007342FE" w:rsidRPr="00CB681C" w:rsidRDefault="007342FE" w:rsidP="007342FE">
            <w:pPr>
              <w:pStyle w:val="ListParagraph"/>
              <w:numPr>
                <w:ilvl w:val="0"/>
                <w:numId w:val="10"/>
              </w:numPr>
              <w:spacing w:after="40"/>
              <w:ind w:left="179" w:right="-21" w:hanging="179"/>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2070" w:type="dxa"/>
          </w:tcPr>
          <w:p w:rsidR="007342FE" w:rsidRPr="00CB681C" w:rsidRDefault="007342FE" w:rsidP="007342FE">
            <w:pPr>
              <w:pStyle w:val="ListParagraph"/>
              <w:spacing w:after="40"/>
              <w:ind w:left="144"/>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r>
    </w:tbl>
    <w:p w:rsidR="00DD1086" w:rsidRPr="00CB681C" w:rsidRDefault="00DD1086" w:rsidP="00153229">
      <w:pPr>
        <w:ind w:right="-471"/>
        <w:rPr>
          <w:rFonts w:asciiTheme="majorHAnsi" w:hAnsiTheme="majorHAnsi" w:cstheme="majorHAnsi"/>
          <w:color w:val="auto"/>
        </w:rPr>
      </w:pPr>
    </w:p>
    <w:tbl>
      <w:tblPr>
        <w:tblStyle w:val="GridTable5Dark-Accent1"/>
        <w:tblW w:w="13140" w:type="dxa"/>
        <w:tblInd w:w="-275" w:type="dxa"/>
        <w:tblLook w:val="04A0" w:firstRow="1" w:lastRow="0" w:firstColumn="1" w:lastColumn="0" w:noHBand="0" w:noVBand="1"/>
      </w:tblPr>
      <w:tblGrid>
        <w:gridCol w:w="474"/>
        <w:gridCol w:w="2856"/>
        <w:gridCol w:w="3240"/>
        <w:gridCol w:w="2250"/>
        <w:gridCol w:w="2250"/>
        <w:gridCol w:w="2070"/>
      </w:tblGrid>
      <w:tr w:rsidR="00AC188A" w:rsidRPr="00CB681C" w:rsidTr="00F26D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0" w:type="dxa"/>
            <w:gridSpan w:val="6"/>
          </w:tcPr>
          <w:p w:rsidR="00DD1086" w:rsidRPr="001014EF" w:rsidRDefault="00DD1086" w:rsidP="00153229">
            <w:pPr>
              <w:pStyle w:val="ListParagraph"/>
              <w:spacing w:before="120" w:after="120"/>
              <w:ind w:left="0" w:right="-471"/>
              <w:contextualSpacing w:val="0"/>
              <w:jc w:val="both"/>
              <w:rPr>
                <w:rFonts w:asciiTheme="majorHAnsi" w:hAnsiTheme="majorHAnsi" w:cstheme="majorHAnsi"/>
                <w:caps/>
                <w:color w:val="auto"/>
                <w:sz w:val="24"/>
                <w:szCs w:val="24"/>
              </w:rPr>
            </w:pPr>
            <w:r w:rsidRPr="001014EF">
              <w:rPr>
                <w:rFonts w:asciiTheme="majorHAnsi" w:hAnsiTheme="majorHAnsi" w:cstheme="majorHAnsi"/>
                <w:color w:val="auto"/>
                <w:sz w:val="24"/>
                <w:szCs w:val="24"/>
              </w:rPr>
              <w:t xml:space="preserve">STRATEŠKI CILJ 4: TRANSPARENTA I </w:t>
            </w:r>
            <w:r w:rsidR="00367B76" w:rsidRPr="001014EF">
              <w:rPr>
                <w:rFonts w:asciiTheme="majorHAnsi" w:hAnsiTheme="majorHAnsi" w:cstheme="majorHAnsi"/>
                <w:color w:val="auto"/>
                <w:sz w:val="24"/>
                <w:szCs w:val="24"/>
              </w:rPr>
              <w:t>OTVORENA</w:t>
            </w:r>
            <w:r w:rsidRPr="001014EF">
              <w:rPr>
                <w:rFonts w:asciiTheme="majorHAnsi" w:hAnsiTheme="majorHAnsi" w:cstheme="majorHAnsi"/>
                <w:color w:val="auto"/>
                <w:sz w:val="24"/>
                <w:szCs w:val="24"/>
              </w:rPr>
              <w:t xml:space="preserve"> JAVNA UPRAVA </w:t>
            </w:r>
          </w:p>
        </w:tc>
      </w:tr>
      <w:tr w:rsidR="00CB681C" w:rsidRPr="00CB681C" w:rsidTr="00F26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gridSpan w:val="2"/>
            <w:vAlign w:val="center"/>
          </w:tcPr>
          <w:p w:rsidR="00DD1086" w:rsidRPr="00CB681C" w:rsidRDefault="0090165A" w:rsidP="00153229">
            <w:pPr>
              <w:pStyle w:val="ListParagraph"/>
              <w:spacing w:after="40"/>
              <w:ind w:left="0" w:right="-471"/>
              <w:contextualSpacing w:val="0"/>
              <w:jc w:val="center"/>
              <w:rPr>
                <w:rFonts w:asciiTheme="majorHAnsi" w:hAnsiTheme="majorHAnsi" w:cstheme="majorHAnsi"/>
                <w:color w:val="auto"/>
              </w:rPr>
            </w:pPr>
            <w:r w:rsidRPr="00CB681C">
              <w:rPr>
                <w:rFonts w:asciiTheme="majorHAnsi" w:hAnsiTheme="majorHAnsi" w:cstheme="majorHAnsi"/>
                <w:color w:val="auto"/>
              </w:rPr>
              <w:t>OPERATIVNI CILJEVI</w:t>
            </w:r>
          </w:p>
        </w:tc>
        <w:tc>
          <w:tcPr>
            <w:tcW w:w="3240" w:type="dxa"/>
            <w:vAlign w:val="center"/>
          </w:tcPr>
          <w:p w:rsidR="00DD1086" w:rsidRPr="00CB681C" w:rsidRDefault="00DD1086" w:rsidP="00153229">
            <w:pPr>
              <w:pStyle w:val="ListParagraph"/>
              <w:spacing w:after="40"/>
              <w:ind w:left="0" w:right="-471"/>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Indikator učinka</w:t>
            </w:r>
          </w:p>
        </w:tc>
        <w:tc>
          <w:tcPr>
            <w:tcW w:w="2250" w:type="dxa"/>
            <w:vAlign w:val="center"/>
          </w:tcPr>
          <w:p w:rsidR="00DD1086" w:rsidRPr="00CB681C" w:rsidRDefault="00DD1086" w:rsidP="00B07FD8">
            <w:pPr>
              <w:pStyle w:val="ListParagraph"/>
              <w:spacing w:after="40"/>
              <w:ind w:left="0" w:right="-108"/>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Početna vrijednost</w:t>
            </w:r>
          </w:p>
        </w:tc>
        <w:tc>
          <w:tcPr>
            <w:tcW w:w="2250" w:type="dxa"/>
            <w:vAlign w:val="center"/>
          </w:tcPr>
          <w:p w:rsidR="00DD1086" w:rsidRPr="00CB681C" w:rsidRDefault="00DD1086" w:rsidP="00B07FD8">
            <w:pPr>
              <w:pStyle w:val="ListParagraph"/>
              <w:spacing w:after="40"/>
              <w:ind w:left="0" w:right="-106"/>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Ciljana vrijednost do 2024.</w:t>
            </w:r>
          </w:p>
        </w:tc>
        <w:tc>
          <w:tcPr>
            <w:tcW w:w="2070" w:type="dxa"/>
            <w:vAlign w:val="center"/>
          </w:tcPr>
          <w:p w:rsidR="00DD1086" w:rsidRPr="00CB681C" w:rsidRDefault="00DD1086" w:rsidP="00B07FD8">
            <w:pPr>
              <w:pStyle w:val="ListParagraph"/>
              <w:spacing w:after="40"/>
              <w:ind w:left="0" w:right="-104"/>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Ciljana vrijednost u 2026.</w:t>
            </w:r>
          </w:p>
        </w:tc>
      </w:tr>
      <w:tr w:rsidR="00F26DBC" w:rsidRPr="00CB681C" w:rsidTr="00F26DBC">
        <w:trPr>
          <w:trHeight w:val="613"/>
        </w:trPr>
        <w:tc>
          <w:tcPr>
            <w:cnfStyle w:val="001000000000" w:firstRow="0" w:lastRow="0" w:firstColumn="1" w:lastColumn="0" w:oddVBand="0" w:evenVBand="0" w:oddHBand="0" w:evenHBand="0" w:firstRowFirstColumn="0" w:firstRowLastColumn="0" w:lastRowFirstColumn="0" w:lastRowLastColumn="0"/>
            <w:tcW w:w="474" w:type="dxa"/>
            <w:vMerge w:val="restart"/>
          </w:tcPr>
          <w:p w:rsidR="007342FE" w:rsidRPr="00CB681C" w:rsidRDefault="007342FE" w:rsidP="007342FE">
            <w:pPr>
              <w:pStyle w:val="ListParagraph"/>
              <w:spacing w:after="40"/>
              <w:ind w:left="0" w:right="-471"/>
              <w:contextualSpacing w:val="0"/>
              <w:jc w:val="both"/>
              <w:rPr>
                <w:rFonts w:asciiTheme="majorHAnsi" w:hAnsiTheme="majorHAnsi" w:cstheme="majorHAnsi"/>
                <w:color w:val="auto"/>
              </w:rPr>
            </w:pPr>
            <w:r w:rsidRPr="00CB681C">
              <w:rPr>
                <w:rFonts w:asciiTheme="majorHAnsi" w:hAnsiTheme="majorHAnsi" w:cstheme="majorHAnsi"/>
                <w:color w:val="auto"/>
              </w:rPr>
              <w:t>4.1</w:t>
            </w:r>
          </w:p>
        </w:tc>
        <w:tc>
          <w:tcPr>
            <w:tcW w:w="2856" w:type="dxa"/>
            <w:vMerge w:val="restart"/>
          </w:tcPr>
          <w:p w:rsidR="007342FE" w:rsidRPr="00CB681C" w:rsidRDefault="007342FE" w:rsidP="007342FE">
            <w:pPr>
              <w:spacing w:after="40"/>
              <w:ind w:right="3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 xml:space="preserve">Unapređenje funkcionisanja i kapaciteta Agencije za zaštitu ličnih podataka i slobodan pristup informacijama i generalno sistema pravne zaštite u oblasti SPI </w:t>
            </w:r>
          </w:p>
        </w:tc>
        <w:tc>
          <w:tcPr>
            <w:tcW w:w="3240" w:type="dxa"/>
          </w:tcPr>
          <w:p w:rsidR="007342FE" w:rsidRPr="007342FE" w:rsidRDefault="007342FE" w:rsidP="00B43D4E">
            <w:pPr>
              <w:pStyle w:val="ListParagraph"/>
              <w:numPr>
                <w:ilvl w:val="0"/>
                <w:numId w:val="13"/>
              </w:numPr>
              <w:spacing w:after="40"/>
              <w:ind w:left="156" w:right="-20" w:hanging="15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Udio poništenih odluka Agencije od strane Upravnog suda, u odnosu na ukupan broj presuda u upravnim sporovima u odnosu na rješenja Agencije</w:t>
            </w:r>
          </w:p>
        </w:tc>
        <w:tc>
          <w:tcPr>
            <w:tcW w:w="2250" w:type="dxa"/>
          </w:tcPr>
          <w:p w:rsidR="007342FE" w:rsidRPr="007342FE" w:rsidRDefault="007342FE" w:rsidP="007342FE">
            <w:pPr>
              <w:pStyle w:val="ListParagraph"/>
              <w:numPr>
                <w:ilvl w:val="0"/>
                <w:numId w:val="10"/>
              </w:numPr>
              <w:spacing w:after="40"/>
              <w:ind w:left="246" w:right="-20" w:hanging="246"/>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 xml:space="preserve">42,17% - 35 od 83 presuda (2020) </w:t>
            </w:r>
          </w:p>
        </w:tc>
        <w:tc>
          <w:tcPr>
            <w:tcW w:w="2250" w:type="dxa"/>
          </w:tcPr>
          <w:p w:rsidR="007342FE" w:rsidRPr="007342FE" w:rsidRDefault="007342FE" w:rsidP="007342FE">
            <w:pPr>
              <w:pStyle w:val="ListParagraph"/>
              <w:numPr>
                <w:ilvl w:val="0"/>
                <w:numId w:val="10"/>
              </w:numPr>
              <w:spacing w:after="40"/>
              <w:ind w:left="246" w:right="-20" w:hanging="246"/>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-10% u odnosu na početnu vrijednost</w:t>
            </w:r>
          </w:p>
        </w:tc>
        <w:tc>
          <w:tcPr>
            <w:tcW w:w="2070" w:type="dxa"/>
          </w:tcPr>
          <w:p w:rsidR="007342FE" w:rsidRPr="007342FE" w:rsidRDefault="007342FE" w:rsidP="007342FE">
            <w:pPr>
              <w:numPr>
                <w:ilvl w:val="0"/>
                <w:numId w:val="10"/>
              </w:numPr>
              <w:spacing w:after="40"/>
              <w:ind w:left="246" w:right="-20" w:hanging="24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-15 % u donosu na početnu vrijednost</w:t>
            </w:r>
          </w:p>
        </w:tc>
      </w:tr>
      <w:tr w:rsidR="00F26DBC" w:rsidRPr="00CB681C" w:rsidTr="00F26DBC">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474" w:type="dxa"/>
            <w:vMerge/>
          </w:tcPr>
          <w:p w:rsidR="007342FE" w:rsidRPr="00CB681C" w:rsidRDefault="007342FE" w:rsidP="007342FE">
            <w:pPr>
              <w:pStyle w:val="ListParagraph"/>
              <w:spacing w:after="40"/>
              <w:ind w:left="0" w:right="-471"/>
              <w:contextualSpacing w:val="0"/>
              <w:jc w:val="both"/>
              <w:rPr>
                <w:rFonts w:asciiTheme="majorHAnsi" w:hAnsiTheme="majorHAnsi" w:cstheme="majorHAnsi"/>
                <w:color w:val="auto"/>
              </w:rPr>
            </w:pPr>
          </w:p>
        </w:tc>
        <w:tc>
          <w:tcPr>
            <w:tcW w:w="2856" w:type="dxa"/>
            <w:vMerge/>
          </w:tcPr>
          <w:p w:rsidR="007342FE" w:rsidRPr="00CB681C" w:rsidRDefault="007342FE" w:rsidP="007342FE">
            <w:pPr>
              <w:spacing w:after="40"/>
              <w:ind w:right="35"/>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Pr>
          <w:p w:rsidR="007342FE" w:rsidRPr="00CB681C" w:rsidRDefault="007342FE" w:rsidP="00B43D4E">
            <w:pPr>
              <w:pStyle w:val="ListParagraph"/>
              <w:numPr>
                <w:ilvl w:val="0"/>
                <w:numId w:val="13"/>
              </w:numPr>
              <w:spacing w:after="40"/>
              <w:ind w:left="158" w:right="-20" w:hanging="158"/>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 xml:space="preserve">Udio odluka Upravnog suda u upravnim sporovima pokrenutim zbog nedonošenja rješenja Agencije </w:t>
            </w:r>
          </w:p>
        </w:tc>
        <w:tc>
          <w:tcPr>
            <w:tcW w:w="2250" w:type="dxa"/>
          </w:tcPr>
          <w:p w:rsidR="007342FE" w:rsidRPr="00CB681C" w:rsidRDefault="007342FE" w:rsidP="007342FE">
            <w:pPr>
              <w:pStyle w:val="ListParagraph"/>
              <w:numPr>
                <w:ilvl w:val="0"/>
                <w:numId w:val="10"/>
              </w:numPr>
              <w:spacing w:after="40"/>
              <w:ind w:left="246" w:right="-20" w:hanging="246"/>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 xml:space="preserve">82,28% </w:t>
            </w:r>
          </w:p>
        </w:tc>
        <w:tc>
          <w:tcPr>
            <w:tcW w:w="2250" w:type="dxa"/>
          </w:tcPr>
          <w:p w:rsidR="007342FE" w:rsidRPr="00CB681C" w:rsidRDefault="007342FE" w:rsidP="007342FE">
            <w:pPr>
              <w:pStyle w:val="ListParagraph"/>
              <w:numPr>
                <w:ilvl w:val="0"/>
                <w:numId w:val="10"/>
              </w:numPr>
              <w:spacing w:after="40"/>
              <w:ind w:left="246" w:right="-20" w:hanging="246"/>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 xml:space="preserve">55% </w:t>
            </w:r>
          </w:p>
        </w:tc>
        <w:tc>
          <w:tcPr>
            <w:tcW w:w="2070" w:type="dxa"/>
          </w:tcPr>
          <w:p w:rsidR="007342FE" w:rsidRPr="00CB681C" w:rsidRDefault="007342FE" w:rsidP="007342FE">
            <w:pPr>
              <w:numPr>
                <w:ilvl w:val="0"/>
                <w:numId w:val="10"/>
              </w:numPr>
              <w:spacing w:after="40"/>
              <w:ind w:left="246" w:right="-20" w:hanging="24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40%</w:t>
            </w:r>
          </w:p>
        </w:tc>
      </w:tr>
      <w:tr w:rsidR="00F26DBC" w:rsidRPr="00CB681C" w:rsidTr="00F26DBC">
        <w:trPr>
          <w:trHeight w:val="667"/>
        </w:trPr>
        <w:tc>
          <w:tcPr>
            <w:cnfStyle w:val="001000000000" w:firstRow="0" w:lastRow="0" w:firstColumn="1" w:lastColumn="0" w:oddVBand="0" w:evenVBand="0" w:oddHBand="0" w:evenHBand="0" w:firstRowFirstColumn="0" w:firstRowLastColumn="0" w:lastRowFirstColumn="0" w:lastRowLastColumn="0"/>
            <w:tcW w:w="474" w:type="dxa"/>
            <w:vMerge/>
          </w:tcPr>
          <w:p w:rsidR="007342FE" w:rsidRPr="00CB681C" w:rsidRDefault="007342FE" w:rsidP="007342FE">
            <w:pPr>
              <w:pStyle w:val="ListParagraph"/>
              <w:spacing w:after="40"/>
              <w:ind w:left="0" w:right="-471"/>
              <w:contextualSpacing w:val="0"/>
              <w:jc w:val="both"/>
              <w:rPr>
                <w:rFonts w:asciiTheme="majorHAnsi" w:hAnsiTheme="majorHAnsi" w:cstheme="majorHAnsi"/>
                <w:color w:val="auto"/>
              </w:rPr>
            </w:pPr>
          </w:p>
        </w:tc>
        <w:tc>
          <w:tcPr>
            <w:tcW w:w="2856" w:type="dxa"/>
            <w:vMerge/>
          </w:tcPr>
          <w:p w:rsidR="007342FE" w:rsidRPr="00CB681C" w:rsidRDefault="007342FE" w:rsidP="007342FE">
            <w:pPr>
              <w:spacing w:after="40"/>
              <w:ind w:right="3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Pr>
          <w:p w:rsidR="007342FE" w:rsidRPr="00CB681C" w:rsidRDefault="007342FE" w:rsidP="00B43D4E">
            <w:pPr>
              <w:pStyle w:val="ListParagraph"/>
              <w:numPr>
                <w:ilvl w:val="0"/>
                <w:numId w:val="13"/>
              </w:numPr>
              <w:spacing w:after="40"/>
              <w:ind w:left="156" w:right="-20" w:hanging="15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 xml:space="preserve">Udio organa vlasti koji registriraju zahtjeve za pristup informacijama u informacionom sistemu (u odnosu na ukupan broj organa vlasti)  </w:t>
            </w:r>
          </w:p>
        </w:tc>
        <w:tc>
          <w:tcPr>
            <w:tcW w:w="2250" w:type="dxa"/>
          </w:tcPr>
          <w:p w:rsidR="007342FE" w:rsidRPr="00CB681C" w:rsidRDefault="007342FE" w:rsidP="007342FE">
            <w:pPr>
              <w:pStyle w:val="ListParagraph"/>
              <w:numPr>
                <w:ilvl w:val="0"/>
                <w:numId w:val="10"/>
              </w:numPr>
              <w:spacing w:after="40"/>
              <w:ind w:left="246" w:right="-20" w:hanging="246"/>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Pr>
                <w:rFonts w:asciiTheme="majorHAnsi" w:hAnsiTheme="majorHAnsi" w:cstheme="majorHAnsi"/>
                <w:color w:val="auto"/>
              </w:rPr>
              <w:t xml:space="preserve">1140 organa </w:t>
            </w:r>
          </w:p>
        </w:tc>
        <w:tc>
          <w:tcPr>
            <w:tcW w:w="2250" w:type="dxa"/>
          </w:tcPr>
          <w:p w:rsidR="007342FE" w:rsidRPr="00CB681C" w:rsidRDefault="007342FE" w:rsidP="007342FE">
            <w:pPr>
              <w:pStyle w:val="ListParagraph"/>
              <w:numPr>
                <w:ilvl w:val="0"/>
                <w:numId w:val="10"/>
              </w:numPr>
              <w:spacing w:after="40"/>
              <w:ind w:right="-20"/>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+10% u odnosu na početnu vrijednost</w:t>
            </w:r>
          </w:p>
        </w:tc>
        <w:tc>
          <w:tcPr>
            <w:tcW w:w="2070" w:type="dxa"/>
          </w:tcPr>
          <w:p w:rsidR="007342FE" w:rsidRPr="00CB681C" w:rsidRDefault="007342FE" w:rsidP="007342FE">
            <w:pPr>
              <w:pStyle w:val="ListParagraph"/>
              <w:numPr>
                <w:ilvl w:val="0"/>
                <w:numId w:val="10"/>
              </w:numPr>
              <w:spacing w:after="40"/>
              <w:ind w:right="-20"/>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342FE">
              <w:rPr>
                <w:rFonts w:asciiTheme="majorHAnsi" w:hAnsiTheme="majorHAnsi" w:cstheme="majorHAnsi"/>
                <w:color w:val="auto"/>
              </w:rPr>
              <w:t>+20% u odnosu na početnu vrijedno</w:t>
            </w:r>
            <w:r>
              <w:rPr>
                <w:rFonts w:asciiTheme="majorHAnsi" w:hAnsiTheme="majorHAnsi" w:cstheme="majorHAnsi"/>
                <w:color w:val="auto"/>
              </w:rPr>
              <w:t>st</w:t>
            </w:r>
          </w:p>
        </w:tc>
      </w:tr>
      <w:tr w:rsidR="00F26DBC" w:rsidRPr="00CB681C" w:rsidTr="00F26DBC">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474" w:type="dxa"/>
            <w:vMerge w:val="restart"/>
          </w:tcPr>
          <w:p w:rsidR="007A6FD9" w:rsidRPr="00CB681C" w:rsidRDefault="007A6FD9" w:rsidP="007A6FD9">
            <w:pPr>
              <w:pStyle w:val="ListParagraph"/>
              <w:spacing w:after="40"/>
              <w:ind w:left="0" w:right="-471"/>
              <w:contextualSpacing w:val="0"/>
              <w:jc w:val="both"/>
              <w:rPr>
                <w:rFonts w:asciiTheme="majorHAnsi" w:hAnsiTheme="majorHAnsi" w:cstheme="majorHAnsi"/>
                <w:color w:val="auto"/>
              </w:rPr>
            </w:pPr>
            <w:r w:rsidRPr="00CB681C">
              <w:rPr>
                <w:rFonts w:asciiTheme="majorHAnsi" w:hAnsiTheme="majorHAnsi" w:cstheme="majorHAnsi"/>
                <w:color w:val="auto"/>
              </w:rPr>
              <w:t>4.2</w:t>
            </w:r>
          </w:p>
        </w:tc>
        <w:tc>
          <w:tcPr>
            <w:tcW w:w="2856" w:type="dxa"/>
            <w:vMerge w:val="restart"/>
          </w:tcPr>
          <w:p w:rsidR="007A6FD9" w:rsidRPr="00CB681C" w:rsidRDefault="007A6FD9" w:rsidP="007A6FD9">
            <w:pPr>
              <w:spacing w:after="40"/>
              <w:ind w:right="35"/>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Unapređenje primjene Zakona o SPI od strane organa vlasti radi obezbjeđenja adekvatnog ostvarivanja prava na pristup informacijama i davanje pristupa informacijama u skladu sa institucionalnim pravnim okvirom i jačanje svijesti i razvijanje vještina korisnika Zakona o SPI</w:t>
            </w:r>
          </w:p>
        </w:tc>
        <w:tc>
          <w:tcPr>
            <w:tcW w:w="3240" w:type="dxa"/>
          </w:tcPr>
          <w:p w:rsidR="007A6FD9" w:rsidRPr="00CB681C" w:rsidRDefault="007A6FD9" w:rsidP="00B43D4E">
            <w:pPr>
              <w:pStyle w:val="ListParagraph"/>
              <w:numPr>
                <w:ilvl w:val="0"/>
                <w:numId w:val="13"/>
              </w:numPr>
              <w:spacing w:after="40"/>
              <w:ind w:left="156" w:right="-20" w:hanging="15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 xml:space="preserve">Udio usvojenih žalbi zbog ćutanja administracije u odnosu na ukupan broj žalbi </w:t>
            </w:r>
          </w:p>
        </w:tc>
        <w:tc>
          <w:tcPr>
            <w:tcW w:w="2250" w:type="dxa"/>
          </w:tcPr>
          <w:p w:rsidR="00EB2B9D" w:rsidRDefault="007A6FD9" w:rsidP="00B43D4E">
            <w:pPr>
              <w:pStyle w:val="ListParagraph"/>
              <w:numPr>
                <w:ilvl w:val="0"/>
                <w:numId w:val="13"/>
              </w:numPr>
              <w:tabs>
                <w:tab w:val="left" w:pos="252"/>
                <w:tab w:val="left" w:pos="432"/>
              </w:tabs>
              <w:spacing w:after="40"/>
              <w:ind w:right="-18" w:hanging="720"/>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 xml:space="preserve">23,15% </w:t>
            </w:r>
          </w:p>
          <w:p w:rsidR="007A6FD9" w:rsidRPr="00CB681C" w:rsidRDefault="007A6FD9" w:rsidP="00EB2B9D">
            <w:pPr>
              <w:pStyle w:val="ListParagraph"/>
              <w:tabs>
                <w:tab w:val="left" w:pos="432"/>
              </w:tabs>
              <w:spacing w:after="40"/>
              <w:ind w:left="252" w:right="-18"/>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(1,002 od 4,328 u 2020)</w:t>
            </w:r>
          </w:p>
        </w:tc>
        <w:tc>
          <w:tcPr>
            <w:tcW w:w="2250" w:type="dxa"/>
          </w:tcPr>
          <w:p w:rsidR="007A6FD9" w:rsidRPr="00CB681C" w:rsidRDefault="007A6FD9" w:rsidP="00B43D4E">
            <w:pPr>
              <w:pStyle w:val="ListParagraph"/>
              <w:numPr>
                <w:ilvl w:val="0"/>
                <w:numId w:val="13"/>
              </w:numPr>
              <w:spacing w:after="40"/>
              <w:ind w:left="162" w:right="-16" w:hanging="180"/>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 xml:space="preserve">15% </w:t>
            </w:r>
          </w:p>
        </w:tc>
        <w:tc>
          <w:tcPr>
            <w:tcW w:w="2070" w:type="dxa"/>
          </w:tcPr>
          <w:p w:rsidR="007A6FD9" w:rsidRPr="00CB681C" w:rsidRDefault="007A6FD9" w:rsidP="00B43D4E">
            <w:pPr>
              <w:pStyle w:val="ListParagraph"/>
              <w:numPr>
                <w:ilvl w:val="0"/>
                <w:numId w:val="13"/>
              </w:numPr>
              <w:spacing w:after="40"/>
              <w:ind w:left="156" w:hanging="180"/>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 xml:space="preserve">10% </w:t>
            </w:r>
          </w:p>
        </w:tc>
      </w:tr>
      <w:tr w:rsidR="00F26DBC" w:rsidRPr="00CB681C" w:rsidTr="00F26DBC">
        <w:trPr>
          <w:trHeight w:val="442"/>
        </w:trPr>
        <w:tc>
          <w:tcPr>
            <w:cnfStyle w:val="001000000000" w:firstRow="0" w:lastRow="0" w:firstColumn="1" w:lastColumn="0" w:oddVBand="0" w:evenVBand="0" w:oddHBand="0" w:evenHBand="0" w:firstRowFirstColumn="0" w:firstRowLastColumn="0" w:lastRowFirstColumn="0" w:lastRowLastColumn="0"/>
            <w:tcW w:w="474" w:type="dxa"/>
            <w:vMerge/>
          </w:tcPr>
          <w:p w:rsidR="007A6FD9" w:rsidRPr="00CB681C" w:rsidRDefault="007A6FD9" w:rsidP="007A6FD9">
            <w:pPr>
              <w:pStyle w:val="ListParagraph"/>
              <w:spacing w:after="40"/>
              <w:ind w:left="0" w:right="-471"/>
              <w:contextualSpacing w:val="0"/>
              <w:jc w:val="both"/>
              <w:rPr>
                <w:rFonts w:asciiTheme="majorHAnsi" w:hAnsiTheme="majorHAnsi" w:cstheme="majorHAnsi"/>
                <w:color w:val="auto"/>
              </w:rPr>
            </w:pPr>
          </w:p>
        </w:tc>
        <w:tc>
          <w:tcPr>
            <w:tcW w:w="2856" w:type="dxa"/>
            <w:vMerge/>
          </w:tcPr>
          <w:p w:rsidR="007A6FD9" w:rsidRPr="00CB681C" w:rsidRDefault="007A6FD9" w:rsidP="007A6FD9">
            <w:pPr>
              <w:spacing w:after="40"/>
              <w:ind w:right="-47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Pr>
          <w:p w:rsidR="007A6FD9" w:rsidRPr="00CB681C" w:rsidRDefault="007A6FD9" w:rsidP="00B43D4E">
            <w:pPr>
              <w:pStyle w:val="ListParagraph"/>
              <w:numPr>
                <w:ilvl w:val="0"/>
                <w:numId w:val="13"/>
              </w:numPr>
              <w:spacing w:after="40"/>
              <w:ind w:left="156" w:right="-20" w:hanging="15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Udio poništenih odluka organa vlasti od strane Agencije u odnosu na ukupan broj žalbi</w:t>
            </w:r>
          </w:p>
        </w:tc>
        <w:tc>
          <w:tcPr>
            <w:tcW w:w="2250" w:type="dxa"/>
          </w:tcPr>
          <w:p w:rsidR="00EB2B9D" w:rsidRDefault="007A6FD9" w:rsidP="00B43D4E">
            <w:pPr>
              <w:pStyle w:val="ListParagraph"/>
              <w:numPr>
                <w:ilvl w:val="0"/>
                <w:numId w:val="13"/>
              </w:numPr>
              <w:tabs>
                <w:tab w:val="left" w:pos="252"/>
                <w:tab w:val="left" w:pos="432"/>
              </w:tabs>
              <w:spacing w:after="40"/>
              <w:ind w:right="-18" w:hanging="720"/>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 xml:space="preserve">53,19% </w:t>
            </w:r>
          </w:p>
          <w:p w:rsidR="007A6FD9" w:rsidRPr="00CB681C" w:rsidRDefault="007A6FD9" w:rsidP="00EB2B9D">
            <w:pPr>
              <w:pStyle w:val="ListParagraph"/>
              <w:tabs>
                <w:tab w:val="left" w:pos="252"/>
                <w:tab w:val="left" w:pos="432"/>
              </w:tabs>
              <w:spacing w:after="40"/>
              <w:ind w:left="252" w:right="-18"/>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(2,302 od 4,328 u 2020)</w:t>
            </w:r>
          </w:p>
        </w:tc>
        <w:tc>
          <w:tcPr>
            <w:tcW w:w="2250" w:type="dxa"/>
          </w:tcPr>
          <w:p w:rsidR="007A6FD9" w:rsidRPr="00CB681C" w:rsidRDefault="007A6FD9" w:rsidP="00B43D4E">
            <w:pPr>
              <w:pStyle w:val="ListParagraph"/>
              <w:numPr>
                <w:ilvl w:val="0"/>
                <w:numId w:val="13"/>
              </w:numPr>
              <w:spacing w:after="40"/>
              <w:ind w:left="162" w:right="-16" w:hanging="180"/>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45%</w:t>
            </w:r>
          </w:p>
        </w:tc>
        <w:tc>
          <w:tcPr>
            <w:tcW w:w="2070" w:type="dxa"/>
          </w:tcPr>
          <w:p w:rsidR="007A6FD9" w:rsidRPr="00CB681C" w:rsidRDefault="007A6FD9" w:rsidP="00B43D4E">
            <w:pPr>
              <w:pStyle w:val="ListParagraph"/>
              <w:numPr>
                <w:ilvl w:val="0"/>
                <w:numId w:val="13"/>
              </w:numPr>
              <w:spacing w:after="40"/>
              <w:ind w:left="156" w:hanging="180"/>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35%</w:t>
            </w:r>
          </w:p>
        </w:tc>
      </w:tr>
      <w:tr w:rsidR="00F26DBC" w:rsidRPr="007342FE" w:rsidTr="00F26DBC">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474" w:type="dxa"/>
            <w:vMerge w:val="restart"/>
          </w:tcPr>
          <w:p w:rsidR="007A6FD9" w:rsidRPr="00CB681C" w:rsidRDefault="007A6FD9" w:rsidP="007A6FD9">
            <w:pPr>
              <w:pStyle w:val="ListParagraph"/>
              <w:spacing w:after="40"/>
              <w:ind w:left="0" w:right="-471"/>
              <w:contextualSpacing w:val="0"/>
              <w:jc w:val="both"/>
              <w:rPr>
                <w:rFonts w:asciiTheme="majorHAnsi" w:hAnsiTheme="majorHAnsi" w:cstheme="majorHAnsi"/>
                <w:color w:val="auto"/>
              </w:rPr>
            </w:pPr>
            <w:r w:rsidRPr="00CB681C">
              <w:rPr>
                <w:rFonts w:asciiTheme="majorHAnsi" w:hAnsiTheme="majorHAnsi" w:cstheme="majorHAnsi"/>
                <w:color w:val="auto"/>
              </w:rPr>
              <w:t>4.</w:t>
            </w:r>
            <w:r>
              <w:rPr>
                <w:rFonts w:asciiTheme="majorHAnsi" w:hAnsiTheme="majorHAnsi" w:cstheme="majorHAnsi"/>
                <w:color w:val="auto"/>
              </w:rPr>
              <w:t>3</w:t>
            </w:r>
          </w:p>
        </w:tc>
        <w:tc>
          <w:tcPr>
            <w:tcW w:w="2856" w:type="dxa"/>
            <w:vMerge w:val="restart"/>
          </w:tcPr>
          <w:p w:rsidR="007A6FD9" w:rsidRPr="00CB681C" w:rsidRDefault="007A6FD9" w:rsidP="007A6FD9">
            <w:pPr>
              <w:spacing w:after="40"/>
              <w:ind w:right="35"/>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 xml:space="preserve">Unapređenje ponovne upotrebe informacija i povećanje dostupnosti otvorenih podataka  </w:t>
            </w:r>
          </w:p>
        </w:tc>
        <w:tc>
          <w:tcPr>
            <w:tcW w:w="3240" w:type="dxa"/>
          </w:tcPr>
          <w:p w:rsidR="007A6FD9" w:rsidRPr="007342FE" w:rsidRDefault="007A6FD9" w:rsidP="00B43D4E">
            <w:pPr>
              <w:pStyle w:val="ListParagraph"/>
              <w:numPr>
                <w:ilvl w:val="0"/>
                <w:numId w:val="13"/>
              </w:numPr>
              <w:spacing w:after="40"/>
              <w:ind w:left="156" w:right="-20" w:hanging="15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 xml:space="preserve">Broj data-setova na portalu otvorenih podataka </w:t>
            </w:r>
            <w:hyperlink r:id="rId111" w:history="1">
              <w:r w:rsidRPr="00F34FC8">
                <w:rPr>
                  <w:rStyle w:val="Hyperlink"/>
                  <w:rFonts w:asciiTheme="majorHAnsi" w:hAnsiTheme="majorHAnsi" w:cstheme="majorHAnsi"/>
                </w:rPr>
                <w:t>www.data.gov.me</w:t>
              </w:r>
            </w:hyperlink>
            <w:r>
              <w:rPr>
                <w:rFonts w:asciiTheme="majorHAnsi" w:hAnsiTheme="majorHAnsi" w:cstheme="majorHAnsi"/>
                <w:color w:val="auto"/>
              </w:rPr>
              <w:t xml:space="preserve"> </w:t>
            </w:r>
            <w:r w:rsidRPr="007A6FD9">
              <w:rPr>
                <w:rFonts w:asciiTheme="majorHAnsi" w:hAnsiTheme="majorHAnsi" w:cstheme="majorHAnsi"/>
                <w:color w:val="auto"/>
              </w:rPr>
              <w:t xml:space="preserve"> </w:t>
            </w:r>
          </w:p>
        </w:tc>
        <w:tc>
          <w:tcPr>
            <w:tcW w:w="2250" w:type="dxa"/>
          </w:tcPr>
          <w:p w:rsidR="007A6FD9" w:rsidRPr="007342FE" w:rsidRDefault="007A6FD9" w:rsidP="007A6FD9">
            <w:pPr>
              <w:pStyle w:val="ListParagraph"/>
              <w:numPr>
                <w:ilvl w:val="0"/>
                <w:numId w:val="10"/>
              </w:numPr>
              <w:spacing w:after="40"/>
              <w:ind w:left="246" w:right="-20" w:hanging="246"/>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146 (2021)</w:t>
            </w:r>
          </w:p>
        </w:tc>
        <w:tc>
          <w:tcPr>
            <w:tcW w:w="2250" w:type="dxa"/>
          </w:tcPr>
          <w:p w:rsidR="007A6FD9" w:rsidRPr="007342FE" w:rsidRDefault="007A6FD9" w:rsidP="007A6FD9">
            <w:pPr>
              <w:pStyle w:val="ListParagraph"/>
              <w:numPr>
                <w:ilvl w:val="0"/>
                <w:numId w:val="10"/>
              </w:numPr>
              <w:spacing w:after="40"/>
              <w:ind w:left="246" w:right="-20" w:hanging="246"/>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500</w:t>
            </w:r>
          </w:p>
        </w:tc>
        <w:tc>
          <w:tcPr>
            <w:tcW w:w="2070" w:type="dxa"/>
          </w:tcPr>
          <w:p w:rsidR="007A6FD9" w:rsidRPr="007342FE" w:rsidRDefault="007A6FD9" w:rsidP="007A6FD9">
            <w:pPr>
              <w:numPr>
                <w:ilvl w:val="0"/>
                <w:numId w:val="10"/>
              </w:numPr>
              <w:spacing w:after="40"/>
              <w:ind w:left="246" w:right="-20" w:hanging="24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800</w:t>
            </w:r>
          </w:p>
        </w:tc>
      </w:tr>
      <w:tr w:rsidR="00F26DBC" w:rsidRPr="00CB681C" w:rsidTr="00F26DBC">
        <w:trPr>
          <w:trHeight w:val="622"/>
        </w:trPr>
        <w:tc>
          <w:tcPr>
            <w:cnfStyle w:val="001000000000" w:firstRow="0" w:lastRow="0" w:firstColumn="1" w:lastColumn="0" w:oddVBand="0" w:evenVBand="0" w:oddHBand="0" w:evenHBand="0" w:firstRowFirstColumn="0" w:firstRowLastColumn="0" w:lastRowFirstColumn="0" w:lastRowLastColumn="0"/>
            <w:tcW w:w="474" w:type="dxa"/>
            <w:vMerge/>
          </w:tcPr>
          <w:p w:rsidR="007A6FD9" w:rsidRPr="00CB681C" w:rsidRDefault="007A6FD9" w:rsidP="007A6FD9">
            <w:pPr>
              <w:pStyle w:val="ListParagraph"/>
              <w:spacing w:after="40"/>
              <w:ind w:left="0" w:right="-471"/>
              <w:contextualSpacing w:val="0"/>
              <w:jc w:val="both"/>
              <w:rPr>
                <w:rFonts w:asciiTheme="majorHAnsi" w:hAnsiTheme="majorHAnsi" w:cstheme="majorHAnsi"/>
                <w:color w:val="auto"/>
              </w:rPr>
            </w:pPr>
          </w:p>
        </w:tc>
        <w:tc>
          <w:tcPr>
            <w:tcW w:w="2856" w:type="dxa"/>
            <w:vMerge/>
          </w:tcPr>
          <w:p w:rsidR="007A6FD9" w:rsidRPr="00CB681C" w:rsidRDefault="007A6FD9" w:rsidP="007A6FD9">
            <w:pPr>
              <w:spacing w:after="40"/>
              <w:ind w:right="3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Pr>
          <w:p w:rsidR="007A6FD9" w:rsidRPr="00CB681C" w:rsidRDefault="007A6FD9" w:rsidP="00B43D4E">
            <w:pPr>
              <w:pStyle w:val="ListParagraph"/>
              <w:numPr>
                <w:ilvl w:val="0"/>
                <w:numId w:val="13"/>
              </w:numPr>
              <w:spacing w:after="40"/>
              <w:ind w:left="158" w:right="-20" w:hanging="158"/>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 xml:space="preserve">Broj institucija  koji objavljuju podatke na portalu otvorenih podataka </w:t>
            </w:r>
          </w:p>
        </w:tc>
        <w:tc>
          <w:tcPr>
            <w:tcW w:w="2250" w:type="dxa"/>
          </w:tcPr>
          <w:p w:rsidR="007A6FD9" w:rsidRPr="00CB681C" w:rsidRDefault="007A6FD9" w:rsidP="007A6FD9">
            <w:pPr>
              <w:pStyle w:val="ListParagraph"/>
              <w:numPr>
                <w:ilvl w:val="0"/>
                <w:numId w:val="10"/>
              </w:numPr>
              <w:spacing w:after="40"/>
              <w:ind w:left="246" w:right="-20" w:hanging="246"/>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1,5% institucija obveznika SPI</w:t>
            </w:r>
          </w:p>
        </w:tc>
        <w:tc>
          <w:tcPr>
            <w:tcW w:w="2250" w:type="dxa"/>
          </w:tcPr>
          <w:p w:rsidR="007A6FD9" w:rsidRPr="00CB681C" w:rsidRDefault="007A6FD9" w:rsidP="007A6FD9">
            <w:pPr>
              <w:pStyle w:val="ListParagraph"/>
              <w:numPr>
                <w:ilvl w:val="0"/>
                <w:numId w:val="10"/>
              </w:numPr>
              <w:spacing w:after="40"/>
              <w:ind w:left="246" w:right="-20" w:hanging="246"/>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 xml:space="preserve">10% institucija obveznika SPI </w:t>
            </w:r>
          </w:p>
        </w:tc>
        <w:tc>
          <w:tcPr>
            <w:tcW w:w="2070" w:type="dxa"/>
          </w:tcPr>
          <w:p w:rsidR="007A6FD9" w:rsidRPr="00CB681C" w:rsidRDefault="007A6FD9" w:rsidP="007A6FD9">
            <w:pPr>
              <w:numPr>
                <w:ilvl w:val="0"/>
                <w:numId w:val="10"/>
              </w:numPr>
              <w:spacing w:after="40"/>
              <w:ind w:left="246" w:right="-20" w:hanging="24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15% institucija obveznika SPI</w:t>
            </w:r>
          </w:p>
        </w:tc>
      </w:tr>
      <w:tr w:rsidR="00F26DBC" w:rsidRPr="00CB681C" w:rsidTr="00F26DBC">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474" w:type="dxa"/>
            <w:vMerge/>
          </w:tcPr>
          <w:p w:rsidR="007A6FD9" w:rsidRPr="00CB681C" w:rsidRDefault="007A6FD9" w:rsidP="007A6FD9">
            <w:pPr>
              <w:pStyle w:val="ListParagraph"/>
              <w:spacing w:after="40"/>
              <w:ind w:left="0" w:right="-471"/>
              <w:contextualSpacing w:val="0"/>
              <w:jc w:val="both"/>
              <w:rPr>
                <w:rFonts w:asciiTheme="majorHAnsi" w:hAnsiTheme="majorHAnsi" w:cstheme="majorHAnsi"/>
                <w:color w:val="auto"/>
              </w:rPr>
            </w:pPr>
          </w:p>
        </w:tc>
        <w:tc>
          <w:tcPr>
            <w:tcW w:w="2856" w:type="dxa"/>
            <w:vMerge/>
          </w:tcPr>
          <w:p w:rsidR="007A6FD9" w:rsidRPr="00CB681C" w:rsidRDefault="007A6FD9" w:rsidP="007A6FD9">
            <w:pPr>
              <w:spacing w:after="40"/>
              <w:ind w:right="35"/>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Pr>
          <w:p w:rsidR="007A6FD9" w:rsidRPr="00CB681C" w:rsidRDefault="007A6FD9" w:rsidP="00B43D4E">
            <w:pPr>
              <w:pStyle w:val="ListParagraph"/>
              <w:numPr>
                <w:ilvl w:val="0"/>
                <w:numId w:val="13"/>
              </w:numPr>
              <w:spacing w:after="40"/>
              <w:ind w:left="156" w:right="-20" w:hanging="15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 xml:space="preserve">Broj objavljenih setova podataka velike vrijednosti sa API-jem na Portalu otvorenih podataka </w:t>
            </w:r>
          </w:p>
        </w:tc>
        <w:tc>
          <w:tcPr>
            <w:tcW w:w="2250" w:type="dxa"/>
          </w:tcPr>
          <w:p w:rsidR="007A6FD9" w:rsidRPr="00CB681C" w:rsidRDefault="007A6FD9" w:rsidP="007A6FD9">
            <w:pPr>
              <w:pStyle w:val="ListParagraph"/>
              <w:numPr>
                <w:ilvl w:val="0"/>
                <w:numId w:val="10"/>
              </w:numPr>
              <w:spacing w:after="40"/>
              <w:ind w:left="246" w:right="-20" w:hanging="246"/>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podatak provjeriti sa e-upravom</w:t>
            </w:r>
          </w:p>
        </w:tc>
        <w:tc>
          <w:tcPr>
            <w:tcW w:w="2250" w:type="dxa"/>
          </w:tcPr>
          <w:p w:rsidR="007A6FD9" w:rsidRPr="00CB681C" w:rsidRDefault="007A6FD9" w:rsidP="007A6FD9">
            <w:pPr>
              <w:pStyle w:val="ListParagraph"/>
              <w:numPr>
                <w:ilvl w:val="0"/>
                <w:numId w:val="10"/>
              </w:numPr>
              <w:spacing w:after="40"/>
              <w:ind w:right="-20"/>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 xml:space="preserve">Najmanje 10 </w:t>
            </w:r>
          </w:p>
        </w:tc>
        <w:tc>
          <w:tcPr>
            <w:tcW w:w="2070" w:type="dxa"/>
          </w:tcPr>
          <w:p w:rsidR="007A6FD9" w:rsidRPr="00CB681C" w:rsidRDefault="007A6FD9" w:rsidP="007A6FD9">
            <w:pPr>
              <w:pStyle w:val="ListParagraph"/>
              <w:numPr>
                <w:ilvl w:val="0"/>
                <w:numId w:val="10"/>
              </w:numPr>
              <w:spacing w:after="40"/>
              <w:ind w:right="-20"/>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 xml:space="preserve">Najmanje 20 </w:t>
            </w:r>
          </w:p>
        </w:tc>
      </w:tr>
      <w:tr w:rsidR="00F26DBC" w:rsidRPr="00CB681C" w:rsidTr="00F26DBC">
        <w:trPr>
          <w:trHeight w:val="667"/>
        </w:trPr>
        <w:tc>
          <w:tcPr>
            <w:cnfStyle w:val="001000000000" w:firstRow="0" w:lastRow="0" w:firstColumn="1" w:lastColumn="0" w:oddVBand="0" w:evenVBand="0" w:oddHBand="0" w:evenHBand="0" w:firstRowFirstColumn="0" w:firstRowLastColumn="0" w:lastRowFirstColumn="0" w:lastRowLastColumn="0"/>
            <w:tcW w:w="474" w:type="dxa"/>
            <w:vMerge/>
          </w:tcPr>
          <w:p w:rsidR="007A6FD9" w:rsidRPr="00CB681C" w:rsidRDefault="007A6FD9" w:rsidP="007A6FD9">
            <w:pPr>
              <w:pStyle w:val="ListParagraph"/>
              <w:spacing w:after="40"/>
              <w:ind w:left="0" w:right="-471"/>
              <w:contextualSpacing w:val="0"/>
              <w:jc w:val="both"/>
              <w:rPr>
                <w:rFonts w:asciiTheme="majorHAnsi" w:hAnsiTheme="majorHAnsi" w:cstheme="majorHAnsi"/>
                <w:color w:val="auto"/>
              </w:rPr>
            </w:pPr>
          </w:p>
        </w:tc>
        <w:tc>
          <w:tcPr>
            <w:tcW w:w="2856" w:type="dxa"/>
            <w:vMerge/>
          </w:tcPr>
          <w:p w:rsidR="007A6FD9" w:rsidRPr="00CB681C" w:rsidRDefault="007A6FD9" w:rsidP="007A6FD9">
            <w:pPr>
              <w:spacing w:after="40"/>
              <w:ind w:right="35"/>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Pr>
          <w:p w:rsidR="007A6FD9" w:rsidRPr="007342FE" w:rsidRDefault="007A6FD9" w:rsidP="00B43D4E">
            <w:pPr>
              <w:pStyle w:val="ListParagraph"/>
              <w:numPr>
                <w:ilvl w:val="0"/>
                <w:numId w:val="13"/>
              </w:numPr>
              <w:spacing w:after="40"/>
              <w:ind w:left="156" w:right="-20" w:hanging="15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 xml:space="preserve">Udio organa vlasti koji proaktivno objavljuju informacije u skladu sa Zakonom o SPI </w:t>
            </w:r>
          </w:p>
        </w:tc>
        <w:tc>
          <w:tcPr>
            <w:tcW w:w="2250" w:type="dxa"/>
          </w:tcPr>
          <w:p w:rsidR="007A6FD9" w:rsidRPr="007A6FD9" w:rsidRDefault="007A6FD9" w:rsidP="007A6FD9">
            <w:pPr>
              <w:pStyle w:val="ListParagraph"/>
              <w:numPr>
                <w:ilvl w:val="0"/>
                <w:numId w:val="10"/>
              </w:numPr>
              <w:spacing w:after="40"/>
              <w:ind w:left="246" w:right="-20" w:hanging="246"/>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bez podataka</w:t>
            </w:r>
          </w:p>
        </w:tc>
        <w:tc>
          <w:tcPr>
            <w:tcW w:w="2250" w:type="dxa"/>
          </w:tcPr>
          <w:p w:rsidR="007A6FD9" w:rsidRPr="007A6FD9" w:rsidRDefault="007A6FD9" w:rsidP="007A6FD9">
            <w:pPr>
              <w:pStyle w:val="ListParagraph"/>
              <w:numPr>
                <w:ilvl w:val="0"/>
                <w:numId w:val="10"/>
              </w:numPr>
              <w:spacing w:after="40"/>
              <w:ind w:right="-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 xml:space="preserve">65% ministarstava i drugih (odabranih) organa uprave </w:t>
            </w:r>
          </w:p>
          <w:p w:rsidR="007A6FD9" w:rsidRPr="007A6FD9" w:rsidRDefault="007A6FD9" w:rsidP="007A6FD9">
            <w:pPr>
              <w:pStyle w:val="ListParagraph"/>
              <w:numPr>
                <w:ilvl w:val="0"/>
                <w:numId w:val="10"/>
              </w:numPr>
              <w:spacing w:after="40"/>
              <w:ind w:right="-20"/>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65% lokalnih samouprava</w:t>
            </w:r>
          </w:p>
        </w:tc>
        <w:tc>
          <w:tcPr>
            <w:tcW w:w="2070" w:type="dxa"/>
          </w:tcPr>
          <w:p w:rsidR="007A6FD9" w:rsidRPr="007A6FD9" w:rsidRDefault="007A6FD9" w:rsidP="007A6FD9">
            <w:pPr>
              <w:pStyle w:val="ListParagraph"/>
              <w:numPr>
                <w:ilvl w:val="0"/>
                <w:numId w:val="10"/>
              </w:numPr>
              <w:spacing w:after="40"/>
              <w:ind w:right="-2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 xml:space="preserve">80% ministarstava i drugih organa uprave </w:t>
            </w:r>
          </w:p>
          <w:p w:rsidR="007A6FD9" w:rsidRPr="007A6FD9" w:rsidRDefault="007A6FD9" w:rsidP="007A6FD9">
            <w:pPr>
              <w:pStyle w:val="ListParagraph"/>
              <w:numPr>
                <w:ilvl w:val="0"/>
                <w:numId w:val="10"/>
              </w:numPr>
              <w:spacing w:after="40"/>
              <w:ind w:right="-20"/>
              <w:contextualSpacing w:val="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7A6FD9">
              <w:rPr>
                <w:rFonts w:asciiTheme="majorHAnsi" w:hAnsiTheme="majorHAnsi" w:cstheme="majorHAnsi"/>
                <w:color w:val="auto"/>
              </w:rPr>
              <w:t>80% lokalnih samouprava</w:t>
            </w:r>
          </w:p>
        </w:tc>
      </w:tr>
    </w:tbl>
    <w:p w:rsidR="007A6FD9" w:rsidRPr="00CB681C" w:rsidRDefault="007A6FD9" w:rsidP="00153229">
      <w:pPr>
        <w:ind w:right="-471"/>
        <w:rPr>
          <w:rFonts w:asciiTheme="majorHAnsi" w:hAnsiTheme="majorHAnsi" w:cstheme="majorHAnsi"/>
          <w:color w:val="auto"/>
        </w:rPr>
      </w:pPr>
    </w:p>
    <w:tbl>
      <w:tblPr>
        <w:tblStyle w:val="GridTable5Dark-Accent1"/>
        <w:tblW w:w="13230" w:type="dxa"/>
        <w:tblInd w:w="-275" w:type="dxa"/>
        <w:tblLook w:val="04A0" w:firstRow="1" w:lastRow="0" w:firstColumn="1" w:lastColumn="0" w:noHBand="0" w:noVBand="1"/>
      </w:tblPr>
      <w:tblGrid>
        <w:gridCol w:w="473"/>
        <w:gridCol w:w="2857"/>
        <w:gridCol w:w="3240"/>
        <w:gridCol w:w="2355"/>
        <w:gridCol w:w="2145"/>
        <w:gridCol w:w="2070"/>
        <w:gridCol w:w="90"/>
      </w:tblGrid>
      <w:tr w:rsidR="00AC188A" w:rsidRPr="00CB681C" w:rsidTr="00F26DBC">
        <w:trPr>
          <w:gridAfter w:val="1"/>
          <w:cnfStyle w:val="100000000000" w:firstRow="1" w:lastRow="0" w:firstColumn="0" w:lastColumn="0" w:oddVBand="0" w:evenVBand="0" w:oddHBand="0" w:evenHBand="0" w:firstRowFirstColumn="0" w:firstRowLastColumn="0" w:lastRowFirstColumn="0" w:lastRowLastColumn="0"/>
          <w:wAfter w:w="90" w:type="dxa"/>
        </w:trPr>
        <w:tc>
          <w:tcPr>
            <w:cnfStyle w:val="001000000000" w:firstRow="0" w:lastRow="0" w:firstColumn="1" w:lastColumn="0" w:oddVBand="0" w:evenVBand="0" w:oddHBand="0" w:evenHBand="0" w:firstRowFirstColumn="0" w:firstRowLastColumn="0" w:lastRowFirstColumn="0" w:lastRowLastColumn="0"/>
            <w:tcW w:w="13140" w:type="dxa"/>
            <w:gridSpan w:val="6"/>
          </w:tcPr>
          <w:p w:rsidR="00DD1086" w:rsidRPr="001014EF" w:rsidRDefault="00DD1086" w:rsidP="00153229">
            <w:pPr>
              <w:pStyle w:val="ListParagraph"/>
              <w:spacing w:before="120" w:after="120"/>
              <w:ind w:left="0" w:right="-471"/>
              <w:contextualSpacing w:val="0"/>
              <w:jc w:val="both"/>
              <w:rPr>
                <w:rFonts w:asciiTheme="majorHAnsi" w:hAnsiTheme="majorHAnsi" w:cstheme="majorHAnsi"/>
                <w:caps/>
                <w:color w:val="auto"/>
                <w:sz w:val="24"/>
                <w:szCs w:val="24"/>
              </w:rPr>
            </w:pPr>
            <w:r w:rsidRPr="001014EF">
              <w:rPr>
                <w:rFonts w:asciiTheme="majorHAnsi" w:hAnsiTheme="majorHAnsi" w:cstheme="majorHAnsi"/>
                <w:color w:val="auto"/>
                <w:sz w:val="24"/>
                <w:szCs w:val="24"/>
              </w:rPr>
              <w:t>STRATEŠKI CILJ 5: PLANIRANJE POLITIKA SA GRAĐANIMA I ZA GRAĐANE</w:t>
            </w:r>
          </w:p>
        </w:tc>
      </w:tr>
      <w:tr w:rsidR="00CB681C" w:rsidRPr="00CB681C" w:rsidTr="00F26DBC">
        <w:trPr>
          <w:gridAfter w:val="1"/>
          <w:cnfStyle w:val="000000100000" w:firstRow="0" w:lastRow="0" w:firstColumn="0" w:lastColumn="0" w:oddVBand="0" w:evenVBand="0" w:oddHBand="1" w:evenHBand="0" w:firstRowFirstColumn="0" w:firstRowLastColumn="0" w:lastRowFirstColumn="0" w:lastRowLastColumn="0"/>
          <w:wAfter w:w="90" w:type="dxa"/>
        </w:trPr>
        <w:tc>
          <w:tcPr>
            <w:cnfStyle w:val="001000000000" w:firstRow="0" w:lastRow="0" w:firstColumn="1" w:lastColumn="0" w:oddVBand="0" w:evenVBand="0" w:oddHBand="0" w:evenHBand="0" w:firstRowFirstColumn="0" w:firstRowLastColumn="0" w:lastRowFirstColumn="0" w:lastRowLastColumn="0"/>
            <w:tcW w:w="3330" w:type="dxa"/>
            <w:gridSpan w:val="2"/>
            <w:vAlign w:val="center"/>
          </w:tcPr>
          <w:p w:rsidR="00DD1086" w:rsidRPr="00CB681C" w:rsidRDefault="0090165A" w:rsidP="00153229">
            <w:pPr>
              <w:pStyle w:val="ListParagraph"/>
              <w:spacing w:after="40"/>
              <w:ind w:left="0" w:right="-471"/>
              <w:contextualSpacing w:val="0"/>
              <w:jc w:val="center"/>
              <w:rPr>
                <w:rFonts w:asciiTheme="majorHAnsi" w:hAnsiTheme="majorHAnsi" w:cstheme="majorHAnsi"/>
                <w:color w:val="auto"/>
              </w:rPr>
            </w:pPr>
            <w:r w:rsidRPr="00CB681C">
              <w:rPr>
                <w:rFonts w:asciiTheme="majorHAnsi" w:hAnsiTheme="majorHAnsi" w:cstheme="majorHAnsi"/>
                <w:color w:val="auto"/>
              </w:rPr>
              <w:t>OPERATIVNI CILJEVI</w:t>
            </w:r>
          </w:p>
        </w:tc>
        <w:tc>
          <w:tcPr>
            <w:tcW w:w="3240" w:type="dxa"/>
            <w:vAlign w:val="center"/>
          </w:tcPr>
          <w:p w:rsidR="00DD1086" w:rsidRPr="00CB681C" w:rsidRDefault="00DD1086" w:rsidP="00153229">
            <w:pPr>
              <w:pStyle w:val="ListParagraph"/>
              <w:spacing w:after="40"/>
              <w:ind w:left="0" w:right="-471"/>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Indikator učinka</w:t>
            </w:r>
          </w:p>
        </w:tc>
        <w:tc>
          <w:tcPr>
            <w:tcW w:w="2355" w:type="dxa"/>
            <w:vAlign w:val="center"/>
          </w:tcPr>
          <w:p w:rsidR="00DD1086" w:rsidRPr="00CB681C" w:rsidRDefault="00DD1086" w:rsidP="00CE6DA3">
            <w:pPr>
              <w:pStyle w:val="ListParagraph"/>
              <w:spacing w:after="40"/>
              <w:ind w:left="0" w:right="-108"/>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Početna vrijednost</w:t>
            </w:r>
          </w:p>
        </w:tc>
        <w:tc>
          <w:tcPr>
            <w:tcW w:w="2145" w:type="dxa"/>
            <w:vAlign w:val="center"/>
          </w:tcPr>
          <w:p w:rsidR="00DD1086" w:rsidRPr="00CB681C" w:rsidRDefault="00DD1086" w:rsidP="00CE6DA3">
            <w:pPr>
              <w:pStyle w:val="ListParagraph"/>
              <w:spacing w:after="40"/>
              <w:ind w:left="0" w:right="-106"/>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Ciljana vrijednost do 2024.</w:t>
            </w:r>
          </w:p>
        </w:tc>
        <w:tc>
          <w:tcPr>
            <w:tcW w:w="2070" w:type="dxa"/>
            <w:vAlign w:val="center"/>
          </w:tcPr>
          <w:p w:rsidR="00DD1086" w:rsidRPr="00CB681C" w:rsidRDefault="00DD1086" w:rsidP="00CE6DA3">
            <w:pPr>
              <w:pStyle w:val="ListParagraph"/>
              <w:spacing w:after="40"/>
              <w:ind w:left="0" w:right="-104"/>
              <w:contextualSpacing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aps/>
                <w:color w:val="auto"/>
              </w:rPr>
            </w:pPr>
            <w:r w:rsidRPr="00CB681C">
              <w:rPr>
                <w:rFonts w:asciiTheme="majorHAnsi" w:hAnsiTheme="majorHAnsi" w:cstheme="majorHAnsi"/>
                <w:b/>
                <w:color w:val="auto"/>
              </w:rPr>
              <w:t>Ciljana vrijednost u 2026.</w:t>
            </w:r>
          </w:p>
        </w:tc>
      </w:tr>
      <w:tr w:rsidR="00AC188A" w:rsidRPr="00CB681C" w:rsidTr="00F26DBC">
        <w:trPr>
          <w:trHeight w:val="775"/>
        </w:trPr>
        <w:tc>
          <w:tcPr>
            <w:cnfStyle w:val="001000000000" w:firstRow="0" w:lastRow="0" w:firstColumn="1" w:lastColumn="0" w:oddVBand="0" w:evenVBand="0" w:oddHBand="0" w:evenHBand="0" w:firstRowFirstColumn="0" w:firstRowLastColumn="0" w:lastRowFirstColumn="0" w:lastRowLastColumn="0"/>
            <w:tcW w:w="473" w:type="dxa"/>
            <w:vMerge w:val="restart"/>
          </w:tcPr>
          <w:p w:rsidR="0099169E" w:rsidRPr="00CB681C" w:rsidRDefault="0099169E" w:rsidP="00153229">
            <w:pPr>
              <w:pStyle w:val="ListParagraph"/>
              <w:spacing w:after="40"/>
              <w:ind w:left="0" w:right="-471"/>
              <w:contextualSpacing w:val="0"/>
              <w:jc w:val="both"/>
              <w:rPr>
                <w:rFonts w:asciiTheme="majorHAnsi" w:hAnsiTheme="majorHAnsi" w:cstheme="majorHAnsi"/>
                <w:color w:val="auto"/>
              </w:rPr>
            </w:pPr>
            <w:r w:rsidRPr="00CB681C">
              <w:rPr>
                <w:rFonts w:asciiTheme="majorHAnsi" w:hAnsiTheme="majorHAnsi" w:cstheme="majorHAnsi"/>
                <w:color w:val="auto"/>
              </w:rPr>
              <w:lastRenderedPageBreak/>
              <w:t>5.1</w:t>
            </w:r>
          </w:p>
        </w:tc>
        <w:tc>
          <w:tcPr>
            <w:tcW w:w="2857" w:type="dxa"/>
            <w:vMerge w:val="restart"/>
          </w:tcPr>
          <w:p w:rsidR="0099169E" w:rsidRPr="00CB681C" w:rsidRDefault="00481A6A" w:rsidP="00B07FD8">
            <w:pPr>
              <w:spacing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Jačanje sistema planiranja zasnovanog na podacima koje vodi ka kreiranju održivih politika i postizanju prioriteta Vlade</w:t>
            </w:r>
          </w:p>
        </w:tc>
        <w:tc>
          <w:tcPr>
            <w:tcW w:w="3240" w:type="dxa"/>
          </w:tcPr>
          <w:p w:rsidR="0099169E" w:rsidRPr="00CB681C" w:rsidRDefault="0099169E" w:rsidP="00B43D4E">
            <w:pPr>
              <w:pStyle w:val="ListParagraph"/>
              <w:numPr>
                <w:ilvl w:val="0"/>
                <w:numId w:val="14"/>
              </w:numPr>
              <w:spacing w:after="40"/>
              <w:ind w:left="156" w:hanging="15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 xml:space="preserve">% novih strateških dokumenata koji su </w:t>
            </w:r>
            <w:r w:rsidR="00481A6A" w:rsidRPr="00CB681C">
              <w:rPr>
                <w:rFonts w:asciiTheme="majorHAnsi" w:hAnsiTheme="majorHAnsi" w:cstheme="majorHAnsi"/>
                <w:color w:val="auto"/>
              </w:rPr>
              <w:t>potpuno usklađeni</w:t>
            </w:r>
            <w:r w:rsidRPr="00CB681C">
              <w:rPr>
                <w:rFonts w:asciiTheme="majorHAnsi" w:hAnsiTheme="majorHAnsi" w:cstheme="majorHAnsi"/>
                <w:color w:val="auto"/>
              </w:rPr>
              <w:t xml:space="preserve"> sa metodološkim kriterijumima</w:t>
            </w:r>
          </w:p>
        </w:tc>
        <w:tc>
          <w:tcPr>
            <w:tcW w:w="2355" w:type="dxa"/>
          </w:tcPr>
          <w:p w:rsidR="0099169E" w:rsidRPr="00CB681C" w:rsidRDefault="0099169E" w:rsidP="00B43D4E">
            <w:pPr>
              <w:pStyle w:val="ListParagraph"/>
              <w:numPr>
                <w:ilvl w:val="0"/>
                <w:numId w:val="14"/>
              </w:numPr>
              <w:spacing w:after="40"/>
              <w:ind w:left="204" w:right="-471" w:hanging="204"/>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69% (2020)</w:t>
            </w:r>
          </w:p>
        </w:tc>
        <w:tc>
          <w:tcPr>
            <w:tcW w:w="2145" w:type="dxa"/>
          </w:tcPr>
          <w:p w:rsidR="0099169E" w:rsidRPr="00CB681C" w:rsidRDefault="0099169E" w:rsidP="00B43D4E">
            <w:pPr>
              <w:pStyle w:val="ListParagraph"/>
              <w:numPr>
                <w:ilvl w:val="0"/>
                <w:numId w:val="14"/>
              </w:numPr>
              <w:spacing w:after="40"/>
              <w:ind w:left="246" w:right="-471" w:hanging="24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75%</w:t>
            </w:r>
          </w:p>
        </w:tc>
        <w:tc>
          <w:tcPr>
            <w:tcW w:w="2160" w:type="dxa"/>
            <w:gridSpan w:val="2"/>
          </w:tcPr>
          <w:p w:rsidR="0099169E" w:rsidRPr="00CB681C" w:rsidRDefault="0099169E" w:rsidP="00B43D4E">
            <w:pPr>
              <w:pStyle w:val="ListParagraph"/>
              <w:numPr>
                <w:ilvl w:val="0"/>
                <w:numId w:val="14"/>
              </w:numPr>
              <w:spacing w:after="40"/>
              <w:ind w:left="174" w:right="-471"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80%</w:t>
            </w:r>
          </w:p>
        </w:tc>
      </w:tr>
      <w:tr w:rsidR="00AC188A" w:rsidRPr="00CB681C" w:rsidTr="00F26DBC">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473" w:type="dxa"/>
            <w:vMerge/>
          </w:tcPr>
          <w:p w:rsidR="00481A6A" w:rsidRPr="00CB681C" w:rsidRDefault="00481A6A" w:rsidP="00153229">
            <w:pPr>
              <w:pStyle w:val="ListParagraph"/>
              <w:spacing w:after="40"/>
              <w:ind w:left="0" w:right="-471"/>
              <w:contextualSpacing w:val="0"/>
              <w:jc w:val="both"/>
              <w:rPr>
                <w:rFonts w:asciiTheme="majorHAnsi" w:hAnsiTheme="majorHAnsi" w:cstheme="majorHAnsi"/>
                <w:color w:val="auto"/>
              </w:rPr>
            </w:pPr>
          </w:p>
        </w:tc>
        <w:tc>
          <w:tcPr>
            <w:tcW w:w="2857" w:type="dxa"/>
            <w:vMerge/>
          </w:tcPr>
          <w:p w:rsidR="00481A6A" w:rsidRPr="00CB681C" w:rsidRDefault="00481A6A" w:rsidP="00B07FD8">
            <w:pPr>
              <w:spacing w:after="4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Pr>
          <w:p w:rsidR="00481A6A" w:rsidRPr="00CB681C" w:rsidRDefault="00481A6A" w:rsidP="00B43D4E">
            <w:pPr>
              <w:pStyle w:val="ListParagraph"/>
              <w:numPr>
                <w:ilvl w:val="0"/>
                <w:numId w:val="14"/>
              </w:numPr>
              <w:spacing w:after="40"/>
              <w:ind w:left="156" w:hanging="15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 izvještaja o sprovođenju strateških dokumenata koji su potpuno usklađeni sa metodologijom</w:t>
            </w:r>
            <w:r w:rsidRPr="00CB681C">
              <w:rPr>
                <w:rStyle w:val="FootnoteReference"/>
                <w:rFonts w:asciiTheme="majorHAnsi" w:hAnsiTheme="majorHAnsi" w:cstheme="majorHAnsi"/>
                <w:color w:val="auto"/>
              </w:rPr>
              <w:footnoteReference w:id="144"/>
            </w:r>
          </w:p>
        </w:tc>
        <w:tc>
          <w:tcPr>
            <w:tcW w:w="2355" w:type="dxa"/>
          </w:tcPr>
          <w:p w:rsidR="00481A6A" w:rsidRPr="00CB681C" w:rsidRDefault="00481A6A" w:rsidP="00B43D4E">
            <w:pPr>
              <w:pStyle w:val="ListParagraph"/>
              <w:numPr>
                <w:ilvl w:val="0"/>
                <w:numId w:val="14"/>
              </w:numPr>
              <w:spacing w:after="40"/>
              <w:ind w:left="204" w:right="-471" w:hanging="204"/>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52% (2020)</w:t>
            </w:r>
          </w:p>
        </w:tc>
        <w:tc>
          <w:tcPr>
            <w:tcW w:w="2145" w:type="dxa"/>
          </w:tcPr>
          <w:p w:rsidR="00481A6A" w:rsidRPr="00CB681C" w:rsidRDefault="00481A6A" w:rsidP="00153229">
            <w:pPr>
              <w:spacing w:after="40"/>
              <w:ind w:right="-47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65%</w:t>
            </w:r>
          </w:p>
        </w:tc>
        <w:tc>
          <w:tcPr>
            <w:tcW w:w="2160" w:type="dxa"/>
            <w:gridSpan w:val="2"/>
          </w:tcPr>
          <w:p w:rsidR="00481A6A" w:rsidRPr="00CB681C" w:rsidRDefault="00481A6A" w:rsidP="00153229">
            <w:pPr>
              <w:spacing w:after="40"/>
              <w:ind w:right="-47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70%</w:t>
            </w:r>
          </w:p>
        </w:tc>
      </w:tr>
      <w:tr w:rsidR="00AC188A" w:rsidRPr="00CB681C" w:rsidTr="00F26DBC">
        <w:trPr>
          <w:trHeight w:val="631"/>
        </w:trPr>
        <w:tc>
          <w:tcPr>
            <w:cnfStyle w:val="001000000000" w:firstRow="0" w:lastRow="0" w:firstColumn="1" w:lastColumn="0" w:oddVBand="0" w:evenVBand="0" w:oddHBand="0" w:evenHBand="0" w:firstRowFirstColumn="0" w:firstRowLastColumn="0" w:lastRowFirstColumn="0" w:lastRowLastColumn="0"/>
            <w:tcW w:w="473" w:type="dxa"/>
            <w:vMerge/>
          </w:tcPr>
          <w:p w:rsidR="005E22B4" w:rsidRPr="00CB681C" w:rsidRDefault="005E22B4" w:rsidP="005E22B4">
            <w:pPr>
              <w:pStyle w:val="ListParagraph"/>
              <w:spacing w:after="40"/>
              <w:ind w:left="0" w:right="-471"/>
              <w:contextualSpacing w:val="0"/>
              <w:jc w:val="both"/>
              <w:rPr>
                <w:rFonts w:asciiTheme="majorHAnsi" w:hAnsiTheme="majorHAnsi" w:cstheme="majorHAnsi"/>
                <w:color w:val="auto"/>
              </w:rPr>
            </w:pPr>
          </w:p>
        </w:tc>
        <w:tc>
          <w:tcPr>
            <w:tcW w:w="2857" w:type="dxa"/>
            <w:vMerge/>
          </w:tcPr>
          <w:p w:rsidR="005E22B4" w:rsidRPr="00CB681C" w:rsidRDefault="005E22B4" w:rsidP="005E22B4">
            <w:pPr>
              <w:spacing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Pr>
          <w:p w:rsidR="005E22B4" w:rsidRPr="00CB681C" w:rsidRDefault="005E22B4" w:rsidP="00B43D4E">
            <w:pPr>
              <w:pStyle w:val="ListParagraph"/>
              <w:numPr>
                <w:ilvl w:val="0"/>
                <w:numId w:val="14"/>
              </w:numPr>
              <w:spacing w:after="40"/>
              <w:ind w:left="156" w:hanging="15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 ministarstava čiji godišnji programi rada sadrže jasno postavljene ciljeve i indikatore</w:t>
            </w:r>
          </w:p>
        </w:tc>
        <w:tc>
          <w:tcPr>
            <w:tcW w:w="2355" w:type="dxa"/>
          </w:tcPr>
          <w:p w:rsidR="005E22B4" w:rsidRPr="00CB681C" w:rsidRDefault="005E22B4" w:rsidP="00B43D4E">
            <w:pPr>
              <w:pStyle w:val="ListParagraph"/>
              <w:numPr>
                <w:ilvl w:val="0"/>
                <w:numId w:val="14"/>
              </w:numPr>
              <w:spacing w:after="40"/>
              <w:ind w:left="204" w:right="-471" w:hanging="204"/>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18% (2019)</w:t>
            </w:r>
          </w:p>
        </w:tc>
        <w:tc>
          <w:tcPr>
            <w:tcW w:w="2145" w:type="dxa"/>
          </w:tcPr>
          <w:p w:rsidR="005E22B4" w:rsidRPr="00CB681C" w:rsidRDefault="005E22B4" w:rsidP="005E22B4">
            <w:pPr>
              <w:spacing w:after="40"/>
              <w:ind w:right="-47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80%</w:t>
            </w:r>
          </w:p>
        </w:tc>
        <w:tc>
          <w:tcPr>
            <w:tcW w:w="2160" w:type="dxa"/>
            <w:gridSpan w:val="2"/>
          </w:tcPr>
          <w:p w:rsidR="005E22B4" w:rsidRPr="00CB681C" w:rsidRDefault="005E22B4" w:rsidP="005E22B4">
            <w:pPr>
              <w:spacing w:after="40"/>
              <w:ind w:right="-47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100%</w:t>
            </w:r>
          </w:p>
        </w:tc>
      </w:tr>
      <w:tr w:rsidR="00AC188A" w:rsidRPr="00CB681C" w:rsidTr="00F26DBC">
        <w:trPr>
          <w:cnfStyle w:val="000000100000" w:firstRow="0" w:lastRow="0" w:firstColumn="0" w:lastColumn="0" w:oddVBand="0" w:evenVBand="0" w:oddHBand="1"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473" w:type="dxa"/>
            <w:vMerge/>
          </w:tcPr>
          <w:p w:rsidR="005E22B4" w:rsidRPr="00CB681C" w:rsidRDefault="005E22B4" w:rsidP="005E22B4">
            <w:pPr>
              <w:pStyle w:val="ListParagraph"/>
              <w:spacing w:after="40"/>
              <w:ind w:left="0" w:right="-471"/>
              <w:contextualSpacing w:val="0"/>
              <w:jc w:val="both"/>
              <w:rPr>
                <w:rFonts w:asciiTheme="majorHAnsi" w:hAnsiTheme="majorHAnsi" w:cstheme="majorHAnsi"/>
                <w:color w:val="auto"/>
              </w:rPr>
            </w:pPr>
          </w:p>
        </w:tc>
        <w:tc>
          <w:tcPr>
            <w:tcW w:w="2857" w:type="dxa"/>
            <w:vMerge/>
          </w:tcPr>
          <w:p w:rsidR="005E22B4" w:rsidRPr="00CB681C" w:rsidRDefault="005E22B4" w:rsidP="005E22B4">
            <w:pPr>
              <w:spacing w:after="4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Pr>
          <w:p w:rsidR="005E22B4" w:rsidRPr="00CB681C" w:rsidRDefault="005E22B4" w:rsidP="00B43D4E">
            <w:pPr>
              <w:pStyle w:val="ListParagraph"/>
              <w:numPr>
                <w:ilvl w:val="0"/>
                <w:numId w:val="14"/>
              </w:numPr>
              <w:spacing w:after="40"/>
              <w:ind w:left="156" w:hanging="15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 ministarstava u čijim godišnjim izvještajima  o  radu je predstavljen rezultat na osnovu postavljenih ciljeva i indikatora</w:t>
            </w:r>
          </w:p>
        </w:tc>
        <w:tc>
          <w:tcPr>
            <w:tcW w:w="2355" w:type="dxa"/>
          </w:tcPr>
          <w:p w:rsidR="005E22B4" w:rsidRPr="00CB681C" w:rsidRDefault="005E22B4" w:rsidP="00B43D4E">
            <w:pPr>
              <w:pStyle w:val="ListParagraph"/>
              <w:numPr>
                <w:ilvl w:val="0"/>
                <w:numId w:val="14"/>
              </w:numPr>
              <w:spacing w:after="40"/>
              <w:ind w:left="204" w:right="-471" w:hanging="204"/>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0%</w:t>
            </w:r>
          </w:p>
        </w:tc>
        <w:tc>
          <w:tcPr>
            <w:tcW w:w="2145" w:type="dxa"/>
          </w:tcPr>
          <w:p w:rsidR="005E22B4" w:rsidRPr="00CB681C" w:rsidRDefault="005E22B4" w:rsidP="005E22B4">
            <w:pPr>
              <w:spacing w:after="40"/>
              <w:ind w:right="-47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80%</w:t>
            </w:r>
          </w:p>
        </w:tc>
        <w:tc>
          <w:tcPr>
            <w:tcW w:w="2160" w:type="dxa"/>
            <w:gridSpan w:val="2"/>
          </w:tcPr>
          <w:p w:rsidR="005E22B4" w:rsidRPr="00CB681C" w:rsidRDefault="005E22B4" w:rsidP="005E22B4">
            <w:pPr>
              <w:spacing w:after="40"/>
              <w:ind w:right="-47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100%</w:t>
            </w:r>
          </w:p>
        </w:tc>
      </w:tr>
      <w:tr w:rsidR="00AC188A" w:rsidRPr="00CB681C" w:rsidTr="00F26DBC">
        <w:trPr>
          <w:trHeight w:val="930"/>
        </w:trPr>
        <w:tc>
          <w:tcPr>
            <w:cnfStyle w:val="001000000000" w:firstRow="0" w:lastRow="0" w:firstColumn="1" w:lastColumn="0" w:oddVBand="0" w:evenVBand="0" w:oddHBand="0" w:evenHBand="0" w:firstRowFirstColumn="0" w:firstRowLastColumn="0" w:lastRowFirstColumn="0" w:lastRowLastColumn="0"/>
            <w:tcW w:w="473" w:type="dxa"/>
            <w:vMerge/>
          </w:tcPr>
          <w:p w:rsidR="005E22B4" w:rsidRPr="00CB681C" w:rsidRDefault="005E22B4" w:rsidP="005E22B4">
            <w:pPr>
              <w:pStyle w:val="ListParagraph"/>
              <w:spacing w:after="40"/>
              <w:ind w:left="0" w:right="-471"/>
              <w:contextualSpacing w:val="0"/>
              <w:jc w:val="both"/>
              <w:rPr>
                <w:rFonts w:asciiTheme="majorHAnsi" w:hAnsiTheme="majorHAnsi" w:cstheme="majorHAnsi"/>
                <w:color w:val="auto"/>
              </w:rPr>
            </w:pPr>
          </w:p>
        </w:tc>
        <w:tc>
          <w:tcPr>
            <w:tcW w:w="2857" w:type="dxa"/>
            <w:vMerge/>
          </w:tcPr>
          <w:p w:rsidR="005E22B4" w:rsidRPr="00CB681C" w:rsidRDefault="005E22B4" w:rsidP="005E22B4">
            <w:pPr>
              <w:spacing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Pr>
          <w:p w:rsidR="005E22B4" w:rsidRPr="00CB681C" w:rsidRDefault="005E22B4" w:rsidP="00B43D4E">
            <w:pPr>
              <w:pStyle w:val="ListParagraph"/>
              <w:numPr>
                <w:ilvl w:val="0"/>
                <w:numId w:val="14"/>
              </w:numPr>
              <w:spacing w:after="40"/>
              <w:ind w:left="156" w:hanging="15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 starteških dokumenata za koje je izrađena evaluacija</w:t>
            </w:r>
          </w:p>
        </w:tc>
        <w:tc>
          <w:tcPr>
            <w:tcW w:w="2355" w:type="dxa"/>
          </w:tcPr>
          <w:p w:rsidR="005E22B4" w:rsidRPr="00CB681C" w:rsidRDefault="005E22B4" w:rsidP="00B43D4E">
            <w:pPr>
              <w:pStyle w:val="ListParagraph"/>
              <w:numPr>
                <w:ilvl w:val="0"/>
                <w:numId w:val="14"/>
              </w:numPr>
              <w:spacing w:after="40"/>
              <w:ind w:left="204" w:right="-12" w:hanging="204"/>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Polazna vrijednost će biti utvrđena nakon izrađene analize (2022)</w:t>
            </w:r>
          </w:p>
        </w:tc>
        <w:tc>
          <w:tcPr>
            <w:tcW w:w="2145" w:type="dxa"/>
          </w:tcPr>
          <w:p w:rsidR="005E22B4" w:rsidRPr="00CB681C" w:rsidRDefault="005E22B4" w:rsidP="005E22B4">
            <w:pPr>
              <w:spacing w:after="40"/>
              <w:ind w:right="-47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40%</w:t>
            </w:r>
          </w:p>
        </w:tc>
        <w:tc>
          <w:tcPr>
            <w:tcW w:w="2160" w:type="dxa"/>
            <w:gridSpan w:val="2"/>
          </w:tcPr>
          <w:p w:rsidR="005E22B4" w:rsidRPr="00CB681C" w:rsidRDefault="005E22B4" w:rsidP="005E22B4">
            <w:pPr>
              <w:spacing w:after="40"/>
              <w:ind w:right="-47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60%</w:t>
            </w:r>
          </w:p>
        </w:tc>
      </w:tr>
      <w:tr w:rsidR="00CB681C" w:rsidRPr="00CB681C" w:rsidTr="00F26DBC">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473" w:type="dxa"/>
            <w:vMerge/>
          </w:tcPr>
          <w:p w:rsidR="00481A6A" w:rsidRPr="00CB681C" w:rsidRDefault="00481A6A" w:rsidP="00153229">
            <w:pPr>
              <w:pStyle w:val="ListParagraph"/>
              <w:spacing w:after="40"/>
              <w:ind w:left="0" w:right="-471"/>
              <w:contextualSpacing w:val="0"/>
              <w:jc w:val="both"/>
              <w:rPr>
                <w:rFonts w:asciiTheme="majorHAnsi" w:hAnsiTheme="majorHAnsi" w:cstheme="majorHAnsi"/>
                <w:color w:val="auto"/>
              </w:rPr>
            </w:pPr>
          </w:p>
        </w:tc>
        <w:tc>
          <w:tcPr>
            <w:tcW w:w="2857" w:type="dxa"/>
            <w:vMerge/>
          </w:tcPr>
          <w:p w:rsidR="00481A6A" w:rsidRPr="00CB681C" w:rsidRDefault="00481A6A" w:rsidP="00B07FD8">
            <w:pPr>
              <w:spacing w:after="4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Pr>
          <w:p w:rsidR="00481A6A" w:rsidRPr="00CB681C" w:rsidRDefault="004D7833" w:rsidP="00B43D4E">
            <w:pPr>
              <w:pStyle w:val="ListParagraph"/>
              <w:numPr>
                <w:ilvl w:val="0"/>
                <w:numId w:val="14"/>
              </w:numPr>
              <w:spacing w:after="40"/>
              <w:ind w:left="294" w:hanging="27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 zakona/ strateš</w:t>
            </w:r>
            <w:r w:rsidR="00481A6A" w:rsidRPr="00CB681C">
              <w:rPr>
                <w:rFonts w:asciiTheme="majorHAnsi" w:hAnsiTheme="majorHAnsi" w:cstheme="majorHAnsi"/>
                <w:color w:val="auto"/>
              </w:rPr>
              <w:t>kih dokumenata koj</w:t>
            </w:r>
            <w:r w:rsidR="007D2E56" w:rsidRPr="00CB681C">
              <w:rPr>
                <w:rFonts w:asciiTheme="majorHAnsi" w:hAnsiTheme="majorHAnsi" w:cstheme="majorHAnsi"/>
                <w:color w:val="auto"/>
              </w:rPr>
              <w:t xml:space="preserve">i se u </w:t>
            </w:r>
            <w:r w:rsidR="007D2E56" w:rsidRPr="00A22F30">
              <w:rPr>
                <w:rFonts w:asciiTheme="majorHAnsi" w:hAnsiTheme="majorHAnsi" w:cstheme="majorHAnsi"/>
                <w:color w:val="auto"/>
              </w:rPr>
              <w:t>potpunosti</w:t>
            </w:r>
            <w:r w:rsidR="00481A6A" w:rsidRPr="00A22F30">
              <w:rPr>
                <w:rFonts w:asciiTheme="majorHAnsi" w:hAnsiTheme="majorHAnsi" w:cstheme="majorHAnsi"/>
                <w:color w:val="auto"/>
              </w:rPr>
              <w:t xml:space="preserve"> priprema</w:t>
            </w:r>
            <w:r w:rsidR="00481A6A" w:rsidRPr="00CB681C">
              <w:rPr>
                <w:rFonts w:asciiTheme="majorHAnsi" w:hAnsiTheme="majorHAnsi" w:cstheme="majorHAnsi"/>
                <w:color w:val="auto"/>
              </w:rPr>
              <w:t xml:space="preserve"> u skladu sa Checklist o javnim konsultacijama  u organima u skladu</w:t>
            </w:r>
            <w:r w:rsidR="00023F33" w:rsidRPr="00CB681C">
              <w:rPr>
                <w:rFonts w:asciiTheme="majorHAnsi" w:hAnsiTheme="majorHAnsi" w:cstheme="majorHAnsi"/>
                <w:color w:val="auto"/>
              </w:rPr>
              <w:t xml:space="preserve"> sa Uredbom o organizaciji i nač</w:t>
            </w:r>
            <w:r w:rsidR="00481A6A" w:rsidRPr="00CB681C">
              <w:rPr>
                <w:rFonts w:asciiTheme="majorHAnsi" w:hAnsiTheme="majorHAnsi" w:cstheme="majorHAnsi"/>
                <w:color w:val="auto"/>
              </w:rPr>
              <w:t>inu rada državne uprave</w:t>
            </w:r>
          </w:p>
        </w:tc>
        <w:tc>
          <w:tcPr>
            <w:tcW w:w="2355" w:type="dxa"/>
          </w:tcPr>
          <w:p w:rsidR="00481A6A" w:rsidRPr="00CB681C" w:rsidRDefault="00481A6A" w:rsidP="00B43D4E">
            <w:pPr>
              <w:pStyle w:val="ListParagraph"/>
              <w:numPr>
                <w:ilvl w:val="0"/>
                <w:numId w:val="14"/>
              </w:numPr>
              <w:spacing w:after="40"/>
              <w:ind w:left="204" w:right="-471" w:hanging="204"/>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1 zakon</w:t>
            </w:r>
          </w:p>
        </w:tc>
        <w:tc>
          <w:tcPr>
            <w:tcW w:w="2145" w:type="dxa"/>
          </w:tcPr>
          <w:p w:rsidR="00481A6A" w:rsidRPr="00CB681C" w:rsidRDefault="00481A6A" w:rsidP="00B43D4E">
            <w:pPr>
              <w:pStyle w:val="ListParagraph"/>
              <w:numPr>
                <w:ilvl w:val="0"/>
                <w:numId w:val="14"/>
              </w:numPr>
              <w:spacing w:after="40"/>
              <w:ind w:left="246" w:right="-471" w:hanging="24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80%</w:t>
            </w:r>
          </w:p>
        </w:tc>
        <w:tc>
          <w:tcPr>
            <w:tcW w:w="2160" w:type="dxa"/>
            <w:gridSpan w:val="2"/>
          </w:tcPr>
          <w:p w:rsidR="00481A6A" w:rsidRPr="00CB681C" w:rsidRDefault="00481A6A" w:rsidP="00B43D4E">
            <w:pPr>
              <w:pStyle w:val="ListParagraph"/>
              <w:numPr>
                <w:ilvl w:val="0"/>
                <w:numId w:val="14"/>
              </w:numPr>
              <w:spacing w:after="40"/>
              <w:ind w:left="174" w:right="-471"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100%</w:t>
            </w:r>
          </w:p>
        </w:tc>
      </w:tr>
      <w:tr w:rsidR="00AC188A" w:rsidRPr="00CB681C" w:rsidTr="00F26DBC">
        <w:trPr>
          <w:trHeight w:val="928"/>
        </w:trPr>
        <w:tc>
          <w:tcPr>
            <w:cnfStyle w:val="001000000000" w:firstRow="0" w:lastRow="0" w:firstColumn="1" w:lastColumn="0" w:oddVBand="0" w:evenVBand="0" w:oddHBand="0" w:evenHBand="0" w:firstRowFirstColumn="0" w:firstRowLastColumn="0" w:lastRowFirstColumn="0" w:lastRowLastColumn="0"/>
            <w:tcW w:w="473" w:type="dxa"/>
            <w:vMerge w:val="restart"/>
          </w:tcPr>
          <w:p w:rsidR="000A1AFF" w:rsidRPr="00CB681C" w:rsidRDefault="000A1AFF" w:rsidP="00153229">
            <w:pPr>
              <w:pStyle w:val="ListParagraph"/>
              <w:spacing w:after="40"/>
              <w:ind w:left="0" w:right="-471"/>
              <w:contextualSpacing w:val="0"/>
              <w:jc w:val="both"/>
              <w:rPr>
                <w:rFonts w:asciiTheme="majorHAnsi" w:hAnsiTheme="majorHAnsi" w:cstheme="majorHAnsi"/>
                <w:color w:val="auto"/>
              </w:rPr>
            </w:pPr>
            <w:r w:rsidRPr="00CB681C">
              <w:rPr>
                <w:rFonts w:asciiTheme="majorHAnsi" w:hAnsiTheme="majorHAnsi" w:cstheme="majorHAnsi"/>
                <w:color w:val="auto"/>
              </w:rPr>
              <w:t>5.2</w:t>
            </w:r>
          </w:p>
        </w:tc>
        <w:tc>
          <w:tcPr>
            <w:tcW w:w="2857" w:type="dxa"/>
            <w:vMerge w:val="restart"/>
          </w:tcPr>
          <w:p w:rsidR="000A1AFF" w:rsidRPr="00CB681C" w:rsidRDefault="000A1AFF" w:rsidP="00B07FD8">
            <w:pPr>
              <w:spacing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Unapređenje institucionalne koordinacije za snažnije efekte javnih politika</w:t>
            </w:r>
          </w:p>
        </w:tc>
        <w:tc>
          <w:tcPr>
            <w:tcW w:w="3240" w:type="dxa"/>
          </w:tcPr>
          <w:p w:rsidR="000A1AFF" w:rsidRPr="00CB681C" w:rsidRDefault="00A22F30" w:rsidP="00B43D4E">
            <w:pPr>
              <w:pStyle w:val="ListParagraph"/>
              <w:numPr>
                <w:ilvl w:val="0"/>
                <w:numId w:val="15"/>
              </w:numPr>
              <w:spacing w:after="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A22F30">
              <w:rPr>
                <w:rFonts w:asciiTheme="majorHAnsi" w:hAnsiTheme="majorHAnsi" w:cstheme="majorHAnsi"/>
                <w:color w:val="auto"/>
              </w:rPr>
              <w:t>Procenat ministarstava koja imaju uspostavljene jedinice za strateško planiranje</w:t>
            </w:r>
          </w:p>
        </w:tc>
        <w:tc>
          <w:tcPr>
            <w:tcW w:w="2355" w:type="dxa"/>
          </w:tcPr>
          <w:p w:rsidR="000A1AFF" w:rsidRPr="00CB681C" w:rsidRDefault="005E22B4" w:rsidP="00B43D4E">
            <w:pPr>
              <w:pStyle w:val="ListParagraph"/>
              <w:numPr>
                <w:ilvl w:val="0"/>
                <w:numId w:val="15"/>
              </w:numPr>
              <w:spacing w:after="40"/>
              <w:ind w:left="168" w:right="-471" w:hanging="168"/>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30% (2021)</w:t>
            </w:r>
          </w:p>
        </w:tc>
        <w:tc>
          <w:tcPr>
            <w:tcW w:w="2145" w:type="dxa"/>
          </w:tcPr>
          <w:p w:rsidR="000A1AFF" w:rsidRPr="00CB681C" w:rsidRDefault="005E22B4" w:rsidP="00B43D4E">
            <w:pPr>
              <w:pStyle w:val="ListParagraph"/>
              <w:numPr>
                <w:ilvl w:val="0"/>
                <w:numId w:val="15"/>
              </w:numPr>
              <w:spacing w:after="40"/>
              <w:ind w:left="156" w:right="-471" w:hanging="15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70%</w:t>
            </w:r>
          </w:p>
        </w:tc>
        <w:tc>
          <w:tcPr>
            <w:tcW w:w="2160" w:type="dxa"/>
            <w:gridSpan w:val="2"/>
          </w:tcPr>
          <w:p w:rsidR="000A1AFF" w:rsidRPr="00CB681C" w:rsidRDefault="005E22B4" w:rsidP="00B43D4E">
            <w:pPr>
              <w:pStyle w:val="ListParagraph"/>
              <w:numPr>
                <w:ilvl w:val="0"/>
                <w:numId w:val="15"/>
              </w:numPr>
              <w:spacing w:after="40"/>
              <w:ind w:left="174" w:right="-471" w:hanging="174"/>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100%</w:t>
            </w:r>
          </w:p>
        </w:tc>
      </w:tr>
      <w:tr w:rsidR="00CB681C" w:rsidRPr="00CB681C" w:rsidTr="00F26DBC">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473" w:type="dxa"/>
            <w:vMerge/>
          </w:tcPr>
          <w:p w:rsidR="005E22B4" w:rsidRPr="00CB681C" w:rsidRDefault="005E22B4" w:rsidP="005E22B4">
            <w:pPr>
              <w:pStyle w:val="ListParagraph"/>
              <w:spacing w:after="40"/>
              <w:ind w:left="0" w:right="-471"/>
              <w:contextualSpacing w:val="0"/>
              <w:jc w:val="both"/>
              <w:rPr>
                <w:rFonts w:asciiTheme="majorHAnsi" w:hAnsiTheme="majorHAnsi" w:cstheme="majorHAnsi"/>
                <w:color w:val="auto"/>
              </w:rPr>
            </w:pPr>
          </w:p>
        </w:tc>
        <w:tc>
          <w:tcPr>
            <w:tcW w:w="2857" w:type="dxa"/>
            <w:vMerge/>
          </w:tcPr>
          <w:p w:rsidR="005E22B4" w:rsidRPr="00CB681C" w:rsidRDefault="005E22B4" w:rsidP="005E22B4">
            <w:pPr>
              <w:spacing w:after="40"/>
              <w:ind w:right="-47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Pr>
          <w:p w:rsidR="005E22B4" w:rsidRPr="00CB681C" w:rsidRDefault="005E22B4" w:rsidP="00B43D4E">
            <w:pPr>
              <w:pStyle w:val="ListParagraph"/>
              <w:numPr>
                <w:ilvl w:val="0"/>
                <w:numId w:val="15"/>
              </w:numPr>
              <w:spacing w:after="40"/>
              <w:ind w:left="204"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Procenat ministarstava koji imaju članove/ članice Mreže državnih službenika za strateško planiranje</w:t>
            </w:r>
          </w:p>
        </w:tc>
        <w:tc>
          <w:tcPr>
            <w:tcW w:w="2355" w:type="dxa"/>
          </w:tcPr>
          <w:p w:rsidR="005E22B4" w:rsidRPr="00CB681C" w:rsidRDefault="005E22B4" w:rsidP="00B43D4E">
            <w:pPr>
              <w:pStyle w:val="ListParagraph"/>
              <w:numPr>
                <w:ilvl w:val="0"/>
                <w:numId w:val="15"/>
              </w:numPr>
              <w:spacing w:after="40"/>
              <w:ind w:left="168" w:right="-471" w:hanging="168"/>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50% (2021)</w:t>
            </w:r>
          </w:p>
        </w:tc>
        <w:tc>
          <w:tcPr>
            <w:tcW w:w="2145" w:type="dxa"/>
          </w:tcPr>
          <w:p w:rsidR="005E22B4" w:rsidRPr="00CB681C" w:rsidRDefault="005E22B4" w:rsidP="00B43D4E">
            <w:pPr>
              <w:pStyle w:val="ListParagraph"/>
              <w:numPr>
                <w:ilvl w:val="0"/>
                <w:numId w:val="15"/>
              </w:numPr>
              <w:spacing w:after="40"/>
              <w:ind w:left="156" w:right="-471" w:hanging="156"/>
              <w:contextualSpacing w:val="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70%</w:t>
            </w:r>
          </w:p>
        </w:tc>
        <w:tc>
          <w:tcPr>
            <w:tcW w:w="2160" w:type="dxa"/>
            <w:gridSpan w:val="2"/>
          </w:tcPr>
          <w:p w:rsidR="005E22B4" w:rsidRPr="00CB681C" w:rsidRDefault="005E22B4" w:rsidP="00B43D4E">
            <w:pPr>
              <w:pStyle w:val="ListParagraph"/>
              <w:numPr>
                <w:ilvl w:val="0"/>
                <w:numId w:val="15"/>
              </w:numPr>
              <w:spacing w:after="40"/>
              <w:ind w:left="174" w:right="-471" w:hanging="174"/>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100%</w:t>
            </w:r>
          </w:p>
        </w:tc>
      </w:tr>
      <w:tr w:rsidR="00AC188A" w:rsidRPr="00CB681C" w:rsidTr="00F26DBC">
        <w:trPr>
          <w:trHeight w:val="849"/>
        </w:trPr>
        <w:tc>
          <w:tcPr>
            <w:cnfStyle w:val="001000000000" w:firstRow="0" w:lastRow="0" w:firstColumn="1" w:lastColumn="0" w:oddVBand="0" w:evenVBand="0" w:oddHBand="0" w:evenHBand="0" w:firstRowFirstColumn="0" w:firstRowLastColumn="0" w:lastRowFirstColumn="0" w:lastRowLastColumn="0"/>
            <w:tcW w:w="473" w:type="dxa"/>
            <w:vMerge w:val="restart"/>
          </w:tcPr>
          <w:p w:rsidR="007D2E56" w:rsidRPr="00CB681C" w:rsidRDefault="007D2E56" w:rsidP="007D2E56">
            <w:pPr>
              <w:pStyle w:val="ListParagraph"/>
              <w:spacing w:after="40"/>
              <w:ind w:left="0" w:right="-471"/>
              <w:contextualSpacing w:val="0"/>
              <w:jc w:val="both"/>
              <w:rPr>
                <w:rFonts w:asciiTheme="majorHAnsi" w:hAnsiTheme="majorHAnsi" w:cstheme="majorHAnsi"/>
                <w:color w:val="auto"/>
              </w:rPr>
            </w:pPr>
            <w:r w:rsidRPr="00CB681C">
              <w:rPr>
                <w:rFonts w:asciiTheme="majorHAnsi" w:hAnsiTheme="majorHAnsi" w:cstheme="majorHAnsi"/>
                <w:color w:val="auto"/>
              </w:rPr>
              <w:lastRenderedPageBreak/>
              <w:t>5.3</w:t>
            </w:r>
          </w:p>
        </w:tc>
        <w:tc>
          <w:tcPr>
            <w:tcW w:w="2857" w:type="dxa"/>
            <w:vMerge w:val="restart"/>
          </w:tcPr>
          <w:p w:rsidR="007D2E56" w:rsidRPr="00CB681C" w:rsidRDefault="007D2E56" w:rsidP="007D2E56">
            <w:pPr>
              <w:spacing w:after="40"/>
              <w:ind w:right="-1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Povećanje obuhvata i jačanje kapaciteta za sprovođenje RIA</w:t>
            </w:r>
          </w:p>
        </w:tc>
        <w:tc>
          <w:tcPr>
            <w:tcW w:w="3240" w:type="dxa"/>
          </w:tcPr>
          <w:p w:rsidR="007D2E56" w:rsidRPr="00CB681C" w:rsidRDefault="007D2E56" w:rsidP="00B43D4E">
            <w:pPr>
              <w:pStyle w:val="ListParagraph"/>
              <w:numPr>
                <w:ilvl w:val="0"/>
                <w:numId w:val="15"/>
              </w:numPr>
              <w:spacing w:after="40"/>
              <w:ind w:left="19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 nacrta podzakonskih akata sa RIA</w:t>
            </w:r>
          </w:p>
        </w:tc>
        <w:tc>
          <w:tcPr>
            <w:tcW w:w="2355" w:type="dxa"/>
          </w:tcPr>
          <w:p w:rsidR="007D2E56" w:rsidRPr="00CB681C" w:rsidRDefault="007D2E56" w:rsidP="00B43D4E">
            <w:pPr>
              <w:pStyle w:val="ListParagraph"/>
              <w:numPr>
                <w:ilvl w:val="0"/>
                <w:numId w:val="15"/>
              </w:numPr>
              <w:spacing w:after="40"/>
              <w:ind w:left="168" w:right="-471" w:hanging="168"/>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28,49% (2020)</w:t>
            </w:r>
          </w:p>
        </w:tc>
        <w:tc>
          <w:tcPr>
            <w:tcW w:w="2145" w:type="dxa"/>
          </w:tcPr>
          <w:p w:rsidR="007D2E56" w:rsidRPr="00CB681C" w:rsidRDefault="007D2E56" w:rsidP="00B43D4E">
            <w:pPr>
              <w:pStyle w:val="ListParagraph"/>
              <w:numPr>
                <w:ilvl w:val="0"/>
                <w:numId w:val="15"/>
              </w:numPr>
              <w:spacing w:after="40"/>
              <w:ind w:left="156" w:right="-471" w:hanging="15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35%</w:t>
            </w:r>
          </w:p>
        </w:tc>
        <w:tc>
          <w:tcPr>
            <w:tcW w:w="2160" w:type="dxa"/>
            <w:gridSpan w:val="2"/>
          </w:tcPr>
          <w:p w:rsidR="007D2E56" w:rsidRPr="00CB681C" w:rsidRDefault="007D2E56" w:rsidP="00B43D4E">
            <w:pPr>
              <w:pStyle w:val="ListParagraph"/>
              <w:numPr>
                <w:ilvl w:val="0"/>
                <w:numId w:val="15"/>
              </w:numPr>
              <w:spacing w:after="40"/>
              <w:ind w:left="174" w:right="-471" w:hanging="174"/>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50%</w:t>
            </w:r>
          </w:p>
        </w:tc>
      </w:tr>
      <w:tr w:rsidR="00CB681C" w:rsidRPr="00CB681C" w:rsidTr="00F26DBC">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473" w:type="dxa"/>
            <w:vMerge/>
          </w:tcPr>
          <w:p w:rsidR="007D2E56" w:rsidRPr="00CB681C" w:rsidRDefault="007D2E56" w:rsidP="007D2E56">
            <w:pPr>
              <w:pStyle w:val="ListParagraph"/>
              <w:spacing w:after="40"/>
              <w:ind w:left="0" w:right="-471"/>
              <w:contextualSpacing w:val="0"/>
              <w:jc w:val="both"/>
              <w:rPr>
                <w:rFonts w:asciiTheme="majorHAnsi" w:hAnsiTheme="majorHAnsi" w:cstheme="majorHAnsi"/>
                <w:color w:val="auto"/>
              </w:rPr>
            </w:pPr>
          </w:p>
        </w:tc>
        <w:tc>
          <w:tcPr>
            <w:tcW w:w="2857" w:type="dxa"/>
            <w:vMerge/>
          </w:tcPr>
          <w:p w:rsidR="007D2E56" w:rsidRPr="00CB681C" w:rsidRDefault="007D2E56" w:rsidP="007D2E56">
            <w:pPr>
              <w:spacing w:after="40"/>
              <w:ind w:right="-13"/>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tc>
        <w:tc>
          <w:tcPr>
            <w:tcW w:w="3240" w:type="dxa"/>
          </w:tcPr>
          <w:p w:rsidR="007D2E56" w:rsidRPr="00CB681C" w:rsidRDefault="007D2E56" w:rsidP="00B43D4E">
            <w:pPr>
              <w:pStyle w:val="ListParagraph"/>
              <w:numPr>
                <w:ilvl w:val="0"/>
                <w:numId w:val="15"/>
              </w:numPr>
              <w:spacing w:after="40"/>
              <w:ind w:left="192" w:hanging="180"/>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 zakona kod kojh se za RIA primjenjuje Model standardnog troška (Standard cost model)</w:t>
            </w:r>
          </w:p>
        </w:tc>
        <w:tc>
          <w:tcPr>
            <w:tcW w:w="2355" w:type="dxa"/>
          </w:tcPr>
          <w:p w:rsidR="007D2E56" w:rsidRPr="00CB681C" w:rsidRDefault="007D2E56" w:rsidP="00B43D4E">
            <w:pPr>
              <w:pStyle w:val="ListParagraph"/>
              <w:numPr>
                <w:ilvl w:val="0"/>
                <w:numId w:val="15"/>
              </w:numPr>
              <w:spacing w:after="40"/>
              <w:ind w:left="168" w:right="-471" w:hanging="168"/>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18% (2020)</w:t>
            </w:r>
          </w:p>
        </w:tc>
        <w:tc>
          <w:tcPr>
            <w:tcW w:w="2145" w:type="dxa"/>
          </w:tcPr>
          <w:p w:rsidR="007D2E56" w:rsidRPr="00CB681C" w:rsidRDefault="007D2E56" w:rsidP="00B43D4E">
            <w:pPr>
              <w:pStyle w:val="ListParagraph"/>
              <w:numPr>
                <w:ilvl w:val="0"/>
                <w:numId w:val="15"/>
              </w:numPr>
              <w:spacing w:after="40"/>
              <w:ind w:left="156" w:right="-471" w:hanging="156"/>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20%</w:t>
            </w:r>
          </w:p>
        </w:tc>
        <w:tc>
          <w:tcPr>
            <w:tcW w:w="2160" w:type="dxa"/>
            <w:gridSpan w:val="2"/>
          </w:tcPr>
          <w:p w:rsidR="007D2E56" w:rsidRPr="00CB681C" w:rsidRDefault="007D2E56" w:rsidP="00B43D4E">
            <w:pPr>
              <w:pStyle w:val="ListParagraph"/>
              <w:numPr>
                <w:ilvl w:val="0"/>
                <w:numId w:val="15"/>
              </w:numPr>
              <w:spacing w:after="40"/>
              <w:ind w:left="174" w:right="-471" w:hanging="174"/>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30%</w:t>
            </w:r>
          </w:p>
        </w:tc>
      </w:tr>
      <w:tr w:rsidR="00AC188A" w:rsidRPr="00CB681C" w:rsidTr="00F26DBC">
        <w:trPr>
          <w:trHeight w:val="525"/>
        </w:trPr>
        <w:tc>
          <w:tcPr>
            <w:cnfStyle w:val="001000000000" w:firstRow="0" w:lastRow="0" w:firstColumn="1" w:lastColumn="0" w:oddVBand="0" w:evenVBand="0" w:oddHBand="0" w:evenHBand="0" w:firstRowFirstColumn="0" w:firstRowLastColumn="0" w:lastRowFirstColumn="0" w:lastRowLastColumn="0"/>
            <w:tcW w:w="473" w:type="dxa"/>
            <w:vMerge/>
          </w:tcPr>
          <w:p w:rsidR="007D2E56" w:rsidRPr="00CB681C" w:rsidRDefault="007D2E56" w:rsidP="007D2E56">
            <w:pPr>
              <w:pStyle w:val="ListParagraph"/>
              <w:spacing w:after="40"/>
              <w:ind w:left="0" w:right="-471"/>
              <w:contextualSpacing w:val="0"/>
              <w:jc w:val="both"/>
              <w:rPr>
                <w:rFonts w:asciiTheme="majorHAnsi" w:hAnsiTheme="majorHAnsi" w:cstheme="majorHAnsi"/>
                <w:color w:val="auto"/>
              </w:rPr>
            </w:pPr>
          </w:p>
        </w:tc>
        <w:tc>
          <w:tcPr>
            <w:tcW w:w="2857" w:type="dxa"/>
            <w:vMerge/>
          </w:tcPr>
          <w:p w:rsidR="007D2E56" w:rsidRPr="00CB681C" w:rsidRDefault="007D2E56" w:rsidP="007D2E56">
            <w:pPr>
              <w:spacing w:after="40"/>
              <w:ind w:right="-47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p>
        </w:tc>
        <w:tc>
          <w:tcPr>
            <w:tcW w:w="3240" w:type="dxa"/>
          </w:tcPr>
          <w:p w:rsidR="007D2E56" w:rsidRPr="00CB681C" w:rsidRDefault="007D2E56" w:rsidP="00B43D4E">
            <w:pPr>
              <w:pStyle w:val="ListParagraph"/>
              <w:numPr>
                <w:ilvl w:val="0"/>
                <w:numId w:val="15"/>
              </w:numPr>
              <w:spacing w:after="40"/>
              <w:ind w:left="192" w:hanging="18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 kvalitetno izrađenih RIA u odnosu na ukupan broj RIA koje su dostavljene na mišljenje MFSS</w:t>
            </w:r>
          </w:p>
        </w:tc>
        <w:tc>
          <w:tcPr>
            <w:tcW w:w="2355" w:type="dxa"/>
          </w:tcPr>
          <w:p w:rsidR="007D2E56" w:rsidRPr="00CB681C" w:rsidRDefault="007D2E56" w:rsidP="00B43D4E">
            <w:pPr>
              <w:pStyle w:val="ListParagraph"/>
              <w:numPr>
                <w:ilvl w:val="0"/>
                <w:numId w:val="15"/>
              </w:numPr>
              <w:spacing w:after="40"/>
              <w:ind w:left="168" w:right="-471" w:hanging="168"/>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68,72% (2020)</w:t>
            </w:r>
          </w:p>
        </w:tc>
        <w:tc>
          <w:tcPr>
            <w:tcW w:w="2145" w:type="dxa"/>
          </w:tcPr>
          <w:p w:rsidR="007D2E56" w:rsidRPr="00CB681C" w:rsidRDefault="007D2E56" w:rsidP="00B43D4E">
            <w:pPr>
              <w:pStyle w:val="ListParagraph"/>
              <w:numPr>
                <w:ilvl w:val="0"/>
                <w:numId w:val="15"/>
              </w:numPr>
              <w:spacing w:after="40"/>
              <w:ind w:left="156" w:right="-471" w:hanging="156"/>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77%</w:t>
            </w:r>
          </w:p>
        </w:tc>
        <w:tc>
          <w:tcPr>
            <w:tcW w:w="2160" w:type="dxa"/>
            <w:gridSpan w:val="2"/>
          </w:tcPr>
          <w:p w:rsidR="007D2E56" w:rsidRPr="00CB681C" w:rsidRDefault="007D2E56" w:rsidP="00B43D4E">
            <w:pPr>
              <w:pStyle w:val="ListParagraph"/>
              <w:numPr>
                <w:ilvl w:val="0"/>
                <w:numId w:val="15"/>
              </w:numPr>
              <w:spacing w:after="40"/>
              <w:ind w:left="174" w:right="-471" w:hanging="174"/>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rPr>
            </w:pPr>
            <w:r w:rsidRPr="00CB681C">
              <w:rPr>
                <w:rFonts w:asciiTheme="majorHAnsi" w:hAnsiTheme="majorHAnsi" w:cstheme="majorHAnsi"/>
                <w:color w:val="auto"/>
              </w:rPr>
              <w:t>88%</w:t>
            </w:r>
          </w:p>
        </w:tc>
      </w:tr>
    </w:tbl>
    <w:p w:rsidR="003F5394" w:rsidRPr="007E14C5" w:rsidRDefault="003F5394" w:rsidP="00153229">
      <w:pPr>
        <w:ind w:right="-471"/>
        <w:rPr>
          <w:rFonts w:asciiTheme="majorHAnsi" w:hAnsiTheme="majorHAnsi" w:cstheme="majorHAnsi"/>
          <w:color w:val="002060"/>
          <w:sz w:val="24"/>
          <w:szCs w:val="24"/>
        </w:rPr>
      </w:pPr>
    </w:p>
    <w:p w:rsidR="00354225" w:rsidRPr="007E14C5" w:rsidRDefault="00354225" w:rsidP="00153229">
      <w:pPr>
        <w:ind w:right="-471"/>
        <w:rPr>
          <w:rFonts w:asciiTheme="majorHAnsi" w:hAnsiTheme="majorHAnsi" w:cstheme="majorHAnsi"/>
          <w:color w:val="002060"/>
          <w:sz w:val="24"/>
          <w:szCs w:val="24"/>
        </w:rPr>
      </w:pPr>
      <w:r w:rsidRPr="007E14C5">
        <w:rPr>
          <w:rFonts w:asciiTheme="majorHAnsi" w:hAnsiTheme="majorHAnsi" w:cstheme="majorHAnsi"/>
          <w:color w:val="002060"/>
          <w:sz w:val="24"/>
          <w:szCs w:val="24"/>
        </w:rPr>
        <w:br w:type="page"/>
      </w:r>
    </w:p>
    <w:p w:rsidR="00D042C2" w:rsidRPr="007E14C5" w:rsidRDefault="00D042C2" w:rsidP="00153229">
      <w:pPr>
        <w:ind w:right="-471"/>
        <w:rPr>
          <w:rFonts w:asciiTheme="majorHAnsi" w:hAnsiTheme="majorHAnsi" w:cstheme="majorHAnsi"/>
          <w:color w:val="002060"/>
          <w:sz w:val="24"/>
          <w:szCs w:val="24"/>
        </w:rPr>
        <w:sectPr w:rsidR="00D042C2" w:rsidRPr="007E14C5" w:rsidSect="00F735BC">
          <w:pgSz w:w="15840" w:h="12240" w:orient="landscape" w:code="1"/>
          <w:pgMar w:top="1526" w:right="1800" w:bottom="1555" w:left="1714" w:header="864" w:footer="720" w:gutter="0"/>
          <w:cols w:space="720"/>
          <w:docGrid w:linePitch="360"/>
        </w:sectPr>
      </w:pPr>
    </w:p>
    <w:p w:rsidR="004C0F55" w:rsidRPr="00D07766" w:rsidRDefault="004C0F55" w:rsidP="00F735BC">
      <w:pPr>
        <w:pStyle w:val="TOC1"/>
        <w:outlineLvl w:val="0"/>
      </w:pPr>
      <w:bookmarkStart w:id="71" w:name="_Toc87353422"/>
      <w:r w:rsidRPr="00D07766">
        <w:lastRenderedPageBreak/>
        <w:t>V MONITORING, IZVJEŠTAVANJE I EVALUACIJA</w:t>
      </w:r>
      <w:bookmarkEnd w:id="71"/>
    </w:p>
    <w:p w:rsidR="00166526" w:rsidRPr="00D07766" w:rsidRDefault="00166526" w:rsidP="00166526">
      <w:pPr>
        <w:spacing w:before="60" w:after="60" w:line="240" w:lineRule="auto"/>
        <w:ind w:right="-471"/>
        <w:jc w:val="both"/>
        <w:rPr>
          <w:rFonts w:asciiTheme="majorHAnsi" w:hAnsiTheme="majorHAnsi" w:cstheme="majorHAnsi"/>
          <w:color w:val="auto"/>
          <w:sz w:val="24"/>
          <w:szCs w:val="24"/>
        </w:rPr>
      </w:pPr>
      <w:r w:rsidRPr="00D07766">
        <w:rPr>
          <w:rFonts w:asciiTheme="majorHAnsi" w:hAnsiTheme="majorHAnsi" w:cstheme="majorHAnsi"/>
          <w:color w:val="auto"/>
          <w:sz w:val="24"/>
          <w:szCs w:val="24"/>
        </w:rPr>
        <w:t xml:space="preserve">Reforma javne uprave u Crnoj Gori je cikličan proces koji zahtijeva stalno poboljšanje u svim oblastimaa na osnovu SIGMA Principa javne uprave, te smjernica EU. </w:t>
      </w:r>
    </w:p>
    <w:p w:rsidR="00617F86" w:rsidRPr="00D07766" w:rsidRDefault="00617F86" w:rsidP="006E55E9">
      <w:pPr>
        <w:spacing w:before="60" w:after="60" w:line="240" w:lineRule="auto"/>
        <w:ind w:right="-471"/>
        <w:jc w:val="both"/>
        <w:rPr>
          <w:rFonts w:asciiTheme="majorHAnsi" w:hAnsiTheme="majorHAnsi" w:cstheme="majorHAnsi"/>
          <w:color w:val="auto"/>
          <w:sz w:val="24"/>
          <w:szCs w:val="24"/>
        </w:rPr>
      </w:pPr>
      <w:r w:rsidRPr="00D07766">
        <w:rPr>
          <w:rFonts w:asciiTheme="majorHAnsi" w:hAnsiTheme="majorHAnsi" w:cstheme="majorHAnsi"/>
          <w:color w:val="auto"/>
          <w:sz w:val="24"/>
          <w:szCs w:val="24"/>
        </w:rPr>
        <w:t xml:space="preserve">Upravljanje procesom reforme javne uprave podrazumijeva efikasnu koordinacije u njenoj </w:t>
      </w:r>
      <w:r w:rsidR="00166526" w:rsidRPr="00D07766">
        <w:rPr>
          <w:rFonts w:asciiTheme="majorHAnsi" w:hAnsiTheme="majorHAnsi" w:cstheme="majorHAnsi"/>
          <w:color w:val="auto"/>
          <w:sz w:val="24"/>
          <w:szCs w:val="24"/>
        </w:rPr>
        <w:t>implemetaciji</w:t>
      </w:r>
      <w:r w:rsidRPr="00D07766">
        <w:rPr>
          <w:rFonts w:asciiTheme="majorHAnsi" w:hAnsiTheme="majorHAnsi" w:cstheme="majorHAnsi"/>
          <w:color w:val="auto"/>
          <w:sz w:val="24"/>
          <w:szCs w:val="24"/>
        </w:rPr>
        <w:t>, kao i efikas</w:t>
      </w:r>
      <w:r w:rsidR="00166526" w:rsidRPr="00D07766">
        <w:rPr>
          <w:rFonts w:asciiTheme="majorHAnsi" w:hAnsiTheme="majorHAnsi" w:cstheme="majorHAnsi"/>
          <w:color w:val="auto"/>
          <w:sz w:val="24"/>
          <w:szCs w:val="24"/>
        </w:rPr>
        <w:t xml:space="preserve">an </w:t>
      </w:r>
      <w:r w:rsidRPr="00D07766">
        <w:rPr>
          <w:rFonts w:asciiTheme="majorHAnsi" w:hAnsiTheme="majorHAnsi" w:cstheme="majorHAnsi"/>
          <w:color w:val="auto"/>
          <w:sz w:val="24"/>
          <w:szCs w:val="24"/>
        </w:rPr>
        <w:t xml:space="preserve"> načinu izvještavanja o rezultatima postignutim u implementacionom periodu.</w:t>
      </w:r>
    </w:p>
    <w:p w:rsidR="00617F86" w:rsidRPr="00D07766" w:rsidRDefault="00617F86" w:rsidP="006E55E9">
      <w:pPr>
        <w:spacing w:before="60" w:after="60" w:line="240" w:lineRule="auto"/>
        <w:ind w:right="-471"/>
        <w:jc w:val="both"/>
        <w:rPr>
          <w:rFonts w:asciiTheme="majorHAnsi" w:hAnsiTheme="majorHAnsi" w:cstheme="majorHAnsi"/>
          <w:color w:val="auto"/>
          <w:sz w:val="24"/>
          <w:szCs w:val="24"/>
        </w:rPr>
      </w:pPr>
      <w:r w:rsidRPr="00D07766">
        <w:rPr>
          <w:rFonts w:asciiTheme="majorHAnsi" w:hAnsiTheme="majorHAnsi" w:cstheme="majorHAnsi"/>
          <w:color w:val="auto"/>
          <w:sz w:val="24"/>
          <w:szCs w:val="24"/>
        </w:rPr>
        <w:t>U prethodnom periodu odn</w:t>
      </w:r>
      <w:r w:rsidR="00166526" w:rsidRPr="00D07766">
        <w:rPr>
          <w:rFonts w:asciiTheme="majorHAnsi" w:hAnsiTheme="majorHAnsi" w:cstheme="majorHAnsi"/>
          <w:color w:val="auto"/>
          <w:sz w:val="24"/>
          <w:szCs w:val="24"/>
        </w:rPr>
        <w:t>o</w:t>
      </w:r>
      <w:r w:rsidRPr="00D07766">
        <w:rPr>
          <w:rFonts w:asciiTheme="majorHAnsi" w:hAnsiTheme="majorHAnsi" w:cstheme="majorHAnsi"/>
          <w:color w:val="auto"/>
          <w:sz w:val="24"/>
          <w:szCs w:val="24"/>
        </w:rPr>
        <w:t>sno za vrijeme implem</w:t>
      </w:r>
      <w:r w:rsidR="006E55E9" w:rsidRPr="00D07766">
        <w:rPr>
          <w:rFonts w:asciiTheme="majorHAnsi" w:hAnsiTheme="majorHAnsi" w:cstheme="majorHAnsi"/>
          <w:color w:val="auto"/>
          <w:sz w:val="24"/>
          <w:szCs w:val="24"/>
        </w:rPr>
        <w:t>e</w:t>
      </w:r>
      <w:r w:rsidR="00166526" w:rsidRPr="00D07766">
        <w:rPr>
          <w:rFonts w:asciiTheme="majorHAnsi" w:hAnsiTheme="majorHAnsi" w:cstheme="majorHAnsi"/>
          <w:color w:val="auto"/>
          <w:sz w:val="24"/>
          <w:szCs w:val="24"/>
        </w:rPr>
        <w:t xml:space="preserve">ntacije </w:t>
      </w:r>
      <w:r w:rsidRPr="00D07766">
        <w:rPr>
          <w:rFonts w:asciiTheme="majorHAnsi" w:hAnsiTheme="majorHAnsi" w:cstheme="majorHAnsi"/>
          <w:color w:val="auto"/>
          <w:sz w:val="24"/>
          <w:szCs w:val="24"/>
        </w:rPr>
        <w:t xml:space="preserve"> Stra</w:t>
      </w:r>
      <w:r w:rsidR="00166526" w:rsidRPr="00D07766">
        <w:rPr>
          <w:rFonts w:asciiTheme="majorHAnsi" w:hAnsiTheme="majorHAnsi" w:cstheme="majorHAnsi"/>
          <w:color w:val="auto"/>
          <w:sz w:val="24"/>
          <w:szCs w:val="24"/>
        </w:rPr>
        <w:t>tegije</w:t>
      </w:r>
      <w:r w:rsidRPr="00D07766">
        <w:rPr>
          <w:rFonts w:asciiTheme="majorHAnsi" w:hAnsiTheme="majorHAnsi" w:cstheme="majorHAnsi"/>
          <w:color w:val="auto"/>
          <w:sz w:val="24"/>
          <w:szCs w:val="24"/>
        </w:rPr>
        <w:t xml:space="preserve"> refor</w:t>
      </w:r>
      <w:r w:rsidR="00166526" w:rsidRPr="00D07766">
        <w:rPr>
          <w:rFonts w:asciiTheme="majorHAnsi" w:hAnsiTheme="majorHAnsi" w:cstheme="majorHAnsi"/>
          <w:color w:val="auto"/>
          <w:sz w:val="24"/>
          <w:szCs w:val="24"/>
        </w:rPr>
        <w:t>me</w:t>
      </w:r>
      <w:r w:rsidRPr="00D07766">
        <w:rPr>
          <w:rFonts w:asciiTheme="majorHAnsi" w:hAnsiTheme="majorHAnsi" w:cstheme="majorHAnsi"/>
          <w:color w:val="auto"/>
          <w:sz w:val="24"/>
          <w:szCs w:val="24"/>
        </w:rPr>
        <w:t xml:space="preserve"> javne uprave 2016 -2020, uspostavljena je politička ko</w:t>
      </w:r>
      <w:r w:rsidR="00166526" w:rsidRPr="00D07766">
        <w:rPr>
          <w:rFonts w:asciiTheme="majorHAnsi" w:hAnsiTheme="majorHAnsi" w:cstheme="majorHAnsi"/>
          <w:color w:val="auto"/>
          <w:sz w:val="24"/>
          <w:szCs w:val="24"/>
        </w:rPr>
        <w:t>o</w:t>
      </w:r>
      <w:r w:rsidRPr="00D07766">
        <w:rPr>
          <w:rFonts w:asciiTheme="majorHAnsi" w:hAnsiTheme="majorHAnsi" w:cstheme="majorHAnsi"/>
          <w:color w:val="auto"/>
          <w:sz w:val="24"/>
          <w:szCs w:val="24"/>
        </w:rPr>
        <w:t>rdinacija</w:t>
      </w:r>
      <w:r w:rsidR="00166526" w:rsidRPr="00D07766">
        <w:rPr>
          <w:rFonts w:asciiTheme="majorHAnsi" w:hAnsiTheme="majorHAnsi" w:cstheme="majorHAnsi"/>
          <w:color w:val="auto"/>
          <w:sz w:val="24"/>
          <w:szCs w:val="24"/>
        </w:rPr>
        <w:t xml:space="preserve"> procesom</w:t>
      </w:r>
      <w:r w:rsidR="003A68EF">
        <w:rPr>
          <w:rFonts w:asciiTheme="majorHAnsi" w:hAnsiTheme="majorHAnsi" w:cstheme="majorHAnsi"/>
          <w:color w:val="auto"/>
          <w:sz w:val="24"/>
          <w:szCs w:val="24"/>
        </w:rPr>
        <w:t xml:space="preserve"> (</w:t>
      </w:r>
      <w:r w:rsidRPr="00D07766">
        <w:rPr>
          <w:rFonts w:asciiTheme="majorHAnsi" w:hAnsiTheme="majorHAnsi" w:cstheme="majorHAnsi"/>
          <w:color w:val="auto"/>
          <w:sz w:val="24"/>
          <w:szCs w:val="24"/>
        </w:rPr>
        <w:t>formiranjem Savjeta za reformu javne uprave) i kordinacija na admini</w:t>
      </w:r>
      <w:r w:rsidR="00166526" w:rsidRPr="00D07766">
        <w:rPr>
          <w:rFonts w:asciiTheme="majorHAnsi" w:hAnsiTheme="majorHAnsi" w:cstheme="majorHAnsi"/>
          <w:color w:val="auto"/>
          <w:sz w:val="24"/>
          <w:szCs w:val="24"/>
        </w:rPr>
        <w:t>strativnom</w:t>
      </w:r>
      <w:r w:rsidRPr="00D07766">
        <w:rPr>
          <w:rFonts w:asciiTheme="majorHAnsi" w:hAnsiTheme="majorHAnsi" w:cstheme="majorHAnsi"/>
          <w:color w:val="auto"/>
          <w:sz w:val="24"/>
          <w:szCs w:val="24"/>
        </w:rPr>
        <w:t xml:space="preserve"> nivou (</w:t>
      </w:r>
      <w:r w:rsidR="00166526" w:rsidRPr="00D07766">
        <w:rPr>
          <w:rFonts w:asciiTheme="majorHAnsi" w:hAnsiTheme="majorHAnsi" w:cstheme="majorHAnsi"/>
          <w:color w:val="auto"/>
          <w:sz w:val="24"/>
          <w:szCs w:val="24"/>
        </w:rPr>
        <w:t xml:space="preserve">ministarstvo javne uprave </w:t>
      </w:r>
      <w:r w:rsidRPr="00D07766">
        <w:rPr>
          <w:rFonts w:asciiTheme="majorHAnsi" w:hAnsiTheme="majorHAnsi" w:cstheme="majorHAnsi"/>
          <w:color w:val="auto"/>
          <w:sz w:val="24"/>
          <w:szCs w:val="24"/>
        </w:rPr>
        <w:t>i medjuresorski tim</w:t>
      </w:r>
      <w:r w:rsidR="00166526" w:rsidRPr="00D07766">
        <w:rPr>
          <w:rFonts w:asciiTheme="majorHAnsi" w:hAnsiTheme="majorHAnsi" w:cstheme="majorHAnsi"/>
          <w:color w:val="auto"/>
          <w:sz w:val="24"/>
          <w:szCs w:val="24"/>
        </w:rPr>
        <w:t xml:space="preserve"> za efikasnij</w:t>
      </w:r>
      <w:r w:rsidR="006E55E9" w:rsidRPr="00D07766">
        <w:rPr>
          <w:rFonts w:asciiTheme="majorHAnsi" w:hAnsiTheme="majorHAnsi" w:cstheme="majorHAnsi"/>
          <w:color w:val="auto"/>
          <w:sz w:val="24"/>
          <w:szCs w:val="24"/>
        </w:rPr>
        <w:t>u</w:t>
      </w:r>
      <w:r w:rsidR="00166526" w:rsidRPr="00D07766">
        <w:rPr>
          <w:rFonts w:asciiTheme="majorHAnsi" w:hAnsiTheme="majorHAnsi" w:cstheme="majorHAnsi"/>
          <w:color w:val="auto"/>
          <w:sz w:val="24"/>
          <w:szCs w:val="24"/>
        </w:rPr>
        <w:t xml:space="preserve"> implemetaciju Strategije</w:t>
      </w:r>
      <w:r w:rsidRPr="00D07766">
        <w:rPr>
          <w:rFonts w:asciiTheme="majorHAnsi" w:hAnsiTheme="majorHAnsi" w:cstheme="majorHAnsi"/>
          <w:color w:val="auto"/>
          <w:sz w:val="24"/>
          <w:szCs w:val="24"/>
        </w:rPr>
        <w:t>)</w:t>
      </w:r>
      <w:r w:rsidR="003A68EF">
        <w:rPr>
          <w:rFonts w:asciiTheme="majorHAnsi" w:hAnsiTheme="majorHAnsi" w:cstheme="majorHAnsi"/>
          <w:color w:val="auto"/>
          <w:sz w:val="24"/>
          <w:szCs w:val="24"/>
        </w:rPr>
        <w:t>.</w:t>
      </w:r>
    </w:p>
    <w:p w:rsidR="006231EE" w:rsidRPr="00F940E4" w:rsidRDefault="00617F86" w:rsidP="00153229">
      <w:pPr>
        <w:spacing w:before="60" w:after="60" w:line="240" w:lineRule="auto"/>
        <w:ind w:right="-471"/>
        <w:jc w:val="both"/>
        <w:rPr>
          <w:rFonts w:asciiTheme="majorHAnsi" w:hAnsiTheme="majorHAnsi" w:cstheme="majorHAnsi"/>
          <w:color w:val="auto"/>
          <w:sz w:val="24"/>
          <w:szCs w:val="24"/>
        </w:rPr>
      </w:pPr>
      <w:r w:rsidRPr="00F940E4">
        <w:rPr>
          <w:rFonts w:asciiTheme="majorHAnsi" w:hAnsiTheme="majorHAnsi" w:cstheme="majorHAnsi"/>
          <w:color w:val="auto"/>
          <w:sz w:val="24"/>
          <w:szCs w:val="24"/>
        </w:rPr>
        <w:t xml:space="preserve">U </w:t>
      </w:r>
      <w:r w:rsidR="003A68EF">
        <w:rPr>
          <w:rFonts w:asciiTheme="majorHAnsi" w:hAnsiTheme="majorHAnsi" w:cstheme="majorHAnsi"/>
          <w:color w:val="auto"/>
          <w:sz w:val="24"/>
          <w:szCs w:val="24"/>
        </w:rPr>
        <w:t>odnosu na rad Savjeta za reform</w:t>
      </w:r>
      <w:r w:rsidRPr="00F940E4">
        <w:rPr>
          <w:rFonts w:asciiTheme="majorHAnsi" w:hAnsiTheme="majorHAnsi" w:cstheme="majorHAnsi"/>
          <w:color w:val="auto"/>
          <w:sz w:val="24"/>
          <w:szCs w:val="24"/>
        </w:rPr>
        <w:t>u javne uprave,</w:t>
      </w:r>
      <w:r w:rsidR="00166526" w:rsidRPr="00F940E4">
        <w:rPr>
          <w:rFonts w:asciiTheme="majorHAnsi" w:hAnsiTheme="majorHAnsi" w:cstheme="majorHAnsi"/>
          <w:color w:val="auto"/>
          <w:sz w:val="24"/>
          <w:szCs w:val="24"/>
        </w:rPr>
        <w:t xml:space="preserve"> kao savjetodavnog tijela Vlade, koje je pružalo </w:t>
      </w:r>
      <w:r w:rsidR="003A68EF">
        <w:rPr>
          <w:rFonts w:asciiTheme="majorHAnsi" w:hAnsiTheme="majorHAnsi" w:cstheme="majorHAnsi"/>
          <w:color w:val="auto"/>
          <w:sz w:val="24"/>
          <w:szCs w:val="24"/>
        </w:rPr>
        <w:t>političku podršku procesu refor</w:t>
      </w:r>
      <w:r w:rsidR="00166526" w:rsidRPr="00F940E4">
        <w:rPr>
          <w:rFonts w:asciiTheme="majorHAnsi" w:hAnsiTheme="majorHAnsi" w:cstheme="majorHAnsi"/>
          <w:color w:val="auto"/>
          <w:sz w:val="24"/>
          <w:szCs w:val="24"/>
        </w:rPr>
        <w:t>me</w:t>
      </w:r>
      <w:r w:rsidRPr="00F940E4">
        <w:rPr>
          <w:rFonts w:asciiTheme="majorHAnsi" w:hAnsiTheme="majorHAnsi" w:cstheme="majorHAnsi"/>
          <w:color w:val="auto"/>
          <w:sz w:val="24"/>
          <w:szCs w:val="24"/>
        </w:rPr>
        <w:t>,</w:t>
      </w:r>
      <w:r w:rsidR="003A68EF">
        <w:rPr>
          <w:rFonts w:asciiTheme="majorHAnsi" w:hAnsiTheme="majorHAnsi" w:cstheme="majorHAnsi"/>
          <w:color w:val="auto"/>
          <w:sz w:val="24"/>
          <w:szCs w:val="24"/>
        </w:rPr>
        <w:t xml:space="preserve"> identifikovani</w:t>
      </w:r>
      <w:r w:rsidR="006231EE" w:rsidRPr="00F940E4">
        <w:rPr>
          <w:rFonts w:asciiTheme="majorHAnsi" w:hAnsiTheme="majorHAnsi" w:cstheme="majorHAnsi"/>
          <w:color w:val="auto"/>
          <w:sz w:val="24"/>
          <w:szCs w:val="24"/>
        </w:rPr>
        <w:t xml:space="preserve"> su</w:t>
      </w:r>
      <w:r w:rsidR="00F940E4">
        <w:rPr>
          <w:rFonts w:asciiTheme="majorHAnsi" w:hAnsiTheme="majorHAnsi" w:cstheme="majorHAnsi"/>
          <w:color w:val="auto"/>
          <w:sz w:val="24"/>
          <w:szCs w:val="24"/>
        </w:rPr>
        <w:t xml:space="preserve"> sledeći izazovi</w:t>
      </w:r>
      <w:r w:rsidRPr="00F940E4">
        <w:rPr>
          <w:rFonts w:asciiTheme="majorHAnsi" w:hAnsiTheme="majorHAnsi" w:cstheme="majorHAnsi"/>
          <w:color w:val="auto"/>
          <w:sz w:val="24"/>
          <w:szCs w:val="24"/>
        </w:rPr>
        <w:t>:</w:t>
      </w:r>
    </w:p>
    <w:p w:rsidR="006E55E9" w:rsidRDefault="00905CFA" w:rsidP="00153229">
      <w:pPr>
        <w:spacing w:before="60" w:after="60" w:line="240" w:lineRule="auto"/>
        <w:ind w:right="-471"/>
        <w:jc w:val="both"/>
        <w:rPr>
          <w:rFonts w:asciiTheme="majorHAnsi" w:hAnsiTheme="majorHAnsi" w:cstheme="majorHAnsi"/>
          <w:color w:val="auto"/>
          <w:sz w:val="24"/>
          <w:szCs w:val="24"/>
          <w:lang w:val="en-US"/>
        </w:rPr>
      </w:pPr>
      <w:r>
        <w:rPr>
          <w:rFonts w:asciiTheme="majorHAnsi" w:hAnsiTheme="majorHAnsi" w:cstheme="majorHAnsi"/>
          <w:noProof/>
          <w:color w:val="auto"/>
          <w:sz w:val="24"/>
          <w:szCs w:val="24"/>
          <w:lang w:eastAsia="sr-Latn-RS"/>
        </w:rPr>
        <w:drawing>
          <wp:anchor distT="0" distB="0" distL="114300" distR="114300" simplePos="0" relativeHeight="251896832" behindDoc="1" locked="0" layoutInCell="1" allowOverlap="1" wp14:anchorId="749BB046" wp14:editId="13C66970">
            <wp:simplePos x="0" y="0"/>
            <wp:positionH relativeFrom="margin">
              <wp:posOffset>450215</wp:posOffset>
            </wp:positionH>
            <wp:positionV relativeFrom="paragraph">
              <wp:posOffset>12065</wp:posOffset>
            </wp:positionV>
            <wp:extent cx="5177790" cy="2867025"/>
            <wp:effectExtent l="38100" t="0" r="60960" b="0"/>
            <wp:wrapTight wrapText="bothSides">
              <wp:wrapPolygon edited="0">
                <wp:start x="-159" y="2583"/>
                <wp:lineTo x="-159" y="18945"/>
                <wp:lineTo x="21775" y="18945"/>
                <wp:lineTo x="21775" y="2583"/>
                <wp:lineTo x="-159" y="2583"/>
              </wp:wrapPolygon>
            </wp:wrapTight>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anchor>
        </w:drawing>
      </w:r>
    </w:p>
    <w:p w:rsidR="006E55E9" w:rsidRDefault="006E55E9" w:rsidP="00153229">
      <w:pPr>
        <w:spacing w:before="60" w:after="60" w:line="240" w:lineRule="auto"/>
        <w:ind w:right="-471"/>
        <w:jc w:val="both"/>
        <w:rPr>
          <w:rFonts w:asciiTheme="majorHAnsi" w:hAnsiTheme="majorHAnsi" w:cstheme="majorHAnsi"/>
          <w:color w:val="auto"/>
          <w:sz w:val="24"/>
          <w:szCs w:val="24"/>
          <w:lang w:val="en-US"/>
        </w:rPr>
      </w:pPr>
    </w:p>
    <w:p w:rsidR="006E55E9" w:rsidRPr="00CB681C" w:rsidRDefault="006E55E9" w:rsidP="00153229">
      <w:pPr>
        <w:spacing w:before="60" w:after="60" w:line="240" w:lineRule="auto"/>
        <w:ind w:right="-471"/>
        <w:jc w:val="both"/>
        <w:rPr>
          <w:rFonts w:asciiTheme="majorHAnsi" w:hAnsiTheme="majorHAnsi" w:cstheme="majorHAnsi"/>
          <w:color w:val="auto"/>
          <w:sz w:val="24"/>
          <w:szCs w:val="24"/>
          <w:lang w:val="en-US"/>
        </w:rPr>
      </w:pPr>
    </w:p>
    <w:p w:rsidR="00EC2F84" w:rsidRPr="00CB681C" w:rsidRDefault="00EC2F84" w:rsidP="00153229">
      <w:pPr>
        <w:spacing w:before="60" w:after="60" w:line="240" w:lineRule="auto"/>
        <w:ind w:right="-471"/>
        <w:jc w:val="both"/>
        <w:rPr>
          <w:rFonts w:asciiTheme="majorHAnsi" w:hAnsiTheme="majorHAnsi" w:cstheme="majorHAnsi"/>
          <w:color w:val="auto"/>
          <w:sz w:val="24"/>
          <w:szCs w:val="24"/>
          <w:lang w:val="en-US"/>
        </w:rPr>
      </w:pPr>
    </w:p>
    <w:p w:rsidR="00617F86" w:rsidRDefault="00617F86" w:rsidP="00153229">
      <w:pPr>
        <w:spacing w:before="60" w:after="60" w:line="240" w:lineRule="auto"/>
        <w:ind w:right="-471"/>
        <w:jc w:val="both"/>
        <w:rPr>
          <w:rFonts w:asciiTheme="majorHAnsi" w:hAnsiTheme="majorHAnsi" w:cstheme="majorHAnsi"/>
          <w:color w:val="auto"/>
          <w:sz w:val="24"/>
          <w:szCs w:val="24"/>
        </w:rPr>
      </w:pPr>
    </w:p>
    <w:p w:rsidR="00905CFA" w:rsidRDefault="00905CFA" w:rsidP="00153229">
      <w:pPr>
        <w:spacing w:before="60" w:after="60" w:line="240" w:lineRule="auto"/>
        <w:ind w:right="-471"/>
        <w:jc w:val="both"/>
        <w:rPr>
          <w:rFonts w:asciiTheme="majorHAnsi" w:hAnsiTheme="majorHAnsi" w:cstheme="majorHAnsi"/>
          <w:color w:val="auto"/>
          <w:sz w:val="24"/>
          <w:szCs w:val="24"/>
        </w:rPr>
      </w:pPr>
    </w:p>
    <w:p w:rsidR="00905CFA" w:rsidRDefault="00905CFA" w:rsidP="00153229">
      <w:pPr>
        <w:spacing w:before="60" w:after="60" w:line="240" w:lineRule="auto"/>
        <w:ind w:right="-471"/>
        <w:jc w:val="both"/>
        <w:rPr>
          <w:rFonts w:asciiTheme="majorHAnsi" w:hAnsiTheme="majorHAnsi" w:cstheme="majorHAnsi"/>
          <w:color w:val="auto"/>
          <w:sz w:val="24"/>
          <w:szCs w:val="24"/>
        </w:rPr>
      </w:pPr>
    </w:p>
    <w:p w:rsidR="00905CFA" w:rsidRDefault="00905CFA" w:rsidP="00153229">
      <w:pPr>
        <w:spacing w:before="60" w:after="60" w:line="240" w:lineRule="auto"/>
        <w:ind w:right="-471"/>
        <w:jc w:val="both"/>
        <w:rPr>
          <w:rFonts w:asciiTheme="majorHAnsi" w:hAnsiTheme="majorHAnsi" w:cstheme="majorHAnsi"/>
          <w:color w:val="auto"/>
          <w:sz w:val="24"/>
          <w:szCs w:val="24"/>
        </w:rPr>
      </w:pPr>
    </w:p>
    <w:p w:rsidR="00905CFA" w:rsidRDefault="00905CFA" w:rsidP="00153229">
      <w:pPr>
        <w:spacing w:before="60" w:after="60" w:line="240" w:lineRule="auto"/>
        <w:ind w:right="-471"/>
        <w:jc w:val="both"/>
        <w:rPr>
          <w:rFonts w:asciiTheme="majorHAnsi" w:hAnsiTheme="majorHAnsi" w:cstheme="majorHAnsi"/>
          <w:color w:val="auto"/>
          <w:sz w:val="24"/>
          <w:szCs w:val="24"/>
        </w:rPr>
      </w:pPr>
    </w:p>
    <w:p w:rsidR="00905CFA" w:rsidRDefault="00905CFA" w:rsidP="00153229">
      <w:pPr>
        <w:spacing w:before="60" w:after="60" w:line="240" w:lineRule="auto"/>
        <w:ind w:right="-471"/>
        <w:jc w:val="both"/>
        <w:rPr>
          <w:rFonts w:asciiTheme="majorHAnsi" w:hAnsiTheme="majorHAnsi" w:cstheme="majorHAnsi"/>
          <w:color w:val="auto"/>
          <w:sz w:val="24"/>
          <w:szCs w:val="24"/>
        </w:rPr>
      </w:pPr>
    </w:p>
    <w:p w:rsidR="00905CFA" w:rsidRDefault="00905CFA" w:rsidP="00153229">
      <w:pPr>
        <w:spacing w:before="60" w:after="60" w:line="240" w:lineRule="auto"/>
        <w:ind w:right="-471"/>
        <w:jc w:val="both"/>
        <w:rPr>
          <w:rFonts w:asciiTheme="majorHAnsi" w:hAnsiTheme="majorHAnsi" w:cstheme="majorHAnsi"/>
          <w:color w:val="auto"/>
          <w:sz w:val="24"/>
          <w:szCs w:val="24"/>
        </w:rPr>
      </w:pPr>
    </w:p>
    <w:p w:rsidR="00905CFA" w:rsidRDefault="00905CFA" w:rsidP="00153229">
      <w:pPr>
        <w:spacing w:before="60" w:after="60" w:line="240" w:lineRule="auto"/>
        <w:ind w:right="-471"/>
        <w:jc w:val="both"/>
        <w:rPr>
          <w:rFonts w:asciiTheme="majorHAnsi" w:hAnsiTheme="majorHAnsi" w:cstheme="majorHAnsi"/>
          <w:color w:val="auto"/>
          <w:sz w:val="24"/>
          <w:szCs w:val="24"/>
        </w:rPr>
      </w:pPr>
    </w:p>
    <w:p w:rsidR="0090165A" w:rsidRPr="00CB681C" w:rsidRDefault="00166526" w:rsidP="00153229">
      <w:pPr>
        <w:spacing w:before="60" w:after="60" w:line="240" w:lineRule="auto"/>
        <w:ind w:right="-471"/>
        <w:jc w:val="both"/>
        <w:rPr>
          <w:rFonts w:asciiTheme="majorHAnsi" w:hAnsiTheme="majorHAnsi" w:cstheme="majorHAnsi"/>
          <w:color w:val="auto"/>
          <w:sz w:val="24"/>
          <w:szCs w:val="24"/>
        </w:rPr>
      </w:pPr>
      <w:r>
        <w:rPr>
          <w:rFonts w:asciiTheme="majorHAnsi" w:hAnsiTheme="majorHAnsi" w:cstheme="majorHAnsi"/>
          <w:color w:val="auto"/>
          <w:sz w:val="24"/>
          <w:szCs w:val="24"/>
        </w:rPr>
        <w:t>Sa druge strane,</w:t>
      </w:r>
      <w:r w:rsidR="0090165A" w:rsidRPr="00CB681C">
        <w:rPr>
          <w:rFonts w:asciiTheme="majorHAnsi" w:hAnsiTheme="majorHAnsi" w:cstheme="majorHAnsi"/>
          <w:color w:val="auto"/>
          <w:sz w:val="24"/>
          <w:szCs w:val="24"/>
        </w:rPr>
        <w:t xml:space="preserve"> </w:t>
      </w:r>
      <w:r w:rsidR="0090165A" w:rsidRPr="00CB681C">
        <w:rPr>
          <w:rFonts w:asciiTheme="majorHAnsi" w:hAnsiTheme="majorHAnsi" w:cstheme="majorHAnsi"/>
          <w:b/>
          <w:color w:val="auto"/>
          <w:sz w:val="24"/>
          <w:szCs w:val="24"/>
        </w:rPr>
        <w:t>Kordinacioni tim za efikasniju implementaciju</w:t>
      </w:r>
      <w:r>
        <w:rPr>
          <w:rFonts w:asciiTheme="majorHAnsi" w:hAnsiTheme="majorHAnsi" w:cstheme="majorHAnsi"/>
          <w:color w:val="auto"/>
          <w:sz w:val="24"/>
          <w:szCs w:val="24"/>
        </w:rPr>
        <w:t xml:space="preserve"> </w:t>
      </w:r>
      <w:r w:rsidR="0090165A" w:rsidRPr="00CB681C">
        <w:rPr>
          <w:rFonts w:asciiTheme="majorHAnsi" w:hAnsiTheme="majorHAnsi" w:cstheme="majorHAnsi"/>
          <w:color w:val="auto"/>
          <w:sz w:val="24"/>
          <w:szCs w:val="24"/>
        </w:rPr>
        <w:t>je bio sastavljen od kontakt osoba iz svih institucija koje su bile nosilac aktivnosti</w:t>
      </w:r>
      <w:r>
        <w:rPr>
          <w:rFonts w:asciiTheme="majorHAnsi" w:hAnsiTheme="majorHAnsi" w:cstheme="majorHAnsi"/>
          <w:color w:val="auto"/>
          <w:sz w:val="24"/>
          <w:szCs w:val="24"/>
        </w:rPr>
        <w:t xml:space="preserve"> i ujedno kontakt osobe za dostavljanje podataka o stepenu ostvrrnosti planiranih indiaktora i igrao je značajnu ulogu u praćenju i monitoringu procesa reforem javne uprave.</w:t>
      </w:r>
      <w:r w:rsidR="0090165A" w:rsidRPr="00CB681C">
        <w:rPr>
          <w:rFonts w:asciiTheme="majorHAnsi" w:hAnsiTheme="majorHAnsi" w:cstheme="majorHAnsi"/>
          <w:color w:val="auto"/>
          <w:sz w:val="24"/>
          <w:szCs w:val="24"/>
        </w:rPr>
        <w:t xml:space="preserve">. </w:t>
      </w:r>
      <w:r w:rsidR="009619EA" w:rsidRPr="00CB681C">
        <w:rPr>
          <w:rFonts w:asciiTheme="majorHAnsi" w:hAnsiTheme="majorHAnsi" w:cstheme="majorHAnsi"/>
          <w:color w:val="auto"/>
          <w:sz w:val="24"/>
          <w:szCs w:val="24"/>
        </w:rPr>
        <w:t>Međ</w:t>
      </w:r>
      <w:r w:rsidR="0090165A" w:rsidRPr="00CB681C">
        <w:rPr>
          <w:rFonts w:asciiTheme="majorHAnsi" w:hAnsiTheme="majorHAnsi" w:cstheme="majorHAnsi"/>
          <w:color w:val="auto"/>
          <w:sz w:val="24"/>
          <w:szCs w:val="24"/>
        </w:rPr>
        <w:t xml:space="preserve">utim, ono što je izostalo je što nije osnažen navedeni </w:t>
      </w:r>
      <w:r w:rsidR="009619EA" w:rsidRPr="00CB681C">
        <w:rPr>
          <w:rFonts w:asciiTheme="majorHAnsi" w:hAnsiTheme="majorHAnsi" w:cstheme="majorHAnsi"/>
          <w:color w:val="auto"/>
          <w:sz w:val="24"/>
          <w:szCs w:val="24"/>
        </w:rPr>
        <w:t>tim u smislu dodatnih edukacije i</w:t>
      </w:r>
      <w:r w:rsidR="0090165A" w:rsidRPr="00CB681C">
        <w:rPr>
          <w:rFonts w:asciiTheme="majorHAnsi" w:hAnsiTheme="majorHAnsi" w:cstheme="majorHAnsi"/>
          <w:color w:val="auto"/>
          <w:sz w:val="24"/>
          <w:szCs w:val="24"/>
        </w:rPr>
        <w:t xml:space="preserve"> dodatne finasijske podrške imajući u vidu činje</w:t>
      </w:r>
      <w:r w:rsidR="009619EA" w:rsidRPr="00CB681C">
        <w:rPr>
          <w:rFonts w:asciiTheme="majorHAnsi" w:hAnsiTheme="majorHAnsi" w:cstheme="majorHAnsi"/>
          <w:color w:val="auto"/>
          <w:sz w:val="24"/>
          <w:szCs w:val="24"/>
        </w:rPr>
        <w:t>nicu da su ovo dodatni po</w:t>
      </w:r>
      <w:r w:rsidR="0090165A" w:rsidRPr="00CB681C">
        <w:rPr>
          <w:rFonts w:asciiTheme="majorHAnsi" w:hAnsiTheme="majorHAnsi" w:cstheme="majorHAnsi"/>
          <w:color w:val="auto"/>
          <w:sz w:val="24"/>
          <w:szCs w:val="24"/>
        </w:rPr>
        <w:t>s</w:t>
      </w:r>
      <w:r w:rsidR="009619EA" w:rsidRPr="00CB681C">
        <w:rPr>
          <w:rFonts w:asciiTheme="majorHAnsi" w:hAnsiTheme="majorHAnsi" w:cstheme="majorHAnsi"/>
          <w:color w:val="auto"/>
          <w:sz w:val="24"/>
          <w:szCs w:val="24"/>
        </w:rPr>
        <w:t>l</w:t>
      </w:r>
      <w:r w:rsidR="0090165A" w:rsidRPr="00CB681C">
        <w:rPr>
          <w:rFonts w:asciiTheme="majorHAnsi" w:hAnsiTheme="majorHAnsi" w:cstheme="majorHAnsi"/>
          <w:color w:val="auto"/>
          <w:sz w:val="24"/>
          <w:szCs w:val="24"/>
        </w:rPr>
        <w:t>ovi u njihovom angažova</w:t>
      </w:r>
      <w:r w:rsidR="009619EA" w:rsidRPr="00CB681C">
        <w:rPr>
          <w:rFonts w:asciiTheme="majorHAnsi" w:hAnsiTheme="majorHAnsi" w:cstheme="majorHAnsi"/>
          <w:color w:val="auto"/>
          <w:sz w:val="24"/>
          <w:szCs w:val="24"/>
        </w:rPr>
        <w:t>nju, kao i</w:t>
      </w:r>
      <w:r w:rsidR="0090165A" w:rsidRPr="00CB681C">
        <w:rPr>
          <w:rFonts w:asciiTheme="majorHAnsi" w:hAnsiTheme="majorHAnsi" w:cstheme="majorHAnsi"/>
          <w:color w:val="auto"/>
          <w:sz w:val="24"/>
          <w:szCs w:val="24"/>
        </w:rPr>
        <w:t xml:space="preserve"> da nije uspostavljena </w:t>
      </w:r>
      <w:r w:rsidR="009619EA" w:rsidRPr="00CB681C">
        <w:rPr>
          <w:rFonts w:asciiTheme="majorHAnsi" w:hAnsiTheme="majorHAnsi" w:cstheme="majorHAnsi"/>
          <w:color w:val="auto"/>
          <w:sz w:val="24"/>
          <w:szCs w:val="24"/>
        </w:rPr>
        <w:t>bolja</w:t>
      </w:r>
      <w:r w:rsidR="0090165A" w:rsidRPr="00CB681C">
        <w:rPr>
          <w:rFonts w:asciiTheme="majorHAnsi" w:hAnsiTheme="majorHAnsi" w:cstheme="majorHAnsi"/>
          <w:color w:val="auto"/>
          <w:sz w:val="24"/>
          <w:szCs w:val="24"/>
        </w:rPr>
        <w:t xml:space="preserve"> veza </w:t>
      </w:r>
      <w:r w:rsidR="009619EA" w:rsidRPr="00CB681C">
        <w:rPr>
          <w:rFonts w:asciiTheme="majorHAnsi" w:hAnsiTheme="majorHAnsi" w:cstheme="majorHAnsi"/>
          <w:color w:val="auto"/>
          <w:sz w:val="24"/>
          <w:szCs w:val="24"/>
        </w:rPr>
        <w:t>izmeđ</w:t>
      </w:r>
      <w:r w:rsidR="0090165A" w:rsidRPr="00CB681C">
        <w:rPr>
          <w:rFonts w:asciiTheme="majorHAnsi" w:hAnsiTheme="majorHAnsi" w:cstheme="majorHAnsi"/>
          <w:color w:val="auto"/>
          <w:sz w:val="24"/>
          <w:szCs w:val="24"/>
        </w:rPr>
        <w:t>u rada operativnog tijela i rada Savjeta za reformu javne uprave</w:t>
      </w:r>
      <w:r w:rsidR="009619EA" w:rsidRPr="00CB681C">
        <w:rPr>
          <w:rFonts w:asciiTheme="majorHAnsi" w:hAnsiTheme="majorHAnsi" w:cstheme="majorHAnsi"/>
          <w:color w:val="auto"/>
          <w:sz w:val="24"/>
          <w:szCs w:val="24"/>
        </w:rPr>
        <w:t>,</w:t>
      </w:r>
      <w:r w:rsidR="0090165A" w:rsidRPr="00CB681C">
        <w:rPr>
          <w:rFonts w:asciiTheme="majorHAnsi" w:hAnsiTheme="majorHAnsi" w:cstheme="majorHAnsi"/>
          <w:color w:val="auto"/>
          <w:sz w:val="24"/>
          <w:szCs w:val="24"/>
        </w:rPr>
        <w:t xml:space="preserve"> odnosno Savjet je bio upoznat sa ra</w:t>
      </w:r>
      <w:r w:rsidR="009619EA" w:rsidRPr="00CB681C">
        <w:rPr>
          <w:rFonts w:asciiTheme="majorHAnsi" w:hAnsiTheme="majorHAnsi" w:cstheme="majorHAnsi"/>
          <w:color w:val="auto"/>
          <w:sz w:val="24"/>
          <w:szCs w:val="24"/>
        </w:rPr>
        <w:t>d</w:t>
      </w:r>
      <w:r w:rsidR="0090165A" w:rsidRPr="00CB681C">
        <w:rPr>
          <w:rFonts w:asciiTheme="majorHAnsi" w:hAnsiTheme="majorHAnsi" w:cstheme="majorHAnsi"/>
          <w:color w:val="auto"/>
          <w:sz w:val="24"/>
          <w:szCs w:val="24"/>
        </w:rPr>
        <w:t>om operativnog nivoa samo na osnovu jedne informacije o njegov</w:t>
      </w:r>
      <w:r>
        <w:rPr>
          <w:rFonts w:asciiTheme="majorHAnsi" w:hAnsiTheme="majorHAnsi" w:cstheme="majorHAnsi"/>
          <w:color w:val="auto"/>
          <w:sz w:val="24"/>
          <w:szCs w:val="24"/>
        </w:rPr>
        <w:t>o</w:t>
      </w:r>
      <w:r w:rsidR="0090165A" w:rsidRPr="00CB681C">
        <w:rPr>
          <w:rFonts w:asciiTheme="majorHAnsi" w:hAnsiTheme="majorHAnsi" w:cstheme="majorHAnsi"/>
          <w:color w:val="auto"/>
          <w:sz w:val="24"/>
          <w:szCs w:val="24"/>
        </w:rPr>
        <w:t xml:space="preserve">m radu. </w:t>
      </w:r>
    </w:p>
    <w:p w:rsidR="0090165A" w:rsidRPr="00CB681C" w:rsidRDefault="0090165A" w:rsidP="00153229">
      <w:pPr>
        <w:spacing w:before="60" w:after="60" w:line="240" w:lineRule="auto"/>
        <w:ind w:right="-471"/>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Imajući u vidu </w:t>
      </w:r>
      <w:r w:rsidR="0089057A" w:rsidRPr="00CB681C">
        <w:rPr>
          <w:rFonts w:asciiTheme="majorHAnsi" w:hAnsiTheme="majorHAnsi" w:cstheme="majorHAnsi"/>
          <w:color w:val="auto"/>
          <w:sz w:val="24"/>
          <w:szCs w:val="24"/>
        </w:rPr>
        <w:t>nauč</w:t>
      </w:r>
      <w:r w:rsidR="00027851" w:rsidRPr="00CB681C">
        <w:rPr>
          <w:rFonts w:asciiTheme="majorHAnsi" w:hAnsiTheme="majorHAnsi" w:cstheme="majorHAnsi"/>
          <w:color w:val="auto"/>
          <w:sz w:val="24"/>
          <w:szCs w:val="24"/>
        </w:rPr>
        <w:t xml:space="preserve">ene </w:t>
      </w:r>
      <w:r w:rsidR="009619EA" w:rsidRPr="00CB681C">
        <w:rPr>
          <w:rFonts w:asciiTheme="majorHAnsi" w:hAnsiTheme="majorHAnsi" w:cstheme="majorHAnsi"/>
          <w:color w:val="auto"/>
          <w:sz w:val="24"/>
          <w:szCs w:val="24"/>
        </w:rPr>
        <w:t xml:space="preserve">lekcije iz predhodnog iskustva u </w:t>
      </w:r>
      <w:r w:rsidR="0089057A" w:rsidRPr="00CB681C">
        <w:rPr>
          <w:rFonts w:asciiTheme="majorHAnsi" w:hAnsiTheme="majorHAnsi" w:cstheme="majorHAnsi"/>
          <w:color w:val="auto"/>
          <w:sz w:val="24"/>
          <w:szCs w:val="24"/>
        </w:rPr>
        <w:t xml:space="preserve">praćenju sprovođenja strategije, </w:t>
      </w:r>
      <w:r w:rsidR="009619EA" w:rsidRPr="00CB681C">
        <w:rPr>
          <w:rFonts w:asciiTheme="majorHAnsi" w:hAnsiTheme="majorHAnsi" w:cstheme="majorHAnsi"/>
          <w:color w:val="auto"/>
          <w:sz w:val="24"/>
          <w:szCs w:val="24"/>
        </w:rPr>
        <w:t xml:space="preserve">ali prije svega izvještavanju i evaluaciji </w:t>
      </w:r>
      <w:r w:rsidR="0089057A" w:rsidRPr="00CB681C">
        <w:rPr>
          <w:rFonts w:asciiTheme="majorHAnsi" w:hAnsiTheme="majorHAnsi" w:cstheme="majorHAnsi"/>
          <w:color w:val="auto"/>
          <w:sz w:val="24"/>
          <w:szCs w:val="24"/>
        </w:rPr>
        <w:t>str</w:t>
      </w:r>
      <w:r w:rsidR="00905CFA">
        <w:rPr>
          <w:rFonts w:asciiTheme="majorHAnsi" w:hAnsiTheme="majorHAnsi" w:cstheme="majorHAnsi"/>
          <w:color w:val="auto"/>
          <w:sz w:val="24"/>
          <w:szCs w:val="24"/>
        </w:rPr>
        <w:t>a</w:t>
      </w:r>
      <w:r w:rsidR="0089057A" w:rsidRPr="00CB681C">
        <w:rPr>
          <w:rFonts w:asciiTheme="majorHAnsi" w:hAnsiTheme="majorHAnsi" w:cstheme="majorHAnsi"/>
          <w:color w:val="auto"/>
          <w:sz w:val="24"/>
          <w:szCs w:val="24"/>
        </w:rPr>
        <w:t xml:space="preserve">teških i operativnih ciljeva, sa ciljem uspostavljanja efikasnog procesa implementacije Strategije 2022 – 2026 </w:t>
      </w:r>
      <w:r w:rsidRPr="00CB681C">
        <w:rPr>
          <w:rFonts w:asciiTheme="majorHAnsi" w:hAnsiTheme="majorHAnsi" w:cstheme="majorHAnsi"/>
          <w:color w:val="auto"/>
          <w:sz w:val="24"/>
          <w:szCs w:val="24"/>
        </w:rPr>
        <w:t>potrebno je:</w:t>
      </w:r>
    </w:p>
    <w:p w:rsidR="0089057A" w:rsidRPr="00CB681C" w:rsidRDefault="0090165A" w:rsidP="00B43D4E">
      <w:pPr>
        <w:numPr>
          <w:ilvl w:val="0"/>
          <w:numId w:val="40"/>
        </w:numPr>
        <w:spacing w:before="60" w:after="60" w:line="240" w:lineRule="auto"/>
        <w:ind w:right="-471"/>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lastRenderedPageBreak/>
        <w:t>Unaprijediti rad Savjeta za reform</w:t>
      </w:r>
      <w:r w:rsidR="00023F33" w:rsidRPr="00CB681C">
        <w:rPr>
          <w:rFonts w:asciiTheme="majorHAnsi" w:hAnsiTheme="majorHAnsi" w:cstheme="majorHAnsi"/>
          <w:color w:val="auto"/>
          <w:sz w:val="24"/>
          <w:szCs w:val="24"/>
        </w:rPr>
        <w:t>u</w:t>
      </w:r>
      <w:r w:rsidRPr="00CB681C">
        <w:rPr>
          <w:rFonts w:asciiTheme="majorHAnsi" w:hAnsiTheme="majorHAnsi" w:cstheme="majorHAnsi"/>
          <w:color w:val="auto"/>
          <w:sz w:val="24"/>
          <w:szCs w:val="24"/>
        </w:rPr>
        <w:t xml:space="preserve"> javne uprave. Administrativno tehnička podrš</w:t>
      </w:r>
      <w:r w:rsidR="0089057A" w:rsidRPr="00CB681C">
        <w:rPr>
          <w:rFonts w:asciiTheme="majorHAnsi" w:hAnsiTheme="majorHAnsi" w:cstheme="majorHAnsi"/>
          <w:color w:val="auto"/>
          <w:sz w:val="24"/>
          <w:szCs w:val="24"/>
        </w:rPr>
        <w:t>k</w:t>
      </w:r>
      <w:r w:rsidRPr="00CB681C">
        <w:rPr>
          <w:rFonts w:asciiTheme="majorHAnsi" w:hAnsiTheme="majorHAnsi" w:cstheme="majorHAnsi"/>
          <w:color w:val="auto"/>
          <w:sz w:val="24"/>
          <w:szCs w:val="24"/>
        </w:rPr>
        <w:t xml:space="preserve">a Savjetu </w:t>
      </w:r>
      <w:r w:rsidR="0089057A" w:rsidRPr="00CB681C">
        <w:rPr>
          <w:rFonts w:asciiTheme="majorHAnsi" w:hAnsiTheme="majorHAnsi" w:cstheme="majorHAnsi"/>
          <w:color w:val="auto"/>
          <w:sz w:val="24"/>
          <w:szCs w:val="24"/>
        </w:rPr>
        <w:t>mora biti</w:t>
      </w:r>
      <w:r w:rsidRPr="00CB681C">
        <w:rPr>
          <w:rFonts w:asciiTheme="majorHAnsi" w:hAnsiTheme="majorHAnsi" w:cstheme="majorHAnsi"/>
          <w:color w:val="auto"/>
          <w:sz w:val="24"/>
          <w:szCs w:val="24"/>
        </w:rPr>
        <w:t xml:space="preserve"> efikasnije u smislu bolje pripreme materijala, zaključaka i sjednica Savjeta</w:t>
      </w:r>
      <w:r w:rsidR="0089057A" w:rsidRPr="00CB681C">
        <w:rPr>
          <w:rFonts w:asciiTheme="majorHAnsi" w:hAnsiTheme="majorHAnsi" w:cstheme="majorHAnsi"/>
          <w:color w:val="auto"/>
          <w:sz w:val="24"/>
          <w:szCs w:val="24"/>
        </w:rPr>
        <w:t>, te dostavljanju vjerodostonih prikupljenih informacija</w:t>
      </w:r>
    </w:p>
    <w:p w:rsidR="0089057A" w:rsidRPr="00CB681C" w:rsidRDefault="0089057A" w:rsidP="00B43D4E">
      <w:pPr>
        <w:numPr>
          <w:ilvl w:val="0"/>
          <w:numId w:val="40"/>
        </w:numPr>
        <w:spacing w:before="60" w:after="60" w:line="240" w:lineRule="auto"/>
        <w:ind w:right="-471"/>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Učiniti rad </w:t>
      </w:r>
      <w:r w:rsidR="0090165A" w:rsidRPr="00CB681C">
        <w:rPr>
          <w:rFonts w:asciiTheme="majorHAnsi" w:hAnsiTheme="majorHAnsi" w:cstheme="majorHAnsi"/>
          <w:color w:val="auto"/>
          <w:sz w:val="24"/>
          <w:szCs w:val="24"/>
        </w:rPr>
        <w:t>Savjeta proaktivniji</w:t>
      </w:r>
      <w:r w:rsidR="00023F33" w:rsidRPr="00CB681C">
        <w:rPr>
          <w:rFonts w:asciiTheme="majorHAnsi" w:hAnsiTheme="majorHAnsi" w:cstheme="majorHAnsi"/>
          <w:color w:val="auto"/>
          <w:sz w:val="24"/>
          <w:szCs w:val="24"/>
        </w:rPr>
        <w:t>m</w:t>
      </w:r>
      <w:r w:rsidR="0090165A" w:rsidRPr="00CB681C">
        <w:rPr>
          <w:rFonts w:asciiTheme="majorHAnsi" w:hAnsiTheme="majorHAnsi" w:cstheme="majorHAnsi"/>
          <w:color w:val="auto"/>
          <w:sz w:val="24"/>
          <w:szCs w:val="24"/>
        </w:rPr>
        <w:t xml:space="preserve"> i uz veću uključenost svih zainteresovanih strana što podrazumijeva i jačanje kapaciteta u pogledu administr</w:t>
      </w:r>
      <w:r w:rsidRPr="00CB681C">
        <w:rPr>
          <w:rFonts w:asciiTheme="majorHAnsi" w:hAnsiTheme="majorHAnsi" w:cstheme="majorHAnsi"/>
          <w:color w:val="auto"/>
          <w:sz w:val="24"/>
          <w:szCs w:val="24"/>
        </w:rPr>
        <w:t>ativno tehničke podrš</w:t>
      </w:r>
      <w:r w:rsidR="00905CFA">
        <w:rPr>
          <w:rFonts w:asciiTheme="majorHAnsi" w:hAnsiTheme="majorHAnsi" w:cstheme="majorHAnsi"/>
          <w:color w:val="auto"/>
          <w:sz w:val="24"/>
          <w:szCs w:val="24"/>
        </w:rPr>
        <w:t>k</w:t>
      </w:r>
      <w:r w:rsidRPr="00CB681C">
        <w:rPr>
          <w:rFonts w:asciiTheme="majorHAnsi" w:hAnsiTheme="majorHAnsi" w:cstheme="majorHAnsi"/>
          <w:color w:val="auto"/>
          <w:sz w:val="24"/>
          <w:szCs w:val="24"/>
        </w:rPr>
        <w:t>e Savjetu</w:t>
      </w:r>
    </w:p>
    <w:p w:rsidR="0090165A" w:rsidRPr="00CB681C" w:rsidRDefault="0090165A" w:rsidP="00B43D4E">
      <w:pPr>
        <w:numPr>
          <w:ilvl w:val="0"/>
          <w:numId w:val="40"/>
        </w:numPr>
        <w:spacing w:before="60" w:after="60" w:line="240" w:lineRule="auto"/>
        <w:ind w:right="-471"/>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Obezbijedit</w:t>
      </w:r>
      <w:r w:rsidR="00023F33" w:rsidRPr="00CB681C">
        <w:rPr>
          <w:rFonts w:asciiTheme="majorHAnsi" w:hAnsiTheme="majorHAnsi" w:cstheme="majorHAnsi"/>
          <w:color w:val="auto"/>
          <w:sz w:val="24"/>
          <w:szCs w:val="24"/>
        </w:rPr>
        <w:t>i</w:t>
      </w:r>
      <w:r w:rsidRPr="00CB681C">
        <w:rPr>
          <w:rFonts w:asciiTheme="majorHAnsi" w:hAnsiTheme="majorHAnsi" w:cstheme="majorHAnsi"/>
          <w:color w:val="auto"/>
          <w:sz w:val="24"/>
          <w:szCs w:val="24"/>
        </w:rPr>
        <w:t xml:space="preserve"> veću transparetnost u radu Savjeta </w:t>
      </w:r>
      <w:r w:rsidR="0089057A" w:rsidRPr="00CB681C">
        <w:rPr>
          <w:rFonts w:asciiTheme="majorHAnsi" w:hAnsiTheme="majorHAnsi" w:cstheme="majorHAnsi"/>
          <w:color w:val="auto"/>
          <w:sz w:val="24"/>
          <w:szCs w:val="24"/>
        </w:rPr>
        <w:t>kako bi</w:t>
      </w:r>
      <w:r w:rsidRPr="00CB681C">
        <w:rPr>
          <w:rFonts w:asciiTheme="majorHAnsi" w:hAnsiTheme="majorHAnsi" w:cstheme="majorHAnsi"/>
          <w:color w:val="auto"/>
          <w:sz w:val="24"/>
          <w:szCs w:val="24"/>
        </w:rPr>
        <w:t xml:space="preserve"> Savjet b</w:t>
      </w:r>
      <w:r w:rsidR="0089057A" w:rsidRPr="00CB681C">
        <w:rPr>
          <w:rFonts w:asciiTheme="majorHAnsi" w:hAnsiTheme="majorHAnsi" w:cstheme="majorHAnsi"/>
          <w:color w:val="auto"/>
          <w:sz w:val="24"/>
          <w:szCs w:val="24"/>
        </w:rPr>
        <w:t xml:space="preserve">io </w:t>
      </w:r>
      <w:r w:rsidRPr="00CB681C">
        <w:rPr>
          <w:rFonts w:asciiTheme="majorHAnsi" w:hAnsiTheme="majorHAnsi" w:cstheme="majorHAnsi"/>
          <w:color w:val="auto"/>
          <w:sz w:val="24"/>
          <w:szCs w:val="24"/>
        </w:rPr>
        <w:t>tijelo koje će upravljati procesom reforme javne uprave u smisl</w:t>
      </w:r>
      <w:r w:rsidR="0089057A" w:rsidRPr="00CB681C">
        <w:rPr>
          <w:rFonts w:asciiTheme="majorHAnsi" w:hAnsiTheme="majorHAnsi" w:cstheme="majorHAnsi"/>
          <w:color w:val="auto"/>
          <w:sz w:val="24"/>
          <w:szCs w:val="24"/>
        </w:rPr>
        <w:t>u donošenja mjera intervencije i</w:t>
      </w:r>
      <w:r w:rsidRPr="00CB681C">
        <w:rPr>
          <w:rFonts w:asciiTheme="majorHAnsi" w:hAnsiTheme="majorHAnsi" w:cstheme="majorHAnsi"/>
          <w:color w:val="auto"/>
          <w:sz w:val="24"/>
          <w:szCs w:val="24"/>
        </w:rPr>
        <w:t xml:space="preserve"> pr</w:t>
      </w:r>
      <w:r w:rsidR="0089057A" w:rsidRPr="00CB681C">
        <w:rPr>
          <w:rFonts w:asciiTheme="majorHAnsi" w:hAnsiTheme="majorHAnsi" w:cstheme="majorHAnsi"/>
          <w:color w:val="auto"/>
          <w:sz w:val="24"/>
          <w:szCs w:val="24"/>
        </w:rPr>
        <w:t>e</w:t>
      </w:r>
      <w:r w:rsidRPr="00CB681C">
        <w:rPr>
          <w:rFonts w:asciiTheme="majorHAnsi" w:hAnsiTheme="majorHAnsi" w:cstheme="majorHAnsi"/>
          <w:color w:val="auto"/>
          <w:sz w:val="24"/>
          <w:szCs w:val="24"/>
        </w:rPr>
        <w:t>poznavanja rizika u postizanju plani</w:t>
      </w:r>
      <w:r w:rsidR="0089057A" w:rsidRPr="00CB681C">
        <w:rPr>
          <w:rFonts w:asciiTheme="majorHAnsi" w:hAnsiTheme="majorHAnsi" w:cstheme="majorHAnsi"/>
          <w:color w:val="auto"/>
          <w:sz w:val="24"/>
          <w:szCs w:val="24"/>
        </w:rPr>
        <w:t>ranih ciljeva buduće Strategije</w:t>
      </w:r>
    </w:p>
    <w:p w:rsidR="0089057A" w:rsidRPr="00CB681C" w:rsidRDefault="0090165A" w:rsidP="00B43D4E">
      <w:pPr>
        <w:numPr>
          <w:ilvl w:val="0"/>
          <w:numId w:val="40"/>
        </w:numPr>
        <w:spacing w:before="60" w:after="60" w:line="240" w:lineRule="auto"/>
        <w:ind w:right="-471"/>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Nast</w:t>
      </w:r>
      <w:r w:rsidR="0089057A" w:rsidRPr="00CB681C">
        <w:rPr>
          <w:rFonts w:asciiTheme="majorHAnsi" w:hAnsiTheme="majorHAnsi" w:cstheme="majorHAnsi"/>
          <w:color w:val="auto"/>
          <w:sz w:val="24"/>
          <w:szCs w:val="24"/>
        </w:rPr>
        <w:t>aviti sa praksom postojanja međ</w:t>
      </w:r>
      <w:r w:rsidRPr="00CB681C">
        <w:rPr>
          <w:rFonts w:asciiTheme="majorHAnsi" w:hAnsiTheme="majorHAnsi" w:cstheme="majorHAnsi"/>
          <w:color w:val="auto"/>
          <w:sz w:val="24"/>
          <w:szCs w:val="24"/>
        </w:rPr>
        <w:t>uresorskog tima na operativnom nivou uz us</w:t>
      </w:r>
      <w:r w:rsidR="0089057A" w:rsidRPr="00CB681C">
        <w:rPr>
          <w:rFonts w:asciiTheme="majorHAnsi" w:hAnsiTheme="majorHAnsi" w:cstheme="majorHAnsi"/>
          <w:color w:val="auto"/>
          <w:sz w:val="24"/>
          <w:szCs w:val="24"/>
        </w:rPr>
        <w:t>postavljanje direktne veze izmeđ</w:t>
      </w:r>
      <w:r w:rsidRPr="00CB681C">
        <w:rPr>
          <w:rFonts w:asciiTheme="majorHAnsi" w:hAnsiTheme="majorHAnsi" w:cstheme="majorHAnsi"/>
          <w:color w:val="auto"/>
          <w:sz w:val="24"/>
          <w:szCs w:val="24"/>
        </w:rPr>
        <w:t>u rada</w:t>
      </w:r>
      <w:r w:rsidR="0089057A" w:rsidRPr="00CB681C">
        <w:rPr>
          <w:rFonts w:asciiTheme="majorHAnsi" w:hAnsiTheme="majorHAnsi" w:cstheme="majorHAnsi"/>
          <w:color w:val="auto"/>
          <w:sz w:val="24"/>
          <w:szCs w:val="24"/>
        </w:rPr>
        <w:t xml:space="preserve"> Savjeta i</w:t>
      </w:r>
      <w:r w:rsidRPr="00CB681C">
        <w:rPr>
          <w:rFonts w:asciiTheme="majorHAnsi" w:hAnsiTheme="majorHAnsi" w:cstheme="majorHAnsi"/>
          <w:color w:val="auto"/>
          <w:sz w:val="24"/>
          <w:szCs w:val="24"/>
        </w:rPr>
        <w:t xml:space="preserve"> operativnog tima odn</w:t>
      </w:r>
      <w:r w:rsidR="0089057A" w:rsidRPr="00CB681C">
        <w:rPr>
          <w:rFonts w:asciiTheme="majorHAnsi" w:hAnsiTheme="majorHAnsi" w:cstheme="majorHAnsi"/>
          <w:color w:val="auto"/>
          <w:sz w:val="24"/>
          <w:szCs w:val="24"/>
        </w:rPr>
        <w:t>o</w:t>
      </w:r>
      <w:r w:rsidRPr="00CB681C">
        <w:rPr>
          <w:rFonts w:asciiTheme="majorHAnsi" w:hAnsiTheme="majorHAnsi" w:cstheme="majorHAnsi"/>
          <w:color w:val="auto"/>
          <w:sz w:val="24"/>
          <w:szCs w:val="24"/>
        </w:rPr>
        <w:t>sno da se odluke zasnivaju na preporukama i zaključcima operativnog tima</w:t>
      </w:r>
    </w:p>
    <w:p w:rsidR="0090165A" w:rsidRPr="00CB681C" w:rsidRDefault="0089057A" w:rsidP="00B43D4E">
      <w:pPr>
        <w:numPr>
          <w:ilvl w:val="0"/>
          <w:numId w:val="40"/>
        </w:numPr>
        <w:spacing w:before="60" w:after="60" w:line="240" w:lineRule="auto"/>
        <w:ind w:right="-471"/>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P</w:t>
      </w:r>
      <w:r w:rsidR="0090165A" w:rsidRPr="00CB681C">
        <w:rPr>
          <w:rFonts w:asciiTheme="majorHAnsi" w:hAnsiTheme="majorHAnsi" w:cstheme="majorHAnsi"/>
          <w:color w:val="auto"/>
          <w:sz w:val="24"/>
          <w:szCs w:val="24"/>
        </w:rPr>
        <w:t>ronaći</w:t>
      </w:r>
      <w:r w:rsidRPr="00CB681C">
        <w:rPr>
          <w:rFonts w:asciiTheme="majorHAnsi" w:hAnsiTheme="majorHAnsi" w:cstheme="majorHAnsi"/>
          <w:color w:val="auto"/>
          <w:sz w:val="24"/>
          <w:szCs w:val="24"/>
        </w:rPr>
        <w:t xml:space="preserve"> adekvatne</w:t>
      </w:r>
      <w:r w:rsidR="0090165A" w:rsidRPr="00CB681C">
        <w:rPr>
          <w:rFonts w:asciiTheme="majorHAnsi" w:hAnsiTheme="majorHAnsi" w:cstheme="majorHAnsi"/>
          <w:color w:val="auto"/>
          <w:sz w:val="24"/>
          <w:szCs w:val="24"/>
        </w:rPr>
        <w:t xml:space="preserve"> mehanizam</w:t>
      </w:r>
      <w:r w:rsidRPr="00CB681C">
        <w:rPr>
          <w:rFonts w:asciiTheme="majorHAnsi" w:hAnsiTheme="majorHAnsi" w:cstheme="majorHAnsi"/>
          <w:color w:val="auto"/>
          <w:sz w:val="24"/>
          <w:szCs w:val="24"/>
        </w:rPr>
        <w:t>e za podticaj</w:t>
      </w:r>
      <w:r w:rsidR="0090165A" w:rsidRPr="00CB681C">
        <w:rPr>
          <w:rFonts w:asciiTheme="majorHAnsi" w:hAnsiTheme="majorHAnsi" w:cstheme="majorHAnsi"/>
          <w:color w:val="auto"/>
          <w:sz w:val="24"/>
          <w:szCs w:val="24"/>
        </w:rPr>
        <w:t xml:space="preserve"> rad</w:t>
      </w:r>
      <w:r w:rsidRPr="00CB681C">
        <w:rPr>
          <w:rFonts w:asciiTheme="majorHAnsi" w:hAnsiTheme="majorHAnsi" w:cstheme="majorHAnsi"/>
          <w:color w:val="auto"/>
          <w:sz w:val="24"/>
          <w:szCs w:val="24"/>
        </w:rPr>
        <w:t>a</w:t>
      </w:r>
      <w:r w:rsidR="0090165A" w:rsidRPr="00CB681C">
        <w:rPr>
          <w:rFonts w:asciiTheme="majorHAnsi" w:hAnsiTheme="majorHAnsi" w:cstheme="majorHAnsi"/>
          <w:color w:val="auto"/>
          <w:sz w:val="24"/>
          <w:szCs w:val="24"/>
        </w:rPr>
        <w:t xml:space="preserve"> služenika koji su članovi operativnog tima za implementaciju </w:t>
      </w:r>
      <w:r w:rsidRPr="00CB681C">
        <w:rPr>
          <w:rFonts w:asciiTheme="majorHAnsi" w:hAnsiTheme="majorHAnsi" w:cstheme="majorHAnsi"/>
          <w:color w:val="auto"/>
          <w:sz w:val="24"/>
          <w:szCs w:val="24"/>
        </w:rPr>
        <w:t xml:space="preserve">Strategije 2022 – 2026 </w:t>
      </w:r>
    </w:p>
    <w:p w:rsidR="00366DCE" w:rsidRPr="00366DCE" w:rsidRDefault="0089057A" w:rsidP="00B43D4E">
      <w:pPr>
        <w:numPr>
          <w:ilvl w:val="0"/>
          <w:numId w:val="40"/>
        </w:numPr>
        <w:spacing w:before="60" w:after="60" w:line="240" w:lineRule="auto"/>
        <w:ind w:right="-471"/>
        <w:jc w:val="both"/>
        <w:rPr>
          <w:rFonts w:asciiTheme="majorHAnsi" w:hAnsiTheme="majorHAnsi" w:cstheme="majorHAnsi"/>
          <w:color w:val="auto"/>
          <w:sz w:val="24"/>
          <w:szCs w:val="24"/>
          <w:lang w:val="en-US"/>
        </w:rPr>
      </w:pPr>
      <w:r w:rsidRPr="00CB681C">
        <w:rPr>
          <w:rFonts w:asciiTheme="majorHAnsi" w:hAnsiTheme="majorHAnsi" w:cstheme="majorHAnsi"/>
          <w:color w:val="auto"/>
          <w:sz w:val="24"/>
          <w:szCs w:val="24"/>
          <w:lang w:val="en-US"/>
        </w:rPr>
        <w:t>Dalje unaprijediti</w:t>
      </w:r>
      <w:r w:rsidR="0090165A" w:rsidRPr="00CB681C">
        <w:rPr>
          <w:rFonts w:asciiTheme="majorHAnsi" w:hAnsiTheme="majorHAnsi" w:cstheme="majorHAnsi"/>
          <w:color w:val="auto"/>
          <w:sz w:val="24"/>
          <w:szCs w:val="24"/>
          <w:lang w:val="en-US"/>
        </w:rPr>
        <w:t xml:space="preserve"> si</w:t>
      </w:r>
      <w:r w:rsidRPr="00CB681C">
        <w:rPr>
          <w:rFonts w:asciiTheme="majorHAnsi" w:hAnsiTheme="majorHAnsi" w:cstheme="majorHAnsi"/>
          <w:color w:val="auto"/>
          <w:sz w:val="24"/>
          <w:szCs w:val="24"/>
          <w:lang w:val="en-US"/>
        </w:rPr>
        <w:t>st</w:t>
      </w:r>
      <w:r w:rsidR="00023F33" w:rsidRPr="00CB681C">
        <w:rPr>
          <w:rFonts w:asciiTheme="majorHAnsi" w:hAnsiTheme="majorHAnsi" w:cstheme="majorHAnsi"/>
          <w:color w:val="auto"/>
          <w:sz w:val="24"/>
          <w:szCs w:val="24"/>
          <w:lang w:val="en-US"/>
        </w:rPr>
        <w:t>em Izvještavanja o reformi</w:t>
      </w:r>
      <w:r w:rsidRPr="00CB681C">
        <w:rPr>
          <w:rFonts w:asciiTheme="majorHAnsi" w:hAnsiTheme="majorHAnsi" w:cstheme="majorHAnsi"/>
          <w:color w:val="auto"/>
          <w:sz w:val="24"/>
          <w:szCs w:val="24"/>
          <w:lang w:val="en-US"/>
        </w:rPr>
        <w:t>. Unapređ</w:t>
      </w:r>
      <w:r w:rsidR="0090165A" w:rsidRPr="00CB681C">
        <w:rPr>
          <w:rFonts w:asciiTheme="majorHAnsi" w:hAnsiTheme="majorHAnsi" w:cstheme="majorHAnsi"/>
          <w:color w:val="auto"/>
          <w:sz w:val="24"/>
          <w:szCs w:val="24"/>
          <w:lang w:val="en-US"/>
        </w:rPr>
        <w:t>enj</w:t>
      </w:r>
      <w:r w:rsidRPr="00CB681C">
        <w:rPr>
          <w:rFonts w:asciiTheme="majorHAnsi" w:hAnsiTheme="majorHAnsi" w:cstheme="majorHAnsi"/>
          <w:color w:val="auto"/>
          <w:sz w:val="24"/>
          <w:szCs w:val="24"/>
          <w:lang w:val="en-US"/>
        </w:rPr>
        <w:t>e treba da se odnosi na unapređenje kvaliteta izvješ</w:t>
      </w:r>
      <w:r w:rsidR="0090165A" w:rsidRPr="00CB681C">
        <w:rPr>
          <w:rFonts w:asciiTheme="majorHAnsi" w:hAnsiTheme="majorHAnsi" w:cstheme="majorHAnsi"/>
          <w:color w:val="auto"/>
          <w:sz w:val="24"/>
          <w:szCs w:val="24"/>
          <w:lang w:val="en-US"/>
        </w:rPr>
        <w:t>tavnja u smislu pr</w:t>
      </w:r>
      <w:r w:rsidRPr="00CB681C">
        <w:rPr>
          <w:rFonts w:asciiTheme="majorHAnsi" w:hAnsiTheme="majorHAnsi" w:cstheme="majorHAnsi"/>
          <w:color w:val="auto"/>
          <w:sz w:val="24"/>
          <w:szCs w:val="24"/>
          <w:lang w:val="en-US"/>
        </w:rPr>
        <w:t>epoznavanja mjera intervencija i</w:t>
      </w:r>
      <w:r w:rsidR="0090165A" w:rsidRPr="00CB681C">
        <w:rPr>
          <w:rFonts w:asciiTheme="majorHAnsi" w:hAnsiTheme="majorHAnsi" w:cstheme="majorHAnsi"/>
          <w:color w:val="auto"/>
          <w:sz w:val="24"/>
          <w:szCs w:val="24"/>
          <w:lang w:val="en-US"/>
        </w:rPr>
        <w:t xml:space="preserve"> djelovanja u slu</w:t>
      </w:r>
      <w:r w:rsidRPr="00CB681C">
        <w:rPr>
          <w:rFonts w:asciiTheme="majorHAnsi" w:hAnsiTheme="majorHAnsi" w:cstheme="majorHAnsi"/>
          <w:color w:val="auto"/>
          <w:sz w:val="24"/>
          <w:szCs w:val="24"/>
          <w:lang w:val="en-US"/>
        </w:rPr>
        <w:t>čaju zastoja u procesu reforme</w:t>
      </w:r>
    </w:p>
    <w:p w:rsidR="0089057A" w:rsidRPr="00CB681C" w:rsidRDefault="0089057A" w:rsidP="00B43D4E">
      <w:pPr>
        <w:numPr>
          <w:ilvl w:val="0"/>
          <w:numId w:val="40"/>
        </w:numPr>
        <w:spacing w:before="60" w:after="60" w:line="240" w:lineRule="auto"/>
        <w:ind w:right="-471"/>
        <w:jc w:val="both"/>
        <w:rPr>
          <w:rFonts w:asciiTheme="majorHAnsi" w:hAnsiTheme="majorHAnsi" w:cstheme="majorHAnsi"/>
          <w:color w:val="auto"/>
          <w:sz w:val="24"/>
          <w:szCs w:val="24"/>
          <w:lang w:val="en-US"/>
        </w:rPr>
      </w:pPr>
      <w:r w:rsidRPr="00CB681C">
        <w:rPr>
          <w:rFonts w:asciiTheme="majorHAnsi" w:hAnsiTheme="majorHAnsi" w:cstheme="majorHAnsi"/>
          <w:color w:val="auto"/>
          <w:sz w:val="24"/>
          <w:szCs w:val="24"/>
          <w:lang w:val="en-US"/>
        </w:rPr>
        <w:t>Sa ciljem sakupljanja</w:t>
      </w:r>
      <w:r w:rsidR="0090165A" w:rsidRPr="00CB681C">
        <w:rPr>
          <w:rFonts w:asciiTheme="majorHAnsi" w:hAnsiTheme="majorHAnsi" w:cstheme="majorHAnsi"/>
          <w:color w:val="auto"/>
          <w:sz w:val="24"/>
          <w:szCs w:val="24"/>
          <w:lang w:val="en-US"/>
        </w:rPr>
        <w:t xml:space="preserve"> </w:t>
      </w:r>
      <w:r w:rsidRPr="00CB681C">
        <w:rPr>
          <w:rFonts w:asciiTheme="majorHAnsi" w:hAnsiTheme="majorHAnsi" w:cstheme="majorHAnsi"/>
          <w:color w:val="auto"/>
          <w:sz w:val="24"/>
          <w:szCs w:val="24"/>
          <w:lang w:val="en-US"/>
        </w:rPr>
        <w:t xml:space="preserve">podataka i informacija boljeg kvaliteta, te izrade analitičkih dokumenata </w:t>
      </w:r>
      <w:r w:rsidR="0090165A" w:rsidRPr="00CB681C">
        <w:rPr>
          <w:rFonts w:asciiTheme="majorHAnsi" w:hAnsiTheme="majorHAnsi" w:cstheme="majorHAnsi"/>
          <w:color w:val="auto"/>
          <w:sz w:val="24"/>
          <w:szCs w:val="24"/>
          <w:lang w:val="en-US"/>
        </w:rPr>
        <w:t>potrebno je odrediti koord</w:t>
      </w:r>
      <w:r w:rsidRPr="00CB681C">
        <w:rPr>
          <w:rFonts w:asciiTheme="majorHAnsi" w:hAnsiTheme="majorHAnsi" w:cstheme="majorHAnsi"/>
          <w:color w:val="auto"/>
          <w:sz w:val="24"/>
          <w:szCs w:val="24"/>
          <w:lang w:val="en-US"/>
        </w:rPr>
        <w:t>inat</w:t>
      </w:r>
      <w:r w:rsidR="0090165A" w:rsidRPr="00CB681C">
        <w:rPr>
          <w:rFonts w:asciiTheme="majorHAnsi" w:hAnsiTheme="majorHAnsi" w:cstheme="majorHAnsi"/>
          <w:color w:val="auto"/>
          <w:sz w:val="24"/>
          <w:szCs w:val="24"/>
          <w:lang w:val="en-US"/>
        </w:rPr>
        <w:t>ore za svaki od strateških cil</w:t>
      </w:r>
      <w:r w:rsidRPr="00CB681C">
        <w:rPr>
          <w:rFonts w:asciiTheme="majorHAnsi" w:hAnsiTheme="majorHAnsi" w:cstheme="majorHAnsi"/>
          <w:color w:val="auto"/>
          <w:sz w:val="24"/>
          <w:szCs w:val="24"/>
          <w:lang w:val="en-US"/>
        </w:rPr>
        <w:t>jeva kako bi monitoring i izvješ</w:t>
      </w:r>
      <w:r w:rsidR="0090165A" w:rsidRPr="00CB681C">
        <w:rPr>
          <w:rFonts w:asciiTheme="majorHAnsi" w:hAnsiTheme="majorHAnsi" w:cstheme="majorHAnsi"/>
          <w:color w:val="auto"/>
          <w:sz w:val="24"/>
          <w:szCs w:val="24"/>
          <w:lang w:val="en-US"/>
        </w:rPr>
        <w:t>tavanje bilo efikasnije</w:t>
      </w:r>
      <w:r w:rsidRPr="00CB681C">
        <w:rPr>
          <w:rFonts w:asciiTheme="majorHAnsi" w:hAnsiTheme="majorHAnsi" w:cstheme="majorHAnsi"/>
          <w:color w:val="auto"/>
          <w:sz w:val="24"/>
          <w:szCs w:val="24"/>
          <w:lang w:val="en-US"/>
        </w:rPr>
        <w:t>, te njihove kapacitete u ovom aspektu povećati</w:t>
      </w:r>
    </w:p>
    <w:p w:rsidR="0090165A" w:rsidRPr="00CB681C" w:rsidRDefault="0090165A" w:rsidP="00B43D4E">
      <w:pPr>
        <w:numPr>
          <w:ilvl w:val="0"/>
          <w:numId w:val="40"/>
        </w:numPr>
        <w:spacing w:before="60" w:after="60" w:line="240" w:lineRule="auto"/>
        <w:ind w:right="-471"/>
        <w:jc w:val="both"/>
        <w:rPr>
          <w:rFonts w:asciiTheme="majorHAnsi" w:hAnsiTheme="majorHAnsi" w:cstheme="majorHAnsi"/>
          <w:color w:val="auto"/>
          <w:sz w:val="24"/>
          <w:szCs w:val="24"/>
          <w:lang w:val="en-US"/>
        </w:rPr>
      </w:pPr>
      <w:r w:rsidRPr="00CB681C">
        <w:rPr>
          <w:rFonts w:asciiTheme="majorHAnsi" w:hAnsiTheme="majorHAnsi" w:cstheme="majorHAnsi"/>
          <w:color w:val="auto"/>
          <w:sz w:val="24"/>
          <w:szCs w:val="24"/>
          <w:lang w:val="en-US"/>
        </w:rPr>
        <w:t>Potrebno je obezbijediti adekvatan informacioni sistem koji će olakšati process prikupljanja podat</w:t>
      </w:r>
      <w:r w:rsidR="0089057A" w:rsidRPr="00CB681C">
        <w:rPr>
          <w:rFonts w:asciiTheme="majorHAnsi" w:hAnsiTheme="majorHAnsi" w:cstheme="majorHAnsi"/>
          <w:color w:val="auto"/>
          <w:sz w:val="24"/>
          <w:szCs w:val="24"/>
          <w:lang w:val="en-US"/>
        </w:rPr>
        <w:t>a</w:t>
      </w:r>
      <w:r w:rsidRPr="00CB681C">
        <w:rPr>
          <w:rFonts w:asciiTheme="majorHAnsi" w:hAnsiTheme="majorHAnsi" w:cstheme="majorHAnsi"/>
          <w:color w:val="auto"/>
          <w:sz w:val="24"/>
          <w:szCs w:val="24"/>
          <w:lang w:val="en-US"/>
        </w:rPr>
        <w:t>ka, a kako bi uloga koordinatora bila analitička</w:t>
      </w:r>
      <w:r w:rsidR="0089057A" w:rsidRPr="00CB681C">
        <w:rPr>
          <w:rFonts w:asciiTheme="majorHAnsi" w:hAnsiTheme="majorHAnsi" w:cstheme="majorHAnsi"/>
          <w:color w:val="auto"/>
          <w:sz w:val="24"/>
          <w:szCs w:val="24"/>
          <w:lang w:val="en-US"/>
        </w:rPr>
        <w:t>,</w:t>
      </w:r>
      <w:r w:rsidRPr="00CB681C">
        <w:rPr>
          <w:rFonts w:asciiTheme="majorHAnsi" w:hAnsiTheme="majorHAnsi" w:cstheme="majorHAnsi"/>
          <w:color w:val="auto"/>
          <w:sz w:val="24"/>
          <w:szCs w:val="24"/>
          <w:lang w:val="en-US"/>
        </w:rPr>
        <w:t xml:space="preserve"> a ne admini</w:t>
      </w:r>
      <w:r w:rsidR="00EC2F84" w:rsidRPr="00CB681C">
        <w:rPr>
          <w:rFonts w:asciiTheme="majorHAnsi" w:hAnsiTheme="majorHAnsi" w:cstheme="majorHAnsi"/>
          <w:color w:val="auto"/>
          <w:sz w:val="24"/>
          <w:szCs w:val="24"/>
          <w:lang w:val="en-US"/>
        </w:rPr>
        <w:t>s</w:t>
      </w:r>
      <w:r w:rsidRPr="00CB681C">
        <w:rPr>
          <w:rFonts w:asciiTheme="majorHAnsi" w:hAnsiTheme="majorHAnsi" w:cstheme="majorHAnsi"/>
          <w:color w:val="auto"/>
          <w:sz w:val="24"/>
          <w:szCs w:val="24"/>
          <w:lang w:val="en-US"/>
        </w:rPr>
        <w:t xml:space="preserve">trativno </w:t>
      </w:r>
      <w:r w:rsidR="0089057A" w:rsidRPr="00CB681C">
        <w:rPr>
          <w:rFonts w:asciiTheme="majorHAnsi" w:hAnsiTheme="majorHAnsi" w:cstheme="majorHAnsi"/>
          <w:color w:val="auto"/>
          <w:sz w:val="24"/>
          <w:szCs w:val="24"/>
          <w:lang w:val="en-US"/>
        </w:rPr>
        <w:t>–</w:t>
      </w:r>
      <w:r w:rsidRPr="00CB681C">
        <w:rPr>
          <w:rFonts w:asciiTheme="majorHAnsi" w:hAnsiTheme="majorHAnsi" w:cstheme="majorHAnsi"/>
          <w:color w:val="auto"/>
          <w:sz w:val="24"/>
          <w:szCs w:val="24"/>
          <w:lang w:val="en-US"/>
        </w:rPr>
        <w:t xml:space="preserve"> tehnička</w:t>
      </w:r>
      <w:r w:rsidR="0089057A" w:rsidRPr="00CB681C">
        <w:rPr>
          <w:rFonts w:asciiTheme="majorHAnsi" w:hAnsiTheme="majorHAnsi" w:cstheme="majorHAnsi"/>
          <w:color w:val="auto"/>
          <w:sz w:val="24"/>
          <w:szCs w:val="24"/>
          <w:lang w:val="en-US"/>
        </w:rPr>
        <w:t xml:space="preserve"> </w:t>
      </w:r>
    </w:p>
    <w:p w:rsidR="001E0D74" w:rsidRPr="00CB681C" w:rsidRDefault="0090165A" w:rsidP="00B43D4E">
      <w:pPr>
        <w:numPr>
          <w:ilvl w:val="0"/>
          <w:numId w:val="40"/>
        </w:numPr>
        <w:spacing w:before="60" w:after="60" w:line="240" w:lineRule="auto"/>
        <w:ind w:right="-471"/>
        <w:jc w:val="both"/>
        <w:rPr>
          <w:rFonts w:asciiTheme="majorHAnsi" w:hAnsiTheme="majorHAnsi" w:cstheme="majorHAnsi"/>
          <w:color w:val="auto"/>
          <w:sz w:val="24"/>
          <w:szCs w:val="24"/>
          <w:lang w:val="en-US"/>
        </w:rPr>
      </w:pPr>
      <w:r w:rsidRPr="00CB681C">
        <w:rPr>
          <w:rFonts w:asciiTheme="majorHAnsi" w:hAnsiTheme="majorHAnsi" w:cstheme="majorHAnsi"/>
          <w:color w:val="auto"/>
          <w:sz w:val="24"/>
          <w:szCs w:val="24"/>
          <w:lang w:val="en-US"/>
        </w:rPr>
        <w:t>Potrebno je obezbijediti bolju vidljivost rezultata reforme kroz uspostavljanje komunika</w:t>
      </w:r>
      <w:r w:rsidR="001E0D74" w:rsidRPr="00CB681C">
        <w:rPr>
          <w:rFonts w:asciiTheme="majorHAnsi" w:hAnsiTheme="majorHAnsi" w:cstheme="majorHAnsi"/>
          <w:color w:val="auto"/>
          <w:sz w:val="24"/>
          <w:szCs w:val="24"/>
          <w:lang w:val="en-US"/>
        </w:rPr>
        <w:t>c</w:t>
      </w:r>
      <w:r w:rsidRPr="00CB681C">
        <w:rPr>
          <w:rFonts w:asciiTheme="majorHAnsi" w:hAnsiTheme="majorHAnsi" w:cstheme="majorHAnsi"/>
          <w:color w:val="auto"/>
          <w:sz w:val="24"/>
          <w:szCs w:val="24"/>
          <w:lang w:val="en-US"/>
        </w:rPr>
        <w:t>ijskog</w:t>
      </w:r>
      <w:r w:rsidR="001E0D74" w:rsidRPr="00CB681C">
        <w:rPr>
          <w:rFonts w:asciiTheme="majorHAnsi" w:hAnsiTheme="majorHAnsi" w:cstheme="majorHAnsi"/>
          <w:color w:val="auto"/>
          <w:sz w:val="24"/>
          <w:szCs w:val="24"/>
          <w:lang w:val="en-US"/>
        </w:rPr>
        <w:t xml:space="preserve"> </w:t>
      </w:r>
      <w:r w:rsidR="0089057A" w:rsidRPr="00CB681C">
        <w:rPr>
          <w:rFonts w:asciiTheme="majorHAnsi" w:hAnsiTheme="majorHAnsi" w:cstheme="majorHAnsi"/>
          <w:color w:val="auto"/>
          <w:sz w:val="24"/>
          <w:szCs w:val="24"/>
          <w:lang w:val="en-US"/>
        </w:rPr>
        <w:t>plana</w:t>
      </w:r>
    </w:p>
    <w:p w:rsidR="001E0D74" w:rsidRPr="007E14C5" w:rsidRDefault="00996709" w:rsidP="00153229">
      <w:pPr>
        <w:spacing w:before="60" w:after="60" w:line="240" w:lineRule="auto"/>
        <w:ind w:right="-471"/>
        <w:jc w:val="both"/>
        <w:rPr>
          <w:rFonts w:asciiTheme="majorHAnsi" w:hAnsiTheme="majorHAnsi" w:cstheme="majorHAnsi"/>
          <w:color w:val="002060"/>
          <w:sz w:val="24"/>
          <w:szCs w:val="24"/>
          <w:lang w:val="en-US"/>
        </w:rPr>
      </w:pPr>
      <w:r w:rsidRPr="007E14C5">
        <w:rPr>
          <w:rFonts w:asciiTheme="majorHAnsi" w:hAnsiTheme="majorHAnsi" w:cstheme="majorHAnsi"/>
          <w:noProof/>
          <w:color w:val="002060"/>
          <w:sz w:val="24"/>
          <w:szCs w:val="24"/>
          <w:lang w:eastAsia="sr-Latn-RS"/>
        </w:rPr>
        <w:drawing>
          <wp:inline distT="0" distB="0" distL="0" distR="0" wp14:anchorId="3DC7B8D7" wp14:editId="320AF110">
            <wp:extent cx="6080760" cy="3200400"/>
            <wp:effectExtent l="0" t="0" r="0" b="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166526" w:rsidRDefault="002F5436" w:rsidP="00153229">
      <w:pPr>
        <w:spacing w:before="60" w:after="60" w:line="240" w:lineRule="auto"/>
        <w:ind w:right="-471"/>
        <w:jc w:val="both"/>
        <w:rPr>
          <w:rFonts w:asciiTheme="majorHAnsi" w:hAnsiTheme="majorHAnsi" w:cstheme="majorHAnsi"/>
          <w:color w:val="auto"/>
          <w:sz w:val="24"/>
          <w:szCs w:val="24"/>
        </w:rPr>
      </w:pPr>
      <w:r w:rsidRPr="00BC60FF">
        <w:rPr>
          <w:rFonts w:asciiTheme="majorHAnsi" w:hAnsiTheme="majorHAnsi" w:cstheme="majorHAnsi"/>
          <w:b/>
          <w:color w:val="auto"/>
          <w:sz w:val="24"/>
          <w:szCs w:val="24"/>
          <w:lang w:val="en-US"/>
        </w:rPr>
        <w:lastRenderedPageBreak/>
        <w:t xml:space="preserve">Nakon reogranizacije </w:t>
      </w:r>
      <w:r w:rsidR="00A55958" w:rsidRPr="00BC60FF">
        <w:rPr>
          <w:rFonts w:asciiTheme="majorHAnsi" w:hAnsiTheme="majorHAnsi" w:cstheme="majorHAnsi"/>
          <w:b/>
          <w:color w:val="auto"/>
          <w:sz w:val="24"/>
          <w:szCs w:val="24"/>
          <w:lang w:val="en-US"/>
        </w:rPr>
        <w:t>V</w:t>
      </w:r>
      <w:r w:rsidRPr="00BC60FF">
        <w:rPr>
          <w:rFonts w:asciiTheme="majorHAnsi" w:hAnsiTheme="majorHAnsi" w:cstheme="majorHAnsi"/>
          <w:b/>
          <w:color w:val="auto"/>
          <w:sz w:val="24"/>
          <w:szCs w:val="24"/>
          <w:lang w:val="en-US"/>
        </w:rPr>
        <w:t>l</w:t>
      </w:r>
      <w:r w:rsidR="00A55958" w:rsidRPr="00BC60FF">
        <w:rPr>
          <w:rFonts w:asciiTheme="majorHAnsi" w:hAnsiTheme="majorHAnsi" w:cstheme="majorHAnsi"/>
          <w:b/>
          <w:color w:val="auto"/>
          <w:sz w:val="24"/>
          <w:szCs w:val="24"/>
          <w:lang w:val="en-US"/>
        </w:rPr>
        <w:t>a</w:t>
      </w:r>
      <w:r w:rsidRPr="00BC60FF">
        <w:rPr>
          <w:rFonts w:asciiTheme="majorHAnsi" w:hAnsiTheme="majorHAnsi" w:cstheme="majorHAnsi"/>
          <w:b/>
          <w:color w:val="auto"/>
          <w:sz w:val="24"/>
          <w:szCs w:val="24"/>
          <w:lang w:val="en-US"/>
        </w:rPr>
        <w:t>de Crne Gore u decembru 2020. godine</w:t>
      </w:r>
      <w:r w:rsidRPr="00CB681C">
        <w:rPr>
          <w:rFonts w:asciiTheme="majorHAnsi" w:hAnsiTheme="majorHAnsi" w:cstheme="majorHAnsi"/>
          <w:color w:val="auto"/>
          <w:sz w:val="24"/>
          <w:szCs w:val="24"/>
          <w:lang w:val="en-US"/>
        </w:rPr>
        <w:t xml:space="preserve">, Ministarstvo </w:t>
      </w:r>
      <w:r w:rsidR="007E705C" w:rsidRPr="00CB681C">
        <w:rPr>
          <w:rFonts w:asciiTheme="majorHAnsi" w:hAnsiTheme="majorHAnsi" w:cstheme="majorHAnsi"/>
          <w:color w:val="auto"/>
          <w:sz w:val="24"/>
          <w:szCs w:val="24"/>
          <w:lang w:val="en-US"/>
        </w:rPr>
        <w:t>javne uprave, digitalnog dru</w:t>
      </w:r>
      <w:r w:rsidR="007E705C" w:rsidRPr="00CB681C">
        <w:rPr>
          <w:rFonts w:asciiTheme="majorHAnsi" w:hAnsiTheme="majorHAnsi" w:cstheme="majorHAnsi"/>
          <w:color w:val="auto"/>
          <w:sz w:val="24"/>
          <w:szCs w:val="24"/>
        </w:rPr>
        <w:t>štva i medija nastavlja da kroz svoje osnovne ciljeve definiše i reformu javne uprave, te je dalje nadležno za sprovođenje Strategije reforme</w:t>
      </w:r>
      <w:r w:rsidR="00905CFA">
        <w:rPr>
          <w:rFonts w:asciiTheme="majorHAnsi" w:hAnsiTheme="majorHAnsi" w:cstheme="majorHAnsi"/>
          <w:color w:val="auto"/>
          <w:sz w:val="24"/>
          <w:szCs w:val="24"/>
        </w:rPr>
        <w:t xml:space="preserve"> javne uprave</w:t>
      </w:r>
      <w:r w:rsidR="007E705C" w:rsidRPr="00CB681C">
        <w:rPr>
          <w:rFonts w:asciiTheme="majorHAnsi" w:hAnsiTheme="majorHAnsi" w:cstheme="majorHAnsi"/>
          <w:color w:val="auto"/>
          <w:sz w:val="24"/>
          <w:szCs w:val="24"/>
        </w:rPr>
        <w:t>.</w:t>
      </w:r>
    </w:p>
    <w:p w:rsidR="00A55958" w:rsidRPr="00CB681C" w:rsidRDefault="00A55958" w:rsidP="00153229">
      <w:pPr>
        <w:spacing w:before="60" w:after="60" w:line="240" w:lineRule="auto"/>
        <w:ind w:right="-471"/>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Osnovanjem Direktorat za strateško planiranje u javnoj upravi, međunarodnu saradnju i IPA projekte sa posebnom Direkcijom za strateško planiranje i praćenje implementacije strateških dokumenat u okviru MJUDDM, jas</w:t>
      </w:r>
      <w:r w:rsidR="00023F33" w:rsidRPr="00CB681C">
        <w:rPr>
          <w:rFonts w:asciiTheme="majorHAnsi" w:hAnsiTheme="majorHAnsi" w:cstheme="majorHAnsi"/>
          <w:color w:val="auto"/>
          <w:sz w:val="24"/>
          <w:szCs w:val="24"/>
        </w:rPr>
        <w:t>no je definisan značaj i fokus M</w:t>
      </w:r>
      <w:r w:rsidRPr="00CB681C">
        <w:rPr>
          <w:rFonts w:asciiTheme="majorHAnsi" w:hAnsiTheme="majorHAnsi" w:cstheme="majorHAnsi"/>
          <w:color w:val="auto"/>
          <w:sz w:val="24"/>
          <w:szCs w:val="24"/>
        </w:rPr>
        <w:t>inistarstva na planiranje, razvoj, implementaciju i izvještavanje o Strategiji RJU. Dodatno, u sklopu MJUDDM postoji koordinacioni tim za razvijanje i sprovođenje strategije koji je predvođen v.d</w:t>
      </w:r>
      <w:r w:rsidR="00EC2F84" w:rsidRPr="00CB681C">
        <w:rPr>
          <w:rFonts w:asciiTheme="majorHAnsi" w:hAnsiTheme="majorHAnsi" w:cstheme="majorHAnsi"/>
          <w:color w:val="auto"/>
          <w:sz w:val="24"/>
          <w:szCs w:val="24"/>
        </w:rPr>
        <w:t>.</w:t>
      </w:r>
      <w:r w:rsidRPr="00CB681C">
        <w:rPr>
          <w:rFonts w:asciiTheme="majorHAnsi" w:hAnsiTheme="majorHAnsi" w:cstheme="majorHAnsi"/>
          <w:color w:val="auto"/>
          <w:sz w:val="24"/>
          <w:szCs w:val="24"/>
        </w:rPr>
        <w:t xml:space="preserve"> </w:t>
      </w:r>
      <w:r w:rsidR="00EC2F84" w:rsidRPr="00CB681C">
        <w:rPr>
          <w:rFonts w:asciiTheme="majorHAnsi" w:hAnsiTheme="majorHAnsi" w:cstheme="majorHAnsi"/>
          <w:color w:val="auto"/>
          <w:sz w:val="24"/>
          <w:szCs w:val="24"/>
        </w:rPr>
        <w:t>d</w:t>
      </w:r>
      <w:r w:rsidRPr="00CB681C">
        <w:rPr>
          <w:rFonts w:asciiTheme="majorHAnsi" w:hAnsiTheme="majorHAnsi" w:cstheme="majorHAnsi"/>
          <w:color w:val="auto"/>
          <w:sz w:val="24"/>
          <w:szCs w:val="24"/>
        </w:rPr>
        <w:t>irektora Direktorata za strateško</w:t>
      </w:r>
      <w:r w:rsidR="00023F33" w:rsidRPr="00CB681C">
        <w:rPr>
          <w:rFonts w:asciiTheme="majorHAnsi" w:hAnsiTheme="majorHAnsi" w:cstheme="majorHAnsi"/>
          <w:color w:val="auto"/>
          <w:sz w:val="24"/>
          <w:szCs w:val="24"/>
        </w:rPr>
        <w:t xml:space="preserve"> planiranje u javnoj upravi, međ</w:t>
      </w:r>
      <w:r w:rsidRPr="00CB681C">
        <w:rPr>
          <w:rFonts w:asciiTheme="majorHAnsi" w:hAnsiTheme="majorHAnsi" w:cstheme="majorHAnsi"/>
          <w:color w:val="auto"/>
          <w:sz w:val="24"/>
          <w:szCs w:val="24"/>
        </w:rPr>
        <w:t>unarodnu saradnju i IPA projekte.</w:t>
      </w:r>
    </w:p>
    <w:p w:rsidR="008D72CD" w:rsidRPr="00BC60FF" w:rsidRDefault="00A55958" w:rsidP="00153229">
      <w:pPr>
        <w:spacing w:before="60" w:after="60" w:line="240" w:lineRule="auto"/>
        <w:ind w:right="-471"/>
        <w:jc w:val="both"/>
        <w:rPr>
          <w:rFonts w:asciiTheme="majorHAnsi" w:hAnsiTheme="majorHAnsi" w:cstheme="majorHAnsi"/>
          <w:b/>
          <w:color w:val="auto"/>
          <w:sz w:val="24"/>
          <w:szCs w:val="24"/>
        </w:rPr>
      </w:pPr>
      <w:r w:rsidRPr="00BC60FF">
        <w:rPr>
          <w:rFonts w:asciiTheme="majorHAnsi" w:hAnsiTheme="majorHAnsi" w:cstheme="majorHAnsi"/>
          <w:b/>
          <w:color w:val="auto"/>
          <w:sz w:val="24"/>
          <w:szCs w:val="24"/>
        </w:rPr>
        <w:t>U junu 2021. godine osnovan je Savjet za RJU, sa izmijenjenim konceptom i sastavom članova u odnosu na predhodni. Inoviranje ovog savjetodavnog tijela je bilo nužno, imajući u vidu obim i značaj reforme javne uprave u narednom periodu i njegov rad će biti fokusiran na aktivnosti koje sprovode organi javne uprave u cilju ostvarivanja SIGMA principa, koji su osnov ovog strateškog dokumentra.</w:t>
      </w:r>
    </w:p>
    <w:p w:rsidR="008D72CD" w:rsidRPr="00CB681C" w:rsidRDefault="008D72CD" w:rsidP="008D72CD">
      <w:pPr>
        <w:spacing w:before="60" w:after="60" w:line="240" w:lineRule="auto"/>
        <w:ind w:right="-471"/>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Savjet za reformu javne uprave formiran je na sjednici Vlade od 18. marta 2021.godine. </w:t>
      </w:r>
      <w:r w:rsidR="00772CBA" w:rsidRPr="00CB681C">
        <w:rPr>
          <w:rFonts w:asciiTheme="majorHAnsi" w:hAnsiTheme="majorHAnsi" w:cstheme="majorHAnsi"/>
          <w:color w:val="auto"/>
          <w:sz w:val="24"/>
          <w:szCs w:val="24"/>
        </w:rPr>
        <w:t xml:space="preserve">Uloga Savjeta za reformu javne uprave je da, sa političkog aspekta, pruža podršku u realizaciju aktivnosti koje se odnose na organizaciju javne uprave, jačanje procesa upravljanja javnim politikama, razvoj modernog i profesionalnog službeničkog sistema, unapređenje sistema lokalne samouprave, unapređenje transparentnosti i otvorenosti rada uprave u cjelini, jačanje interne i eksterne kontrole javne uprave. </w:t>
      </w:r>
      <w:r w:rsidRPr="00CB681C">
        <w:rPr>
          <w:rFonts w:asciiTheme="majorHAnsi" w:hAnsiTheme="majorHAnsi" w:cstheme="majorHAnsi"/>
          <w:color w:val="auto"/>
          <w:sz w:val="24"/>
          <w:szCs w:val="24"/>
        </w:rPr>
        <w:t xml:space="preserve">Savjetom predsjedava premijer Vlade Crne Gore. Novoosnovani Savjet je unaprijedio svoj rad i strukturu. Osim predstavnika nadležnih institucija članovi Savjeta su predstavnici nevladinih organizacija, akademske zajednice i Agencije za zaštitu podataka i slobodan pristup informacijama. Do sad, Savjet je održao II sjednice. </w:t>
      </w:r>
    </w:p>
    <w:p w:rsidR="00A55958" w:rsidRPr="00CB681C" w:rsidRDefault="008D72CD" w:rsidP="00153229">
      <w:pPr>
        <w:spacing w:before="60" w:after="60" w:line="240" w:lineRule="auto"/>
        <w:ind w:right="-471"/>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Krajnji cilj reforme javne uprave, procesa digitalizacije i optimizacije je optimalna i efikasna javna uprava, koja će biti bolji servis za građanke, građane i privredu, kroz </w:t>
      </w:r>
      <w:r w:rsidR="00A55958" w:rsidRPr="00CB681C">
        <w:rPr>
          <w:rFonts w:asciiTheme="majorHAnsi" w:hAnsiTheme="majorHAnsi" w:cstheme="majorHAnsi"/>
          <w:color w:val="auto"/>
          <w:sz w:val="24"/>
          <w:szCs w:val="24"/>
        </w:rPr>
        <w:t>razmatranje nacrta propisa, strateških, planskih i analitičkih dokumenata u vezi sa reformom javne uprave i sl.). Stručnu i administrativnu podršku radu Savjeta za reformu javne uprave pružaće i dalje MJUDDM.</w:t>
      </w:r>
    </w:p>
    <w:p w:rsidR="00BC60FF" w:rsidRDefault="00BC60FF" w:rsidP="004C0F55">
      <w:pPr>
        <w:spacing w:before="60" w:after="60" w:line="240" w:lineRule="auto"/>
        <w:ind w:right="-471"/>
        <w:jc w:val="both"/>
        <w:rPr>
          <w:rFonts w:asciiTheme="majorHAnsi" w:hAnsiTheme="majorHAnsi" w:cstheme="majorHAnsi"/>
          <w:b/>
          <w:color w:val="auto"/>
          <w:sz w:val="22"/>
          <w:szCs w:val="22"/>
          <w:lang w:val="en-US"/>
        </w:rPr>
      </w:pPr>
    </w:p>
    <w:p w:rsidR="004C0F55" w:rsidRDefault="004C0F55" w:rsidP="004C0F55">
      <w:pPr>
        <w:spacing w:before="60" w:after="60" w:line="240" w:lineRule="auto"/>
        <w:ind w:right="-471"/>
        <w:jc w:val="both"/>
        <w:rPr>
          <w:rFonts w:asciiTheme="majorHAnsi" w:hAnsiTheme="majorHAnsi" w:cstheme="majorHAnsi"/>
          <w:color w:val="auto"/>
          <w:sz w:val="22"/>
          <w:szCs w:val="22"/>
          <w:lang w:val="en-US"/>
        </w:rPr>
      </w:pPr>
      <w:r w:rsidRPr="00620A3B">
        <w:rPr>
          <w:rFonts w:asciiTheme="majorHAnsi" w:hAnsiTheme="majorHAnsi" w:cstheme="majorHAnsi"/>
          <w:b/>
          <w:color w:val="auto"/>
          <w:sz w:val="22"/>
          <w:szCs w:val="22"/>
          <w:lang w:val="en-US"/>
        </w:rPr>
        <w:t xml:space="preserve">Koordinacija </w:t>
      </w:r>
      <w:r>
        <w:rPr>
          <w:rFonts w:asciiTheme="majorHAnsi" w:hAnsiTheme="majorHAnsi" w:cstheme="majorHAnsi"/>
          <w:b/>
          <w:color w:val="auto"/>
          <w:sz w:val="22"/>
          <w:szCs w:val="22"/>
          <w:lang w:val="en-US"/>
        </w:rPr>
        <w:t>i</w:t>
      </w:r>
      <w:r w:rsidRPr="00620A3B">
        <w:rPr>
          <w:rFonts w:asciiTheme="majorHAnsi" w:hAnsiTheme="majorHAnsi" w:cstheme="majorHAnsi"/>
          <w:b/>
          <w:color w:val="auto"/>
          <w:sz w:val="22"/>
          <w:szCs w:val="22"/>
          <w:lang w:val="en-US"/>
        </w:rPr>
        <w:t xml:space="preserve"> organizaciona struktura za upravljanje </w:t>
      </w:r>
      <w:r>
        <w:rPr>
          <w:rFonts w:asciiTheme="majorHAnsi" w:hAnsiTheme="majorHAnsi" w:cstheme="majorHAnsi"/>
          <w:b/>
          <w:color w:val="auto"/>
          <w:sz w:val="22"/>
          <w:szCs w:val="22"/>
          <w:lang w:val="en-US"/>
        </w:rPr>
        <w:t>i</w:t>
      </w:r>
      <w:r w:rsidRPr="00620A3B">
        <w:rPr>
          <w:rFonts w:asciiTheme="majorHAnsi" w:hAnsiTheme="majorHAnsi" w:cstheme="majorHAnsi"/>
          <w:b/>
          <w:color w:val="auto"/>
          <w:sz w:val="22"/>
          <w:szCs w:val="22"/>
          <w:lang w:val="en-US"/>
        </w:rPr>
        <w:t xml:space="preserve"> praćenje reforme javne uprave</w:t>
      </w:r>
      <w:r w:rsidR="00BC60FF">
        <w:rPr>
          <w:rFonts w:asciiTheme="majorHAnsi" w:hAnsiTheme="majorHAnsi" w:cstheme="majorHAnsi"/>
          <w:b/>
          <w:color w:val="auto"/>
          <w:sz w:val="22"/>
          <w:szCs w:val="22"/>
          <w:lang w:val="en-US"/>
        </w:rPr>
        <w:t xml:space="preserve"> 2022-2026</w:t>
      </w:r>
      <w:r>
        <w:rPr>
          <w:rFonts w:asciiTheme="majorHAnsi" w:hAnsiTheme="majorHAnsi" w:cstheme="majorHAnsi"/>
          <w:color w:val="auto"/>
          <w:sz w:val="22"/>
          <w:szCs w:val="22"/>
          <w:lang w:val="en-US"/>
        </w:rPr>
        <w:t xml:space="preserve"> </w:t>
      </w:r>
    </w:p>
    <w:p w:rsidR="004C0F55" w:rsidRDefault="004C0F55" w:rsidP="004C0F55">
      <w:pPr>
        <w:spacing w:before="60" w:after="60" w:line="240" w:lineRule="auto"/>
        <w:ind w:right="-471"/>
        <w:jc w:val="both"/>
        <w:rPr>
          <w:rFonts w:asciiTheme="majorHAnsi" w:hAnsiTheme="majorHAnsi" w:cstheme="majorHAnsi"/>
          <w:color w:val="auto"/>
          <w:sz w:val="22"/>
          <w:szCs w:val="22"/>
          <w:lang w:val="en-US"/>
        </w:rPr>
      </w:pPr>
    </w:p>
    <w:p w:rsidR="004C0F55" w:rsidRDefault="004C0F55" w:rsidP="004C0F55">
      <w:pPr>
        <w:spacing w:before="60" w:after="60" w:line="240" w:lineRule="auto"/>
        <w:ind w:right="-471"/>
        <w:jc w:val="both"/>
        <w:rPr>
          <w:rFonts w:asciiTheme="majorHAnsi" w:hAnsiTheme="majorHAnsi" w:cstheme="majorHAnsi"/>
          <w:color w:val="auto"/>
          <w:sz w:val="22"/>
          <w:szCs w:val="22"/>
          <w:lang w:val="en-US"/>
        </w:rPr>
      </w:pPr>
      <w:r>
        <w:rPr>
          <w:rFonts w:asciiTheme="majorHAnsi" w:hAnsiTheme="majorHAnsi" w:cstheme="majorHAnsi"/>
          <w:noProof/>
          <w:color w:val="auto"/>
          <w:sz w:val="22"/>
          <w:szCs w:val="22"/>
          <w:lang w:eastAsia="sr-Latn-RS"/>
        </w:rPr>
        <w:lastRenderedPageBreak/>
        <w:drawing>
          <wp:inline distT="0" distB="0" distL="0" distR="0" wp14:anchorId="68CECE4C" wp14:editId="641ABB45">
            <wp:extent cx="6134100" cy="3695700"/>
            <wp:effectExtent l="0" t="0" r="1905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4C0F55" w:rsidRPr="00905CFA" w:rsidRDefault="004C0F55" w:rsidP="004C0F55">
      <w:pPr>
        <w:spacing w:before="60" w:after="60" w:line="240" w:lineRule="auto"/>
        <w:ind w:right="-471"/>
        <w:jc w:val="both"/>
        <w:rPr>
          <w:rFonts w:asciiTheme="majorHAnsi" w:hAnsiTheme="majorHAnsi" w:cstheme="majorHAnsi"/>
          <w:color w:val="auto"/>
          <w:sz w:val="24"/>
          <w:szCs w:val="24"/>
        </w:rPr>
      </w:pPr>
      <w:r w:rsidRPr="00905CFA">
        <w:rPr>
          <w:rFonts w:asciiTheme="majorHAnsi" w:hAnsiTheme="majorHAnsi" w:cstheme="majorHAnsi"/>
          <w:color w:val="auto"/>
          <w:sz w:val="24"/>
          <w:szCs w:val="24"/>
        </w:rPr>
        <w:t xml:space="preserve">Imajući u vidu opseg, ciljeve, aktivnosti </w:t>
      </w:r>
      <w:r w:rsidR="00905CFA">
        <w:rPr>
          <w:rFonts w:asciiTheme="majorHAnsi" w:hAnsiTheme="majorHAnsi" w:cstheme="majorHAnsi"/>
          <w:color w:val="auto"/>
          <w:sz w:val="24"/>
          <w:szCs w:val="24"/>
        </w:rPr>
        <w:t>i</w:t>
      </w:r>
      <w:r w:rsidRPr="00905CFA">
        <w:rPr>
          <w:rFonts w:asciiTheme="majorHAnsi" w:hAnsiTheme="majorHAnsi" w:cstheme="majorHAnsi"/>
          <w:color w:val="auto"/>
          <w:sz w:val="24"/>
          <w:szCs w:val="24"/>
        </w:rPr>
        <w:t xml:space="preserve"> indikatore potrebne za implem</w:t>
      </w:r>
      <w:r w:rsidR="00905CFA">
        <w:rPr>
          <w:rFonts w:asciiTheme="majorHAnsi" w:hAnsiTheme="majorHAnsi" w:cstheme="majorHAnsi"/>
          <w:color w:val="auto"/>
          <w:sz w:val="24"/>
          <w:szCs w:val="24"/>
        </w:rPr>
        <w:t>en</w:t>
      </w:r>
      <w:r w:rsidRPr="00905CFA">
        <w:rPr>
          <w:rFonts w:asciiTheme="majorHAnsi" w:hAnsiTheme="majorHAnsi" w:cstheme="majorHAnsi"/>
          <w:color w:val="auto"/>
          <w:sz w:val="24"/>
          <w:szCs w:val="24"/>
        </w:rPr>
        <w:t>taciju nove St</w:t>
      </w:r>
      <w:r w:rsidR="00905CFA">
        <w:rPr>
          <w:rFonts w:asciiTheme="majorHAnsi" w:hAnsiTheme="majorHAnsi" w:cstheme="majorHAnsi"/>
          <w:color w:val="auto"/>
          <w:sz w:val="24"/>
          <w:szCs w:val="24"/>
        </w:rPr>
        <w:t>r</w:t>
      </w:r>
      <w:r w:rsidRPr="00905CFA">
        <w:rPr>
          <w:rFonts w:asciiTheme="majorHAnsi" w:hAnsiTheme="majorHAnsi" w:cstheme="majorHAnsi"/>
          <w:color w:val="auto"/>
          <w:sz w:val="24"/>
          <w:szCs w:val="24"/>
        </w:rPr>
        <w:t>ategije, pažljivo se pristipul</w:t>
      </w:r>
      <w:r w:rsidR="00905CFA">
        <w:rPr>
          <w:rFonts w:asciiTheme="majorHAnsi" w:hAnsiTheme="majorHAnsi" w:cstheme="majorHAnsi"/>
          <w:color w:val="auto"/>
          <w:sz w:val="24"/>
          <w:szCs w:val="24"/>
        </w:rPr>
        <w:t>o</w:t>
      </w:r>
      <w:r w:rsidRPr="00905CFA">
        <w:rPr>
          <w:rFonts w:asciiTheme="majorHAnsi" w:hAnsiTheme="majorHAnsi" w:cstheme="majorHAnsi"/>
          <w:color w:val="auto"/>
          <w:sz w:val="24"/>
          <w:szCs w:val="24"/>
        </w:rPr>
        <w:t xml:space="preserve">  planiranju načina </w:t>
      </w:r>
      <w:r w:rsidR="00905CFA">
        <w:rPr>
          <w:rFonts w:asciiTheme="majorHAnsi" w:hAnsiTheme="majorHAnsi" w:cstheme="majorHAnsi"/>
          <w:color w:val="auto"/>
          <w:sz w:val="24"/>
          <w:szCs w:val="24"/>
        </w:rPr>
        <w:t>i</w:t>
      </w:r>
      <w:r w:rsidRPr="00905CFA">
        <w:rPr>
          <w:rFonts w:asciiTheme="majorHAnsi" w:hAnsiTheme="majorHAnsi" w:cstheme="majorHAnsi"/>
          <w:color w:val="auto"/>
          <w:sz w:val="24"/>
          <w:szCs w:val="24"/>
        </w:rPr>
        <w:t xml:space="preserve"> stru</w:t>
      </w:r>
      <w:r w:rsidR="00905CFA">
        <w:rPr>
          <w:rFonts w:asciiTheme="majorHAnsi" w:hAnsiTheme="majorHAnsi" w:cstheme="majorHAnsi"/>
          <w:color w:val="auto"/>
          <w:sz w:val="24"/>
          <w:szCs w:val="24"/>
        </w:rPr>
        <w:t>k</w:t>
      </w:r>
      <w:r w:rsidRPr="00905CFA">
        <w:rPr>
          <w:rFonts w:asciiTheme="majorHAnsi" w:hAnsiTheme="majorHAnsi" w:cstheme="majorHAnsi"/>
          <w:color w:val="auto"/>
          <w:sz w:val="24"/>
          <w:szCs w:val="24"/>
        </w:rPr>
        <w:t xml:space="preserve">ture koordinacije </w:t>
      </w:r>
      <w:r w:rsidR="00905CFA">
        <w:rPr>
          <w:rFonts w:asciiTheme="majorHAnsi" w:hAnsiTheme="majorHAnsi" w:cstheme="majorHAnsi"/>
          <w:color w:val="auto"/>
          <w:sz w:val="24"/>
          <w:szCs w:val="24"/>
        </w:rPr>
        <w:t>o</w:t>
      </w:r>
      <w:r w:rsidRPr="00905CFA">
        <w:rPr>
          <w:rFonts w:asciiTheme="majorHAnsi" w:hAnsiTheme="majorHAnsi" w:cstheme="majorHAnsi"/>
          <w:color w:val="auto"/>
          <w:sz w:val="24"/>
          <w:szCs w:val="24"/>
        </w:rPr>
        <w:t>vog važnog procesa.</w:t>
      </w:r>
    </w:p>
    <w:p w:rsidR="004C0F55" w:rsidRPr="00905CFA" w:rsidRDefault="004C0F55" w:rsidP="004C0F55">
      <w:pPr>
        <w:spacing w:before="60" w:after="60" w:line="240" w:lineRule="auto"/>
        <w:ind w:right="-471"/>
        <w:jc w:val="both"/>
        <w:rPr>
          <w:rFonts w:asciiTheme="majorHAnsi" w:hAnsiTheme="majorHAnsi" w:cstheme="majorHAnsi"/>
          <w:color w:val="auto"/>
          <w:sz w:val="24"/>
          <w:szCs w:val="24"/>
        </w:rPr>
      </w:pPr>
      <w:r w:rsidRPr="00905CFA">
        <w:rPr>
          <w:rFonts w:asciiTheme="majorHAnsi" w:hAnsiTheme="majorHAnsi" w:cstheme="majorHAnsi"/>
          <w:color w:val="auto"/>
          <w:sz w:val="24"/>
          <w:szCs w:val="24"/>
        </w:rPr>
        <w:t xml:space="preserve">Na ovo posebno podstiče </w:t>
      </w:r>
      <w:r w:rsidR="00905CFA">
        <w:rPr>
          <w:rFonts w:asciiTheme="majorHAnsi" w:hAnsiTheme="majorHAnsi" w:cstheme="majorHAnsi"/>
          <w:color w:val="auto"/>
          <w:sz w:val="24"/>
          <w:szCs w:val="24"/>
        </w:rPr>
        <w:t>i</w:t>
      </w:r>
      <w:r w:rsidRPr="00905CFA">
        <w:rPr>
          <w:rFonts w:asciiTheme="majorHAnsi" w:hAnsiTheme="majorHAnsi" w:cstheme="majorHAnsi"/>
          <w:color w:val="auto"/>
          <w:sz w:val="24"/>
          <w:szCs w:val="24"/>
        </w:rPr>
        <w:t xml:space="preserve"> činjenica da je opseg Strategije proširen </w:t>
      </w:r>
      <w:r w:rsidR="00905CFA">
        <w:rPr>
          <w:rFonts w:asciiTheme="majorHAnsi" w:hAnsiTheme="majorHAnsi" w:cstheme="majorHAnsi"/>
          <w:color w:val="auto"/>
          <w:sz w:val="24"/>
          <w:szCs w:val="24"/>
        </w:rPr>
        <w:t>i</w:t>
      </w:r>
      <w:r w:rsidRPr="00905CFA">
        <w:rPr>
          <w:rFonts w:asciiTheme="majorHAnsi" w:hAnsiTheme="majorHAnsi" w:cstheme="majorHAnsi"/>
          <w:color w:val="auto"/>
          <w:sz w:val="24"/>
          <w:szCs w:val="24"/>
        </w:rPr>
        <w:t xml:space="preserve"> da obuhvata preko 700 insti</w:t>
      </w:r>
      <w:r w:rsidR="00905CFA">
        <w:rPr>
          <w:rFonts w:asciiTheme="majorHAnsi" w:hAnsiTheme="majorHAnsi" w:cstheme="majorHAnsi"/>
          <w:color w:val="auto"/>
          <w:sz w:val="24"/>
          <w:szCs w:val="24"/>
        </w:rPr>
        <w:t>t</w:t>
      </w:r>
      <w:r w:rsidRPr="00905CFA">
        <w:rPr>
          <w:rFonts w:asciiTheme="majorHAnsi" w:hAnsiTheme="majorHAnsi" w:cstheme="majorHAnsi"/>
          <w:color w:val="auto"/>
          <w:sz w:val="24"/>
          <w:szCs w:val="24"/>
        </w:rPr>
        <w:t xml:space="preserve">ucija u sistemu javne uprave, da je pitanje optimizacije postavljeno kao sastavni dio </w:t>
      </w:r>
      <w:r w:rsidR="00905CFA">
        <w:rPr>
          <w:rFonts w:asciiTheme="majorHAnsi" w:hAnsiTheme="majorHAnsi" w:cstheme="majorHAnsi"/>
          <w:color w:val="auto"/>
          <w:sz w:val="24"/>
          <w:szCs w:val="24"/>
        </w:rPr>
        <w:t>strategije</w:t>
      </w:r>
      <w:r w:rsidRPr="00905CFA">
        <w:rPr>
          <w:rFonts w:asciiTheme="majorHAnsi" w:hAnsiTheme="majorHAnsi" w:cstheme="majorHAnsi"/>
          <w:color w:val="auto"/>
          <w:sz w:val="24"/>
          <w:szCs w:val="24"/>
        </w:rPr>
        <w:t xml:space="preserve">, da postoji komplemtarnost </w:t>
      </w:r>
      <w:r w:rsidR="00905CFA">
        <w:rPr>
          <w:rFonts w:asciiTheme="majorHAnsi" w:hAnsiTheme="majorHAnsi" w:cstheme="majorHAnsi"/>
          <w:color w:val="auto"/>
          <w:sz w:val="24"/>
          <w:szCs w:val="24"/>
        </w:rPr>
        <w:t>i</w:t>
      </w:r>
      <w:r w:rsidRPr="00905CFA">
        <w:rPr>
          <w:rFonts w:asciiTheme="majorHAnsi" w:hAnsiTheme="majorHAnsi" w:cstheme="majorHAnsi"/>
          <w:color w:val="auto"/>
          <w:sz w:val="24"/>
          <w:szCs w:val="24"/>
        </w:rPr>
        <w:t xml:space="preserve"> potreba praćenja rezultata </w:t>
      </w:r>
      <w:r w:rsidR="00905CFA">
        <w:rPr>
          <w:rFonts w:asciiTheme="majorHAnsi" w:hAnsiTheme="majorHAnsi" w:cstheme="majorHAnsi"/>
          <w:color w:val="auto"/>
          <w:sz w:val="24"/>
          <w:szCs w:val="24"/>
        </w:rPr>
        <w:t>i</w:t>
      </w:r>
      <w:r w:rsidRPr="00905CFA">
        <w:rPr>
          <w:rFonts w:asciiTheme="majorHAnsi" w:hAnsiTheme="majorHAnsi" w:cstheme="majorHAnsi"/>
          <w:color w:val="auto"/>
          <w:sz w:val="24"/>
          <w:szCs w:val="24"/>
        </w:rPr>
        <w:t xml:space="preserve"> u drugim strategijama.</w:t>
      </w:r>
    </w:p>
    <w:p w:rsidR="004C0F55" w:rsidRPr="00905CFA" w:rsidRDefault="004C0F55" w:rsidP="004C0F55">
      <w:pPr>
        <w:spacing w:before="60" w:after="60" w:line="240" w:lineRule="auto"/>
        <w:ind w:right="-471"/>
        <w:jc w:val="both"/>
        <w:rPr>
          <w:rFonts w:asciiTheme="majorHAnsi" w:hAnsiTheme="majorHAnsi" w:cstheme="majorHAnsi"/>
          <w:color w:val="auto"/>
          <w:sz w:val="24"/>
          <w:szCs w:val="24"/>
        </w:rPr>
      </w:pPr>
      <w:r w:rsidRPr="00905CFA">
        <w:rPr>
          <w:rFonts w:asciiTheme="majorHAnsi" w:hAnsiTheme="majorHAnsi" w:cstheme="majorHAnsi"/>
          <w:color w:val="auto"/>
          <w:sz w:val="24"/>
          <w:szCs w:val="24"/>
        </w:rPr>
        <w:t xml:space="preserve">Politička </w:t>
      </w:r>
      <w:r w:rsidR="00905CFA">
        <w:rPr>
          <w:rFonts w:asciiTheme="majorHAnsi" w:hAnsiTheme="majorHAnsi" w:cstheme="majorHAnsi"/>
          <w:color w:val="auto"/>
          <w:sz w:val="24"/>
          <w:szCs w:val="24"/>
        </w:rPr>
        <w:t>i</w:t>
      </w:r>
      <w:r w:rsidRPr="00905CFA">
        <w:rPr>
          <w:rFonts w:asciiTheme="majorHAnsi" w:hAnsiTheme="majorHAnsi" w:cstheme="majorHAnsi"/>
          <w:color w:val="auto"/>
          <w:sz w:val="24"/>
          <w:szCs w:val="24"/>
        </w:rPr>
        <w:t xml:space="preserve"> administrativna struktura u procesu praćenja reforem javne uprave ostaje nepromijenjena </w:t>
      </w:r>
      <w:r w:rsidR="00905CFA">
        <w:rPr>
          <w:rFonts w:asciiTheme="majorHAnsi" w:hAnsiTheme="majorHAnsi" w:cstheme="majorHAnsi"/>
          <w:color w:val="auto"/>
          <w:sz w:val="24"/>
          <w:szCs w:val="24"/>
        </w:rPr>
        <w:t>t</w:t>
      </w:r>
      <w:r w:rsidRPr="00905CFA">
        <w:rPr>
          <w:rFonts w:asciiTheme="majorHAnsi" w:hAnsiTheme="majorHAnsi" w:cstheme="majorHAnsi"/>
          <w:color w:val="auto"/>
          <w:sz w:val="24"/>
          <w:szCs w:val="24"/>
        </w:rPr>
        <w:t xml:space="preserve">e je prethodno iskustvo pokazalo da ne treba usložnjavati nivoe </w:t>
      </w:r>
      <w:r w:rsidR="00905CFA">
        <w:rPr>
          <w:rFonts w:asciiTheme="majorHAnsi" w:hAnsiTheme="majorHAnsi" w:cstheme="majorHAnsi"/>
          <w:color w:val="auto"/>
          <w:sz w:val="24"/>
          <w:szCs w:val="24"/>
        </w:rPr>
        <w:t>i</w:t>
      </w:r>
      <w:r w:rsidRPr="00905CFA">
        <w:rPr>
          <w:rFonts w:asciiTheme="majorHAnsi" w:hAnsiTheme="majorHAnsi" w:cstheme="majorHAnsi"/>
          <w:color w:val="auto"/>
          <w:sz w:val="24"/>
          <w:szCs w:val="24"/>
        </w:rPr>
        <w:t xml:space="preserve"> me</w:t>
      </w:r>
      <w:r w:rsidR="00905CFA">
        <w:rPr>
          <w:rFonts w:asciiTheme="majorHAnsi" w:hAnsiTheme="majorHAnsi" w:cstheme="majorHAnsi"/>
          <w:color w:val="auto"/>
          <w:sz w:val="24"/>
          <w:szCs w:val="24"/>
        </w:rPr>
        <w:t>ha</w:t>
      </w:r>
      <w:r w:rsidRPr="00905CFA">
        <w:rPr>
          <w:rFonts w:asciiTheme="majorHAnsi" w:hAnsiTheme="majorHAnsi" w:cstheme="majorHAnsi"/>
          <w:color w:val="auto"/>
          <w:sz w:val="24"/>
          <w:szCs w:val="24"/>
        </w:rPr>
        <w:t xml:space="preserve">nizme kordinacije već učiniti da ona bude jednostvna </w:t>
      </w:r>
      <w:r w:rsidR="00905CFA">
        <w:rPr>
          <w:rFonts w:asciiTheme="majorHAnsi" w:hAnsiTheme="majorHAnsi" w:cstheme="majorHAnsi"/>
          <w:color w:val="auto"/>
          <w:sz w:val="24"/>
          <w:szCs w:val="24"/>
        </w:rPr>
        <w:t>i</w:t>
      </w:r>
      <w:r w:rsidRPr="00905CFA">
        <w:rPr>
          <w:rFonts w:asciiTheme="majorHAnsi" w:hAnsiTheme="majorHAnsi" w:cstheme="majorHAnsi"/>
          <w:color w:val="auto"/>
          <w:sz w:val="24"/>
          <w:szCs w:val="24"/>
        </w:rPr>
        <w:t xml:space="preserve"> efikasna. </w:t>
      </w:r>
    </w:p>
    <w:p w:rsidR="004C0F55" w:rsidRPr="00905CFA" w:rsidRDefault="004C0F55" w:rsidP="004C0F55">
      <w:pPr>
        <w:spacing w:before="60" w:after="60" w:line="240" w:lineRule="auto"/>
        <w:ind w:right="-471"/>
        <w:jc w:val="both"/>
        <w:rPr>
          <w:rFonts w:asciiTheme="majorHAnsi" w:hAnsiTheme="majorHAnsi" w:cstheme="majorHAnsi"/>
          <w:color w:val="auto"/>
          <w:sz w:val="24"/>
          <w:szCs w:val="24"/>
        </w:rPr>
      </w:pPr>
      <w:r w:rsidRPr="00905CFA">
        <w:rPr>
          <w:rFonts w:asciiTheme="majorHAnsi" w:hAnsiTheme="majorHAnsi" w:cstheme="majorHAnsi"/>
          <w:color w:val="auto"/>
          <w:sz w:val="24"/>
          <w:szCs w:val="24"/>
        </w:rPr>
        <w:t>Savjet, kao savjetodavno tijelo Vlade, shodno o</w:t>
      </w:r>
      <w:r w:rsidR="00905CFA">
        <w:rPr>
          <w:rFonts w:asciiTheme="majorHAnsi" w:hAnsiTheme="majorHAnsi" w:cstheme="majorHAnsi"/>
          <w:color w:val="auto"/>
          <w:sz w:val="24"/>
          <w:szCs w:val="24"/>
        </w:rPr>
        <w:t>d</w:t>
      </w:r>
      <w:r w:rsidRPr="00905CFA">
        <w:rPr>
          <w:rFonts w:asciiTheme="majorHAnsi" w:hAnsiTheme="majorHAnsi" w:cstheme="majorHAnsi"/>
          <w:color w:val="auto"/>
          <w:sz w:val="24"/>
          <w:szCs w:val="24"/>
        </w:rPr>
        <w:t>luci o osnivanju prati realiz</w:t>
      </w:r>
      <w:r w:rsidR="00905CFA">
        <w:rPr>
          <w:rFonts w:asciiTheme="majorHAnsi" w:hAnsiTheme="majorHAnsi" w:cstheme="majorHAnsi"/>
          <w:color w:val="auto"/>
          <w:sz w:val="24"/>
          <w:szCs w:val="24"/>
        </w:rPr>
        <w:t>a</w:t>
      </w:r>
      <w:r w:rsidRPr="00905CFA">
        <w:rPr>
          <w:rFonts w:asciiTheme="majorHAnsi" w:hAnsiTheme="majorHAnsi" w:cstheme="majorHAnsi"/>
          <w:color w:val="auto"/>
          <w:sz w:val="24"/>
          <w:szCs w:val="24"/>
        </w:rPr>
        <w:t xml:space="preserve">ciju Strategije </w:t>
      </w:r>
      <w:r w:rsidR="00905CFA">
        <w:rPr>
          <w:rFonts w:asciiTheme="majorHAnsi" w:hAnsiTheme="majorHAnsi" w:cstheme="majorHAnsi"/>
          <w:color w:val="auto"/>
          <w:sz w:val="24"/>
          <w:szCs w:val="24"/>
        </w:rPr>
        <w:t>r</w:t>
      </w:r>
      <w:r w:rsidRPr="00905CFA">
        <w:rPr>
          <w:rFonts w:asciiTheme="majorHAnsi" w:hAnsiTheme="majorHAnsi" w:cstheme="majorHAnsi"/>
          <w:color w:val="auto"/>
          <w:sz w:val="24"/>
          <w:szCs w:val="24"/>
        </w:rPr>
        <w:t xml:space="preserve">eforme javne uprave </w:t>
      </w:r>
      <w:r w:rsidR="00905CFA">
        <w:rPr>
          <w:rFonts w:asciiTheme="majorHAnsi" w:hAnsiTheme="majorHAnsi" w:cstheme="majorHAnsi"/>
          <w:color w:val="auto"/>
          <w:sz w:val="24"/>
          <w:szCs w:val="24"/>
        </w:rPr>
        <w:t>i</w:t>
      </w:r>
      <w:r w:rsidRPr="00905CFA">
        <w:rPr>
          <w:rFonts w:asciiTheme="majorHAnsi" w:hAnsiTheme="majorHAnsi" w:cstheme="majorHAnsi"/>
          <w:color w:val="auto"/>
          <w:sz w:val="24"/>
          <w:szCs w:val="24"/>
        </w:rPr>
        <w:t xml:space="preserve"> programa upravljanja j</w:t>
      </w:r>
      <w:r w:rsidR="00905CFA">
        <w:rPr>
          <w:rFonts w:asciiTheme="majorHAnsi" w:hAnsiTheme="majorHAnsi" w:cstheme="majorHAnsi"/>
          <w:color w:val="auto"/>
          <w:sz w:val="24"/>
          <w:szCs w:val="24"/>
        </w:rPr>
        <w:t>a</w:t>
      </w:r>
      <w:r w:rsidRPr="00905CFA">
        <w:rPr>
          <w:rFonts w:asciiTheme="majorHAnsi" w:hAnsiTheme="majorHAnsi" w:cstheme="majorHAnsi"/>
          <w:color w:val="auto"/>
          <w:sz w:val="24"/>
          <w:szCs w:val="24"/>
        </w:rPr>
        <w:t>vnim finansija.</w:t>
      </w:r>
    </w:p>
    <w:p w:rsidR="004C0F55" w:rsidRPr="00905CFA" w:rsidRDefault="004C0F55" w:rsidP="004C0F55">
      <w:pPr>
        <w:spacing w:before="60" w:after="60" w:line="240" w:lineRule="auto"/>
        <w:ind w:right="-471"/>
        <w:jc w:val="both"/>
        <w:rPr>
          <w:rFonts w:asciiTheme="majorHAnsi" w:hAnsiTheme="majorHAnsi" w:cstheme="majorHAnsi"/>
          <w:color w:val="auto"/>
          <w:sz w:val="24"/>
          <w:szCs w:val="24"/>
        </w:rPr>
      </w:pPr>
      <w:r w:rsidRPr="00905CFA">
        <w:rPr>
          <w:rFonts w:asciiTheme="majorHAnsi" w:hAnsiTheme="majorHAnsi" w:cstheme="majorHAnsi"/>
          <w:color w:val="auto"/>
          <w:sz w:val="24"/>
          <w:szCs w:val="24"/>
        </w:rPr>
        <w:t>Sa druge strane, na admistrativnom nivou, u okviru Savjeta, bi</w:t>
      </w:r>
      <w:r w:rsidR="00C93BA5">
        <w:rPr>
          <w:rFonts w:asciiTheme="majorHAnsi" w:hAnsiTheme="majorHAnsi" w:cstheme="majorHAnsi"/>
          <w:color w:val="auto"/>
          <w:sz w:val="24"/>
          <w:szCs w:val="24"/>
        </w:rPr>
        <w:t>ć</w:t>
      </w:r>
      <w:r w:rsidRPr="00905CFA">
        <w:rPr>
          <w:rFonts w:asciiTheme="majorHAnsi" w:hAnsiTheme="majorHAnsi" w:cstheme="majorHAnsi"/>
          <w:color w:val="auto"/>
          <w:sz w:val="24"/>
          <w:szCs w:val="24"/>
        </w:rPr>
        <w:t xml:space="preserve">e formirani posebni kordinacioni timovi koji će imati </w:t>
      </w:r>
      <w:r w:rsidR="00C93BA5">
        <w:rPr>
          <w:rFonts w:asciiTheme="majorHAnsi" w:hAnsiTheme="majorHAnsi" w:cstheme="majorHAnsi"/>
          <w:color w:val="auto"/>
          <w:sz w:val="24"/>
          <w:szCs w:val="24"/>
        </w:rPr>
        <w:t>glavnu</w:t>
      </w:r>
      <w:r w:rsidRPr="00905CFA">
        <w:rPr>
          <w:rFonts w:asciiTheme="majorHAnsi" w:hAnsiTheme="majorHAnsi" w:cstheme="majorHAnsi"/>
          <w:color w:val="auto"/>
          <w:sz w:val="24"/>
          <w:szCs w:val="24"/>
        </w:rPr>
        <w:t xml:space="preserve"> kont</w:t>
      </w:r>
      <w:r w:rsidR="00C93BA5">
        <w:rPr>
          <w:rFonts w:asciiTheme="majorHAnsi" w:hAnsiTheme="majorHAnsi" w:cstheme="majorHAnsi"/>
          <w:color w:val="auto"/>
          <w:sz w:val="24"/>
          <w:szCs w:val="24"/>
        </w:rPr>
        <w:t>akt</w:t>
      </w:r>
      <w:r w:rsidRPr="00905CFA">
        <w:rPr>
          <w:rFonts w:asciiTheme="majorHAnsi" w:hAnsiTheme="majorHAnsi" w:cstheme="majorHAnsi"/>
          <w:color w:val="auto"/>
          <w:sz w:val="24"/>
          <w:szCs w:val="24"/>
        </w:rPr>
        <w:t xml:space="preserve"> osobu zaduženu za svaki od strateških ciljeva kako bi process prikupljanja podatak</w:t>
      </w:r>
      <w:r w:rsidR="00C93BA5">
        <w:rPr>
          <w:rFonts w:asciiTheme="majorHAnsi" w:hAnsiTheme="majorHAnsi" w:cstheme="majorHAnsi"/>
          <w:color w:val="auto"/>
          <w:sz w:val="24"/>
          <w:szCs w:val="24"/>
        </w:rPr>
        <w:t>a</w:t>
      </w:r>
      <w:r w:rsidRPr="00905CFA">
        <w:rPr>
          <w:rFonts w:asciiTheme="majorHAnsi" w:hAnsiTheme="majorHAnsi" w:cstheme="majorHAnsi"/>
          <w:color w:val="auto"/>
          <w:sz w:val="24"/>
          <w:szCs w:val="24"/>
        </w:rPr>
        <w:t xml:space="preserve"> </w:t>
      </w:r>
      <w:r w:rsidR="00C93BA5">
        <w:rPr>
          <w:rFonts w:asciiTheme="majorHAnsi" w:hAnsiTheme="majorHAnsi" w:cstheme="majorHAnsi"/>
          <w:color w:val="auto"/>
          <w:sz w:val="24"/>
          <w:szCs w:val="24"/>
        </w:rPr>
        <w:t>i</w:t>
      </w:r>
      <w:r w:rsidRPr="00905CFA">
        <w:rPr>
          <w:rFonts w:asciiTheme="majorHAnsi" w:hAnsiTheme="majorHAnsi" w:cstheme="majorHAnsi"/>
          <w:color w:val="auto"/>
          <w:sz w:val="24"/>
          <w:szCs w:val="24"/>
        </w:rPr>
        <w:t xml:space="preserve"> izvještavn</w:t>
      </w:r>
      <w:r w:rsidR="00C93BA5">
        <w:rPr>
          <w:rFonts w:asciiTheme="majorHAnsi" w:hAnsiTheme="majorHAnsi" w:cstheme="majorHAnsi"/>
          <w:color w:val="auto"/>
          <w:sz w:val="24"/>
          <w:szCs w:val="24"/>
        </w:rPr>
        <w:t>ja</w:t>
      </w:r>
      <w:r w:rsidRPr="00905CFA">
        <w:rPr>
          <w:rFonts w:asciiTheme="majorHAnsi" w:hAnsiTheme="majorHAnsi" w:cstheme="majorHAnsi"/>
          <w:color w:val="auto"/>
          <w:sz w:val="24"/>
          <w:szCs w:val="24"/>
        </w:rPr>
        <w:t xml:space="preserve"> bio efikasniji.</w:t>
      </w:r>
    </w:p>
    <w:p w:rsidR="00BC60FF" w:rsidRDefault="004C0F55" w:rsidP="004C0F55">
      <w:pPr>
        <w:spacing w:before="60" w:after="60" w:line="240" w:lineRule="auto"/>
        <w:ind w:right="-471"/>
        <w:jc w:val="both"/>
        <w:rPr>
          <w:rFonts w:asciiTheme="majorHAnsi" w:hAnsiTheme="majorHAnsi" w:cstheme="majorHAnsi"/>
          <w:color w:val="auto"/>
          <w:sz w:val="24"/>
          <w:szCs w:val="24"/>
        </w:rPr>
      </w:pPr>
      <w:r w:rsidRPr="00C93BA5">
        <w:rPr>
          <w:rFonts w:asciiTheme="majorHAnsi" w:hAnsiTheme="majorHAnsi" w:cstheme="majorHAnsi"/>
          <w:color w:val="auto"/>
          <w:sz w:val="24"/>
          <w:szCs w:val="24"/>
        </w:rPr>
        <w:t>Ovakva organizacion</w:t>
      </w:r>
      <w:r w:rsidR="00C93BA5">
        <w:rPr>
          <w:rFonts w:asciiTheme="majorHAnsi" w:hAnsiTheme="majorHAnsi" w:cstheme="majorHAnsi"/>
          <w:color w:val="auto"/>
          <w:sz w:val="24"/>
          <w:szCs w:val="24"/>
        </w:rPr>
        <w:t xml:space="preserve">a </w:t>
      </w:r>
      <w:r w:rsidRPr="00C93BA5">
        <w:rPr>
          <w:rFonts w:asciiTheme="majorHAnsi" w:hAnsiTheme="majorHAnsi" w:cstheme="majorHAnsi"/>
          <w:color w:val="auto"/>
          <w:sz w:val="24"/>
          <w:szCs w:val="24"/>
        </w:rPr>
        <w:t xml:space="preserve">struktura </w:t>
      </w:r>
      <w:r w:rsidR="00C93BA5">
        <w:rPr>
          <w:rFonts w:asciiTheme="majorHAnsi" w:hAnsiTheme="majorHAnsi" w:cstheme="majorHAnsi"/>
          <w:color w:val="auto"/>
          <w:sz w:val="24"/>
          <w:szCs w:val="24"/>
        </w:rPr>
        <w:t>i</w:t>
      </w:r>
      <w:r w:rsidRPr="00C93BA5">
        <w:rPr>
          <w:rFonts w:asciiTheme="majorHAnsi" w:hAnsiTheme="majorHAnsi" w:cstheme="majorHAnsi"/>
          <w:color w:val="auto"/>
          <w:sz w:val="24"/>
          <w:szCs w:val="24"/>
        </w:rPr>
        <w:t xml:space="preserve"> složenost </w:t>
      </w:r>
      <w:r w:rsidR="00BC60FF">
        <w:rPr>
          <w:rFonts w:asciiTheme="majorHAnsi" w:hAnsiTheme="majorHAnsi" w:cstheme="majorHAnsi"/>
          <w:color w:val="auto"/>
          <w:sz w:val="24"/>
          <w:szCs w:val="24"/>
        </w:rPr>
        <w:t>procesa za</w:t>
      </w:r>
      <w:r w:rsidRPr="00C93BA5">
        <w:rPr>
          <w:rFonts w:asciiTheme="majorHAnsi" w:hAnsiTheme="majorHAnsi" w:cstheme="majorHAnsi"/>
          <w:color w:val="auto"/>
          <w:sz w:val="24"/>
          <w:szCs w:val="24"/>
        </w:rPr>
        <w:t xml:space="preserve">tijeva dodatno pojačanje kapaciteta Direktorata za strateško planiranje, medjunarodnu saradnju </w:t>
      </w:r>
      <w:r w:rsidR="00C93BA5">
        <w:rPr>
          <w:rFonts w:asciiTheme="majorHAnsi" w:hAnsiTheme="majorHAnsi" w:cstheme="majorHAnsi"/>
          <w:color w:val="auto"/>
          <w:sz w:val="24"/>
          <w:szCs w:val="24"/>
        </w:rPr>
        <w:t>i</w:t>
      </w:r>
      <w:r w:rsidRPr="00C93BA5">
        <w:rPr>
          <w:rFonts w:asciiTheme="majorHAnsi" w:hAnsiTheme="majorHAnsi" w:cstheme="majorHAnsi"/>
          <w:color w:val="auto"/>
          <w:sz w:val="24"/>
          <w:szCs w:val="24"/>
        </w:rPr>
        <w:t xml:space="preserve"> IPA projekte koje ujedno radi monitoring ref</w:t>
      </w:r>
      <w:r w:rsidR="00C93BA5">
        <w:rPr>
          <w:rFonts w:asciiTheme="majorHAnsi" w:hAnsiTheme="majorHAnsi" w:cstheme="majorHAnsi"/>
          <w:color w:val="auto"/>
          <w:sz w:val="24"/>
          <w:szCs w:val="24"/>
        </w:rPr>
        <w:t>orme i</w:t>
      </w:r>
      <w:r w:rsidRPr="00C93BA5">
        <w:rPr>
          <w:rFonts w:asciiTheme="majorHAnsi" w:hAnsiTheme="majorHAnsi" w:cstheme="majorHAnsi"/>
          <w:color w:val="auto"/>
          <w:sz w:val="24"/>
          <w:szCs w:val="24"/>
        </w:rPr>
        <w:t xml:space="preserve"> pruža administrativno tehničku podršku radu Savjeta. </w:t>
      </w:r>
    </w:p>
    <w:p w:rsidR="004C0F55" w:rsidRPr="00C93BA5" w:rsidRDefault="004C0F55" w:rsidP="004C0F55">
      <w:pPr>
        <w:spacing w:before="60" w:after="60" w:line="240" w:lineRule="auto"/>
        <w:ind w:right="-471"/>
        <w:jc w:val="both"/>
        <w:rPr>
          <w:rFonts w:asciiTheme="majorHAnsi" w:hAnsiTheme="majorHAnsi" w:cstheme="majorHAnsi"/>
          <w:color w:val="auto"/>
          <w:sz w:val="24"/>
          <w:szCs w:val="24"/>
        </w:rPr>
      </w:pPr>
      <w:r w:rsidRPr="00BC60FF">
        <w:rPr>
          <w:rFonts w:asciiTheme="majorHAnsi" w:hAnsiTheme="majorHAnsi" w:cstheme="majorHAnsi"/>
          <w:i/>
          <w:color w:val="auto"/>
          <w:sz w:val="24"/>
          <w:szCs w:val="24"/>
        </w:rPr>
        <w:t xml:space="preserve">Naime, </w:t>
      </w:r>
      <w:r w:rsidR="00C93BA5" w:rsidRPr="00BC60FF">
        <w:rPr>
          <w:rFonts w:asciiTheme="majorHAnsi" w:hAnsiTheme="majorHAnsi" w:cstheme="majorHAnsi"/>
          <w:i/>
          <w:color w:val="auto"/>
          <w:sz w:val="24"/>
          <w:szCs w:val="24"/>
        </w:rPr>
        <w:t>p</w:t>
      </w:r>
      <w:r w:rsidRPr="00BC60FF">
        <w:rPr>
          <w:rFonts w:asciiTheme="majorHAnsi" w:hAnsiTheme="majorHAnsi" w:cstheme="majorHAnsi"/>
          <w:i/>
          <w:color w:val="auto"/>
          <w:sz w:val="24"/>
          <w:szCs w:val="24"/>
        </w:rPr>
        <w:t xml:space="preserve">otreba osnivanja sekreterijata za reformu javne uprave kroz projektnu podršku, proizilazi iz iskustva u predhodnom periodu i analize rada Savjeta do sada. Sekreterijat bi doprinio i unaprijedio rad Savjeta, kao i ojačao samu njegovu ulogu, koja za cilj ima da se bavi suštinskim pitanjima od značaja za javnu upravu koja je servisno orjentisana na građane i privredu, a na bazi njihovih </w:t>
      </w:r>
      <w:r w:rsidRPr="00BC60FF">
        <w:rPr>
          <w:rFonts w:asciiTheme="majorHAnsi" w:hAnsiTheme="majorHAnsi" w:cstheme="majorHAnsi"/>
          <w:i/>
          <w:color w:val="auto"/>
          <w:sz w:val="24"/>
          <w:szCs w:val="24"/>
        </w:rPr>
        <w:lastRenderedPageBreak/>
        <w:t>potreba</w:t>
      </w:r>
      <w:r w:rsidRPr="00C93BA5">
        <w:rPr>
          <w:rFonts w:asciiTheme="majorHAnsi" w:hAnsiTheme="majorHAnsi" w:cstheme="majorHAnsi"/>
          <w:color w:val="auto"/>
          <w:sz w:val="24"/>
          <w:szCs w:val="24"/>
        </w:rPr>
        <w:t>. Formiranjem Sekretarijata, kreirala bi se dodatna vrijednost u smislu ekspertske i tehničke podrške. Na taj način, osiguralo bi se detaljno i kontinuirano praćenje realizacije planiranih aktivnosti Savjeta. Intencija  je da se poboljša dijalog kroz aktivno učešće državnih institucija, nvo sektora, akademske zajedni</w:t>
      </w:r>
      <w:r w:rsidR="00C93BA5">
        <w:rPr>
          <w:rFonts w:asciiTheme="majorHAnsi" w:hAnsiTheme="majorHAnsi" w:cstheme="majorHAnsi"/>
          <w:color w:val="auto"/>
          <w:sz w:val="24"/>
          <w:szCs w:val="24"/>
        </w:rPr>
        <w:t>c</w:t>
      </w:r>
      <w:r w:rsidRPr="00C93BA5">
        <w:rPr>
          <w:rFonts w:asciiTheme="majorHAnsi" w:hAnsiTheme="majorHAnsi" w:cstheme="majorHAnsi"/>
          <w:color w:val="auto"/>
          <w:sz w:val="24"/>
          <w:szCs w:val="24"/>
        </w:rPr>
        <w:t xml:space="preserve">e </w:t>
      </w:r>
      <w:r w:rsidR="00C93BA5">
        <w:rPr>
          <w:rFonts w:asciiTheme="majorHAnsi" w:hAnsiTheme="majorHAnsi" w:cstheme="majorHAnsi"/>
          <w:color w:val="auto"/>
          <w:sz w:val="24"/>
          <w:szCs w:val="24"/>
        </w:rPr>
        <w:t>i</w:t>
      </w:r>
      <w:r w:rsidRPr="00C93BA5">
        <w:rPr>
          <w:rFonts w:asciiTheme="majorHAnsi" w:hAnsiTheme="majorHAnsi" w:cstheme="majorHAnsi"/>
          <w:color w:val="auto"/>
          <w:sz w:val="24"/>
          <w:szCs w:val="24"/>
        </w:rPr>
        <w:t xml:space="preserve"> međunarodne zajednice u inicijativama koje se sprovode u okviru Savjeta. </w:t>
      </w:r>
    </w:p>
    <w:p w:rsidR="004C0F55" w:rsidRPr="00C93BA5" w:rsidRDefault="004C0F55" w:rsidP="004C0F55">
      <w:pPr>
        <w:spacing w:before="60" w:after="60" w:line="240" w:lineRule="auto"/>
        <w:ind w:right="-471"/>
        <w:jc w:val="both"/>
        <w:rPr>
          <w:rFonts w:asciiTheme="majorHAnsi" w:hAnsiTheme="majorHAnsi" w:cstheme="majorHAnsi"/>
          <w:color w:val="auto"/>
          <w:sz w:val="24"/>
          <w:szCs w:val="24"/>
        </w:rPr>
      </w:pPr>
      <w:r w:rsidRPr="00C93BA5">
        <w:rPr>
          <w:rFonts w:asciiTheme="majorHAnsi" w:hAnsiTheme="majorHAnsi" w:cstheme="majorHAnsi"/>
          <w:color w:val="auto"/>
          <w:sz w:val="24"/>
          <w:szCs w:val="24"/>
        </w:rPr>
        <w:t>Rad Sekreterijata bi se ogledao u pripremi prijedloga godišnjeg plana rada Savjeta i godišnjeg izvještaja o radu Savjeta, praćenje realizacije zaključaka sa održanih sjednica Savjeta, prikupljanje relevantnih mišljenja za teme planirane agendom Savjeta, održavanje kontinuirane komunikacije sa članovima Savjeta, državnim institucijama,</w:t>
      </w:r>
      <w:r w:rsidR="00C93BA5">
        <w:rPr>
          <w:rFonts w:asciiTheme="majorHAnsi" w:hAnsiTheme="majorHAnsi" w:cstheme="majorHAnsi"/>
          <w:color w:val="auto"/>
          <w:sz w:val="24"/>
          <w:szCs w:val="24"/>
        </w:rPr>
        <w:t xml:space="preserve"> </w:t>
      </w:r>
      <w:r w:rsidRPr="00C93BA5">
        <w:rPr>
          <w:rFonts w:asciiTheme="majorHAnsi" w:hAnsiTheme="majorHAnsi" w:cstheme="majorHAnsi"/>
          <w:color w:val="auto"/>
          <w:sz w:val="24"/>
          <w:szCs w:val="24"/>
        </w:rPr>
        <w:t>nvo, akademskom  i poslovnom zajednicom u cilju definisanja mjera za unapređenje rada javne uprave i usluga koje javna uprava pruža, ekspertska podrška radnim grupama koje su prepoznate kao prioritetne, održavanje okruglih stolova, tehničko-logistička podrška Savjetu, i podrška izgradnji kapaciteta za uspješnu primjenu reforme.</w:t>
      </w:r>
    </w:p>
    <w:p w:rsidR="004C0F55" w:rsidRPr="00C93BA5" w:rsidRDefault="004C0F55" w:rsidP="004C0F55">
      <w:pPr>
        <w:spacing w:before="60" w:after="60" w:line="240" w:lineRule="auto"/>
        <w:ind w:right="-471"/>
        <w:jc w:val="both"/>
        <w:rPr>
          <w:rFonts w:asciiTheme="majorHAnsi" w:hAnsiTheme="majorHAnsi" w:cstheme="majorHAnsi"/>
          <w:color w:val="auto"/>
          <w:sz w:val="24"/>
          <w:szCs w:val="24"/>
        </w:rPr>
      </w:pPr>
      <w:r w:rsidRPr="00C93BA5">
        <w:rPr>
          <w:rFonts w:asciiTheme="majorHAnsi" w:hAnsiTheme="majorHAnsi" w:cstheme="majorHAnsi"/>
          <w:color w:val="auto"/>
          <w:sz w:val="24"/>
          <w:szCs w:val="24"/>
        </w:rPr>
        <w:t>U cilju unapređenje sistema izvještavanja i analize stanja reforme javne uprave, planirana je izrada web portala. Portal ima za cilj da da prikaz svih aktivnosti u realnom vremenu i stepen njihove realizacije, kako bi se ujedno pratio napredak, a i izazovi u implementaciji aktivnosti planiranih za sprovođenje reforme javne uprave.</w:t>
      </w:r>
    </w:p>
    <w:p w:rsidR="00A55958" w:rsidRPr="00C93BA5" w:rsidRDefault="004C0F55" w:rsidP="00153229">
      <w:pPr>
        <w:spacing w:before="60" w:after="60" w:line="240" w:lineRule="auto"/>
        <w:ind w:right="-471"/>
        <w:jc w:val="both"/>
        <w:rPr>
          <w:rFonts w:asciiTheme="majorHAnsi" w:hAnsiTheme="majorHAnsi" w:cstheme="majorHAnsi"/>
          <w:color w:val="auto"/>
          <w:sz w:val="24"/>
          <w:szCs w:val="24"/>
        </w:rPr>
      </w:pPr>
      <w:r w:rsidRPr="00C93BA5">
        <w:rPr>
          <w:rFonts w:asciiTheme="majorHAnsi" w:hAnsiTheme="majorHAnsi" w:cstheme="majorHAnsi"/>
          <w:color w:val="auto"/>
          <w:sz w:val="24"/>
          <w:szCs w:val="24"/>
        </w:rPr>
        <w:t xml:space="preserve">Planirani koncept, osim sto bi unaprijedio kapacitete za sprovođenje reforme javne uprave, olakšao </w:t>
      </w:r>
      <w:r w:rsidR="00C93BA5">
        <w:rPr>
          <w:rFonts w:asciiTheme="majorHAnsi" w:hAnsiTheme="majorHAnsi" w:cstheme="majorHAnsi"/>
          <w:color w:val="auto"/>
          <w:sz w:val="24"/>
          <w:szCs w:val="24"/>
        </w:rPr>
        <w:t>i</w:t>
      </w:r>
      <w:r w:rsidRPr="00C93BA5">
        <w:rPr>
          <w:rFonts w:asciiTheme="majorHAnsi" w:hAnsiTheme="majorHAnsi" w:cstheme="majorHAnsi"/>
          <w:color w:val="auto"/>
          <w:sz w:val="24"/>
          <w:szCs w:val="24"/>
        </w:rPr>
        <w:t xml:space="preserve"> ubrzao process u reformi, pokušao bi da odgovori na potrebe građana, kroz transparetniji i otvoreniji pristup, koristeći sve alate i kanale za komunikaciju sa građanima, privredom i međunarodnom zajednicom.</w:t>
      </w:r>
    </w:p>
    <w:p w:rsidR="00D83B3F" w:rsidRPr="00CB681C" w:rsidRDefault="00D83B3F" w:rsidP="00153229">
      <w:pPr>
        <w:spacing w:before="60" w:after="60" w:line="240" w:lineRule="auto"/>
        <w:ind w:right="-471"/>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U skaldu sa Metodologijom razvijanja politika, izrade i praćenja sprovođenja st</w:t>
      </w:r>
      <w:r w:rsidR="00C93BA5">
        <w:rPr>
          <w:rFonts w:asciiTheme="majorHAnsi" w:hAnsiTheme="majorHAnsi" w:cstheme="majorHAnsi"/>
          <w:color w:val="auto"/>
          <w:sz w:val="24"/>
          <w:szCs w:val="24"/>
        </w:rPr>
        <w:t>r</w:t>
      </w:r>
      <w:r w:rsidRPr="00CB681C">
        <w:rPr>
          <w:rFonts w:asciiTheme="majorHAnsi" w:hAnsiTheme="majorHAnsi" w:cstheme="majorHAnsi"/>
          <w:color w:val="auto"/>
          <w:sz w:val="24"/>
          <w:szCs w:val="24"/>
        </w:rPr>
        <w:t>ateških dokumenata, Strategija RJU 2022-2026 definiše plan monitorin</w:t>
      </w:r>
      <w:r w:rsidR="00023F33" w:rsidRPr="00CB681C">
        <w:rPr>
          <w:rFonts w:asciiTheme="majorHAnsi" w:hAnsiTheme="majorHAnsi" w:cstheme="majorHAnsi"/>
          <w:color w:val="auto"/>
          <w:sz w:val="24"/>
          <w:szCs w:val="24"/>
        </w:rPr>
        <w:t>g</w:t>
      </w:r>
      <w:r w:rsidRPr="00CB681C">
        <w:rPr>
          <w:rFonts w:asciiTheme="majorHAnsi" w:hAnsiTheme="majorHAnsi" w:cstheme="majorHAnsi"/>
          <w:color w:val="auto"/>
          <w:sz w:val="24"/>
          <w:szCs w:val="24"/>
        </w:rPr>
        <w:t>a, izvještavanja i evaluacije.</w:t>
      </w:r>
    </w:p>
    <w:p w:rsidR="00D83B3F" w:rsidRPr="00CB681C" w:rsidRDefault="00D83B3F" w:rsidP="00153229">
      <w:pPr>
        <w:spacing w:before="60" w:after="60" w:line="240" w:lineRule="auto"/>
        <w:ind w:right="-471"/>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Monitoringom će </w:t>
      </w:r>
      <w:r w:rsidR="00023F33" w:rsidRPr="00CB681C">
        <w:rPr>
          <w:rFonts w:asciiTheme="majorHAnsi" w:hAnsiTheme="majorHAnsi" w:cstheme="majorHAnsi"/>
          <w:color w:val="auto"/>
          <w:sz w:val="24"/>
          <w:szCs w:val="24"/>
        </w:rPr>
        <w:t>se obezbijediti redovno prikupl</w:t>
      </w:r>
      <w:r w:rsidRPr="00CB681C">
        <w:rPr>
          <w:rFonts w:asciiTheme="majorHAnsi" w:hAnsiTheme="majorHAnsi" w:cstheme="majorHAnsi"/>
          <w:color w:val="auto"/>
          <w:sz w:val="24"/>
          <w:szCs w:val="24"/>
        </w:rPr>
        <w:t>j</w:t>
      </w:r>
      <w:r w:rsidR="00023F33" w:rsidRPr="00CB681C">
        <w:rPr>
          <w:rFonts w:asciiTheme="majorHAnsi" w:hAnsiTheme="majorHAnsi" w:cstheme="majorHAnsi"/>
          <w:color w:val="auto"/>
          <w:sz w:val="24"/>
          <w:szCs w:val="24"/>
        </w:rPr>
        <w:t>a</w:t>
      </w:r>
      <w:r w:rsidRPr="00CB681C">
        <w:rPr>
          <w:rFonts w:asciiTheme="majorHAnsi" w:hAnsiTheme="majorHAnsi" w:cstheme="majorHAnsi"/>
          <w:color w:val="auto"/>
          <w:sz w:val="24"/>
          <w:szCs w:val="24"/>
        </w:rPr>
        <w:t>nje i analiza podataka o pos</w:t>
      </w:r>
      <w:r w:rsidR="00772CBA" w:rsidRPr="00CB681C">
        <w:rPr>
          <w:rFonts w:asciiTheme="majorHAnsi" w:hAnsiTheme="majorHAnsi" w:cstheme="majorHAnsi"/>
          <w:color w:val="auto"/>
          <w:sz w:val="24"/>
          <w:szCs w:val="24"/>
        </w:rPr>
        <w:t>t</w:t>
      </w:r>
      <w:r w:rsidRPr="00CB681C">
        <w:rPr>
          <w:rFonts w:asciiTheme="majorHAnsi" w:hAnsiTheme="majorHAnsi" w:cstheme="majorHAnsi"/>
          <w:color w:val="auto"/>
          <w:sz w:val="24"/>
          <w:szCs w:val="24"/>
        </w:rPr>
        <w:t>izanju ciljeva i rezultata</w:t>
      </w:r>
      <w:r w:rsidR="00023F33" w:rsidRPr="00CB681C">
        <w:rPr>
          <w:rFonts w:asciiTheme="majorHAnsi" w:hAnsiTheme="majorHAnsi" w:cstheme="majorHAnsi"/>
          <w:color w:val="auto"/>
          <w:sz w:val="24"/>
          <w:szCs w:val="24"/>
        </w:rPr>
        <w:t xml:space="preserve"> </w:t>
      </w:r>
      <w:r w:rsidRPr="00CB681C">
        <w:rPr>
          <w:rFonts w:asciiTheme="majorHAnsi" w:hAnsiTheme="majorHAnsi" w:cstheme="majorHAnsi"/>
          <w:color w:val="auto"/>
          <w:sz w:val="24"/>
          <w:szCs w:val="24"/>
        </w:rPr>
        <w:t>u toku sprovođenja aktivnost. Konkretno, biće fokusiran na Akcioni plan  za r</w:t>
      </w:r>
      <w:r w:rsidR="00772CBA" w:rsidRPr="00CB681C">
        <w:rPr>
          <w:rFonts w:asciiTheme="majorHAnsi" w:hAnsiTheme="majorHAnsi" w:cstheme="majorHAnsi"/>
          <w:color w:val="auto"/>
          <w:sz w:val="24"/>
          <w:szCs w:val="24"/>
        </w:rPr>
        <w:t>e</w:t>
      </w:r>
      <w:r w:rsidRPr="00CB681C">
        <w:rPr>
          <w:rFonts w:asciiTheme="majorHAnsi" w:hAnsiTheme="majorHAnsi" w:cstheme="majorHAnsi"/>
          <w:color w:val="auto"/>
          <w:sz w:val="24"/>
          <w:szCs w:val="24"/>
        </w:rPr>
        <w:t>alizac</w:t>
      </w:r>
      <w:r w:rsidR="00023F33" w:rsidRPr="00CB681C">
        <w:rPr>
          <w:rFonts w:asciiTheme="majorHAnsi" w:hAnsiTheme="majorHAnsi" w:cstheme="majorHAnsi"/>
          <w:color w:val="auto"/>
          <w:sz w:val="24"/>
          <w:szCs w:val="24"/>
        </w:rPr>
        <w:t>iju godišnjih akti</w:t>
      </w:r>
      <w:r w:rsidR="00772CBA" w:rsidRPr="00CB681C">
        <w:rPr>
          <w:rFonts w:asciiTheme="majorHAnsi" w:hAnsiTheme="majorHAnsi" w:cstheme="majorHAnsi"/>
          <w:color w:val="auto"/>
          <w:sz w:val="24"/>
          <w:szCs w:val="24"/>
        </w:rPr>
        <w:t>v</w:t>
      </w:r>
      <w:r w:rsidR="00023F33" w:rsidRPr="00CB681C">
        <w:rPr>
          <w:rFonts w:asciiTheme="majorHAnsi" w:hAnsiTheme="majorHAnsi" w:cstheme="majorHAnsi"/>
          <w:color w:val="auto"/>
          <w:sz w:val="24"/>
          <w:szCs w:val="24"/>
        </w:rPr>
        <w:t>nosti predviđ</w:t>
      </w:r>
      <w:r w:rsidRPr="00CB681C">
        <w:rPr>
          <w:rFonts w:asciiTheme="majorHAnsi" w:hAnsiTheme="majorHAnsi" w:cstheme="majorHAnsi"/>
          <w:color w:val="auto"/>
          <w:sz w:val="24"/>
          <w:szCs w:val="24"/>
        </w:rPr>
        <w:t>enim planom. Izvještaj o monitoringu sprovođenja aktivnosti će se uglavnom baviti indikatorima rezultata sa osvrtom na indikatore učinka, ukoliko ti podaci budu dostupni. Godišnji izvještaj, u skladu sa Metodologijom će sadr</w:t>
      </w:r>
      <w:r w:rsidR="00772CBA" w:rsidRPr="00CB681C">
        <w:rPr>
          <w:rFonts w:asciiTheme="majorHAnsi" w:hAnsiTheme="majorHAnsi" w:cstheme="majorHAnsi"/>
          <w:color w:val="auto"/>
          <w:sz w:val="24"/>
          <w:szCs w:val="24"/>
        </w:rPr>
        <w:t>ž</w:t>
      </w:r>
      <w:r w:rsidRPr="00CB681C">
        <w:rPr>
          <w:rFonts w:asciiTheme="majorHAnsi" w:hAnsiTheme="majorHAnsi" w:cstheme="majorHAnsi"/>
          <w:color w:val="auto"/>
          <w:sz w:val="24"/>
          <w:szCs w:val="24"/>
        </w:rPr>
        <w:t>ati sledeće elemente:</w:t>
      </w:r>
    </w:p>
    <w:p w:rsidR="00D83B3F" w:rsidRPr="00CB681C" w:rsidRDefault="00D83B3F" w:rsidP="00B43D4E">
      <w:pPr>
        <w:pStyle w:val="ListParagraph"/>
        <w:numPr>
          <w:ilvl w:val="0"/>
          <w:numId w:val="41"/>
        </w:numPr>
        <w:spacing w:before="60" w:after="60" w:line="240" w:lineRule="auto"/>
        <w:ind w:right="-471"/>
        <w:jc w:val="both"/>
        <w:rPr>
          <w:rFonts w:asciiTheme="majorHAnsi" w:hAnsiTheme="majorHAnsi" w:cstheme="majorHAnsi"/>
          <w:color w:val="auto"/>
          <w:sz w:val="24"/>
          <w:szCs w:val="24"/>
          <w:lang w:val="en-US"/>
        </w:rPr>
      </w:pPr>
      <w:r w:rsidRPr="00CB681C">
        <w:rPr>
          <w:rFonts w:asciiTheme="majorHAnsi" w:hAnsiTheme="majorHAnsi" w:cstheme="majorHAnsi"/>
          <w:color w:val="auto"/>
          <w:sz w:val="24"/>
          <w:szCs w:val="24"/>
          <w:lang w:val="en-US"/>
        </w:rPr>
        <w:t>Kratak uvodni rezime sa opštom ocjenom</w:t>
      </w:r>
      <w:r w:rsidR="00E4100D" w:rsidRPr="00CB681C">
        <w:rPr>
          <w:rFonts w:asciiTheme="majorHAnsi" w:hAnsiTheme="majorHAnsi" w:cstheme="majorHAnsi"/>
          <w:color w:val="auto"/>
          <w:sz w:val="24"/>
          <w:szCs w:val="24"/>
          <w:lang w:val="en-US"/>
        </w:rPr>
        <w:t xml:space="preserve"> implementacije strateškog dokumenta</w:t>
      </w:r>
    </w:p>
    <w:p w:rsidR="00E4100D" w:rsidRPr="00CB681C" w:rsidRDefault="00E4100D" w:rsidP="00B43D4E">
      <w:pPr>
        <w:pStyle w:val="ListParagraph"/>
        <w:numPr>
          <w:ilvl w:val="0"/>
          <w:numId w:val="41"/>
        </w:numPr>
        <w:spacing w:before="60" w:after="60" w:line="240" w:lineRule="auto"/>
        <w:ind w:right="-471"/>
        <w:jc w:val="both"/>
        <w:rPr>
          <w:rFonts w:asciiTheme="majorHAnsi" w:hAnsiTheme="majorHAnsi" w:cstheme="majorHAnsi"/>
          <w:color w:val="auto"/>
          <w:sz w:val="24"/>
          <w:szCs w:val="24"/>
          <w:lang w:val="en-US"/>
        </w:rPr>
      </w:pPr>
      <w:r w:rsidRPr="00CB681C">
        <w:rPr>
          <w:rFonts w:asciiTheme="majorHAnsi" w:hAnsiTheme="majorHAnsi" w:cstheme="majorHAnsi"/>
          <w:color w:val="auto"/>
          <w:sz w:val="24"/>
          <w:szCs w:val="24"/>
          <w:lang w:val="en-US"/>
        </w:rPr>
        <w:t>Konkretne vrijednosti i ispunjenosti indikatora rezultata (i indikatora učinka ukoliko su dostupni)</w:t>
      </w:r>
    </w:p>
    <w:p w:rsidR="00E4100D" w:rsidRPr="00CB681C" w:rsidRDefault="00E4100D" w:rsidP="00B43D4E">
      <w:pPr>
        <w:pStyle w:val="ListParagraph"/>
        <w:numPr>
          <w:ilvl w:val="0"/>
          <w:numId w:val="41"/>
        </w:numPr>
        <w:spacing w:before="60" w:after="60" w:line="240" w:lineRule="auto"/>
        <w:ind w:right="-471"/>
        <w:jc w:val="both"/>
        <w:rPr>
          <w:rFonts w:asciiTheme="majorHAnsi" w:hAnsiTheme="majorHAnsi" w:cstheme="majorHAnsi"/>
          <w:color w:val="auto"/>
          <w:sz w:val="24"/>
          <w:szCs w:val="24"/>
          <w:lang w:val="en-US"/>
        </w:rPr>
      </w:pPr>
      <w:r w:rsidRPr="00CB681C">
        <w:rPr>
          <w:rFonts w:asciiTheme="majorHAnsi" w:hAnsiTheme="majorHAnsi" w:cstheme="majorHAnsi"/>
          <w:color w:val="auto"/>
          <w:sz w:val="24"/>
          <w:szCs w:val="24"/>
          <w:lang w:val="en-US"/>
        </w:rPr>
        <w:t>Informacija o utrošenim finansijskim sredstvima, u odnosu na planirana, sa izvorima finansiranja</w:t>
      </w:r>
    </w:p>
    <w:p w:rsidR="00E4100D" w:rsidRPr="00CB681C" w:rsidRDefault="00E4100D" w:rsidP="00B43D4E">
      <w:pPr>
        <w:pStyle w:val="ListParagraph"/>
        <w:numPr>
          <w:ilvl w:val="0"/>
          <w:numId w:val="41"/>
        </w:numPr>
        <w:spacing w:before="60" w:after="60" w:line="240" w:lineRule="auto"/>
        <w:ind w:right="-471"/>
        <w:jc w:val="both"/>
        <w:rPr>
          <w:rFonts w:asciiTheme="majorHAnsi" w:hAnsiTheme="majorHAnsi" w:cstheme="majorHAnsi"/>
          <w:color w:val="auto"/>
          <w:sz w:val="24"/>
          <w:szCs w:val="24"/>
          <w:lang w:val="en-US"/>
        </w:rPr>
      </w:pPr>
      <w:r w:rsidRPr="00CB681C">
        <w:rPr>
          <w:rFonts w:asciiTheme="majorHAnsi" w:hAnsiTheme="majorHAnsi" w:cstheme="majorHAnsi"/>
          <w:color w:val="auto"/>
          <w:sz w:val="24"/>
          <w:szCs w:val="24"/>
          <w:lang w:val="en-US"/>
        </w:rPr>
        <w:t>Identifikovane izazove i preporuke za efikasniju realizaciju ciljeva</w:t>
      </w:r>
    </w:p>
    <w:p w:rsidR="00E4100D" w:rsidRPr="00CB681C" w:rsidRDefault="00E4100D" w:rsidP="00B43D4E">
      <w:pPr>
        <w:pStyle w:val="ListParagraph"/>
        <w:numPr>
          <w:ilvl w:val="0"/>
          <w:numId w:val="41"/>
        </w:numPr>
        <w:spacing w:before="60" w:after="60" w:line="240" w:lineRule="auto"/>
        <w:ind w:right="-471"/>
        <w:jc w:val="both"/>
        <w:rPr>
          <w:rFonts w:asciiTheme="majorHAnsi" w:hAnsiTheme="majorHAnsi" w:cstheme="majorHAnsi"/>
          <w:color w:val="auto"/>
          <w:sz w:val="24"/>
          <w:szCs w:val="24"/>
          <w:lang w:val="en-US"/>
        </w:rPr>
      </w:pPr>
      <w:r w:rsidRPr="00CB681C">
        <w:rPr>
          <w:rFonts w:asciiTheme="majorHAnsi" w:hAnsiTheme="majorHAnsi" w:cstheme="majorHAnsi"/>
          <w:color w:val="auto"/>
          <w:sz w:val="24"/>
          <w:szCs w:val="24"/>
          <w:lang w:val="en-US"/>
        </w:rPr>
        <w:t>Promjene, ukoliko ih bude, u rokovima realizacije ciljeva</w:t>
      </w:r>
    </w:p>
    <w:p w:rsidR="00E4100D" w:rsidRPr="00CB681C" w:rsidRDefault="00E4100D" w:rsidP="00B43D4E">
      <w:pPr>
        <w:pStyle w:val="ListParagraph"/>
        <w:numPr>
          <w:ilvl w:val="0"/>
          <w:numId w:val="41"/>
        </w:numPr>
        <w:spacing w:before="60" w:after="60" w:line="240" w:lineRule="auto"/>
        <w:ind w:right="-471"/>
        <w:jc w:val="both"/>
        <w:rPr>
          <w:rFonts w:asciiTheme="majorHAnsi" w:hAnsiTheme="majorHAnsi" w:cstheme="majorHAnsi"/>
          <w:color w:val="auto"/>
          <w:sz w:val="24"/>
          <w:szCs w:val="24"/>
          <w:lang w:val="en-US"/>
        </w:rPr>
      </w:pPr>
      <w:r w:rsidRPr="00CB681C">
        <w:rPr>
          <w:rFonts w:asciiTheme="majorHAnsi" w:hAnsiTheme="majorHAnsi" w:cstheme="majorHAnsi"/>
          <w:color w:val="auto"/>
          <w:sz w:val="24"/>
          <w:szCs w:val="24"/>
          <w:lang w:val="en-US"/>
        </w:rPr>
        <w:t>Gantt chart ili drugi tabelarni prikaz realizovanih ciljeva</w:t>
      </w:r>
    </w:p>
    <w:p w:rsidR="00A55958" w:rsidRPr="00CB681C" w:rsidRDefault="00A55958" w:rsidP="00153229">
      <w:pPr>
        <w:spacing w:before="60" w:after="60" w:line="240" w:lineRule="auto"/>
        <w:ind w:right="-471"/>
        <w:jc w:val="both"/>
        <w:rPr>
          <w:rFonts w:asciiTheme="majorHAnsi" w:hAnsiTheme="majorHAnsi" w:cstheme="majorHAnsi"/>
          <w:color w:val="auto"/>
          <w:sz w:val="24"/>
          <w:szCs w:val="24"/>
          <w:lang w:val="en-US"/>
        </w:rPr>
      </w:pPr>
      <w:r w:rsidRPr="00CB681C">
        <w:rPr>
          <w:rFonts w:asciiTheme="majorHAnsi" w:hAnsiTheme="majorHAnsi" w:cstheme="majorHAnsi"/>
          <w:color w:val="auto"/>
          <w:sz w:val="24"/>
          <w:szCs w:val="24"/>
          <w:lang w:val="en-US"/>
        </w:rPr>
        <w:t>Identifikovan</w:t>
      </w:r>
      <w:r w:rsidR="00023F33" w:rsidRPr="00CB681C">
        <w:rPr>
          <w:rFonts w:asciiTheme="majorHAnsi" w:hAnsiTheme="majorHAnsi" w:cstheme="majorHAnsi"/>
          <w:color w:val="auto"/>
          <w:sz w:val="24"/>
          <w:szCs w:val="24"/>
          <w:lang w:val="en-US"/>
        </w:rPr>
        <w:t>e</w:t>
      </w:r>
      <w:r w:rsidRPr="00CB681C">
        <w:rPr>
          <w:rFonts w:asciiTheme="majorHAnsi" w:hAnsiTheme="majorHAnsi" w:cstheme="majorHAnsi"/>
          <w:color w:val="auto"/>
          <w:sz w:val="24"/>
          <w:szCs w:val="24"/>
          <w:lang w:val="en-US"/>
        </w:rPr>
        <w:t xml:space="preserve"> institucije kroz Strategiju RJU, te kroz dokument </w:t>
      </w:r>
      <w:r w:rsidRPr="00CB681C">
        <w:rPr>
          <w:rFonts w:asciiTheme="majorHAnsi" w:hAnsiTheme="majorHAnsi" w:cstheme="majorHAnsi"/>
          <w:i/>
          <w:color w:val="auto"/>
          <w:sz w:val="24"/>
          <w:szCs w:val="24"/>
          <w:lang w:val="en-US"/>
        </w:rPr>
        <w:t>Pasoš indikatori</w:t>
      </w:r>
      <w:r w:rsidRPr="00CB681C">
        <w:rPr>
          <w:rFonts w:asciiTheme="majorHAnsi" w:hAnsiTheme="majorHAnsi" w:cstheme="majorHAnsi"/>
          <w:color w:val="auto"/>
          <w:sz w:val="24"/>
          <w:szCs w:val="24"/>
          <w:lang w:val="en-US"/>
        </w:rPr>
        <w:t>, vršiće monitoring pojedinačnih ciljeva reforme ka</w:t>
      </w:r>
      <w:r w:rsidR="00023F33" w:rsidRPr="00CB681C">
        <w:rPr>
          <w:rFonts w:asciiTheme="majorHAnsi" w:hAnsiTheme="majorHAnsi" w:cstheme="majorHAnsi"/>
          <w:color w:val="auto"/>
          <w:sz w:val="24"/>
          <w:szCs w:val="24"/>
          <w:lang w:val="en-US"/>
        </w:rPr>
        <w:t>o i pripadajućih indikatora. One</w:t>
      </w:r>
      <w:r w:rsidRPr="00CB681C">
        <w:rPr>
          <w:rFonts w:asciiTheme="majorHAnsi" w:hAnsiTheme="majorHAnsi" w:cstheme="majorHAnsi"/>
          <w:color w:val="auto"/>
          <w:sz w:val="24"/>
          <w:szCs w:val="24"/>
          <w:lang w:val="en-US"/>
        </w:rPr>
        <w:t xml:space="preserve"> će u narednom četvorogodišnjem periodu izvještavati MJUDDM i dostavljati sve potrebne podat</w:t>
      </w:r>
      <w:r w:rsidR="00023F33" w:rsidRPr="00CB681C">
        <w:rPr>
          <w:rFonts w:asciiTheme="majorHAnsi" w:hAnsiTheme="majorHAnsi" w:cstheme="majorHAnsi"/>
          <w:color w:val="auto"/>
          <w:sz w:val="24"/>
          <w:szCs w:val="24"/>
          <w:lang w:val="en-US"/>
        </w:rPr>
        <w:t>ke koje M</w:t>
      </w:r>
      <w:r w:rsidRPr="00CB681C">
        <w:rPr>
          <w:rFonts w:asciiTheme="majorHAnsi" w:hAnsiTheme="majorHAnsi" w:cstheme="majorHAnsi"/>
          <w:color w:val="auto"/>
          <w:sz w:val="24"/>
          <w:szCs w:val="24"/>
          <w:lang w:val="en-US"/>
        </w:rPr>
        <w:t xml:space="preserve">inistarstvo, kao rukovodeća institucija za reformu javne uprave zatraži. U cilju blagovremenog izvještavanja MJUDDM, koje će pružati stručnu i administrativnu podršku, u svim odgovornim institucijama biće određene kontakt osobe koje će pružati i dostavljati sve tražene informacije. </w:t>
      </w:r>
    </w:p>
    <w:p w:rsidR="00444339" w:rsidRPr="00CB681C" w:rsidRDefault="00A55958" w:rsidP="00153229">
      <w:pPr>
        <w:spacing w:before="60" w:after="60" w:line="240" w:lineRule="auto"/>
        <w:ind w:right="-471"/>
        <w:jc w:val="both"/>
        <w:rPr>
          <w:rFonts w:asciiTheme="majorHAnsi" w:hAnsiTheme="majorHAnsi" w:cstheme="majorHAnsi"/>
          <w:color w:val="auto"/>
          <w:sz w:val="24"/>
          <w:szCs w:val="24"/>
          <w:lang w:val="en-US"/>
        </w:rPr>
      </w:pPr>
      <w:r w:rsidRPr="00CB681C">
        <w:rPr>
          <w:rFonts w:asciiTheme="majorHAnsi" w:hAnsiTheme="majorHAnsi" w:cstheme="majorHAnsi"/>
          <w:color w:val="auto"/>
          <w:sz w:val="24"/>
          <w:szCs w:val="24"/>
          <w:lang w:val="en-US"/>
        </w:rPr>
        <w:lastRenderedPageBreak/>
        <w:t>U cilju kreiranja objektivnog izvještaja koristiće se različiti izvori podataka – počevši od podataka koje budu dostavljale relevantne institucije, materijali na V</w:t>
      </w:r>
      <w:r w:rsidR="00A80BC7" w:rsidRPr="00CB681C">
        <w:rPr>
          <w:rFonts w:asciiTheme="majorHAnsi" w:hAnsiTheme="majorHAnsi" w:cstheme="majorHAnsi"/>
          <w:color w:val="auto"/>
          <w:sz w:val="24"/>
          <w:szCs w:val="24"/>
          <w:lang w:val="en-US"/>
        </w:rPr>
        <w:t>ladi, izvještaji o realizaciji programa rada organa</w:t>
      </w:r>
      <w:r w:rsidRPr="00CB681C">
        <w:rPr>
          <w:rFonts w:asciiTheme="majorHAnsi" w:hAnsiTheme="majorHAnsi" w:cstheme="majorHAnsi"/>
          <w:color w:val="auto"/>
          <w:sz w:val="24"/>
          <w:szCs w:val="24"/>
          <w:lang w:val="en-US"/>
        </w:rPr>
        <w:t>, inter</w:t>
      </w:r>
      <w:r w:rsidR="00A80BC7" w:rsidRPr="00CB681C">
        <w:rPr>
          <w:rFonts w:asciiTheme="majorHAnsi" w:hAnsiTheme="majorHAnsi" w:cstheme="majorHAnsi"/>
          <w:color w:val="auto"/>
          <w:sz w:val="24"/>
          <w:szCs w:val="24"/>
          <w:lang w:val="en-US"/>
        </w:rPr>
        <w:t>vjui</w:t>
      </w:r>
      <w:r w:rsidRPr="00CB681C">
        <w:rPr>
          <w:rFonts w:asciiTheme="majorHAnsi" w:hAnsiTheme="majorHAnsi" w:cstheme="majorHAnsi"/>
          <w:color w:val="auto"/>
          <w:sz w:val="24"/>
          <w:szCs w:val="24"/>
          <w:lang w:val="en-US"/>
        </w:rPr>
        <w:t xml:space="preserve"> sa kontakt osobama, </w:t>
      </w:r>
      <w:r w:rsidR="00A80BC7" w:rsidRPr="00CB681C">
        <w:rPr>
          <w:rFonts w:asciiTheme="majorHAnsi" w:hAnsiTheme="majorHAnsi" w:cstheme="majorHAnsi"/>
          <w:color w:val="auto"/>
          <w:sz w:val="24"/>
          <w:szCs w:val="24"/>
          <w:lang w:val="en-US"/>
        </w:rPr>
        <w:t xml:space="preserve">fokus grupe sa relevantnim stranama, </w:t>
      </w:r>
      <w:r w:rsidRPr="00CB681C">
        <w:rPr>
          <w:rFonts w:asciiTheme="majorHAnsi" w:hAnsiTheme="majorHAnsi" w:cstheme="majorHAnsi"/>
          <w:color w:val="auto"/>
          <w:sz w:val="24"/>
          <w:szCs w:val="24"/>
          <w:lang w:val="en-US"/>
        </w:rPr>
        <w:t>materijali NVO-a,</w:t>
      </w:r>
      <w:r w:rsidR="00A80BC7" w:rsidRPr="00CB681C">
        <w:rPr>
          <w:rFonts w:asciiTheme="majorHAnsi" w:hAnsiTheme="majorHAnsi" w:cstheme="majorHAnsi"/>
          <w:color w:val="auto"/>
          <w:sz w:val="24"/>
          <w:szCs w:val="24"/>
          <w:lang w:val="en-US"/>
        </w:rPr>
        <w:t xml:space="preserve"> kao i</w:t>
      </w:r>
      <w:r w:rsidRPr="00CB681C">
        <w:rPr>
          <w:rFonts w:asciiTheme="majorHAnsi" w:hAnsiTheme="majorHAnsi" w:cstheme="majorHAnsi"/>
          <w:color w:val="auto"/>
          <w:sz w:val="24"/>
          <w:szCs w:val="24"/>
          <w:lang w:val="en-US"/>
        </w:rPr>
        <w:t xml:space="preserve"> istraživanja i izvještaji međunarodnih organizacija</w:t>
      </w:r>
      <w:r w:rsidR="00A80BC7" w:rsidRPr="00CB681C">
        <w:rPr>
          <w:rFonts w:asciiTheme="majorHAnsi" w:hAnsiTheme="majorHAnsi" w:cstheme="majorHAnsi"/>
          <w:color w:val="auto"/>
          <w:sz w:val="24"/>
          <w:szCs w:val="24"/>
          <w:lang w:val="en-US"/>
        </w:rPr>
        <w:t>. Svi izvještaji će biti prezentovani Savjetu RJU na usvajanje i Vladi CG.</w:t>
      </w:r>
    </w:p>
    <w:p w:rsidR="00444339" w:rsidRPr="00CB681C" w:rsidRDefault="00444339" w:rsidP="00153229">
      <w:pPr>
        <w:spacing w:before="60" w:after="60" w:line="240" w:lineRule="auto"/>
        <w:ind w:right="-471"/>
        <w:jc w:val="both"/>
        <w:rPr>
          <w:rFonts w:asciiTheme="majorHAnsi" w:hAnsiTheme="majorHAnsi" w:cstheme="majorHAnsi"/>
          <w:color w:val="auto"/>
          <w:sz w:val="24"/>
          <w:szCs w:val="24"/>
          <w:lang w:val="en-US"/>
        </w:rPr>
      </w:pPr>
      <w:r w:rsidRPr="00CB681C">
        <w:rPr>
          <w:rFonts w:asciiTheme="majorHAnsi" w:hAnsiTheme="majorHAnsi" w:cstheme="majorHAnsi"/>
          <w:color w:val="auto"/>
          <w:sz w:val="24"/>
          <w:szCs w:val="24"/>
          <w:lang w:val="en-US"/>
        </w:rPr>
        <w:t>U tabeli dolje su identifikovane institucije za sakupljanje podataka, monitoring i izvještavanje:</w:t>
      </w:r>
    </w:p>
    <w:p w:rsidR="00444339" w:rsidRPr="007E14C5" w:rsidRDefault="00444339" w:rsidP="00153229">
      <w:pPr>
        <w:spacing w:before="60" w:after="60" w:line="240" w:lineRule="auto"/>
        <w:ind w:right="-471"/>
        <w:jc w:val="both"/>
        <w:rPr>
          <w:rFonts w:asciiTheme="majorHAnsi" w:hAnsiTheme="majorHAnsi" w:cstheme="majorHAnsi"/>
          <w:color w:val="002060"/>
          <w:sz w:val="24"/>
          <w:szCs w:val="24"/>
          <w:lang w:val="en-US"/>
        </w:rPr>
      </w:pPr>
      <w:r w:rsidRPr="007E14C5">
        <w:rPr>
          <w:rFonts w:asciiTheme="majorHAnsi" w:hAnsiTheme="majorHAnsi" w:cstheme="majorHAnsi"/>
          <w:noProof/>
          <w:color w:val="002060"/>
          <w:sz w:val="24"/>
          <w:szCs w:val="24"/>
          <w:lang w:eastAsia="sr-Latn-RS"/>
        </w:rPr>
        <w:drawing>
          <wp:anchor distT="0" distB="0" distL="114300" distR="114300" simplePos="0" relativeHeight="251734016" behindDoc="1" locked="0" layoutInCell="1" allowOverlap="1" wp14:anchorId="3AF0A097" wp14:editId="3C4D9753">
            <wp:simplePos x="0" y="0"/>
            <wp:positionH relativeFrom="margin">
              <wp:posOffset>-101600</wp:posOffset>
            </wp:positionH>
            <wp:positionV relativeFrom="paragraph">
              <wp:posOffset>168910</wp:posOffset>
            </wp:positionV>
            <wp:extent cx="6505575" cy="4038600"/>
            <wp:effectExtent l="38100" t="0" r="47625" b="19050"/>
            <wp:wrapTight wrapText="bothSides">
              <wp:wrapPolygon edited="0">
                <wp:start x="-127" y="0"/>
                <wp:lineTo x="-127" y="21600"/>
                <wp:lineTo x="18406" y="21600"/>
                <wp:lineTo x="21379" y="17932"/>
                <wp:lineTo x="21695" y="16709"/>
                <wp:lineTo x="21695" y="4789"/>
                <wp:lineTo x="21442" y="4177"/>
                <wp:lineTo x="20936" y="3260"/>
                <wp:lineTo x="18406" y="0"/>
                <wp:lineTo x="-127" y="0"/>
              </wp:wrapPolygon>
            </wp:wrapTight>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14:sizeRelH relativeFrom="margin">
              <wp14:pctWidth>0</wp14:pctWidth>
            </wp14:sizeRelH>
            <wp14:sizeRelV relativeFrom="margin">
              <wp14:pctHeight>0</wp14:pctHeight>
            </wp14:sizeRelV>
          </wp:anchor>
        </w:drawing>
      </w:r>
    </w:p>
    <w:p w:rsidR="00E4100D" w:rsidRPr="007E14C5" w:rsidRDefault="00E4100D" w:rsidP="00153229">
      <w:pPr>
        <w:spacing w:before="60" w:after="60" w:line="240" w:lineRule="auto"/>
        <w:ind w:right="-471"/>
        <w:jc w:val="both"/>
        <w:rPr>
          <w:rFonts w:asciiTheme="majorHAnsi" w:hAnsiTheme="majorHAnsi" w:cstheme="majorHAnsi"/>
          <w:color w:val="002060"/>
          <w:sz w:val="24"/>
          <w:szCs w:val="24"/>
          <w:lang w:val="en-US"/>
        </w:rPr>
      </w:pPr>
    </w:p>
    <w:p w:rsidR="00891B7B" w:rsidRDefault="00E4100D" w:rsidP="00C93BA5">
      <w:pPr>
        <w:spacing w:before="60" w:after="60" w:line="240" w:lineRule="auto"/>
        <w:ind w:right="-471"/>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Sa ciljem utvrđivanja relevantnosti i ispunjavanja ciljeva, efikasnosti razvoja, djelotvornosti, uticaja i održivost strategije, u skladu sa Metodologijom, predviđena je evaluacija strateškog dokumenta. Finalna evaluacija će se sprovesti na kraju implementacion</w:t>
      </w:r>
      <w:r w:rsidR="0012782C" w:rsidRPr="00CB681C">
        <w:rPr>
          <w:rFonts w:asciiTheme="majorHAnsi" w:hAnsiTheme="majorHAnsi" w:cstheme="majorHAnsi"/>
          <w:color w:val="auto"/>
          <w:sz w:val="24"/>
          <w:szCs w:val="24"/>
        </w:rPr>
        <w:t>og perioda, kako bi ocijenila ef</w:t>
      </w:r>
      <w:r w:rsidR="00EC2F84" w:rsidRPr="00CB681C">
        <w:rPr>
          <w:rFonts w:asciiTheme="majorHAnsi" w:hAnsiTheme="majorHAnsi" w:cstheme="majorHAnsi"/>
          <w:color w:val="auto"/>
          <w:sz w:val="24"/>
          <w:szCs w:val="24"/>
        </w:rPr>
        <w:t>e</w:t>
      </w:r>
      <w:r w:rsidRPr="00CB681C">
        <w:rPr>
          <w:rFonts w:asciiTheme="majorHAnsi" w:hAnsiTheme="majorHAnsi" w:cstheme="majorHAnsi"/>
          <w:color w:val="auto"/>
          <w:sz w:val="24"/>
          <w:szCs w:val="24"/>
        </w:rPr>
        <w:t>kte i učinke Strategije RJU 2022-2026, sa početnom analizom stanja za donošenje narednog strateškog dokumenta. Koristiće se kombinovana metoda u cilju obezbjeđivanja objektivnosti u sprovođenju evaluacije</w:t>
      </w:r>
      <w:r w:rsidR="00891B7B" w:rsidRPr="00CB681C">
        <w:rPr>
          <w:rFonts w:asciiTheme="majorHAnsi" w:hAnsiTheme="majorHAnsi" w:cstheme="majorHAnsi"/>
          <w:color w:val="auto"/>
          <w:sz w:val="24"/>
          <w:szCs w:val="24"/>
        </w:rPr>
        <w:t>, a biće sprovodena od strane nezavins</w:t>
      </w:r>
      <w:r w:rsidR="00023F33" w:rsidRPr="00CB681C">
        <w:rPr>
          <w:rFonts w:asciiTheme="majorHAnsi" w:hAnsiTheme="majorHAnsi" w:cstheme="majorHAnsi"/>
          <w:color w:val="auto"/>
          <w:sz w:val="24"/>
          <w:szCs w:val="24"/>
        </w:rPr>
        <w:t>n</w:t>
      </w:r>
      <w:r w:rsidR="00891B7B" w:rsidRPr="00CB681C">
        <w:rPr>
          <w:rFonts w:asciiTheme="majorHAnsi" w:hAnsiTheme="majorHAnsi" w:cstheme="majorHAnsi"/>
          <w:color w:val="auto"/>
          <w:sz w:val="24"/>
          <w:szCs w:val="24"/>
        </w:rPr>
        <w:t>og eksperta, dok će taj proces koordinirati MJU</w:t>
      </w:r>
      <w:r w:rsidRPr="00CB681C">
        <w:rPr>
          <w:rFonts w:asciiTheme="majorHAnsi" w:hAnsiTheme="majorHAnsi" w:cstheme="majorHAnsi"/>
          <w:color w:val="auto"/>
          <w:sz w:val="24"/>
          <w:szCs w:val="24"/>
        </w:rPr>
        <w:t>. Evaluacija će se fokusirati p</w:t>
      </w:r>
      <w:r w:rsidR="00891B7B" w:rsidRPr="00CB681C">
        <w:rPr>
          <w:rFonts w:asciiTheme="majorHAnsi" w:hAnsiTheme="majorHAnsi" w:cstheme="majorHAnsi"/>
          <w:color w:val="auto"/>
          <w:sz w:val="24"/>
          <w:szCs w:val="24"/>
        </w:rPr>
        <w:t>revashodno na indikatore učinka, a izvještaj će biti razmatran na Savjetu za reformu javne uprave, te biti dostavljen Vladi preko GSV-a na usvajanje.</w:t>
      </w:r>
    </w:p>
    <w:p w:rsidR="00C93BA5" w:rsidRPr="00C93BA5" w:rsidRDefault="00C93BA5" w:rsidP="00C93BA5">
      <w:pPr>
        <w:spacing w:before="60" w:after="60" w:line="240" w:lineRule="auto"/>
        <w:ind w:right="-471"/>
        <w:jc w:val="both"/>
        <w:rPr>
          <w:rFonts w:asciiTheme="majorHAnsi" w:hAnsiTheme="majorHAnsi" w:cstheme="majorHAnsi"/>
          <w:color w:val="auto"/>
          <w:sz w:val="24"/>
          <w:szCs w:val="24"/>
        </w:rPr>
      </w:pPr>
    </w:p>
    <w:p w:rsidR="00D07766" w:rsidRDefault="00D07766" w:rsidP="003A68EF">
      <w:pPr>
        <w:pStyle w:val="TOC1"/>
        <w:ind w:left="0" w:firstLine="0"/>
        <w:jc w:val="left"/>
      </w:pPr>
    </w:p>
    <w:p w:rsidR="00891B7B" w:rsidRPr="007E14C5" w:rsidRDefault="00891B7B" w:rsidP="00F735BC">
      <w:pPr>
        <w:pStyle w:val="TOC1"/>
        <w:outlineLvl w:val="0"/>
      </w:pPr>
      <w:bookmarkStart w:id="72" w:name="_Toc87353423"/>
      <w:r w:rsidRPr="007E14C5">
        <w:lastRenderedPageBreak/>
        <w:t>VI KOMUNIKACI</w:t>
      </w:r>
      <w:r w:rsidR="00963BB4" w:rsidRPr="007E14C5">
        <w:t>ONI PLAN</w:t>
      </w:r>
      <w:bookmarkEnd w:id="72"/>
    </w:p>
    <w:p w:rsidR="00963BB4" w:rsidRPr="00CB681C" w:rsidRDefault="00963BB4" w:rsidP="00963BB4">
      <w:pPr>
        <w:spacing w:before="60" w:after="60" w:line="240" w:lineRule="auto"/>
        <w:ind w:right="-475"/>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Glavni doprinos koji komunikacija može dati reformi javne uprave je uticaj na mišljenje, stavove i na kraju,ponašanje ključnih aktera (uključujući lidere, službenike i građane).  Navedeno je važno, jer svaka reforma zahtijeva promjenu ponašanja od strane zainteresovanih strana. Ovo posebno, jer rezultati reforme javne uprave najviše zavise od onih koji su odgovorni za njenu implementaciju – zaposlenih u javnoj upravi, s jedne strane, i građana koji su, uslovno rečeno, konzumenti i korisnici tih promjena.</w:t>
      </w:r>
    </w:p>
    <w:p w:rsidR="00963BB4" w:rsidRPr="00CB681C" w:rsidRDefault="00963BB4" w:rsidP="00963BB4">
      <w:pPr>
        <w:spacing w:before="60" w:after="60" w:line="240" w:lineRule="auto"/>
        <w:ind w:right="-475"/>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Da bi reforma javne uprave bila uspješna, neophodna je uključenost i aktivno učešće značajnog broja zainteresovanih strana. S tim u vezi prepoznate su ciljne javnosti u okviru procesa reforme javne uprave  koje su direktni nosioci procesa reforme (interne javnosti) ili javnosti koje su targetirane kao one koje mogu da doprinesu povećanju uticaja, promjeni mišljenja i većoj mobilzaciji u okviru procesa reforme javne uprave – eksterne javnosti. Interne javnosti čine zaposleni u državnoj upravi i lokalnoj samoupravi, dok eksternu ciljnu javnost čine: opšta javnost (građani), mediji, poslanici, NVO, predstavnici privrede, sindikalnih organizacija, akademske zajednice i međunarodne organizacije.</w:t>
      </w:r>
    </w:p>
    <w:p w:rsidR="00963BB4" w:rsidRPr="00CB681C" w:rsidRDefault="00963BB4" w:rsidP="00963BB4">
      <w:pPr>
        <w:spacing w:before="60" w:after="60" w:line="240" w:lineRule="auto"/>
        <w:ind w:right="-475"/>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Komunikacione  aktivnosti će biti uglavnom usmjerene na tri ključna kanala: odnosi sa medijima, društvene mreže (facebook i instagram stranica ministarstva), kao i zvanični web sajt: www.mju.gov.me </w:t>
      </w:r>
    </w:p>
    <w:p w:rsidR="00963BB4" w:rsidRPr="00CB681C" w:rsidRDefault="00963BB4" w:rsidP="00963BB4">
      <w:pPr>
        <w:spacing w:before="60" w:after="60" w:line="240" w:lineRule="auto"/>
        <w:ind w:right="-475"/>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Međusektorska komunikacija prepoznata je kao poseban komunikacioni izazov za Ministarstvo javne uprave,digitalnog društva i medija jer cjelokupan proces reforme javne uprave kao i jedan dio konkretnih aktivnosti, prema Akcionom planu za sprovođenje Strategije reforme javne uprave, koordinira MJUDDM.</w:t>
      </w:r>
    </w:p>
    <w:p w:rsidR="00963BB4" w:rsidRPr="00CB681C" w:rsidRDefault="00963BB4" w:rsidP="00963BB4">
      <w:pPr>
        <w:spacing w:before="60" w:after="60" w:line="240" w:lineRule="auto"/>
        <w:ind w:right="-475"/>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U narednom periodu je potrebno ojačati sinergijski pristup u promociji reforme javne uprave i u promociju uključiti druge organe i institucije, koji su nosioci aktivnosti, imajući u vidu da je uočena nejasna podjela komunikacionih zadataka i odgovornosti unutar javne uprave, kao i to da pojedini komunikacioni izazovi zavise od drugih organa.</w:t>
      </w:r>
    </w:p>
    <w:p w:rsidR="00963BB4" w:rsidRPr="00CB681C" w:rsidRDefault="00963BB4" w:rsidP="00963BB4">
      <w:pPr>
        <w:spacing w:before="60" w:after="60" w:line="240" w:lineRule="auto"/>
        <w:ind w:right="-475"/>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U ostvarivanju konkretnog doprinosa koji komunikacija može dati reformi prepoznati su ciljevi:</w:t>
      </w:r>
    </w:p>
    <w:p w:rsidR="00963BB4" w:rsidRPr="00CB681C" w:rsidRDefault="00963BB4" w:rsidP="00B43D4E">
      <w:pPr>
        <w:pStyle w:val="ListParagraph"/>
        <w:numPr>
          <w:ilvl w:val="0"/>
          <w:numId w:val="43"/>
        </w:numPr>
        <w:spacing w:before="60" w:after="60" w:line="240" w:lineRule="auto"/>
        <w:ind w:right="-475"/>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Građani bolje razumiju proces reforme javne uprave i bolje percipiraju ciljeve, aktivnosti, koristi i rezultate reforme javne uprave;</w:t>
      </w:r>
    </w:p>
    <w:p w:rsidR="00963BB4" w:rsidRPr="00CB681C" w:rsidRDefault="00963BB4" w:rsidP="00B43D4E">
      <w:pPr>
        <w:pStyle w:val="ListParagraph"/>
        <w:numPr>
          <w:ilvl w:val="0"/>
          <w:numId w:val="43"/>
        </w:numPr>
        <w:spacing w:before="60" w:after="60" w:line="240" w:lineRule="auto"/>
        <w:ind w:right="-475"/>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Unaprijeđena je percepcija i vidljivost aktivnosti, koristi i rezultata reforme javne uprave kod opšte i drugih ciljnih javnosti; </w:t>
      </w:r>
    </w:p>
    <w:p w:rsidR="00963BB4" w:rsidRPr="00CB681C" w:rsidRDefault="00963BB4" w:rsidP="00B43D4E">
      <w:pPr>
        <w:pStyle w:val="ListParagraph"/>
        <w:numPr>
          <w:ilvl w:val="0"/>
          <w:numId w:val="43"/>
        </w:numPr>
        <w:spacing w:before="60" w:after="60" w:line="240" w:lineRule="auto"/>
        <w:ind w:right="-475"/>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Građani više koriste elektronske usluge koje pruža javna uprava.</w:t>
      </w:r>
    </w:p>
    <w:p w:rsidR="00963BB4" w:rsidRPr="00CB681C" w:rsidRDefault="00963BB4" w:rsidP="00963BB4">
      <w:pPr>
        <w:spacing w:before="60" w:after="60" w:line="240" w:lineRule="auto"/>
        <w:ind w:right="-475"/>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U cilju podizanja svijesti javnosti i povećanje razumijevanja o potrebi i koristi reforme javne uprave, u prethodnom periodu, realizovan je projekat  „Efikasna interna i eksterna komunikacija reforme javne uprave“ koji je finansirala Evropska unija, a koji  je sproveo konzorcijum koji predvodi KPMG za potrebe Ministarstva javne uprave.</w:t>
      </w:r>
    </w:p>
    <w:p w:rsidR="00963BB4" w:rsidRPr="00CB681C" w:rsidRDefault="00963BB4" w:rsidP="00963BB4">
      <w:pPr>
        <w:spacing w:before="60" w:after="60" w:line="240" w:lineRule="auto"/>
        <w:ind w:right="-475"/>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Tokom implementacije projekta sproveden je čitav niz komunikacionih aktivnosti koje su unaprijedile i povećale vidljivost i razumijevanje reforme javne uprave. Takođe, stvorene su osnove za uspostavljanje strateške komunikacije prema različitim ciljnim javnostima, a urađeno je i istraživanje </w:t>
      </w:r>
      <w:r w:rsidRPr="00CB681C">
        <w:rPr>
          <w:rFonts w:asciiTheme="majorHAnsi" w:hAnsiTheme="majorHAnsi" w:cstheme="majorHAnsi"/>
          <w:color w:val="auto"/>
          <w:sz w:val="24"/>
          <w:szCs w:val="24"/>
        </w:rPr>
        <w:lastRenderedPageBreak/>
        <w:t xml:space="preserve">o percepciji reforme javne uprave, identifikovani i mapirani komunikacioni izazovi procesa reforme javne uprave u Crnoj Gori, čime su stvorene osnove da se na dugoročnoj osnovi osmišljava komunikacija. Prepoznati su svi korisni kanali, alati i tehnike strateškog komuniciranja procesa reforme javne uprave i date smjernice za komunikaciju širokog spektra aktivnosti procesa reforme javne uprave. </w:t>
      </w:r>
    </w:p>
    <w:p w:rsidR="00963BB4" w:rsidRPr="00CB681C" w:rsidRDefault="00963BB4" w:rsidP="00963BB4">
      <w:pPr>
        <w:spacing w:before="60" w:after="60" w:line="240" w:lineRule="auto"/>
        <w:ind w:right="-475"/>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U okviru projekta urađeno je istraživanje čiji rezultati su da gotovo 41%  građana zna šta je reforma javne uprave, dok preostali dio ispitanika se izjasnio da ne zna ili da nije siguran.  Istraživanje rađeno 2020. godine, pokazalo je da </w:t>
      </w:r>
      <w:r w:rsidR="00EC2F84" w:rsidRPr="00CB681C">
        <w:rPr>
          <w:rFonts w:asciiTheme="majorHAnsi" w:hAnsiTheme="majorHAnsi" w:cstheme="majorHAnsi"/>
          <w:color w:val="auto"/>
          <w:sz w:val="24"/>
          <w:szCs w:val="24"/>
        </w:rPr>
        <w:t>g</w:t>
      </w:r>
      <w:r w:rsidRPr="00CB681C">
        <w:rPr>
          <w:rFonts w:asciiTheme="majorHAnsi" w:hAnsiTheme="majorHAnsi" w:cstheme="majorHAnsi"/>
          <w:color w:val="auto"/>
          <w:sz w:val="24"/>
          <w:szCs w:val="24"/>
        </w:rPr>
        <w:t xml:space="preserve">rađani u visokom procentu (59,9%) imaju povjerenje u javnu upravu, iako procenat ispitanika koji nemaju povjerenja nije zanemarljiv – 37.1%. Iako povjerenje u javnu upravu ne zavisi od kontakta sa javnom upravom, istraživanje je pokazalo da je u vezi sa negativnim iskustvima. Takođe, lično negativno iskustvo povezano je sa opštom ocjenom javne uprave kao sektora. Negativna iskustva se uglavnom odnose na čekanje, neljubaznost, nedostatak kompetencija i proaktivnosti u želji da se pomogne klijentu. Kada je u pitanju oblast digitalizacije, 61.2% građana čulo da javna uprava radi na tome da omogući da se veći broj usluga završi digitalno, preko interneta, a ne odlaskom na šalter. O </w:t>
      </w:r>
      <w:r w:rsidR="00EC2F84" w:rsidRPr="00CB681C">
        <w:rPr>
          <w:rFonts w:asciiTheme="majorHAnsi" w:hAnsiTheme="majorHAnsi" w:cstheme="majorHAnsi"/>
          <w:color w:val="auto"/>
          <w:sz w:val="24"/>
          <w:szCs w:val="24"/>
        </w:rPr>
        <w:t>P</w:t>
      </w:r>
      <w:r w:rsidRPr="00CB681C">
        <w:rPr>
          <w:rFonts w:asciiTheme="majorHAnsi" w:hAnsiTheme="majorHAnsi" w:cstheme="majorHAnsi"/>
          <w:color w:val="auto"/>
          <w:sz w:val="24"/>
          <w:szCs w:val="24"/>
        </w:rPr>
        <w:t xml:space="preserve">ortalu eUprave ispitanici najčešće saznaju sa televizije i društvenih mreža, što i jesu dva najčešća kanala informisanja u Crnoj Gori. Većina onih koji su koristili </w:t>
      </w:r>
      <w:r w:rsidR="00EC2F84" w:rsidRPr="00CB681C">
        <w:rPr>
          <w:rFonts w:asciiTheme="majorHAnsi" w:hAnsiTheme="majorHAnsi" w:cstheme="majorHAnsi"/>
          <w:color w:val="auto"/>
          <w:sz w:val="24"/>
          <w:szCs w:val="24"/>
        </w:rPr>
        <w:t>P</w:t>
      </w:r>
      <w:r w:rsidRPr="00CB681C">
        <w:rPr>
          <w:rFonts w:asciiTheme="majorHAnsi" w:hAnsiTheme="majorHAnsi" w:cstheme="majorHAnsi"/>
          <w:color w:val="auto"/>
          <w:sz w:val="24"/>
          <w:szCs w:val="24"/>
        </w:rPr>
        <w:t>ortal tvrde da im je olakšao dobijanje dokumenta (56.1%), dok 11.5% tvrde da nije.</w:t>
      </w:r>
    </w:p>
    <w:p w:rsidR="00891B7B" w:rsidRPr="00CB681C" w:rsidRDefault="00963BB4" w:rsidP="00963BB4">
      <w:pPr>
        <w:spacing w:before="60" w:after="60" w:line="240" w:lineRule="auto"/>
        <w:ind w:right="-475"/>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 xml:space="preserve">U cilju efikasne implementacije Strategije reforme javne uprave 2022-2026, bilo bi potrebno nastaviti realizaciju projekta, koji bi podrazumijevao izradu AP koji će se fokusirati na aktivnosti i indikatore učinka prepoznate novim strateškim dokumentom. </w:t>
      </w:r>
    </w:p>
    <w:p w:rsidR="00963BB4" w:rsidRPr="00CB681C" w:rsidRDefault="00963BB4" w:rsidP="00963BB4">
      <w:pPr>
        <w:spacing w:before="60" w:after="60" w:line="240" w:lineRule="auto"/>
        <w:ind w:right="-471"/>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Praćenje reforme, koordinacija i upravljanje procesom reforme javne uprave od posebne je važnosti.  U tom cilju, da bi se ispoštovali principi učešća i inkluzije, obrazovan je Savjet za reformu javne uprave. Savjet će pratiti realizaciju reforme javne uprave, u svim fazama, prateći prioritete, dinamiku i rokove realizacije mjera i aktivnosti čiji su nosioci državni organi, organi državne uprave, organi lokalne samouprave, organi lokalne uprave i druge nadležne institucije.</w:t>
      </w:r>
    </w:p>
    <w:p w:rsidR="00891B7B" w:rsidRDefault="00963BB4" w:rsidP="00CB681C">
      <w:pPr>
        <w:spacing w:before="60" w:after="60" w:line="240" w:lineRule="auto"/>
        <w:ind w:right="-471"/>
        <w:jc w:val="both"/>
        <w:rPr>
          <w:rFonts w:asciiTheme="majorHAnsi" w:hAnsiTheme="majorHAnsi" w:cstheme="majorHAnsi"/>
          <w:color w:val="auto"/>
          <w:sz w:val="24"/>
          <w:szCs w:val="24"/>
        </w:rPr>
      </w:pPr>
      <w:r w:rsidRPr="00CB681C">
        <w:rPr>
          <w:rFonts w:asciiTheme="majorHAnsi" w:hAnsiTheme="majorHAnsi" w:cstheme="majorHAnsi"/>
          <w:color w:val="auto"/>
          <w:sz w:val="24"/>
          <w:szCs w:val="24"/>
        </w:rPr>
        <w:t>U procesu promocije cjelokupnog procesa reforme jave uprave posebna pa</w:t>
      </w:r>
      <w:r w:rsidR="00EC2F84" w:rsidRPr="00CB681C">
        <w:rPr>
          <w:rFonts w:asciiTheme="majorHAnsi" w:hAnsiTheme="majorHAnsi" w:cstheme="majorHAnsi"/>
          <w:color w:val="auto"/>
          <w:sz w:val="24"/>
          <w:szCs w:val="24"/>
        </w:rPr>
        <w:t>ž</w:t>
      </w:r>
      <w:r w:rsidRPr="00CB681C">
        <w:rPr>
          <w:rFonts w:asciiTheme="majorHAnsi" w:hAnsiTheme="majorHAnsi" w:cstheme="majorHAnsi"/>
          <w:color w:val="auto"/>
          <w:sz w:val="24"/>
          <w:szCs w:val="24"/>
        </w:rPr>
        <w:t xml:space="preserve">nja se posvjećuje promociji uloge i značaja Savjeta, u čiju svrhu je u ranijem periodu aktiviran </w:t>
      </w:r>
      <w:r w:rsidR="00EC2F84" w:rsidRPr="00CB681C">
        <w:rPr>
          <w:rFonts w:asciiTheme="majorHAnsi" w:hAnsiTheme="majorHAnsi" w:cstheme="majorHAnsi"/>
          <w:color w:val="auto"/>
          <w:sz w:val="24"/>
          <w:szCs w:val="24"/>
        </w:rPr>
        <w:t>z</w:t>
      </w:r>
      <w:r w:rsidRPr="00CB681C">
        <w:rPr>
          <w:rFonts w:asciiTheme="majorHAnsi" w:hAnsiTheme="majorHAnsi" w:cstheme="majorHAnsi"/>
          <w:color w:val="auto"/>
          <w:sz w:val="24"/>
          <w:szCs w:val="24"/>
        </w:rPr>
        <w:t xml:space="preserve">vaničan web sajt:  </w:t>
      </w:r>
      <w:hyperlink r:id="rId132" w:history="1">
        <w:r w:rsidRPr="00CB681C">
          <w:rPr>
            <w:rStyle w:val="Hyperlink"/>
            <w:rFonts w:asciiTheme="majorHAnsi" w:hAnsiTheme="majorHAnsi" w:cstheme="majorHAnsi"/>
            <w:color w:val="auto"/>
            <w:sz w:val="24"/>
            <w:szCs w:val="24"/>
          </w:rPr>
          <w:t>https://srju.gov.me/direktor</w:t>
        </w:r>
      </w:hyperlink>
      <w:r w:rsidRPr="00CB681C">
        <w:rPr>
          <w:rFonts w:asciiTheme="majorHAnsi" w:hAnsiTheme="majorHAnsi" w:cstheme="majorHAnsi"/>
          <w:color w:val="auto"/>
          <w:sz w:val="24"/>
          <w:szCs w:val="24"/>
        </w:rPr>
        <w:t xml:space="preserve"> koji će zbog kontinuiteta u praćenju </w:t>
      </w:r>
      <w:r w:rsidR="00EC2F84" w:rsidRPr="00CB681C">
        <w:rPr>
          <w:rFonts w:asciiTheme="majorHAnsi" w:hAnsiTheme="majorHAnsi" w:cstheme="majorHAnsi"/>
          <w:color w:val="auto"/>
          <w:sz w:val="24"/>
          <w:szCs w:val="24"/>
        </w:rPr>
        <w:t xml:space="preserve">koristi </w:t>
      </w:r>
      <w:r w:rsidRPr="00CB681C">
        <w:rPr>
          <w:rFonts w:asciiTheme="majorHAnsi" w:hAnsiTheme="majorHAnsi" w:cstheme="majorHAnsi"/>
          <w:color w:val="auto"/>
          <w:sz w:val="24"/>
          <w:szCs w:val="24"/>
        </w:rPr>
        <w:t>reforme</w:t>
      </w:r>
      <w:r w:rsidR="00EC2F84" w:rsidRPr="00CB681C">
        <w:rPr>
          <w:rFonts w:asciiTheme="majorHAnsi" w:hAnsiTheme="majorHAnsi" w:cstheme="majorHAnsi"/>
          <w:color w:val="auto"/>
          <w:sz w:val="24"/>
          <w:szCs w:val="24"/>
        </w:rPr>
        <w:t xml:space="preserve"> </w:t>
      </w:r>
      <w:r w:rsidRPr="00CB681C">
        <w:rPr>
          <w:rFonts w:asciiTheme="majorHAnsi" w:hAnsiTheme="majorHAnsi" w:cstheme="majorHAnsi"/>
          <w:color w:val="auto"/>
          <w:sz w:val="24"/>
          <w:szCs w:val="24"/>
        </w:rPr>
        <w:t>i u narednom p</w:t>
      </w:r>
      <w:r w:rsidR="00EC2F84" w:rsidRPr="00CB681C">
        <w:rPr>
          <w:rFonts w:asciiTheme="majorHAnsi" w:hAnsiTheme="majorHAnsi" w:cstheme="majorHAnsi"/>
          <w:color w:val="auto"/>
          <w:sz w:val="24"/>
          <w:szCs w:val="24"/>
        </w:rPr>
        <w:t>e</w:t>
      </w:r>
      <w:r w:rsidRPr="00CB681C">
        <w:rPr>
          <w:rFonts w:asciiTheme="majorHAnsi" w:hAnsiTheme="majorHAnsi" w:cstheme="majorHAnsi"/>
          <w:color w:val="auto"/>
          <w:sz w:val="24"/>
          <w:szCs w:val="24"/>
        </w:rPr>
        <w:t>riodu biti na istoj adresi.</w:t>
      </w:r>
    </w:p>
    <w:p w:rsidR="00D376EC" w:rsidRDefault="00D376EC" w:rsidP="00CB681C">
      <w:pPr>
        <w:spacing w:before="60" w:after="60" w:line="240" w:lineRule="auto"/>
        <w:ind w:right="-471"/>
        <w:jc w:val="both"/>
        <w:rPr>
          <w:rFonts w:asciiTheme="majorHAnsi" w:hAnsiTheme="majorHAnsi" w:cstheme="majorHAnsi"/>
          <w:color w:val="auto"/>
          <w:sz w:val="24"/>
          <w:szCs w:val="24"/>
        </w:rPr>
      </w:pPr>
    </w:p>
    <w:p w:rsidR="00D376EC" w:rsidRDefault="00D376EC" w:rsidP="00CB681C">
      <w:pPr>
        <w:spacing w:before="60" w:after="60" w:line="240" w:lineRule="auto"/>
        <w:ind w:right="-471"/>
        <w:jc w:val="both"/>
        <w:rPr>
          <w:rFonts w:asciiTheme="majorHAnsi" w:hAnsiTheme="majorHAnsi" w:cstheme="majorHAnsi"/>
          <w:color w:val="auto"/>
          <w:sz w:val="24"/>
          <w:szCs w:val="24"/>
        </w:rPr>
      </w:pPr>
    </w:p>
    <w:p w:rsidR="00D376EC" w:rsidRDefault="00D376EC" w:rsidP="00CB681C">
      <w:pPr>
        <w:spacing w:before="60" w:after="60" w:line="240" w:lineRule="auto"/>
        <w:ind w:right="-471"/>
        <w:jc w:val="both"/>
        <w:rPr>
          <w:rFonts w:asciiTheme="majorHAnsi" w:hAnsiTheme="majorHAnsi" w:cstheme="majorHAnsi"/>
          <w:color w:val="auto"/>
          <w:sz w:val="24"/>
          <w:szCs w:val="24"/>
        </w:rPr>
      </w:pPr>
    </w:p>
    <w:p w:rsidR="00D376EC" w:rsidRDefault="00D376EC" w:rsidP="00CB681C">
      <w:pPr>
        <w:spacing w:before="60" w:after="60" w:line="240" w:lineRule="auto"/>
        <w:ind w:right="-471"/>
        <w:jc w:val="both"/>
        <w:rPr>
          <w:rFonts w:asciiTheme="majorHAnsi" w:hAnsiTheme="majorHAnsi" w:cstheme="majorHAnsi"/>
          <w:color w:val="auto"/>
          <w:sz w:val="24"/>
          <w:szCs w:val="24"/>
        </w:rPr>
      </w:pPr>
    </w:p>
    <w:p w:rsidR="00D376EC" w:rsidRDefault="00D376EC" w:rsidP="00CB681C">
      <w:pPr>
        <w:spacing w:before="60" w:after="60" w:line="240" w:lineRule="auto"/>
        <w:ind w:right="-471"/>
        <w:jc w:val="both"/>
        <w:rPr>
          <w:rFonts w:asciiTheme="majorHAnsi" w:hAnsiTheme="majorHAnsi" w:cstheme="majorHAnsi"/>
          <w:color w:val="auto"/>
          <w:sz w:val="24"/>
          <w:szCs w:val="24"/>
        </w:rPr>
      </w:pPr>
    </w:p>
    <w:p w:rsidR="00D376EC" w:rsidRDefault="00D376EC" w:rsidP="00CB681C">
      <w:pPr>
        <w:spacing w:before="60" w:after="60" w:line="240" w:lineRule="auto"/>
        <w:ind w:right="-471"/>
        <w:jc w:val="both"/>
        <w:rPr>
          <w:rFonts w:asciiTheme="majorHAnsi" w:hAnsiTheme="majorHAnsi" w:cstheme="majorHAnsi"/>
          <w:color w:val="auto"/>
          <w:sz w:val="24"/>
          <w:szCs w:val="24"/>
        </w:rPr>
      </w:pPr>
    </w:p>
    <w:p w:rsidR="00D376EC" w:rsidRDefault="00D376EC" w:rsidP="00CB681C">
      <w:pPr>
        <w:spacing w:before="60" w:after="60" w:line="240" w:lineRule="auto"/>
        <w:ind w:right="-471"/>
        <w:jc w:val="both"/>
        <w:rPr>
          <w:rFonts w:asciiTheme="majorHAnsi" w:hAnsiTheme="majorHAnsi" w:cstheme="majorHAnsi"/>
          <w:color w:val="auto"/>
          <w:sz w:val="24"/>
          <w:szCs w:val="24"/>
        </w:rPr>
      </w:pPr>
    </w:p>
    <w:p w:rsidR="00D376EC" w:rsidRDefault="00D376EC" w:rsidP="00CB681C">
      <w:pPr>
        <w:spacing w:before="60" w:after="60" w:line="240" w:lineRule="auto"/>
        <w:ind w:right="-471"/>
        <w:jc w:val="both"/>
        <w:rPr>
          <w:rFonts w:asciiTheme="majorHAnsi" w:hAnsiTheme="majorHAnsi" w:cstheme="majorHAnsi"/>
          <w:color w:val="auto"/>
          <w:sz w:val="24"/>
          <w:szCs w:val="24"/>
        </w:rPr>
      </w:pPr>
    </w:p>
    <w:p w:rsidR="00D376EC" w:rsidRDefault="00D376EC" w:rsidP="00CB681C">
      <w:pPr>
        <w:spacing w:before="60" w:after="60" w:line="240" w:lineRule="auto"/>
        <w:ind w:right="-471"/>
        <w:jc w:val="both"/>
        <w:rPr>
          <w:rFonts w:asciiTheme="majorHAnsi" w:hAnsiTheme="majorHAnsi" w:cstheme="majorHAnsi"/>
          <w:color w:val="auto"/>
          <w:sz w:val="24"/>
          <w:szCs w:val="24"/>
        </w:rPr>
      </w:pPr>
    </w:p>
    <w:p w:rsidR="00D376EC" w:rsidRDefault="00D376EC" w:rsidP="00CB681C">
      <w:pPr>
        <w:spacing w:before="60" w:after="60" w:line="240" w:lineRule="auto"/>
        <w:ind w:right="-471"/>
        <w:jc w:val="both"/>
        <w:rPr>
          <w:rFonts w:asciiTheme="majorHAnsi" w:hAnsiTheme="majorHAnsi" w:cstheme="majorHAnsi"/>
          <w:color w:val="auto"/>
          <w:sz w:val="24"/>
          <w:szCs w:val="24"/>
        </w:rPr>
      </w:pPr>
    </w:p>
    <w:p w:rsidR="00042F67" w:rsidRDefault="00042F67" w:rsidP="00CB681C">
      <w:pPr>
        <w:spacing w:before="60" w:after="60" w:line="240" w:lineRule="auto"/>
        <w:ind w:right="-471"/>
        <w:jc w:val="both"/>
        <w:rPr>
          <w:rFonts w:asciiTheme="majorHAnsi" w:hAnsiTheme="majorHAnsi" w:cstheme="majorHAnsi"/>
          <w:color w:val="auto"/>
          <w:sz w:val="24"/>
          <w:szCs w:val="24"/>
        </w:rPr>
        <w:sectPr w:rsidR="00042F67" w:rsidSect="006C1572">
          <w:pgSz w:w="12240" w:h="15840" w:code="1"/>
          <w:pgMar w:top="1714" w:right="1526" w:bottom="1800" w:left="1555" w:header="864" w:footer="720" w:gutter="0"/>
          <w:pgNumType w:chapStyle="1"/>
          <w:cols w:space="720"/>
          <w:docGrid w:linePitch="360"/>
        </w:sectPr>
      </w:pPr>
    </w:p>
    <w:p w:rsidR="00E50DDA" w:rsidRPr="00E50DDA" w:rsidRDefault="00E50DDA" w:rsidP="00E50DDA">
      <w:pPr>
        <w:jc w:val="center"/>
        <w:rPr>
          <w:rFonts w:ascii="Sitka Text" w:hAnsi="Sitka Text" w:cs="Mongolian Baiti"/>
          <w:color w:val="auto"/>
          <w:sz w:val="28"/>
          <w:szCs w:val="28"/>
        </w:rPr>
      </w:pPr>
      <w:r w:rsidRPr="00E50DDA">
        <w:rPr>
          <w:rFonts w:ascii="Sitka Text" w:hAnsi="Sitka Text" w:cs="Mongolian Baiti"/>
          <w:color w:val="auto"/>
          <w:sz w:val="28"/>
          <w:szCs w:val="28"/>
        </w:rPr>
        <w:lastRenderedPageBreak/>
        <w:t>AKCIONI PLAN 2022 – 2024.</w:t>
      </w:r>
    </w:p>
    <w:p w:rsidR="00042F67" w:rsidRPr="000545E1" w:rsidRDefault="00E50DDA" w:rsidP="00E50DDA">
      <w:pPr>
        <w:jc w:val="center"/>
        <w:rPr>
          <w:rFonts w:ascii="Sitka Text" w:hAnsi="Sitka Text" w:cs="Mongolian Baiti"/>
          <w:color w:val="auto"/>
          <w:sz w:val="28"/>
          <w:szCs w:val="28"/>
        </w:rPr>
      </w:pPr>
      <w:r w:rsidRPr="00E50DDA">
        <w:rPr>
          <w:rFonts w:ascii="Sitka Text" w:hAnsi="Sitka Text" w:cs="Mongolian Baiti"/>
          <w:color w:val="auto"/>
          <w:sz w:val="28"/>
          <w:szCs w:val="28"/>
        </w:rPr>
        <w:t>za sprovođenje Strategije reforme javn</w:t>
      </w:r>
      <w:r>
        <w:rPr>
          <w:rFonts w:ascii="Sitka Text" w:hAnsi="Sitka Text" w:cs="Mongolian Baiti"/>
          <w:color w:val="auto"/>
          <w:sz w:val="28"/>
          <w:szCs w:val="28"/>
        </w:rPr>
        <w:t>e uprave za period 2022 – 2026.</w:t>
      </w:r>
    </w:p>
    <w:p w:rsidR="00042F67" w:rsidRPr="000545E1" w:rsidRDefault="00042F67" w:rsidP="00042F67">
      <w:pPr>
        <w:spacing w:before="120" w:after="120" w:line="240" w:lineRule="auto"/>
        <w:jc w:val="center"/>
        <w:rPr>
          <w:rFonts w:ascii="Sitka Text" w:hAnsi="Sitka Text" w:cs="Mongolian Baiti"/>
          <w:b/>
          <w:color w:val="auto"/>
          <w:sz w:val="28"/>
          <w:szCs w:val="28"/>
        </w:rPr>
      </w:pPr>
      <w:r w:rsidRPr="000545E1">
        <w:rPr>
          <w:rFonts w:ascii="Sitka Text" w:hAnsi="Sitka Text" w:cs="Mongolian Baiti"/>
          <w:b/>
          <w:color w:val="auto"/>
          <w:sz w:val="28"/>
          <w:szCs w:val="28"/>
        </w:rPr>
        <w:t>STRATEŠKI CILJ I</w:t>
      </w:r>
    </w:p>
    <w:p w:rsidR="00042F67" w:rsidRPr="000545E1" w:rsidRDefault="00042F67" w:rsidP="00042F67">
      <w:pPr>
        <w:spacing w:before="120" w:after="120" w:line="240" w:lineRule="auto"/>
        <w:jc w:val="center"/>
        <w:rPr>
          <w:rFonts w:ascii="Sitka Text" w:hAnsi="Sitka Text" w:cs="Mongolian Baiti"/>
          <w:color w:val="auto"/>
          <w:sz w:val="24"/>
          <w:szCs w:val="24"/>
        </w:rPr>
      </w:pPr>
      <w:r w:rsidRPr="000545E1">
        <w:rPr>
          <w:rFonts w:ascii="Sitka Text" w:hAnsi="Sitka Text" w:cs="Mongolian Baiti"/>
          <w:b/>
          <w:color w:val="auto"/>
          <w:sz w:val="28"/>
          <w:szCs w:val="28"/>
        </w:rPr>
        <w:t>ORGANIZACIJA I RAD JAVNE UPRAVE U FUNKCIJI POTREBA GRA</w:t>
      </w:r>
      <w:r w:rsidRPr="000545E1">
        <w:rPr>
          <w:rFonts w:ascii="Sitka Text" w:hAnsi="Sitka Text" w:cs="Calibri"/>
          <w:b/>
          <w:color w:val="auto"/>
          <w:sz w:val="28"/>
          <w:szCs w:val="28"/>
        </w:rPr>
        <w:t>Đ</w:t>
      </w:r>
      <w:r w:rsidRPr="000545E1">
        <w:rPr>
          <w:rFonts w:ascii="Sitka Text" w:hAnsi="Sitka Text" w:cs="Mongolian Baiti"/>
          <w:b/>
          <w:color w:val="auto"/>
          <w:sz w:val="28"/>
          <w:szCs w:val="28"/>
        </w:rPr>
        <w:t>ANA</w:t>
      </w:r>
    </w:p>
    <w:tbl>
      <w:tblPr>
        <w:tblStyle w:val="TableGrid"/>
        <w:tblW w:w="14549" w:type="dxa"/>
        <w:tblLayout w:type="fixed"/>
        <w:tblLook w:val="04A0" w:firstRow="1" w:lastRow="0" w:firstColumn="1" w:lastColumn="0" w:noHBand="0" w:noVBand="1"/>
      </w:tblPr>
      <w:tblGrid>
        <w:gridCol w:w="625"/>
        <w:gridCol w:w="2773"/>
        <w:gridCol w:w="7"/>
        <w:gridCol w:w="1867"/>
        <w:gridCol w:w="99"/>
        <w:gridCol w:w="637"/>
        <w:gridCol w:w="1375"/>
        <w:gridCol w:w="7"/>
        <w:gridCol w:w="1530"/>
        <w:gridCol w:w="446"/>
        <w:gridCol w:w="7"/>
        <w:gridCol w:w="1073"/>
        <w:gridCol w:w="7"/>
        <w:gridCol w:w="1343"/>
        <w:gridCol w:w="7"/>
        <w:gridCol w:w="350"/>
        <w:gridCol w:w="799"/>
        <w:gridCol w:w="7"/>
        <w:gridCol w:w="1537"/>
        <w:gridCol w:w="7"/>
        <w:gridCol w:w="46"/>
      </w:tblGrid>
      <w:tr w:rsidR="00042F67" w:rsidRPr="000545E1" w:rsidTr="001D3F7C">
        <w:tc>
          <w:tcPr>
            <w:tcW w:w="3405" w:type="dxa"/>
            <w:gridSpan w:val="3"/>
            <w:shd w:val="clear" w:color="auto" w:fill="DFE4E5" w:themeFill="accent5" w:themeFillTint="33"/>
            <w:vAlign w:val="center"/>
          </w:tcPr>
          <w:p w:rsidR="00042F67" w:rsidRPr="000545E1" w:rsidRDefault="00042F67" w:rsidP="001D3F7C">
            <w:pPr>
              <w:spacing w:after="40"/>
              <w:jc w:val="center"/>
              <w:rPr>
                <w:rFonts w:ascii="Sitka Text" w:hAnsi="Sitka Text" w:cs="Mongolian Baiti"/>
                <w:b/>
                <w:color w:val="auto"/>
                <w:sz w:val="24"/>
                <w:szCs w:val="24"/>
              </w:rPr>
            </w:pPr>
            <w:r w:rsidRPr="000545E1">
              <w:rPr>
                <w:rFonts w:ascii="Sitka Text" w:hAnsi="Sitka Text" w:cs="Mongolian Baiti"/>
                <w:b/>
                <w:color w:val="auto"/>
                <w:sz w:val="24"/>
                <w:szCs w:val="24"/>
              </w:rPr>
              <w:t>OPERATIVNI CILJ 1.1</w:t>
            </w:r>
          </w:p>
        </w:tc>
        <w:tc>
          <w:tcPr>
            <w:tcW w:w="11144" w:type="dxa"/>
            <w:gridSpan w:val="18"/>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Funkcionalna javna uprava sa efikasnim nadzorom nad njenim radom i primjenom koncepta upravljačke odgovornosti</w:t>
            </w:r>
          </w:p>
        </w:tc>
      </w:tr>
      <w:tr w:rsidR="00042F67" w:rsidRPr="000545E1" w:rsidTr="001D3F7C">
        <w:trPr>
          <w:gridAfter w:val="1"/>
          <w:wAfter w:w="46" w:type="dxa"/>
        </w:trPr>
        <w:tc>
          <w:tcPr>
            <w:tcW w:w="6008" w:type="dxa"/>
            <w:gridSpan w:val="6"/>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Indikator</w:t>
            </w:r>
          </w:p>
        </w:tc>
        <w:tc>
          <w:tcPr>
            <w:tcW w:w="2912" w:type="dxa"/>
            <w:gridSpan w:val="3"/>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Početna vrijednost</w:t>
            </w:r>
          </w:p>
        </w:tc>
        <w:tc>
          <w:tcPr>
            <w:tcW w:w="3233" w:type="dxa"/>
            <w:gridSpan w:val="7"/>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do 2024.</w:t>
            </w:r>
          </w:p>
        </w:tc>
        <w:tc>
          <w:tcPr>
            <w:tcW w:w="2350" w:type="dxa"/>
            <w:gridSpan w:val="4"/>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u 2026.</w:t>
            </w:r>
          </w:p>
        </w:tc>
      </w:tr>
      <w:tr w:rsidR="00042F67" w:rsidRPr="000545E1" w:rsidTr="001D3F7C">
        <w:trPr>
          <w:gridAfter w:val="1"/>
          <w:wAfter w:w="46" w:type="dxa"/>
        </w:trPr>
        <w:tc>
          <w:tcPr>
            <w:tcW w:w="6008" w:type="dxa"/>
            <w:gridSpan w:val="6"/>
            <w:shd w:val="clear" w:color="auto" w:fill="DAF2F6"/>
            <w:vAlign w:val="center"/>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Iznos sredstava koji je prinudno naplaćen u radnim predmetima koje zastupa Zaštitnik imovinsko-pravnih interesa</w:t>
            </w:r>
          </w:p>
        </w:tc>
        <w:tc>
          <w:tcPr>
            <w:tcW w:w="2912" w:type="dxa"/>
            <w:gridSpan w:val="3"/>
            <w:shd w:val="clear" w:color="auto" w:fill="DAF2F6"/>
          </w:tcPr>
          <w:p w:rsidR="00042F67" w:rsidRPr="000545E1" w:rsidRDefault="00042F67" w:rsidP="001D3F7C">
            <w:pPr>
              <w:spacing w:after="40"/>
              <w:rPr>
                <w:rFonts w:ascii="Sitka Text" w:hAnsi="Sitka Text" w:cs="Mongolian Baiti"/>
                <w:b/>
                <w:color w:val="auto"/>
              </w:rPr>
            </w:pPr>
            <w:r w:rsidRPr="00140192">
              <w:rPr>
                <w:rFonts w:ascii="Sitka Text" w:hAnsi="Sitka Text" w:cstheme="majorHAnsi"/>
                <w:color w:val="auto"/>
              </w:rPr>
              <w:t>10.412.089  € (2020)</w:t>
            </w:r>
          </w:p>
        </w:tc>
        <w:tc>
          <w:tcPr>
            <w:tcW w:w="3233" w:type="dxa"/>
            <w:gridSpan w:val="7"/>
            <w:tcBorders>
              <w:bottom w:val="single" w:sz="4" w:space="0" w:color="FFFFFF" w:themeColor="background1"/>
            </w:tcBorders>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Nepromijenjeno u odnosu na početnu vrijednost</w:t>
            </w:r>
          </w:p>
        </w:tc>
        <w:tc>
          <w:tcPr>
            <w:tcW w:w="2350" w:type="dxa"/>
            <w:gridSpan w:val="4"/>
            <w:tcBorders>
              <w:bottom w:val="single" w:sz="4" w:space="0" w:color="FFFFFF" w:themeColor="background1"/>
            </w:tcBorders>
            <w:shd w:val="clear" w:color="auto" w:fill="DAF2F6"/>
          </w:tcPr>
          <w:p w:rsidR="00042F67" w:rsidRPr="000545E1" w:rsidRDefault="00042F67" w:rsidP="001D3F7C">
            <w:pPr>
              <w:spacing w:after="40"/>
              <w:rPr>
                <w:rFonts w:ascii="Sitka Text" w:hAnsi="Sitka Text" w:cstheme="majorHAnsi"/>
                <w:b/>
                <w:color w:val="auto"/>
              </w:rPr>
            </w:pPr>
            <w:r w:rsidRPr="000545E1">
              <w:rPr>
                <w:rFonts w:ascii="Sitka Text" w:hAnsi="Sitka Text" w:cstheme="majorHAnsi"/>
                <w:color w:val="auto"/>
              </w:rPr>
              <w:t>-3% od početne vrijednosti</w:t>
            </w:r>
          </w:p>
        </w:tc>
      </w:tr>
      <w:tr w:rsidR="00042F67" w:rsidRPr="000545E1" w:rsidTr="001D3F7C">
        <w:trPr>
          <w:gridAfter w:val="1"/>
          <w:wAfter w:w="46" w:type="dxa"/>
        </w:trPr>
        <w:tc>
          <w:tcPr>
            <w:tcW w:w="6008" w:type="dxa"/>
            <w:gridSpan w:val="6"/>
            <w:shd w:val="clear" w:color="auto" w:fill="DFE4E5" w:themeFill="accent5" w:themeFillTint="33"/>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Uspostavljen sistem izvještavanja na nivou pokazatelja ishoda i ciljeva koji bi omogućili praćenje postizanja rezultata</w:t>
            </w:r>
          </w:p>
        </w:tc>
        <w:tc>
          <w:tcPr>
            <w:tcW w:w="2912" w:type="dxa"/>
            <w:gridSpan w:val="3"/>
            <w:tcBorders>
              <w:top w:val="single" w:sz="4" w:space="0" w:color="auto"/>
            </w:tcBorders>
            <w:shd w:val="clear" w:color="auto" w:fill="DFE4E5" w:themeFill="accent5" w:themeFillTint="33"/>
          </w:tcPr>
          <w:p w:rsidR="00042F67" w:rsidRPr="000545E1" w:rsidRDefault="00042F67" w:rsidP="001D3F7C">
            <w:pPr>
              <w:spacing w:after="40"/>
              <w:rPr>
                <w:rFonts w:ascii="Sitka Text" w:hAnsi="Sitka Text" w:cs="Mongolian Baiti"/>
                <w:color w:val="auto"/>
              </w:rPr>
            </w:pPr>
            <w:r w:rsidRPr="000545E1">
              <w:rPr>
                <w:rFonts w:ascii="Sitka Text" w:hAnsi="Sitka Text" w:cstheme="majorHAnsi"/>
                <w:color w:val="auto"/>
              </w:rPr>
              <w:t>Nije uspostavljen sistem</w:t>
            </w:r>
          </w:p>
        </w:tc>
        <w:tc>
          <w:tcPr>
            <w:tcW w:w="3233" w:type="dxa"/>
            <w:gridSpan w:val="7"/>
            <w:tcBorders>
              <w:top w:val="single" w:sz="4" w:space="0" w:color="auto"/>
            </w:tcBorders>
            <w:shd w:val="clear" w:color="auto" w:fill="DFE4E5" w:themeFill="accent5" w:themeFillTint="33"/>
          </w:tcPr>
          <w:p w:rsidR="00042F67" w:rsidRPr="000545E1" w:rsidRDefault="00042F67" w:rsidP="001D3F7C">
            <w:pPr>
              <w:spacing w:after="40"/>
              <w:rPr>
                <w:rFonts w:ascii="Sitka Text" w:hAnsi="Sitka Text" w:cs="Mongolian Baiti"/>
                <w:color w:val="auto"/>
              </w:rPr>
            </w:pPr>
            <w:r w:rsidRPr="000545E1">
              <w:rPr>
                <w:rFonts w:ascii="Sitka Text" w:hAnsi="Sitka Text" w:cstheme="majorHAnsi"/>
                <w:color w:val="auto"/>
              </w:rPr>
              <w:t xml:space="preserve">100% ministarstava imaju uspostavljeno </w:t>
            </w:r>
            <w:r w:rsidRPr="000545E1">
              <w:rPr>
                <w:rFonts w:ascii="Sitka Text" w:hAnsi="Sitka Text" w:cstheme="majorHAnsi"/>
                <w:i/>
                <w:color w:val="auto"/>
              </w:rPr>
              <w:t>outcome</w:t>
            </w:r>
            <w:r w:rsidRPr="000545E1">
              <w:rPr>
                <w:rFonts w:ascii="Sitka Text" w:hAnsi="Sitka Text" w:cstheme="majorHAnsi"/>
                <w:color w:val="auto"/>
              </w:rPr>
              <w:t xml:space="preserve"> izvještavanje</w:t>
            </w:r>
          </w:p>
        </w:tc>
        <w:tc>
          <w:tcPr>
            <w:tcW w:w="2350" w:type="dxa"/>
            <w:gridSpan w:val="4"/>
            <w:tcBorders>
              <w:top w:val="single" w:sz="4" w:space="0" w:color="auto"/>
            </w:tcBorders>
            <w:shd w:val="clear" w:color="auto" w:fill="DFE4E5" w:themeFill="accent5" w:themeFillTint="33"/>
          </w:tcPr>
          <w:p w:rsidR="00042F67" w:rsidRPr="000545E1" w:rsidRDefault="00042F67" w:rsidP="001D3F7C">
            <w:pPr>
              <w:spacing w:after="40"/>
              <w:ind w:right="144"/>
              <w:jc w:val="both"/>
              <w:rPr>
                <w:rFonts w:ascii="Sitka Text" w:hAnsi="Sitka Text" w:cstheme="majorHAnsi"/>
                <w:color w:val="auto"/>
              </w:rPr>
            </w:pPr>
            <w:r w:rsidRPr="000545E1">
              <w:rPr>
                <w:rFonts w:ascii="Sitka Text" w:hAnsi="Sitka Text" w:cstheme="majorHAnsi"/>
                <w:color w:val="auto"/>
              </w:rPr>
              <w:t xml:space="preserve">100% ministarstava </w:t>
            </w:r>
          </w:p>
          <w:p w:rsidR="00042F67" w:rsidRPr="000545E1" w:rsidRDefault="00042F67" w:rsidP="001D3F7C">
            <w:pPr>
              <w:spacing w:after="40"/>
              <w:rPr>
                <w:rFonts w:ascii="Sitka Text" w:hAnsi="Sitka Text" w:cs="Mongolian Baiti"/>
                <w:color w:val="auto"/>
              </w:rPr>
            </w:pPr>
            <w:r w:rsidRPr="000545E1">
              <w:rPr>
                <w:rFonts w:ascii="Sitka Text" w:hAnsi="Sitka Text" w:cstheme="majorHAnsi"/>
                <w:color w:val="auto"/>
              </w:rPr>
              <w:t>50% organa uprave i javnih ustanova</w:t>
            </w:r>
          </w:p>
        </w:tc>
      </w:tr>
      <w:tr w:rsidR="00042F67" w:rsidRPr="000545E1" w:rsidTr="001D3F7C">
        <w:trPr>
          <w:gridAfter w:val="1"/>
          <w:wAfter w:w="46" w:type="dxa"/>
        </w:trPr>
        <w:tc>
          <w:tcPr>
            <w:tcW w:w="6008" w:type="dxa"/>
            <w:gridSpan w:val="6"/>
            <w:shd w:val="clear" w:color="auto" w:fill="DFE4E5" w:themeFill="accent5" w:themeFillTint="33"/>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Broj tužbi zbog povrede prava na suđenje u razumnom roku u upravno-sudskom postupku</w:t>
            </w:r>
          </w:p>
        </w:tc>
        <w:tc>
          <w:tcPr>
            <w:tcW w:w="2912" w:type="dxa"/>
            <w:gridSpan w:val="3"/>
            <w:tcBorders>
              <w:top w:val="single" w:sz="4" w:space="0" w:color="FFFFFF" w:themeColor="background1"/>
            </w:tcBorders>
            <w:shd w:val="clear" w:color="auto" w:fill="DFE4E5" w:themeFill="accent5" w:themeFillTint="33"/>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22 predmeta (2020)</w:t>
            </w:r>
          </w:p>
        </w:tc>
        <w:tc>
          <w:tcPr>
            <w:tcW w:w="3233" w:type="dxa"/>
            <w:gridSpan w:val="7"/>
            <w:tcBorders>
              <w:top w:val="single" w:sz="4" w:space="0" w:color="FFFFFF" w:themeColor="background1"/>
            </w:tcBorders>
            <w:shd w:val="clear" w:color="auto" w:fill="DFE4E5" w:themeFill="accent5" w:themeFillTint="33"/>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20 predmeta</w:t>
            </w:r>
          </w:p>
        </w:tc>
        <w:tc>
          <w:tcPr>
            <w:tcW w:w="2350" w:type="dxa"/>
            <w:gridSpan w:val="4"/>
            <w:tcBorders>
              <w:top w:val="single" w:sz="4" w:space="0" w:color="FFFFFF" w:themeColor="background1"/>
            </w:tcBorders>
            <w:shd w:val="clear" w:color="auto" w:fill="DFE4E5" w:themeFill="accent5" w:themeFillTint="33"/>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16 predmeta</w:t>
            </w:r>
          </w:p>
        </w:tc>
      </w:tr>
      <w:tr w:rsidR="00042F67" w:rsidRPr="000545E1" w:rsidTr="001D3F7C">
        <w:trPr>
          <w:gridAfter w:val="1"/>
          <w:wAfter w:w="46" w:type="dxa"/>
        </w:trPr>
        <w:tc>
          <w:tcPr>
            <w:tcW w:w="6008" w:type="dxa"/>
            <w:gridSpan w:val="6"/>
            <w:shd w:val="clear" w:color="auto" w:fill="DFE4E5" w:themeFill="accent5" w:themeFillTint="33"/>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Prosječno trajanje upravnog spora u Upravnom sudu</w:t>
            </w:r>
          </w:p>
        </w:tc>
        <w:tc>
          <w:tcPr>
            <w:tcW w:w="2912" w:type="dxa"/>
            <w:gridSpan w:val="3"/>
            <w:tcBorders>
              <w:top w:val="single" w:sz="4" w:space="0" w:color="FFFFFF" w:themeColor="background1"/>
            </w:tcBorders>
            <w:shd w:val="clear" w:color="auto" w:fill="DFE4E5" w:themeFill="accent5" w:themeFillTint="33"/>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17 mjeseci</w:t>
            </w:r>
          </w:p>
        </w:tc>
        <w:tc>
          <w:tcPr>
            <w:tcW w:w="3233" w:type="dxa"/>
            <w:gridSpan w:val="7"/>
            <w:tcBorders>
              <w:top w:val="single" w:sz="4" w:space="0" w:color="FFFFFF" w:themeColor="background1"/>
            </w:tcBorders>
            <w:shd w:val="clear" w:color="auto" w:fill="DFE4E5" w:themeFill="accent5" w:themeFillTint="33"/>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15 mjeseci</w:t>
            </w:r>
          </w:p>
        </w:tc>
        <w:tc>
          <w:tcPr>
            <w:tcW w:w="2350" w:type="dxa"/>
            <w:gridSpan w:val="4"/>
            <w:tcBorders>
              <w:top w:val="single" w:sz="4" w:space="0" w:color="FFFFFF" w:themeColor="background1"/>
            </w:tcBorders>
            <w:shd w:val="clear" w:color="auto" w:fill="DFE4E5" w:themeFill="accent5" w:themeFillTint="33"/>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12 mjeseci</w:t>
            </w:r>
          </w:p>
        </w:tc>
      </w:tr>
      <w:tr w:rsidR="00042F67" w:rsidRPr="000545E1" w:rsidTr="001D3F7C">
        <w:trPr>
          <w:gridAfter w:val="1"/>
          <w:wAfter w:w="46" w:type="dxa"/>
        </w:trPr>
        <w:tc>
          <w:tcPr>
            <w:tcW w:w="6008" w:type="dxa"/>
            <w:gridSpan w:val="6"/>
            <w:shd w:val="clear" w:color="auto" w:fill="DFE4E5" w:themeFill="accent5" w:themeFillTint="33"/>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 preporuka koje su ralizovane od strane organa javne uprave na osnovu Izvještaja Zaštitnika ljudskih prava i sloboda - Ombudsman</w:t>
            </w:r>
          </w:p>
        </w:tc>
        <w:tc>
          <w:tcPr>
            <w:tcW w:w="2912" w:type="dxa"/>
            <w:gridSpan w:val="3"/>
            <w:tcBorders>
              <w:top w:val="single" w:sz="4" w:space="0" w:color="FFFFFF" w:themeColor="background1"/>
            </w:tcBorders>
            <w:shd w:val="clear" w:color="auto" w:fill="DFE4E5" w:themeFill="accent5" w:themeFillTint="33"/>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19,88% (2020)</w:t>
            </w:r>
            <w:r w:rsidRPr="000545E1">
              <w:rPr>
                <w:rStyle w:val="FootnoteReference"/>
                <w:rFonts w:ascii="Sitka Text" w:hAnsi="Sitka Text" w:cstheme="majorHAnsi"/>
                <w:color w:val="auto"/>
              </w:rPr>
              <w:footnoteReference w:id="145"/>
            </w:r>
          </w:p>
        </w:tc>
        <w:tc>
          <w:tcPr>
            <w:tcW w:w="3233" w:type="dxa"/>
            <w:gridSpan w:val="7"/>
            <w:tcBorders>
              <w:top w:val="single" w:sz="4" w:space="0" w:color="FFFFFF" w:themeColor="background1"/>
            </w:tcBorders>
            <w:shd w:val="clear" w:color="auto" w:fill="DFE4E5" w:themeFill="accent5" w:themeFillTint="33"/>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Preko 40% realizovanih preporuka</w:t>
            </w:r>
          </w:p>
        </w:tc>
        <w:tc>
          <w:tcPr>
            <w:tcW w:w="2350" w:type="dxa"/>
            <w:gridSpan w:val="4"/>
            <w:tcBorders>
              <w:top w:val="single" w:sz="4" w:space="0" w:color="FFFFFF" w:themeColor="background1"/>
            </w:tcBorders>
            <w:shd w:val="clear" w:color="auto" w:fill="DFE4E5" w:themeFill="accent5" w:themeFillTint="33"/>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Preko 60 % realizovanih preporuka</w:t>
            </w:r>
          </w:p>
        </w:tc>
      </w:tr>
      <w:tr w:rsidR="00042F67" w:rsidRPr="000545E1" w:rsidTr="001D3F7C">
        <w:trPr>
          <w:gridAfter w:val="1"/>
          <w:wAfter w:w="46" w:type="dxa"/>
        </w:trPr>
        <w:tc>
          <w:tcPr>
            <w:tcW w:w="6008" w:type="dxa"/>
            <w:gridSpan w:val="6"/>
            <w:shd w:val="clear" w:color="auto" w:fill="DFE4E5" w:themeFill="accent5" w:themeFillTint="33"/>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 ministarstava koji delegiraju ovlašćenja za finansijsko upravljanje i unutrašnje kontrole višem rukovodstvu u skladu sa Uredbom</w:t>
            </w:r>
            <w:r w:rsidRPr="000545E1">
              <w:rPr>
                <w:rStyle w:val="FootnoteReference"/>
                <w:rFonts w:ascii="Sitka Text" w:hAnsi="Sitka Text" w:cstheme="majorHAnsi"/>
                <w:color w:val="auto"/>
              </w:rPr>
              <w:footnoteReference w:id="146"/>
            </w:r>
          </w:p>
        </w:tc>
        <w:tc>
          <w:tcPr>
            <w:tcW w:w="2912" w:type="dxa"/>
            <w:gridSpan w:val="3"/>
            <w:tcBorders>
              <w:bottom w:val="single" w:sz="4" w:space="0" w:color="FFFFFF" w:themeColor="background1"/>
            </w:tcBorders>
            <w:shd w:val="clear" w:color="auto" w:fill="DFE4E5" w:themeFill="accent5" w:themeFillTint="33"/>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8,3%</w:t>
            </w:r>
          </w:p>
        </w:tc>
        <w:tc>
          <w:tcPr>
            <w:tcW w:w="3233" w:type="dxa"/>
            <w:gridSpan w:val="7"/>
            <w:tcBorders>
              <w:bottom w:val="single" w:sz="4" w:space="0" w:color="FFFFFF" w:themeColor="background1"/>
            </w:tcBorders>
            <w:shd w:val="clear" w:color="auto" w:fill="DFE4E5" w:themeFill="accent5" w:themeFillTint="33"/>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50%</w:t>
            </w:r>
          </w:p>
        </w:tc>
        <w:tc>
          <w:tcPr>
            <w:tcW w:w="2350" w:type="dxa"/>
            <w:gridSpan w:val="4"/>
            <w:tcBorders>
              <w:bottom w:val="single" w:sz="4" w:space="0" w:color="FFFFFF" w:themeColor="background1"/>
            </w:tcBorders>
            <w:shd w:val="clear" w:color="auto" w:fill="DFE4E5" w:themeFill="accent5" w:themeFillTint="33"/>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80%</w:t>
            </w:r>
          </w:p>
        </w:tc>
      </w:tr>
      <w:tr w:rsidR="00042F67" w:rsidRPr="000545E1" w:rsidTr="001D3F7C">
        <w:trPr>
          <w:gridAfter w:val="1"/>
          <w:wAfter w:w="46" w:type="dxa"/>
        </w:trPr>
        <w:tc>
          <w:tcPr>
            <w:tcW w:w="3405" w:type="dxa"/>
            <w:gridSpan w:val="3"/>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Aktivnosti</w:t>
            </w:r>
          </w:p>
        </w:tc>
        <w:tc>
          <w:tcPr>
            <w:tcW w:w="3985" w:type="dxa"/>
            <w:gridSpan w:val="5"/>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Indikator rezultata</w:t>
            </w:r>
          </w:p>
        </w:tc>
        <w:tc>
          <w:tcPr>
            <w:tcW w:w="1983" w:type="dxa"/>
            <w:gridSpan w:val="3"/>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Nadležne institucije</w:t>
            </w:r>
          </w:p>
        </w:tc>
        <w:tc>
          <w:tcPr>
            <w:tcW w:w="1080"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Početak</w:t>
            </w:r>
          </w:p>
        </w:tc>
        <w:tc>
          <w:tcPr>
            <w:tcW w:w="1350"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Završetak</w:t>
            </w:r>
          </w:p>
        </w:tc>
        <w:tc>
          <w:tcPr>
            <w:tcW w:w="1156" w:type="dxa"/>
            <w:gridSpan w:val="3"/>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Sredstva</w:t>
            </w:r>
          </w:p>
        </w:tc>
        <w:tc>
          <w:tcPr>
            <w:tcW w:w="1544"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Izvor finansiranja</w:t>
            </w:r>
          </w:p>
        </w:tc>
      </w:tr>
      <w:tr w:rsidR="00042F67" w:rsidRPr="000545E1" w:rsidTr="001D3F7C">
        <w:trPr>
          <w:gridAfter w:val="2"/>
          <w:wAfter w:w="53" w:type="dxa"/>
          <w:trHeight w:val="359"/>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1.1.1</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Izrada Predloga Zakona o Vladi</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Utvrđen predlog Zakona na Vladi</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 xml:space="preserve">MJUDDM – Direktorat za </w:t>
            </w:r>
            <w:r w:rsidRPr="000545E1">
              <w:rPr>
                <w:rFonts w:ascii="Sitka Text" w:hAnsi="Sitka Text" w:cs="Mongolian Baiti"/>
                <w:color w:val="auto"/>
              </w:rPr>
              <w:lastRenderedPageBreak/>
              <w:t>normativne poslove</w:t>
            </w:r>
            <w:r w:rsidRPr="000545E1">
              <w:rPr>
                <w:rFonts w:ascii="Sitka Text" w:hAnsi="Sitka Text" w:cs="Mongolian Baiti"/>
                <w:color w:val="auto"/>
              </w:rPr>
              <w:br/>
              <w:t>Skupština CG</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lastRenderedPageBreak/>
              <w:t>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Height w:val="359"/>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1.1.2</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Razvijanje Analize potreba za uvođenja/normiranja Zakona o javnim ustanovama i/ili službama</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Izrađena analiza sa identifikovanim izazovima i preporukama o potrebi uspostavljanja normativnog okvira javnih ustanova/službi</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 – Direktorat za normativne poslove</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ZOCG</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18.000 €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1.1.3</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Uspostavljane Registra državnih organa i institucija na centralnom i lokalnom nivou</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 Objavljen unaprijeđen  registar državnih organa na </w:t>
            </w:r>
            <w:hyperlink r:id="rId133" w:history="1">
              <w:r w:rsidRPr="000545E1">
                <w:rPr>
                  <w:rStyle w:val="Hyperlink"/>
                  <w:rFonts w:ascii="Sitka Text" w:hAnsi="Sitka Text" w:cs="Mongolian Baiti"/>
                  <w:color w:val="auto"/>
                </w:rPr>
                <w:t>www.drzavniorgani.me</w:t>
              </w:r>
            </w:hyperlink>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Uspostavljen registar institucija lokalnih samouprava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Identifikacija kontakt osoba u nadležnim institucijama za unos podataka u registre</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 – Direktorat za normativne poslove, Direktorat za dobru javnu upravu i Direktorat za digitalizaciju</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ZOCG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JLS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SIGMA</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20.000 €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1.1.4</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Izrada izmjena i dopuna Zakona o inspekcijskom nadzoru</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Zakon o inspekcijskom nadzoru izmijenjen u cilju uspostavljanja kombinovanog metoda rada i efikasnosti inspekcijskog nadzora</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Uprava za inspekcijske poslove</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1.1.5</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Nadogradnja Jedinstvenog inspekcijskog informacionog sistema (JIIS) modulom koji bi omogućio samoprovjeru privrednika (subjekata nadzora) kroz popunjavanje kontrolnih listi i „slanje“ istih direktno u bazu </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Razvijen novi modul u JIIS-u</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Uprava za inspekcijske poslove</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IQ 2023</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IQ 2024</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p>
        </w:tc>
        <w:tc>
          <w:tcPr>
            <w:tcW w:w="1544" w:type="dxa"/>
            <w:gridSpan w:val="2"/>
            <w:shd w:val="clear" w:color="auto" w:fill="auto"/>
            <w:vAlign w:val="center"/>
          </w:tcPr>
          <w:p w:rsidR="00042F67" w:rsidRPr="000545E1" w:rsidRDefault="00042F67" w:rsidP="001D3F7C">
            <w:pPr>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lastRenderedPageBreak/>
              <w:t>1.1.6</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Jačanje kadrovskih kapaciteta Upravne inspekcije</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Najmanje 6 obuka za službenike Upravne inspekcije realizovano</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6.000 €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1.1.7</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Unapređenje transparentnosti rada Upravne inspekcije</w:t>
            </w:r>
          </w:p>
        </w:tc>
        <w:tc>
          <w:tcPr>
            <w:tcW w:w="3985" w:type="dxa"/>
            <w:gridSpan w:val="5"/>
            <w:shd w:val="clear" w:color="auto" w:fill="auto"/>
          </w:tcPr>
          <w:p w:rsidR="00042F67" w:rsidRPr="000545E1" w:rsidRDefault="00042F67" w:rsidP="00B43D4E">
            <w:pPr>
              <w:pStyle w:val="ListParagraph"/>
              <w:numPr>
                <w:ilvl w:val="0"/>
                <w:numId w:val="59"/>
              </w:numPr>
              <w:spacing w:before="20" w:after="20"/>
              <w:ind w:left="176" w:hanging="180"/>
              <w:rPr>
                <w:rFonts w:ascii="Sitka Text" w:hAnsi="Sitka Text" w:cs="Mongolian Baiti"/>
                <w:color w:val="auto"/>
              </w:rPr>
            </w:pPr>
            <w:r w:rsidRPr="000545E1">
              <w:rPr>
                <w:rFonts w:ascii="Sitka Text" w:hAnsi="Sitka Text" w:cs="Mongolian Baiti"/>
                <w:color w:val="auto"/>
              </w:rPr>
              <w:t>Objavljeni Zapisnici o sprovedenom nadzoru</w:t>
            </w:r>
          </w:p>
          <w:p w:rsidR="00042F67" w:rsidRPr="000545E1" w:rsidRDefault="00042F67" w:rsidP="00B43D4E">
            <w:pPr>
              <w:pStyle w:val="ListParagraph"/>
              <w:numPr>
                <w:ilvl w:val="0"/>
                <w:numId w:val="59"/>
              </w:numPr>
              <w:spacing w:before="20" w:after="20"/>
              <w:ind w:left="176" w:hanging="180"/>
              <w:rPr>
                <w:rFonts w:ascii="Sitka Text" w:hAnsi="Sitka Text" w:cs="Mongolian Baiti"/>
                <w:color w:val="auto"/>
              </w:rPr>
            </w:pPr>
            <w:r w:rsidRPr="000545E1">
              <w:rPr>
                <w:rFonts w:ascii="Sitka Text" w:hAnsi="Sitka Text" w:cs="Mongolian Baiti"/>
                <w:color w:val="auto"/>
              </w:rPr>
              <w:t>Razvijen fragmentisani program rada Upravne inspekcije</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Upravna inspekcija</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1.1.8</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olor w:val="auto"/>
              </w:rPr>
              <w:t>Unapređenje sistema izvještavanja o radu Upravne inspekcije</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Metodologija za razvoj godišnjeg izvještaja o radu Upravne inspekcije unaprijeđena sa informacijama o ponovljenim nadzorima i ishodima inspekcijog nadzora</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Upravna inspekcija</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1.1.9</w:t>
            </w:r>
          </w:p>
        </w:tc>
        <w:tc>
          <w:tcPr>
            <w:tcW w:w="2773" w:type="dxa"/>
            <w:shd w:val="clear" w:color="auto" w:fill="auto"/>
          </w:tcPr>
          <w:p w:rsidR="00042F67" w:rsidRPr="000545E1" w:rsidRDefault="00042F67" w:rsidP="001D3F7C">
            <w:pPr>
              <w:spacing w:before="20" w:after="20"/>
              <w:rPr>
                <w:rFonts w:ascii="Sitka Text" w:hAnsi="Sitka Text"/>
                <w:color w:val="auto"/>
              </w:rPr>
            </w:pPr>
            <w:r w:rsidRPr="000545E1">
              <w:rPr>
                <w:rFonts w:ascii="Sitka Text" w:hAnsi="Sitka Text"/>
                <w:color w:val="auto"/>
              </w:rPr>
              <w:t>Jačanje kapaciteta budžetske inspekcije</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olor w:val="auto"/>
              </w:rPr>
              <w:t xml:space="preserve">Najmanje 5 službenika Direktorata za budžetsku inspekciju prošlo specijalizovane obuke  </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olor w:val="auto"/>
              </w:rPr>
            </w:pPr>
            <w:r w:rsidRPr="000545E1">
              <w:rPr>
                <w:rFonts w:ascii="Sitka Text" w:hAnsi="Sitka Text"/>
                <w:color w:val="auto"/>
              </w:rPr>
              <w:t>MFSS</w:t>
            </w:r>
          </w:p>
          <w:p w:rsidR="00042F67" w:rsidRPr="000545E1" w:rsidRDefault="00042F67" w:rsidP="001D3F7C">
            <w:pPr>
              <w:spacing w:before="20" w:after="20"/>
              <w:jc w:val="center"/>
              <w:rPr>
                <w:rFonts w:ascii="Sitka Text" w:hAnsi="Sitka Text" w:cs="Mongolian Baiti"/>
                <w:color w:val="auto"/>
              </w:rPr>
            </w:pP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2023</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olor w:val="auto"/>
              </w:rPr>
              <w:t>7.000 €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olor w:val="auto"/>
              </w:rPr>
            </w:pPr>
            <w:r w:rsidRPr="000545E1">
              <w:rPr>
                <w:rFonts w:ascii="Sitka Text" w:hAnsi="Sitka Text"/>
                <w:color w:val="auto"/>
              </w:rPr>
              <w:t>Budžet CG</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1.1.10</w:t>
            </w:r>
          </w:p>
        </w:tc>
        <w:tc>
          <w:tcPr>
            <w:tcW w:w="2773" w:type="dxa"/>
            <w:shd w:val="clear" w:color="auto" w:fill="auto"/>
          </w:tcPr>
          <w:p w:rsidR="00042F67" w:rsidRPr="000545E1" w:rsidRDefault="00042F67" w:rsidP="001D3F7C">
            <w:pPr>
              <w:spacing w:before="20" w:after="20"/>
              <w:rPr>
                <w:rFonts w:ascii="Sitka Text" w:hAnsi="Sitka Text" w:cs="Mongolian Baiti"/>
                <w:color w:val="auto"/>
                <w:highlight w:val="yellow"/>
              </w:rPr>
            </w:pPr>
            <w:r w:rsidRPr="000545E1">
              <w:rPr>
                <w:rFonts w:ascii="Sitka Text" w:hAnsi="Sitka Text" w:cs="Mongolian Baiti"/>
                <w:color w:val="auto"/>
              </w:rPr>
              <w:t>Izrada Analize o razlozima/osnovama za isplatu dodatnih troškova izvršenja po osnovu izgubljenih predmeta i primjena preporuka u institucijama prepoznatim po većem broju sporova</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Sveobuhvatna analiza o razlozima za isplatu troškova izvršenja po osnovu izgubljenih predmeta sa konkretnim preporukama za unaprjeđene razvijena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Unaprijeđeni dijalozi i saradnja sa identifikovanim institucijama prepoznati po većem broju sudskih postupaka</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Zaštitnik imovinsko-pravnih interesa</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MPLJMP</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Agencija za mirno rješavanje radnih sporova</w:t>
            </w:r>
          </w:p>
          <w:p w:rsidR="00042F67" w:rsidRPr="000545E1" w:rsidRDefault="00042F67" w:rsidP="001D3F7C">
            <w:pPr>
              <w:spacing w:before="20" w:after="20"/>
              <w:jc w:val="center"/>
              <w:rPr>
                <w:rFonts w:ascii="Sitka Text" w:hAnsi="Sitka Text" w:cs="Mongolian Baiti"/>
                <w:color w:val="auto"/>
                <w:highlight w:val="yellow"/>
              </w:rPr>
            </w:pPr>
            <w:r w:rsidRPr="000545E1">
              <w:rPr>
                <w:rFonts w:ascii="Sitka Text" w:hAnsi="Sitka Text" w:cs="Mongolian Baiti"/>
                <w:color w:val="auto"/>
              </w:rPr>
              <w:t>SIGMA</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2023</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15.000 €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1.1.11</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Unapređenje strukture izvještavanja Zaštitnika imovinsko-pravnih interesima o troškovima prinudne isplate po osnovu izgubljenih sudskih sporova</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Izvještaj unaprijeđen sa ocjenom stanja i preporukama za unapređenje rada organa koji su prepoznati u najvećem broju predmeta pred sudovima, sudskom praksom, pregledom troškova, objavom pravnih mišljena koja su od značaja za javni interes</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Zaštitnik imovinsko-pravnih interesa</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2.000 €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1.1.12</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Unapređenje Analize uticaja predloženih organizacionih promjena sa fokusom na  </w:t>
            </w:r>
            <w:r w:rsidRPr="000545E1">
              <w:rPr>
                <w:rFonts w:ascii="Sitka Text" w:hAnsi="Sitka Text" w:cs="Mongolian Baiti"/>
                <w:color w:val="auto"/>
              </w:rPr>
              <w:lastRenderedPageBreak/>
              <w:t xml:space="preserve">opravdanosti osnivanja novih organa ili spajanja/ukidanja </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lastRenderedPageBreak/>
              <w:t>Unaprijeđena Analiza uticaja (RIA)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*aktvnost vezana za 3.3.7</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SIGMA</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10.000 €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1.1.13</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Harmonizacija posebnih Zakona sa Zakonom o državnoj upravi </w:t>
            </w:r>
          </w:p>
        </w:tc>
        <w:tc>
          <w:tcPr>
            <w:tcW w:w="3985" w:type="dxa"/>
            <w:gridSpan w:val="5"/>
            <w:shd w:val="clear" w:color="auto" w:fill="auto"/>
          </w:tcPr>
          <w:p w:rsidR="00042F67" w:rsidRPr="000545E1" w:rsidDel="006047C0" w:rsidRDefault="00042F67" w:rsidP="001D3F7C">
            <w:pPr>
              <w:spacing w:before="20" w:after="20"/>
              <w:rPr>
                <w:rFonts w:ascii="Sitka Text" w:hAnsi="Sitka Text" w:cs="Mongolian Baiti"/>
                <w:color w:val="auto"/>
              </w:rPr>
            </w:pPr>
            <w:r w:rsidRPr="000545E1">
              <w:rPr>
                <w:rFonts w:ascii="Sitka Text" w:hAnsi="Sitka Text" w:cs="Mongolian Baiti"/>
                <w:color w:val="auto"/>
              </w:rPr>
              <w:t>Minimum 3 Zakona harmonizovana sa Zakonom o državnoj upravi</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2024</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10.000 €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1.1.14</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Izrada Metodologije za razvoj Programa rada organa državne uprave sa indikatorima učinka organa</w:t>
            </w:r>
          </w:p>
        </w:tc>
        <w:tc>
          <w:tcPr>
            <w:tcW w:w="3985" w:type="dxa"/>
            <w:gridSpan w:val="5"/>
            <w:shd w:val="clear" w:color="auto" w:fill="auto"/>
          </w:tcPr>
          <w:p w:rsidR="00042F67" w:rsidRPr="000545E1" w:rsidRDefault="00042F67" w:rsidP="00B43D4E">
            <w:pPr>
              <w:pStyle w:val="ListParagraph"/>
              <w:numPr>
                <w:ilvl w:val="0"/>
                <w:numId w:val="58"/>
              </w:numPr>
              <w:spacing w:before="20" w:after="20"/>
              <w:ind w:left="176" w:hanging="180"/>
              <w:rPr>
                <w:rFonts w:ascii="Sitka Text" w:hAnsi="Sitka Text" w:cs="Mongolian Baiti"/>
                <w:color w:val="auto"/>
              </w:rPr>
            </w:pPr>
            <w:r w:rsidRPr="000545E1">
              <w:rPr>
                <w:rFonts w:ascii="Sitka Text" w:hAnsi="Sitka Text" w:cs="Mongolian Baiti"/>
                <w:color w:val="auto"/>
              </w:rPr>
              <w:t>Izrađena metodologija za organe državne uprave</w:t>
            </w:r>
          </w:p>
          <w:p w:rsidR="00042F67" w:rsidRPr="000545E1" w:rsidRDefault="00042F67" w:rsidP="00B43D4E">
            <w:pPr>
              <w:pStyle w:val="ListParagraph"/>
              <w:numPr>
                <w:ilvl w:val="0"/>
                <w:numId w:val="58"/>
              </w:numPr>
              <w:spacing w:before="20" w:after="20"/>
              <w:ind w:left="176" w:hanging="180"/>
              <w:rPr>
                <w:rFonts w:ascii="Sitka Text" w:hAnsi="Sitka Text" w:cs="Mongolian Baiti"/>
                <w:color w:val="auto"/>
              </w:rPr>
            </w:pPr>
            <w:r w:rsidRPr="000545E1">
              <w:rPr>
                <w:rFonts w:ascii="Sitka Text" w:hAnsi="Sitka Text" w:cs="Mongolian Baiti"/>
                <w:color w:val="auto"/>
              </w:rPr>
              <w:t>Metodologija promovisana i za javne ustanove</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SIGMA</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15.000 €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1.1.15</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Izrada Metodologije za pripremu izvještavanja o radu organa sa osvrtom na realizaciju ciljeva i indikatora uspješnosti</w:t>
            </w:r>
            <w:r w:rsidRPr="000545E1">
              <w:rPr>
                <w:rStyle w:val="FootnoteReference"/>
                <w:rFonts w:ascii="Sitka Text" w:hAnsi="Sitka Text" w:cs="Mongolian Baiti"/>
                <w:color w:val="auto"/>
              </w:rPr>
              <w:footnoteReference w:id="147"/>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Donijeta metodologija sa ciljem podsticanja izvještavanja orijentisanog na rezultate</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 – Direktorat za normativne</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SIGMA</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12.000 €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1.1.16</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Unapređenje organizacije i rada institucije kroz efikasnije korišćenje dostupnih analitičkih podataka i kvalitetnije interne komunikacije (2 pilot institucije)</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 Urađena analiza dostupnih i nadogradnja potrebnih podataka i informacija u sklopu institucije </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Povećanje dostupnosti podataka u posjedu insitucije</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Unapređenje organizacije rada i komunikacije na osnovu dostupnih podataka</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2024</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75.000 €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Height w:val="980"/>
        </w:trPr>
        <w:tc>
          <w:tcPr>
            <w:tcW w:w="625" w:type="dxa"/>
            <w:vMerge w:val="restart"/>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1.1.17</w:t>
            </w:r>
          </w:p>
        </w:tc>
        <w:tc>
          <w:tcPr>
            <w:tcW w:w="2773" w:type="dxa"/>
            <w:vMerge w:val="restart"/>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Organizovanje obuka za primjenu Metodologije za pripremu programa rada organa i izvještavanje o radu sa osvrtom na realizaciju ciljeva i indikatora uspješnosti</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Najmanje 70 službenika obučeno za pripremu programa rada organa i izvještavanja o radu organa sa osvrtom na realizaciju ciljeva i indikatora uspješnosti</w:t>
            </w:r>
          </w:p>
        </w:tc>
        <w:tc>
          <w:tcPr>
            <w:tcW w:w="1983" w:type="dxa"/>
            <w:gridSpan w:val="3"/>
            <w:vMerge w:val="restar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p>
        </w:tc>
        <w:tc>
          <w:tcPr>
            <w:tcW w:w="1080" w:type="dxa"/>
            <w:gridSpan w:val="2"/>
            <w:vMerge w:val="restar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1350" w:type="dxa"/>
            <w:gridSpan w:val="2"/>
            <w:vMerge w:val="restar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2023</w:t>
            </w:r>
          </w:p>
        </w:tc>
        <w:tc>
          <w:tcPr>
            <w:tcW w:w="1156" w:type="dxa"/>
            <w:gridSpan w:val="3"/>
            <w:vMerge w:val="restar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8.000 €</w:t>
            </w:r>
          </w:p>
        </w:tc>
        <w:tc>
          <w:tcPr>
            <w:tcW w:w="1544" w:type="dxa"/>
            <w:gridSpan w:val="2"/>
            <w:vMerge w:val="restar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Height w:val="257"/>
        </w:trPr>
        <w:tc>
          <w:tcPr>
            <w:tcW w:w="625" w:type="dxa"/>
            <w:vMerge/>
            <w:shd w:val="clear" w:color="auto" w:fill="auto"/>
          </w:tcPr>
          <w:p w:rsidR="00042F67" w:rsidRPr="000545E1" w:rsidRDefault="00042F67" w:rsidP="001D3F7C">
            <w:pPr>
              <w:spacing w:before="20" w:after="20"/>
              <w:ind w:right="-102"/>
              <w:rPr>
                <w:rFonts w:ascii="Sitka Text" w:hAnsi="Sitka Text" w:cs="Mongolian Baiti"/>
                <w:color w:val="auto"/>
              </w:rPr>
            </w:pPr>
          </w:p>
        </w:tc>
        <w:tc>
          <w:tcPr>
            <w:tcW w:w="2773" w:type="dxa"/>
            <w:vMerge/>
            <w:shd w:val="clear" w:color="auto" w:fill="auto"/>
          </w:tcPr>
          <w:p w:rsidR="00042F67" w:rsidRPr="000545E1" w:rsidRDefault="00042F67" w:rsidP="001D3F7C">
            <w:pPr>
              <w:spacing w:before="20" w:after="20"/>
              <w:rPr>
                <w:rFonts w:ascii="Sitka Text" w:hAnsi="Sitka Text" w:cs="Mongolian Baiti"/>
                <w:color w:val="auto"/>
              </w:rPr>
            </w:pPr>
          </w:p>
        </w:tc>
        <w:tc>
          <w:tcPr>
            <w:tcW w:w="1874"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37 službenika u prvoj obuci</w:t>
            </w:r>
          </w:p>
        </w:tc>
        <w:tc>
          <w:tcPr>
            <w:tcW w:w="2111" w:type="dxa"/>
            <w:gridSpan w:val="3"/>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37 službenika u drugoj obuci</w:t>
            </w:r>
          </w:p>
        </w:tc>
        <w:tc>
          <w:tcPr>
            <w:tcW w:w="1983" w:type="dxa"/>
            <w:gridSpan w:val="3"/>
            <w:vMerge/>
            <w:shd w:val="clear" w:color="auto" w:fill="auto"/>
            <w:vAlign w:val="center"/>
          </w:tcPr>
          <w:p w:rsidR="00042F67" w:rsidRPr="000545E1" w:rsidRDefault="00042F67" w:rsidP="001D3F7C">
            <w:pPr>
              <w:spacing w:before="20" w:after="20"/>
              <w:jc w:val="center"/>
              <w:rPr>
                <w:rFonts w:ascii="Sitka Text" w:hAnsi="Sitka Text" w:cs="Mongolian Baiti"/>
                <w:color w:val="auto"/>
              </w:rPr>
            </w:pPr>
          </w:p>
        </w:tc>
        <w:tc>
          <w:tcPr>
            <w:tcW w:w="1080" w:type="dxa"/>
            <w:gridSpan w:val="2"/>
            <w:vMerge/>
            <w:shd w:val="clear" w:color="auto" w:fill="auto"/>
            <w:vAlign w:val="center"/>
          </w:tcPr>
          <w:p w:rsidR="00042F67" w:rsidRPr="000545E1" w:rsidRDefault="00042F67" w:rsidP="001D3F7C">
            <w:pPr>
              <w:spacing w:before="20" w:after="20"/>
              <w:jc w:val="center"/>
              <w:rPr>
                <w:rFonts w:ascii="Sitka Text" w:hAnsi="Sitka Text" w:cs="Mongolian Baiti"/>
                <w:color w:val="auto"/>
              </w:rPr>
            </w:pPr>
          </w:p>
        </w:tc>
        <w:tc>
          <w:tcPr>
            <w:tcW w:w="1350" w:type="dxa"/>
            <w:gridSpan w:val="2"/>
            <w:vMerge/>
            <w:shd w:val="clear" w:color="auto" w:fill="auto"/>
            <w:vAlign w:val="center"/>
          </w:tcPr>
          <w:p w:rsidR="00042F67" w:rsidRPr="000545E1" w:rsidRDefault="00042F67" w:rsidP="001D3F7C">
            <w:pPr>
              <w:spacing w:before="20" w:after="20"/>
              <w:jc w:val="center"/>
              <w:rPr>
                <w:rFonts w:ascii="Sitka Text" w:hAnsi="Sitka Text" w:cs="Mongolian Baiti"/>
                <w:color w:val="auto"/>
              </w:rPr>
            </w:pPr>
          </w:p>
        </w:tc>
        <w:tc>
          <w:tcPr>
            <w:tcW w:w="1156" w:type="dxa"/>
            <w:gridSpan w:val="3"/>
            <w:vMerge/>
            <w:shd w:val="clear" w:color="auto" w:fill="auto"/>
            <w:vAlign w:val="center"/>
          </w:tcPr>
          <w:p w:rsidR="00042F67" w:rsidRPr="000545E1" w:rsidRDefault="00042F67" w:rsidP="001D3F7C">
            <w:pPr>
              <w:spacing w:before="20" w:after="20"/>
              <w:jc w:val="center"/>
              <w:rPr>
                <w:rFonts w:ascii="Sitka Text" w:hAnsi="Sitka Text" w:cs="Mongolian Baiti"/>
                <w:color w:val="auto"/>
              </w:rPr>
            </w:pPr>
          </w:p>
        </w:tc>
        <w:tc>
          <w:tcPr>
            <w:tcW w:w="1544" w:type="dxa"/>
            <w:gridSpan w:val="2"/>
            <w:vMerge/>
            <w:shd w:val="clear" w:color="auto" w:fill="auto"/>
            <w:vAlign w:val="center"/>
          </w:tcPr>
          <w:p w:rsidR="00042F67" w:rsidRPr="000545E1" w:rsidRDefault="00042F67" w:rsidP="001D3F7C">
            <w:pPr>
              <w:spacing w:before="20" w:after="20"/>
              <w:jc w:val="center"/>
              <w:rPr>
                <w:rFonts w:ascii="Sitka Text" w:hAnsi="Sitka Text" w:cs="Mongolian Baiti"/>
                <w:color w:val="auto"/>
              </w:rPr>
            </w:pP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lastRenderedPageBreak/>
              <w:t>1.1.18</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Unapređenje normativnog okvira koji reguliše upravni spor</w:t>
            </w:r>
          </w:p>
        </w:tc>
        <w:tc>
          <w:tcPr>
            <w:tcW w:w="3985" w:type="dxa"/>
            <w:gridSpan w:val="5"/>
            <w:shd w:val="clear" w:color="auto" w:fill="auto"/>
          </w:tcPr>
          <w:p w:rsidR="00042F67" w:rsidRPr="000545E1" w:rsidRDefault="00042F67" w:rsidP="00B43D4E">
            <w:pPr>
              <w:pStyle w:val="ListParagraph"/>
              <w:numPr>
                <w:ilvl w:val="0"/>
                <w:numId w:val="57"/>
              </w:numPr>
              <w:spacing w:before="20" w:after="20"/>
              <w:ind w:left="92" w:hanging="92"/>
              <w:rPr>
                <w:rFonts w:ascii="Sitka Text" w:hAnsi="Sitka Text" w:cs="Mongolian Baiti"/>
                <w:color w:val="auto"/>
              </w:rPr>
            </w:pPr>
            <w:r w:rsidRPr="000545E1">
              <w:rPr>
                <w:rFonts w:ascii="Sitka Text" w:hAnsi="Sitka Text" w:cs="Mongolian Baiti"/>
                <w:color w:val="auto"/>
              </w:rPr>
              <w:t xml:space="preserve">Izmijenjen Zakon o upravnom sporu u dijelu troškova spora i održavanje usmene rasprave u cilju smanjenjenja dužine trajanja upravnog spora </w:t>
            </w:r>
          </w:p>
          <w:p w:rsidR="00042F67" w:rsidRPr="000545E1" w:rsidRDefault="00042F67" w:rsidP="00B43D4E">
            <w:pPr>
              <w:pStyle w:val="ListParagraph"/>
              <w:numPr>
                <w:ilvl w:val="0"/>
                <w:numId w:val="57"/>
              </w:numPr>
              <w:spacing w:before="20" w:after="20"/>
              <w:ind w:left="92" w:hanging="92"/>
              <w:rPr>
                <w:rFonts w:ascii="Sitka Text" w:hAnsi="Sitka Text" w:cs="Mongolian Baiti"/>
                <w:color w:val="auto"/>
              </w:rPr>
            </w:pPr>
            <w:r w:rsidRPr="000545E1">
              <w:rPr>
                <w:rFonts w:ascii="Sitka Text" w:hAnsi="Sitka Text" w:cs="Mongolian Baiti"/>
                <w:color w:val="auto"/>
              </w:rPr>
              <w:t>Obuka za sudije o implementacijama novog zakona</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Upravni sud</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MPLJMP</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Sudski savjet</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2.000 €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1.1.19</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Izrada Analize sa preporukama o dužini trajanja upravno-sudskog spora u upravno–javnim predmetima </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Izrađena analiza o slučajevima sa ping-pong efektom</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Identifikacija institucija u kojima je najveći % poništenih akata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Sprovedene obuke za identifikovane institucije</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Upravni sud</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SIGMA</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2024</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15.000 €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1.1.20</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theme="majorHAnsi"/>
                <w:color w:val="auto"/>
              </w:rPr>
              <w:t xml:space="preserve">Unapređenje strukture izvještavanja godišnjeg izvještaja sa prikazom stanja o implementiranim preporukama Zaštitnika za ljudska prava i slobode </w:t>
            </w:r>
          </w:p>
        </w:tc>
        <w:tc>
          <w:tcPr>
            <w:tcW w:w="3985" w:type="dxa"/>
            <w:gridSpan w:val="5"/>
            <w:shd w:val="clear" w:color="auto" w:fill="auto"/>
          </w:tcPr>
          <w:p w:rsidR="00042F67" w:rsidRPr="000545E1" w:rsidRDefault="00042F67" w:rsidP="001D3F7C">
            <w:pPr>
              <w:spacing w:before="20" w:after="20"/>
              <w:rPr>
                <w:rFonts w:ascii="Sitka Text" w:hAnsi="Sitka Text" w:cstheme="majorHAnsi"/>
                <w:color w:val="auto"/>
              </w:rPr>
            </w:pPr>
            <w:r w:rsidRPr="000545E1">
              <w:rPr>
                <w:rFonts w:ascii="Sitka Text" w:hAnsi="Sitka Text" w:cstheme="majorHAnsi"/>
                <w:color w:val="auto"/>
              </w:rPr>
              <w:t>- Godišnji izvještaj Zaštitnika za ljudska prava i slobode unaprijeđen u dijelu realizovanih preporuka i sistemskih (repetitivnih) kršenja prava građana od strane organa javne uprave</w:t>
            </w:r>
          </w:p>
          <w:p w:rsidR="00042F67" w:rsidRPr="000545E1" w:rsidRDefault="00042F67" w:rsidP="001D3F7C">
            <w:pPr>
              <w:spacing w:before="20" w:after="20"/>
              <w:rPr>
                <w:rFonts w:ascii="Sitka Text" w:hAnsi="Sitka Text" w:cs="Mongolian Baiti"/>
                <w:color w:val="auto"/>
              </w:rPr>
            </w:pPr>
            <w:r w:rsidRPr="000545E1">
              <w:rPr>
                <w:rFonts w:ascii="Sitka Text" w:hAnsi="Sitka Text" w:cstheme="majorHAnsi"/>
                <w:color w:val="auto"/>
              </w:rPr>
              <w:t>- Proaktivni rad Ombudsmana kroz promociju realizovanih preporuka</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Zaštitnik ljudskih prava i sloboda CG</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7.000 €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1.1.21</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Utvrđivanje načina da se unaprijedi stopa realizacije,  tj. % preporuka Ombudsmana</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A</w:t>
            </w:r>
            <w:r w:rsidRPr="000545E1">
              <w:rPr>
                <w:rFonts w:ascii="Sitka Text" w:hAnsi="Sitka Text" w:cstheme="majorHAnsi"/>
                <w:color w:val="auto"/>
              </w:rPr>
              <w:t>naliza urađena o razlozima nerealizacije preporuka Ombudsmana od strane organa javne uprave i prezentovana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Intezivan dijalog sa institucijama koje su česti kršioci prava građana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 Razvijanje Akcionog plana Ombusmana po datim preporukama na osnovu grubih kršenja ljudskih prava, razvijen sa identifikovanim organima za implementaciju preporuka i vremenskim periodom kao i načinom povratnog izvještavanja </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Ombudsman</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Skupštinski odbor</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SIGMA</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2023</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2024</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7.000 €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1.1.22</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Izmjena Zakonskog okvira o unutrašnjim kontrolama u javnom sektoru</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Zakon o upravljanju i unutrašnjim kontrolama u javnom sektoru </w:t>
            </w:r>
            <w:r w:rsidRPr="000545E1">
              <w:rPr>
                <w:rFonts w:ascii="Sitka Text" w:hAnsi="Sitka Text" w:cs="Mongolian Baiti"/>
                <w:color w:val="auto"/>
              </w:rPr>
              <w:lastRenderedPageBreak/>
              <w:t xml:space="preserve">izmijenjen u dijelu upravljačke odgovornosti </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lastRenderedPageBreak/>
              <w:t>MFSS</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Height w:val="658"/>
        </w:trPr>
        <w:tc>
          <w:tcPr>
            <w:tcW w:w="625" w:type="dxa"/>
            <w:vMerge w:val="restart"/>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1.1.23</w:t>
            </w:r>
          </w:p>
        </w:tc>
        <w:tc>
          <w:tcPr>
            <w:tcW w:w="2773" w:type="dxa"/>
            <w:vMerge w:val="restart"/>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Obuke za rukovodioce i zaposlene na temu upravljačke odgovornosti</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Najmanje 50 rukovodioca i zaposlenih obučeno o značaju implementacije upravljačke odgovornosti u javnoj upravi</w:t>
            </w:r>
          </w:p>
        </w:tc>
        <w:tc>
          <w:tcPr>
            <w:tcW w:w="1983" w:type="dxa"/>
            <w:gridSpan w:val="3"/>
            <w:vMerge w:val="restar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tc>
        <w:tc>
          <w:tcPr>
            <w:tcW w:w="1080" w:type="dxa"/>
            <w:gridSpan w:val="2"/>
            <w:vMerge w:val="restar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50" w:type="dxa"/>
            <w:gridSpan w:val="2"/>
            <w:vMerge w:val="restar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2023</w:t>
            </w:r>
          </w:p>
        </w:tc>
        <w:tc>
          <w:tcPr>
            <w:tcW w:w="1156" w:type="dxa"/>
            <w:gridSpan w:val="3"/>
            <w:vMerge w:val="restar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6.000 €</w:t>
            </w:r>
          </w:p>
        </w:tc>
        <w:tc>
          <w:tcPr>
            <w:tcW w:w="1544" w:type="dxa"/>
            <w:gridSpan w:val="2"/>
            <w:vMerge w:val="restar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Height w:val="505"/>
        </w:trPr>
        <w:tc>
          <w:tcPr>
            <w:tcW w:w="625" w:type="dxa"/>
            <w:vMerge/>
            <w:shd w:val="clear" w:color="auto" w:fill="auto"/>
          </w:tcPr>
          <w:p w:rsidR="00042F67" w:rsidRPr="000545E1" w:rsidRDefault="00042F67" w:rsidP="001D3F7C">
            <w:pPr>
              <w:spacing w:before="20" w:after="20"/>
              <w:ind w:right="-102"/>
              <w:rPr>
                <w:rFonts w:ascii="Sitka Text" w:hAnsi="Sitka Text" w:cs="Mongolian Baiti"/>
                <w:color w:val="auto"/>
              </w:rPr>
            </w:pPr>
          </w:p>
        </w:tc>
        <w:tc>
          <w:tcPr>
            <w:tcW w:w="2773" w:type="dxa"/>
            <w:vMerge/>
            <w:shd w:val="clear" w:color="auto" w:fill="auto"/>
          </w:tcPr>
          <w:p w:rsidR="00042F67" w:rsidRPr="000545E1" w:rsidRDefault="00042F67" w:rsidP="001D3F7C">
            <w:pPr>
              <w:spacing w:before="20" w:after="20"/>
              <w:rPr>
                <w:rFonts w:ascii="Sitka Text" w:hAnsi="Sitka Text" w:cs="Mongolian Baiti"/>
                <w:color w:val="auto"/>
              </w:rPr>
            </w:pPr>
          </w:p>
        </w:tc>
        <w:tc>
          <w:tcPr>
            <w:tcW w:w="1973" w:type="dxa"/>
            <w:gridSpan w:val="3"/>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Za 2022. g              25 rukovodioca</w:t>
            </w:r>
          </w:p>
        </w:tc>
        <w:tc>
          <w:tcPr>
            <w:tcW w:w="2012"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Za 2023. g               25 rukovodioca</w:t>
            </w:r>
          </w:p>
        </w:tc>
        <w:tc>
          <w:tcPr>
            <w:tcW w:w="1983" w:type="dxa"/>
            <w:gridSpan w:val="3"/>
            <w:vMerge/>
            <w:shd w:val="clear" w:color="auto" w:fill="auto"/>
            <w:vAlign w:val="center"/>
          </w:tcPr>
          <w:p w:rsidR="00042F67" w:rsidRPr="000545E1" w:rsidRDefault="00042F67" w:rsidP="001D3F7C">
            <w:pPr>
              <w:spacing w:before="20" w:after="20"/>
              <w:jc w:val="center"/>
              <w:rPr>
                <w:rFonts w:ascii="Sitka Text" w:hAnsi="Sitka Text" w:cs="Mongolian Baiti"/>
                <w:color w:val="auto"/>
              </w:rPr>
            </w:pPr>
          </w:p>
        </w:tc>
        <w:tc>
          <w:tcPr>
            <w:tcW w:w="1080" w:type="dxa"/>
            <w:gridSpan w:val="2"/>
            <w:vMerge/>
            <w:shd w:val="clear" w:color="auto" w:fill="auto"/>
            <w:vAlign w:val="center"/>
          </w:tcPr>
          <w:p w:rsidR="00042F67" w:rsidRPr="000545E1" w:rsidRDefault="00042F67" w:rsidP="001D3F7C">
            <w:pPr>
              <w:spacing w:before="20" w:after="20"/>
              <w:jc w:val="center"/>
              <w:rPr>
                <w:rFonts w:ascii="Sitka Text" w:hAnsi="Sitka Text" w:cs="Mongolian Baiti"/>
                <w:color w:val="auto"/>
              </w:rPr>
            </w:pPr>
          </w:p>
        </w:tc>
        <w:tc>
          <w:tcPr>
            <w:tcW w:w="1350" w:type="dxa"/>
            <w:gridSpan w:val="2"/>
            <w:vMerge/>
            <w:shd w:val="clear" w:color="auto" w:fill="auto"/>
            <w:vAlign w:val="center"/>
          </w:tcPr>
          <w:p w:rsidR="00042F67" w:rsidRPr="000545E1" w:rsidRDefault="00042F67" w:rsidP="001D3F7C">
            <w:pPr>
              <w:spacing w:before="20" w:after="20"/>
              <w:jc w:val="center"/>
              <w:rPr>
                <w:rFonts w:ascii="Sitka Text" w:hAnsi="Sitka Text" w:cs="Mongolian Baiti"/>
                <w:color w:val="auto"/>
              </w:rPr>
            </w:pPr>
          </w:p>
        </w:tc>
        <w:tc>
          <w:tcPr>
            <w:tcW w:w="1156" w:type="dxa"/>
            <w:gridSpan w:val="3"/>
            <w:vMerge/>
            <w:shd w:val="clear" w:color="auto" w:fill="auto"/>
            <w:vAlign w:val="center"/>
          </w:tcPr>
          <w:p w:rsidR="00042F67" w:rsidRPr="000545E1" w:rsidRDefault="00042F67" w:rsidP="001D3F7C">
            <w:pPr>
              <w:spacing w:before="20" w:after="20"/>
              <w:jc w:val="center"/>
              <w:rPr>
                <w:rFonts w:ascii="Sitka Text" w:hAnsi="Sitka Text" w:cs="Mongolian Baiti"/>
                <w:color w:val="auto"/>
              </w:rPr>
            </w:pPr>
          </w:p>
        </w:tc>
        <w:tc>
          <w:tcPr>
            <w:tcW w:w="1544" w:type="dxa"/>
            <w:gridSpan w:val="2"/>
            <w:vMerge/>
            <w:shd w:val="clear" w:color="auto" w:fill="auto"/>
            <w:vAlign w:val="center"/>
          </w:tcPr>
          <w:p w:rsidR="00042F67" w:rsidRPr="000545E1" w:rsidRDefault="00042F67" w:rsidP="001D3F7C">
            <w:pPr>
              <w:spacing w:before="20" w:after="20"/>
              <w:jc w:val="center"/>
              <w:rPr>
                <w:rFonts w:ascii="Sitka Text" w:hAnsi="Sitka Text" w:cs="Mongolian Baiti"/>
                <w:color w:val="auto"/>
              </w:rPr>
            </w:pP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1.1.24</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Organizovanje obuka za unutrašnje revizore, radi unaprjeđenja vještina za ocjenjivanje implementacije upravljačke odgovornosti</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Najmanje 60 unutrašnjih revizora obučeno vještinama za ocjenjivanje implementacije upravljačke odgovornosti </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3.000 €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1.1.25</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Sagledavanje kvaliteta upravljanja i unutrašnjih kontrola radi ocjene stanja </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Izvještaji sa ocjenom stanja, identifikovanim problemima i preporukama za dalje unapređenje usvojeni</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2023</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2.000 €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1.1.26</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Promocija javne uprave bazirane na raznolikosti, nediskriminatorskim politikama i jednakim mogućnostima</w:t>
            </w:r>
          </w:p>
        </w:tc>
        <w:tc>
          <w:tcPr>
            <w:tcW w:w="3985" w:type="dxa"/>
            <w:gridSpan w:val="5"/>
            <w:shd w:val="clear" w:color="auto" w:fill="auto"/>
          </w:tcPr>
          <w:p w:rsidR="00042F67" w:rsidRPr="000545E1" w:rsidRDefault="00042F67" w:rsidP="001D3F7C">
            <w:pPr>
              <w:spacing w:before="20" w:after="20"/>
              <w:jc w:val="both"/>
              <w:rPr>
                <w:rFonts w:ascii="Sitka Text" w:hAnsi="Sitka Text" w:cs="Mongolian Baiti"/>
                <w:color w:val="auto"/>
              </w:rPr>
            </w:pPr>
            <w:r w:rsidRPr="000545E1">
              <w:rPr>
                <w:rFonts w:ascii="Sitka Text" w:hAnsi="Sitka Text" w:cs="Mongolian Baiti"/>
                <w:color w:val="auto"/>
              </w:rPr>
              <w:t xml:space="preserve">- </w:t>
            </w:r>
            <w:r w:rsidRPr="000545E1">
              <w:rPr>
                <w:rFonts w:ascii="Sitka Text" w:hAnsi="Sitka Text" w:cs="Times New Roman"/>
                <w:color w:val="auto"/>
              </w:rPr>
              <w:t>Promovisan regulatorni okvir koji uređuje i afirmiše različitost, ravnopravnost, inkluzivnost (Zakon o zabrani diskriminacije, Zakon o rodnoj ravnopravnosti, Zakon o životnom partnerstvu lica istog pola..)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Plan komunikacije o javnoj upravi u kojima se afirmiše raznolikost, ravnopravnost, nediskriminatorskim politikama i jednakih mogućnosti, uzimajući u obzir sektorski pristup ovim temama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Platforme institucija oslikavaju posvećenost afirmaciji ljudskih prava, rodne ravnopravnosti, bogatstva različitosti i važnosti inkluzivnosti</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lastRenderedPageBreak/>
              <w:t>- Organizacija 3 okrugla stola i ostale promotivne aktivnosti na izabrane teme</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lastRenderedPageBreak/>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Resorna ministarstva</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2024</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65.000 €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1.1.27</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theme="majorHAnsi"/>
                <w:color w:val="auto"/>
              </w:rPr>
              <w:t>Razvijanje metodologije za izradu Plana rodne ravnopravnosti u svim ministarstvima</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Metodologija za izradu Plana rodne ravnopravnosti za ministarstva razvijena</w:t>
            </w:r>
          </w:p>
        </w:tc>
        <w:tc>
          <w:tcPr>
            <w:tcW w:w="1983" w:type="dxa"/>
            <w:gridSpan w:val="3"/>
            <w:shd w:val="clear" w:color="auto" w:fill="auto"/>
            <w:vAlign w:val="center"/>
          </w:tcPr>
          <w:p w:rsidR="00042F67" w:rsidRPr="000545E1" w:rsidRDefault="00042F67" w:rsidP="001D3F7C">
            <w:pPr>
              <w:ind w:right="141"/>
              <w:jc w:val="center"/>
              <w:rPr>
                <w:rFonts w:ascii="Sitka Text" w:hAnsi="Sitka Text" w:cstheme="majorHAnsi"/>
                <w:color w:val="auto"/>
              </w:rPr>
            </w:pPr>
            <w:r w:rsidRPr="000545E1">
              <w:rPr>
                <w:rFonts w:ascii="Sitka Text" w:hAnsi="Sitka Text" w:cstheme="majorHAnsi"/>
                <w:color w:val="auto"/>
              </w:rPr>
              <w:t>MPLJMP</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theme="majorHAnsi"/>
                <w:color w:val="auto"/>
              </w:rPr>
              <w:t>GSV</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theme="majorHAnsi"/>
                <w:color w:val="auto"/>
              </w:rPr>
              <w:t>II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theme="majorHAnsi"/>
                <w:color w:val="auto"/>
              </w:rPr>
              <w:t>IV Q 2022</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7.000 €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53" w:type="dxa"/>
        </w:trPr>
        <w:tc>
          <w:tcPr>
            <w:tcW w:w="625" w:type="dxa"/>
            <w:shd w:val="clear" w:color="auto" w:fill="auto"/>
          </w:tcPr>
          <w:p w:rsidR="00042F67" w:rsidRPr="000545E1" w:rsidRDefault="00042F67" w:rsidP="001D3F7C">
            <w:pPr>
              <w:spacing w:before="20" w:after="20"/>
              <w:ind w:right="-102"/>
              <w:rPr>
                <w:rFonts w:ascii="Sitka Text" w:hAnsi="Sitka Text" w:cs="Mongolian Baiti"/>
                <w:color w:val="auto"/>
              </w:rPr>
            </w:pPr>
            <w:r w:rsidRPr="000545E1">
              <w:rPr>
                <w:rFonts w:ascii="Sitka Text" w:hAnsi="Sitka Text" w:cs="Mongolian Baiti"/>
                <w:color w:val="auto"/>
              </w:rPr>
              <w:t>1.1.28</w:t>
            </w:r>
          </w:p>
        </w:tc>
        <w:tc>
          <w:tcPr>
            <w:tcW w:w="2773"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theme="majorHAnsi"/>
                <w:color w:val="auto"/>
              </w:rPr>
              <w:t xml:space="preserve">Razvijanje Plana rodne ravnopravnosti u 3 pilot ministarstava </w:t>
            </w:r>
          </w:p>
        </w:tc>
        <w:tc>
          <w:tcPr>
            <w:tcW w:w="3985" w:type="dxa"/>
            <w:gridSpan w:val="5"/>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theme="majorHAnsi"/>
                <w:color w:val="auto"/>
              </w:rPr>
              <w:t>U namjanje 3 ministarstva razvijeni individualni planovi za Rodnu ravnopravnost</w:t>
            </w:r>
          </w:p>
        </w:tc>
        <w:tc>
          <w:tcPr>
            <w:tcW w:w="1983" w:type="dxa"/>
            <w:gridSpan w:val="3"/>
            <w:shd w:val="clear" w:color="auto" w:fill="auto"/>
            <w:vAlign w:val="center"/>
          </w:tcPr>
          <w:p w:rsidR="00042F67" w:rsidRPr="000545E1" w:rsidRDefault="00042F67" w:rsidP="001D3F7C">
            <w:pPr>
              <w:spacing w:before="20" w:after="20"/>
              <w:jc w:val="center"/>
              <w:rPr>
                <w:rFonts w:ascii="Sitka Text" w:hAnsi="Sitka Text" w:cstheme="majorHAnsi"/>
                <w:color w:val="auto"/>
              </w:rPr>
            </w:pPr>
            <w:r w:rsidRPr="000545E1">
              <w:rPr>
                <w:rFonts w:ascii="Sitka Text" w:hAnsi="Sitka Text" w:cstheme="majorHAnsi"/>
                <w:color w:val="auto"/>
              </w:rPr>
              <w:t>MPLJMP</w:t>
            </w:r>
          </w:p>
          <w:p w:rsidR="00042F67" w:rsidRPr="000545E1" w:rsidRDefault="00042F67" w:rsidP="001D3F7C">
            <w:pPr>
              <w:spacing w:before="20" w:after="20"/>
              <w:jc w:val="center"/>
              <w:rPr>
                <w:rFonts w:ascii="Sitka Text" w:hAnsi="Sitka Text" w:cstheme="majorHAnsi"/>
                <w:color w:val="auto"/>
              </w:rPr>
            </w:pPr>
            <w:r w:rsidRPr="000545E1">
              <w:rPr>
                <w:rFonts w:ascii="Sitka Text" w:hAnsi="Sitka Text" w:cstheme="majorHAnsi"/>
                <w:color w:val="auto"/>
              </w:rPr>
              <w:t>MKI</w:t>
            </w:r>
          </w:p>
          <w:p w:rsidR="00042F67" w:rsidRPr="000545E1" w:rsidRDefault="00042F67" w:rsidP="001D3F7C">
            <w:pPr>
              <w:spacing w:before="20" w:after="20"/>
              <w:jc w:val="center"/>
              <w:rPr>
                <w:rFonts w:ascii="Sitka Text" w:hAnsi="Sitka Text" w:cstheme="majorHAnsi"/>
                <w:color w:val="auto"/>
              </w:rPr>
            </w:pPr>
            <w:r w:rsidRPr="000545E1">
              <w:rPr>
                <w:rFonts w:ascii="Sitka Text" w:hAnsi="Sitka Text" w:cstheme="majorHAnsi"/>
                <w:color w:val="auto"/>
              </w:rPr>
              <w:t>MJUDDM</w:t>
            </w:r>
          </w:p>
          <w:p w:rsidR="00042F67" w:rsidRPr="000545E1" w:rsidRDefault="00042F67" w:rsidP="001D3F7C">
            <w:pPr>
              <w:spacing w:before="20" w:after="20"/>
              <w:jc w:val="center"/>
              <w:rPr>
                <w:rFonts w:ascii="Sitka Text" w:hAnsi="Sitka Text" w:cstheme="majorHAnsi"/>
                <w:color w:val="auto"/>
              </w:rPr>
            </w:pPr>
            <w:r w:rsidRPr="000545E1">
              <w:rPr>
                <w:rFonts w:ascii="Sitka Text" w:hAnsi="Sitka Text" w:cstheme="majorHAnsi"/>
                <w:color w:val="auto"/>
              </w:rPr>
              <w:t>MER</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theme="majorHAnsi"/>
                <w:color w:val="auto"/>
              </w:rPr>
              <w:t>GSV</w:t>
            </w:r>
          </w:p>
        </w:tc>
        <w:tc>
          <w:tcPr>
            <w:tcW w:w="10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theme="majorHAnsi"/>
                <w:color w:val="auto"/>
              </w:rPr>
              <w:t>III Q 2022</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theme="majorHAnsi"/>
                <w:color w:val="auto"/>
              </w:rPr>
              <w:t>IV Q 2023</w:t>
            </w:r>
          </w:p>
        </w:tc>
        <w:tc>
          <w:tcPr>
            <w:tcW w:w="1156"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18.000 €</w:t>
            </w:r>
          </w:p>
        </w:tc>
        <w:tc>
          <w:tcPr>
            <w:tcW w:w="154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bl>
    <w:p w:rsidR="00042F67" w:rsidRPr="000545E1" w:rsidRDefault="00042F67" w:rsidP="00042F67">
      <w:pPr>
        <w:spacing w:before="20" w:after="20" w:line="240" w:lineRule="auto"/>
        <w:rPr>
          <w:rFonts w:ascii="Sitka Text" w:hAnsi="Sitka Text" w:cs="Mongolian Baiti"/>
          <w:color w:val="auto"/>
          <w:sz w:val="24"/>
          <w:szCs w:val="24"/>
        </w:rPr>
      </w:pPr>
    </w:p>
    <w:tbl>
      <w:tblPr>
        <w:tblStyle w:val="TableGrid"/>
        <w:tblW w:w="14577" w:type="dxa"/>
        <w:tblLook w:val="04A0" w:firstRow="1" w:lastRow="0" w:firstColumn="1" w:lastColumn="0" w:noHBand="0" w:noVBand="1"/>
      </w:tblPr>
      <w:tblGrid>
        <w:gridCol w:w="661"/>
        <w:gridCol w:w="2784"/>
        <w:gridCol w:w="2323"/>
        <w:gridCol w:w="1610"/>
        <w:gridCol w:w="1518"/>
        <w:gridCol w:w="458"/>
        <w:gridCol w:w="1154"/>
        <w:gridCol w:w="1101"/>
        <w:gridCol w:w="176"/>
        <w:gridCol w:w="1169"/>
        <w:gridCol w:w="1579"/>
        <w:gridCol w:w="44"/>
      </w:tblGrid>
      <w:tr w:rsidR="00042F67" w:rsidRPr="000545E1" w:rsidTr="001D3F7C">
        <w:tc>
          <w:tcPr>
            <w:tcW w:w="3412" w:type="dxa"/>
            <w:gridSpan w:val="2"/>
            <w:shd w:val="clear" w:color="auto" w:fill="DFE4E5" w:themeFill="accent5" w:themeFillTint="33"/>
          </w:tcPr>
          <w:p w:rsidR="00042F67" w:rsidRPr="000545E1" w:rsidRDefault="00042F67" w:rsidP="001D3F7C">
            <w:pPr>
              <w:spacing w:before="120" w:after="120"/>
              <w:rPr>
                <w:rFonts w:ascii="Sitka Text" w:hAnsi="Sitka Text" w:cs="Mongolian Baiti"/>
                <w:b/>
                <w:color w:val="auto"/>
                <w:sz w:val="24"/>
                <w:szCs w:val="24"/>
              </w:rPr>
            </w:pPr>
            <w:r w:rsidRPr="000545E1">
              <w:rPr>
                <w:rFonts w:ascii="Sitka Text" w:hAnsi="Sitka Text" w:cs="Mongolian Baiti"/>
                <w:b/>
                <w:color w:val="auto"/>
                <w:sz w:val="24"/>
                <w:szCs w:val="24"/>
              </w:rPr>
              <w:t>OPERATIVNI CILJ 1.2</w:t>
            </w:r>
          </w:p>
        </w:tc>
        <w:tc>
          <w:tcPr>
            <w:tcW w:w="11165" w:type="dxa"/>
            <w:gridSpan w:val="10"/>
            <w:shd w:val="clear" w:color="auto" w:fill="DFE4E5" w:themeFill="accent5" w:themeFillTint="33"/>
          </w:tcPr>
          <w:p w:rsidR="00042F67" w:rsidRPr="000545E1" w:rsidRDefault="00042F67" w:rsidP="001D3F7C">
            <w:pPr>
              <w:spacing w:before="120" w:after="120"/>
              <w:rPr>
                <w:rFonts w:ascii="Sitka Text" w:hAnsi="Sitka Text" w:cs="Mongolian Baiti"/>
                <w:b/>
                <w:color w:val="auto"/>
                <w:sz w:val="24"/>
                <w:szCs w:val="24"/>
              </w:rPr>
            </w:pPr>
            <w:r w:rsidRPr="000545E1">
              <w:rPr>
                <w:rFonts w:ascii="Sitka Text" w:hAnsi="Sitka Text" w:cs="Mongolian Baiti"/>
                <w:b/>
                <w:color w:val="auto"/>
                <w:sz w:val="24"/>
                <w:szCs w:val="24"/>
              </w:rPr>
              <w:t>Administracija bez papira</w:t>
            </w:r>
          </w:p>
        </w:tc>
      </w:tr>
      <w:tr w:rsidR="00042F67" w:rsidRPr="000545E1" w:rsidTr="001D3F7C">
        <w:tc>
          <w:tcPr>
            <w:tcW w:w="5755" w:type="dxa"/>
            <w:gridSpan w:val="3"/>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Indikator</w:t>
            </w:r>
          </w:p>
        </w:tc>
        <w:tc>
          <w:tcPr>
            <w:tcW w:w="3134" w:type="dxa"/>
            <w:gridSpan w:val="2"/>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Početna vrijednost</w:t>
            </w:r>
          </w:p>
        </w:tc>
        <w:tc>
          <w:tcPr>
            <w:tcW w:w="2716" w:type="dxa"/>
            <w:gridSpan w:val="3"/>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do 2024.</w:t>
            </w:r>
          </w:p>
        </w:tc>
        <w:tc>
          <w:tcPr>
            <w:tcW w:w="2972" w:type="dxa"/>
            <w:gridSpan w:val="4"/>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u 2026.</w:t>
            </w:r>
          </w:p>
        </w:tc>
      </w:tr>
      <w:tr w:rsidR="00042F67" w:rsidRPr="000545E1" w:rsidTr="001D3F7C">
        <w:tc>
          <w:tcPr>
            <w:tcW w:w="5755" w:type="dxa"/>
            <w:gridSpan w:val="3"/>
            <w:tcBorders>
              <w:bottom w:val="single" w:sz="4" w:space="0" w:color="auto"/>
            </w:tcBorders>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 organa u javnoj upravi u kojima je uspostavljen elektronski sistem upravljanja dokumenata</w:t>
            </w:r>
          </w:p>
        </w:tc>
        <w:tc>
          <w:tcPr>
            <w:tcW w:w="3134" w:type="dxa"/>
            <w:gridSpan w:val="2"/>
            <w:tcBorders>
              <w:bottom w:val="single" w:sz="4" w:space="0" w:color="auto"/>
            </w:tcBorders>
            <w:shd w:val="clear" w:color="auto" w:fill="DAF2F6"/>
          </w:tcPr>
          <w:p w:rsidR="00042F67" w:rsidRPr="000545E1" w:rsidRDefault="00042F67" w:rsidP="001D3F7C">
            <w:pPr>
              <w:spacing w:after="40"/>
              <w:ind w:right="144"/>
              <w:jc w:val="both"/>
              <w:rPr>
                <w:rFonts w:ascii="Sitka Text" w:hAnsi="Sitka Text" w:cstheme="majorHAnsi"/>
                <w:color w:val="auto"/>
              </w:rPr>
            </w:pPr>
            <w:r w:rsidRPr="000545E1">
              <w:rPr>
                <w:rFonts w:ascii="Sitka Text" w:hAnsi="Sitka Text" w:cstheme="majorHAnsi"/>
                <w:color w:val="auto"/>
              </w:rPr>
              <w:t>38% (2020)</w:t>
            </w:r>
          </w:p>
          <w:p w:rsidR="00042F67" w:rsidRPr="000545E1" w:rsidRDefault="00042F67" w:rsidP="001D3F7C">
            <w:pPr>
              <w:spacing w:after="40"/>
              <w:rPr>
                <w:rFonts w:ascii="Sitka Text" w:hAnsi="Sitka Text" w:cs="Mongolian Baiti"/>
                <w:b/>
                <w:color w:val="auto"/>
              </w:rPr>
            </w:pPr>
          </w:p>
        </w:tc>
        <w:tc>
          <w:tcPr>
            <w:tcW w:w="2716" w:type="dxa"/>
            <w:gridSpan w:val="3"/>
            <w:tcBorders>
              <w:bottom w:val="single" w:sz="4" w:space="0" w:color="auto"/>
            </w:tcBorders>
            <w:shd w:val="clear" w:color="auto" w:fill="DAF2F6"/>
          </w:tcPr>
          <w:p w:rsidR="00042F67" w:rsidRPr="000545E1" w:rsidRDefault="00042F67" w:rsidP="001D3F7C">
            <w:pPr>
              <w:spacing w:after="40"/>
              <w:ind w:right="144"/>
              <w:jc w:val="both"/>
              <w:rPr>
                <w:rFonts w:ascii="Sitka Text" w:hAnsi="Sitka Text" w:cstheme="majorHAnsi"/>
                <w:color w:val="auto"/>
              </w:rPr>
            </w:pPr>
            <w:r w:rsidRPr="000545E1">
              <w:rPr>
                <w:rFonts w:ascii="Sitka Text" w:hAnsi="Sitka Text" w:cstheme="majorHAnsi"/>
                <w:color w:val="auto"/>
              </w:rPr>
              <w:t>50%</w:t>
            </w:r>
          </w:p>
          <w:p w:rsidR="00042F67" w:rsidRPr="000545E1" w:rsidRDefault="00042F67" w:rsidP="001D3F7C">
            <w:pPr>
              <w:spacing w:after="40"/>
              <w:rPr>
                <w:rFonts w:ascii="Sitka Text" w:hAnsi="Sitka Text" w:cs="Mongolian Baiti"/>
                <w:b/>
                <w:color w:val="auto"/>
              </w:rPr>
            </w:pPr>
          </w:p>
        </w:tc>
        <w:tc>
          <w:tcPr>
            <w:tcW w:w="2972" w:type="dxa"/>
            <w:gridSpan w:val="4"/>
            <w:tcBorders>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80%</w:t>
            </w:r>
          </w:p>
        </w:tc>
      </w:tr>
      <w:tr w:rsidR="00042F67" w:rsidRPr="000545E1" w:rsidTr="001D3F7C">
        <w:tc>
          <w:tcPr>
            <w:tcW w:w="5755" w:type="dxa"/>
            <w:gridSpan w:val="3"/>
            <w:tcBorders>
              <w:top w:val="single" w:sz="4" w:space="0" w:color="auto"/>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 organa u javnoj upravi</w:t>
            </w:r>
            <w:r w:rsidRPr="000545E1">
              <w:rPr>
                <w:rStyle w:val="FootnoteReference"/>
                <w:rFonts w:ascii="Sitka Text" w:hAnsi="Sitka Text" w:cstheme="majorHAnsi"/>
                <w:color w:val="auto"/>
              </w:rPr>
              <w:footnoteReference w:id="148"/>
            </w:r>
            <w:r w:rsidRPr="000545E1">
              <w:rPr>
                <w:rFonts w:ascii="Sitka Text" w:hAnsi="Sitka Text" w:cstheme="majorHAnsi"/>
                <w:color w:val="auto"/>
              </w:rPr>
              <w:t xml:space="preserve"> koji u potpunosti elektronski razmijenjuju (eksterno) dokumenta kroz eDMS</w:t>
            </w:r>
          </w:p>
        </w:tc>
        <w:tc>
          <w:tcPr>
            <w:tcW w:w="3134" w:type="dxa"/>
            <w:gridSpan w:val="2"/>
            <w:tcBorders>
              <w:top w:val="single" w:sz="4" w:space="0" w:color="auto"/>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0</w:t>
            </w:r>
          </w:p>
        </w:tc>
        <w:tc>
          <w:tcPr>
            <w:tcW w:w="2716" w:type="dxa"/>
            <w:gridSpan w:val="3"/>
            <w:tcBorders>
              <w:top w:val="single" w:sz="4" w:space="0" w:color="auto"/>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20%</w:t>
            </w:r>
          </w:p>
        </w:tc>
        <w:tc>
          <w:tcPr>
            <w:tcW w:w="2972" w:type="dxa"/>
            <w:gridSpan w:val="4"/>
            <w:tcBorders>
              <w:top w:val="single" w:sz="4" w:space="0" w:color="auto"/>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40%</w:t>
            </w:r>
          </w:p>
        </w:tc>
      </w:tr>
      <w:tr w:rsidR="00042F67" w:rsidRPr="000545E1" w:rsidTr="001D3F7C">
        <w:trPr>
          <w:gridAfter w:val="1"/>
          <w:wAfter w:w="44" w:type="dxa"/>
        </w:trPr>
        <w:tc>
          <w:tcPr>
            <w:tcW w:w="3412"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Aktivnosti</w:t>
            </w:r>
          </w:p>
        </w:tc>
        <w:tc>
          <w:tcPr>
            <w:tcW w:w="3958"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Indikator rezultata</w:t>
            </w:r>
          </w:p>
        </w:tc>
        <w:tc>
          <w:tcPr>
            <w:tcW w:w="1980"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Nadležne institucije</w:t>
            </w:r>
          </w:p>
        </w:tc>
        <w:tc>
          <w:tcPr>
            <w:tcW w:w="1154"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Početak</w:t>
            </w:r>
          </w:p>
        </w:tc>
        <w:tc>
          <w:tcPr>
            <w:tcW w:w="1278"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Završetak</w:t>
            </w:r>
          </w:p>
        </w:tc>
        <w:tc>
          <w:tcPr>
            <w:tcW w:w="1170"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 xml:space="preserve">Sredstva </w:t>
            </w:r>
          </w:p>
        </w:tc>
        <w:tc>
          <w:tcPr>
            <w:tcW w:w="1581"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Izvor finansiranja</w:t>
            </w:r>
          </w:p>
        </w:tc>
      </w:tr>
      <w:tr w:rsidR="00042F67" w:rsidRPr="000545E1" w:rsidTr="001D3F7C">
        <w:trPr>
          <w:gridAfter w:val="1"/>
          <w:wAfter w:w="44" w:type="dxa"/>
        </w:trPr>
        <w:tc>
          <w:tcPr>
            <w:tcW w:w="616" w:type="dxa"/>
            <w:shd w:val="clear" w:color="auto" w:fill="auto"/>
          </w:tcPr>
          <w:p w:rsidR="00042F67" w:rsidRPr="000545E1" w:rsidRDefault="00042F67" w:rsidP="001D3F7C">
            <w:pPr>
              <w:spacing w:before="20" w:after="20"/>
              <w:ind w:right="-132"/>
              <w:rPr>
                <w:rFonts w:ascii="Sitka Text" w:hAnsi="Sitka Text" w:cs="Mongolian Baiti"/>
                <w:color w:val="auto"/>
              </w:rPr>
            </w:pPr>
            <w:r w:rsidRPr="000545E1">
              <w:rPr>
                <w:rFonts w:ascii="Sitka Text" w:hAnsi="Sitka Text" w:cs="Mongolian Baiti"/>
                <w:color w:val="auto"/>
              </w:rPr>
              <w:t>1.2.1</w:t>
            </w:r>
          </w:p>
        </w:tc>
        <w:tc>
          <w:tcPr>
            <w:tcW w:w="2796"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Analiziranje izazova i prednosti sistema eDMS</w:t>
            </w:r>
          </w:p>
        </w:tc>
        <w:tc>
          <w:tcPr>
            <w:tcW w:w="3958"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Izrađena Analiza tehničkih eDMS sistema koji su uspostavljeni </w:t>
            </w:r>
          </w:p>
        </w:tc>
        <w:tc>
          <w:tcPr>
            <w:tcW w:w="19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 – Direktorat za digitalizaciju i e-servise</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SIGMA</w:t>
            </w:r>
          </w:p>
        </w:tc>
        <w:tc>
          <w:tcPr>
            <w:tcW w:w="1154"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27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17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17.000 €</w:t>
            </w:r>
          </w:p>
        </w:tc>
        <w:tc>
          <w:tcPr>
            <w:tcW w:w="1581"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44" w:type="dxa"/>
        </w:trPr>
        <w:tc>
          <w:tcPr>
            <w:tcW w:w="616" w:type="dxa"/>
            <w:shd w:val="clear" w:color="auto" w:fill="auto"/>
          </w:tcPr>
          <w:p w:rsidR="00042F67" w:rsidRPr="000545E1" w:rsidRDefault="00042F67" w:rsidP="001D3F7C">
            <w:pPr>
              <w:spacing w:before="20" w:after="20"/>
              <w:ind w:right="-132"/>
              <w:rPr>
                <w:rFonts w:ascii="Sitka Text" w:hAnsi="Sitka Text" w:cs="Mongolian Baiti"/>
                <w:color w:val="auto"/>
              </w:rPr>
            </w:pPr>
            <w:r w:rsidRPr="000545E1">
              <w:rPr>
                <w:rFonts w:ascii="Sitka Text" w:hAnsi="Sitka Text" w:cs="Mongolian Baiti"/>
                <w:color w:val="auto"/>
              </w:rPr>
              <w:t>1.2.2</w:t>
            </w:r>
          </w:p>
        </w:tc>
        <w:tc>
          <w:tcPr>
            <w:tcW w:w="2796"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Redizajn eDMS i povezivanje sa portalom eUprave</w:t>
            </w:r>
          </w:p>
        </w:tc>
        <w:tc>
          <w:tcPr>
            <w:tcW w:w="3958"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 Izrada tehničke specifikacije za redizajn eDMS-a </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Redizajn sistema u dijelu UX/UI na osnovu korisničkog iskustva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lastRenderedPageBreak/>
              <w:t>- Minimum 50 službenika javne uprave je uspješno završilo obuku iz eDMS</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eDMS povezan sa elektronskim sjednicama Vlade</w:t>
            </w:r>
          </w:p>
        </w:tc>
        <w:tc>
          <w:tcPr>
            <w:tcW w:w="19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lastRenderedPageBreak/>
              <w:t>MJUDDM</w:t>
            </w:r>
          </w:p>
        </w:tc>
        <w:tc>
          <w:tcPr>
            <w:tcW w:w="1154"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2024</w:t>
            </w:r>
          </w:p>
        </w:tc>
        <w:tc>
          <w:tcPr>
            <w:tcW w:w="127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2023</w:t>
            </w:r>
          </w:p>
        </w:tc>
        <w:tc>
          <w:tcPr>
            <w:tcW w:w="117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230.000 €</w:t>
            </w:r>
          </w:p>
        </w:tc>
        <w:tc>
          <w:tcPr>
            <w:tcW w:w="1581"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44" w:type="dxa"/>
        </w:trPr>
        <w:tc>
          <w:tcPr>
            <w:tcW w:w="616" w:type="dxa"/>
            <w:shd w:val="clear" w:color="auto" w:fill="auto"/>
          </w:tcPr>
          <w:p w:rsidR="00042F67" w:rsidRPr="000545E1" w:rsidRDefault="00042F67" w:rsidP="001D3F7C">
            <w:pPr>
              <w:spacing w:before="20" w:after="20"/>
              <w:ind w:right="-132"/>
              <w:rPr>
                <w:rFonts w:ascii="Sitka Text" w:hAnsi="Sitka Text" w:cs="Mongolian Baiti"/>
                <w:color w:val="auto"/>
              </w:rPr>
            </w:pPr>
            <w:r w:rsidRPr="000545E1">
              <w:rPr>
                <w:rFonts w:ascii="Sitka Text" w:hAnsi="Sitka Text" w:cs="Mongolian Baiti"/>
                <w:color w:val="auto"/>
              </w:rPr>
              <w:t>1.2.3</w:t>
            </w:r>
          </w:p>
        </w:tc>
        <w:tc>
          <w:tcPr>
            <w:tcW w:w="2796"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Implementacija sistema za upravljanje dokumentima</w:t>
            </w:r>
            <w:r w:rsidRPr="000545E1">
              <w:rPr>
                <w:rStyle w:val="FootnoteReference"/>
                <w:rFonts w:ascii="Sitka Text" w:hAnsi="Sitka Text" w:cs="Mongolian Baiti"/>
                <w:color w:val="auto"/>
              </w:rPr>
              <w:footnoteReference w:id="149"/>
            </w:r>
            <w:r w:rsidRPr="000545E1">
              <w:rPr>
                <w:rFonts w:ascii="Sitka Text" w:hAnsi="Sitka Text" w:cs="Mongolian Baiti"/>
                <w:color w:val="auto"/>
              </w:rPr>
              <w:t xml:space="preserve"> u organima sa najvećom interakcijom sa građanima</w:t>
            </w:r>
          </w:p>
        </w:tc>
        <w:tc>
          <w:tcPr>
            <w:tcW w:w="3958"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Razvijena Analiza za prepoznavanje administrativnih i tehničkih uslova za uspostavljanje eDMS</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Implementiran sistem za upravljanje dokumentima u 16 novih organa javne uprave</w:t>
            </w:r>
          </w:p>
        </w:tc>
        <w:tc>
          <w:tcPr>
            <w:tcW w:w="19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Organi javne uprave u kojima se implementira sistem (pilot u odabranim agencjiama, upravama, fondu)</w:t>
            </w:r>
          </w:p>
        </w:tc>
        <w:tc>
          <w:tcPr>
            <w:tcW w:w="1154"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2023</w:t>
            </w:r>
          </w:p>
        </w:tc>
        <w:tc>
          <w:tcPr>
            <w:tcW w:w="127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17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300.000 €</w:t>
            </w:r>
          </w:p>
        </w:tc>
        <w:tc>
          <w:tcPr>
            <w:tcW w:w="1581"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44" w:type="dxa"/>
        </w:trPr>
        <w:tc>
          <w:tcPr>
            <w:tcW w:w="616" w:type="dxa"/>
            <w:shd w:val="clear" w:color="auto" w:fill="auto"/>
          </w:tcPr>
          <w:p w:rsidR="00042F67" w:rsidRPr="000545E1" w:rsidRDefault="00042F67" w:rsidP="001D3F7C">
            <w:pPr>
              <w:spacing w:before="20" w:after="20"/>
              <w:ind w:right="-132"/>
              <w:rPr>
                <w:rFonts w:ascii="Sitka Text" w:hAnsi="Sitka Text" w:cs="Mongolian Baiti"/>
                <w:color w:val="auto"/>
              </w:rPr>
            </w:pPr>
            <w:r w:rsidRPr="000545E1">
              <w:rPr>
                <w:rFonts w:ascii="Sitka Text" w:hAnsi="Sitka Text" w:cs="Mongolian Baiti"/>
                <w:color w:val="auto"/>
              </w:rPr>
              <w:t>1.2.4</w:t>
            </w:r>
          </w:p>
        </w:tc>
        <w:tc>
          <w:tcPr>
            <w:tcW w:w="2796"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Uvođenje eDMSa na lokalnom nivou u 2 odabrane JLS u kojima ne postoji ni jedan sistem za elektronsko upravljanje dokumentima </w:t>
            </w:r>
          </w:p>
        </w:tc>
        <w:tc>
          <w:tcPr>
            <w:tcW w:w="3958"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 Razvijena Analiza stanja o trenutnom statusu za prepoznavanje uslova za uspostavljanje eDMS sistema (tehničke i administrativne uslove) </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Sistem eDMS uveden u dvije izabrane JLS</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Organizovane obuke za minimum 20 zaposlenih u JLS o eDMS sistemu</w:t>
            </w:r>
          </w:p>
        </w:tc>
        <w:tc>
          <w:tcPr>
            <w:tcW w:w="19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JLS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tc>
        <w:tc>
          <w:tcPr>
            <w:tcW w:w="1154"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27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17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50.000 €</w:t>
            </w:r>
          </w:p>
        </w:tc>
        <w:tc>
          <w:tcPr>
            <w:tcW w:w="1581"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44" w:type="dxa"/>
        </w:trPr>
        <w:tc>
          <w:tcPr>
            <w:tcW w:w="616" w:type="dxa"/>
            <w:shd w:val="clear" w:color="auto" w:fill="auto"/>
          </w:tcPr>
          <w:p w:rsidR="00042F67" w:rsidRPr="000545E1" w:rsidRDefault="00042F67" w:rsidP="001D3F7C">
            <w:pPr>
              <w:spacing w:before="20" w:after="20"/>
              <w:ind w:right="-132"/>
              <w:rPr>
                <w:rFonts w:ascii="Sitka Text" w:hAnsi="Sitka Text" w:cs="Mongolian Baiti"/>
                <w:color w:val="auto"/>
              </w:rPr>
            </w:pPr>
            <w:r w:rsidRPr="000545E1">
              <w:rPr>
                <w:rFonts w:ascii="Sitka Text" w:hAnsi="Sitka Text" w:cs="Mongolian Baiti"/>
                <w:color w:val="auto"/>
              </w:rPr>
              <w:t>1.2.5</w:t>
            </w:r>
          </w:p>
        </w:tc>
        <w:tc>
          <w:tcPr>
            <w:tcW w:w="2796"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Jačanje kapaciteta zaposlenih u IT sektoru u MJUDDM</w:t>
            </w:r>
          </w:p>
        </w:tc>
        <w:tc>
          <w:tcPr>
            <w:tcW w:w="3958"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Minimum 4 specijalizovane obuke za IT kadar</w:t>
            </w:r>
          </w:p>
        </w:tc>
        <w:tc>
          <w:tcPr>
            <w:tcW w:w="19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Specijalizovane institucije za obuke IT kadra</w:t>
            </w:r>
          </w:p>
        </w:tc>
        <w:tc>
          <w:tcPr>
            <w:tcW w:w="1154"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27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17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17.000 €</w:t>
            </w:r>
          </w:p>
        </w:tc>
        <w:tc>
          <w:tcPr>
            <w:tcW w:w="1581"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bl>
    <w:p w:rsidR="00042F67" w:rsidRPr="000545E1" w:rsidRDefault="00042F67" w:rsidP="00042F67">
      <w:pPr>
        <w:spacing w:before="20" w:after="20" w:line="240" w:lineRule="auto"/>
        <w:rPr>
          <w:rFonts w:ascii="Sitka Text" w:hAnsi="Sitka Text" w:cs="Mongolian Baiti"/>
          <w:color w:val="auto"/>
          <w:sz w:val="24"/>
          <w:szCs w:val="24"/>
        </w:rPr>
      </w:pPr>
    </w:p>
    <w:tbl>
      <w:tblPr>
        <w:tblStyle w:val="TableGrid"/>
        <w:tblW w:w="14613" w:type="dxa"/>
        <w:tblLayout w:type="fixed"/>
        <w:tblLook w:val="04A0" w:firstRow="1" w:lastRow="0" w:firstColumn="1" w:lastColumn="0" w:noHBand="0" w:noVBand="1"/>
      </w:tblPr>
      <w:tblGrid>
        <w:gridCol w:w="625"/>
        <w:gridCol w:w="2790"/>
        <w:gridCol w:w="2340"/>
        <w:gridCol w:w="1620"/>
        <w:gridCol w:w="1296"/>
        <w:gridCol w:w="684"/>
        <w:gridCol w:w="1170"/>
        <w:gridCol w:w="990"/>
        <w:gridCol w:w="270"/>
        <w:gridCol w:w="1170"/>
        <w:gridCol w:w="1620"/>
        <w:gridCol w:w="9"/>
        <w:gridCol w:w="29"/>
      </w:tblGrid>
      <w:tr w:rsidR="00042F67" w:rsidRPr="000545E1" w:rsidTr="001D3F7C">
        <w:tc>
          <w:tcPr>
            <w:tcW w:w="3415" w:type="dxa"/>
            <w:gridSpan w:val="2"/>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OPERATIVNI CILJ 1.3</w:t>
            </w:r>
          </w:p>
        </w:tc>
        <w:tc>
          <w:tcPr>
            <w:tcW w:w="11198" w:type="dxa"/>
            <w:gridSpan w:val="11"/>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Jačanje funkcionalnih i finansijski nezavisnih opština u cilju obezbijeđivanja ravnomjernijeg razvoja svih JLS</w:t>
            </w:r>
          </w:p>
        </w:tc>
      </w:tr>
      <w:tr w:rsidR="00042F67" w:rsidRPr="000545E1" w:rsidTr="001D3F7C">
        <w:trPr>
          <w:gridAfter w:val="2"/>
          <w:wAfter w:w="38" w:type="dxa"/>
        </w:trPr>
        <w:tc>
          <w:tcPr>
            <w:tcW w:w="5755" w:type="dxa"/>
            <w:gridSpan w:val="3"/>
            <w:shd w:val="clear" w:color="auto" w:fill="DAF2F6"/>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Indikator</w:t>
            </w:r>
          </w:p>
        </w:tc>
        <w:tc>
          <w:tcPr>
            <w:tcW w:w="2916" w:type="dxa"/>
            <w:gridSpan w:val="2"/>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Početna vrijednost</w:t>
            </w:r>
          </w:p>
        </w:tc>
        <w:tc>
          <w:tcPr>
            <w:tcW w:w="2844" w:type="dxa"/>
            <w:gridSpan w:val="3"/>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do 2024.</w:t>
            </w:r>
          </w:p>
        </w:tc>
        <w:tc>
          <w:tcPr>
            <w:tcW w:w="3060" w:type="dxa"/>
            <w:gridSpan w:val="3"/>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u 2026.</w:t>
            </w:r>
          </w:p>
        </w:tc>
      </w:tr>
      <w:tr w:rsidR="00042F67" w:rsidRPr="000545E1" w:rsidTr="001D3F7C">
        <w:trPr>
          <w:gridAfter w:val="2"/>
          <w:wAfter w:w="38" w:type="dxa"/>
        </w:trPr>
        <w:tc>
          <w:tcPr>
            <w:tcW w:w="5755" w:type="dxa"/>
            <w:gridSpan w:val="3"/>
            <w:tcBorders>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Broj sporazuma u kojima je uspostavljena međuopštinska saradnja</w:t>
            </w:r>
          </w:p>
        </w:tc>
        <w:tc>
          <w:tcPr>
            <w:tcW w:w="2916" w:type="dxa"/>
            <w:gridSpan w:val="2"/>
            <w:tcBorders>
              <w:bottom w:val="single" w:sz="4" w:space="0" w:color="auto"/>
            </w:tcBorders>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20 (2020)</w:t>
            </w:r>
          </w:p>
        </w:tc>
        <w:tc>
          <w:tcPr>
            <w:tcW w:w="2844" w:type="dxa"/>
            <w:gridSpan w:val="3"/>
            <w:tcBorders>
              <w:bottom w:val="single" w:sz="4" w:space="0" w:color="auto"/>
            </w:tcBorders>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24</w:t>
            </w:r>
          </w:p>
        </w:tc>
        <w:tc>
          <w:tcPr>
            <w:tcW w:w="3060" w:type="dxa"/>
            <w:gridSpan w:val="3"/>
            <w:tcBorders>
              <w:bottom w:val="single" w:sz="4" w:space="0" w:color="auto"/>
            </w:tcBorders>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30</w:t>
            </w:r>
          </w:p>
        </w:tc>
      </w:tr>
      <w:tr w:rsidR="00042F67" w:rsidRPr="000545E1" w:rsidTr="001D3F7C">
        <w:trPr>
          <w:gridAfter w:val="2"/>
          <w:wAfter w:w="38" w:type="dxa"/>
        </w:trPr>
        <w:tc>
          <w:tcPr>
            <w:tcW w:w="5755" w:type="dxa"/>
            <w:gridSpan w:val="3"/>
            <w:tcBorders>
              <w:bottom w:val="single" w:sz="4" w:space="0" w:color="auto"/>
            </w:tcBorders>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lastRenderedPageBreak/>
              <w:t>Broj oblasti u kojima je uspostavljena međuopštinska saradnja</w:t>
            </w:r>
          </w:p>
        </w:tc>
        <w:tc>
          <w:tcPr>
            <w:tcW w:w="2916" w:type="dxa"/>
            <w:gridSpan w:val="2"/>
            <w:tcBorders>
              <w:bottom w:val="single" w:sz="4" w:space="0" w:color="auto"/>
            </w:tcBorders>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3 (2020)</w:t>
            </w:r>
            <w:r w:rsidRPr="000545E1">
              <w:rPr>
                <w:rStyle w:val="FootnoteReference"/>
                <w:rFonts w:ascii="Sitka Text" w:hAnsi="Sitka Text" w:cs="Mongolian Baiti"/>
                <w:color w:val="auto"/>
              </w:rPr>
              <w:footnoteReference w:id="150"/>
            </w:r>
          </w:p>
        </w:tc>
        <w:tc>
          <w:tcPr>
            <w:tcW w:w="2844" w:type="dxa"/>
            <w:gridSpan w:val="3"/>
            <w:tcBorders>
              <w:bottom w:val="single" w:sz="4" w:space="0" w:color="auto"/>
            </w:tcBorders>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5</w:t>
            </w:r>
          </w:p>
        </w:tc>
        <w:tc>
          <w:tcPr>
            <w:tcW w:w="3060" w:type="dxa"/>
            <w:gridSpan w:val="3"/>
            <w:tcBorders>
              <w:bottom w:val="single" w:sz="4" w:space="0" w:color="auto"/>
            </w:tcBorders>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7</w:t>
            </w:r>
          </w:p>
        </w:tc>
      </w:tr>
      <w:tr w:rsidR="00042F67" w:rsidRPr="000545E1" w:rsidTr="001D3F7C">
        <w:trPr>
          <w:gridAfter w:val="2"/>
          <w:wAfter w:w="38" w:type="dxa"/>
        </w:trPr>
        <w:tc>
          <w:tcPr>
            <w:tcW w:w="5755" w:type="dxa"/>
            <w:gridSpan w:val="3"/>
            <w:tcBorders>
              <w:top w:val="single" w:sz="4" w:space="0" w:color="auto"/>
              <w:bottom w:val="single" w:sz="4" w:space="0" w:color="FFFFFF" w:themeColor="background1"/>
            </w:tcBorders>
            <w:shd w:val="clear" w:color="auto" w:fill="DAF2F6"/>
          </w:tcPr>
          <w:p w:rsidR="00042F67" w:rsidRPr="000545E1" w:rsidRDefault="00042F67" w:rsidP="001D3F7C">
            <w:pPr>
              <w:spacing w:after="40"/>
              <w:rPr>
                <w:rFonts w:ascii="Sitka Text" w:hAnsi="Sitka Text" w:cstheme="majorHAnsi"/>
                <w:color w:val="auto"/>
                <w:highlight w:val="yellow"/>
              </w:rPr>
            </w:pPr>
            <w:r w:rsidRPr="000545E1">
              <w:rPr>
                <w:rFonts w:ascii="Sitka Text" w:hAnsi="Sitka Text" w:cstheme="majorHAnsi"/>
                <w:color w:val="auto"/>
              </w:rPr>
              <w:t>Odnos duga po kreditima svih opština u odnosu na njihove prihode</w:t>
            </w:r>
          </w:p>
        </w:tc>
        <w:tc>
          <w:tcPr>
            <w:tcW w:w="2916" w:type="dxa"/>
            <w:gridSpan w:val="2"/>
            <w:tcBorders>
              <w:top w:val="single" w:sz="4" w:space="0" w:color="auto"/>
              <w:bottom w:val="single" w:sz="4" w:space="0" w:color="FFFFFF" w:themeColor="background1"/>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2,86%</w:t>
            </w:r>
          </w:p>
        </w:tc>
        <w:tc>
          <w:tcPr>
            <w:tcW w:w="2844" w:type="dxa"/>
            <w:gridSpan w:val="3"/>
            <w:tcBorders>
              <w:top w:val="single" w:sz="4" w:space="0" w:color="auto"/>
              <w:bottom w:val="single" w:sz="4" w:space="0" w:color="FFFFFF" w:themeColor="background1"/>
            </w:tcBorders>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2,36%</w:t>
            </w:r>
          </w:p>
        </w:tc>
        <w:tc>
          <w:tcPr>
            <w:tcW w:w="3060" w:type="dxa"/>
            <w:gridSpan w:val="3"/>
            <w:tcBorders>
              <w:top w:val="single" w:sz="4" w:space="0" w:color="auto"/>
              <w:bottom w:val="single" w:sz="4" w:space="0" w:color="FFFFFF" w:themeColor="background1"/>
            </w:tcBorders>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1,86%</w:t>
            </w:r>
          </w:p>
        </w:tc>
      </w:tr>
      <w:tr w:rsidR="00042F67" w:rsidRPr="000545E1" w:rsidTr="001D3F7C">
        <w:trPr>
          <w:gridAfter w:val="1"/>
          <w:wAfter w:w="29" w:type="dxa"/>
        </w:trPr>
        <w:tc>
          <w:tcPr>
            <w:tcW w:w="3415"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Aktivnosti</w:t>
            </w:r>
          </w:p>
        </w:tc>
        <w:tc>
          <w:tcPr>
            <w:tcW w:w="3960"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Indikator rezultata</w:t>
            </w:r>
          </w:p>
        </w:tc>
        <w:tc>
          <w:tcPr>
            <w:tcW w:w="1980"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Nadležne institucije</w:t>
            </w:r>
          </w:p>
        </w:tc>
        <w:tc>
          <w:tcPr>
            <w:tcW w:w="1170"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 xml:space="preserve">Početak </w:t>
            </w:r>
          </w:p>
        </w:tc>
        <w:tc>
          <w:tcPr>
            <w:tcW w:w="1260"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 xml:space="preserve">Završetak </w:t>
            </w:r>
          </w:p>
        </w:tc>
        <w:tc>
          <w:tcPr>
            <w:tcW w:w="1170"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Sredstva</w:t>
            </w:r>
          </w:p>
        </w:tc>
        <w:tc>
          <w:tcPr>
            <w:tcW w:w="1629"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Izvor finansiranja</w:t>
            </w:r>
          </w:p>
        </w:tc>
      </w:tr>
      <w:tr w:rsidR="00042F67" w:rsidRPr="000545E1" w:rsidTr="001D3F7C">
        <w:trPr>
          <w:gridAfter w:val="1"/>
          <w:wAfter w:w="29" w:type="dxa"/>
        </w:trPr>
        <w:tc>
          <w:tcPr>
            <w:tcW w:w="625"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1.3.1</w:t>
            </w:r>
          </w:p>
        </w:tc>
        <w:tc>
          <w:tcPr>
            <w:tcW w:w="2790"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Izrada Analize funkcionisanja lokalne samouprave</w:t>
            </w:r>
          </w:p>
        </w:tc>
        <w:tc>
          <w:tcPr>
            <w:tcW w:w="3960"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Izrađen Analitički materijal (</w:t>
            </w:r>
            <w:r w:rsidRPr="000545E1">
              <w:rPr>
                <w:rFonts w:ascii="Sitka Text" w:hAnsi="Sitka Text" w:cs="Mongolian Baiti"/>
                <w:i/>
                <w:color w:val="auto"/>
              </w:rPr>
              <w:t>screening</w:t>
            </w:r>
            <w:r w:rsidRPr="000545E1">
              <w:rPr>
                <w:rFonts w:ascii="Sitka Text" w:hAnsi="Sitka Text" w:cs="Mongolian Baiti"/>
                <w:color w:val="auto"/>
              </w:rPr>
              <w:t xml:space="preserve">) sadašnjih poslova JLS  u svim oblastima sa ocjenom stanja, stepenom obavljanja i predlogom mjera za dalje funkcionisanje JLS, izazovima sa kojima se JLS susreću u vršenju: prenesenih i povjerenih poslova, prebacivanje nadležnosti opštinama kroz strateške dokumente bez obezbijeđenih sredstava od strane organa na centralnom nivou, </w:t>
            </w:r>
            <w:r w:rsidRPr="000545E1">
              <w:rPr>
                <w:rFonts w:ascii="Sitka Text" w:hAnsi="Sitka Text" w:cs="Mongolian Baiti"/>
                <w:i/>
                <w:color w:val="auto"/>
              </w:rPr>
              <w:t xml:space="preserve">cost-benefit </w:t>
            </w:r>
            <w:r w:rsidRPr="000545E1">
              <w:rPr>
                <w:rFonts w:ascii="Sitka Text" w:hAnsi="Sitka Text" w:cs="Mongolian Baiti"/>
                <w:color w:val="auto"/>
              </w:rPr>
              <w:t>analiza izvornih poslova JLS, sa preporukama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Plan sa preporukama na osnovu nalaza Analize razvijen</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Izrada Analize o prebacivanju nadležnosti</w:t>
            </w:r>
          </w:p>
        </w:tc>
        <w:tc>
          <w:tcPr>
            <w:tcW w:w="198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ZOCG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JLS</w:t>
            </w:r>
          </w:p>
        </w:tc>
        <w:tc>
          <w:tcPr>
            <w:tcW w:w="117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26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2023</w:t>
            </w:r>
          </w:p>
        </w:tc>
        <w:tc>
          <w:tcPr>
            <w:tcW w:w="117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35.000 €</w:t>
            </w:r>
          </w:p>
        </w:tc>
        <w:tc>
          <w:tcPr>
            <w:tcW w:w="1629"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29" w:type="dxa"/>
        </w:trPr>
        <w:tc>
          <w:tcPr>
            <w:tcW w:w="625"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1.3.2</w:t>
            </w:r>
          </w:p>
        </w:tc>
        <w:tc>
          <w:tcPr>
            <w:tcW w:w="279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Izmjene i dopune Zakona o lokalnoj samoupravi</w:t>
            </w:r>
          </w:p>
        </w:tc>
        <w:tc>
          <w:tcPr>
            <w:tcW w:w="3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Zakon o lokalnoj samoupravi usvojen sa izmjenama u dijelu: </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usaglašavanje sa Zakonom o državnim službenicima i namještinicima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unapređenje upravnog nadzora nad radom javnih službi</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otklanjanja izazova u implementaciji važećeg Zakona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međuopštinskoj saradnji</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ostale izmjene u skladu sa Analizom</w:t>
            </w:r>
          </w:p>
        </w:tc>
        <w:tc>
          <w:tcPr>
            <w:tcW w:w="198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ZOCG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JLS</w:t>
            </w:r>
          </w:p>
        </w:tc>
        <w:tc>
          <w:tcPr>
            <w:tcW w:w="117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IQ 2023</w:t>
            </w:r>
          </w:p>
        </w:tc>
        <w:tc>
          <w:tcPr>
            <w:tcW w:w="126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IIIQ 2023</w:t>
            </w:r>
          </w:p>
        </w:tc>
        <w:tc>
          <w:tcPr>
            <w:tcW w:w="117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3.000 €</w:t>
            </w:r>
          </w:p>
        </w:tc>
        <w:tc>
          <w:tcPr>
            <w:tcW w:w="1629"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29" w:type="dxa"/>
          <w:trHeight w:val="746"/>
        </w:trPr>
        <w:tc>
          <w:tcPr>
            <w:tcW w:w="625"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lastRenderedPageBreak/>
              <w:t>1.3.3</w:t>
            </w:r>
          </w:p>
        </w:tc>
        <w:tc>
          <w:tcPr>
            <w:tcW w:w="279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Promocija mehanizma međuopštinske saradnje</w:t>
            </w:r>
          </w:p>
        </w:tc>
        <w:tc>
          <w:tcPr>
            <w:tcW w:w="3960" w:type="dxa"/>
            <w:gridSpan w:val="2"/>
          </w:tcPr>
          <w:p w:rsidR="00042F67" w:rsidRPr="000545E1" w:rsidRDefault="00042F67" w:rsidP="001D3F7C">
            <w:pPr>
              <w:pStyle w:val="ListParagraph"/>
              <w:spacing w:before="20" w:after="20"/>
              <w:ind w:left="124"/>
              <w:rPr>
                <w:rFonts w:ascii="Sitka Text" w:hAnsi="Sitka Text" w:cs="Mongolian Baiti"/>
                <w:color w:val="auto"/>
              </w:rPr>
            </w:pPr>
            <w:r w:rsidRPr="000545E1">
              <w:rPr>
                <w:rFonts w:ascii="Sitka Text" w:hAnsi="Sitka Text" w:cs="Mongolian Baiti"/>
                <w:color w:val="auto"/>
              </w:rPr>
              <w:t>Realizovane 2 radionice o značaju međuopštinske saradnje sa svim JLS</w:t>
            </w:r>
          </w:p>
        </w:tc>
        <w:tc>
          <w:tcPr>
            <w:tcW w:w="198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ZOCG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JLS</w:t>
            </w:r>
          </w:p>
        </w:tc>
        <w:tc>
          <w:tcPr>
            <w:tcW w:w="117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26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17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3.000 €</w:t>
            </w:r>
          </w:p>
        </w:tc>
        <w:tc>
          <w:tcPr>
            <w:tcW w:w="1629"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29" w:type="dxa"/>
        </w:trPr>
        <w:tc>
          <w:tcPr>
            <w:tcW w:w="625"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1.3.4</w:t>
            </w:r>
          </w:p>
        </w:tc>
        <w:tc>
          <w:tcPr>
            <w:tcW w:w="2790" w:type="dxa"/>
          </w:tcPr>
          <w:p w:rsidR="00042F67" w:rsidRPr="000545E1" w:rsidRDefault="00042F67" w:rsidP="001D3F7C">
            <w:pPr>
              <w:spacing w:before="20" w:after="20"/>
              <w:rPr>
                <w:rFonts w:ascii="Sitka Text" w:hAnsi="Sitka Text"/>
                <w:color w:val="auto"/>
              </w:rPr>
            </w:pPr>
            <w:r w:rsidRPr="000545E1">
              <w:rPr>
                <w:rFonts w:ascii="Sitka Text" w:hAnsi="Sitka Text"/>
                <w:color w:val="auto"/>
              </w:rPr>
              <w:t>Pojačan nadzor nad finansijskim poslovanjem lokalnih samouprava kroz davanje mišljenja na budžet i periodične izvještaje o finansijskom položaju lokalnih samouprava koji će sadržati konkretne preporuke</w:t>
            </w:r>
          </w:p>
          <w:p w:rsidR="00042F67" w:rsidRPr="000545E1" w:rsidRDefault="00042F67" w:rsidP="001D3F7C">
            <w:pPr>
              <w:spacing w:before="20" w:after="20"/>
              <w:rPr>
                <w:rFonts w:ascii="Sitka Text" w:hAnsi="Sitka Text"/>
                <w:color w:val="auto"/>
              </w:rPr>
            </w:pPr>
          </w:p>
        </w:tc>
        <w:tc>
          <w:tcPr>
            <w:tcW w:w="3960" w:type="dxa"/>
            <w:gridSpan w:val="2"/>
          </w:tcPr>
          <w:p w:rsidR="00042F67" w:rsidRPr="000545E1" w:rsidRDefault="00042F67" w:rsidP="001D3F7C">
            <w:pPr>
              <w:rPr>
                <w:rFonts w:ascii="Sitka Text" w:hAnsi="Sitka Text"/>
                <w:color w:val="auto"/>
              </w:rPr>
            </w:pPr>
            <w:r w:rsidRPr="000545E1">
              <w:rPr>
                <w:rFonts w:ascii="Sitka Text" w:hAnsi="Sitka Text"/>
                <w:color w:val="auto"/>
              </w:rPr>
              <w:t>- Smanjene neizmirenih obaveze lokalnih samouprava u apsolutnom iznosu</w:t>
            </w:r>
          </w:p>
          <w:p w:rsidR="00042F67" w:rsidRPr="000545E1" w:rsidRDefault="00042F67" w:rsidP="001D3F7C">
            <w:pPr>
              <w:rPr>
                <w:rFonts w:ascii="Sitka Text" w:hAnsi="Sitka Text"/>
                <w:color w:val="auto"/>
              </w:rPr>
            </w:pPr>
            <w:r w:rsidRPr="000545E1">
              <w:rPr>
                <w:rFonts w:ascii="Sitka Text" w:hAnsi="Sitka Text"/>
                <w:color w:val="auto"/>
              </w:rPr>
              <w:t>- Broj kontrola Budžetske inspekcije</w:t>
            </w:r>
          </w:p>
        </w:tc>
        <w:tc>
          <w:tcPr>
            <w:tcW w:w="198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olor w:val="auto"/>
              </w:rPr>
              <w:t>MFSS</w:t>
            </w:r>
          </w:p>
        </w:tc>
        <w:tc>
          <w:tcPr>
            <w:tcW w:w="117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2023</w:t>
            </w:r>
          </w:p>
        </w:tc>
        <w:tc>
          <w:tcPr>
            <w:tcW w:w="126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2024</w:t>
            </w:r>
          </w:p>
        </w:tc>
        <w:tc>
          <w:tcPr>
            <w:tcW w:w="117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5.000 €</w:t>
            </w:r>
          </w:p>
        </w:tc>
        <w:tc>
          <w:tcPr>
            <w:tcW w:w="1629"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29" w:type="dxa"/>
        </w:trPr>
        <w:tc>
          <w:tcPr>
            <w:tcW w:w="625"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1.3.6</w:t>
            </w:r>
          </w:p>
        </w:tc>
        <w:tc>
          <w:tcPr>
            <w:tcW w:w="279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Povećano učešće sopstvenih prihoda u tekućim prihodima lokalnih samouprava</w:t>
            </w:r>
          </w:p>
        </w:tc>
        <w:tc>
          <w:tcPr>
            <w:tcW w:w="3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Jačanje kapaciteta lokalnih samouprava u dijelu naplate sopstvenih prihoda</w:t>
            </w:r>
          </w:p>
        </w:tc>
        <w:tc>
          <w:tcPr>
            <w:tcW w:w="198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JLS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ZOCG</w:t>
            </w:r>
          </w:p>
        </w:tc>
        <w:tc>
          <w:tcPr>
            <w:tcW w:w="117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2022</w:t>
            </w:r>
          </w:p>
        </w:tc>
        <w:tc>
          <w:tcPr>
            <w:tcW w:w="126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2023</w:t>
            </w:r>
          </w:p>
        </w:tc>
        <w:tc>
          <w:tcPr>
            <w:tcW w:w="117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5.000 €</w:t>
            </w:r>
          </w:p>
        </w:tc>
        <w:tc>
          <w:tcPr>
            <w:tcW w:w="1629"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bl>
    <w:p w:rsidR="00042F67" w:rsidRPr="000545E1" w:rsidRDefault="00042F67" w:rsidP="00042F67">
      <w:pPr>
        <w:spacing w:before="120" w:after="120" w:line="240" w:lineRule="auto"/>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r w:rsidRPr="000545E1">
        <w:rPr>
          <w:rFonts w:ascii="Sitka Text" w:hAnsi="Sitka Text" w:cs="Mongolian Baiti"/>
          <w:b/>
          <w:color w:val="auto"/>
          <w:sz w:val="28"/>
          <w:szCs w:val="28"/>
        </w:rPr>
        <w:t>STRATEŠKI CILJ II</w:t>
      </w:r>
    </w:p>
    <w:p w:rsidR="00042F67" w:rsidRPr="000545E1" w:rsidRDefault="00042F67" w:rsidP="00042F67">
      <w:pPr>
        <w:spacing w:before="120" w:after="120" w:line="240" w:lineRule="auto"/>
        <w:jc w:val="center"/>
        <w:rPr>
          <w:rFonts w:ascii="Sitka Text" w:hAnsi="Sitka Text" w:cs="Mongolian Baiti"/>
          <w:b/>
          <w:color w:val="auto"/>
          <w:sz w:val="28"/>
          <w:szCs w:val="28"/>
        </w:rPr>
      </w:pPr>
      <w:r w:rsidRPr="000545E1">
        <w:rPr>
          <w:rFonts w:ascii="Sitka Text" w:hAnsi="Sitka Text" w:cs="Mongolian Baiti"/>
          <w:b/>
          <w:color w:val="auto"/>
          <w:sz w:val="28"/>
          <w:szCs w:val="28"/>
        </w:rPr>
        <w:t>GRA</w:t>
      </w:r>
      <w:r w:rsidRPr="000545E1">
        <w:rPr>
          <w:rFonts w:ascii="Sitka Text" w:hAnsi="Sitka Text" w:cs="Calibri"/>
          <w:b/>
          <w:color w:val="auto"/>
          <w:sz w:val="28"/>
          <w:szCs w:val="28"/>
        </w:rPr>
        <w:t>Đ</w:t>
      </w:r>
      <w:r w:rsidRPr="000545E1">
        <w:rPr>
          <w:rFonts w:ascii="Sitka Text" w:hAnsi="Sitka Text" w:cs="Mongolian Baiti"/>
          <w:b/>
          <w:color w:val="auto"/>
          <w:sz w:val="28"/>
          <w:szCs w:val="28"/>
        </w:rPr>
        <w:t>ANI I PRIVREDA KORISTE KVALITETNE USLUGE JAVNE UPRAVE</w:t>
      </w:r>
    </w:p>
    <w:tbl>
      <w:tblPr>
        <w:tblStyle w:val="TableGrid"/>
        <w:tblW w:w="14617" w:type="dxa"/>
        <w:tblLayout w:type="fixed"/>
        <w:tblLook w:val="04A0" w:firstRow="1" w:lastRow="0" w:firstColumn="1" w:lastColumn="0" w:noHBand="0" w:noVBand="1"/>
      </w:tblPr>
      <w:tblGrid>
        <w:gridCol w:w="625"/>
        <w:gridCol w:w="2790"/>
        <w:gridCol w:w="2880"/>
        <w:gridCol w:w="1080"/>
        <w:gridCol w:w="1836"/>
        <w:gridCol w:w="144"/>
        <w:gridCol w:w="1170"/>
        <w:gridCol w:w="1260"/>
        <w:gridCol w:w="180"/>
        <w:gridCol w:w="990"/>
        <w:gridCol w:w="1620"/>
        <w:gridCol w:w="9"/>
        <w:gridCol w:w="33"/>
      </w:tblGrid>
      <w:tr w:rsidR="00042F67" w:rsidRPr="000545E1" w:rsidTr="001D3F7C">
        <w:tc>
          <w:tcPr>
            <w:tcW w:w="3415" w:type="dxa"/>
            <w:gridSpan w:val="2"/>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OPERATIVNI CILJ 2.1</w:t>
            </w:r>
          </w:p>
        </w:tc>
        <w:tc>
          <w:tcPr>
            <w:tcW w:w="11202" w:type="dxa"/>
            <w:gridSpan w:val="11"/>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 xml:space="preserve">Efikasnije pružanje usluga i uvođenje upravljanja kvalitetom pruženih usluga </w:t>
            </w:r>
          </w:p>
        </w:tc>
      </w:tr>
      <w:tr w:rsidR="00042F67" w:rsidRPr="000545E1" w:rsidTr="001D3F7C">
        <w:trPr>
          <w:gridAfter w:val="2"/>
          <w:wAfter w:w="42" w:type="dxa"/>
        </w:trPr>
        <w:tc>
          <w:tcPr>
            <w:tcW w:w="6295" w:type="dxa"/>
            <w:gridSpan w:val="3"/>
            <w:shd w:val="clear" w:color="auto" w:fill="DAF2F6"/>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Indikator</w:t>
            </w:r>
          </w:p>
        </w:tc>
        <w:tc>
          <w:tcPr>
            <w:tcW w:w="2916" w:type="dxa"/>
            <w:gridSpan w:val="2"/>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Početna vrijednost</w:t>
            </w:r>
          </w:p>
        </w:tc>
        <w:tc>
          <w:tcPr>
            <w:tcW w:w="2754" w:type="dxa"/>
            <w:gridSpan w:val="4"/>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do 2024.</w:t>
            </w:r>
          </w:p>
        </w:tc>
        <w:tc>
          <w:tcPr>
            <w:tcW w:w="2610" w:type="dxa"/>
            <w:gridSpan w:val="2"/>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u 2026.</w:t>
            </w:r>
          </w:p>
        </w:tc>
      </w:tr>
      <w:tr w:rsidR="00042F67" w:rsidRPr="000545E1" w:rsidTr="001D3F7C">
        <w:trPr>
          <w:gridAfter w:val="2"/>
          <w:wAfter w:w="42" w:type="dxa"/>
        </w:trPr>
        <w:tc>
          <w:tcPr>
            <w:tcW w:w="6295" w:type="dxa"/>
            <w:gridSpan w:val="3"/>
            <w:tcBorders>
              <w:top w:val="single" w:sz="4" w:space="0" w:color="auto"/>
              <w:bottom w:val="single" w:sz="4" w:space="0" w:color="FFFFFF" w:themeColor="background1"/>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olor w:val="auto"/>
              </w:rPr>
              <w:t>Pilot institucije  u kojima je izvršeno mapiranje procesa u cilju optimizacije unutrašnjih procesa i kvaliteta pružene usluge</w:t>
            </w:r>
          </w:p>
        </w:tc>
        <w:tc>
          <w:tcPr>
            <w:tcW w:w="2916" w:type="dxa"/>
            <w:gridSpan w:val="2"/>
            <w:tcBorders>
              <w:top w:val="single" w:sz="4" w:space="0" w:color="auto"/>
              <w:bottom w:val="single" w:sz="4" w:space="0" w:color="FFFFFF" w:themeColor="background1"/>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olor w:val="auto"/>
              </w:rPr>
              <w:t>0</w:t>
            </w:r>
          </w:p>
        </w:tc>
        <w:tc>
          <w:tcPr>
            <w:tcW w:w="2754" w:type="dxa"/>
            <w:gridSpan w:val="4"/>
            <w:tcBorders>
              <w:top w:val="single" w:sz="4" w:space="0" w:color="auto"/>
              <w:bottom w:val="single" w:sz="4" w:space="0" w:color="FFFFFF" w:themeColor="background1"/>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olor w:val="auto"/>
              </w:rPr>
              <w:t>5</w:t>
            </w:r>
          </w:p>
        </w:tc>
        <w:tc>
          <w:tcPr>
            <w:tcW w:w="2610" w:type="dxa"/>
            <w:gridSpan w:val="2"/>
            <w:tcBorders>
              <w:top w:val="single" w:sz="4" w:space="0" w:color="auto"/>
              <w:bottom w:val="single" w:sz="4" w:space="0" w:color="FFFFFF" w:themeColor="background1"/>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olor w:val="auto"/>
              </w:rPr>
              <w:t>15</w:t>
            </w:r>
          </w:p>
        </w:tc>
      </w:tr>
      <w:tr w:rsidR="00042F67" w:rsidRPr="000545E1" w:rsidTr="001D3F7C">
        <w:trPr>
          <w:gridAfter w:val="2"/>
          <w:wAfter w:w="42" w:type="dxa"/>
        </w:trPr>
        <w:tc>
          <w:tcPr>
            <w:tcW w:w="6295" w:type="dxa"/>
            <w:gridSpan w:val="3"/>
            <w:tcBorders>
              <w:top w:val="single" w:sz="4" w:space="0" w:color="auto"/>
              <w:bottom w:val="single" w:sz="4" w:space="0" w:color="FFFFFF" w:themeColor="background1"/>
            </w:tcBorders>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Zadovoljstvo građana javnim uslugama (Balkan barometar)</w:t>
            </w:r>
            <w:r w:rsidRPr="000545E1">
              <w:rPr>
                <w:rStyle w:val="FootnoteReference"/>
                <w:rFonts w:ascii="Sitka Text" w:hAnsi="Sitka Text" w:cstheme="majorHAnsi"/>
                <w:color w:val="auto"/>
              </w:rPr>
              <w:footnoteReference w:id="151"/>
            </w:r>
          </w:p>
        </w:tc>
        <w:tc>
          <w:tcPr>
            <w:tcW w:w="2916" w:type="dxa"/>
            <w:gridSpan w:val="2"/>
            <w:tcBorders>
              <w:top w:val="single" w:sz="4" w:space="0" w:color="auto"/>
              <w:bottom w:val="single" w:sz="4" w:space="0" w:color="FFFFFF" w:themeColor="background1"/>
            </w:tcBorders>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3,3</w:t>
            </w:r>
          </w:p>
        </w:tc>
        <w:tc>
          <w:tcPr>
            <w:tcW w:w="2754" w:type="dxa"/>
            <w:gridSpan w:val="4"/>
            <w:tcBorders>
              <w:top w:val="single" w:sz="4" w:space="0" w:color="auto"/>
              <w:bottom w:val="single" w:sz="4" w:space="0" w:color="FFFFFF" w:themeColor="background1"/>
            </w:tcBorders>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3,5</w:t>
            </w:r>
          </w:p>
        </w:tc>
        <w:tc>
          <w:tcPr>
            <w:tcW w:w="2610" w:type="dxa"/>
            <w:gridSpan w:val="2"/>
            <w:tcBorders>
              <w:top w:val="single" w:sz="4" w:space="0" w:color="auto"/>
              <w:bottom w:val="single" w:sz="4" w:space="0" w:color="FFFFFF" w:themeColor="background1"/>
            </w:tcBorders>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3,7</w:t>
            </w:r>
          </w:p>
        </w:tc>
      </w:tr>
      <w:tr w:rsidR="00042F67" w:rsidRPr="000545E1" w:rsidTr="001D3F7C">
        <w:trPr>
          <w:gridAfter w:val="2"/>
          <w:wAfter w:w="42" w:type="dxa"/>
        </w:trPr>
        <w:tc>
          <w:tcPr>
            <w:tcW w:w="6295" w:type="dxa"/>
            <w:gridSpan w:val="3"/>
            <w:tcBorders>
              <w:top w:val="single" w:sz="4" w:space="0" w:color="auto"/>
              <w:bottom w:val="single" w:sz="4" w:space="0" w:color="FFFFFF" w:themeColor="background1"/>
            </w:tcBorders>
            <w:shd w:val="clear" w:color="auto" w:fill="DAF2F6"/>
          </w:tcPr>
          <w:p w:rsidR="00042F67" w:rsidRPr="000545E1" w:rsidRDefault="00042F67" w:rsidP="001D3F7C">
            <w:pPr>
              <w:spacing w:after="40"/>
              <w:rPr>
                <w:rFonts w:ascii="Sitka Text" w:hAnsi="Sitka Text" w:cstheme="majorHAnsi"/>
                <w:color w:val="auto"/>
                <w:highlight w:val="yellow"/>
              </w:rPr>
            </w:pPr>
            <w:r w:rsidRPr="000545E1">
              <w:rPr>
                <w:rFonts w:ascii="Sitka Text" w:hAnsi="Sitka Text" w:cstheme="majorHAnsi"/>
                <w:color w:val="auto"/>
              </w:rPr>
              <w:t>% upravnih akata poništen od strane Upravnog suda</w:t>
            </w:r>
          </w:p>
        </w:tc>
        <w:tc>
          <w:tcPr>
            <w:tcW w:w="2916" w:type="dxa"/>
            <w:gridSpan w:val="2"/>
            <w:tcBorders>
              <w:top w:val="single" w:sz="4" w:space="0" w:color="auto"/>
              <w:bottom w:val="single" w:sz="4" w:space="0" w:color="FFFFFF" w:themeColor="background1"/>
            </w:tcBorders>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20,33%</w:t>
            </w:r>
          </w:p>
        </w:tc>
        <w:tc>
          <w:tcPr>
            <w:tcW w:w="2754" w:type="dxa"/>
            <w:gridSpan w:val="4"/>
            <w:tcBorders>
              <w:top w:val="single" w:sz="4" w:space="0" w:color="auto"/>
              <w:bottom w:val="single" w:sz="4" w:space="0" w:color="FFFFFF" w:themeColor="background1"/>
            </w:tcBorders>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20%</w:t>
            </w:r>
          </w:p>
        </w:tc>
        <w:tc>
          <w:tcPr>
            <w:tcW w:w="2610" w:type="dxa"/>
            <w:gridSpan w:val="2"/>
            <w:tcBorders>
              <w:top w:val="single" w:sz="4" w:space="0" w:color="auto"/>
              <w:bottom w:val="single" w:sz="4" w:space="0" w:color="FFFFFF" w:themeColor="background1"/>
            </w:tcBorders>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18%</w:t>
            </w:r>
          </w:p>
        </w:tc>
      </w:tr>
      <w:tr w:rsidR="00042F67" w:rsidRPr="000545E1" w:rsidTr="001D3F7C">
        <w:trPr>
          <w:gridAfter w:val="1"/>
          <w:wAfter w:w="33" w:type="dxa"/>
        </w:trPr>
        <w:tc>
          <w:tcPr>
            <w:tcW w:w="3415"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Aktivnosti</w:t>
            </w:r>
          </w:p>
        </w:tc>
        <w:tc>
          <w:tcPr>
            <w:tcW w:w="3960"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Indikator rezultata</w:t>
            </w:r>
          </w:p>
        </w:tc>
        <w:tc>
          <w:tcPr>
            <w:tcW w:w="1980"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Nadležne institucije</w:t>
            </w:r>
          </w:p>
        </w:tc>
        <w:tc>
          <w:tcPr>
            <w:tcW w:w="1170"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Početak</w:t>
            </w:r>
          </w:p>
        </w:tc>
        <w:tc>
          <w:tcPr>
            <w:tcW w:w="1260"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Završetak</w:t>
            </w:r>
          </w:p>
        </w:tc>
        <w:tc>
          <w:tcPr>
            <w:tcW w:w="1170"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 xml:space="preserve">Sredstva </w:t>
            </w:r>
          </w:p>
        </w:tc>
        <w:tc>
          <w:tcPr>
            <w:tcW w:w="1629"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Izvor finansiranja</w:t>
            </w:r>
          </w:p>
        </w:tc>
      </w:tr>
      <w:tr w:rsidR="00042F67" w:rsidRPr="000545E1" w:rsidTr="001D3F7C">
        <w:trPr>
          <w:gridAfter w:val="1"/>
          <w:wAfter w:w="33" w:type="dxa"/>
        </w:trPr>
        <w:tc>
          <w:tcPr>
            <w:tcW w:w="625" w:type="dxa"/>
            <w:shd w:val="clear" w:color="auto" w:fill="auto"/>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2.1.1</w:t>
            </w:r>
          </w:p>
        </w:tc>
        <w:tc>
          <w:tcPr>
            <w:tcW w:w="2790" w:type="dxa"/>
            <w:shd w:val="clear" w:color="auto" w:fill="auto"/>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Definisanje Mape puta za uvođenje sistema upravljanja kvalitetom pruženih usluga</w:t>
            </w:r>
          </w:p>
        </w:tc>
        <w:tc>
          <w:tcPr>
            <w:tcW w:w="3960" w:type="dxa"/>
            <w:gridSpan w:val="2"/>
            <w:shd w:val="clear" w:color="auto" w:fill="auto"/>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Utvrđena Mapa puta na Savjetu za reformu javne uprave</w:t>
            </w:r>
          </w:p>
        </w:tc>
        <w:tc>
          <w:tcPr>
            <w:tcW w:w="1980"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MJUDDIM</w:t>
            </w:r>
          </w:p>
        </w:tc>
        <w:tc>
          <w:tcPr>
            <w:tcW w:w="1170" w:type="dxa"/>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260" w:type="dxa"/>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170"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27.000 €</w:t>
            </w:r>
          </w:p>
        </w:tc>
        <w:tc>
          <w:tcPr>
            <w:tcW w:w="1629"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3" w:type="dxa"/>
        </w:trPr>
        <w:tc>
          <w:tcPr>
            <w:tcW w:w="625" w:type="dxa"/>
            <w:shd w:val="clear" w:color="auto" w:fill="auto"/>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lastRenderedPageBreak/>
              <w:t>2.1.2</w:t>
            </w:r>
          </w:p>
        </w:tc>
        <w:tc>
          <w:tcPr>
            <w:tcW w:w="2790" w:type="dxa"/>
            <w:shd w:val="clear" w:color="auto" w:fill="auto"/>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Izrada metodologije za uvođenje upravljanja kvalitetom u sistem javne uprave</w:t>
            </w:r>
          </w:p>
        </w:tc>
        <w:tc>
          <w:tcPr>
            <w:tcW w:w="3960" w:type="dxa"/>
            <w:gridSpan w:val="2"/>
            <w:shd w:val="clear" w:color="auto" w:fill="auto"/>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Razvijena i promovisana  Metodologija za uvođenje upravljanja kvalitetom u sistem javne uprave</w:t>
            </w:r>
          </w:p>
        </w:tc>
        <w:tc>
          <w:tcPr>
            <w:tcW w:w="1980"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hd w:val="clear" w:color="auto" w:fill="FFFFFF" w:themeFill="background1"/>
              <w:spacing w:before="20" w:after="20"/>
              <w:jc w:val="center"/>
              <w:rPr>
                <w:rFonts w:ascii="Sitka Text" w:hAnsi="Sitka Text" w:cs="Mongolian Baiti"/>
                <w:color w:val="auto"/>
              </w:rPr>
            </w:pPr>
          </w:p>
        </w:tc>
        <w:tc>
          <w:tcPr>
            <w:tcW w:w="1170" w:type="dxa"/>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260" w:type="dxa"/>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II Q 2023</w:t>
            </w:r>
          </w:p>
        </w:tc>
        <w:tc>
          <w:tcPr>
            <w:tcW w:w="1170"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10.000 €</w:t>
            </w:r>
          </w:p>
        </w:tc>
        <w:tc>
          <w:tcPr>
            <w:tcW w:w="1629"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3" w:type="dxa"/>
        </w:trPr>
        <w:tc>
          <w:tcPr>
            <w:tcW w:w="625" w:type="dxa"/>
            <w:shd w:val="clear" w:color="auto" w:fill="auto"/>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2.1.3</w:t>
            </w:r>
          </w:p>
        </w:tc>
        <w:tc>
          <w:tcPr>
            <w:tcW w:w="2790" w:type="dxa"/>
            <w:shd w:val="clear" w:color="auto" w:fill="auto"/>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Podizanje svijesti o sistemu upravljanja kvalitetom i njegovom značaju u javnoj upravi</w:t>
            </w:r>
          </w:p>
        </w:tc>
        <w:tc>
          <w:tcPr>
            <w:tcW w:w="3960" w:type="dxa"/>
            <w:gridSpan w:val="2"/>
            <w:shd w:val="clear" w:color="auto" w:fill="auto"/>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 xml:space="preserve">- Razmijenjena iskustva i najbolje prakse među zaposlenima u javnoj upravi sa ciljem podizanja kvaliteta usluga i zadovoljstva korisnika istim (kroz trening, studijske posjete, okrugle stolove, regionalne inicijative) </w:t>
            </w:r>
          </w:p>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 xml:space="preserve">- Realizovane promotivne aktivnosti na socijalnim mrežama i video-klipovi, predstavljanje dobrih praksi na 2 okrugla stola </w:t>
            </w:r>
          </w:p>
        </w:tc>
        <w:tc>
          <w:tcPr>
            <w:tcW w:w="1980"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Privredna komora</w:t>
            </w:r>
          </w:p>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RESPA</w:t>
            </w:r>
          </w:p>
        </w:tc>
        <w:tc>
          <w:tcPr>
            <w:tcW w:w="1170" w:type="dxa"/>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260" w:type="dxa"/>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IV Q 2024</w:t>
            </w:r>
          </w:p>
        </w:tc>
        <w:tc>
          <w:tcPr>
            <w:tcW w:w="1170"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33.000 €</w:t>
            </w:r>
          </w:p>
        </w:tc>
        <w:tc>
          <w:tcPr>
            <w:tcW w:w="1629"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3" w:type="dxa"/>
        </w:trPr>
        <w:tc>
          <w:tcPr>
            <w:tcW w:w="625" w:type="dxa"/>
            <w:shd w:val="clear" w:color="auto" w:fill="auto"/>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2.1.4</w:t>
            </w:r>
          </w:p>
        </w:tc>
        <w:tc>
          <w:tcPr>
            <w:tcW w:w="2790" w:type="dxa"/>
            <w:shd w:val="clear" w:color="auto" w:fill="auto"/>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Osnovanje Mreže za upravljanje kvalitetom u javnoj upravi</w:t>
            </w:r>
          </w:p>
        </w:tc>
        <w:tc>
          <w:tcPr>
            <w:tcW w:w="3960" w:type="dxa"/>
            <w:gridSpan w:val="2"/>
            <w:shd w:val="clear" w:color="auto" w:fill="auto"/>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 Identifikovane institucije sa najvećom frekvencijom pružanja usluga građanima i privredi u CG</w:t>
            </w:r>
          </w:p>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 xml:space="preserve">- Kontakt osobe identifikovane za osnivanje Mreže za upravljanje kvalitetom u javnoj upravi </w:t>
            </w:r>
          </w:p>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 Odražana najmanje 3 sastanka Mreže</w:t>
            </w:r>
          </w:p>
        </w:tc>
        <w:tc>
          <w:tcPr>
            <w:tcW w:w="1980"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Organi javne uprave</w:t>
            </w:r>
          </w:p>
        </w:tc>
        <w:tc>
          <w:tcPr>
            <w:tcW w:w="1170" w:type="dxa"/>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II Q 2023</w:t>
            </w:r>
          </w:p>
        </w:tc>
        <w:tc>
          <w:tcPr>
            <w:tcW w:w="1260" w:type="dxa"/>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IV Q 2024</w:t>
            </w:r>
          </w:p>
        </w:tc>
        <w:tc>
          <w:tcPr>
            <w:tcW w:w="1170"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11.000 €</w:t>
            </w:r>
          </w:p>
        </w:tc>
        <w:tc>
          <w:tcPr>
            <w:tcW w:w="1629"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3" w:type="dxa"/>
        </w:trPr>
        <w:tc>
          <w:tcPr>
            <w:tcW w:w="625" w:type="dxa"/>
            <w:shd w:val="clear" w:color="auto" w:fill="auto"/>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2.1.5</w:t>
            </w:r>
          </w:p>
        </w:tc>
        <w:tc>
          <w:tcPr>
            <w:tcW w:w="2790" w:type="dxa"/>
            <w:shd w:val="clear" w:color="auto" w:fill="auto"/>
          </w:tcPr>
          <w:p w:rsidR="00042F67" w:rsidRPr="000545E1" w:rsidRDefault="00042F67" w:rsidP="001D3F7C">
            <w:pPr>
              <w:shd w:val="clear" w:color="auto" w:fill="FFFFFF" w:themeFill="background1"/>
              <w:spacing w:before="20" w:after="20"/>
              <w:rPr>
                <w:rFonts w:ascii="Sitka Text" w:hAnsi="Sitka Text" w:cstheme="majorHAnsi"/>
                <w:color w:val="auto"/>
              </w:rPr>
            </w:pPr>
            <w:r w:rsidRPr="000545E1">
              <w:rPr>
                <w:rFonts w:ascii="Sitka Text" w:hAnsi="Sitka Text" w:cstheme="majorHAnsi"/>
                <w:color w:val="auto"/>
              </w:rPr>
              <w:t>Mapiranje procesa rada u cilju optimizacije rada i uvođenja sistema upravljanja kvalitetoma pruženih usluga u pilot insitutcijama</w:t>
            </w:r>
          </w:p>
          <w:p w:rsidR="00042F67" w:rsidRPr="000545E1" w:rsidRDefault="00042F67" w:rsidP="001D3F7C">
            <w:pPr>
              <w:shd w:val="clear" w:color="auto" w:fill="FFFFFF" w:themeFill="background1"/>
              <w:spacing w:before="20" w:after="20"/>
              <w:rPr>
                <w:color w:val="auto"/>
              </w:rPr>
            </w:pPr>
          </w:p>
        </w:tc>
        <w:tc>
          <w:tcPr>
            <w:tcW w:w="3960" w:type="dxa"/>
            <w:gridSpan w:val="2"/>
            <w:shd w:val="clear" w:color="auto" w:fill="auto"/>
          </w:tcPr>
          <w:p w:rsidR="00042F67"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theme="majorHAnsi"/>
                <w:color w:val="auto"/>
              </w:rPr>
              <w:t xml:space="preserve">U najmanje 4 Pilot institucije (MJUDDM, Uprava za sport, Agencija za zaštitu ličnih podataka i slobodan pristup informacijama, Centar za socijalni rad Podgorica, Zavod za zapošljavanje) </w:t>
            </w:r>
            <w:r>
              <w:rPr>
                <w:rFonts w:ascii="Sitka Text" w:hAnsi="Sitka Text" w:cs="Mongolian Baiti"/>
                <w:color w:val="auto"/>
              </w:rPr>
              <w:t>izrađ</w:t>
            </w:r>
            <w:r w:rsidRPr="000545E1">
              <w:rPr>
                <w:rFonts w:ascii="Sitka Text" w:hAnsi="Sitka Text" w:cs="Mongolian Baiti"/>
                <w:color w:val="auto"/>
              </w:rPr>
              <w:t>ena analiza za unapređenje procesa rada i usluga sa konkretnim preporukama za unapređenje unutrašnje organizacije</w:t>
            </w:r>
          </w:p>
          <w:p w:rsidR="00042F67" w:rsidRPr="000545E1" w:rsidRDefault="00042F67" w:rsidP="001D3F7C">
            <w:pPr>
              <w:shd w:val="clear" w:color="auto" w:fill="FFFFFF" w:themeFill="background1"/>
              <w:spacing w:before="20" w:after="20"/>
              <w:rPr>
                <w:rFonts w:ascii="Sitka Text" w:hAnsi="Sitka Text" w:cs="Mongolian Baiti"/>
                <w:color w:val="auto"/>
              </w:rPr>
            </w:pPr>
            <w:r>
              <w:rPr>
                <w:rFonts w:ascii="Sitka Text" w:hAnsi="Sitka Text" w:cs="Mongolian Baiti"/>
                <w:color w:val="auto"/>
              </w:rPr>
              <w:t>- Provedena reorganizacija i optimalni procesi rada u skladu sa Analizom</w:t>
            </w:r>
          </w:p>
        </w:tc>
        <w:tc>
          <w:tcPr>
            <w:tcW w:w="1980"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MJUDDM</w:t>
            </w:r>
            <w:r w:rsidRPr="000545E1">
              <w:rPr>
                <w:rFonts w:ascii="Sitka Text" w:hAnsi="Sitka Text" w:cs="Mongolian Baiti"/>
                <w:color w:val="auto"/>
              </w:rPr>
              <w:br/>
              <w:t>MFSS</w:t>
            </w:r>
          </w:p>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AZLP</w:t>
            </w:r>
          </w:p>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Centar za socijalni rad Podgorica</w:t>
            </w:r>
          </w:p>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Zavod za zapošljavanje</w:t>
            </w:r>
          </w:p>
        </w:tc>
        <w:tc>
          <w:tcPr>
            <w:tcW w:w="1170" w:type="dxa"/>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260" w:type="dxa"/>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II Q 2023</w:t>
            </w:r>
          </w:p>
        </w:tc>
        <w:tc>
          <w:tcPr>
            <w:tcW w:w="1170"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Pr>
                <w:rFonts w:ascii="Sitka Text" w:hAnsi="Sitka Text" w:cs="Mongolian Baiti"/>
                <w:color w:val="auto"/>
              </w:rPr>
              <w:t>2</w:t>
            </w:r>
            <w:r w:rsidRPr="000545E1">
              <w:rPr>
                <w:rFonts w:ascii="Sitka Text" w:hAnsi="Sitka Text" w:cs="Mongolian Baiti"/>
                <w:color w:val="auto"/>
              </w:rPr>
              <w:t>70.000 €</w:t>
            </w:r>
          </w:p>
        </w:tc>
        <w:tc>
          <w:tcPr>
            <w:tcW w:w="1629"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Budžet CG</w:t>
            </w:r>
          </w:p>
          <w:p w:rsidR="00042F67" w:rsidRPr="000545E1" w:rsidRDefault="00042F67" w:rsidP="001D3F7C">
            <w:pPr>
              <w:shd w:val="clear" w:color="auto" w:fill="FFFFFF" w:themeFill="background1"/>
              <w:spacing w:before="20" w:after="20"/>
              <w:jc w:val="center"/>
              <w:rPr>
                <w:rFonts w:ascii="Sitka Text" w:hAnsi="Sitka Text" w:cs="Mongolian Baiti"/>
                <w:color w:val="auto"/>
              </w:rPr>
            </w:pPr>
          </w:p>
        </w:tc>
      </w:tr>
      <w:tr w:rsidR="00042F67" w:rsidRPr="000545E1" w:rsidTr="001D3F7C">
        <w:trPr>
          <w:gridAfter w:val="1"/>
          <w:wAfter w:w="33" w:type="dxa"/>
        </w:trPr>
        <w:tc>
          <w:tcPr>
            <w:tcW w:w="625" w:type="dxa"/>
            <w:shd w:val="clear" w:color="auto" w:fill="auto"/>
          </w:tcPr>
          <w:p w:rsidR="00042F67" w:rsidRPr="000545E1" w:rsidDel="009205E6"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2.1.6</w:t>
            </w:r>
          </w:p>
        </w:tc>
        <w:tc>
          <w:tcPr>
            <w:tcW w:w="2790" w:type="dxa"/>
            <w:shd w:val="clear" w:color="auto" w:fill="auto"/>
          </w:tcPr>
          <w:p w:rsidR="00042F67" w:rsidRPr="000545E1" w:rsidDel="009205E6"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Unapređenje izvještavanja o kvalitetu upravnog rješavanja</w:t>
            </w:r>
          </w:p>
        </w:tc>
        <w:tc>
          <w:tcPr>
            <w:tcW w:w="3960" w:type="dxa"/>
            <w:gridSpan w:val="2"/>
            <w:shd w:val="clear" w:color="auto" w:fill="auto"/>
          </w:tcPr>
          <w:p w:rsidR="00042F67" w:rsidRPr="000545E1" w:rsidDel="009205E6"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 xml:space="preserve">Metodologija unaprijeđena sa meritornim odlučivanjem u II stepenu, razmjena podataka po službenoj </w:t>
            </w:r>
            <w:r w:rsidRPr="000545E1">
              <w:rPr>
                <w:rFonts w:ascii="Sitka Text" w:hAnsi="Sitka Text" w:cs="Mongolian Baiti"/>
                <w:color w:val="auto"/>
              </w:rPr>
              <w:lastRenderedPageBreak/>
              <w:t>dužnosti i ovlašćeno službeno lice, izjašnjavanje stranke o rezultatima postupka i ping pong efekat, ponovno odlučivanje, detaljnu statistiku o odlučivanju Upravnog suda, sa naglaskom na broj i sadržaj konačnih meritornih odluka povodom konkretne upravne stvari, odnosno na broj odluka kojima je upravna stvar vraćena na ponovno odlučivanje</w:t>
            </w:r>
          </w:p>
        </w:tc>
        <w:tc>
          <w:tcPr>
            <w:tcW w:w="1980"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lastRenderedPageBreak/>
              <w:t xml:space="preserve">MJUDDM- Direktorat za efikasnu </w:t>
            </w:r>
            <w:r w:rsidRPr="000545E1">
              <w:rPr>
                <w:rFonts w:ascii="Sitka Text" w:hAnsi="Sitka Text" w:cs="Mongolian Baiti"/>
                <w:color w:val="auto"/>
              </w:rPr>
              <w:lastRenderedPageBreak/>
              <w:t>implementaciju dobre javne uprave</w:t>
            </w:r>
          </w:p>
          <w:p w:rsidR="00042F67" w:rsidRPr="000545E1" w:rsidDel="009205E6"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SIGMA</w:t>
            </w:r>
          </w:p>
        </w:tc>
        <w:tc>
          <w:tcPr>
            <w:tcW w:w="1170" w:type="dxa"/>
            <w:shd w:val="clear" w:color="auto" w:fill="auto"/>
            <w:vAlign w:val="center"/>
          </w:tcPr>
          <w:p w:rsidR="00042F67" w:rsidRPr="000545E1" w:rsidDel="009205E6"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lastRenderedPageBreak/>
              <w:t>III Q 2022</w:t>
            </w:r>
          </w:p>
        </w:tc>
        <w:tc>
          <w:tcPr>
            <w:tcW w:w="1260" w:type="dxa"/>
            <w:shd w:val="clear" w:color="auto" w:fill="auto"/>
            <w:vAlign w:val="center"/>
          </w:tcPr>
          <w:p w:rsidR="00042F67" w:rsidRPr="000545E1" w:rsidDel="009205E6"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170"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6.000 €</w:t>
            </w:r>
          </w:p>
        </w:tc>
        <w:tc>
          <w:tcPr>
            <w:tcW w:w="1629"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Budžet CG</w:t>
            </w:r>
          </w:p>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Donatorska sredstva</w:t>
            </w:r>
          </w:p>
          <w:p w:rsidR="00042F67" w:rsidRPr="000545E1" w:rsidRDefault="00042F67" w:rsidP="001D3F7C">
            <w:pPr>
              <w:shd w:val="clear" w:color="auto" w:fill="FFFFFF" w:themeFill="background1"/>
              <w:spacing w:before="20" w:after="20"/>
              <w:jc w:val="center"/>
              <w:rPr>
                <w:rFonts w:ascii="Sitka Text" w:hAnsi="Sitka Text" w:cs="Mongolian Baiti"/>
                <w:color w:val="auto"/>
              </w:rPr>
            </w:pPr>
          </w:p>
        </w:tc>
      </w:tr>
      <w:tr w:rsidR="00042F67" w:rsidRPr="000545E1" w:rsidTr="001D3F7C">
        <w:trPr>
          <w:gridAfter w:val="1"/>
          <w:wAfter w:w="33" w:type="dxa"/>
        </w:trPr>
        <w:tc>
          <w:tcPr>
            <w:tcW w:w="625" w:type="dxa"/>
            <w:shd w:val="clear" w:color="auto" w:fill="auto"/>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lastRenderedPageBreak/>
              <w:t>2.1.7</w:t>
            </w:r>
          </w:p>
        </w:tc>
        <w:tc>
          <w:tcPr>
            <w:tcW w:w="2790" w:type="dxa"/>
            <w:shd w:val="clear" w:color="auto" w:fill="auto"/>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Uspostavljanje Kataloga svih usluga sa administrativnim procedurama za njihovo ostvarivanje</w:t>
            </w:r>
          </w:p>
        </w:tc>
        <w:tc>
          <w:tcPr>
            <w:tcW w:w="3960" w:type="dxa"/>
            <w:gridSpan w:val="2"/>
            <w:shd w:val="clear" w:color="auto" w:fill="auto"/>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 xml:space="preserve">Razvijen Katalog </w:t>
            </w:r>
            <w:r w:rsidRPr="000545E1">
              <w:rPr>
                <w:rFonts w:ascii="Sitka Text" w:hAnsi="Sitka Text" w:cs="Mongolian Baiti"/>
                <w:i/>
                <w:color w:val="auto"/>
              </w:rPr>
              <w:t>off-line i on-line</w:t>
            </w:r>
            <w:r w:rsidRPr="000545E1">
              <w:rPr>
                <w:rFonts w:ascii="Sitka Text" w:hAnsi="Sitka Text" w:cs="Mongolian Baiti"/>
                <w:color w:val="auto"/>
              </w:rPr>
              <w:t xml:space="preserve"> usluga sa analizom njihovog stanja/kvaliteta sa konceptom </w:t>
            </w:r>
            <w:r w:rsidRPr="000545E1">
              <w:rPr>
                <w:rFonts w:ascii="Sitka Text" w:hAnsi="Sitka Text" w:cs="Mongolian Baiti"/>
                <w:i/>
                <w:color w:val="auto"/>
              </w:rPr>
              <w:t>„human centered design“</w:t>
            </w:r>
          </w:p>
        </w:tc>
        <w:tc>
          <w:tcPr>
            <w:tcW w:w="1980"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Del="00132C8C"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Organi javne uprave SIGMA</w:t>
            </w:r>
          </w:p>
        </w:tc>
        <w:tc>
          <w:tcPr>
            <w:tcW w:w="1170" w:type="dxa"/>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260" w:type="dxa"/>
            <w:shd w:val="clear" w:color="auto" w:fill="auto"/>
            <w:vAlign w:val="center"/>
          </w:tcPr>
          <w:p w:rsidR="00042F67" w:rsidRPr="000545E1" w:rsidDel="00132C8C"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IV Q 2024</w:t>
            </w:r>
          </w:p>
        </w:tc>
        <w:tc>
          <w:tcPr>
            <w:tcW w:w="1170" w:type="dxa"/>
            <w:gridSpan w:val="2"/>
            <w:shd w:val="clear" w:color="auto" w:fill="auto"/>
            <w:vAlign w:val="center"/>
          </w:tcPr>
          <w:p w:rsidR="00042F67" w:rsidRPr="000545E1" w:rsidDel="00132C8C"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172.000 €</w:t>
            </w:r>
          </w:p>
        </w:tc>
        <w:tc>
          <w:tcPr>
            <w:tcW w:w="1629" w:type="dxa"/>
            <w:gridSpan w:val="2"/>
            <w:shd w:val="clear" w:color="auto" w:fill="auto"/>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Budžet CG</w:t>
            </w:r>
          </w:p>
          <w:p w:rsidR="00042F67" w:rsidRPr="000545E1" w:rsidDel="00132C8C"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rPr>
          <w:gridAfter w:val="1"/>
          <w:wAfter w:w="33" w:type="dxa"/>
        </w:trPr>
        <w:tc>
          <w:tcPr>
            <w:tcW w:w="625" w:type="dxa"/>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2.1.8</w:t>
            </w:r>
          </w:p>
        </w:tc>
        <w:tc>
          <w:tcPr>
            <w:tcW w:w="2790" w:type="dxa"/>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Unapređenje kapaciteta MJUDDM u dijelu upravljanja promjenama</w:t>
            </w:r>
          </w:p>
        </w:tc>
        <w:tc>
          <w:tcPr>
            <w:tcW w:w="3960" w:type="dxa"/>
            <w:gridSpan w:val="2"/>
          </w:tcPr>
          <w:p w:rsidR="00042F67" w:rsidRPr="000545E1" w:rsidRDefault="00042F67" w:rsidP="001D3F7C">
            <w:pPr>
              <w:shd w:val="clear" w:color="auto" w:fill="FFFFFF" w:themeFill="background1"/>
              <w:spacing w:before="20" w:after="20"/>
              <w:rPr>
                <w:rFonts w:ascii="Sitka Text" w:hAnsi="Sitka Text" w:cs="Mongolian Baiti"/>
                <w:color w:val="auto"/>
              </w:rPr>
            </w:pPr>
            <w:r w:rsidRPr="000545E1">
              <w:rPr>
                <w:rFonts w:ascii="Sitka Text" w:hAnsi="Sitka Text" w:cs="Mongolian Baiti"/>
                <w:color w:val="auto"/>
              </w:rPr>
              <w:t xml:space="preserve">Namjanje 20 službenika MJUDDM završilo specijalizovane obuke u dijelu upravljanja procesima rada, kvaliteta pruženih usluga i promjena kulture po ugledu na zemljame sa najboljom praksom  </w:t>
            </w:r>
          </w:p>
        </w:tc>
        <w:tc>
          <w:tcPr>
            <w:tcW w:w="1980" w:type="dxa"/>
            <w:gridSpan w:val="2"/>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MJUDDM</w:t>
            </w:r>
          </w:p>
        </w:tc>
        <w:tc>
          <w:tcPr>
            <w:tcW w:w="1170" w:type="dxa"/>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260" w:type="dxa"/>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170" w:type="dxa"/>
            <w:gridSpan w:val="2"/>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16.000 €</w:t>
            </w:r>
          </w:p>
        </w:tc>
        <w:tc>
          <w:tcPr>
            <w:tcW w:w="1629" w:type="dxa"/>
            <w:gridSpan w:val="2"/>
            <w:vAlign w:val="center"/>
          </w:tcPr>
          <w:p w:rsidR="00042F67" w:rsidRPr="000545E1" w:rsidRDefault="00042F67" w:rsidP="001D3F7C">
            <w:pPr>
              <w:shd w:val="clear" w:color="auto" w:fill="FFFFFF" w:themeFill="background1"/>
              <w:spacing w:before="20" w:after="20"/>
              <w:jc w:val="center"/>
              <w:rPr>
                <w:rFonts w:ascii="Sitka Text" w:hAnsi="Sitka Text" w:cs="Mongolian Baiti"/>
                <w:color w:val="auto"/>
              </w:rPr>
            </w:pPr>
            <w:r w:rsidRPr="000545E1">
              <w:rPr>
                <w:rFonts w:ascii="Sitka Text" w:hAnsi="Sitka Text" w:cs="Mongolian Baiti"/>
                <w:color w:val="auto"/>
              </w:rPr>
              <w:t>Budžet CG</w:t>
            </w:r>
          </w:p>
        </w:tc>
      </w:tr>
    </w:tbl>
    <w:p w:rsidR="00042F67" w:rsidRPr="000545E1" w:rsidRDefault="00042F67" w:rsidP="00042F67">
      <w:pPr>
        <w:shd w:val="clear" w:color="auto" w:fill="FFFFFF" w:themeFill="background1"/>
        <w:spacing w:before="20" w:after="20" w:line="240" w:lineRule="auto"/>
        <w:rPr>
          <w:rFonts w:ascii="Sitka Text" w:hAnsi="Sitka Text" w:cs="Mongolian Baiti"/>
          <w:color w:val="auto"/>
          <w:sz w:val="24"/>
          <w:szCs w:val="24"/>
        </w:rPr>
      </w:pPr>
    </w:p>
    <w:p w:rsidR="00042F67" w:rsidRPr="000545E1" w:rsidRDefault="00042F67" w:rsidP="00042F67">
      <w:pPr>
        <w:spacing w:before="20" w:after="20" w:line="240" w:lineRule="auto"/>
        <w:rPr>
          <w:rFonts w:ascii="Sitka Text" w:hAnsi="Sitka Text" w:cs="Mongolian Baiti"/>
          <w:color w:val="auto"/>
          <w:sz w:val="24"/>
          <w:szCs w:val="24"/>
        </w:rPr>
      </w:pPr>
    </w:p>
    <w:tbl>
      <w:tblPr>
        <w:tblStyle w:val="TableGrid"/>
        <w:tblW w:w="14935" w:type="dxa"/>
        <w:tblLayout w:type="fixed"/>
        <w:tblLook w:val="04A0" w:firstRow="1" w:lastRow="0" w:firstColumn="1" w:lastColumn="0" w:noHBand="0" w:noVBand="1"/>
      </w:tblPr>
      <w:tblGrid>
        <w:gridCol w:w="722"/>
        <w:gridCol w:w="2779"/>
        <w:gridCol w:w="4051"/>
        <w:gridCol w:w="1796"/>
        <w:gridCol w:w="171"/>
        <w:gridCol w:w="1366"/>
        <w:gridCol w:w="1260"/>
        <w:gridCol w:w="212"/>
        <w:gridCol w:w="976"/>
        <w:gridCol w:w="1530"/>
        <w:gridCol w:w="72"/>
      </w:tblGrid>
      <w:tr w:rsidR="00042F67" w:rsidRPr="000545E1" w:rsidTr="001D3F7C">
        <w:tc>
          <w:tcPr>
            <w:tcW w:w="3501" w:type="dxa"/>
            <w:gridSpan w:val="2"/>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OPERATIVNI CILJ 2.2</w:t>
            </w:r>
          </w:p>
        </w:tc>
        <w:tc>
          <w:tcPr>
            <w:tcW w:w="11434" w:type="dxa"/>
            <w:gridSpan w:val="9"/>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 xml:space="preserve">Puna interoperabilnost informacionih sistema i povećanje broja elektronskih usluga na visokom nivou sofisticiranosti   </w:t>
            </w:r>
          </w:p>
        </w:tc>
      </w:tr>
      <w:tr w:rsidR="00042F67" w:rsidRPr="000545E1" w:rsidTr="001D3F7C">
        <w:tc>
          <w:tcPr>
            <w:tcW w:w="7552" w:type="dxa"/>
            <w:gridSpan w:val="3"/>
            <w:shd w:val="clear" w:color="auto" w:fill="DAF2F6"/>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Indikator</w:t>
            </w:r>
          </w:p>
        </w:tc>
        <w:tc>
          <w:tcPr>
            <w:tcW w:w="1796" w:type="dxa"/>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Početna vrijednost</w:t>
            </w:r>
          </w:p>
        </w:tc>
        <w:tc>
          <w:tcPr>
            <w:tcW w:w="3009" w:type="dxa"/>
            <w:gridSpan w:val="4"/>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do 2024.</w:t>
            </w:r>
          </w:p>
        </w:tc>
        <w:tc>
          <w:tcPr>
            <w:tcW w:w="2578" w:type="dxa"/>
            <w:gridSpan w:val="3"/>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u 2026.</w:t>
            </w:r>
          </w:p>
        </w:tc>
      </w:tr>
      <w:tr w:rsidR="00042F67" w:rsidRPr="000545E1" w:rsidTr="001D3F7C">
        <w:tc>
          <w:tcPr>
            <w:tcW w:w="7552" w:type="dxa"/>
            <w:gridSpan w:val="3"/>
            <w:tcBorders>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Broj digitalizovanih  usluga na jedinstvenom portalu iz oblasti definisanih shodno EU metodologiji „</w:t>
            </w:r>
            <w:r w:rsidRPr="000545E1">
              <w:rPr>
                <w:rFonts w:ascii="Sitka Text" w:hAnsi="Sitka Text" w:cstheme="majorHAnsi"/>
                <w:i/>
                <w:color w:val="auto"/>
              </w:rPr>
              <w:t>eGoverment benchmark</w:t>
            </w:r>
            <w:r w:rsidRPr="000545E1">
              <w:rPr>
                <w:rFonts w:ascii="Sitka Text" w:hAnsi="Sitka Text" w:cstheme="majorHAnsi"/>
                <w:color w:val="auto"/>
              </w:rPr>
              <w:t>„</w:t>
            </w:r>
            <w:r w:rsidRPr="000545E1">
              <w:rPr>
                <w:rStyle w:val="FootnoteReference"/>
                <w:rFonts w:ascii="Sitka Text" w:hAnsi="Sitka Text" w:cstheme="majorHAnsi"/>
                <w:color w:val="auto"/>
              </w:rPr>
              <w:footnoteReference w:id="152"/>
            </w:r>
          </w:p>
        </w:tc>
        <w:tc>
          <w:tcPr>
            <w:tcW w:w="1796" w:type="dxa"/>
            <w:tcBorders>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0 (2020)</w:t>
            </w:r>
          </w:p>
        </w:tc>
        <w:tc>
          <w:tcPr>
            <w:tcW w:w="3009" w:type="dxa"/>
            <w:gridSpan w:val="4"/>
            <w:tcBorders>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10 digitalizovanih usluga na jedinstvenom portalu</w:t>
            </w:r>
          </w:p>
        </w:tc>
        <w:tc>
          <w:tcPr>
            <w:tcW w:w="2578" w:type="dxa"/>
            <w:gridSpan w:val="3"/>
            <w:tcBorders>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20 digitalizovanih usluga na jedinstvenom portalu</w:t>
            </w:r>
          </w:p>
        </w:tc>
      </w:tr>
      <w:tr w:rsidR="00042F67" w:rsidRPr="000545E1" w:rsidTr="001D3F7C">
        <w:tc>
          <w:tcPr>
            <w:tcW w:w="7552" w:type="dxa"/>
            <w:gridSpan w:val="3"/>
            <w:tcBorders>
              <w:top w:val="single" w:sz="4" w:space="0" w:color="auto"/>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lastRenderedPageBreak/>
              <w:t>% elektronski podnešenih zahtjeva u odnosu na ukupan broj podnešenih zahtjeva od strane korisnika za korišćenje pilot usluge</w:t>
            </w:r>
            <w:r w:rsidRPr="000545E1">
              <w:rPr>
                <w:rStyle w:val="FootnoteReference"/>
                <w:rFonts w:ascii="Sitka Text" w:hAnsi="Sitka Text" w:cstheme="majorHAnsi"/>
                <w:color w:val="auto"/>
              </w:rPr>
              <w:footnoteReference w:id="153"/>
            </w:r>
          </w:p>
        </w:tc>
        <w:tc>
          <w:tcPr>
            <w:tcW w:w="1796" w:type="dxa"/>
            <w:tcBorders>
              <w:top w:val="single" w:sz="4" w:space="0" w:color="auto"/>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0</w:t>
            </w:r>
          </w:p>
        </w:tc>
        <w:tc>
          <w:tcPr>
            <w:tcW w:w="3009" w:type="dxa"/>
            <w:gridSpan w:val="4"/>
            <w:tcBorders>
              <w:top w:val="single" w:sz="4" w:space="0" w:color="auto"/>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15% po pilot usluzi</w:t>
            </w:r>
          </w:p>
        </w:tc>
        <w:tc>
          <w:tcPr>
            <w:tcW w:w="2578" w:type="dxa"/>
            <w:gridSpan w:val="3"/>
            <w:tcBorders>
              <w:top w:val="single" w:sz="4" w:space="0" w:color="auto"/>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45% po pilot usluzi</w:t>
            </w:r>
          </w:p>
        </w:tc>
      </w:tr>
      <w:tr w:rsidR="00042F67" w:rsidRPr="000545E1" w:rsidTr="001D3F7C">
        <w:tc>
          <w:tcPr>
            <w:tcW w:w="7552" w:type="dxa"/>
            <w:gridSpan w:val="3"/>
            <w:tcBorders>
              <w:top w:val="single" w:sz="4" w:space="0" w:color="auto"/>
              <w:bottom w:val="single" w:sz="4" w:space="0" w:color="auto"/>
            </w:tcBorders>
            <w:shd w:val="clear" w:color="auto" w:fill="DAF2F6"/>
          </w:tcPr>
          <w:p w:rsidR="00042F67" w:rsidRPr="000545E1" w:rsidRDefault="00042F67" w:rsidP="001D3F7C">
            <w:pPr>
              <w:spacing w:after="40"/>
              <w:rPr>
                <w:rFonts w:ascii="Sitka Text" w:hAnsi="Sitka Text" w:cstheme="majorHAnsi"/>
                <w:color w:val="auto"/>
                <w:highlight w:val="magenta"/>
              </w:rPr>
            </w:pPr>
            <w:r w:rsidRPr="000545E1">
              <w:rPr>
                <w:rFonts w:ascii="Sitka Text" w:hAnsi="Sitka Text" w:cstheme="majorHAnsi"/>
                <w:color w:val="auto"/>
              </w:rPr>
              <w:t>Broj elektronskih razmjena između registara iz metaregistra</w:t>
            </w:r>
          </w:p>
        </w:tc>
        <w:tc>
          <w:tcPr>
            <w:tcW w:w="1796" w:type="dxa"/>
            <w:tcBorders>
              <w:top w:val="single" w:sz="4" w:space="0" w:color="auto"/>
              <w:bottom w:val="single" w:sz="4" w:space="0" w:color="auto"/>
            </w:tcBorders>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8 (2021)</w:t>
            </w:r>
          </w:p>
        </w:tc>
        <w:tc>
          <w:tcPr>
            <w:tcW w:w="3009" w:type="dxa"/>
            <w:gridSpan w:val="4"/>
            <w:tcBorders>
              <w:top w:val="single" w:sz="4" w:space="0" w:color="auto"/>
              <w:bottom w:val="single" w:sz="4" w:space="0" w:color="auto"/>
            </w:tcBorders>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30</w:t>
            </w:r>
          </w:p>
        </w:tc>
        <w:tc>
          <w:tcPr>
            <w:tcW w:w="2578" w:type="dxa"/>
            <w:gridSpan w:val="3"/>
            <w:tcBorders>
              <w:top w:val="single" w:sz="4" w:space="0" w:color="auto"/>
              <w:bottom w:val="single" w:sz="4" w:space="0" w:color="auto"/>
            </w:tcBorders>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50</w:t>
            </w:r>
          </w:p>
        </w:tc>
      </w:tr>
      <w:tr w:rsidR="00042F67" w:rsidRPr="000545E1" w:rsidTr="001D3F7C">
        <w:tc>
          <w:tcPr>
            <w:tcW w:w="7552" w:type="dxa"/>
            <w:gridSpan w:val="3"/>
            <w:tcBorders>
              <w:top w:val="single" w:sz="4" w:space="0" w:color="auto"/>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olor w:val="auto"/>
              </w:rPr>
              <w:t xml:space="preserve">Broj opština koje razmjenjuju podatke preko JSERP </w:t>
            </w:r>
          </w:p>
        </w:tc>
        <w:tc>
          <w:tcPr>
            <w:tcW w:w="1796" w:type="dxa"/>
            <w:tcBorders>
              <w:top w:val="single" w:sz="4" w:space="0" w:color="auto"/>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olor w:val="auto"/>
              </w:rPr>
              <w:t>1 (2021)</w:t>
            </w:r>
          </w:p>
        </w:tc>
        <w:tc>
          <w:tcPr>
            <w:tcW w:w="3009" w:type="dxa"/>
            <w:gridSpan w:val="4"/>
            <w:tcBorders>
              <w:top w:val="single" w:sz="4" w:space="0" w:color="auto"/>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olor w:val="auto"/>
              </w:rPr>
              <w:t>10</w:t>
            </w:r>
          </w:p>
        </w:tc>
        <w:tc>
          <w:tcPr>
            <w:tcW w:w="2578" w:type="dxa"/>
            <w:gridSpan w:val="3"/>
            <w:tcBorders>
              <w:top w:val="single" w:sz="4" w:space="0" w:color="auto"/>
              <w:bottom w:val="single" w:sz="4" w:space="0" w:color="auto"/>
            </w:tcBorders>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olor w:val="auto"/>
              </w:rPr>
              <w:t>Sve JLS</w:t>
            </w:r>
          </w:p>
        </w:tc>
      </w:tr>
      <w:tr w:rsidR="00042F67" w:rsidRPr="000545E1" w:rsidTr="001D3F7C">
        <w:trPr>
          <w:gridAfter w:val="1"/>
          <w:wAfter w:w="72" w:type="dxa"/>
        </w:trPr>
        <w:tc>
          <w:tcPr>
            <w:tcW w:w="3501"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Aktivnosti</w:t>
            </w:r>
          </w:p>
        </w:tc>
        <w:tc>
          <w:tcPr>
            <w:tcW w:w="4051"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Indikator rezultata</w:t>
            </w:r>
          </w:p>
        </w:tc>
        <w:tc>
          <w:tcPr>
            <w:tcW w:w="1967"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Nadležne institucije</w:t>
            </w:r>
          </w:p>
        </w:tc>
        <w:tc>
          <w:tcPr>
            <w:tcW w:w="1366"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Početak</w:t>
            </w:r>
          </w:p>
        </w:tc>
        <w:tc>
          <w:tcPr>
            <w:tcW w:w="1260"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Završetak</w:t>
            </w:r>
          </w:p>
        </w:tc>
        <w:tc>
          <w:tcPr>
            <w:tcW w:w="1188"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 xml:space="preserve">Sredstva </w:t>
            </w:r>
          </w:p>
        </w:tc>
        <w:tc>
          <w:tcPr>
            <w:tcW w:w="1530"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Izvor finansiranja</w:t>
            </w:r>
          </w:p>
        </w:tc>
      </w:tr>
      <w:tr w:rsidR="00042F67" w:rsidRPr="000545E1" w:rsidTr="001D3F7C">
        <w:trPr>
          <w:gridAfter w:val="1"/>
          <w:wAfter w:w="72" w:type="dxa"/>
        </w:trPr>
        <w:tc>
          <w:tcPr>
            <w:tcW w:w="722"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2.2.1</w:t>
            </w:r>
          </w:p>
        </w:tc>
        <w:tc>
          <w:tcPr>
            <w:tcW w:w="2779"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Unapređenje jedinstvenog e-portala javne uprave</w:t>
            </w:r>
            <w:r w:rsidRPr="000545E1">
              <w:rPr>
                <w:rStyle w:val="FootnoteReference"/>
                <w:rFonts w:ascii="Sitka Text" w:hAnsi="Sitka Text" w:cs="Mongolian Baiti"/>
                <w:color w:val="auto"/>
              </w:rPr>
              <w:footnoteReference w:id="154"/>
            </w:r>
          </w:p>
        </w:tc>
        <w:tc>
          <w:tcPr>
            <w:tcW w:w="4051"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Unaprijeđen portal javne uprave u dijelu integracije dijeljenih sistema za e-plaćanje, e-autentifikaciju i e-identifikaciju korisnika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Unaprijeđen portal e-uprava u dijelu pristupačnosti OSI</w:t>
            </w:r>
          </w:p>
        </w:tc>
        <w:tc>
          <w:tcPr>
            <w:tcW w:w="1967"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tc>
        <w:tc>
          <w:tcPr>
            <w:tcW w:w="1366"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26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2024</w:t>
            </w:r>
          </w:p>
        </w:tc>
        <w:tc>
          <w:tcPr>
            <w:tcW w:w="118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455.000 €</w:t>
            </w:r>
          </w:p>
        </w:tc>
        <w:tc>
          <w:tcPr>
            <w:tcW w:w="153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72" w:type="dxa"/>
        </w:trPr>
        <w:tc>
          <w:tcPr>
            <w:tcW w:w="722"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2.2.2</w:t>
            </w:r>
          </w:p>
        </w:tc>
        <w:tc>
          <w:tcPr>
            <w:tcW w:w="2779"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Razvoj novih e-usluga na jedinstvenom portalu javne uprave u ključnim životnim događajima</w:t>
            </w:r>
          </w:p>
        </w:tc>
        <w:tc>
          <w:tcPr>
            <w:tcW w:w="4051"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- 10 novih e-usluga u skladu sa </w:t>
            </w:r>
            <w:r w:rsidRPr="000545E1">
              <w:rPr>
                <w:rFonts w:ascii="Sitka Text" w:hAnsi="Sitka Text" w:cs="Mongolian Baiti"/>
                <w:i/>
                <w:color w:val="auto"/>
              </w:rPr>
              <w:t>eGovernment Benchmark-a</w:t>
            </w:r>
            <w:r w:rsidRPr="000545E1">
              <w:rPr>
                <w:rFonts w:ascii="Sitka Text" w:hAnsi="Sitka Text" w:cs="Mongolian Baiti"/>
                <w:color w:val="auto"/>
              </w:rPr>
              <w:t xml:space="preserve"> minimum nivoa sofisciranosti 3*/4* razvijeno</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Promotivne aktivnosti – kratki klipovi o načinu korišćenja usluga, video uputstva, informativne kampanje</w:t>
            </w:r>
          </w:p>
        </w:tc>
        <w:tc>
          <w:tcPr>
            <w:tcW w:w="1967"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Organi javne uprave</w:t>
            </w:r>
          </w:p>
        </w:tc>
        <w:tc>
          <w:tcPr>
            <w:tcW w:w="1366"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26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2024</w:t>
            </w:r>
          </w:p>
        </w:tc>
        <w:tc>
          <w:tcPr>
            <w:tcW w:w="118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237.000 €</w:t>
            </w:r>
          </w:p>
        </w:tc>
        <w:tc>
          <w:tcPr>
            <w:tcW w:w="153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72" w:type="dxa"/>
        </w:trPr>
        <w:tc>
          <w:tcPr>
            <w:tcW w:w="722"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Calibri"/>
                <w:color w:val="auto"/>
              </w:rPr>
              <w:t>2.2.3</w:t>
            </w:r>
          </w:p>
        </w:tc>
        <w:tc>
          <w:tcPr>
            <w:tcW w:w="2779"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Calibri"/>
                <w:color w:val="auto"/>
              </w:rPr>
              <w:t>Unapređenje aplikacije e-Zdravlje</w:t>
            </w:r>
          </w:p>
        </w:tc>
        <w:tc>
          <w:tcPr>
            <w:tcW w:w="4051"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Calibri"/>
                <w:color w:val="auto"/>
              </w:rPr>
              <w:t>Aplikacija e-Zdravlje unaprijeđena u cijelu uspostavljana modula e-Doznake</w:t>
            </w:r>
          </w:p>
        </w:tc>
        <w:tc>
          <w:tcPr>
            <w:tcW w:w="1967" w:type="dxa"/>
            <w:gridSpan w:val="2"/>
            <w:shd w:val="clear" w:color="auto" w:fill="auto"/>
            <w:vAlign w:val="center"/>
          </w:tcPr>
          <w:p w:rsidR="00042F67" w:rsidRPr="000545E1" w:rsidRDefault="00042F67" w:rsidP="001D3F7C">
            <w:pPr>
              <w:spacing w:after="40"/>
              <w:jc w:val="center"/>
              <w:rPr>
                <w:rFonts w:ascii="Sitka Text" w:hAnsi="Sitka Text" w:cs="Calibri"/>
                <w:color w:val="auto"/>
              </w:rPr>
            </w:pPr>
            <w:r w:rsidRPr="000545E1">
              <w:rPr>
                <w:rFonts w:ascii="Sitka Text" w:hAnsi="Sitka Text" w:cs="Calibri"/>
                <w:color w:val="auto"/>
              </w:rPr>
              <w:t>MZ</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Calibri"/>
                <w:color w:val="auto"/>
              </w:rPr>
              <w:t>MFSS</w:t>
            </w:r>
          </w:p>
        </w:tc>
        <w:tc>
          <w:tcPr>
            <w:tcW w:w="1366"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Calibri"/>
                <w:color w:val="auto"/>
              </w:rPr>
              <w:t>I Q 2023</w:t>
            </w:r>
          </w:p>
        </w:tc>
        <w:tc>
          <w:tcPr>
            <w:tcW w:w="126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Calibri"/>
                <w:color w:val="auto"/>
              </w:rPr>
              <w:t>III Q 2023</w:t>
            </w:r>
          </w:p>
        </w:tc>
        <w:tc>
          <w:tcPr>
            <w:tcW w:w="118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olor w:val="auto"/>
              </w:rPr>
              <w:t>17.000 €</w:t>
            </w:r>
          </w:p>
        </w:tc>
        <w:tc>
          <w:tcPr>
            <w:tcW w:w="153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Calibri"/>
                <w:color w:val="auto"/>
              </w:rPr>
              <w:t>Budžet CG</w:t>
            </w:r>
          </w:p>
        </w:tc>
      </w:tr>
      <w:tr w:rsidR="00042F67" w:rsidRPr="000545E1" w:rsidTr="001D3F7C">
        <w:trPr>
          <w:gridAfter w:val="1"/>
          <w:wAfter w:w="72" w:type="dxa"/>
        </w:trPr>
        <w:tc>
          <w:tcPr>
            <w:tcW w:w="722"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2.2.4</w:t>
            </w:r>
          </w:p>
        </w:tc>
        <w:tc>
          <w:tcPr>
            <w:tcW w:w="2779"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Uspostavljanje elektronske razmjene podataka između registara</w:t>
            </w:r>
            <w:r w:rsidRPr="000545E1">
              <w:rPr>
                <w:rStyle w:val="FootnoteReference"/>
                <w:rFonts w:ascii="Sitka Text" w:hAnsi="Sitka Text" w:cs="Mongolian Baiti"/>
                <w:color w:val="auto"/>
              </w:rPr>
              <w:footnoteReference w:id="155"/>
            </w:r>
          </w:p>
        </w:tc>
        <w:tc>
          <w:tcPr>
            <w:tcW w:w="4051"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Razvoj novih web-servisa za razmjenu podataka</w:t>
            </w:r>
          </w:p>
        </w:tc>
        <w:tc>
          <w:tcPr>
            <w:tcW w:w="1967"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MUP</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MPLJiMP</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Poreska uprava</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ZOCG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JLS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Katastar</w:t>
            </w:r>
          </w:p>
        </w:tc>
        <w:tc>
          <w:tcPr>
            <w:tcW w:w="1366"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26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18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178.000 €</w:t>
            </w:r>
          </w:p>
        </w:tc>
        <w:tc>
          <w:tcPr>
            <w:tcW w:w="153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72" w:type="dxa"/>
        </w:trPr>
        <w:tc>
          <w:tcPr>
            <w:tcW w:w="722"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lastRenderedPageBreak/>
              <w:t>2.2.5</w:t>
            </w:r>
          </w:p>
        </w:tc>
        <w:tc>
          <w:tcPr>
            <w:tcW w:w="2779"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Uspostavljanje Certifikacionog tijela (CA) za potrebe organa državne uprave i vršenje kvalifikovanih elektronskih usluga povjerena (izrada certifikata za: kvalifikovani elektronski potpis, kvalifikovani elektronski pečat i usluga izrade kvalifikovanog vremenskog pečata)</w:t>
            </w:r>
          </w:p>
        </w:tc>
        <w:tc>
          <w:tcPr>
            <w:tcW w:w="4051"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Uspostavljeno Certifikaciono tijelo sa statusom kvalifikovanog davaoca elektronskih usluga povjerenja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Broj izdatih certifikata za potrebe organa državne uprava, za: kvalifikovani elektronski potpis i kvalifikovani elektronski pečat.</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 Broj organa državne uprave koji koriste uslugu kvalifikovanog vremenskog pečata </w:t>
            </w:r>
          </w:p>
        </w:tc>
        <w:tc>
          <w:tcPr>
            <w:tcW w:w="1967"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tc>
        <w:tc>
          <w:tcPr>
            <w:tcW w:w="1366"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26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18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19.000 €</w:t>
            </w:r>
          </w:p>
        </w:tc>
        <w:tc>
          <w:tcPr>
            <w:tcW w:w="153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72" w:type="dxa"/>
        </w:trPr>
        <w:tc>
          <w:tcPr>
            <w:tcW w:w="722"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2.2.6</w:t>
            </w:r>
          </w:p>
        </w:tc>
        <w:tc>
          <w:tcPr>
            <w:tcW w:w="2779"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Organizovanje obuke za zaposlene u organima javne uprave obaveznici korišćenja JSERP-a po Zakonu o e-Upravi</w:t>
            </w:r>
          </w:p>
        </w:tc>
        <w:tc>
          <w:tcPr>
            <w:tcW w:w="4051"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Minimum 30 službenika javne uprave završilo je obuku za uspostavljanje elektronskih razmjena podataka između registara</w:t>
            </w:r>
          </w:p>
        </w:tc>
        <w:tc>
          <w:tcPr>
            <w:tcW w:w="1967"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Organi javne uprave</w:t>
            </w:r>
          </w:p>
        </w:tc>
        <w:tc>
          <w:tcPr>
            <w:tcW w:w="1366"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26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18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7.000 €</w:t>
            </w:r>
          </w:p>
        </w:tc>
        <w:tc>
          <w:tcPr>
            <w:tcW w:w="153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72" w:type="dxa"/>
        </w:trPr>
        <w:tc>
          <w:tcPr>
            <w:tcW w:w="722"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2.2.7</w:t>
            </w:r>
          </w:p>
        </w:tc>
        <w:tc>
          <w:tcPr>
            <w:tcW w:w="2779"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Povezivanje JLS na JSERP u cilju razmjene podataka</w:t>
            </w:r>
          </w:p>
        </w:tc>
        <w:tc>
          <w:tcPr>
            <w:tcW w:w="4051"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Uspostavljeni tehnički uslovi i sigurnosni standardi za pristup JLS ovom sistemu sa ciljem razmjene podataka</w:t>
            </w:r>
          </w:p>
        </w:tc>
        <w:tc>
          <w:tcPr>
            <w:tcW w:w="1967"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JSL</w:t>
            </w:r>
          </w:p>
          <w:p w:rsidR="00042F67" w:rsidRPr="000545E1" w:rsidRDefault="00042F67" w:rsidP="001D3F7C">
            <w:pPr>
              <w:spacing w:before="20" w:after="20"/>
              <w:jc w:val="center"/>
              <w:rPr>
                <w:rFonts w:ascii="Sitka Text" w:hAnsi="Sitka Text" w:cs="Mongolian Baiti"/>
                <w:color w:val="auto"/>
              </w:rPr>
            </w:pPr>
          </w:p>
        </w:tc>
        <w:tc>
          <w:tcPr>
            <w:tcW w:w="1366"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26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18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170.000 €</w:t>
            </w:r>
          </w:p>
        </w:tc>
        <w:tc>
          <w:tcPr>
            <w:tcW w:w="153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72" w:type="dxa"/>
        </w:trPr>
        <w:tc>
          <w:tcPr>
            <w:tcW w:w="722"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2.2.8</w:t>
            </w:r>
          </w:p>
        </w:tc>
        <w:tc>
          <w:tcPr>
            <w:tcW w:w="2779" w:type="dxa"/>
            <w:tcBorders>
              <w:top w:val="single" w:sz="4" w:space="0" w:color="auto"/>
              <w:left w:val="single" w:sz="4" w:space="0" w:color="auto"/>
              <w:bottom w:val="single" w:sz="4" w:space="0" w:color="auto"/>
              <w:right w:val="single" w:sz="4" w:space="0" w:color="auto"/>
            </w:tcBorders>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Uspostavljanje efikasne revizije informacionih sistema (IS) i elektronskih usluga u organima državne uprave</w:t>
            </w:r>
          </w:p>
        </w:tc>
        <w:tc>
          <w:tcPr>
            <w:tcW w:w="4051" w:type="dxa"/>
            <w:tcBorders>
              <w:top w:val="single" w:sz="4" w:space="0" w:color="auto"/>
              <w:left w:val="single" w:sz="4" w:space="0" w:color="auto"/>
              <w:bottom w:val="single" w:sz="4" w:space="0" w:color="auto"/>
              <w:right w:val="single" w:sz="4" w:space="0" w:color="auto"/>
            </w:tcBorders>
            <w:shd w:val="clear" w:color="auto" w:fill="auto"/>
          </w:tcPr>
          <w:p w:rsidR="00042F67" w:rsidRPr="000545E1" w:rsidRDefault="00042F67" w:rsidP="001D3F7C">
            <w:pPr>
              <w:spacing w:before="20" w:after="20"/>
              <w:rPr>
                <w:rFonts w:ascii="Sitka Text" w:eastAsia="Sitka Text" w:hAnsi="Sitka Text" w:cs="Sitka Text"/>
                <w:color w:val="auto"/>
              </w:rPr>
            </w:pPr>
            <w:r w:rsidRPr="000545E1">
              <w:rPr>
                <w:rFonts w:ascii="Sitka Text" w:eastAsia="Sitka Text" w:hAnsi="Sitka Text" w:cs="Sitka Text"/>
                <w:color w:val="auto"/>
              </w:rPr>
              <w:t>- Izrađene smjernice za reviziju IS i elektronskih usluga u organima državne uprave</w:t>
            </w:r>
          </w:p>
          <w:p w:rsidR="00042F67" w:rsidRPr="000545E1" w:rsidRDefault="00042F67" w:rsidP="001D3F7C">
            <w:pPr>
              <w:spacing w:before="20" w:after="20"/>
              <w:rPr>
                <w:rFonts w:ascii="Sitka Text" w:eastAsia="Sitka Text" w:hAnsi="Sitka Text" w:cs="Sitka Text"/>
                <w:color w:val="auto"/>
              </w:rPr>
            </w:pPr>
            <w:r w:rsidRPr="000545E1">
              <w:rPr>
                <w:rFonts w:ascii="Sitka Text" w:eastAsia="Sitka Text" w:hAnsi="Sitka Text" w:cs="Sitka Text"/>
                <w:color w:val="auto"/>
              </w:rPr>
              <w:t>- Realizovane 2 radionice za zaposlene u IT sektoru sa ciljem edukacije o ključnim standardima u upravljanju IS</w:t>
            </w:r>
          </w:p>
        </w:tc>
        <w:tc>
          <w:tcPr>
            <w:tcW w:w="1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eastAsia="Sitka Text" w:hAnsi="Sitka Text" w:cs="Sitka Text"/>
                <w:color w:val="auto"/>
              </w:rPr>
              <w:t>MFSS</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eastAsia="Sitka Text" w:hAnsi="Sitka Text" w:cs="Sitka Text"/>
                <w:color w:val="auto"/>
              </w:rPr>
              <w:t>III Q 2022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eastAsia="Sitka Text" w:hAnsi="Sitka Text" w:cs="Sitka Text"/>
                <w:color w:val="auto"/>
              </w:rPr>
              <w:t>II Q 2023</w:t>
            </w:r>
          </w:p>
        </w:tc>
        <w:tc>
          <w:tcPr>
            <w:tcW w:w="1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21.000 €</w:t>
            </w:r>
          </w:p>
        </w:tc>
        <w:tc>
          <w:tcPr>
            <w:tcW w:w="153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72" w:type="dxa"/>
        </w:trPr>
        <w:tc>
          <w:tcPr>
            <w:tcW w:w="722" w:type="dxa"/>
            <w:shd w:val="clear" w:color="auto" w:fill="auto"/>
          </w:tcPr>
          <w:p w:rsidR="00042F67" w:rsidRPr="000545E1" w:rsidRDefault="00042F67" w:rsidP="001D3F7C">
            <w:pPr>
              <w:spacing w:before="20" w:after="20"/>
              <w:ind w:right="-16"/>
              <w:rPr>
                <w:rFonts w:ascii="Sitka Text" w:hAnsi="Sitka Text" w:cs="Mongolian Baiti"/>
                <w:color w:val="auto"/>
              </w:rPr>
            </w:pPr>
            <w:r w:rsidRPr="000545E1">
              <w:rPr>
                <w:rFonts w:ascii="Sitka Text" w:hAnsi="Sitka Text" w:cs="Mongolian Baiti"/>
                <w:color w:val="auto"/>
              </w:rPr>
              <w:t>2.2.9</w:t>
            </w:r>
          </w:p>
        </w:tc>
        <w:tc>
          <w:tcPr>
            <w:tcW w:w="2779" w:type="dxa"/>
            <w:tcBorders>
              <w:top w:val="single" w:sz="4" w:space="0" w:color="auto"/>
              <w:left w:val="single" w:sz="4" w:space="0" w:color="auto"/>
              <w:bottom w:val="single" w:sz="4" w:space="0" w:color="auto"/>
              <w:right w:val="single" w:sz="4" w:space="0" w:color="auto"/>
            </w:tcBorders>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Podizanje kvaliteta sistema identifikacije rizika u procesu upravljanja IS i elektronskih usluga</w:t>
            </w:r>
          </w:p>
        </w:tc>
        <w:tc>
          <w:tcPr>
            <w:tcW w:w="4051" w:type="dxa"/>
            <w:tcBorders>
              <w:top w:val="single" w:sz="4" w:space="0" w:color="auto"/>
              <w:left w:val="single" w:sz="4" w:space="0" w:color="auto"/>
              <w:bottom w:val="single" w:sz="4" w:space="0" w:color="auto"/>
              <w:right w:val="single" w:sz="4" w:space="0" w:color="auto"/>
            </w:tcBorders>
            <w:shd w:val="clear" w:color="auto" w:fill="auto"/>
          </w:tcPr>
          <w:p w:rsidR="00042F67" w:rsidRPr="000545E1" w:rsidRDefault="00042F67" w:rsidP="001D3F7C">
            <w:pPr>
              <w:spacing w:before="20" w:after="20"/>
              <w:rPr>
                <w:rFonts w:ascii="Sitka Text" w:eastAsia="Sitka Text" w:hAnsi="Sitka Text" w:cs="Sitka Text"/>
                <w:color w:val="auto"/>
              </w:rPr>
            </w:pPr>
            <w:r w:rsidRPr="000545E1">
              <w:rPr>
                <w:rFonts w:ascii="Sitka Text" w:eastAsia="Sitka Text" w:hAnsi="Sitka Text" w:cs="Sitka Text"/>
                <w:color w:val="auto"/>
              </w:rPr>
              <w:t>- Analiziran okvir za prepoznavanje rizika u procesu upravljanja i upotrebe IS organa državne uprave u cilju kreiranja smjernica za podizanje nivoa kvaliteta IS</w:t>
            </w:r>
          </w:p>
          <w:p w:rsidR="00042F67" w:rsidRPr="000545E1" w:rsidRDefault="00042F67" w:rsidP="001D3F7C">
            <w:pPr>
              <w:spacing w:before="20" w:after="20"/>
              <w:rPr>
                <w:rFonts w:ascii="Sitka Text" w:eastAsia="Sitka Text" w:hAnsi="Sitka Text" w:cs="Sitka Text"/>
                <w:color w:val="auto"/>
              </w:rPr>
            </w:pPr>
            <w:r w:rsidRPr="000545E1">
              <w:rPr>
                <w:rFonts w:ascii="Sitka Text" w:eastAsia="Sitka Text" w:hAnsi="Sitka Text" w:cs="Sitka Text"/>
                <w:color w:val="auto"/>
              </w:rPr>
              <w:t xml:space="preserve">- Realizovane 2 radionica za rukovodioce o ulozi revizije IS u podizanju kvaliteta </w:t>
            </w:r>
            <w:r w:rsidRPr="000545E1">
              <w:rPr>
                <w:rFonts w:ascii="Sitka Text" w:eastAsia="Sitka Text" w:hAnsi="Sitka Text" w:cs="Sitka Text"/>
                <w:color w:val="auto"/>
              </w:rPr>
              <w:lastRenderedPageBreak/>
              <w:t>upravljanja rizicima i kontrolama u oblasti IS i elektronskih usluga</w:t>
            </w:r>
          </w:p>
        </w:tc>
        <w:tc>
          <w:tcPr>
            <w:tcW w:w="19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lastRenderedPageBreak/>
              <w:t>MJUDDM</w:t>
            </w:r>
          </w:p>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MFSS</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II Q 2022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II Q 2023</w:t>
            </w:r>
          </w:p>
        </w:tc>
        <w:tc>
          <w:tcPr>
            <w:tcW w:w="1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30.000 €</w:t>
            </w:r>
          </w:p>
        </w:tc>
        <w:tc>
          <w:tcPr>
            <w:tcW w:w="153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72" w:type="dxa"/>
        </w:trPr>
        <w:tc>
          <w:tcPr>
            <w:tcW w:w="722" w:type="dxa"/>
            <w:shd w:val="clear" w:color="auto" w:fill="FFFFFF" w:themeFill="background1"/>
          </w:tcPr>
          <w:p w:rsidR="00042F67" w:rsidRPr="000545E1" w:rsidRDefault="00042F67" w:rsidP="001D3F7C">
            <w:pPr>
              <w:spacing w:before="20" w:after="20"/>
              <w:ind w:right="-36"/>
              <w:rPr>
                <w:rFonts w:ascii="Sitka Text" w:hAnsi="Sitka Text" w:cs="Mongolian Baiti"/>
                <w:color w:val="auto"/>
              </w:rPr>
            </w:pPr>
            <w:r w:rsidRPr="000545E1">
              <w:rPr>
                <w:rFonts w:ascii="Sitka Text" w:hAnsi="Sitka Text" w:cs="Mongolian Baiti"/>
                <w:color w:val="auto"/>
              </w:rPr>
              <w:t>2.2.10</w:t>
            </w:r>
          </w:p>
        </w:tc>
        <w:tc>
          <w:tcPr>
            <w:tcW w:w="2779" w:type="dxa"/>
            <w:tcBorders>
              <w:top w:val="single" w:sz="4" w:space="0" w:color="auto"/>
              <w:left w:val="single" w:sz="4" w:space="0" w:color="auto"/>
              <w:bottom w:val="single" w:sz="4" w:space="0" w:color="auto"/>
              <w:right w:val="single" w:sz="4" w:space="0" w:color="auto"/>
            </w:tcBorders>
          </w:tcPr>
          <w:p w:rsidR="00042F67" w:rsidRPr="000545E1" w:rsidRDefault="00042F67" w:rsidP="001D3F7C">
            <w:pPr>
              <w:spacing w:before="20" w:after="20"/>
              <w:rPr>
                <w:rFonts w:ascii="Sitka Text" w:hAnsi="Sitka Text" w:cs="Mongolian Baiti"/>
                <w:color w:val="auto"/>
              </w:rPr>
            </w:pPr>
            <w:r w:rsidRPr="000545E1">
              <w:rPr>
                <w:rFonts w:ascii="Sitka Text" w:eastAsia="Sitka Text" w:hAnsi="Sitka Text" w:cs="Sitka Text"/>
                <w:color w:val="auto"/>
              </w:rPr>
              <w:t>Analiza potreba i postojećih alata za podršku rada revizije IS sa osvrtom na korišćenja CAAT softvera</w:t>
            </w:r>
          </w:p>
        </w:tc>
        <w:tc>
          <w:tcPr>
            <w:tcW w:w="4051" w:type="dxa"/>
            <w:tcBorders>
              <w:top w:val="single" w:sz="4" w:space="0" w:color="auto"/>
              <w:left w:val="single" w:sz="4" w:space="0" w:color="auto"/>
              <w:bottom w:val="single" w:sz="4" w:space="0" w:color="auto"/>
              <w:right w:val="single" w:sz="4" w:space="0" w:color="auto"/>
            </w:tcBorders>
          </w:tcPr>
          <w:p w:rsidR="00042F67" w:rsidRPr="000545E1" w:rsidRDefault="00042F67" w:rsidP="001D3F7C">
            <w:pPr>
              <w:spacing w:before="20" w:after="20"/>
              <w:rPr>
                <w:rFonts w:ascii="Sitka Text" w:eastAsia="Sitka Text" w:hAnsi="Sitka Text" w:cs="Sitka Text"/>
                <w:color w:val="auto"/>
              </w:rPr>
            </w:pPr>
            <w:r w:rsidRPr="000545E1">
              <w:rPr>
                <w:rFonts w:ascii="Sitka Text" w:eastAsia="Sitka Text" w:hAnsi="Sitka Text" w:cs="Sitka Text"/>
                <w:color w:val="auto"/>
              </w:rPr>
              <w:t xml:space="preserve">Izrađena analiza o alatima podrške rada revizije IS </w:t>
            </w:r>
          </w:p>
        </w:tc>
        <w:tc>
          <w:tcPr>
            <w:tcW w:w="1967" w:type="dxa"/>
            <w:gridSpan w:val="2"/>
            <w:tcBorders>
              <w:top w:val="single" w:sz="4" w:space="0" w:color="auto"/>
              <w:left w:val="single" w:sz="4" w:space="0" w:color="auto"/>
              <w:bottom w:val="single" w:sz="4" w:space="0" w:color="auto"/>
              <w:right w:val="single" w:sz="4" w:space="0" w:color="auto"/>
            </w:tcBorders>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MJUDDM</w:t>
            </w:r>
          </w:p>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MFSS</w:t>
            </w:r>
          </w:p>
        </w:tc>
        <w:tc>
          <w:tcPr>
            <w:tcW w:w="1366" w:type="dxa"/>
            <w:tcBorders>
              <w:top w:val="single" w:sz="4" w:space="0" w:color="auto"/>
              <w:left w:val="single" w:sz="4" w:space="0" w:color="auto"/>
              <w:bottom w:val="single" w:sz="4" w:space="0" w:color="auto"/>
              <w:right w:val="single" w:sz="4" w:space="0" w:color="auto"/>
            </w:tcBorders>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II Q 2023</w:t>
            </w:r>
          </w:p>
        </w:tc>
        <w:tc>
          <w:tcPr>
            <w:tcW w:w="1260" w:type="dxa"/>
            <w:tcBorders>
              <w:top w:val="single" w:sz="4" w:space="0" w:color="auto"/>
              <w:left w:val="single" w:sz="4" w:space="0" w:color="auto"/>
              <w:bottom w:val="single" w:sz="4" w:space="0" w:color="auto"/>
              <w:right w:val="single" w:sz="4" w:space="0" w:color="auto"/>
            </w:tcBorders>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IV Q 2023</w:t>
            </w:r>
          </w:p>
        </w:tc>
        <w:tc>
          <w:tcPr>
            <w:tcW w:w="1188" w:type="dxa"/>
            <w:gridSpan w:val="2"/>
            <w:tcBorders>
              <w:top w:val="single" w:sz="4" w:space="0" w:color="auto"/>
              <w:left w:val="single" w:sz="4" w:space="0" w:color="auto"/>
              <w:bottom w:val="single" w:sz="4" w:space="0" w:color="auto"/>
              <w:right w:val="single" w:sz="4" w:space="0" w:color="auto"/>
            </w:tcBorders>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5.000 €</w:t>
            </w:r>
          </w:p>
        </w:tc>
        <w:tc>
          <w:tcPr>
            <w:tcW w:w="1530"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bl>
    <w:p w:rsidR="00042F67" w:rsidRPr="000545E1" w:rsidRDefault="00042F67" w:rsidP="00042F67">
      <w:pPr>
        <w:spacing w:before="20" w:after="20" w:line="240" w:lineRule="auto"/>
        <w:rPr>
          <w:rFonts w:ascii="Sitka Text" w:hAnsi="Sitka Text" w:cs="Mongolian Baiti"/>
          <w:color w:val="auto"/>
          <w:sz w:val="24"/>
          <w:szCs w:val="24"/>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r w:rsidRPr="000545E1">
        <w:rPr>
          <w:rFonts w:ascii="Sitka Text" w:hAnsi="Sitka Text" w:cs="Mongolian Baiti"/>
          <w:b/>
          <w:color w:val="auto"/>
          <w:sz w:val="28"/>
          <w:szCs w:val="28"/>
        </w:rPr>
        <w:t>STRATEŠKI CILJ III</w:t>
      </w:r>
    </w:p>
    <w:p w:rsidR="00042F67" w:rsidRPr="000545E1" w:rsidRDefault="00042F67" w:rsidP="00042F67">
      <w:pPr>
        <w:spacing w:before="120" w:after="120" w:line="240" w:lineRule="auto"/>
        <w:jc w:val="center"/>
        <w:rPr>
          <w:rFonts w:ascii="Sitka Text" w:hAnsi="Sitka Text" w:cs="Mongolian Baiti"/>
          <w:b/>
          <w:color w:val="auto"/>
          <w:sz w:val="28"/>
          <w:szCs w:val="28"/>
        </w:rPr>
      </w:pPr>
      <w:r w:rsidRPr="000545E1">
        <w:rPr>
          <w:rFonts w:ascii="Sitka Text" w:hAnsi="Sitka Text" w:cs="Mongolian Baiti"/>
          <w:b/>
          <w:color w:val="auto"/>
          <w:sz w:val="28"/>
          <w:szCs w:val="28"/>
        </w:rPr>
        <w:t>PROFESIONALNA JAVNA ADMINISTRACIJA</w:t>
      </w:r>
    </w:p>
    <w:tbl>
      <w:tblPr>
        <w:tblStyle w:val="TableGrid"/>
        <w:tblW w:w="14963" w:type="dxa"/>
        <w:tblLook w:val="04A0" w:firstRow="1" w:lastRow="0" w:firstColumn="1" w:lastColumn="0" w:noHBand="0" w:noVBand="1"/>
      </w:tblPr>
      <w:tblGrid>
        <w:gridCol w:w="723"/>
        <w:gridCol w:w="2659"/>
        <w:gridCol w:w="301"/>
        <w:gridCol w:w="2454"/>
        <w:gridCol w:w="2002"/>
        <w:gridCol w:w="1473"/>
        <w:gridCol w:w="9"/>
        <w:gridCol w:w="85"/>
        <w:gridCol w:w="1166"/>
        <w:gridCol w:w="9"/>
        <w:gridCol w:w="1346"/>
        <w:gridCol w:w="23"/>
        <w:gridCol w:w="156"/>
        <w:gridCol w:w="1076"/>
        <w:gridCol w:w="19"/>
        <w:gridCol w:w="1425"/>
        <w:gridCol w:w="14"/>
        <w:gridCol w:w="6"/>
        <w:gridCol w:w="17"/>
      </w:tblGrid>
      <w:tr w:rsidR="00042F67" w:rsidRPr="000545E1" w:rsidTr="001D3F7C">
        <w:trPr>
          <w:gridAfter w:val="2"/>
          <w:wAfter w:w="23" w:type="dxa"/>
        </w:trPr>
        <w:tc>
          <w:tcPr>
            <w:tcW w:w="3382" w:type="dxa"/>
            <w:gridSpan w:val="2"/>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OPERATIVNI CILJ 3.1</w:t>
            </w:r>
          </w:p>
        </w:tc>
        <w:tc>
          <w:tcPr>
            <w:tcW w:w="11558" w:type="dxa"/>
            <w:gridSpan w:val="15"/>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Efikasan sistem planiranja na osnovu identifikovanih potreba, unapređenje postupka zapošljavanja ljudskih resursa i dalja digitalizacija u oblasti službeničkog sistema</w:t>
            </w:r>
          </w:p>
        </w:tc>
      </w:tr>
      <w:tr w:rsidR="00042F67" w:rsidRPr="000545E1" w:rsidTr="001D3F7C">
        <w:trPr>
          <w:gridAfter w:val="1"/>
          <w:wAfter w:w="17" w:type="dxa"/>
        </w:trPr>
        <w:tc>
          <w:tcPr>
            <w:tcW w:w="6137" w:type="dxa"/>
            <w:gridSpan w:val="4"/>
            <w:shd w:val="clear" w:color="auto" w:fill="DAF2F6"/>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Indikator</w:t>
            </w:r>
          </w:p>
        </w:tc>
        <w:tc>
          <w:tcPr>
            <w:tcW w:w="3569" w:type="dxa"/>
            <w:gridSpan w:val="4"/>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Početna vrijednost</w:t>
            </w:r>
          </w:p>
        </w:tc>
        <w:tc>
          <w:tcPr>
            <w:tcW w:w="2700" w:type="dxa"/>
            <w:gridSpan w:val="5"/>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do 2024.</w:t>
            </w:r>
          </w:p>
        </w:tc>
        <w:tc>
          <w:tcPr>
            <w:tcW w:w="2540" w:type="dxa"/>
            <w:gridSpan w:val="5"/>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u 2026.</w:t>
            </w:r>
          </w:p>
        </w:tc>
      </w:tr>
      <w:tr w:rsidR="00042F67" w:rsidRPr="000545E1" w:rsidTr="001D3F7C">
        <w:tc>
          <w:tcPr>
            <w:tcW w:w="6137" w:type="dxa"/>
            <w:gridSpan w:val="4"/>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 organa</w:t>
            </w:r>
            <w:r w:rsidRPr="000545E1">
              <w:rPr>
                <w:rStyle w:val="FootnoteReference"/>
                <w:rFonts w:ascii="Sitka Text" w:hAnsi="Sitka Text" w:cstheme="majorHAnsi"/>
                <w:color w:val="auto"/>
              </w:rPr>
              <w:footnoteReference w:id="156"/>
            </w:r>
            <w:r w:rsidRPr="000545E1">
              <w:rPr>
                <w:rFonts w:ascii="Sitka Text" w:hAnsi="Sitka Text" w:cstheme="majorHAnsi"/>
                <w:color w:val="auto"/>
              </w:rPr>
              <w:t xml:space="preserve"> koji su izradili Kadrovski plan unaprijeđenog kvaliteta kroz CKE</w:t>
            </w:r>
          </w:p>
          <w:p w:rsidR="00042F67" w:rsidRPr="000545E1" w:rsidRDefault="00042F67" w:rsidP="001D3F7C">
            <w:pPr>
              <w:spacing w:after="40"/>
              <w:rPr>
                <w:rFonts w:ascii="Sitka Text" w:hAnsi="Sitka Text" w:cs="Mongolian Baiti"/>
                <w:b/>
                <w:color w:val="auto"/>
                <w:highlight w:val="yellow"/>
              </w:rPr>
            </w:pPr>
            <w:r w:rsidRPr="000545E1">
              <w:rPr>
                <w:rFonts w:ascii="Sitka Text" w:hAnsi="Sitka Text" w:cstheme="majorHAnsi"/>
                <w:color w:val="auto"/>
              </w:rPr>
              <w:lastRenderedPageBreak/>
              <w:t>% organa lokalne uprave, posebnih i stručnih službi na lokalnom nivou</w:t>
            </w:r>
            <w:r w:rsidRPr="000545E1">
              <w:rPr>
                <w:rStyle w:val="FootnoteReference"/>
                <w:rFonts w:ascii="Sitka Text" w:hAnsi="Sitka Text" w:cstheme="majorHAnsi"/>
                <w:color w:val="auto"/>
              </w:rPr>
              <w:footnoteReference w:id="157"/>
            </w:r>
            <w:r w:rsidRPr="000545E1">
              <w:rPr>
                <w:rFonts w:ascii="Sitka Text" w:hAnsi="Sitka Text" w:cstheme="majorHAnsi"/>
                <w:color w:val="auto"/>
              </w:rPr>
              <w:t xml:space="preserve"> koji su izradili Kadrovski plan kroz CKE u skladu sa ZDSN i u skladu sa ZLS</w:t>
            </w:r>
          </w:p>
        </w:tc>
        <w:tc>
          <w:tcPr>
            <w:tcW w:w="3569" w:type="dxa"/>
            <w:gridSpan w:val="4"/>
            <w:shd w:val="clear" w:color="auto" w:fill="DAF2F6"/>
            <w:vAlign w:val="center"/>
          </w:tcPr>
          <w:p w:rsidR="00042F67" w:rsidRPr="000545E1" w:rsidRDefault="00042F67" w:rsidP="001D3F7C">
            <w:pPr>
              <w:spacing w:after="40"/>
              <w:jc w:val="both"/>
              <w:rPr>
                <w:rFonts w:ascii="Sitka Text" w:hAnsi="Sitka Text" w:cstheme="majorHAnsi"/>
                <w:color w:val="auto"/>
              </w:rPr>
            </w:pPr>
            <w:r w:rsidRPr="000545E1">
              <w:rPr>
                <w:rFonts w:ascii="Sitka Text" w:hAnsi="Sitka Text" w:cstheme="majorHAnsi"/>
                <w:color w:val="auto"/>
              </w:rPr>
              <w:lastRenderedPageBreak/>
              <w:t>28,5% državnih organa (2021)</w:t>
            </w:r>
          </w:p>
          <w:p w:rsidR="00042F67" w:rsidRPr="000545E1" w:rsidRDefault="00042F67" w:rsidP="001D3F7C">
            <w:pPr>
              <w:spacing w:after="40"/>
              <w:jc w:val="both"/>
              <w:rPr>
                <w:rFonts w:ascii="Sitka Text" w:hAnsi="Sitka Text" w:cstheme="majorHAnsi"/>
                <w:color w:val="auto"/>
              </w:rPr>
            </w:pPr>
          </w:p>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0% organa lokalne uprave, posebnih i stručnih službi (2021)</w:t>
            </w:r>
          </w:p>
        </w:tc>
        <w:tc>
          <w:tcPr>
            <w:tcW w:w="2700" w:type="dxa"/>
            <w:gridSpan w:val="5"/>
            <w:shd w:val="clear" w:color="auto" w:fill="DAF2F6"/>
            <w:vAlign w:val="center"/>
          </w:tcPr>
          <w:p w:rsidR="00042F67" w:rsidRPr="000545E1" w:rsidRDefault="00042F67" w:rsidP="001D3F7C">
            <w:pPr>
              <w:spacing w:after="40"/>
              <w:ind w:right="-21"/>
              <w:rPr>
                <w:rFonts w:ascii="Sitka Text" w:hAnsi="Sitka Text" w:cstheme="majorHAnsi"/>
                <w:color w:val="auto"/>
              </w:rPr>
            </w:pPr>
            <w:r w:rsidRPr="000545E1">
              <w:rPr>
                <w:rFonts w:ascii="Sitka Text" w:hAnsi="Sitka Text" w:cstheme="majorHAnsi"/>
                <w:color w:val="auto"/>
              </w:rPr>
              <w:t>70 % državnih organa organa</w:t>
            </w:r>
          </w:p>
          <w:p w:rsidR="00042F67" w:rsidRPr="000545E1" w:rsidRDefault="00042F67" w:rsidP="001D3F7C">
            <w:pPr>
              <w:pStyle w:val="ListParagraph"/>
              <w:spacing w:after="40"/>
              <w:ind w:left="179" w:right="-21"/>
              <w:rPr>
                <w:rFonts w:ascii="Sitka Text" w:hAnsi="Sitka Text" w:cstheme="majorHAnsi"/>
                <w:color w:val="auto"/>
              </w:rPr>
            </w:pPr>
          </w:p>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lastRenderedPageBreak/>
              <w:t>30% organa lokalne uprave, posebnih i stručnih službi</w:t>
            </w:r>
          </w:p>
        </w:tc>
        <w:tc>
          <w:tcPr>
            <w:tcW w:w="2557" w:type="dxa"/>
            <w:gridSpan w:val="6"/>
            <w:shd w:val="clear" w:color="auto" w:fill="DAF2F6"/>
            <w:vAlign w:val="center"/>
          </w:tcPr>
          <w:p w:rsidR="00042F67" w:rsidRPr="000545E1" w:rsidRDefault="00042F67" w:rsidP="001D3F7C">
            <w:pPr>
              <w:spacing w:after="40"/>
              <w:ind w:right="-19"/>
              <w:jc w:val="both"/>
              <w:rPr>
                <w:rFonts w:ascii="Sitka Text" w:hAnsi="Sitka Text" w:cstheme="majorHAnsi"/>
                <w:color w:val="auto"/>
              </w:rPr>
            </w:pPr>
            <w:r w:rsidRPr="000545E1">
              <w:rPr>
                <w:rFonts w:ascii="Sitka Text" w:hAnsi="Sitka Text" w:cstheme="majorHAnsi"/>
                <w:color w:val="auto"/>
              </w:rPr>
              <w:lastRenderedPageBreak/>
              <w:t xml:space="preserve">100% državnih organa </w:t>
            </w:r>
          </w:p>
          <w:p w:rsidR="00042F67" w:rsidRPr="000545E1" w:rsidRDefault="00042F67" w:rsidP="001D3F7C">
            <w:pPr>
              <w:spacing w:after="40"/>
              <w:ind w:right="-19"/>
              <w:jc w:val="both"/>
              <w:rPr>
                <w:rFonts w:ascii="Sitka Text" w:hAnsi="Sitka Text" w:cstheme="majorHAnsi"/>
                <w:color w:val="auto"/>
              </w:rPr>
            </w:pPr>
          </w:p>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100 % organa lokalne uprave, posebnih i stručnih službi</w:t>
            </w:r>
          </w:p>
        </w:tc>
      </w:tr>
      <w:tr w:rsidR="00042F67" w:rsidRPr="000545E1" w:rsidTr="001D3F7C">
        <w:tc>
          <w:tcPr>
            <w:tcW w:w="6137" w:type="dxa"/>
            <w:gridSpan w:val="4"/>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olor w:val="auto"/>
              </w:rPr>
              <w:t>% realizacije Kadrovskog plana državnih organa i organa lokalne uprave</w:t>
            </w:r>
          </w:p>
        </w:tc>
        <w:tc>
          <w:tcPr>
            <w:tcW w:w="3569" w:type="dxa"/>
            <w:gridSpan w:val="4"/>
            <w:shd w:val="clear" w:color="auto" w:fill="DAF2F6"/>
          </w:tcPr>
          <w:p w:rsidR="00042F67" w:rsidRPr="000545E1" w:rsidRDefault="00042F67" w:rsidP="001D3F7C">
            <w:pPr>
              <w:spacing w:after="40"/>
              <w:ind w:right="144"/>
              <w:jc w:val="both"/>
              <w:rPr>
                <w:rFonts w:ascii="Sitka Text" w:hAnsi="Sitka Text"/>
                <w:color w:val="auto"/>
              </w:rPr>
            </w:pPr>
            <w:r w:rsidRPr="000545E1">
              <w:rPr>
                <w:rFonts w:ascii="Sitka Text" w:hAnsi="Sitka Text"/>
                <w:color w:val="auto"/>
              </w:rPr>
              <w:t>63% KP državnih organa</w:t>
            </w:r>
          </w:p>
          <w:p w:rsidR="00042F67" w:rsidRPr="000545E1" w:rsidRDefault="00042F67" w:rsidP="001D3F7C">
            <w:pPr>
              <w:spacing w:after="40"/>
              <w:ind w:right="144"/>
              <w:jc w:val="both"/>
              <w:rPr>
                <w:rFonts w:ascii="Sitka Text" w:hAnsi="Sitka Text" w:cstheme="majorHAnsi"/>
                <w:color w:val="auto"/>
              </w:rPr>
            </w:pPr>
            <w:r w:rsidRPr="000545E1">
              <w:rPr>
                <w:rFonts w:ascii="Sitka Text" w:hAnsi="Sitka Text" w:cstheme="majorHAnsi"/>
                <w:color w:val="auto"/>
              </w:rPr>
              <w:t>37 % KP organa lokalne uprave</w:t>
            </w:r>
            <w:r w:rsidRPr="000545E1">
              <w:rPr>
                <w:rFonts w:ascii="Sitka Text" w:hAnsi="Sitka Text"/>
                <w:color w:val="auto"/>
              </w:rPr>
              <w:t>(2020)</w:t>
            </w:r>
          </w:p>
        </w:tc>
        <w:tc>
          <w:tcPr>
            <w:tcW w:w="2700" w:type="dxa"/>
            <w:gridSpan w:val="5"/>
            <w:shd w:val="clear" w:color="auto" w:fill="DAF2F6"/>
          </w:tcPr>
          <w:p w:rsidR="00042F67" w:rsidRPr="000545E1" w:rsidRDefault="00042F67" w:rsidP="001D3F7C">
            <w:pPr>
              <w:spacing w:after="40"/>
              <w:ind w:right="144"/>
              <w:rPr>
                <w:rFonts w:ascii="Sitka Text" w:hAnsi="Sitka Text" w:cstheme="majorHAnsi"/>
                <w:color w:val="auto"/>
              </w:rPr>
            </w:pPr>
            <w:r w:rsidRPr="000545E1">
              <w:rPr>
                <w:rFonts w:ascii="Sitka Text" w:hAnsi="Sitka Text" w:cstheme="majorHAnsi"/>
                <w:color w:val="auto"/>
              </w:rPr>
              <w:t>70% KP državnih organa</w:t>
            </w:r>
          </w:p>
          <w:p w:rsidR="00042F67" w:rsidRPr="000545E1" w:rsidRDefault="00042F67" w:rsidP="001D3F7C">
            <w:pPr>
              <w:spacing w:after="40"/>
              <w:ind w:right="144"/>
              <w:rPr>
                <w:rFonts w:ascii="Sitka Text" w:hAnsi="Sitka Text" w:cstheme="majorHAnsi"/>
                <w:color w:val="auto"/>
              </w:rPr>
            </w:pPr>
            <w:r w:rsidRPr="000545E1">
              <w:rPr>
                <w:rFonts w:ascii="Sitka Text" w:hAnsi="Sitka Text" w:cstheme="majorHAnsi"/>
                <w:color w:val="auto"/>
              </w:rPr>
              <w:t>50% KP organa lokalne uprave</w:t>
            </w:r>
          </w:p>
        </w:tc>
        <w:tc>
          <w:tcPr>
            <w:tcW w:w="2557" w:type="dxa"/>
            <w:gridSpan w:val="6"/>
            <w:shd w:val="clear" w:color="auto" w:fill="DAF2F6"/>
          </w:tcPr>
          <w:p w:rsidR="00042F67" w:rsidRPr="000545E1" w:rsidRDefault="00042F67" w:rsidP="001D3F7C">
            <w:pPr>
              <w:spacing w:after="40"/>
              <w:ind w:right="144"/>
              <w:jc w:val="both"/>
              <w:rPr>
                <w:rFonts w:ascii="Sitka Text" w:hAnsi="Sitka Text" w:cstheme="majorHAnsi"/>
                <w:color w:val="auto"/>
              </w:rPr>
            </w:pPr>
            <w:r w:rsidRPr="000545E1">
              <w:rPr>
                <w:rFonts w:ascii="Sitka Text" w:hAnsi="Sitka Text" w:cstheme="majorHAnsi"/>
                <w:color w:val="auto"/>
              </w:rPr>
              <w:t>90% KP državnih organa</w:t>
            </w:r>
          </w:p>
          <w:p w:rsidR="00042F67" w:rsidRPr="000545E1" w:rsidRDefault="00042F67" w:rsidP="001D3F7C">
            <w:pPr>
              <w:spacing w:after="40"/>
              <w:ind w:right="144"/>
              <w:jc w:val="both"/>
              <w:rPr>
                <w:rFonts w:ascii="Sitka Text" w:hAnsi="Sitka Text" w:cstheme="majorHAnsi"/>
                <w:color w:val="auto"/>
              </w:rPr>
            </w:pPr>
            <w:r w:rsidRPr="000545E1">
              <w:rPr>
                <w:rFonts w:ascii="Sitka Text" w:hAnsi="Sitka Text" w:cstheme="majorHAnsi"/>
                <w:color w:val="auto"/>
              </w:rPr>
              <w:t>70 % KP organa lokalne uprave</w:t>
            </w:r>
          </w:p>
        </w:tc>
      </w:tr>
      <w:tr w:rsidR="00042F67" w:rsidRPr="000545E1" w:rsidTr="001D3F7C">
        <w:tc>
          <w:tcPr>
            <w:tcW w:w="6137" w:type="dxa"/>
            <w:gridSpan w:val="4"/>
            <w:shd w:val="clear" w:color="auto" w:fill="DAF2F6"/>
          </w:tcPr>
          <w:p w:rsidR="00042F67" w:rsidRPr="000545E1" w:rsidRDefault="00042F67" w:rsidP="001D3F7C">
            <w:pPr>
              <w:spacing w:after="40"/>
              <w:rPr>
                <w:rFonts w:ascii="Sitka Text" w:hAnsi="Sitka Text"/>
                <w:color w:val="auto"/>
              </w:rPr>
            </w:pPr>
            <w:r w:rsidRPr="000545E1">
              <w:rPr>
                <w:rFonts w:ascii="Sitka Text" w:hAnsi="Sitka Text" w:cstheme="majorHAnsi"/>
                <w:color w:val="auto"/>
              </w:rPr>
              <w:t>Prosječan broj kandidata na oglas</w:t>
            </w:r>
          </w:p>
        </w:tc>
        <w:tc>
          <w:tcPr>
            <w:tcW w:w="3569" w:type="dxa"/>
            <w:gridSpan w:val="4"/>
            <w:shd w:val="clear" w:color="auto" w:fill="DAF2F6"/>
          </w:tcPr>
          <w:p w:rsidR="00042F67" w:rsidRPr="000545E1" w:rsidRDefault="00042F67" w:rsidP="001D3F7C">
            <w:pPr>
              <w:ind w:right="144"/>
              <w:rPr>
                <w:rFonts w:ascii="Sitka Text" w:hAnsi="Sitka Text" w:cstheme="majorHAnsi"/>
                <w:color w:val="auto"/>
              </w:rPr>
            </w:pPr>
            <w:r w:rsidRPr="000545E1">
              <w:rPr>
                <w:rFonts w:ascii="Sitka Text" w:hAnsi="Sitka Text" w:cstheme="majorHAnsi"/>
                <w:color w:val="auto"/>
              </w:rPr>
              <w:t>Interni oglas 1.1 (2020)</w:t>
            </w:r>
          </w:p>
          <w:p w:rsidR="00042F67" w:rsidRPr="000545E1" w:rsidRDefault="00042F67" w:rsidP="001D3F7C">
            <w:pPr>
              <w:spacing w:after="40"/>
              <w:ind w:right="144"/>
              <w:jc w:val="both"/>
              <w:rPr>
                <w:rFonts w:ascii="Sitka Text" w:hAnsi="Sitka Text"/>
                <w:color w:val="auto"/>
              </w:rPr>
            </w:pPr>
            <w:r w:rsidRPr="000545E1">
              <w:rPr>
                <w:rFonts w:ascii="Sitka Text" w:hAnsi="Sitka Text" w:cstheme="majorHAnsi"/>
                <w:color w:val="auto"/>
              </w:rPr>
              <w:t>Javni oglas 4.8 (2020)</w:t>
            </w:r>
          </w:p>
        </w:tc>
        <w:tc>
          <w:tcPr>
            <w:tcW w:w="2700" w:type="dxa"/>
            <w:gridSpan w:val="5"/>
            <w:shd w:val="clear" w:color="auto" w:fill="DAF2F6"/>
          </w:tcPr>
          <w:p w:rsidR="00042F67" w:rsidRPr="000545E1" w:rsidRDefault="00042F67" w:rsidP="001D3F7C">
            <w:pPr>
              <w:ind w:right="920"/>
              <w:rPr>
                <w:rFonts w:ascii="Sitka Text" w:hAnsi="Sitka Text" w:cstheme="majorHAnsi"/>
                <w:color w:val="auto"/>
              </w:rPr>
            </w:pPr>
            <w:r w:rsidRPr="000545E1">
              <w:rPr>
                <w:rFonts w:ascii="Sitka Text" w:hAnsi="Sitka Text" w:cstheme="majorHAnsi"/>
                <w:color w:val="auto"/>
              </w:rPr>
              <w:t>1.6</w:t>
            </w:r>
          </w:p>
          <w:p w:rsidR="00042F67" w:rsidRPr="000545E1" w:rsidRDefault="00042F67" w:rsidP="001D3F7C">
            <w:pPr>
              <w:spacing w:after="40"/>
              <w:ind w:right="144"/>
              <w:rPr>
                <w:rFonts w:ascii="Sitka Text" w:hAnsi="Sitka Text" w:cstheme="majorHAnsi"/>
                <w:color w:val="auto"/>
              </w:rPr>
            </w:pPr>
            <w:r w:rsidRPr="000545E1">
              <w:rPr>
                <w:rFonts w:ascii="Sitka Text" w:hAnsi="Sitka Text" w:cstheme="majorHAnsi"/>
                <w:color w:val="auto"/>
              </w:rPr>
              <w:t>5</w:t>
            </w:r>
          </w:p>
        </w:tc>
        <w:tc>
          <w:tcPr>
            <w:tcW w:w="2557" w:type="dxa"/>
            <w:gridSpan w:val="6"/>
            <w:shd w:val="clear" w:color="auto" w:fill="DAF2F6"/>
          </w:tcPr>
          <w:p w:rsidR="00042F67" w:rsidRPr="000545E1" w:rsidRDefault="00042F67" w:rsidP="001D3F7C">
            <w:pPr>
              <w:ind w:right="252"/>
              <w:rPr>
                <w:rFonts w:ascii="Sitka Text" w:hAnsi="Sitka Text" w:cstheme="majorHAnsi"/>
                <w:color w:val="auto"/>
              </w:rPr>
            </w:pPr>
            <w:r w:rsidRPr="000545E1">
              <w:rPr>
                <w:rFonts w:ascii="Sitka Text" w:hAnsi="Sitka Text" w:cstheme="majorHAnsi"/>
                <w:color w:val="auto"/>
              </w:rPr>
              <w:t>1.8</w:t>
            </w:r>
          </w:p>
          <w:p w:rsidR="00042F67" w:rsidRPr="000545E1" w:rsidRDefault="00042F67" w:rsidP="001D3F7C">
            <w:pPr>
              <w:spacing w:after="40"/>
              <w:ind w:right="144"/>
              <w:jc w:val="both"/>
              <w:rPr>
                <w:rFonts w:ascii="Sitka Text" w:hAnsi="Sitka Text" w:cstheme="majorHAnsi"/>
                <w:color w:val="auto"/>
              </w:rPr>
            </w:pPr>
            <w:r w:rsidRPr="000545E1">
              <w:rPr>
                <w:rFonts w:ascii="Sitka Text" w:hAnsi="Sitka Text" w:cstheme="majorHAnsi"/>
                <w:color w:val="auto"/>
              </w:rPr>
              <w:t>5.5</w:t>
            </w:r>
          </w:p>
        </w:tc>
      </w:tr>
      <w:tr w:rsidR="00042F67" w:rsidRPr="000545E1" w:rsidTr="001D3F7C">
        <w:tc>
          <w:tcPr>
            <w:tcW w:w="6137" w:type="dxa"/>
            <w:gridSpan w:val="4"/>
            <w:shd w:val="clear" w:color="auto" w:fill="DAF2F6"/>
          </w:tcPr>
          <w:p w:rsidR="00042F67" w:rsidRPr="000545E1" w:rsidRDefault="00042F67" w:rsidP="001D3F7C">
            <w:pPr>
              <w:spacing w:after="40"/>
              <w:rPr>
                <w:rFonts w:ascii="Sitka Text" w:hAnsi="Sitka Text"/>
                <w:color w:val="auto"/>
              </w:rPr>
            </w:pPr>
            <w:r w:rsidRPr="000545E1">
              <w:rPr>
                <w:rFonts w:ascii="Sitka Text" w:hAnsi="Sitka Text" w:cstheme="majorHAnsi"/>
                <w:color w:val="auto"/>
              </w:rPr>
              <w:t>Prosječan broj kandidata na konkursu</w:t>
            </w:r>
          </w:p>
        </w:tc>
        <w:tc>
          <w:tcPr>
            <w:tcW w:w="3569" w:type="dxa"/>
            <w:gridSpan w:val="4"/>
            <w:shd w:val="clear" w:color="auto" w:fill="DAF2F6"/>
          </w:tcPr>
          <w:p w:rsidR="00042F67" w:rsidRPr="000545E1" w:rsidRDefault="00042F67" w:rsidP="001D3F7C">
            <w:pPr>
              <w:spacing w:after="40"/>
              <w:ind w:right="144"/>
              <w:jc w:val="both"/>
              <w:rPr>
                <w:rFonts w:ascii="Sitka Text" w:hAnsi="Sitka Text"/>
                <w:color w:val="auto"/>
              </w:rPr>
            </w:pPr>
            <w:r w:rsidRPr="000545E1">
              <w:rPr>
                <w:rFonts w:ascii="Sitka Text" w:hAnsi="Sitka Text" w:cstheme="majorHAnsi"/>
                <w:color w:val="auto"/>
              </w:rPr>
              <w:t>2.14 (2020)</w:t>
            </w:r>
          </w:p>
        </w:tc>
        <w:tc>
          <w:tcPr>
            <w:tcW w:w="2700" w:type="dxa"/>
            <w:gridSpan w:val="5"/>
            <w:shd w:val="clear" w:color="auto" w:fill="DAF2F6"/>
            <w:vAlign w:val="center"/>
          </w:tcPr>
          <w:p w:rsidR="00042F67" w:rsidRPr="000545E1" w:rsidRDefault="00042F67" w:rsidP="001D3F7C">
            <w:pPr>
              <w:spacing w:after="40"/>
              <w:ind w:right="144"/>
              <w:rPr>
                <w:rFonts w:ascii="Sitka Text" w:hAnsi="Sitka Text" w:cstheme="majorHAnsi"/>
                <w:color w:val="auto"/>
              </w:rPr>
            </w:pPr>
            <w:r w:rsidRPr="000545E1">
              <w:rPr>
                <w:rFonts w:ascii="Sitka Text" w:hAnsi="Sitka Text" w:cstheme="majorHAnsi"/>
                <w:color w:val="auto"/>
              </w:rPr>
              <w:t>4</w:t>
            </w:r>
          </w:p>
        </w:tc>
        <w:tc>
          <w:tcPr>
            <w:tcW w:w="2557" w:type="dxa"/>
            <w:gridSpan w:val="6"/>
            <w:shd w:val="clear" w:color="auto" w:fill="DAF2F6"/>
          </w:tcPr>
          <w:p w:rsidR="00042F67" w:rsidRPr="000545E1" w:rsidRDefault="00042F67" w:rsidP="001D3F7C">
            <w:pPr>
              <w:spacing w:after="40"/>
              <w:ind w:right="144"/>
              <w:jc w:val="both"/>
              <w:rPr>
                <w:rFonts w:ascii="Sitka Text" w:hAnsi="Sitka Text" w:cstheme="majorHAnsi"/>
                <w:color w:val="auto"/>
              </w:rPr>
            </w:pPr>
            <w:r w:rsidRPr="000545E1">
              <w:rPr>
                <w:rFonts w:ascii="Sitka Text" w:hAnsi="Sitka Text" w:cstheme="majorHAnsi"/>
                <w:color w:val="auto"/>
              </w:rPr>
              <w:t>6</w:t>
            </w:r>
          </w:p>
        </w:tc>
      </w:tr>
      <w:tr w:rsidR="00042F67" w:rsidRPr="000545E1" w:rsidTr="001D3F7C">
        <w:tc>
          <w:tcPr>
            <w:tcW w:w="6137" w:type="dxa"/>
            <w:gridSpan w:val="4"/>
            <w:shd w:val="clear" w:color="auto" w:fill="DAF2F6"/>
          </w:tcPr>
          <w:p w:rsidR="00042F67" w:rsidRPr="000545E1" w:rsidRDefault="00042F67" w:rsidP="001D3F7C">
            <w:pPr>
              <w:spacing w:after="40"/>
              <w:rPr>
                <w:rFonts w:ascii="Sitka Text" w:hAnsi="Sitka Text" w:cstheme="majorHAnsi"/>
                <w:color w:val="auto"/>
                <w:highlight w:val="yellow"/>
              </w:rPr>
            </w:pPr>
            <w:r w:rsidRPr="000545E1">
              <w:rPr>
                <w:rFonts w:ascii="Sitka Text" w:hAnsi="Sitka Text" w:cstheme="majorHAnsi"/>
                <w:color w:val="auto"/>
              </w:rPr>
              <w:t>Broj HR funkcija gdje se evidencija vodi samo kroz KIS</w:t>
            </w:r>
          </w:p>
        </w:tc>
        <w:tc>
          <w:tcPr>
            <w:tcW w:w="3569" w:type="dxa"/>
            <w:gridSpan w:val="4"/>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0 (2020)</w:t>
            </w:r>
          </w:p>
        </w:tc>
        <w:tc>
          <w:tcPr>
            <w:tcW w:w="2700" w:type="dxa"/>
            <w:gridSpan w:val="5"/>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 xml:space="preserve">3 </w:t>
            </w:r>
            <w:r w:rsidRPr="000545E1">
              <w:rPr>
                <w:rStyle w:val="FootnoteReference"/>
                <w:rFonts w:ascii="Sitka Text" w:hAnsi="Sitka Text" w:cstheme="majorHAnsi"/>
                <w:color w:val="auto"/>
              </w:rPr>
              <w:footnoteReference w:id="158"/>
            </w:r>
          </w:p>
        </w:tc>
        <w:tc>
          <w:tcPr>
            <w:tcW w:w="2557" w:type="dxa"/>
            <w:gridSpan w:val="6"/>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 xml:space="preserve">5 </w:t>
            </w:r>
            <w:r w:rsidRPr="000545E1">
              <w:rPr>
                <w:rStyle w:val="FootnoteReference"/>
                <w:rFonts w:ascii="Sitka Text" w:hAnsi="Sitka Text" w:cstheme="majorHAnsi"/>
                <w:color w:val="auto"/>
              </w:rPr>
              <w:footnoteReference w:id="159"/>
            </w:r>
          </w:p>
        </w:tc>
      </w:tr>
      <w:tr w:rsidR="00042F67" w:rsidRPr="000545E1" w:rsidTr="001D3F7C">
        <w:tc>
          <w:tcPr>
            <w:tcW w:w="6137" w:type="dxa"/>
            <w:gridSpan w:val="4"/>
            <w:shd w:val="clear" w:color="auto" w:fill="DAF2F6"/>
          </w:tcPr>
          <w:p w:rsidR="00042F67" w:rsidRPr="000545E1" w:rsidRDefault="00042F67" w:rsidP="001D3F7C">
            <w:pPr>
              <w:spacing w:after="40"/>
              <w:rPr>
                <w:rFonts w:ascii="Sitka Text" w:hAnsi="Sitka Text" w:cstheme="majorHAnsi"/>
                <w:color w:val="auto"/>
                <w:highlight w:val="yellow"/>
              </w:rPr>
            </w:pPr>
            <w:r w:rsidRPr="000545E1">
              <w:rPr>
                <w:rFonts w:ascii="Sitka Text" w:hAnsi="Sitka Text" w:cstheme="majorHAnsi"/>
                <w:color w:val="auto"/>
              </w:rPr>
              <w:t>% lokalnih samouprava sa razvijenim KIS-om</w:t>
            </w:r>
          </w:p>
        </w:tc>
        <w:tc>
          <w:tcPr>
            <w:tcW w:w="3569" w:type="dxa"/>
            <w:gridSpan w:val="4"/>
            <w:shd w:val="clear" w:color="auto" w:fill="DAF2F6"/>
            <w:vAlign w:val="center"/>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0</w:t>
            </w:r>
          </w:p>
        </w:tc>
        <w:tc>
          <w:tcPr>
            <w:tcW w:w="2700" w:type="dxa"/>
            <w:gridSpan w:val="5"/>
            <w:shd w:val="clear" w:color="auto" w:fill="DAF2F6"/>
            <w:vAlign w:val="center"/>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10% LS</w:t>
            </w:r>
          </w:p>
        </w:tc>
        <w:tc>
          <w:tcPr>
            <w:tcW w:w="2557" w:type="dxa"/>
            <w:gridSpan w:val="6"/>
            <w:shd w:val="clear" w:color="auto" w:fill="DAF2F6"/>
            <w:vAlign w:val="center"/>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100% LS</w:t>
            </w:r>
          </w:p>
        </w:tc>
      </w:tr>
      <w:tr w:rsidR="00042F67" w:rsidRPr="000545E1" w:rsidTr="001D3F7C">
        <w:trPr>
          <w:gridAfter w:val="3"/>
          <w:wAfter w:w="37" w:type="dxa"/>
        </w:trPr>
        <w:tc>
          <w:tcPr>
            <w:tcW w:w="3683" w:type="dxa"/>
            <w:gridSpan w:val="3"/>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Aktivnosti</w:t>
            </w:r>
          </w:p>
        </w:tc>
        <w:tc>
          <w:tcPr>
            <w:tcW w:w="4456"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Indikator rezultata</w:t>
            </w:r>
          </w:p>
        </w:tc>
        <w:tc>
          <w:tcPr>
            <w:tcW w:w="1473"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Nadležne institucije</w:t>
            </w:r>
          </w:p>
        </w:tc>
        <w:tc>
          <w:tcPr>
            <w:tcW w:w="1260" w:type="dxa"/>
            <w:gridSpan w:val="3"/>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Početak</w:t>
            </w:r>
          </w:p>
        </w:tc>
        <w:tc>
          <w:tcPr>
            <w:tcW w:w="1355"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Završetak</w:t>
            </w:r>
          </w:p>
        </w:tc>
        <w:tc>
          <w:tcPr>
            <w:tcW w:w="1255" w:type="dxa"/>
            <w:gridSpan w:val="3"/>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Sredstva</w:t>
            </w:r>
          </w:p>
        </w:tc>
        <w:tc>
          <w:tcPr>
            <w:tcW w:w="1444"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Izvor finansiranja</w:t>
            </w:r>
          </w:p>
        </w:tc>
      </w:tr>
      <w:tr w:rsidR="00042F67" w:rsidRPr="000545E1" w:rsidTr="001D3F7C">
        <w:trPr>
          <w:gridAfter w:val="2"/>
          <w:wAfter w:w="23" w:type="dxa"/>
        </w:trPr>
        <w:tc>
          <w:tcPr>
            <w:tcW w:w="723" w:type="dxa"/>
            <w:shd w:val="clear" w:color="auto" w:fill="auto"/>
          </w:tcPr>
          <w:p w:rsidR="00042F67" w:rsidRPr="000545E1" w:rsidRDefault="00042F67" w:rsidP="001D3F7C">
            <w:pPr>
              <w:spacing w:before="20" w:after="20"/>
              <w:ind w:right="-96"/>
              <w:rPr>
                <w:rFonts w:ascii="Sitka Text" w:hAnsi="Sitka Text" w:cs="Mongolian Baiti"/>
                <w:color w:val="auto"/>
              </w:rPr>
            </w:pPr>
            <w:r w:rsidRPr="000545E1">
              <w:rPr>
                <w:rFonts w:ascii="Sitka Text" w:hAnsi="Sitka Text" w:cs="Mongolian Baiti"/>
                <w:color w:val="auto"/>
              </w:rPr>
              <w:t>3.1.1</w:t>
            </w:r>
          </w:p>
        </w:tc>
        <w:tc>
          <w:tcPr>
            <w:tcW w:w="2960"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Inoviranje Smjernica za izradu Kadrovskog plana</w:t>
            </w:r>
          </w:p>
        </w:tc>
        <w:tc>
          <w:tcPr>
            <w:tcW w:w="4456"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Smjernice za izradu KP izmijenjene u dijelu usaglašavanja koraka izrade KP sa Zakonom o budžetu, prethodna analiza potreba za zapošljavanjem, finansijska procjena novih zapošljavanja, sa srednjoročnom budžetskom procjenom, obavezne stavke i obrazac za zahtjeve za dodjelu budžetskih sredstava, prekida radnog odnosa, u slučaju da podrazumijeva isplatu otpremnine, sa informacijama o zapošljavanju van kadrovskog plana i ostalo</w:t>
            </w:r>
          </w:p>
        </w:tc>
        <w:tc>
          <w:tcPr>
            <w:tcW w:w="1482"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ZOCG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tc>
        <w:tc>
          <w:tcPr>
            <w:tcW w:w="1260"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369"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2022</w:t>
            </w:r>
          </w:p>
        </w:tc>
        <w:tc>
          <w:tcPr>
            <w:tcW w:w="1251"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7.000 €</w:t>
            </w:r>
          </w:p>
        </w:tc>
        <w:tc>
          <w:tcPr>
            <w:tcW w:w="1439"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23" w:type="dxa"/>
        </w:trPr>
        <w:tc>
          <w:tcPr>
            <w:tcW w:w="723" w:type="dxa"/>
          </w:tcPr>
          <w:p w:rsidR="00042F67" w:rsidRPr="000545E1" w:rsidRDefault="00042F67" w:rsidP="001D3F7C">
            <w:pPr>
              <w:spacing w:before="20" w:after="20"/>
              <w:ind w:right="-96"/>
              <w:rPr>
                <w:rFonts w:ascii="Sitka Text" w:hAnsi="Sitka Text" w:cs="Mongolian Baiti"/>
                <w:color w:val="auto"/>
              </w:rPr>
            </w:pPr>
            <w:r w:rsidRPr="000545E1">
              <w:rPr>
                <w:rFonts w:ascii="Sitka Text" w:hAnsi="Sitka Text" w:cs="Mongolian Baiti"/>
                <w:color w:val="auto"/>
              </w:rPr>
              <w:t>3.1.2</w:t>
            </w:r>
          </w:p>
        </w:tc>
        <w:tc>
          <w:tcPr>
            <w:tcW w:w="2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Organizovanje obuka za službenike koji su zaduženi za razvoj inoviranog Kadrovskog plana</w:t>
            </w:r>
          </w:p>
        </w:tc>
        <w:tc>
          <w:tcPr>
            <w:tcW w:w="4456"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Najmanje 90 službenika obučeno</w:t>
            </w:r>
          </w:p>
        </w:tc>
        <w:tc>
          <w:tcPr>
            <w:tcW w:w="1482"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tc>
        <w:tc>
          <w:tcPr>
            <w:tcW w:w="1260" w:type="dxa"/>
            <w:gridSpan w:val="3"/>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69"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2024</w:t>
            </w:r>
          </w:p>
        </w:tc>
        <w:tc>
          <w:tcPr>
            <w:tcW w:w="1251" w:type="dxa"/>
            <w:gridSpan w:val="3"/>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6.000 €</w:t>
            </w:r>
          </w:p>
        </w:tc>
        <w:tc>
          <w:tcPr>
            <w:tcW w:w="1439"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23" w:type="dxa"/>
        </w:trPr>
        <w:tc>
          <w:tcPr>
            <w:tcW w:w="723" w:type="dxa"/>
            <w:shd w:val="clear" w:color="auto" w:fill="auto"/>
          </w:tcPr>
          <w:p w:rsidR="00042F67" w:rsidRPr="000545E1" w:rsidRDefault="00042F67" w:rsidP="001D3F7C">
            <w:pPr>
              <w:spacing w:before="20" w:after="20"/>
              <w:ind w:right="-96"/>
              <w:rPr>
                <w:rFonts w:ascii="Sitka Text" w:hAnsi="Sitka Text" w:cs="Mongolian Baiti"/>
                <w:color w:val="auto"/>
              </w:rPr>
            </w:pPr>
            <w:r w:rsidRPr="000545E1">
              <w:rPr>
                <w:rFonts w:ascii="Sitka Text" w:hAnsi="Sitka Text" w:cs="Mongolian Baiti"/>
                <w:color w:val="auto"/>
              </w:rPr>
              <w:lastRenderedPageBreak/>
              <w:t>3.1.3</w:t>
            </w:r>
          </w:p>
        </w:tc>
        <w:tc>
          <w:tcPr>
            <w:tcW w:w="2960" w:type="dxa"/>
            <w:gridSpan w:val="2"/>
            <w:shd w:val="clear" w:color="auto" w:fill="auto"/>
          </w:tcPr>
          <w:p w:rsidR="00042F67" w:rsidRPr="000545E1" w:rsidRDefault="00042F67" w:rsidP="001D3F7C">
            <w:pPr>
              <w:spacing w:before="20" w:after="20"/>
              <w:rPr>
                <w:rFonts w:ascii="Sitka Text" w:hAnsi="Sitka Text"/>
                <w:color w:val="auto"/>
              </w:rPr>
            </w:pPr>
            <w:r w:rsidRPr="000545E1">
              <w:rPr>
                <w:rFonts w:ascii="Sitka Text" w:hAnsi="Sitka Text" w:cs="Mongolian Baiti"/>
                <w:color w:val="auto"/>
              </w:rPr>
              <w:t>Osnivanje Radnog tijela MFSS-MJUDDM-UZK u cilju pripreme uvezanog Kadrovskog plana i nacrta Budžeta</w:t>
            </w:r>
          </w:p>
        </w:tc>
        <w:tc>
          <w:tcPr>
            <w:tcW w:w="4456"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Identifikovane kontakt tačke iz relevantnih institucija sa ciljem pripreme - Kadrovskih planova povezani sa pripremom Budžeta, unapređenjem smjernica za izradu KP, te kontrolu kvaliteta izrade i usvajanje KP i praćenje realizacije</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Analiza kvaliteta dosadašnjih KP</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Unaprijeđena koordinacija identifikovanih insitucija u dijelu koordinacije izrade Kadrovskog plana i Budžeta</w:t>
            </w:r>
          </w:p>
        </w:tc>
        <w:tc>
          <w:tcPr>
            <w:tcW w:w="1482"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tc>
        <w:tc>
          <w:tcPr>
            <w:tcW w:w="1260"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69"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1251"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5.000 €</w:t>
            </w:r>
          </w:p>
        </w:tc>
        <w:tc>
          <w:tcPr>
            <w:tcW w:w="1439"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23" w:type="dxa"/>
        </w:trPr>
        <w:tc>
          <w:tcPr>
            <w:tcW w:w="723" w:type="dxa"/>
            <w:shd w:val="clear" w:color="auto" w:fill="auto"/>
          </w:tcPr>
          <w:p w:rsidR="00042F67" w:rsidRPr="000545E1" w:rsidRDefault="00042F67" w:rsidP="001D3F7C">
            <w:pPr>
              <w:spacing w:before="20" w:after="20"/>
              <w:ind w:right="-96"/>
              <w:rPr>
                <w:rFonts w:ascii="Sitka Text" w:hAnsi="Sitka Text" w:cs="Mongolian Baiti"/>
                <w:color w:val="auto"/>
              </w:rPr>
            </w:pPr>
            <w:r w:rsidRPr="000545E1">
              <w:rPr>
                <w:rFonts w:ascii="Sitka Text" w:hAnsi="Sitka Text" w:cs="Mongolian Baiti"/>
                <w:color w:val="auto"/>
              </w:rPr>
              <w:t>3.1.4</w:t>
            </w:r>
          </w:p>
        </w:tc>
        <w:tc>
          <w:tcPr>
            <w:tcW w:w="2960"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Inspekcijski nadzor nad podacima KIS-a unaprijeđen</w:t>
            </w:r>
          </w:p>
        </w:tc>
        <w:tc>
          <w:tcPr>
            <w:tcW w:w="4456"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Javno objavljen plan redovog nadzora</w:t>
            </w:r>
          </w:p>
          <w:p w:rsidR="00042F67" w:rsidRPr="000545E1" w:rsidRDefault="00042F67" w:rsidP="001D3F7C">
            <w:pPr>
              <w:spacing w:before="20" w:after="20"/>
              <w:rPr>
                <w:rFonts w:ascii="Sitka Text" w:hAnsi="Sitka Text" w:cs="Mongolian Baiti"/>
                <w:color w:val="auto"/>
                <w:highlight w:val="yellow"/>
              </w:rPr>
            </w:pPr>
            <w:r w:rsidRPr="000545E1">
              <w:rPr>
                <w:rFonts w:ascii="Sitka Text" w:hAnsi="Sitka Text" w:cs="Mongolian Baiti"/>
                <w:color w:val="auto"/>
              </w:rPr>
              <w:t>- Inspekcijski nazor nad KIS sproveden</w:t>
            </w:r>
          </w:p>
        </w:tc>
        <w:tc>
          <w:tcPr>
            <w:tcW w:w="1482"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UI</w:t>
            </w:r>
          </w:p>
          <w:p w:rsidR="00042F67" w:rsidRPr="000545E1" w:rsidRDefault="00042F67" w:rsidP="001D3F7C">
            <w:pPr>
              <w:spacing w:before="20" w:after="20"/>
              <w:jc w:val="center"/>
              <w:rPr>
                <w:rFonts w:ascii="Sitka Text" w:hAnsi="Sitka Text" w:cs="Mongolian Baiti"/>
                <w:color w:val="auto"/>
                <w:highlight w:val="yellow"/>
              </w:rPr>
            </w:pPr>
            <w:r w:rsidRPr="000545E1">
              <w:rPr>
                <w:rFonts w:ascii="Sitka Text" w:hAnsi="Sitka Text" w:cs="Mongolian Baiti"/>
                <w:color w:val="auto"/>
              </w:rPr>
              <w:t>UZK</w:t>
            </w:r>
          </w:p>
        </w:tc>
        <w:tc>
          <w:tcPr>
            <w:tcW w:w="1260"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highlight w:val="yellow"/>
              </w:rPr>
            </w:pPr>
            <w:r w:rsidRPr="000545E1">
              <w:rPr>
                <w:rFonts w:ascii="Sitka Text" w:hAnsi="Sitka Text" w:cs="Mongolian Baiti"/>
                <w:color w:val="auto"/>
              </w:rPr>
              <w:t>III Q 2022</w:t>
            </w:r>
          </w:p>
        </w:tc>
        <w:tc>
          <w:tcPr>
            <w:tcW w:w="1369"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highlight w:val="yellow"/>
              </w:rPr>
            </w:pPr>
            <w:r w:rsidRPr="000545E1">
              <w:rPr>
                <w:rFonts w:ascii="Sitka Text" w:hAnsi="Sitka Text" w:cs="Mongolian Baiti"/>
                <w:color w:val="auto"/>
              </w:rPr>
              <w:t>IV Q 2023</w:t>
            </w:r>
          </w:p>
        </w:tc>
        <w:tc>
          <w:tcPr>
            <w:tcW w:w="1251"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4.000 €</w:t>
            </w:r>
          </w:p>
        </w:tc>
        <w:tc>
          <w:tcPr>
            <w:tcW w:w="1439"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23" w:type="dxa"/>
        </w:trPr>
        <w:tc>
          <w:tcPr>
            <w:tcW w:w="723" w:type="dxa"/>
            <w:shd w:val="clear" w:color="auto" w:fill="auto"/>
          </w:tcPr>
          <w:p w:rsidR="00042F67" w:rsidRPr="000545E1" w:rsidRDefault="00042F67" w:rsidP="001D3F7C">
            <w:pPr>
              <w:spacing w:before="20" w:after="20"/>
              <w:ind w:right="-96"/>
              <w:rPr>
                <w:rFonts w:ascii="Sitka Text" w:hAnsi="Sitka Text" w:cs="Mongolian Baiti"/>
                <w:color w:val="auto"/>
              </w:rPr>
            </w:pPr>
            <w:r w:rsidRPr="000545E1">
              <w:rPr>
                <w:rFonts w:ascii="Sitka Text" w:hAnsi="Sitka Text" w:cs="Mongolian Baiti"/>
                <w:color w:val="auto"/>
              </w:rPr>
              <w:t>3.1.5</w:t>
            </w:r>
          </w:p>
        </w:tc>
        <w:tc>
          <w:tcPr>
            <w:tcW w:w="2960"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Unapređenje postupka izbora prijavljenih kandidata </w:t>
            </w:r>
          </w:p>
        </w:tc>
        <w:tc>
          <w:tcPr>
            <w:tcW w:w="4456" w:type="dxa"/>
            <w:gridSpan w:val="2"/>
            <w:shd w:val="clear" w:color="auto" w:fill="auto"/>
          </w:tcPr>
          <w:p w:rsidR="00042F67" w:rsidRPr="000545E1" w:rsidRDefault="00042F67" w:rsidP="00B43D4E">
            <w:pPr>
              <w:pStyle w:val="ListParagraph"/>
              <w:numPr>
                <w:ilvl w:val="0"/>
                <w:numId w:val="57"/>
              </w:numPr>
              <w:spacing w:before="20" w:after="20"/>
              <w:ind w:left="158" w:hanging="158"/>
              <w:rPr>
                <w:rFonts w:ascii="Sitka Text" w:hAnsi="Sitka Text" w:cs="Mongolian Baiti"/>
                <w:color w:val="auto"/>
              </w:rPr>
            </w:pPr>
            <w:r w:rsidRPr="000545E1">
              <w:rPr>
                <w:rFonts w:ascii="Sitka Text" w:hAnsi="Sitka Text" w:cs="Mongolian Baiti"/>
                <w:color w:val="auto"/>
              </w:rPr>
              <w:t xml:space="preserve">Unprjeđenje Uredbe o provjeri znanja, sposobnosti i kompetencija </w:t>
            </w:r>
          </w:p>
          <w:p w:rsidR="00042F67" w:rsidRPr="000545E1" w:rsidRDefault="00042F67" w:rsidP="00B43D4E">
            <w:pPr>
              <w:pStyle w:val="ListParagraph"/>
              <w:numPr>
                <w:ilvl w:val="0"/>
                <w:numId w:val="57"/>
              </w:numPr>
              <w:spacing w:before="20" w:after="20"/>
              <w:ind w:left="158" w:hanging="158"/>
              <w:rPr>
                <w:rFonts w:ascii="Sitka Text" w:hAnsi="Sitka Text" w:cs="Mongolian Baiti"/>
                <w:color w:val="auto"/>
              </w:rPr>
            </w:pPr>
            <w:r w:rsidRPr="000545E1">
              <w:rPr>
                <w:rFonts w:ascii="Sitka Text" w:hAnsi="Sitka Text" w:cs="Mongolian Baiti"/>
                <w:color w:val="auto"/>
              </w:rPr>
              <w:t>Sistem za e-prijavu kandidata za poslove u UZK razvijen (sa e-dostavnicom)</w:t>
            </w:r>
          </w:p>
        </w:tc>
        <w:tc>
          <w:tcPr>
            <w:tcW w:w="1482"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tc>
        <w:tc>
          <w:tcPr>
            <w:tcW w:w="1260"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369"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I Q 2023</w:t>
            </w:r>
          </w:p>
        </w:tc>
        <w:tc>
          <w:tcPr>
            <w:tcW w:w="1251"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60.000 €</w:t>
            </w:r>
          </w:p>
        </w:tc>
        <w:tc>
          <w:tcPr>
            <w:tcW w:w="1439"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p w:rsidR="00042F67" w:rsidRPr="000545E1" w:rsidRDefault="00042F67" w:rsidP="001D3F7C">
            <w:pPr>
              <w:spacing w:before="20" w:after="20"/>
              <w:jc w:val="center"/>
              <w:rPr>
                <w:rFonts w:ascii="Sitka Text" w:hAnsi="Sitka Text" w:cs="Mongolian Baiti"/>
                <w:color w:val="auto"/>
              </w:rPr>
            </w:pPr>
          </w:p>
        </w:tc>
      </w:tr>
      <w:tr w:rsidR="00042F67" w:rsidRPr="000545E1" w:rsidTr="001D3F7C">
        <w:trPr>
          <w:gridAfter w:val="2"/>
          <w:wAfter w:w="23" w:type="dxa"/>
        </w:trPr>
        <w:tc>
          <w:tcPr>
            <w:tcW w:w="723" w:type="dxa"/>
          </w:tcPr>
          <w:p w:rsidR="00042F67" w:rsidRPr="000545E1" w:rsidRDefault="00042F67" w:rsidP="001D3F7C">
            <w:pPr>
              <w:spacing w:before="20" w:after="20"/>
              <w:ind w:right="-96"/>
              <w:rPr>
                <w:rFonts w:ascii="Sitka Text" w:hAnsi="Sitka Text" w:cs="Mongolian Baiti"/>
                <w:color w:val="auto"/>
              </w:rPr>
            </w:pPr>
            <w:r w:rsidRPr="000545E1">
              <w:rPr>
                <w:rFonts w:ascii="Sitka Text" w:hAnsi="Sitka Text" w:cs="Mongolian Baiti"/>
                <w:color w:val="auto"/>
              </w:rPr>
              <w:t>3.1.6</w:t>
            </w:r>
          </w:p>
        </w:tc>
        <w:tc>
          <w:tcPr>
            <w:tcW w:w="2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Promotivne aktivnosti u cilju podsticaja zapošljavanja u javnoj upravi</w:t>
            </w:r>
          </w:p>
        </w:tc>
        <w:tc>
          <w:tcPr>
            <w:tcW w:w="4456"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Razvijeni Video spotovi o procesu selekcije kandidata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Uspostavljena komunikacija UZK preko društvenih mreža - FB, Instagram i YouTube kanal</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 Organizovanje Sajma za zapošljavanje </w:t>
            </w:r>
          </w:p>
        </w:tc>
        <w:tc>
          <w:tcPr>
            <w:tcW w:w="1482"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tc>
        <w:tc>
          <w:tcPr>
            <w:tcW w:w="1260" w:type="dxa"/>
            <w:gridSpan w:val="3"/>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69" w:type="dxa"/>
            <w:gridSpan w:val="2"/>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IV Q 2024</w:t>
            </w:r>
          </w:p>
        </w:tc>
        <w:tc>
          <w:tcPr>
            <w:tcW w:w="1251" w:type="dxa"/>
            <w:gridSpan w:val="3"/>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12.000 €</w:t>
            </w:r>
          </w:p>
        </w:tc>
        <w:tc>
          <w:tcPr>
            <w:tcW w:w="1439"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23" w:type="dxa"/>
        </w:trPr>
        <w:tc>
          <w:tcPr>
            <w:tcW w:w="723" w:type="dxa"/>
          </w:tcPr>
          <w:p w:rsidR="00042F67" w:rsidRPr="000545E1" w:rsidRDefault="00042F67" w:rsidP="001D3F7C">
            <w:pPr>
              <w:spacing w:before="20" w:after="20"/>
              <w:ind w:right="-96"/>
              <w:rPr>
                <w:rFonts w:ascii="Sitka Text" w:hAnsi="Sitka Text" w:cs="Mongolian Baiti"/>
                <w:color w:val="auto"/>
              </w:rPr>
            </w:pPr>
            <w:r w:rsidRPr="000545E1">
              <w:rPr>
                <w:rFonts w:ascii="Sitka Text" w:hAnsi="Sitka Text" w:cs="Mongolian Baiti"/>
                <w:color w:val="auto"/>
              </w:rPr>
              <w:t>3.1.7</w:t>
            </w:r>
          </w:p>
        </w:tc>
        <w:tc>
          <w:tcPr>
            <w:tcW w:w="2960" w:type="dxa"/>
            <w:gridSpan w:val="2"/>
          </w:tcPr>
          <w:p w:rsidR="00042F67" w:rsidRPr="000545E1" w:rsidRDefault="00042F67" w:rsidP="001D3F7C">
            <w:pPr>
              <w:spacing w:before="20" w:after="20"/>
              <w:rPr>
                <w:rFonts w:ascii="Sitka Text" w:hAnsi="Sitka Text" w:cs="Mongolian Baiti"/>
                <w:color w:val="auto"/>
                <w:highlight w:val="cyan"/>
              </w:rPr>
            </w:pPr>
            <w:r w:rsidRPr="000545E1">
              <w:rPr>
                <w:rFonts w:ascii="Sitka Text" w:hAnsi="Sitka Text" w:cs="Mongolian Baiti"/>
                <w:color w:val="auto"/>
              </w:rPr>
              <w:t>Efikasno funkcionisanje Kadrovskog informacionog sistema</w:t>
            </w:r>
          </w:p>
        </w:tc>
        <w:tc>
          <w:tcPr>
            <w:tcW w:w="4456" w:type="dxa"/>
            <w:gridSpan w:val="2"/>
          </w:tcPr>
          <w:p w:rsidR="00042F67" w:rsidRPr="000545E1" w:rsidRDefault="00042F67" w:rsidP="001D3F7C">
            <w:pPr>
              <w:spacing w:before="20" w:after="20"/>
              <w:rPr>
                <w:rFonts w:ascii="Sitka Text" w:hAnsi="Sitka Text" w:cstheme="majorHAnsi"/>
                <w:color w:val="auto"/>
              </w:rPr>
            </w:pPr>
            <w:r w:rsidRPr="000545E1">
              <w:rPr>
                <w:rFonts w:ascii="Sitka Text" w:hAnsi="Sitka Text" w:cstheme="majorHAnsi"/>
                <w:color w:val="auto"/>
              </w:rPr>
              <w:t>- Razvijena analiza biznis procesa sa preporukama o daljem razvoju komponenata  KIS-a</w:t>
            </w:r>
          </w:p>
          <w:p w:rsidR="00042F67" w:rsidRPr="000545E1" w:rsidRDefault="00042F67" w:rsidP="001D3F7C">
            <w:pPr>
              <w:spacing w:before="20" w:after="20"/>
              <w:rPr>
                <w:rFonts w:ascii="Sitka Text" w:hAnsi="Sitka Text" w:cstheme="majorHAnsi"/>
                <w:color w:val="auto"/>
              </w:rPr>
            </w:pPr>
            <w:r w:rsidRPr="000545E1">
              <w:rPr>
                <w:rFonts w:ascii="Sitka Text" w:hAnsi="Sitka Text" w:cstheme="majorHAnsi"/>
                <w:color w:val="auto"/>
              </w:rPr>
              <w:t xml:space="preserve">- KIS je nadograđen sa sledećim modulima: </w:t>
            </w:r>
          </w:p>
          <w:p w:rsidR="00042F67" w:rsidRPr="000545E1" w:rsidRDefault="00042F67" w:rsidP="00042F67">
            <w:pPr>
              <w:pStyle w:val="ListParagraph"/>
              <w:numPr>
                <w:ilvl w:val="0"/>
                <w:numId w:val="10"/>
              </w:numPr>
              <w:spacing w:before="20" w:after="20"/>
              <w:ind w:left="174" w:hanging="174"/>
              <w:rPr>
                <w:rFonts w:ascii="Sitka Text" w:hAnsi="Sitka Text" w:cstheme="majorHAnsi"/>
                <w:color w:val="auto"/>
              </w:rPr>
            </w:pPr>
            <w:r w:rsidRPr="000545E1">
              <w:rPr>
                <w:rFonts w:ascii="Sitka Text" w:hAnsi="Sitka Text" w:cstheme="majorHAnsi"/>
                <w:color w:val="auto"/>
              </w:rPr>
              <w:t>Kadrovski plan</w:t>
            </w:r>
          </w:p>
          <w:p w:rsidR="00042F67" w:rsidRPr="000545E1" w:rsidRDefault="00042F67" w:rsidP="00042F67">
            <w:pPr>
              <w:pStyle w:val="ListParagraph"/>
              <w:numPr>
                <w:ilvl w:val="0"/>
                <w:numId w:val="10"/>
              </w:numPr>
              <w:spacing w:before="20" w:after="20"/>
              <w:ind w:left="174" w:hanging="174"/>
              <w:rPr>
                <w:rFonts w:ascii="Sitka Text" w:hAnsi="Sitka Text" w:cstheme="majorHAnsi"/>
                <w:color w:val="auto"/>
              </w:rPr>
            </w:pPr>
            <w:r w:rsidRPr="000545E1">
              <w:rPr>
                <w:rFonts w:ascii="Sitka Text" w:hAnsi="Sitka Text" w:cstheme="majorHAnsi"/>
                <w:color w:val="auto"/>
              </w:rPr>
              <w:t>Proces obuke od prijave do evaluacije</w:t>
            </w:r>
          </w:p>
          <w:p w:rsidR="00042F67" w:rsidRPr="000545E1" w:rsidRDefault="00042F67" w:rsidP="00042F67">
            <w:pPr>
              <w:pStyle w:val="ListParagraph"/>
              <w:numPr>
                <w:ilvl w:val="0"/>
                <w:numId w:val="10"/>
              </w:numPr>
              <w:spacing w:before="20" w:after="20"/>
              <w:ind w:left="174" w:hanging="174"/>
              <w:rPr>
                <w:rFonts w:ascii="Sitka Text" w:hAnsi="Sitka Text" w:cstheme="majorHAnsi"/>
                <w:color w:val="auto"/>
              </w:rPr>
            </w:pPr>
            <w:r w:rsidRPr="000545E1">
              <w:rPr>
                <w:rFonts w:ascii="Sitka Text" w:hAnsi="Sitka Text" w:cstheme="majorHAnsi"/>
                <w:color w:val="auto"/>
              </w:rPr>
              <w:t>Proces evidencije godišnjih odmora, od prijave do realizacije</w:t>
            </w:r>
          </w:p>
          <w:p w:rsidR="00042F67" w:rsidRPr="000545E1" w:rsidRDefault="00042F67" w:rsidP="00042F67">
            <w:pPr>
              <w:pStyle w:val="ListParagraph"/>
              <w:numPr>
                <w:ilvl w:val="0"/>
                <w:numId w:val="10"/>
              </w:numPr>
              <w:spacing w:before="20" w:after="20"/>
              <w:ind w:left="174" w:hanging="174"/>
              <w:rPr>
                <w:rFonts w:ascii="Sitka Text" w:hAnsi="Sitka Text" w:cstheme="majorHAnsi"/>
                <w:color w:val="auto"/>
              </w:rPr>
            </w:pPr>
            <w:r w:rsidRPr="000545E1">
              <w:rPr>
                <w:rFonts w:ascii="Sitka Text" w:hAnsi="Sitka Text" w:cstheme="majorHAnsi"/>
                <w:color w:val="auto"/>
              </w:rPr>
              <w:t>Proces planiranja obuke za sve državne organe i organe LS – uvezano sa budžetom</w:t>
            </w:r>
          </w:p>
          <w:p w:rsidR="00042F67" w:rsidRPr="000545E1" w:rsidRDefault="00042F67" w:rsidP="001D3F7C">
            <w:pPr>
              <w:spacing w:before="20" w:after="20"/>
              <w:rPr>
                <w:rFonts w:ascii="Sitka Text" w:hAnsi="Sitka Text" w:cstheme="majorHAnsi"/>
                <w:color w:val="auto"/>
              </w:rPr>
            </w:pPr>
            <w:r w:rsidRPr="000545E1">
              <w:rPr>
                <w:rFonts w:ascii="Sitka Text" w:hAnsi="Sitka Text" w:cstheme="majorHAnsi"/>
                <w:color w:val="auto"/>
              </w:rPr>
              <w:t>- Unaprijeđeno Upustvo za korišćenje KISa u odnosu na novoizradjene module</w:t>
            </w:r>
          </w:p>
          <w:p w:rsidR="00042F67" w:rsidRPr="000545E1" w:rsidRDefault="00042F67" w:rsidP="001D3F7C">
            <w:pPr>
              <w:spacing w:before="20" w:after="20"/>
              <w:rPr>
                <w:rFonts w:ascii="Sitka Text" w:hAnsi="Sitka Text" w:cstheme="majorHAnsi"/>
                <w:color w:val="auto"/>
              </w:rPr>
            </w:pPr>
            <w:r w:rsidRPr="000545E1">
              <w:rPr>
                <w:rFonts w:ascii="Sitka Text" w:hAnsi="Sitka Text" w:cstheme="majorHAnsi"/>
                <w:color w:val="auto"/>
              </w:rPr>
              <w:lastRenderedPageBreak/>
              <w:t>- Organizovane 3 prezentacije za starješine i VRK o značaju KIS-a</w:t>
            </w:r>
          </w:p>
          <w:p w:rsidR="00042F67" w:rsidRPr="000545E1" w:rsidRDefault="00042F67" w:rsidP="001D3F7C">
            <w:pPr>
              <w:spacing w:before="20" w:after="20"/>
              <w:rPr>
                <w:rFonts w:ascii="Sitka Text" w:hAnsi="Sitka Text" w:cs="Mongolian Baiti"/>
                <w:color w:val="auto"/>
              </w:rPr>
            </w:pPr>
            <w:r w:rsidRPr="000545E1">
              <w:rPr>
                <w:rFonts w:ascii="Sitka Text" w:hAnsi="Sitka Text" w:cstheme="majorHAnsi"/>
                <w:color w:val="auto"/>
              </w:rPr>
              <w:t>- Organizovane 3 obuke za namjanje 20 kontakt osoba za HR menadžment</w:t>
            </w:r>
          </w:p>
        </w:tc>
        <w:tc>
          <w:tcPr>
            <w:tcW w:w="1482"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lastRenderedPageBreak/>
              <w:t>UZK</w:t>
            </w:r>
          </w:p>
        </w:tc>
        <w:tc>
          <w:tcPr>
            <w:tcW w:w="1260" w:type="dxa"/>
            <w:gridSpan w:val="3"/>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69"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2024</w:t>
            </w:r>
          </w:p>
        </w:tc>
        <w:tc>
          <w:tcPr>
            <w:tcW w:w="1251" w:type="dxa"/>
            <w:gridSpan w:val="3"/>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107.000 €</w:t>
            </w:r>
          </w:p>
        </w:tc>
        <w:tc>
          <w:tcPr>
            <w:tcW w:w="1439"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2"/>
          <w:wAfter w:w="23" w:type="dxa"/>
        </w:trPr>
        <w:tc>
          <w:tcPr>
            <w:tcW w:w="723" w:type="dxa"/>
            <w:shd w:val="clear" w:color="auto" w:fill="auto"/>
          </w:tcPr>
          <w:p w:rsidR="00042F67" w:rsidRPr="000545E1" w:rsidRDefault="00042F67" w:rsidP="001D3F7C">
            <w:pPr>
              <w:spacing w:before="20" w:after="20"/>
              <w:ind w:right="-96"/>
              <w:rPr>
                <w:rFonts w:ascii="Sitka Text" w:hAnsi="Sitka Text" w:cs="Mongolian Baiti"/>
                <w:color w:val="auto"/>
              </w:rPr>
            </w:pPr>
            <w:r w:rsidRPr="000545E1">
              <w:rPr>
                <w:rFonts w:ascii="Sitka Text" w:hAnsi="Sitka Text" w:cs="Mongolian Baiti"/>
                <w:color w:val="auto"/>
              </w:rPr>
              <w:t>3.1.8</w:t>
            </w:r>
          </w:p>
        </w:tc>
        <w:tc>
          <w:tcPr>
            <w:tcW w:w="2960" w:type="dxa"/>
            <w:gridSpan w:val="2"/>
            <w:shd w:val="clear" w:color="auto" w:fill="auto"/>
          </w:tcPr>
          <w:p w:rsidR="00042F67" w:rsidRPr="000545E1" w:rsidRDefault="00042F67" w:rsidP="001D3F7C">
            <w:pPr>
              <w:spacing w:before="20" w:after="20"/>
              <w:rPr>
                <w:rFonts w:ascii="Sitka Text" w:hAnsi="Sitka Text" w:cs="Mongolian Baiti"/>
                <w:color w:val="auto"/>
                <w:highlight w:val="cyan"/>
              </w:rPr>
            </w:pPr>
            <w:r w:rsidRPr="000545E1">
              <w:rPr>
                <w:rFonts w:ascii="Sitka Text" w:hAnsi="Sitka Text" w:cs="Mongolian Baiti"/>
                <w:color w:val="auto"/>
              </w:rPr>
              <w:t>Nadogradnja softvera KIS sistema kroz izradu KIS-a na lokalnom nivou</w:t>
            </w:r>
          </w:p>
        </w:tc>
        <w:tc>
          <w:tcPr>
            <w:tcW w:w="4456" w:type="dxa"/>
            <w:gridSpan w:val="2"/>
            <w:shd w:val="clear" w:color="auto" w:fill="auto"/>
          </w:tcPr>
          <w:p w:rsidR="00042F67" w:rsidRPr="000545E1" w:rsidRDefault="00042F67" w:rsidP="001D3F7C">
            <w:pPr>
              <w:rPr>
                <w:rFonts w:ascii="Sitka Text" w:hAnsi="Sitka Text" w:cstheme="majorHAnsi"/>
                <w:color w:val="auto"/>
              </w:rPr>
            </w:pPr>
            <w:r w:rsidRPr="000545E1">
              <w:rPr>
                <w:rFonts w:ascii="Sitka Text" w:hAnsi="Sitka Text" w:cstheme="majorHAnsi"/>
                <w:color w:val="auto"/>
              </w:rPr>
              <w:t>- Izrađena Analiza o stanju upravljanja ljudskim resursima u kadrovskim jedinicama na lokalnom nivou</w:t>
            </w:r>
          </w:p>
          <w:p w:rsidR="00042F67" w:rsidRPr="000545E1" w:rsidRDefault="00042F67" w:rsidP="001D3F7C">
            <w:pPr>
              <w:rPr>
                <w:rFonts w:ascii="Sitka Text" w:hAnsi="Sitka Text" w:cstheme="majorHAnsi"/>
                <w:color w:val="auto"/>
              </w:rPr>
            </w:pPr>
            <w:r w:rsidRPr="000545E1">
              <w:rPr>
                <w:rFonts w:ascii="Sitka Text" w:hAnsi="Sitka Text" w:cstheme="majorHAnsi"/>
                <w:color w:val="auto"/>
              </w:rPr>
              <w:t>- Izrada tenderske procedure/projekat pripremljen i tender objavljen</w:t>
            </w:r>
          </w:p>
          <w:p w:rsidR="00042F67" w:rsidRPr="000545E1" w:rsidRDefault="00042F67" w:rsidP="001D3F7C">
            <w:pPr>
              <w:rPr>
                <w:rFonts w:ascii="Sitka Text" w:hAnsi="Sitka Text" w:cstheme="majorHAnsi"/>
                <w:color w:val="auto"/>
              </w:rPr>
            </w:pPr>
            <w:r w:rsidRPr="000545E1">
              <w:rPr>
                <w:rFonts w:ascii="Sitka Text" w:hAnsi="Sitka Text" w:cstheme="majorHAnsi"/>
                <w:color w:val="auto"/>
              </w:rPr>
              <w:t>- KIS sistem na lokalnom nivou nadograđen sa funkcijama KISa na centralnom nivou</w:t>
            </w:r>
          </w:p>
          <w:p w:rsidR="00042F67" w:rsidRPr="000545E1" w:rsidRDefault="00042F67" w:rsidP="001D3F7C">
            <w:pPr>
              <w:spacing w:before="20" w:after="20"/>
              <w:rPr>
                <w:rFonts w:ascii="Sitka Text" w:hAnsi="Sitka Text" w:cs="Mongolian Baiti"/>
                <w:color w:val="auto"/>
              </w:rPr>
            </w:pPr>
            <w:r w:rsidRPr="000545E1">
              <w:rPr>
                <w:rFonts w:ascii="Sitka Text" w:hAnsi="Sitka Text" w:cstheme="majorHAnsi"/>
                <w:color w:val="auto"/>
              </w:rPr>
              <w:t>- Upustvo za unos podataka u KIS, razvoj Kadrovskih planova, monitoring i izvještavanje napravljeno</w:t>
            </w:r>
          </w:p>
        </w:tc>
        <w:tc>
          <w:tcPr>
            <w:tcW w:w="1482"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JLS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ZOCG</w:t>
            </w:r>
          </w:p>
          <w:p w:rsidR="00042F67" w:rsidRPr="000545E1" w:rsidRDefault="00042F67" w:rsidP="001D3F7C">
            <w:pPr>
              <w:spacing w:before="20" w:after="20"/>
              <w:jc w:val="center"/>
              <w:rPr>
                <w:rFonts w:ascii="Sitka Text" w:hAnsi="Sitka Text" w:cs="Mongolian Baiti"/>
                <w:color w:val="auto"/>
              </w:rPr>
            </w:pPr>
          </w:p>
        </w:tc>
        <w:tc>
          <w:tcPr>
            <w:tcW w:w="1260"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69"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2024</w:t>
            </w:r>
          </w:p>
        </w:tc>
        <w:tc>
          <w:tcPr>
            <w:tcW w:w="1251" w:type="dxa"/>
            <w:gridSpan w:val="3"/>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55.000 €</w:t>
            </w:r>
          </w:p>
        </w:tc>
        <w:tc>
          <w:tcPr>
            <w:tcW w:w="1439"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bl>
    <w:p w:rsidR="00042F67" w:rsidRPr="000545E1" w:rsidRDefault="00042F67" w:rsidP="00042F67">
      <w:pPr>
        <w:spacing w:before="20" w:after="20" w:line="240" w:lineRule="auto"/>
        <w:rPr>
          <w:rFonts w:ascii="Sitka Text" w:hAnsi="Sitka Text" w:cs="Mongolian Baiti"/>
          <w:color w:val="auto"/>
          <w:sz w:val="24"/>
          <w:szCs w:val="24"/>
        </w:rPr>
      </w:pPr>
    </w:p>
    <w:tbl>
      <w:tblPr>
        <w:tblStyle w:val="TableGrid"/>
        <w:tblW w:w="14701" w:type="dxa"/>
        <w:tblLayout w:type="fixed"/>
        <w:tblLook w:val="04A0" w:firstRow="1" w:lastRow="0" w:firstColumn="1" w:lastColumn="0" w:noHBand="0" w:noVBand="1"/>
      </w:tblPr>
      <w:tblGrid>
        <w:gridCol w:w="625"/>
        <w:gridCol w:w="2866"/>
        <w:gridCol w:w="2239"/>
        <w:gridCol w:w="1616"/>
        <w:gridCol w:w="1467"/>
        <w:gridCol w:w="444"/>
        <w:gridCol w:w="968"/>
        <w:gridCol w:w="1338"/>
        <w:gridCol w:w="559"/>
        <w:gridCol w:w="689"/>
        <w:gridCol w:w="1858"/>
        <w:gridCol w:w="32"/>
      </w:tblGrid>
      <w:tr w:rsidR="00042F67" w:rsidRPr="000545E1" w:rsidTr="001D3F7C">
        <w:tc>
          <w:tcPr>
            <w:tcW w:w="3491" w:type="dxa"/>
            <w:gridSpan w:val="2"/>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OPERATIVNI CILJ 3.2</w:t>
            </w:r>
          </w:p>
        </w:tc>
        <w:tc>
          <w:tcPr>
            <w:tcW w:w="11210" w:type="dxa"/>
            <w:gridSpan w:val="10"/>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 xml:space="preserve">Javna uprava atraktivan poslodavac – efikasan sistem ocjenjivanja, napredovanja i nagrađivanja po sistemu zasluga i stalnog usavršavanja </w:t>
            </w:r>
          </w:p>
        </w:tc>
      </w:tr>
      <w:tr w:rsidR="00042F67" w:rsidRPr="000545E1" w:rsidTr="001D3F7C">
        <w:tc>
          <w:tcPr>
            <w:tcW w:w="5730" w:type="dxa"/>
            <w:gridSpan w:val="3"/>
            <w:shd w:val="clear" w:color="auto" w:fill="DAF2F6"/>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Indikator</w:t>
            </w:r>
          </w:p>
        </w:tc>
        <w:tc>
          <w:tcPr>
            <w:tcW w:w="3527" w:type="dxa"/>
            <w:gridSpan w:val="3"/>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Početna vrijednost</w:t>
            </w:r>
          </w:p>
        </w:tc>
        <w:tc>
          <w:tcPr>
            <w:tcW w:w="2865" w:type="dxa"/>
            <w:gridSpan w:val="3"/>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do 2024.</w:t>
            </w:r>
          </w:p>
        </w:tc>
        <w:tc>
          <w:tcPr>
            <w:tcW w:w="2579" w:type="dxa"/>
            <w:gridSpan w:val="3"/>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u 2026.</w:t>
            </w:r>
          </w:p>
        </w:tc>
      </w:tr>
      <w:tr w:rsidR="00042F67" w:rsidRPr="000545E1" w:rsidTr="001D3F7C">
        <w:tc>
          <w:tcPr>
            <w:tcW w:w="5730" w:type="dxa"/>
            <w:gridSpan w:val="3"/>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 xml:space="preserve">% službenika u državnim organima koji su ocijenjeni </w:t>
            </w:r>
            <w:r w:rsidRPr="000545E1">
              <w:rPr>
                <w:rStyle w:val="FootnoteReference"/>
                <w:rFonts w:ascii="Sitka Text" w:hAnsi="Sitka Text" w:cs="Mongolian Baiti"/>
                <w:color w:val="auto"/>
              </w:rPr>
              <w:footnoteReference w:id="160"/>
            </w:r>
          </w:p>
        </w:tc>
        <w:tc>
          <w:tcPr>
            <w:tcW w:w="3527"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63,38%</w:t>
            </w:r>
            <w:r w:rsidRPr="000545E1">
              <w:rPr>
                <w:rStyle w:val="FootnoteReference"/>
                <w:rFonts w:ascii="Sitka Text" w:hAnsi="Sitka Text" w:cs="Mongolian Baiti"/>
                <w:color w:val="auto"/>
              </w:rPr>
              <w:footnoteReference w:id="161"/>
            </w:r>
            <w:r w:rsidRPr="000545E1">
              <w:rPr>
                <w:rFonts w:ascii="Sitka Text" w:hAnsi="Sitka Text" w:cs="Mongolian Baiti"/>
                <w:color w:val="auto"/>
              </w:rPr>
              <w:t xml:space="preserve"> (2019)</w:t>
            </w:r>
          </w:p>
        </w:tc>
        <w:tc>
          <w:tcPr>
            <w:tcW w:w="2865"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Povećanje za 10% u odnosu na početnu vrijednost</w:t>
            </w:r>
          </w:p>
        </w:tc>
        <w:tc>
          <w:tcPr>
            <w:tcW w:w="2579"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Povećanje za 20% u donosu na početnu vrijednost</w:t>
            </w:r>
          </w:p>
        </w:tc>
      </w:tr>
      <w:tr w:rsidR="00042F67" w:rsidRPr="000545E1" w:rsidTr="001D3F7C">
        <w:tc>
          <w:tcPr>
            <w:tcW w:w="5730" w:type="dxa"/>
            <w:gridSpan w:val="3"/>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Sistem ocjenjivanja radnog učinka unaprijeđen</w:t>
            </w:r>
          </w:p>
        </w:tc>
        <w:tc>
          <w:tcPr>
            <w:tcW w:w="3527" w:type="dxa"/>
            <w:gridSpan w:val="3"/>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Sistem ocjenjivanja nije uvezan sa nagrađivanjem i napredovanjem u službi</w:t>
            </w:r>
          </w:p>
        </w:tc>
        <w:tc>
          <w:tcPr>
            <w:tcW w:w="2865"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Unaprijeđen normativni okvir u sistemu nagrađivanja i napredovanja u službi</w:t>
            </w:r>
          </w:p>
        </w:tc>
        <w:tc>
          <w:tcPr>
            <w:tcW w:w="2579"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theme="majorHAnsi"/>
                <w:color w:val="auto"/>
              </w:rPr>
              <w:t>Utvrditi polaznu osnovu o broju zaposlenih koji se ocjenjuju shodno unaprijeđenom sistemu</w:t>
            </w:r>
          </w:p>
        </w:tc>
      </w:tr>
      <w:tr w:rsidR="00042F67" w:rsidRPr="000545E1" w:rsidTr="001D3F7C">
        <w:tc>
          <w:tcPr>
            <w:tcW w:w="5730" w:type="dxa"/>
            <w:gridSpan w:val="3"/>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Uspostavljanje mehanizma starteškog planiranja obuka</w:t>
            </w:r>
          </w:p>
        </w:tc>
        <w:tc>
          <w:tcPr>
            <w:tcW w:w="3527" w:type="dxa"/>
            <w:gridSpan w:val="3"/>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 xml:space="preserve"> Državni organi i jedinice lokalne samouprave strateški ne planiraju obuku </w:t>
            </w:r>
          </w:p>
        </w:tc>
        <w:tc>
          <w:tcPr>
            <w:tcW w:w="2865" w:type="dxa"/>
            <w:gridSpan w:val="3"/>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50% organa strateski planira obuku</w:t>
            </w:r>
          </w:p>
        </w:tc>
        <w:tc>
          <w:tcPr>
            <w:tcW w:w="2579" w:type="dxa"/>
            <w:gridSpan w:val="3"/>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70% organa strateski planira obuku</w:t>
            </w:r>
          </w:p>
        </w:tc>
      </w:tr>
      <w:tr w:rsidR="00042F67" w:rsidRPr="000545E1" w:rsidTr="001D3F7C">
        <w:tc>
          <w:tcPr>
            <w:tcW w:w="5730"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theme="majorHAnsi"/>
                <w:color w:val="auto"/>
              </w:rPr>
              <w:lastRenderedPageBreak/>
              <w:t>% novozaposlenih službenika koji su prošli kroz obuku u prvoj godini rada na početnim pozicijama službenih zvanja</w:t>
            </w:r>
          </w:p>
        </w:tc>
        <w:tc>
          <w:tcPr>
            <w:tcW w:w="3527"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theme="majorHAnsi"/>
                <w:color w:val="auto"/>
              </w:rPr>
              <w:t xml:space="preserve"> Utvrđen program obuke za novozaposlene</w:t>
            </w:r>
          </w:p>
        </w:tc>
        <w:tc>
          <w:tcPr>
            <w:tcW w:w="2865"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theme="majorHAnsi"/>
                <w:color w:val="auto"/>
              </w:rPr>
              <w:t>50%</w:t>
            </w:r>
          </w:p>
        </w:tc>
        <w:tc>
          <w:tcPr>
            <w:tcW w:w="2579"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theme="majorHAnsi"/>
                <w:color w:val="auto"/>
              </w:rPr>
              <w:t>80%</w:t>
            </w:r>
          </w:p>
        </w:tc>
      </w:tr>
      <w:tr w:rsidR="00042F67" w:rsidRPr="000545E1" w:rsidTr="001D3F7C">
        <w:tc>
          <w:tcPr>
            <w:tcW w:w="5730" w:type="dxa"/>
            <w:gridSpan w:val="3"/>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Broj institucija koje mjere zadovoljstvo državnih i lokalnih službenika</w:t>
            </w:r>
          </w:p>
        </w:tc>
        <w:tc>
          <w:tcPr>
            <w:tcW w:w="3527"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3 institucije</w:t>
            </w:r>
          </w:p>
        </w:tc>
        <w:tc>
          <w:tcPr>
            <w:tcW w:w="2865" w:type="dxa"/>
            <w:gridSpan w:val="3"/>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50% organa državne uprave mjeri zadovoljstvo zaposlenih</w:t>
            </w:r>
          </w:p>
        </w:tc>
        <w:tc>
          <w:tcPr>
            <w:tcW w:w="2579" w:type="dxa"/>
            <w:gridSpan w:val="3"/>
            <w:shd w:val="clear" w:color="auto" w:fill="DAF2F6"/>
          </w:tcPr>
          <w:p w:rsidR="00042F67" w:rsidRPr="00233016" w:rsidRDefault="00042F67" w:rsidP="001D3F7C">
            <w:pPr>
              <w:spacing w:after="40"/>
              <w:rPr>
                <w:rFonts w:ascii="Sitka Text" w:hAnsi="Sitka Text" w:cstheme="majorHAnsi"/>
                <w:color w:val="auto"/>
              </w:rPr>
            </w:pPr>
            <w:r w:rsidRPr="00233016">
              <w:rPr>
                <w:rFonts w:ascii="Sitka Text" w:hAnsi="Sitka Text" w:cstheme="majorHAnsi"/>
                <w:color w:val="auto"/>
              </w:rPr>
              <w:t>70% organa državne uprave</w:t>
            </w:r>
          </w:p>
          <w:p w:rsidR="00042F67" w:rsidRPr="000545E1" w:rsidRDefault="00042F67" w:rsidP="001D3F7C">
            <w:pPr>
              <w:spacing w:after="40"/>
              <w:rPr>
                <w:rFonts w:ascii="Sitka Text" w:hAnsi="Sitka Text" w:cstheme="majorHAnsi"/>
                <w:color w:val="auto"/>
              </w:rPr>
            </w:pPr>
            <w:r w:rsidRPr="00233016">
              <w:rPr>
                <w:rFonts w:ascii="Sitka Text" w:hAnsi="Sitka Text" w:cstheme="majorHAnsi"/>
                <w:color w:val="auto"/>
              </w:rPr>
              <w:t xml:space="preserve">40% </w:t>
            </w:r>
            <w:r>
              <w:rPr>
                <w:rFonts w:ascii="Sitka Text" w:hAnsi="Sitka Text" w:cstheme="majorHAnsi"/>
                <w:color w:val="auto"/>
              </w:rPr>
              <w:t>JLS</w:t>
            </w:r>
          </w:p>
        </w:tc>
      </w:tr>
      <w:tr w:rsidR="00042F67" w:rsidRPr="000545E1" w:rsidTr="001D3F7C">
        <w:trPr>
          <w:gridAfter w:val="1"/>
          <w:wAfter w:w="32" w:type="dxa"/>
        </w:trPr>
        <w:tc>
          <w:tcPr>
            <w:tcW w:w="3491"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Aktivnosti</w:t>
            </w:r>
          </w:p>
        </w:tc>
        <w:tc>
          <w:tcPr>
            <w:tcW w:w="3855"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Indikator rezultata</w:t>
            </w:r>
          </w:p>
        </w:tc>
        <w:tc>
          <w:tcPr>
            <w:tcW w:w="1467"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Nadležne institucije</w:t>
            </w:r>
          </w:p>
        </w:tc>
        <w:tc>
          <w:tcPr>
            <w:tcW w:w="1412"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Početak</w:t>
            </w:r>
          </w:p>
        </w:tc>
        <w:tc>
          <w:tcPr>
            <w:tcW w:w="1338"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Završetak</w:t>
            </w:r>
          </w:p>
        </w:tc>
        <w:tc>
          <w:tcPr>
            <w:tcW w:w="1248"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Sredstva</w:t>
            </w:r>
          </w:p>
        </w:tc>
        <w:tc>
          <w:tcPr>
            <w:tcW w:w="1858"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Izvor finansiranja</w:t>
            </w:r>
          </w:p>
        </w:tc>
      </w:tr>
      <w:tr w:rsidR="00042F67" w:rsidRPr="000545E1" w:rsidTr="001D3F7C">
        <w:trPr>
          <w:gridAfter w:val="1"/>
          <w:wAfter w:w="32" w:type="dxa"/>
        </w:trPr>
        <w:tc>
          <w:tcPr>
            <w:tcW w:w="625" w:type="dxa"/>
            <w:shd w:val="clear" w:color="auto" w:fill="auto"/>
          </w:tcPr>
          <w:p w:rsidR="00042F67" w:rsidRPr="000545E1" w:rsidRDefault="00042F67" w:rsidP="001D3F7C">
            <w:pPr>
              <w:spacing w:before="20" w:after="20"/>
              <w:ind w:left="-26" w:right="-108"/>
              <w:rPr>
                <w:rFonts w:ascii="Sitka Text" w:hAnsi="Sitka Text" w:cs="Mongolian Baiti"/>
                <w:color w:val="auto"/>
              </w:rPr>
            </w:pPr>
            <w:r w:rsidRPr="000545E1">
              <w:rPr>
                <w:rFonts w:ascii="Sitka Text" w:hAnsi="Sitka Text" w:cs="Mongolian Baiti"/>
                <w:color w:val="auto"/>
              </w:rPr>
              <w:t>3.2.1</w:t>
            </w:r>
          </w:p>
        </w:tc>
        <w:tc>
          <w:tcPr>
            <w:tcW w:w="2866"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Unaprijediti kvalitet Akata o unutrašnjoj organizaciji</w:t>
            </w:r>
          </w:p>
          <w:p w:rsidR="00042F67" w:rsidRPr="000545E1" w:rsidRDefault="00042F67" w:rsidP="001D3F7C">
            <w:pPr>
              <w:spacing w:before="20" w:after="20"/>
              <w:rPr>
                <w:rFonts w:ascii="Sitka Text" w:hAnsi="Sitka Text" w:cs="Mongolian Baiti"/>
                <w:color w:val="auto"/>
              </w:rPr>
            </w:pPr>
          </w:p>
        </w:tc>
        <w:tc>
          <w:tcPr>
            <w:tcW w:w="3855"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Izmijenjeni kriterijumi za izradu akata o sistematizaciji sa ciljem poboljšanja njihovog kvaliteta kroz jasnije i preciznije opise poslova i potrebnih kompetencija za njihovo kvalitetno obavljanje (izrade obavezne analize postojećih poslova, opisa poslova službeničkih radnih mjesta i uslovi za obavljanja poslova radnog mjesta), kao i praćenje i evaluaciju rada zaposlenih</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Uspostavljena Komisija za davanje cjelishodnog mišljena na Akte o sistematizaciji sastavljena od predstavnika UzK, MJUDDM, MFSS</w:t>
            </w:r>
          </w:p>
        </w:tc>
        <w:tc>
          <w:tcPr>
            <w:tcW w:w="1467"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SIGMA</w:t>
            </w:r>
          </w:p>
        </w:tc>
        <w:tc>
          <w:tcPr>
            <w:tcW w:w="1412"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38"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2023</w:t>
            </w:r>
          </w:p>
        </w:tc>
        <w:tc>
          <w:tcPr>
            <w:tcW w:w="124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17.000 €</w:t>
            </w:r>
          </w:p>
        </w:tc>
        <w:tc>
          <w:tcPr>
            <w:tcW w:w="1858"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Bud#et 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rPr>
          <w:gridAfter w:val="1"/>
          <w:wAfter w:w="32" w:type="dxa"/>
        </w:trPr>
        <w:tc>
          <w:tcPr>
            <w:tcW w:w="625" w:type="dxa"/>
            <w:shd w:val="clear" w:color="auto" w:fill="auto"/>
          </w:tcPr>
          <w:p w:rsidR="00042F67" w:rsidRPr="000545E1" w:rsidDel="003D767C" w:rsidRDefault="00042F67" w:rsidP="001D3F7C">
            <w:pPr>
              <w:spacing w:before="20" w:after="20"/>
              <w:ind w:left="-26" w:right="-108"/>
              <w:rPr>
                <w:rFonts w:ascii="Sitka Text" w:hAnsi="Sitka Text" w:cs="Mongolian Baiti"/>
                <w:color w:val="auto"/>
              </w:rPr>
            </w:pPr>
            <w:r w:rsidRPr="000545E1">
              <w:rPr>
                <w:rFonts w:ascii="Sitka Text" w:hAnsi="Sitka Text" w:cs="Mongolian Baiti"/>
                <w:color w:val="auto"/>
              </w:rPr>
              <w:t>3.2.2</w:t>
            </w:r>
          </w:p>
        </w:tc>
        <w:tc>
          <w:tcPr>
            <w:tcW w:w="2866" w:type="dxa"/>
            <w:shd w:val="clear" w:color="auto" w:fill="auto"/>
          </w:tcPr>
          <w:p w:rsidR="00042F67" w:rsidRPr="000545E1" w:rsidRDefault="00042F67" w:rsidP="001D3F7C">
            <w:pPr>
              <w:spacing w:before="20" w:after="20"/>
              <w:rPr>
                <w:rFonts w:ascii="Sitka Text" w:hAnsi="Sitka Text" w:cs="Mongolian Baiti"/>
                <w:color w:val="auto"/>
                <w:highlight w:val="yellow"/>
              </w:rPr>
            </w:pPr>
            <w:r w:rsidRPr="000545E1">
              <w:rPr>
                <w:rFonts w:ascii="Sitka Text" w:hAnsi="Sitka Text" w:cs="Mongolian Baiti"/>
                <w:color w:val="auto"/>
              </w:rPr>
              <w:t>Unapređivanje sistema ocjenjivanja rada zaposlenih</w:t>
            </w:r>
          </w:p>
        </w:tc>
        <w:tc>
          <w:tcPr>
            <w:tcW w:w="3855" w:type="dxa"/>
            <w:gridSpan w:val="2"/>
            <w:shd w:val="clear" w:color="auto" w:fill="auto"/>
          </w:tcPr>
          <w:p w:rsidR="00042F67" w:rsidRPr="000545E1" w:rsidRDefault="00042F67" w:rsidP="00B43D4E">
            <w:pPr>
              <w:pStyle w:val="ListParagraph"/>
              <w:numPr>
                <w:ilvl w:val="0"/>
                <w:numId w:val="57"/>
              </w:numPr>
              <w:spacing w:before="20" w:after="20"/>
              <w:ind w:left="150" w:hanging="180"/>
              <w:rPr>
                <w:rFonts w:ascii="Sitka Text" w:hAnsi="Sitka Text" w:cs="Mongolian Baiti"/>
                <w:color w:val="auto"/>
              </w:rPr>
            </w:pPr>
            <w:r w:rsidRPr="000545E1">
              <w:rPr>
                <w:rFonts w:ascii="Sitka Text" w:hAnsi="Sitka Text" w:cs="Mongolian Baiti"/>
                <w:color w:val="auto"/>
              </w:rPr>
              <w:t>Priručnik</w:t>
            </w:r>
            <w:r>
              <w:rPr>
                <w:rFonts w:ascii="Sitka Text" w:hAnsi="Sitka Text" w:cs="Mongolian Baiti"/>
                <w:color w:val="auto"/>
              </w:rPr>
              <w:t xml:space="preserve"> </w:t>
            </w:r>
            <w:r w:rsidRPr="000545E1">
              <w:rPr>
                <w:rFonts w:ascii="Sitka Text" w:hAnsi="Sitka Text" w:cs="Mongolian Baiti"/>
                <w:color w:val="auto"/>
              </w:rPr>
              <w:t xml:space="preserve"> izmijenjen</w:t>
            </w:r>
            <w:r>
              <w:rPr>
                <w:rFonts w:ascii="Sitka Text" w:hAnsi="Sitka Text" w:cs="Mongolian Baiti"/>
                <w:color w:val="auto"/>
              </w:rPr>
              <w:t>za ocjenjivanje rada zaposlenih</w:t>
            </w:r>
          </w:p>
          <w:p w:rsidR="00042F67" w:rsidRPr="000545E1" w:rsidRDefault="00042F67" w:rsidP="00B43D4E">
            <w:pPr>
              <w:pStyle w:val="ListParagraph"/>
              <w:numPr>
                <w:ilvl w:val="0"/>
                <w:numId w:val="57"/>
              </w:numPr>
              <w:spacing w:before="20" w:after="20"/>
              <w:ind w:left="150" w:hanging="180"/>
              <w:rPr>
                <w:rFonts w:ascii="Sitka Text" w:hAnsi="Sitka Text" w:cs="Mongolian Baiti"/>
                <w:color w:val="auto"/>
              </w:rPr>
            </w:pPr>
            <w:r w:rsidRPr="000545E1">
              <w:rPr>
                <w:rFonts w:ascii="Sitka Text" w:hAnsi="Sitka Text" w:cs="Mongolian Baiti"/>
                <w:color w:val="auto"/>
              </w:rPr>
              <w:t xml:space="preserve">Ocinjeni zaposleni u državnim organima putem KIS u pilot državnim organima </w:t>
            </w:r>
          </w:p>
        </w:tc>
        <w:tc>
          <w:tcPr>
            <w:tcW w:w="1467"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JLS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NVO</w:t>
            </w:r>
          </w:p>
        </w:tc>
        <w:tc>
          <w:tcPr>
            <w:tcW w:w="1412"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38"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124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15.000 €</w:t>
            </w:r>
          </w:p>
        </w:tc>
        <w:tc>
          <w:tcPr>
            <w:tcW w:w="1858" w:type="dxa"/>
            <w:vAlign w:val="center"/>
          </w:tcPr>
          <w:p w:rsidR="00042F67" w:rsidRPr="000545E1" w:rsidDel="003D767C"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2" w:type="dxa"/>
        </w:trPr>
        <w:tc>
          <w:tcPr>
            <w:tcW w:w="625" w:type="dxa"/>
            <w:shd w:val="clear" w:color="auto" w:fill="auto"/>
          </w:tcPr>
          <w:p w:rsidR="00042F67" w:rsidRPr="000545E1" w:rsidRDefault="00042F67" w:rsidP="001D3F7C">
            <w:pPr>
              <w:spacing w:before="20" w:after="20"/>
              <w:ind w:left="-26" w:right="-108"/>
              <w:rPr>
                <w:rFonts w:ascii="Sitka Text" w:hAnsi="Sitka Text" w:cs="Mongolian Baiti"/>
                <w:color w:val="auto"/>
              </w:rPr>
            </w:pPr>
            <w:r w:rsidRPr="000545E1">
              <w:rPr>
                <w:rFonts w:ascii="Sitka Text" w:hAnsi="Sitka Text" w:cs="Mongolian Baiti"/>
                <w:color w:val="auto"/>
              </w:rPr>
              <w:t>3.2.3</w:t>
            </w:r>
          </w:p>
        </w:tc>
        <w:tc>
          <w:tcPr>
            <w:tcW w:w="2866"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Uvezivanje sistema ocjenjivanja sa daljim stručnim osposobljavanjem i usavršavanjem</w:t>
            </w:r>
          </w:p>
        </w:tc>
        <w:tc>
          <w:tcPr>
            <w:tcW w:w="3855"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 Sistem ocjenjivanja na osnovu radnog učinka uvezan sa neophodnim obukama za dalji razvoj zaposlenih </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Zaposleni pohađaju obuke za stručno osposobljavanje i usavršavanje na osnovu identifikovanih nedostataka kroz godišnje ocjenjivanje</w:t>
            </w:r>
          </w:p>
        </w:tc>
        <w:tc>
          <w:tcPr>
            <w:tcW w:w="1467"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tc>
        <w:tc>
          <w:tcPr>
            <w:tcW w:w="1412"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338"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2024</w:t>
            </w:r>
          </w:p>
        </w:tc>
        <w:tc>
          <w:tcPr>
            <w:tcW w:w="124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13.000 €</w:t>
            </w:r>
          </w:p>
        </w:tc>
        <w:tc>
          <w:tcPr>
            <w:tcW w:w="1858"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2" w:type="dxa"/>
        </w:trPr>
        <w:tc>
          <w:tcPr>
            <w:tcW w:w="625" w:type="dxa"/>
            <w:shd w:val="clear" w:color="auto" w:fill="auto"/>
          </w:tcPr>
          <w:p w:rsidR="00042F67" w:rsidRPr="000545E1" w:rsidRDefault="00042F67" w:rsidP="001D3F7C">
            <w:pPr>
              <w:spacing w:before="20" w:after="20"/>
              <w:ind w:left="-26" w:right="-108"/>
              <w:rPr>
                <w:rFonts w:ascii="Sitka Text" w:hAnsi="Sitka Text" w:cs="Mongolian Baiti"/>
                <w:color w:val="auto"/>
              </w:rPr>
            </w:pPr>
            <w:r w:rsidRPr="000545E1">
              <w:rPr>
                <w:rFonts w:ascii="Sitka Text" w:hAnsi="Sitka Text" w:cs="Mongolian Baiti"/>
                <w:color w:val="auto"/>
              </w:rPr>
              <w:lastRenderedPageBreak/>
              <w:t>3.2.4</w:t>
            </w:r>
          </w:p>
        </w:tc>
        <w:tc>
          <w:tcPr>
            <w:tcW w:w="2866"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Unaprijeđen sistem nagrađivanja </w:t>
            </w:r>
          </w:p>
        </w:tc>
        <w:tc>
          <w:tcPr>
            <w:tcW w:w="3855"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Sistem unaprijeđen na osnovu rezultat rada (veza sa aktvnosšću 3,3,2 -Zakon o zaradama izmijenjen u dijelu mjerenje učinka rada zaposlenih i definisanja efikasnijeg mehanizma između razultata rada zaposlenih i nagrađivanja)</w:t>
            </w:r>
          </w:p>
        </w:tc>
        <w:tc>
          <w:tcPr>
            <w:tcW w:w="1467"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tc>
        <w:tc>
          <w:tcPr>
            <w:tcW w:w="1412"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38"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2024</w:t>
            </w:r>
          </w:p>
        </w:tc>
        <w:tc>
          <w:tcPr>
            <w:tcW w:w="124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18.000 €</w:t>
            </w:r>
          </w:p>
        </w:tc>
        <w:tc>
          <w:tcPr>
            <w:tcW w:w="1858"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2" w:type="dxa"/>
        </w:trPr>
        <w:tc>
          <w:tcPr>
            <w:tcW w:w="625" w:type="dxa"/>
            <w:shd w:val="clear" w:color="auto" w:fill="auto"/>
          </w:tcPr>
          <w:p w:rsidR="00042F67" w:rsidRPr="000545E1" w:rsidRDefault="00042F67" w:rsidP="001D3F7C">
            <w:pPr>
              <w:spacing w:before="20" w:after="20"/>
              <w:ind w:left="-26" w:right="-108"/>
              <w:rPr>
                <w:rFonts w:ascii="Sitka Text" w:hAnsi="Sitka Text" w:cs="Mongolian Baiti"/>
                <w:color w:val="auto"/>
              </w:rPr>
            </w:pPr>
            <w:r w:rsidRPr="000545E1">
              <w:rPr>
                <w:rFonts w:ascii="Sitka Text" w:hAnsi="Sitka Text" w:cs="Mongolian Baiti"/>
                <w:color w:val="auto"/>
              </w:rPr>
              <w:t>3.2.5</w:t>
            </w:r>
          </w:p>
        </w:tc>
        <w:tc>
          <w:tcPr>
            <w:tcW w:w="2866"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Sprovođenje obuka u skladu sa potrebama organa</w:t>
            </w:r>
          </w:p>
        </w:tc>
        <w:tc>
          <w:tcPr>
            <w:tcW w:w="3855"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Revidirane smjernice za izradu Analize potreba za obukama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Realizovano 5 obuka zaposlenih zaduženih za sprovođenje analize potreba za obukom na centralnom i lokalnom nivou</w:t>
            </w:r>
          </w:p>
        </w:tc>
        <w:tc>
          <w:tcPr>
            <w:tcW w:w="1467"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ZOCG</w:t>
            </w:r>
          </w:p>
        </w:tc>
        <w:tc>
          <w:tcPr>
            <w:tcW w:w="1412"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38"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24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17.000 €</w:t>
            </w:r>
          </w:p>
        </w:tc>
        <w:tc>
          <w:tcPr>
            <w:tcW w:w="1858"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p w:rsidR="00042F67" w:rsidRPr="000545E1" w:rsidRDefault="00042F67" w:rsidP="001D3F7C">
            <w:pPr>
              <w:spacing w:before="20" w:after="20"/>
              <w:jc w:val="center"/>
              <w:rPr>
                <w:rFonts w:ascii="Sitka Text" w:hAnsi="Sitka Text" w:cs="Mongolian Baiti"/>
                <w:color w:val="auto"/>
              </w:rPr>
            </w:pPr>
          </w:p>
        </w:tc>
      </w:tr>
      <w:tr w:rsidR="00042F67" w:rsidRPr="000545E1" w:rsidTr="001D3F7C">
        <w:trPr>
          <w:gridAfter w:val="1"/>
          <w:wAfter w:w="32" w:type="dxa"/>
        </w:trPr>
        <w:tc>
          <w:tcPr>
            <w:tcW w:w="625" w:type="dxa"/>
            <w:shd w:val="clear" w:color="auto" w:fill="auto"/>
          </w:tcPr>
          <w:p w:rsidR="00042F67" w:rsidRPr="000545E1" w:rsidRDefault="00042F67" w:rsidP="001D3F7C">
            <w:pPr>
              <w:spacing w:before="20" w:after="20"/>
              <w:ind w:left="-26" w:right="-108"/>
              <w:rPr>
                <w:rFonts w:ascii="Sitka Text" w:hAnsi="Sitka Text" w:cs="Mongolian Baiti"/>
                <w:color w:val="auto"/>
              </w:rPr>
            </w:pPr>
            <w:r w:rsidRPr="000545E1">
              <w:rPr>
                <w:rFonts w:ascii="Sitka Text" w:hAnsi="Sitka Text" w:cs="Mongolian Baiti"/>
                <w:color w:val="auto"/>
              </w:rPr>
              <w:t>3.2.6</w:t>
            </w:r>
          </w:p>
        </w:tc>
        <w:tc>
          <w:tcPr>
            <w:tcW w:w="2866" w:type="dxa"/>
            <w:shd w:val="clear" w:color="auto" w:fill="auto"/>
          </w:tcPr>
          <w:p w:rsidR="00042F67" w:rsidRPr="000545E1" w:rsidDel="00AC06B0" w:rsidRDefault="00042F67" w:rsidP="001D3F7C">
            <w:pPr>
              <w:spacing w:before="20" w:after="20"/>
              <w:rPr>
                <w:rFonts w:ascii="Sitka Text" w:hAnsi="Sitka Text" w:cs="Mongolian Baiti"/>
                <w:color w:val="auto"/>
              </w:rPr>
            </w:pPr>
            <w:r w:rsidRPr="000545E1">
              <w:rPr>
                <w:rFonts w:ascii="Sitka Text" w:hAnsi="Sitka Text" w:cs="Mongolian Baiti"/>
                <w:color w:val="auto"/>
              </w:rPr>
              <w:t>Unaprijeđen sistem stručnog osposobljavanja i usavršavanja</w:t>
            </w:r>
          </w:p>
        </w:tc>
        <w:tc>
          <w:tcPr>
            <w:tcW w:w="3855"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Izmijenjena Uredba o stručnom osposobljavanju i usavršavanju u dijelu vrste programa, analize efekata obuka, ciklus upravljanja obukama</w:t>
            </w:r>
          </w:p>
        </w:tc>
        <w:tc>
          <w:tcPr>
            <w:tcW w:w="1467"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tc>
        <w:tc>
          <w:tcPr>
            <w:tcW w:w="1412"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38"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24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5.000 €</w:t>
            </w:r>
          </w:p>
        </w:tc>
        <w:tc>
          <w:tcPr>
            <w:tcW w:w="1858"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2" w:type="dxa"/>
        </w:trPr>
        <w:tc>
          <w:tcPr>
            <w:tcW w:w="625" w:type="dxa"/>
            <w:shd w:val="clear" w:color="auto" w:fill="FFFFFF" w:themeFill="background1"/>
          </w:tcPr>
          <w:p w:rsidR="00042F67" w:rsidRPr="000545E1" w:rsidRDefault="00042F67" w:rsidP="001D3F7C">
            <w:pPr>
              <w:spacing w:before="20" w:after="20"/>
              <w:ind w:left="-26" w:right="-108"/>
              <w:rPr>
                <w:rFonts w:ascii="Sitka Text" w:hAnsi="Sitka Text" w:cs="Mongolian Baiti"/>
                <w:color w:val="auto"/>
              </w:rPr>
            </w:pPr>
            <w:r w:rsidRPr="000545E1">
              <w:rPr>
                <w:rFonts w:ascii="Sitka Text" w:hAnsi="Sitka Text" w:cs="Mongolian Baiti"/>
                <w:color w:val="auto"/>
              </w:rPr>
              <w:t>3.2.7</w:t>
            </w:r>
          </w:p>
        </w:tc>
        <w:tc>
          <w:tcPr>
            <w:tcW w:w="2866" w:type="dxa"/>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Utvrditi/revidirati programe obuke za novozaposlene službenike </w:t>
            </w:r>
          </w:p>
        </w:tc>
        <w:tc>
          <w:tcPr>
            <w:tcW w:w="3855" w:type="dxa"/>
            <w:gridSpan w:val="2"/>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Utvrđen/revidiran program obuke za novozaposlene službenike</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- 2 ciklusa programa realizovani za novozaposlene sčužbenike</w:t>
            </w:r>
          </w:p>
        </w:tc>
        <w:tc>
          <w:tcPr>
            <w:tcW w:w="1467"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tc>
        <w:tc>
          <w:tcPr>
            <w:tcW w:w="1412"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38"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1248"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10.000 €</w:t>
            </w:r>
          </w:p>
        </w:tc>
        <w:tc>
          <w:tcPr>
            <w:tcW w:w="1858"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2" w:type="dxa"/>
        </w:trPr>
        <w:tc>
          <w:tcPr>
            <w:tcW w:w="625" w:type="dxa"/>
            <w:shd w:val="clear" w:color="auto" w:fill="FFFFFF" w:themeFill="background1"/>
          </w:tcPr>
          <w:p w:rsidR="00042F67" w:rsidRPr="000545E1" w:rsidRDefault="00042F67" w:rsidP="001D3F7C">
            <w:pPr>
              <w:spacing w:before="20" w:after="20"/>
              <w:ind w:left="-26" w:right="-108"/>
              <w:rPr>
                <w:rFonts w:ascii="Sitka Text" w:hAnsi="Sitka Text" w:cs="Mongolian Baiti"/>
                <w:color w:val="auto"/>
              </w:rPr>
            </w:pPr>
            <w:r w:rsidRPr="000545E1">
              <w:rPr>
                <w:rFonts w:ascii="Sitka Text" w:hAnsi="Sitka Text" w:cs="Mongolian Baiti"/>
                <w:color w:val="auto"/>
              </w:rPr>
              <w:t>3.2.8</w:t>
            </w:r>
          </w:p>
        </w:tc>
        <w:tc>
          <w:tcPr>
            <w:tcW w:w="2866" w:type="dxa"/>
            <w:shd w:val="clear" w:color="auto" w:fill="FFFFFF" w:themeFill="background1"/>
          </w:tcPr>
          <w:p w:rsidR="00042F67" w:rsidRPr="000545E1" w:rsidRDefault="00042F67" w:rsidP="001D3F7C">
            <w:pPr>
              <w:spacing w:before="20" w:after="20"/>
              <w:rPr>
                <w:rFonts w:ascii="Sitka Text" w:hAnsi="Sitka Text" w:cs="Mongolian Baiti"/>
                <w:color w:val="auto"/>
                <w:highlight w:val="yellow"/>
              </w:rPr>
            </w:pPr>
            <w:r w:rsidRPr="000545E1">
              <w:rPr>
                <w:rFonts w:ascii="Sitka Text" w:hAnsi="Sitka Text" w:cs="Mongolian Baiti"/>
                <w:color w:val="auto"/>
              </w:rPr>
              <w:t>Razvijanje smjernica i platforme za e-obuke</w:t>
            </w:r>
          </w:p>
        </w:tc>
        <w:tc>
          <w:tcPr>
            <w:tcW w:w="3855" w:type="dxa"/>
            <w:gridSpan w:val="2"/>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Razvijene smjernice za e-obuke u UZK</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Unaprijeđena platforma za e-obuke</w:t>
            </w:r>
          </w:p>
          <w:p w:rsidR="00042F67" w:rsidRPr="000545E1" w:rsidRDefault="00042F67" w:rsidP="001D3F7C">
            <w:pPr>
              <w:spacing w:before="20" w:after="20"/>
              <w:rPr>
                <w:rFonts w:ascii="Sitka Text" w:hAnsi="Sitka Text" w:cs="Mongolian Baiti"/>
                <w:color w:val="auto"/>
                <w:highlight w:val="yellow"/>
              </w:rPr>
            </w:pPr>
            <w:r w:rsidRPr="000545E1">
              <w:rPr>
                <w:rFonts w:ascii="Sitka Text" w:hAnsi="Sitka Text" w:cs="Mongolian Baiti"/>
                <w:color w:val="auto"/>
              </w:rPr>
              <w:t>- Najmanje 7 obuka razvijeno u skladu sa smjernicama za e-obuke</w:t>
            </w:r>
          </w:p>
        </w:tc>
        <w:tc>
          <w:tcPr>
            <w:tcW w:w="1467"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tc>
        <w:tc>
          <w:tcPr>
            <w:tcW w:w="1412"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38"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2023</w:t>
            </w:r>
          </w:p>
        </w:tc>
        <w:tc>
          <w:tcPr>
            <w:tcW w:w="1248"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72.000 €</w:t>
            </w:r>
          </w:p>
        </w:tc>
        <w:tc>
          <w:tcPr>
            <w:tcW w:w="1858"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2" w:type="dxa"/>
        </w:trPr>
        <w:tc>
          <w:tcPr>
            <w:tcW w:w="625" w:type="dxa"/>
            <w:shd w:val="clear" w:color="auto" w:fill="auto"/>
          </w:tcPr>
          <w:p w:rsidR="00042F67" w:rsidRPr="000545E1" w:rsidRDefault="00042F67" w:rsidP="001D3F7C">
            <w:pPr>
              <w:spacing w:before="20" w:after="20"/>
              <w:ind w:left="-26" w:right="-108"/>
              <w:rPr>
                <w:rFonts w:ascii="Sitka Text" w:hAnsi="Sitka Text" w:cs="Mongolian Baiti"/>
                <w:color w:val="auto"/>
              </w:rPr>
            </w:pPr>
            <w:r w:rsidRPr="000545E1">
              <w:rPr>
                <w:rFonts w:ascii="Sitka Text" w:hAnsi="Sitka Text" w:cs="Mongolian Baiti"/>
                <w:color w:val="auto"/>
              </w:rPr>
              <w:t>3.2.9</w:t>
            </w:r>
          </w:p>
        </w:tc>
        <w:tc>
          <w:tcPr>
            <w:tcW w:w="2866"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Analiza postojećih jedinica/kontakt osoba za ljudske resurse</w:t>
            </w:r>
          </w:p>
        </w:tc>
        <w:tc>
          <w:tcPr>
            <w:tcW w:w="3855"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Izrađena analiza sa preporukama za dalje unapređenje rada jedinica/kontakt osoba za ljudske resurse</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Najmanje 50 službenika za ljudske resurse uspješno završili obuku o sticanju znanja i vještina za upravljanje ljudskim resursima</w:t>
            </w:r>
          </w:p>
        </w:tc>
        <w:tc>
          <w:tcPr>
            <w:tcW w:w="1467"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p>
        </w:tc>
        <w:tc>
          <w:tcPr>
            <w:tcW w:w="1412"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38"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124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66.000 €</w:t>
            </w:r>
          </w:p>
        </w:tc>
        <w:tc>
          <w:tcPr>
            <w:tcW w:w="1858"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2" w:type="dxa"/>
        </w:trPr>
        <w:tc>
          <w:tcPr>
            <w:tcW w:w="625" w:type="dxa"/>
          </w:tcPr>
          <w:p w:rsidR="00042F67" w:rsidRPr="000545E1" w:rsidRDefault="00042F67" w:rsidP="001D3F7C">
            <w:pPr>
              <w:spacing w:before="20" w:after="20"/>
              <w:ind w:left="-26" w:right="-108"/>
              <w:rPr>
                <w:rFonts w:ascii="Sitka Text" w:hAnsi="Sitka Text" w:cs="Mongolian Baiti"/>
                <w:color w:val="auto"/>
              </w:rPr>
            </w:pPr>
            <w:r w:rsidRPr="000545E1">
              <w:rPr>
                <w:rFonts w:ascii="Sitka Text" w:hAnsi="Sitka Text" w:cs="Mongolian Baiti"/>
                <w:color w:val="auto"/>
              </w:rPr>
              <w:lastRenderedPageBreak/>
              <w:t>3.2.10</w:t>
            </w:r>
          </w:p>
        </w:tc>
        <w:tc>
          <w:tcPr>
            <w:tcW w:w="2866"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Razvijanje agende Mreže za upravljanje ljudskim resursima na centralnom nivou</w:t>
            </w:r>
          </w:p>
        </w:tc>
        <w:tc>
          <w:tcPr>
            <w:tcW w:w="3855"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Razvijena analiza za potrebe aplikativnog rešenja za razmjenu informacija o radu Mreže</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Uspostavljena e-platforma za Mrežu</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Namjanje 3 sastanka Mreže za upravljanje ljudskim resursima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Distribucija promotivnog materijala o radu Mreže</w:t>
            </w:r>
          </w:p>
        </w:tc>
        <w:tc>
          <w:tcPr>
            <w:tcW w:w="1467"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Jedinice za upravljanje ljudskim resursima</w:t>
            </w:r>
          </w:p>
        </w:tc>
        <w:tc>
          <w:tcPr>
            <w:tcW w:w="1412"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38"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2023</w:t>
            </w:r>
          </w:p>
        </w:tc>
        <w:tc>
          <w:tcPr>
            <w:tcW w:w="1248"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28.000 €</w:t>
            </w:r>
          </w:p>
        </w:tc>
        <w:tc>
          <w:tcPr>
            <w:tcW w:w="1858"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2" w:type="dxa"/>
        </w:trPr>
        <w:tc>
          <w:tcPr>
            <w:tcW w:w="625" w:type="dxa"/>
          </w:tcPr>
          <w:p w:rsidR="00042F67" w:rsidRPr="000545E1" w:rsidRDefault="00042F67" w:rsidP="001D3F7C">
            <w:pPr>
              <w:spacing w:before="20" w:after="20"/>
              <w:ind w:left="-26" w:right="-108"/>
              <w:rPr>
                <w:rFonts w:ascii="Sitka Text" w:hAnsi="Sitka Text" w:cs="Mongolian Baiti"/>
                <w:color w:val="auto"/>
              </w:rPr>
            </w:pPr>
            <w:r w:rsidRPr="000545E1">
              <w:rPr>
                <w:rFonts w:ascii="Sitka Text" w:hAnsi="Sitka Text" w:cs="Mongolian Baiti"/>
                <w:color w:val="auto"/>
              </w:rPr>
              <w:t>3.2.11</w:t>
            </w:r>
          </w:p>
        </w:tc>
        <w:tc>
          <w:tcPr>
            <w:tcW w:w="2866"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Specijalizovane obuke za zaposlene u UZK</w:t>
            </w:r>
          </w:p>
        </w:tc>
        <w:tc>
          <w:tcPr>
            <w:tcW w:w="3855" w:type="dxa"/>
            <w:gridSpan w:val="2"/>
          </w:tcPr>
          <w:p w:rsidR="00042F67" w:rsidRPr="000545E1" w:rsidRDefault="00042F67" w:rsidP="001D3F7C">
            <w:pPr>
              <w:spacing w:before="20" w:after="20"/>
              <w:rPr>
                <w:rFonts w:ascii="Sitka Text" w:eastAsia="Cambria" w:hAnsi="Sitka Text" w:cs="Calibri"/>
                <w:color w:val="auto"/>
              </w:rPr>
            </w:pPr>
            <w:r w:rsidRPr="000545E1">
              <w:rPr>
                <w:rFonts w:ascii="Sitka Text" w:eastAsia="Cambria" w:hAnsi="Sitka Text" w:cs="Calibri"/>
                <w:color w:val="auto"/>
              </w:rPr>
              <w:t>Najmanje 20 zaposlenih u UZK i MJUDDM prošlo standardizovane obuke instituta za HR upravljanje u zemlji sa najboljom praksom upravljana HR-a</w:t>
            </w:r>
          </w:p>
        </w:tc>
        <w:tc>
          <w:tcPr>
            <w:tcW w:w="1467"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tc>
        <w:tc>
          <w:tcPr>
            <w:tcW w:w="1412"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38"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2023</w:t>
            </w:r>
          </w:p>
        </w:tc>
        <w:tc>
          <w:tcPr>
            <w:tcW w:w="1248"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5.000 €</w:t>
            </w:r>
          </w:p>
        </w:tc>
        <w:tc>
          <w:tcPr>
            <w:tcW w:w="1858"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2" w:type="dxa"/>
        </w:trPr>
        <w:tc>
          <w:tcPr>
            <w:tcW w:w="625" w:type="dxa"/>
          </w:tcPr>
          <w:p w:rsidR="00042F67" w:rsidRPr="000545E1" w:rsidRDefault="00042F67" w:rsidP="001D3F7C">
            <w:pPr>
              <w:spacing w:before="20" w:after="20"/>
              <w:ind w:left="-26" w:right="-108"/>
              <w:rPr>
                <w:rFonts w:ascii="Sitka Text" w:hAnsi="Sitka Text" w:cs="Mongolian Baiti"/>
                <w:color w:val="auto"/>
              </w:rPr>
            </w:pPr>
            <w:r w:rsidRPr="000545E1">
              <w:rPr>
                <w:rFonts w:ascii="Sitka Text" w:hAnsi="Sitka Text" w:cs="Mongolian Baiti"/>
                <w:color w:val="auto"/>
              </w:rPr>
              <w:t>3.2.12</w:t>
            </w:r>
          </w:p>
        </w:tc>
        <w:tc>
          <w:tcPr>
            <w:tcW w:w="2866"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olor w:val="auto"/>
              </w:rPr>
              <w:t>Organizovanje obuka o rodnoj ravnopravnosti za zaposlene u javnoj upravi</w:t>
            </w:r>
          </w:p>
        </w:tc>
        <w:tc>
          <w:tcPr>
            <w:tcW w:w="3855"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olor w:val="auto"/>
              </w:rPr>
              <w:t xml:space="preserve">200 učesnika prošlo obuke o rodnoj ravnopravnosti </w:t>
            </w:r>
          </w:p>
        </w:tc>
        <w:tc>
          <w:tcPr>
            <w:tcW w:w="1467"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olor w:val="auto"/>
              </w:rPr>
              <w:t>UzK</w:t>
            </w:r>
          </w:p>
        </w:tc>
        <w:tc>
          <w:tcPr>
            <w:tcW w:w="1412"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olor w:val="auto"/>
              </w:rPr>
              <w:t>II Q 2022</w:t>
            </w:r>
          </w:p>
        </w:tc>
        <w:tc>
          <w:tcPr>
            <w:tcW w:w="1338"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olor w:val="auto"/>
              </w:rPr>
              <w:t>IV Q 2023</w:t>
            </w:r>
          </w:p>
        </w:tc>
        <w:tc>
          <w:tcPr>
            <w:tcW w:w="1248"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5.000 €</w:t>
            </w:r>
          </w:p>
        </w:tc>
        <w:tc>
          <w:tcPr>
            <w:tcW w:w="1858"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2" w:type="dxa"/>
        </w:trPr>
        <w:tc>
          <w:tcPr>
            <w:tcW w:w="625" w:type="dxa"/>
            <w:shd w:val="clear" w:color="auto" w:fill="auto"/>
          </w:tcPr>
          <w:p w:rsidR="00042F67" w:rsidRPr="000545E1" w:rsidRDefault="00042F67" w:rsidP="001D3F7C">
            <w:pPr>
              <w:spacing w:before="20" w:after="20"/>
              <w:ind w:left="-26" w:right="-108"/>
              <w:rPr>
                <w:rFonts w:ascii="Sitka Text" w:hAnsi="Sitka Text" w:cs="Mongolian Baiti"/>
                <w:color w:val="auto"/>
              </w:rPr>
            </w:pPr>
            <w:r w:rsidRPr="000545E1">
              <w:rPr>
                <w:rFonts w:ascii="Sitka Text" w:hAnsi="Sitka Text" w:cs="Mongolian Baiti"/>
                <w:color w:val="auto"/>
              </w:rPr>
              <w:t>3.2.13</w:t>
            </w:r>
          </w:p>
        </w:tc>
        <w:tc>
          <w:tcPr>
            <w:tcW w:w="2866" w:type="dxa"/>
            <w:shd w:val="clear" w:color="auto" w:fill="auto"/>
          </w:tcPr>
          <w:p w:rsidR="00042F67" w:rsidRPr="000545E1" w:rsidRDefault="00042F67" w:rsidP="001D3F7C">
            <w:pPr>
              <w:spacing w:before="20" w:after="20"/>
              <w:jc w:val="both"/>
              <w:rPr>
                <w:rFonts w:ascii="Sitka Text" w:hAnsi="Sitka Text" w:cs="Times New Roman"/>
                <w:color w:val="auto"/>
              </w:rPr>
            </w:pPr>
            <w:r w:rsidRPr="000545E1">
              <w:rPr>
                <w:rFonts w:ascii="Sitka Text" w:hAnsi="Sitka Text" w:cs="Times New Roman"/>
                <w:color w:val="auto"/>
              </w:rPr>
              <w:t xml:space="preserve">Organizovanje obuke o inkluzivnoj javnoj upravi baziranoj na prinicipu ljudskih prava </w:t>
            </w:r>
          </w:p>
          <w:p w:rsidR="00042F67" w:rsidRPr="000545E1" w:rsidRDefault="00042F67" w:rsidP="001D3F7C">
            <w:pPr>
              <w:spacing w:before="20" w:after="20"/>
              <w:rPr>
                <w:rFonts w:ascii="Sitka Text" w:hAnsi="Sitka Text"/>
                <w:color w:val="auto"/>
              </w:rPr>
            </w:pPr>
          </w:p>
        </w:tc>
        <w:tc>
          <w:tcPr>
            <w:tcW w:w="3855" w:type="dxa"/>
            <w:gridSpan w:val="2"/>
            <w:shd w:val="clear" w:color="auto" w:fill="auto"/>
          </w:tcPr>
          <w:p w:rsidR="00042F67" w:rsidRPr="000545E1" w:rsidRDefault="00042F67" w:rsidP="001D3F7C">
            <w:pPr>
              <w:spacing w:before="20" w:after="20"/>
              <w:jc w:val="both"/>
              <w:rPr>
                <w:rFonts w:ascii="Sitka Text" w:hAnsi="Sitka Text" w:cs="Times New Roman"/>
                <w:color w:val="auto"/>
              </w:rPr>
            </w:pPr>
            <w:r w:rsidRPr="000545E1">
              <w:rPr>
                <w:rFonts w:ascii="Sitka Text" w:hAnsi="Sitka Text" w:cs="Times New Roman"/>
                <w:color w:val="auto"/>
              </w:rPr>
              <w:t>Organizovane 2 obuke o inkluzivnoj javnoj upravi baziranoj na prinicipu ljudskih prava za: državne službenike, rukovodni kadar, članove Vladinih komisija (KEP i KPS), kadrovske komisije i UZK, menadžere integriteta, službenike koji se bave odnosima sa javnošću</w:t>
            </w:r>
          </w:p>
        </w:tc>
        <w:tc>
          <w:tcPr>
            <w:tcW w:w="1467" w:type="dxa"/>
            <w:shd w:val="clear" w:color="auto" w:fill="auto"/>
            <w:vAlign w:val="center"/>
          </w:tcPr>
          <w:p w:rsidR="00042F67" w:rsidRPr="000545E1" w:rsidRDefault="00042F67" w:rsidP="001D3F7C">
            <w:pPr>
              <w:spacing w:before="20" w:after="20"/>
              <w:jc w:val="center"/>
              <w:rPr>
                <w:rFonts w:ascii="Sitka Text" w:hAnsi="Sitka Text"/>
                <w:color w:val="auto"/>
              </w:rPr>
            </w:pPr>
            <w:r w:rsidRPr="000545E1">
              <w:rPr>
                <w:rFonts w:ascii="Sitka Text" w:hAnsi="Sitka Text"/>
                <w:color w:val="auto"/>
              </w:rPr>
              <w:t>UzK</w:t>
            </w:r>
          </w:p>
        </w:tc>
        <w:tc>
          <w:tcPr>
            <w:tcW w:w="1412" w:type="dxa"/>
            <w:gridSpan w:val="2"/>
            <w:shd w:val="clear" w:color="auto" w:fill="auto"/>
            <w:vAlign w:val="center"/>
          </w:tcPr>
          <w:p w:rsidR="00042F67" w:rsidRPr="000545E1" w:rsidRDefault="00042F67" w:rsidP="001D3F7C">
            <w:pPr>
              <w:spacing w:before="20" w:after="20"/>
              <w:jc w:val="center"/>
              <w:rPr>
                <w:rFonts w:ascii="Sitka Text" w:hAnsi="Sitka Text"/>
                <w:color w:val="auto"/>
              </w:rPr>
            </w:pPr>
            <w:r w:rsidRPr="000545E1">
              <w:rPr>
                <w:rFonts w:ascii="Sitka Text" w:hAnsi="Sitka Text"/>
                <w:color w:val="auto"/>
              </w:rPr>
              <w:t>I Q 2023</w:t>
            </w:r>
          </w:p>
        </w:tc>
        <w:tc>
          <w:tcPr>
            <w:tcW w:w="1338" w:type="dxa"/>
            <w:shd w:val="clear" w:color="auto" w:fill="auto"/>
            <w:vAlign w:val="center"/>
          </w:tcPr>
          <w:p w:rsidR="00042F67" w:rsidRPr="000545E1" w:rsidRDefault="00042F67" w:rsidP="001D3F7C">
            <w:pPr>
              <w:spacing w:before="20" w:after="20"/>
              <w:jc w:val="center"/>
              <w:rPr>
                <w:rFonts w:ascii="Sitka Text" w:hAnsi="Sitka Text"/>
                <w:color w:val="auto"/>
              </w:rPr>
            </w:pPr>
            <w:r w:rsidRPr="000545E1">
              <w:rPr>
                <w:rFonts w:ascii="Sitka Text" w:hAnsi="Sitka Text"/>
                <w:color w:val="auto"/>
              </w:rPr>
              <w:t>III Q 2024</w:t>
            </w:r>
          </w:p>
        </w:tc>
        <w:tc>
          <w:tcPr>
            <w:tcW w:w="1248"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12.000 €</w:t>
            </w:r>
          </w:p>
        </w:tc>
        <w:tc>
          <w:tcPr>
            <w:tcW w:w="1858"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2" w:type="dxa"/>
        </w:trPr>
        <w:tc>
          <w:tcPr>
            <w:tcW w:w="625" w:type="dxa"/>
          </w:tcPr>
          <w:p w:rsidR="00042F67" w:rsidRPr="000545E1" w:rsidRDefault="00042F67" w:rsidP="001D3F7C">
            <w:pPr>
              <w:spacing w:before="20" w:after="20"/>
              <w:ind w:left="-26" w:right="-108"/>
              <w:rPr>
                <w:rFonts w:ascii="Sitka Text" w:hAnsi="Sitka Text" w:cs="Mongolian Baiti"/>
                <w:color w:val="auto"/>
              </w:rPr>
            </w:pPr>
            <w:r w:rsidRPr="000545E1">
              <w:rPr>
                <w:rFonts w:ascii="Sitka Text" w:hAnsi="Sitka Text" w:cs="Times New Roman"/>
                <w:color w:val="auto"/>
              </w:rPr>
              <w:t>3.2.14</w:t>
            </w:r>
          </w:p>
        </w:tc>
        <w:tc>
          <w:tcPr>
            <w:tcW w:w="2866" w:type="dxa"/>
          </w:tcPr>
          <w:p w:rsidR="00042F67" w:rsidRPr="000545E1" w:rsidRDefault="00042F67" w:rsidP="001D3F7C">
            <w:pPr>
              <w:spacing w:before="20" w:after="20"/>
              <w:rPr>
                <w:rFonts w:ascii="Sitka Text" w:hAnsi="Sitka Text"/>
                <w:color w:val="auto"/>
              </w:rPr>
            </w:pPr>
            <w:r w:rsidRPr="000545E1">
              <w:rPr>
                <w:rFonts w:ascii="Sitka Text" w:hAnsi="Sitka Text" w:cs="Times New Roman"/>
                <w:color w:val="auto"/>
              </w:rPr>
              <w:t xml:space="preserve">Razvoj programa za razvijanje liderskih kompetencija </w:t>
            </w:r>
          </w:p>
        </w:tc>
        <w:tc>
          <w:tcPr>
            <w:tcW w:w="3855" w:type="dxa"/>
            <w:gridSpan w:val="2"/>
          </w:tcPr>
          <w:p w:rsidR="00042F67" w:rsidRPr="000545E1" w:rsidRDefault="00042F67" w:rsidP="001D3F7C">
            <w:pPr>
              <w:spacing w:before="20" w:after="20"/>
              <w:jc w:val="both"/>
              <w:rPr>
                <w:rFonts w:ascii="Sitka Text" w:hAnsi="Sitka Text" w:cs="Times New Roman"/>
                <w:color w:val="auto"/>
              </w:rPr>
            </w:pPr>
            <w:r w:rsidRPr="000545E1">
              <w:rPr>
                <w:rFonts w:ascii="Sitka Text" w:hAnsi="Sitka Text" w:cs="Times New Roman"/>
                <w:color w:val="auto"/>
              </w:rPr>
              <w:t xml:space="preserve">- Razvijena obuka za liderske kompetencije uključujući principe raznolikosti, ravnopravnosti, inkluzivnosti i pristupačnosti </w:t>
            </w:r>
          </w:p>
          <w:p w:rsidR="00042F67" w:rsidRPr="000545E1" w:rsidRDefault="00042F67" w:rsidP="001D3F7C">
            <w:pPr>
              <w:spacing w:before="20" w:after="20"/>
              <w:jc w:val="both"/>
              <w:rPr>
                <w:rFonts w:ascii="Sitka Text" w:hAnsi="Sitka Text" w:cs="Times New Roman"/>
                <w:color w:val="auto"/>
              </w:rPr>
            </w:pPr>
            <w:r w:rsidRPr="000545E1">
              <w:rPr>
                <w:rFonts w:ascii="Sitka Text" w:hAnsi="Sitka Text" w:cs="Times New Roman"/>
                <w:color w:val="auto"/>
              </w:rPr>
              <w:t>- 30 rukovodilaca prošlo obuku za liderske kompetencije</w:t>
            </w:r>
          </w:p>
          <w:p w:rsidR="00042F67" w:rsidRPr="000545E1" w:rsidRDefault="00042F67" w:rsidP="001D3F7C">
            <w:pPr>
              <w:spacing w:before="20" w:after="20"/>
              <w:jc w:val="both"/>
              <w:rPr>
                <w:rFonts w:ascii="Sitka Text" w:hAnsi="Sitka Text"/>
                <w:color w:val="auto"/>
              </w:rPr>
            </w:pPr>
            <w:r w:rsidRPr="000545E1">
              <w:rPr>
                <w:rFonts w:ascii="Sitka Text" w:hAnsi="Sitka Text" w:cs="Times New Roman"/>
                <w:color w:val="auto"/>
              </w:rPr>
              <w:t>- Formirana ekspertska grupa za podsticanje liderstva u javnoj upravi po mjeri 21. vijeka s ciljem unaprjeđenja organizacione kulture i motivišućih menadžerskih stilova u javnoj upravi</w:t>
            </w:r>
          </w:p>
        </w:tc>
        <w:tc>
          <w:tcPr>
            <w:tcW w:w="1467" w:type="dxa"/>
            <w:vAlign w:val="center"/>
          </w:tcPr>
          <w:p w:rsidR="00042F67" w:rsidRPr="000545E1" w:rsidRDefault="00042F67" w:rsidP="001D3F7C">
            <w:pPr>
              <w:spacing w:before="20" w:after="20"/>
              <w:jc w:val="center"/>
              <w:rPr>
                <w:rFonts w:ascii="Sitka Text" w:hAnsi="Sitka Text" w:cs="Times New Roman"/>
                <w:color w:val="auto"/>
              </w:rPr>
            </w:pPr>
            <w:r w:rsidRPr="000545E1">
              <w:rPr>
                <w:rFonts w:ascii="Sitka Text" w:hAnsi="Sitka Text" w:cs="Times New Roman"/>
                <w:color w:val="auto"/>
              </w:rPr>
              <w:t>UzK</w:t>
            </w:r>
          </w:p>
          <w:p w:rsidR="00042F67" w:rsidRPr="000545E1" w:rsidRDefault="00042F67" w:rsidP="001D3F7C">
            <w:pPr>
              <w:spacing w:before="20" w:after="20"/>
              <w:jc w:val="center"/>
              <w:rPr>
                <w:rFonts w:ascii="Sitka Text" w:hAnsi="Sitka Text" w:cs="Times New Roman"/>
                <w:color w:val="auto"/>
              </w:rPr>
            </w:pPr>
            <w:r w:rsidRPr="000545E1">
              <w:rPr>
                <w:rFonts w:ascii="Sitka Text" w:hAnsi="Sitka Text" w:cs="Times New Roman"/>
                <w:color w:val="auto"/>
              </w:rPr>
              <w:t>MJUDDM</w:t>
            </w:r>
          </w:p>
          <w:p w:rsidR="00042F67" w:rsidRPr="000545E1" w:rsidRDefault="00042F67" w:rsidP="001D3F7C">
            <w:pPr>
              <w:spacing w:before="20" w:after="20"/>
              <w:jc w:val="center"/>
              <w:rPr>
                <w:rFonts w:ascii="Sitka Text" w:hAnsi="Sitka Text" w:cs="Times New Roman"/>
                <w:color w:val="auto"/>
              </w:rPr>
            </w:pPr>
            <w:r w:rsidRPr="000545E1">
              <w:rPr>
                <w:rFonts w:ascii="Sitka Text" w:hAnsi="Sitka Text" w:cs="Times New Roman"/>
                <w:color w:val="auto"/>
              </w:rPr>
              <w:t>GSV</w:t>
            </w:r>
          </w:p>
          <w:p w:rsidR="00042F67" w:rsidRPr="000545E1" w:rsidRDefault="00042F67" w:rsidP="001D3F7C">
            <w:pPr>
              <w:spacing w:before="20" w:after="20"/>
              <w:jc w:val="center"/>
              <w:rPr>
                <w:rFonts w:ascii="Sitka Text" w:hAnsi="Sitka Text"/>
                <w:color w:val="auto"/>
              </w:rPr>
            </w:pPr>
            <w:r w:rsidRPr="000545E1">
              <w:rPr>
                <w:rFonts w:ascii="Sitka Text" w:hAnsi="Sitka Text" w:cs="Times New Roman"/>
                <w:color w:val="auto"/>
              </w:rPr>
              <w:t>Kabinet predsjednika Vlade</w:t>
            </w:r>
          </w:p>
        </w:tc>
        <w:tc>
          <w:tcPr>
            <w:tcW w:w="1412" w:type="dxa"/>
            <w:gridSpan w:val="2"/>
            <w:vAlign w:val="center"/>
          </w:tcPr>
          <w:p w:rsidR="00042F67" w:rsidRPr="000545E1" w:rsidRDefault="00042F67" w:rsidP="001D3F7C">
            <w:pPr>
              <w:spacing w:before="20" w:after="20"/>
              <w:jc w:val="center"/>
              <w:rPr>
                <w:rFonts w:ascii="Sitka Text" w:hAnsi="Sitka Text"/>
                <w:color w:val="auto"/>
              </w:rPr>
            </w:pPr>
            <w:r w:rsidRPr="000545E1">
              <w:rPr>
                <w:rFonts w:ascii="Sitka Text" w:hAnsi="Sitka Text"/>
                <w:color w:val="auto"/>
              </w:rPr>
              <w:t>I Q 2023</w:t>
            </w:r>
          </w:p>
        </w:tc>
        <w:tc>
          <w:tcPr>
            <w:tcW w:w="1338" w:type="dxa"/>
            <w:vAlign w:val="center"/>
          </w:tcPr>
          <w:p w:rsidR="00042F67" w:rsidRPr="000545E1" w:rsidRDefault="00042F67" w:rsidP="001D3F7C">
            <w:pPr>
              <w:spacing w:before="20" w:after="20"/>
              <w:jc w:val="center"/>
              <w:rPr>
                <w:rFonts w:ascii="Sitka Text" w:hAnsi="Sitka Text"/>
                <w:color w:val="auto"/>
              </w:rPr>
            </w:pPr>
            <w:r w:rsidRPr="000545E1">
              <w:rPr>
                <w:rFonts w:ascii="Sitka Text" w:hAnsi="Sitka Text"/>
                <w:color w:val="auto"/>
              </w:rPr>
              <w:t>IV Q 2024</w:t>
            </w:r>
          </w:p>
        </w:tc>
        <w:tc>
          <w:tcPr>
            <w:tcW w:w="1248"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23.000 €</w:t>
            </w:r>
          </w:p>
        </w:tc>
        <w:tc>
          <w:tcPr>
            <w:tcW w:w="1858"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2" w:type="dxa"/>
        </w:trPr>
        <w:tc>
          <w:tcPr>
            <w:tcW w:w="625" w:type="dxa"/>
          </w:tcPr>
          <w:p w:rsidR="00042F67" w:rsidRPr="000545E1" w:rsidRDefault="00042F67" w:rsidP="001D3F7C">
            <w:pPr>
              <w:spacing w:before="20" w:after="20"/>
              <w:ind w:left="-26" w:right="-108"/>
              <w:rPr>
                <w:rFonts w:ascii="Sitka Text" w:hAnsi="Sitka Text" w:cs="Times New Roman"/>
                <w:color w:val="auto"/>
              </w:rPr>
            </w:pPr>
            <w:r w:rsidRPr="000545E1">
              <w:rPr>
                <w:rFonts w:ascii="Sitka Text" w:hAnsi="Sitka Text" w:cs="Times New Roman"/>
                <w:color w:val="auto"/>
              </w:rPr>
              <w:lastRenderedPageBreak/>
              <w:t>3.2.15</w:t>
            </w:r>
          </w:p>
        </w:tc>
        <w:tc>
          <w:tcPr>
            <w:tcW w:w="2866" w:type="dxa"/>
          </w:tcPr>
          <w:p w:rsidR="00042F67" w:rsidRPr="000545E1" w:rsidRDefault="00042F67" w:rsidP="001D3F7C">
            <w:pPr>
              <w:spacing w:before="20" w:after="20"/>
              <w:rPr>
                <w:rFonts w:ascii="Sitka Text" w:hAnsi="Sitka Text" w:cs="Times New Roman"/>
                <w:color w:val="auto"/>
              </w:rPr>
            </w:pPr>
            <w:r w:rsidRPr="000545E1">
              <w:rPr>
                <w:rFonts w:ascii="Sitka Text" w:hAnsi="Sitka Text" w:cs="Times New Roman"/>
                <w:color w:val="auto"/>
              </w:rPr>
              <w:t xml:space="preserve">Kreiranje mentorskih modula za liderstvo u javnoj upravi </w:t>
            </w:r>
          </w:p>
        </w:tc>
        <w:tc>
          <w:tcPr>
            <w:tcW w:w="3855" w:type="dxa"/>
            <w:gridSpan w:val="2"/>
          </w:tcPr>
          <w:p w:rsidR="00042F67" w:rsidRPr="000545E1" w:rsidRDefault="00042F67" w:rsidP="001D3F7C">
            <w:pPr>
              <w:spacing w:before="20" w:after="20"/>
              <w:jc w:val="both"/>
              <w:rPr>
                <w:rFonts w:ascii="Sitka Text" w:hAnsi="Sitka Text" w:cs="Times New Roman"/>
                <w:color w:val="auto"/>
              </w:rPr>
            </w:pPr>
            <w:r w:rsidRPr="000545E1">
              <w:rPr>
                <w:rFonts w:ascii="Sitka Text" w:hAnsi="Sitka Text" w:cs="Times New Roman"/>
                <w:color w:val="auto"/>
              </w:rPr>
              <w:t>- Razvijeni mentorski moduli za liderstvo u javnoj upravi sa fokusom na integrisanje principa ravnopravnosti i poštovanje ljudskih prava</w:t>
            </w:r>
          </w:p>
          <w:p w:rsidR="00042F67" w:rsidRPr="000545E1" w:rsidRDefault="00042F67" w:rsidP="001D3F7C">
            <w:pPr>
              <w:spacing w:before="20" w:after="20"/>
              <w:jc w:val="both"/>
              <w:rPr>
                <w:rFonts w:ascii="Sitka Text" w:hAnsi="Sitka Text" w:cs="Times New Roman"/>
                <w:color w:val="auto"/>
              </w:rPr>
            </w:pPr>
            <w:r w:rsidRPr="000545E1">
              <w:rPr>
                <w:rFonts w:ascii="Sitka Text" w:hAnsi="Sitka Text" w:cs="Times New Roman"/>
                <w:color w:val="auto"/>
              </w:rPr>
              <w:t>- Kroz module je mentorisano 100 zaposlenih u javnoj upravi</w:t>
            </w:r>
          </w:p>
        </w:tc>
        <w:tc>
          <w:tcPr>
            <w:tcW w:w="1467" w:type="dxa"/>
            <w:vAlign w:val="center"/>
          </w:tcPr>
          <w:p w:rsidR="00042F67" w:rsidRPr="000545E1" w:rsidRDefault="00042F67" w:rsidP="001D3F7C">
            <w:pPr>
              <w:spacing w:before="20" w:after="20"/>
              <w:jc w:val="center"/>
              <w:rPr>
                <w:rFonts w:ascii="Sitka Text" w:hAnsi="Sitka Text" w:cs="Times New Roman"/>
                <w:color w:val="auto"/>
              </w:rPr>
            </w:pPr>
            <w:r w:rsidRPr="000545E1">
              <w:rPr>
                <w:rFonts w:ascii="Sitka Text" w:hAnsi="Sitka Text" w:cs="Times New Roman"/>
                <w:color w:val="auto"/>
              </w:rPr>
              <w:t>UzK</w:t>
            </w:r>
            <w:r w:rsidRPr="000545E1">
              <w:rPr>
                <w:rFonts w:ascii="Sitka Text" w:hAnsi="Sitka Text" w:cs="Times New Roman"/>
                <w:color w:val="auto"/>
              </w:rPr>
              <w:br/>
              <w:t>MJUDDM</w:t>
            </w:r>
          </w:p>
          <w:p w:rsidR="00042F67" w:rsidRPr="000545E1" w:rsidRDefault="00042F67" w:rsidP="001D3F7C">
            <w:pPr>
              <w:spacing w:before="20" w:after="20"/>
              <w:jc w:val="center"/>
              <w:rPr>
                <w:rFonts w:ascii="Sitka Text" w:hAnsi="Sitka Text" w:cs="Times New Roman"/>
                <w:color w:val="auto"/>
              </w:rPr>
            </w:pPr>
            <w:r w:rsidRPr="000545E1">
              <w:rPr>
                <w:rFonts w:ascii="Sitka Text" w:hAnsi="Sitka Text" w:cs="Times New Roman"/>
                <w:color w:val="auto"/>
              </w:rPr>
              <w:t>GSV</w:t>
            </w:r>
          </w:p>
          <w:p w:rsidR="00042F67" w:rsidRPr="000545E1" w:rsidRDefault="00042F67" w:rsidP="001D3F7C">
            <w:pPr>
              <w:spacing w:before="20" w:after="20"/>
              <w:jc w:val="center"/>
              <w:rPr>
                <w:rFonts w:ascii="Sitka Text" w:hAnsi="Sitka Text" w:cs="Times New Roman"/>
                <w:color w:val="auto"/>
              </w:rPr>
            </w:pPr>
            <w:r w:rsidRPr="000545E1">
              <w:rPr>
                <w:rFonts w:ascii="Sitka Text" w:hAnsi="Sitka Text" w:cs="Times New Roman"/>
                <w:color w:val="auto"/>
              </w:rPr>
              <w:t>Kabinet predsjednika Vlade</w:t>
            </w:r>
          </w:p>
        </w:tc>
        <w:tc>
          <w:tcPr>
            <w:tcW w:w="1412" w:type="dxa"/>
            <w:gridSpan w:val="2"/>
            <w:vAlign w:val="center"/>
          </w:tcPr>
          <w:p w:rsidR="00042F67" w:rsidRPr="000545E1" w:rsidRDefault="00042F67" w:rsidP="001D3F7C">
            <w:pPr>
              <w:spacing w:before="20" w:after="20"/>
              <w:jc w:val="center"/>
              <w:rPr>
                <w:rFonts w:ascii="Sitka Text" w:hAnsi="Sitka Text"/>
                <w:color w:val="auto"/>
              </w:rPr>
            </w:pPr>
            <w:r w:rsidRPr="000545E1">
              <w:rPr>
                <w:rFonts w:ascii="Sitka Text" w:hAnsi="Sitka Text"/>
                <w:color w:val="auto"/>
              </w:rPr>
              <w:t>III Q 2023</w:t>
            </w:r>
          </w:p>
        </w:tc>
        <w:tc>
          <w:tcPr>
            <w:tcW w:w="1338" w:type="dxa"/>
            <w:vAlign w:val="center"/>
          </w:tcPr>
          <w:p w:rsidR="00042F67" w:rsidRPr="000545E1" w:rsidRDefault="00042F67" w:rsidP="001D3F7C">
            <w:pPr>
              <w:spacing w:before="20" w:after="20"/>
              <w:jc w:val="center"/>
              <w:rPr>
                <w:rFonts w:ascii="Sitka Text" w:hAnsi="Sitka Text"/>
                <w:color w:val="auto"/>
              </w:rPr>
            </w:pPr>
            <w:r w:rsidRPr="000545E1">
              <w:rPr>
                <w:rFonts w:ascii="Sitka Text" w:hAnsi="Sitka Text"/>
                <w:color w:val="auto"/>
              </w:rPr>
              <w:t>IV Q 2024</w:t>
            </w:r>
          </w:p>
        </w:tc>
        <w:tc>
          <w:tcPr>
            <w:tcW w:w="1248"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13.000 €</w:t>
            </w:r>
          </w:p>
        </w:tc>
        <w:tc>
          <w:tcPr>
            <w:tcW w:w="1858"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2" w:type="dxa"/>
        </w:trPr>
        <w:tc>
          <w:tcPr>
            <w:tcW w:w="625" w:type="dxa"/>
            <w:shd w:val="clear" w:color="auto" w:fill="auto"/>
          </w:tcPr>
          <w:p w:rsidR="00042F67" w:rsidRPr="000545E1" w:rsidRDefault="00042F67" w:rsidP="001D3F7C">
            <w:pPr>
              <w:spacing w:before="20" w:after="20"/>
              <w:ind w:left="-26" w:right="-108"/>
              <w:rPr>
                <w:rFonts w:ascii="Sitka Text" w:hAnsi="Sitka Text" w:cs="Times New Roman"/>
                <w:color w:val="auto"/>
              </w:rPr>
            </w:pPr>
            <w:r w:rsidRPr="000545E1">
              <w:rPr>
                <w:rFonts w:ascii="Sitka Text" w:hAnsi="Sitka Text" w:cs="Times New Roman"/>
                <w:color w:val="auto"/>
              </w:rPr>
              <w:t>3.2.16</w:t>
            </w:r>
          </w:p>
        </w:tc>
        <w:tc>
          <w:tcPr>
            <w:tcW w:w="2866" w:type="dxa"/>
            <w:shd w:val="clear" w:color="auto" w:fill="auto"/>
          </w:tcPr>
          <w:p w:rsidR="00042F67" w:rsidRPr="000545E1" w:rsidRDefault="00042F67" w:rsidP="001D3F7C">
            <w:pPr>
              <w:spacing w:before="20" w:after="20"/>
              <w:rPr>
                <w:rFonts w:ascii="Sitka Text" w:hAnsi="Sitka Text" w:cs="Times New Roman"/>
                <w:color w:val="auto"/>
              </w:rPr>
            </w:pPr>
            <w:r w:rsidRPr="000545E1">
              <w:rPr>
                <w:rFonts w:ascii="Sitka Text" w:hAnsi="Sitka Text" w:cs="Times New Roman"/>
                <w:color w:val="auto"/>
              </w:rPr>
              <w:t xml:space="preserve">Promocija javne uprave zasnovane na principima raznolikosti, jednakosti i nediskriminatorske politike </w:t>
            </w:r>
          </w:p>
        </w:tc>
        <w:tc>
          <w:tcPr>
            <w:tcW w:w="3855" w:type="dxa"/>
            <w:gridSpan w:val="2"/>
            <w:shd w:val="clear" w:color="auto" w:fill="auto"/>
          </w:tcPr>
          <w:p w:rsidR="00042F67" w:rsidRPr="000545E1" w:rsidRDefault="00042F67" w:rsidP="001D3F7C">
            <w:pPr>
              <w:spacing w:before="20" w:after="20"/>
              <w:jc w:val="both"/>
              <w:rPr>
                <w:rFonts w:ascii="Sitka Text" w:hAnsi="Sitka Text" w:cs="Times New Roman"/>
                <w:color w:val="auto"/>
              </w:rPr>
            </w:pPr>
            <w:r w:rsidRPr="000545E1">
              <w:rPr>
                <w:rFonts w:ascii="Sitka Text" w:hAnsi="Sitka Text" w:cs="Times New Roman"/>
                <w:color w:val="auto"/>
              </w:rPr>
              <w:t>- Organizovan okrugli sto na temu javne uprave zasnovane na principima raznolikosti, jednakosti i antidiskriminaciji pri zapošljavanju i radu u organima javne uprave na liderskom nivou</w:t>
            </w:r>
          </w:p>
          <w:p w:rsidR="00042F67" w:rsidRPr="000545E1" w:rsidRDefault="00042F67" w:rsidP="001D3F7C">
            <w:pPr>
              <w:spacing w:before="20" w:after="20"/>
              <w:jc w:val="both"/>
              <w:rPr>
                <w:rFonts w:ascii="Sitka Text" w:hAnsi="Sitka Text" w:cs="Times New Roman"/>
                <w:color w:val="auto"/>
              </w:rPr>
            </w:pPr>
            <w:r w:rsidRPr="000545E1">
              <w:rPr>
                <w:rFonts w:ascii="Sitka Text" w:hAnsi="Sitka Text" w:cs="Times New Roman"/>
                <w:color w:val="auto"/>
              </w:rPr>
              <w:t>- Kreirani video-klipovi za promociju javne uprave zasnovane na principima raznolikosti i jednakosti</w:t>
            </w:r>
          </w:p>
        </w:tc>
        <w:tc>
          <w:tcPr>
            <w:tcW w:w="1467" w:type="dxa"/>
            <w:shd w:val="clear" w:color="auto" w:fill="auto"/>
            <w:vAlign w:val="center"/>
          </w:tcPr>
          <w:p w:rsidR="00042F67" w:rsidRPr="000545E1" w:rsidRDefault="00042F67" w:rsidP="001D3F7C">
            <w:pPr>
              <w:spacing w:before="20" w:after="20"/>
              <w:jc w:val="center"/>
              <w:rPr>
                <w:rFonts w:ascii="Sitka Text" w:hAnsi="Sitka Text" w:cs="Times New Roman"/>
                <w:color w:val="auto"/>
              </w:rPr>
            </w:pPr>
            <w:r w:rsidRPr="000545E1">
              <w:rPr>
                <w:rFonts w:ascii="Sitka Text" w:hAnsi="Sitka Text" w:cs="Times New Roman"/>
                <w:color w:val="auto"/>
              </w:rPr>
              <w:t>MJUDDM</w:t>
            </w:r>
          </w:p>
        </w:tc>
        <w:tc>
          <w:tcPr>
            <w:tcW w:w="1412" w:type="dxa"/>
            <w:gridSpan w:val="2"/>
            <w:shd w:val="clear" w:color="auto" w:fill="auto"/>
            <w:vAlign w:val="center"/>
          </w:tcPr>
          <w:p w:rsidR="00042F67" w:rsidRPr="000545E1" w:rsidRDefault="00042F67" w:rsidP="001D3F7C">
            <w:pPr>
              <w:spacing w:before="20" w:after="20"/>
              <w:jc w:val="center"/>
              <w:rPr>
                <w:rFonts w:ascii="Sitka Text" w:hAnsi="Sitka Text"/>
                <w:color w:val="auto"/>
              </w:rPr>
            </w:pPr>
            <w:r w:rsidRPr="000545E1">
              <w:rPr>
                <w:rFonts w:ascii="Sitka Text" w:hAnsi="Sitka Text"/>
                <w:color w:val="auto"/>
              </w:rPr>
              <w:t>II Q 2022</w:t>
            </w:r>
          </w:p>
        </w:tc>
        <w:tc>
          <w:tcPr>
            <w:tcW w:w="1338" w:type="dxa"/>
            <w:shd w:val="clear" w:color="auto" w:fill="auto"/>
            <w:vAlign w:val="center"/>
          </w:tcPr>
          <w:p w:rsidR="00042F67" w:rsidRPr="000545E1" w:rsidRDefault="00042F67" w:rsidP="001D3F7C">
            <w:pPr>
              <w:spacing w:before="20" w:after="20"/>
              <w:jc w:val="center"/>
              <w:rPr>
                <w:rFonts w:ascii="Sitka Text" w:hAnsi="Sitka Text"/>
                <w:color w:val="auto"/>
              </w:rPr>
            </w:pPr>
            <w:r w:rsidRPr="000545E1">
              <w:rPr>
                <w:rFonts w:ascii="Sitka Text" w:hAnsi="Sitka Text"/>
                <w:color w:val="auto"/>
              </w:rPr>
              <w:t>IV Q 2024</w:t>
            </w:r>
          </w:p>
        </w:tc>
        <w:tc>
          <w:tcPr>
            <w:tcW w:w="1248" w:type="dxa"/>
            <w:gridSpan w:val="2"/>
            <w:shd w:val="clear" w:color="auto" w:fill="auto"/>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color w:val="auto"/>
              </w:rPr>
              <w:t>56-000 €</w:t>
            </w:r>
          </w:p>
        </w:tc>
        <w:tc>
          <w:tcPr>
            <w:tcW w:w="1858"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gridAfter w:val="1"/>
          <w:wAfter w:w="32" w:type="dxa"/>
        </w:trPr>
        <w:tc>
          <w:tcPr>
            <w:tcW w:w="625" w:type="dxa"/>
            <w:shd w:val="clear" w:color="auto" w:fill="FFFFFF" w:themeFill="background1"/>
          </w:tcPr>
          <w:p w:rsidR="00042F67" w:rsidRPr="000545E1" w:rsidRDefault="00042F67" w:rsidP="001D3F7C">
            <w:pPr>
              <w:spacing w:before="20" w:after="20"/>
              <w:ind w:left="-26" w:right="-108"/>
              <w:rPr>
                <w:rFonts w:ascii="Sitka Text" w:hAnsi="Sitka Text" w:cs="Times New Roman"/>
                <w:color w:val="auto"/>
              </w:rPr>
            </w:pPr>
            <w:r w:rsidRPr="000545E1">
              <w:rPr>
                <w:rFonts w:ascii="Sitka Text" w:eastAsia="Sitka Text" w:hAnsi="Sitka Text" w:cs="Sitka Text"/>
                <w:color w:val="auto"/>
              </w:rPr>
              <w:t>3.2.17</w:t>
            </w:r>
          </w:p>
        </w:tc>
        <w:tc>
          <w:tcPr>
            <w:tcW w:w="2866" w:type="dxa"/>
            <w:shd w:val="clear" w:color="auto" w:fill="FFFFFF" w:themeFill="background1"/>
          </w:tcPr>
          <w:p w:rsidR="00042F67" w:rsidRPr="000545E1" w:rsidRDefault="00042F67" w:rsidP="001D3F7C">
            <w:pPr>
              <w:spacing w:before="20" w:after="20"/>
              <w:rPr>
                <w:rFonts w:ascii="Sitka Text" w:hAnsi="Sitka Text" w:cs="Times New Roman"/>
                <w:color w:val="auto"/>
              </w:rPr>
            </w:pPr>
            <w:r w:rsidRPr="000545E1">
              <w:rPr>
                <w:rFonts w:ascii="Sitka Text" w:eastAsia="Sitka Text" w:hAnsi="Sitka Text" w:cs="Sitka Text"/>
                <w:color w:val="auto"/>
              </w:rPr>
              <w:t>Unapređivanje digitalnih vještina zaposlenih u javnoj upravi</w:t>
            </w:r>
          </w:p>
        </w:tc>
        <w:tc>
          <w:tcPr>
            <w:tcW w:w="3855" w:type="dxa"/>
            <w:gridSpan w:val="2"/>
            <w:shd w:val="clear" w:color="auto" w:fill="FFFFFF" w:themeFill="background1"/>
            <w:vAlign w:val="center"/>
          </w:tcPr>
          <w:p w:rsidR="00042F67" w:rsidRPr="000545E1" w:rsidRDefault="00042F67" w:rsidP="001D3F7C">
            <w:pPr>
              <w:spacing w:before="20" w:after="20"/>
              <w:jc w:val="both"/>
              <w:rPr>
                <w:rFonts w:ascii="Sitka Text" w:eastAsia="Sitka Text" w:hAnsi="Sitka Text" w:cs="Sitka Text"/>
                <w:color w:val="auto"/>
              </w:rPr>
            </w:pPr>
            <w:r w:rsidRPr="000545E1">
              <w:rPr>
                <w:rFonts w:ascii="Sitka Text" w:eastAsia="Sitka Text" w:hAnsi="Sitka Text" w:cs="Sitka Text"/>
                <w:color w:val="auto"/>
              </w:rPr>
              <w:t>- Kreiran program obuka za sticanje digitalnih vještina</w:t>
            </w:r>
          </w:p>
          <w:p w:rsidR="00042F67" w:rsidRPr="000545E1" w:rsidRDefault="00042F67" w:rsidP="001D3F7C">
            <w:pPr>
              <w:spacing w:before="20" w:after="20"/>
              <w:jc w:val="both"/>
              <w:rPr>
                <w:rFonts w:ascii="Sitka Text" w:eastAsia="Sitka Text" w:hAnsi="Sitka Text" w:cs="Sitka Text"/>
                <w:color w:val="auto"/>
              </w:rPr>
            </w:pPr>
            <w:r w:rsidRPr="000545E1">
              <w:rPr>
                <w:rFonts w:ascii="Sitka Text" w:eastAsia="Sitka Text" w:hAnsi="Sitka Text" w:cs="Sitka Text"/>
                <w:color w:val="auto"/>
              </w:rPr>
              <w:t>- Sprovedene obuke za min 80 službenika</w:t>
            </w:r>
          </w:p>
          <w:p w:rsidR="00042F67" w:rsidRPr="000545E1" w:rsidRDefault="00042F67" w:rsidP="001D3F7C">
            <w:pPr>
              <w:spacing w:before="20" w:after="20"/>
              <w:jc w:val="both"/>
              <w:rPr>
                <w:rFonts w:ascii="Sitka Text" w:eastAsia="Sitka Text" w:hAnsi="Sitka Text" w:cs="Sitka Text"/>
                <w:color w:val="auto"/>
              </w:rPr>
            </w:pPr>
            <w:r w:rsidRPr="000545E1">
              <w:rPr>
                <w:rFonts w:ascii="Sitka Text" w:eastAsia="Sitka Text" w:hAnsi="Sitka Text" w:cs="Sitka Text"/>
                <w:color w:val="auto"/>
              </w:rPr>
              <w:t>Broj promo aktivnosti:</w:t>
            </w:r>
          </w:p>
          <w:p w:rsidR="00042F67" w:rsidRPr="000545E1" w:rsidRDefault="00042F67" w:rsidP="001D3F7C">
            <w:pPr>
              <w:spacing w:before="20" w:after="20"/>
              <w:jc w:val="both"/>
              <w:rPr>
                <w:rFonts w:ascii="Sitka Text" w:eastAsia="Sitka Text" w:hAnsi="Sitka Text" w:cs="Sitka Text"/>
                <w:color w:val="auto"/>
              </w:rPr>
            </w:pPr>
            <w:r w:rsidRPr="000545E1">
              <w:rPr>
                <w:rFonts w:ascii="Sitka Text" w:eastAsia="Sitka Text" w:hAnsi="Sitka Text" w:cs="Sitka Text"/>
                <w:color w:val="auto"/>
              </w:rPr>
              <w:t>- Kreirana promotivna kampanja o značaju unaprjeđenja digitalnih vještina zaposlenih u javnoj upravi</w:t>
            </w:r>
          </w:p>
          <w:p w:rsidR="00042F67" w:rsidRPr="000545E1" w:rsidRDefault="00042F67" w:rsidP="001D3F7C">
            <w:pPr>
              <w:spacing w:before="20" w:after="20"/>
              <w:jc w:val="both"/>
              <w:rPr>
                <w:rFonts w:ascii="Sitka Text" w:eastAsia="Sitka Text" w:hAnsi="Sitka Text" w:cs="Sitka Text"/>
                <w:color w:val="auto"/>
              </w:rPr>
            </w:pPr>
            <w:r w:rsidRPr="000545E1">
              <w:rPr>
                <w:rFonts w:ascii="Sitka Text" w:eastAsia="Sitka Text" w:hAnsi="Sitka Text" w:cs="Sitka Text"/>
                <w:color w:val="auto"/>
              </w:rPr>
              <w:t>- Kreiran program obuka za zaposlene u službama finansija u javnoj upravi</w:t>
            </w:r>
          </w:p>
          <w:p w:rsidR="00042F67" w:rsidRPr="000545E1" w:rsidRDefault="00042F67" w:rsidP="001D3F7C">
            <w:pPr>
              <w:spacing w:before="20" w:after="20"/>
              <w:jc w:val="both"/>
              <w:rPr>
                <w:rFonts w:ascii="Sitka Text" w:eastAsia="Sitka Text" w:hAnsi="Sitka Text" w:cs="Sitka Text"/>
                <w:color w:val="auto"/>
              </w:rPr>
            </w:pPr>
            <w:r w:rsidRPr="000545E1">
              <w:rPr>
                <w:rFonts w:ascii="Sitka Text" w:eastAsia="Sitka Text" w:hAnsi="Sitka Text" w:cs="Sitka Text"/>
                <w:color w:val="auto"/>
              </w:rPr>
              <w:t>- Obučeno 20% zaposlenih u javnoj upravi u službama finansija</w:t>
            </w:r>
          </w:p>
          <w:p w:rsidR="00042F67" w:rsidRPr="000545E1" w:rsidRDefault="00042F67" w:rsidP="001D3F7C">
            <w:pPr>
              <w:spacing w:before="20" w:after="20"/>
              <w:jc w:val="both"/>
              <w:rPr>
                <w:rFonts w:ascii="Sitka Text" w:eastAsia="Sitka Text" w:hAnsi="Sitka Text" w:cs="Sitka Text"/>
                <w:color w:val="auto"/>
              </w:rPr>
            </w:pPr>
            <w:r w:rsidRPr="000545E1">
              <w:rPr>
                <w:rFonts w:ascii="Sitka Text" w:eastAsia="Sitka Text" w:hAnsi="Sitka Text" w:cs="Sitka Text"/>
                <w:color w:val="auto"/>
              </w:rPr>
              <w:t>- Kreiran program obuka za zaposlene u pravnim službama u javnoj upravi</w:t>
            </w:r>
          </w:p>
          <w:p w:rsidR="00042F67" w:rsidRPr="000545E1" w:rsidRDefault="00042F67" w:rsidP="001D3F7C">
            <w:pPr>
              <w:spacing w:before="20" w:after="20"/>
              <w:jc w:val="both"/>
              <w:rPr>
                <w:rFonts w:ascii="Sitka Text" w:eastAsia="Sitka Text" w:hAnsi="Sitka Text" w:cs="Sitka Text"/>
                <w:color w:val="auto"/>
              </w:rPr>
            </w:pPr>
            <w:r w:rsidRPr="000545E1">
              <w:rPr>
                <w:rFonts w:ascii="Sitka Text" w:eastAsia="Sitka Text" w:hAnsi="Sitka Text" w:cs="Sitka Text"/>
                <w:color w:val="auto"/>
              </w:rPr>
              <w:t>- Obučeno 20% zaposlenih u javnoj upravi u pravnim službama</w:t>
            </w:r>
          </w:p>
        </w:tc>
        <w:tc>
          <w:tcPr>
            <w:tcW w:w="1467" w:type="dxa"/>
            <w:shd w:val="clear" w:color="auto" w:fill="FFFFFF" w:themeFill="background1"/>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UZK</w:t>
            </w:r>
          </w:p>
          <w:p w:rsidR="00042F67" w:rsidRPr="000545E1" w:rsidRDefault="00042F67" w:rsidP="001D3F7C">
            <w:pPr>
              <w:spacing w:before="20" w:after="20"/>
              <w:jc w:val="center"/>
              <w:rPr>
                <w:rFonts w:ascii="Sitka Text" w:hAnsi="Sitka Text" w:cs="Times New Roman"/>
                <w:color w:val="auto"/>
              </w:rPr>
            </w:pPr>
            <w:r w:rsidRPr="000545E1">
              <w:rPr>
                <w:rFonts w:ascii="Sitka Text" w:eastAsia="Sitka Text" w:hAnsi="Sitka Text" w:cs="Sitka Text"/>
                <w:color w:val="auto"/>
              </w:rPr>
              <w:t>MJUDDM</w:t>
            </w:r>
          </w:p>
        </w:tc>
        <w:tc>
          <w:tcPr>
            <w:tcW w:w="1412"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olor w:val="auto"/>
              </w:rPr>
            </w:pPr>
            <w:r w:rsidRPr="000545E1">
              <w:rPr>
                <w:rFonts w:ascii="Sitka Text" w:eastAsia="Sitka Text" w:hAnsi="Sitka Text" w:cs="Sitka Text"/>
                <w:color w:val="auto"/>
              </w:rPr>
              <w:t>II Q 2022</w:t>
            </w:r>
          </w:p>
        </w:tc>
        <w:tc>
          <w:tcPr>
            <w:tcW w:w="1338" w:type="dxa"/>
            <w:shd w:val="clear" w:color="auto" w:fill="FFFFFF" w:themeFill="background1"/>
            <w:vAlign w:val="center"/>
          </w:tcPr>
          <w:p w:rsidR="00042F67" w:rsidRPr="000545E1" w:rsidRDefault="00042F67" w:rsidP="001D3F7C">
            <w:pPr>
              <w:spacing w:before="20" w:after="20"/>
              <w:jc w:val="center"/>
              <w:rPr>
                <w:rFonts w:ascii="Sitka Text" w:hAnsi="Sitka Text"/>
                <w:color w:val="auto"/>
              </w:rPr>
            </w:pPr>
            <w:r w:rsidRPr="000545E1">
              <w:rPr>
                <w:rFonts w:ascii="Sitka Text" w:eastAsia="Sitka Text" w:hAnsi="Sitka Text" w:cs="Sitka Text"/>
                <w:color w:val="auto"/>
              </w:rPr>
              <w:t>II Q 2024</w:t>
            </w:r>
          </w:p>
        </w:tc>
        <w:tc>
          <w:tcPr>
            <w:tcW w:w="1248"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eastAsia="Sitka Text" w:hAnsi="Sitka Text" w:cs="Sitka Text"/>
                <w:color w:val="auto"/>
              </w:rPr>
              <w:t>188.000 €</w:t>
            </w:r>
          </w:p>
        </w:tc>
        <w:tc>
          <w:tcPr>
            <w:tcW w:w="1858"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eastAsia="Sitka Text" w:hAnsi="Sitka Text" w:cs="Sitka Text"/>
                <w:color w:val="auto"/>
              </w:rPr>
              <w:t>Budžet CG</w:t>
            </w:r>
          </w:p>
        </w:tc>
      </w:tr>
      <w:tr w:rsidR="00042F67" w:rsidRPr="000545E1" w:rsidTr="001D3F7C">
        <w:trPr>
          <w:gridAfter w:val="1"/>
          <w:wAfter w:w="32" w:type="dxa"/>
        </w:trPr>
        <w:tc>
          <w:tcPr>
            <w:tcW w:w="625" w:type="dxa"/>
            <w:shd w:val="clear" w:color="auto" w:fill="FFFFFF" w:themeFill="background1"/>
          </w:tcPr>
          <w:p w:rsidR="00042F67" w:rsidRPr="000545E1" w:rsidRDefault="00042F67" w:rsidP="001D3F7C">
            <w:pPr>
              <w:spacing w:before="20" w:after="20"/>
              <w:ind w:left="-26" w:right="-108"/>
              <w:rPr>
                <w:rFonts w:ascii="Sitka Text" w:eastAsia="Sitka Text" w:hAnsi="Sitka Text" w:cs="Sitka Text"/>
                <w:color w:val="auto"/>
              </w:rPr>
            </w:pPr>
            <w:r w:rsidRPr="000545E1">
              <w:rPr>
                <w:rFonts w:ascii="Sitka Text" w:eastAsia="Sitka Text" w:hAnsi="Sitka Text" w:cs="Sitka Text"/>
                <w:color w:val="auto"/>
              </w:rPr>
              <w:t>3.2.18</w:t>
            </w:r>
          </w:p>
        </w:tc>
        <w:tc>
          <w:tcPr>
            <w:tcW w:w="2866" w:type="dxa"/>
            <w:shd w:val="clear" w:color="auto" w:fill="FFFFFF" w:themeFill="background1"/>
          </w:tcPr>
          <w:p w:rsidR="00042F67" w:rsidRPr="000545E1" w:rsidRDefault="00042F67" w:rsidP="001D3F7C">
            <w:pPr>
              <w:spacing w:before="20" w:after="20"/>
              <w:rPr>
                <w:rFonts w:ascii="Sitka Text" w:eastAsia="Sitka Text" w:hAnsi="Sitka Text" w:cs="Sitka Text"/>
                <w:color w:val="auto"/>
              </w:rPr>
            </w:pPr>
            <w:r w:rsidRPr="000545E1">
              <w:rPr>
                <w:rFonts w:ascii="Sitka Text" w:eastAsia="Sitka Text" w:hAnsi="Sitka Text" w:cs="Sitka Text"/>
                <w:color w:val="auto"/>
              </w:rPr>
              <w:t>Unapređenje kapaciteta o konceptu e-pristupačnosti</w:t>
            </w:r>
          </w:p>
        </w:tc>
        <w:tc>
          <w:tcPr>
            <w:tcW w:w="3855" w:type="dxa"/>
            <w:gridSpan w:val="2"/>
            <w:shd w:val="clear" w:color="auto" w:fill="FFFFFF" w:themeFill="background1"/>
            <w:vAlign w:val="center"/>
          </w:tcPr>
          <w:p w:rsidR="00042F67" w:rsidRPr="000545E1" w:rsidRDefault="00042F67" w:rsidP="001D3F7C">
            <w:pPr>
              <w:spacing w:before="20" w:after="20"/>
              <w:jc w:val="both"/>
              <w:rPr>
                <w:rFonts w:ascii="Sitka Text" w:eastAsia="Sitka Text" w:hAnsi="Sitka Text" w:cs="Sitka Text"/>
                <w:color w:val="auto"/>
              </w:rPr>
            </w:pPr>
            <w:r w:rsidRPr="000545E1">
              <w:rPr>
                <w:rFonts w:ascii="Sitka Text" w:eastAsia="Sitka Text" w:hAnsi="Sitka Text" w:cs="Sitka Text"/>
                <w:color w:val="auto"/>
              </w:rPr>
              <w:t>- Obučeno 200 zaposlenih u javnoj upravi o konceptu e-pristupačnosti (izrada dokumenata)</w:t>
            </w:r>
          </w:p>
          <w:p w:rsidR="00042F67" w:rsidRPr="000545E1" w:rsidRDefault="00042F67" w:rsidP="001D3F7C">
            <w:pPr>
              <w:spacing w:before="20" w:after="20"/>
              <w:jc w:val="both"/>
              <w:rPr>
                <w:rFonts w:ascii="Sitka Text" w:eastAsia="Sitka Text" w:hAnsi="Sitka Text" w:cs="Sitka Text"/>
                <w:color w:val="auto"/>
              </w:rPr>
            </w:pPr>
            <w:r w:rsidRPr="000545E1">
              <w:rPr>
                <w:rFonts w:ascii="Sitka Text" w:eastAsia="Sitka Text" w:hAnsi="Sitka Text" w:cs="Sitka Text"/>
                <w:color w:val="auto"/>
              </w:rPr>
              <w:lastRenderedPageBreak/>
              <w:t>- Obučeno 50 urednika sajtova javne uprave i 50 administratora sajtova javne uprave o primjeni standarda e-pristupačnosti prilikom planiranja i izarde sajtova organa javne uprave</w:t>
            </w:r>
          </w:p>
          <w:p w:rsidR="00042F67" w:rsidRPr="000545E1" w:rsidRDefault="00042F67" w:rsidP="001D3F7C">
            <w:pPr>
              <w:spacing w:before="20" w:after="20"/>
              <w:jc w:val="both"/>
              <w:rPr>
                <w:rFonts w:ascii="Sitka Text" w:eastAsia="Sitka Text" w:hAnsi="Sitka Text" w:cs="Sitka Text"/>
                <w:color w:val="auto"/>
              </w:rPr>
            </w:pPr>
            <w:r w:rsidRPr="000545E1">
              <w:rPr>
                <w:rFonts w:ascii="Sitka Text" w:eastAsia="Sitka Text" w:hAnsi="Sitka Text" w:cs="Sitka Text"/>
                <w:color w:val="auto"/>
              </w:rPr>
              <w:t>- Obučeno/sertifikovano 5 zaposlenih u MJUDDM iz oblasti standarda e-pristupačnosti za administratore portala GOV.ME (WCAG 2.1)</w:t>
            </w:r>
            <w:r w:rsidRPr="000545E1">
              <w:rPr>
                <w:rFonts w:ascii="Sitka Text" w:eastAsia="Sitka Text" w:hAnsi="Sitka Text" w:cs="Sitka Text"/>
                <w:color w:val="auto"/>
              </w:rPr>
              <w:tab/>
            </w:r>
          </w:p>
        </w:tc>
        <w:tc>
          <w:tcPr>
            <w:tcW w:w="1467" w:type="dxa"/>
            <w:shd w:val="clear" w:color="auto" w:fill="FFFFFF" w:themeFill="background1"/>
            <w:vAlign w:val="center"/>
          </w:tcPr>
          <w:p w:rsidR="00042F67" w:rsidRPr="000545E1" w:rsidRDefault="00042F67" w:rsidP="001D3F7C">
            <w:pPr>
              <w:pBdr>
                <w:top w:val="nil"/>
                <w:left w:val="nil"/>
                <w:bottom w:val="nil"/>
                <w:right w:val="nil"/>
                <w:between w:val="nil"/>
              </w:pBdr>
              <w:spacing w:before="20"/>
              <w:jc w:val="center"/>
              <w:rPr>
                <w:rFonts w:ascii="Sitka Text" w:eastAsia="Sitka Text" w:hAnsi="Sitka Text" w:cs="Sitka Text"/>
                <w:color w:val="auto"/>
              </w:rPr>
            </w:pPr>
            <w:r w:rsidRPr="000545E1">
              <w:rPr>
                <w:rFonts w:ascii="Sitka Text" w:eastAsia="Sitka Text" w:hAnsi="Sitka Text" w:cs="Sitka Text"/>
                <w:color w:val="auto"/>
              </w:rPr>
              <w:lastRenderedPageBreak/>
              <w:t>UZK</w:t>
            </w:r>
          </w:p>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MJUDM</w:t>
            </w:r>
          </w:p>
        </w:tc>
        <w:tc>
          <w:tcPr>
            <w:tcW w:w="1412" w:type="dxa"/>
            <w:gridSpan w:val="2"/>
            <w:shd w:val="clear" w:color="auto" w:fill="FFFFFF" w:themeFill="background1"/>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II Q 2022</w:t>
            </w:r>
          </w:p>
        </w:tc>
        <w:tc>
          <w:tcPr>
            <w:tcW w:w="1338" w:type="dxa"/>
            <w:shd w:val="clear" w:color="auto" w:fill="FFFFFF" w:themeFill="background1"/>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IV Q 2023</w:t>
            </w:r>
          </w:p>
        </w:tc>
        <w:tc>
          <w:tcPr>
            <w:tcW w:w="1248" w:type="dxa"/>
            <w:gridSpan w:val="2"/>
            <w:shd w:val="clear" w:color="auto" w:fill="FFFFFF" w:themeFill="background1"/>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18.000 €</w:t>
            </w:r>
          </w:p>
        </w:tc>
        <w:tc>
          <w:tcPr>
            <w:tcW w:w="1858" w:type="dxa"/>
            <w:shd w:val="clear" w:color="auto" w:fill="FFFFFF" w:themeFill="background1"/>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Budžet CG</w:t>
            </w:r>
          </w:p>
        </w:tc>
      </w:tr>
      <w:tr w:rsidR="00042F67" w:rsidRPr="000545E1" w:rsidTr="001D3F7C">
        <w:trPr>
          <w:gridAfter w:val="1"/>
          <w:wAfter w:w="32" w:type="dxa"/>
        </w:trPr>
        <w:tc>
          <w:tcPr>
            <w:tcW w:w="625" w:type="dxa"/>
            <w:shd w:val="clear" w:color="auto" w:fill="FFFFFF" w:themeFill="background1"/>
          </w:tcPr>
          <w:p w:rsidR="00042F67" w:rsidRPr="000545E1" w:rsidRDefault="00042F67" w:rsidP="001D3F7C">
            <w:pPr>
              <w:spacing w:before="20" w:after="20"/>
              <w:ind w:left="-26" w:right="-108"/>
              <w:rPr>
                <w:rFonts w:ascii="Sitka Text" w:eastAsia="Sitka Text" w:hAnsi="Sitka Text" w:cs="Sitka Text"/>
                <w:color w:val="auto"/>
              </w:rPr>
            </w:pPr>
            <w:r w:rsidRPr="000545E1">
              <w:rPr>
                <w:rFonts w:ascii="Sitka Text" w:eastAsia="Sitka Text" w:hAnsi="Sitka Text" w:cs="Sitka Text"/>
                <w:color w:val="auto"/>
              </w:rPr>
              <w:t>3.2.19</w:t>
            </w:r>
          </w:p>
        </w:tc>
        <w:tc>
          <w:tcPr>
            <w:tcW w:w="2866" w:type="dxa"/>
            <w:shd w:val="clear" w:color="auto" w:fill="FFFFFF" w:themeFill="background1"/>
            <w:vAlign w:val="center"/>
          </w:tcPr>
          <w:p w:rsidR="00042F67" w:rsidRPr="000545E1" w:rsidRDefault="00042F67" w:rsidP="001D3F7C">
            <w:pPr>
              <w:spacing w:before="20" w:after="20"/>
              <w:rPr>
                <w:rFonts w:ascii="Sitka Text" w:eastAsia="Sitka Text" w:hAnsi="Sitka Text" w:cs="Sitka Text"/>
                <w:color w:val="auto"/>
              </w:rPr>
            </w:pPr>
            <w:r w:rsidRPr="000545E1">
              <w:rPr>
                <w:rFonts w:ascii="Sitka Text" w:eastAsia="Sitka Text" w:hAnsi="Sitka Text" w:cs="Sitka Text"/>
                <w:color w:val="auto"/>
              </w:rPr>
              <w:t>Jačanje kapaciteta administratora aplikativnog dijela jedinstvenog informacionog sistema za elektronsku razmjenu podataka (JSERP)</w:t>
            </w:r>
          </w:p>
        </w:tc>
        <w:tc>
          <w:tcPr>
            <w:tcW w:w="3855" w:type="dxa"/>
            <w:gridSpan w:val="2"/>
            <w:shd w:val="clear" w:color="auto" w:fill="FFFFFF" w:themeFill="background1"/>
          </w:tcPr>
          <w:p w:rsidR="00042F67" w:rsidRPr="000545E1" w:rsidRDefault="00042F67" w:rsidP="001D3F7C">
            <w:pPr>
              <w:spacing w:before="20" w:after="20"/>
              <w:rPr>
                <w:rFonts w:ascii="Sitka Text" w:eastAsia="Sitka Text" w:hAnsi="Sitka Text" w:cs="Sitka Text"/>
                <w:color w:val="auto"/>
              </w:rPr>
            </w:pPr>
            <w:r w:rsidRPr="000545E1">
              <w:rPr>
                <w:rFonts w:ascii="Sitka Text" w:eastAsia="Sitka Text" w:hAnsi="Sitka Text" w:cs="Sitka Text"/>
                <w:color w:val="auto"/>
              </w:rPr>
              <w:t>Obučeno 40 administratora informacionog sistema JISERP</w:t>
            </w:r>
          </w:p>
        </w:tc>
        <w:tc>
          <w:tcPr>
            <w:tcW w:w="1467" w:type="dxa"/>
            <w:shd w:val="clear" w:color="auto" w:fill="FFFFFF" w:themeFill="background1"/>
            <w:vAlign w:val="center"/>
          </w:tcPr>
          <w:p w:rsidR="00042F67" w:rsidRPr="000545E1" w:rsidRDefault="00042F67" w:rsidP="001D3F7C">
            <w:pPr>
              <w:pBdr>
                <w:top w:val="nil"/>
                <w:left w:val="nil"/>
                <w:bottom w:val="nil"/>
                <w:right w:val="nil"/>
                <w:between w:val="nil"/>
              </w:pBdr>
              <w:spacing w:before="20"/>
              <w:jc w:val="center"/>
              <w:rPr>
                <w:rFonts w:ascii="Sitka Text" w:eastAsia="Sitka Text" w:hAnsi="Sitka Text" w:cs="Sitka Text"/>
                <w:color w:val="auto"/>
              </w:rPr>
            </w:pPr>
            <w:r w:rsidRPr="000545E1">
              <w:rPr>
                <w:rFonts w:ascii="Sitka Text" w:eastAsia="Sitka Text" w:hAnsi="Sitka Text" w:cs="Sitka Text"/>
                <w:color w:val="auto"/>
              </w:rPr>
              <w:t>UZK</w:t>
            </w:r>
          </w:p>
          <w:p w:rsidR="00042F67" w:rsidRPr="000545E1" w:rsidRDefault="00042F67" w:rsidP="001D3F7C">
            <w:pPr>
              <w:pBdr>
                <w:top w:val="nil"/>
                <w:left w:val="nil"/>
                <w:bottom w:val="nil"/>
                <w:right w:val="nil"/>
                <w:between w:val="nil"/>
              </w:pBdr>
              <w:spacing w:before="20"/>
              <w:jc w:val="center"/>
              <w:rPr>
                <w:rFonts w:ascii="Sitka Text" w:eastAsia="Sitka Text" w:hAnsi="Sitka Text" w:cs="Sitka Text"/>
                <w:color w:val="auto"/>
              </w:rPr>
            </w:pPr>
            <w:r w:rsidRPr="000545E1">
              <w:rPr>
                <w:rFonts w:ascii="Sitka Text" w:eastAsia="Sitka Text" w:hAnsi="Sitka Text" w:cs="Sitka Text"/>
                <w:color w:val="auto"/>
              </w:rPr>
              <w:t>MJUDM</w:t>
            </w:r>
          </w:p>
        </w:tc>
        <w:tc>
          <w:tcPr>
            <w:tcW w:w="1412" w:type="dxa"/>
            <w:gridSpan w:val="2"/>
            <w:shd w:val="clear" w:color="auto" w:fill="FFFFFF" w:themeFill="background1"/>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 Q 2022</w:t>
            </w:r>
          </w:p>
        </w:tc>
        <w:tc>
          <w:tcPr>
            <w:tcW w:w="1338" w:type="dxa"/>
            <w:shd w:val="clear" w:color="auto" w:fill="FFFFFF" w:themeFill="background1"/>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IV Q 2023</w:t>
            </w:r>
          </w:p>
        </w:tc>
        <w:tc>
          <w:tcPr>
            <w:tcW w:w="1248" w:type="dxa"/>
            <w:gridSpan w:val="2"/>
            <w:shd w:val="clear" w:color="auto" w:fill="FFFFFF" w:themeFill="background1"/>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2.000 €</w:t>
            </w:r>
          </w:p>
        </w:tc>
        <w:tc>
          <w:tcPr>
            <w:tcW w:w="1858" w:type="dxa"/>
            <w:shd w:val="clear" w:color="auto" w:fill="FFFFFF" w:themeFill="background1"/>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Budžet CG</w:t>
            </w:r>
          </w:p>
        </w:tc>
      </w:tr>
      <w:tr w:rsidR="00042F67" w:rsidRPr="000545E1" w:rsidTr="001D3F7C">
        <w:trPr>
          <w:gridAfter w:val="1"/>
          <w:wAfter w:w="32" w:type="dxa"/>
        </w:trPr>
        <w:tc>
          <w:tcPr>
            <w:tcW w:w="625" w:type="dxa"/>
            <w:shd w:val="clear" w:color="auto" w:fill="FFFFFF" w:themeFill="background1"/>
          </w:tcPr>
          <w:p w:rsidR="00042F67" w:rsidRPr="000545E1" w:rsidRDefault="00042F67" w:rsidP="001D3F7C">
            <w:pPr>
              <w:spacing w:before="20" w:after="20"/>
              <w:ind w:left="-26" w:right="-108"/>
              <w:rPr>
                <w:rFonts w:ascii="Sitka Text" w:eastAsia="Sitka Text" w:hAnsi="Sitka Text" w:cs="Sitka Text"/>
                <w:color w:val="auto"/>
              </w:rPr>
            </w:pPr>
            <w:r w:rsidRPr="000545E1">
              <w:rPr>
                <w:rFonts w:ascii="Sitka Text" w:eastAsia="Sitka Text" w:hAnsi="Sitka Text" w:cs="Sitka Text"/>
                <w:color w:val="auto"/>
              </w:rPr>
              <w:t>3.2.20</w:t>
            </w:r>
          </w:p>
        </w:tc>
        <w:tc>
          <w:tcPr>
            <w:tcW w:w="2866" w:type="dxa"/>
            <w:shd w:val="clear" w:color="auto" w:fill="FFFFFF" w:themeFill="background1"/>
            <w:vAlign w:val="center"/>
          </w:tcPr>
          <w:p w:rsidR="00042F67" w:rsidRPr="000545E1" w:rsidRDefault="00042F67" w:rsidP="001D3F7C">
            <w:pPr>
              <w:spacing w:before="20" w:after="20"/>
              <w:rPr>
                <w:rFonts w:ascii="Sitka Text" w:eastAsia="Sitka Text" w:hAnsi="Sitka Text" w:cs="Sitka Text"/>
                <w:color w:val="auto"/>
              </w:rPr>
            </w:pPr>
            <w:r w:rsidRPr="000545E1">
              <w:rPr>
                <w:rFonts w:ascii="Sitka Text" w:eastAsia="Sitka Text" w:hAnsi="Sitka Text" w:cs="Sitka Text"/>
                <w:color w:val="auto"/>
              </w:rPr>
              <w:t>Sprovođenje obuka za administratora sadržaja na portalu data.gov.me</w:t>
            </w:r>
          </w:p>
        </w:tc>
        <w:tc>
          <w:tcPr>
            <w:tcW w:w="3855" w:type="dxa"/>
            <w:gridSpan w:val="2"/>
            <w:shd w:val="clear" w:color="auto" w:fill="FFFFFF" w:themeFill="background1"/>
            <w:vAlign w:val="center"/>
          </w:tcPr>
          <w:p w:rsidR="00042F67" w:rsidRPr="000545E1" w:rsidRDefault="00042F67" w:rsidP="001D3F7C">
            <w:pPr>
              <w:spacing w:before="20" w:after="20"/>
              <w:jc w:val="both"/>
              <w:rPr>
                <w:rFonts w:ascii="Sitka Text" w:eastAsia="Sitka Text" w:hAnsi="Sitka Text" w:cs="Sitka Text"/>
                <w:color w:val="auto"/>
              </w:rPr>
            </w:pPr>
            <w:r w:rsidRPr="000545E1">
              <w:rPr>
                <w:rFonts w:ascii="Sitka Text" w:eastAsia="Sitka Text" w:hAnsi="Sitka Text" w:cs="Sitka Text"/>
                <w:color w:val="auto"/>
              </w:rPr>
              <w:t>Obučeno 66 administratora informacionog sistema data.gov.me</w:t>
            </w:r>
          </w:p>
        </w:tc>
        <w:tc>
          <w:tcPr>
            <w:tcW w:w="1467" w:type="dxa"/>
            <w:shd w:val="clear" w:color="auto" w:fill="FFFFFF" w:themeFill="background1"/>
            <w:vAlign w:val="center"/>
          </w:tcPr>
          <w:p w:rsidR="00042F67" w:rsidRPr="000545E1" w:rsidRDefault="00042F67" w:rsidP="001D3F7C">
            <w:pPr>
              <w:pBdr>
                <w:top w:val="nil"/>
                <w:left w:val="nil"/>
                <w:bottom w:val="nil"/>
                <w:right w:val="nil"/>
                <w:between w:val="nil"/>
              </w:pBdr>
              <w:spacing w:before="20"/>
              <w:jc w:val="center"/>
              <w:rPr>
                <w:rFonts w:ascii="Sitka Text" w:eastAsia="Sitka Text" w:hAnsi="Sitka Text" w:cs="Sitka Text"/>
                <w:color w:val="auto"/>
              </w:rPr>
            </w:pPr>
            <w:r w:rsidRPr="000545E1">
              <w:rPr>
                <w:rFonts w:ascii="Sitka Text" w:eastAsia="Sitka Text" w:hAnsi="Sitka Text" w:cs="Sitka Text"/>
                <w:color w:val="auto"/>
              </w:rPr>
              <w:t>UZK</w:t>
            </w:r>
          </w:p>
          <w:p w:rsidR="00042F67" w:rsidRPr="000545E1" w:rsidRDefault="00042F67" w:rsidP="001D3F7C">
            <w:pPr>
              <w:pBdr>
                <w:top w:val="nil"/>
                <w:left w:val="nil"/>
                <w:bottom w:val="nil"/>
                <w:right w:val="nil"/>
                <w:between w:val="nil"/>
              </w:pBdr>
              <w:spacing w:before="20"/>
              <w:jc w:val="center"/>
              <w:rPr>
                <w:rFonts w:ascii="Sitka Text" w:eastAsia="Sitka Text" w:hAnsi="Sitka Text" w:cs="Sitka Text"/>
                <w:color w:val="auto"/>
              </w:rPr>
            </w:pPr>
            <w:r w:rsidRPr="000545E1">
              <w:rPr>
                <w:rFonts w:ascii="Sitka Text" w:eastAsia="Sitka Text" w:hAnsi="Sitka Text" w:cs="Sitka Text"/>
                <w:color w:val="auto"/>
              </w:rPr>
              <w:t>MJUDM</w:t>
            </w:r>
          </w:p>
        </w:tc>
        <w:tc>
          <w:tcPr>
            <w:tcW w:w="1412" w:type="dxa"/>
            <w:gridSpan w:val="2"/>
            <w:shd w:val="clear" w:color="auto" w:fill="FFFFFF" w:themeFill="background1"/>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 Q2022</w:t>
            </w:r>
          </w:p>
        </w:tc>
        <w:tc>
          <w:tcPr>
            <w:tcW w:w="1338" w:type="dxa"/>
            <w:shd w:val="clear" w:color="auto" w:fill="FFFFFF" w:themeFill="background1"/>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IV Q2023</w:t>
            </w:r>
          </w:p>
        </w:tc>
        <w:tc>
          <w:tcPr>
            <w:tcW w:w="1248" w:type="dxa"/>
            <w:gridSpan w:val="2"/>
            <w:shd w:val="clear" w:color="auto" w:fill="FFFFFF" w:themeFill="background1"/>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6.000 €</w:t>
            </w:r>
          </w:p>
        </w:tc>
        <w:tc>
          <w:tcPr>
            <w:tcW w:w="1858" w:type="dxa"/>
            <w:shd w:val="clear" w:color="auto" w:fill="FFFFFF" w:themeFill="background1"/>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Budžet CG</w:t>
            </w:r>
          </w:p>
        </w:tc>
      </w:tr>
      <w:tr w:rsidR="00042F67" w:rsidRPr="000545E1" w:rsidTr="001D3F7C">
        <w:trPr>
          <w:gridAfter w:val="1"/>
          <w:wAfter w:w="32" w:type="dxa"/>
        </w:trPr>
        <w:tc>
          <w:tcPr>
            <w:tcW w:w="625" w:type="dxa"/>
            <w:shd w:val="clear" w:color="auto" w:fill="auto"/>
          </w:tcPr>
          <w:p w:rsidR="00042F67" w:rsidRPr="000545E1" w:rsidRDefault="00042F67" w:rsidP="001D3F7C">
            <w:pPr>
              <w:spacing w:before="20" w:after="20"/>
              <w:ind w:left="-26" w:right="-108"/>
              <w:rPr>
                <w:rFonts w:ascii="Sitka Text" w:eastAsia="Sitka Text" w:hAnsi="Sitka Text" w:cs="Sitka Text"/>
                <w:color w:val="auto"/>
              </w:rPr>
            </w:pPr>
            <w:r w:rsidRPr="000545E1">
              <w:rPr>
                <w:rFonts w:ascii="Sitka Text" w:eastAsia="Sitka Text" w:hAnsi="Sitka Text" w:cs="Sitka Text"/>
                <w:color w:val="auto"/>
              </w:rPr>
              <w:t>3.2.21</w:t>
            </w:r>
          </w:p>
        </w:tc>
        <w:tc>
          <w:tcPr>
            <w:tcW w:w="2866" w:type="dxa"/>
            <w:shd w:val="clear" w:color="auto" w:fill="auto"/>
          </w:tcPr>
          <w:p w:rsidR="00042F67" w:rsidRPr="000545E1" w:rsidRDefault="00042F67" w:rsidP="001D3F7C">
            <w:pPr>
              <w:pBdr>
                <w:top w:val="nil"/>
                <w:left w:val="nil"/>
                <w:bottom w:val="nil"/>
                <w:right w:val="nil"/>
                <w:between w:val="nil"/>
              </w:pBdr>
              <w:spacing w:before="20"/>
              <w:rPr>
                <w:rFonts w:ascii="Sitka Text" w:eastAsia="Sitka Text" w:hAnsi="Sitka Text" w:cs="Sitka Text"/>
                <w:color w:val="auto"/>
              </w:rPr>
            </w:pPr>
            <w:r w:rsidRPr="000545E1">
              <w:rPr>
                <w:rFonts w:ascii="Sitka Text" w:eastAsia="Sitka Text" w:hAnsi="Sitka Text" w:cs="Sitka Text"/>
                <w:color w:val="auto"/>
              </w:rPr>
              <w:t>Promovisanje pripreme podataka u formatu otvorenih podataka</w:t>
            </w:r>
          </w:p>
        </w:tc>
        <w:tc>
          <w:tcPr>
            <w:tcW w:w="3855" w:type="dxa"/>
            <w:gridSpan w:val="2"/>
            <w:shd w:val="clear" w:color="auto" w:fill="auto"/>
            <w:vAlign w:val="center"/>
          </w:tcPr>
          <w:p w:rsidR="00042F67" w:rsidRPr="000545E1" w:rsidRDefault="00042F67" w:rsidP="001D3F7C">
            <w:pPr>
              <w:spacing w:before="20" w:after="20"/>
              <w:jc w:val="both"/>
              <w:rPr>
                <w:rFonts w:ascii="Sitka Text" w:eastAsia="Sitka Text" w:hAnsi="Sitka Text" w:cs="Sitka Text"/>
                <w:color w:val="auto"/>
              </w:rPr>
            </w:pPr>
            <w:r w:rsidRPr="000545E1">
              <w:rPr>
                <w:rFonts w:ascii="Sitka Text" w:eastAsia="Sitka Text" w:hAnsi="Sitka Text" w:cs="Sitka Text"/>
                <w:color w:val="auto"/>
              </w:rPr>
              <w:t>- Broj održanih obuka za javnu upravu i jedinice lokalne samouprave radi poboljšanja njihovih vještina i razumijevanja u pripremi podataka u formatu otvorenih podataka</w:t>
            </w:r>
          </w:p>
          <w:p w:rsidR="00042F67" w:rsidRPr="000545E1" w:rsidRDefault="00042F67" w:rsidP="001D3F7C">
            <w:pPr>
              <w:spacing w:before="20" w:after="20"/>
              <w:jc w:val="both"/>
              <w:rPr>
                <w:rFonts w:ascii="Sitka Text" w:eastAsia="Sitka Text" w:hAnsi="Sitka Text" w:cs="Sitka Text"/>
                <w:color w:val="auto"/>
              </w:rPr>
            </w:pPr>
            <w:r w:rsidRPr="000545E1">
              <w:rPr>
                <w:rFonts w:ascii="Sitka Text" w:eastAsia="Sitka Text" w:hAnsi="Sitka Text" w:cs="Sitka Text"/>
                <w:color w:val="auto"/>
              </w:rPr>
              <w:t>- Broj održanih radionica o otvorenim podacima za različite zainteresovane strane</w:t>
            </w:r>
          </w:p>
        </w:tc>
        <w:tc>
          <w:tcPr>
            <w:tcW w:w="1467" w:type="dxa"/>
            <w:shd w:val="clear" w:color="auto" w:fill="auto"/>
            <w:vAlign w:val="center"/>
          </w:tcPr>
          <w:p w:rsidR="00042F67" w:rsidRPr="000545E1" w:rsidRDefault="00042F67" w:rsidP="001D3F7C">
            <w:pPr>
              <w:pBdr>
                <w:top w:val="nil"/>
                <w:left w:val="nil"/>
                <w:bottom w:val="nil"/>
                <w:right w:val="nil"/>
                <w:between w:val="nil"/>
              </w:pBdr>
              <w:spacing w:before="20"/>
              <w:jc w:val="center"/>
              <w:rPr>
                <w:rFonts w:ascii="Sitka Text" w:eastAsia="Sitka Text" w:hAnsi="Sitka Text" w:cs="Sitka Text"/>
                <w:color w:val="auto"/>
              </w:rPr>
            </w:pPr>
            <w:r w:rsidRPr="000545E1">
              <w:rPr>
                <w:rFonts w:ascii="Sitka Text" w:eastAsia="Sitka Text" w:hAnsi="Sitka Text" w:cs="Sitka Text"/>
                <w:color w:val="auto"/>
              </w:rPr>
              <w:t>MJUDDM</w:t>
            </w:r>
          </w:p>
          <w:p w:rsidR="00042F67" w:rsidRPr="000545E1" w:rsidRDefault="00042F67" w:rsidP="001D3F7C">
            <w:pPr>
              <w:pBdr>
                <w:top w:val="nil"/>
                <w:left w:val="nil"/>
                <w:bottom w:val="nil"/>
                <w:right w:val="nil"/>
                <w:between w:val="nil"/>
              </w:pBdr>
              <w:spacing w:before="20"/>
              <w:jc w:val="center"/>
              <w:rPr>
                <w:rFonts w:ascii="Sitka Text" w:eastAsia="Sitka Text" w:hAnsi="Sitka Text" w:cs="Sitka Text"/>
                <w:color w:val="auto"/>
              </w:rPr>
            </w:pPr>
            <w:r w:rsidRPr="000545E1">
              <w:rPr>
                <w:rFonts w:ascii="Sitka Text" w:eastAsia="Sitka Text" w:hAnsi="Sitka Text" w:cs="Sitka Text"/>
                <w:color w:val="auto"/>
              </w:rPr>
              <w:t>UZK</w:t>
            </w:r>
          </w:p>
          <w:p w:rsidR="00042F67" w:rsidRPr="000545E1" w:rsidRDefault="00042F67" w:rsidP="001D3F7C">
            <w:pPr>
              <w:pBdr>
                <w:top w:val="nil"/>
                <w:left w:val="nil"/>
                <w:bottom w:val="nil"/>
                <w:right w:val="nil"/>
                <w:between w:val="nil"/>
              </w:pBdr>
              <w:spacing w:before="20"/>
              <w:jc w:val="center"/>
              <w:rPr>
                <w:rFonts w:ascii="Sitka Text" w:eastAsia="Sitka Text" w:hAnsi="Sitka Text" w:cs="Sitka Text"/>
                <w:color w:val="auto"/>
              </w:rPr>
            </w:pPr>
            <w:r w:rsidRPr="000545E1">
              <w:rPr>
                <w:rFonts w:ascii="Sitka Text" w:eastAsia="Sitka Text" w:hAnsi="Sitka Text" w:cs="Sitka Text"/>
                <w:color w:val="auto"/>
              </w:rPr>
              <w:t>UNDP</w:t>
            </w:r>
          </w:p>
          <w:p w:rsidR="00042F67" w:rsidRPr="000545E1" w:rsidRDefault="00042F67" w:rsidP="001D3F7C">
            <w:pPr>
              <w:pBdr>
                <w:top w:val="nil"/>
                <w:left w:val="nil"/>
                <w:bottom w:val="nil"/>
                <w:right w:val="nil"/>
                <w:between w:val="nil"/>
              </w:pBdr>
              <w:spacing w:before="20"/>
              <w:jc w:val="center"/>
              <w:rPr>
                <w:rFonts w:ascii="Sitka Text" w:eastAsia="Sitka Text" w:hAnsi="Sitka Text" w:cs="Sitka Text"/>
                <w:color w:val="auto"/>
              </w:rPr>
            </w:pPr>
            <w:r w:rsidRPr="000545E1">
              <w:rPr>
                <w:rFonts w:ascii="Sitka Text" w:eastAsia="Sitka Text" w:hAnsi="Sitka Text" w:cs="Sitka Text"/>
                <w:color w:val="auto"/>
              </w:rPr>
              <w:t>PKCG</w:t>
            </w:r>
          </w:p>
          <w:p w:rsidR="00042F67" w:rsidRPr="000545E1" w:rsidRDefault="00042F67" w:rsidP="001D3F7C">
            <w:pPr>
              <w:pBdr>
                <w:top w:val="nil"/>
                <w:left w:val="nil"/>
                <w:bottom w:val="nil"/>
                <w:right w:val="nil"/>
                <w:between w:val="nil"/>
              </w:pBdr>
              <w:spacing w:before="20"/>
              <w:jc w:val="center"/>
              <w:rPr>
                <w:rFonts w:ascii="Sitka Text" w:eastAsia="Sitka Text" w:hAnsi="Sitka Text" w:cs="Sitka Text"/>
                <w:color w:val="auto"/>
              </w:rPr>
            </w:pPr>
          </w:p>
        </w:tc>
        <w:tc>
          <w:tcPr>
            <w:tcW w:w="1412" w:type="dxa"/>
            <w:gridSpan w:val="2"/>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II Q 2022</w:t>
            </w:r>
          </w:p>
        </w:tc>
        <w:tc>
          <w:tcPr>
            <w:tcW w:w="1338" w:type="dxa"/>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IV Q 2023</w:t>
            </w:r>
          </w:p>
        </w:tc>
        <w:tc>
          <w:tcPr>
            <w:tcW w:w="1248" w:type="dxa"/>
            <w:gridSpan w:val="2"/>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27.000 €</w:t>
            </w:r>
          </w:p>
        </w:tc>
        <w:tc>
          <w:tcPr>
            <w:tcW w:w="1858" w:type="dxa"/>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Budžet CG</w:t>
            </w:r>
          </w:p>
        </w:tc>
      </w:tr>
      <w:tr w:rsidR="00042F67" w:rsidRPr="000545E1" w:rsidTr="001D3F7C">
        <w:trPr>
          <w:gridAfter w:val="1"/>
          <w:wAfter w:w="32" w:type="dxa"/>
        </w:trPr>
        <w:tc>
          <w:tcPr>
            <w:tcW w:w="625" w:type="dxa"/>
            <w:shd w:val="clear" w:color="auto" w:fill="auto"/>
          </w:tcPr>
          <w:p w:rsidR="00042F67" w:rsidRPr="000545E1" w:rsidRDefault="00042F67" w:rsidP="001D3F7C">
            <w:pPr>
              <w:spacing w:before="20" w:after="20"/>
              <w:ind w:left="-26" w:right="-108"/>
              <w:rPr>
                <w:rFonts w:ascii="Sitka Text" w:eastAsia="Sitka Text" w:hAnsi="Sitka Text" w:cs="Sitka Text"/>
                <w:color w:val="auto"/>
              </w:rPr>
            </w:pPr>
            <w:r w:rsidRPr="000545E1">
              <w:rPr>
                <w:rFonts w:ascii="Sitka Text" w:eastAsia="Sitka Text" w:hAnsi="Sitka Text" w:cs="Sitka Text"/>
                <w:color w:val="auto"/>
              </w:rPr>
              <w:t>3.2.22</w:t>
            </w:r>
          </w:p>
        </w:tc>
        <w:tc>
          <w:tcPr>
            <w:tcW w:w="2866" w:type="dxa"/>
            <w:shd w:val="clear" w:color="auto" w:fill="auto"/>
          </w:tcPr>
          <w:p w:rsidR="00042F67" w:rsidRPr="000545E1" w:rsidRDefault="00042F67" w:rsidP="001D3F7C">
            <w:pPr>
              <w:spacing w:before="20" w:after="20"/>
              <w:rPr>
                <w:rFonts w:ascii="Sitka Text" w:eastAsia="Sitka Text" w:hAnsi="Sitka Text" w:cs="Sitka Text"/>
                <w:color w:val="auto"/>
              </w:rPr>
            </w:pPr>
            <w:r w:rsidRPr="000545E1">
              <w:rPr>
                <w:rFonts w:ascii="Sitka Text" w:eastAsia="Sitka Text" w:hAnsi="Sitka Text" w:cs="Sitka Text"/>
                <w:color w:val="auto"/>
              </w:rPr>
              <w:t>Podizanje svijesti o važnosti pružanja e-usluga</w:t>
            </w:r>
          </w:p>
        </w:tc>
        <w:tc>
          <w:tcPr>
            <w:tcW w:w="3855" w:type="dxa"/>
            <w:gridSpan w:val="2"/>
            <w:shd w:val="clear" w:color="auto" w:fill="auto"/>
            <w:vAlign w:val="center"/>
          </w:tcPr>
          <w:p w:rsidR="00042F67" w:rsidRPr="000545E1" w:rsidRDefault="00042F67" w:rsidP="001D3F7C">
            <w:pPr>
              <w:spacing w:before="20" w:after="20"/>
              <w:jc w:val="both"/>
              <w:rPr>
                <w:rFonts w:ascii="Sitka Text" w:eastAsia="Sitka Text" w:hAnsi="Sitka Text" w:cs="Sitka Text"/>
                <w:color w:val="auto"/>
              </w:rPr>
            </w:pPr>
            <w:r w:rsidRPr="000545E1">
              <w:rPr>
                <w:rFonts w:ascii="Sitka Text" w:eastAsia="Sitka Text" w:hAnsi="Sitka Text" w:cs="Sitka Text"/>
                <w:color w:val="auto"/>
              </w:rPr>
              <w:t>-Broj realizovanih promotivnih događaja/radionica o značaju pružanja elektronskih usluga u javnoj upravi</w:t>
            </w:r>
          </w:p>
          <w:p w:rsidR="00042F67" w:rsidRPr="000545E1" w:rsidRDefault="00042F67" w:rsidP="001D3F7C">
            <w:pPr>
              <w:spacing w:before="20" w:after="20"/>
              <w:jc w:val="both"/>
              <w:rPr>
                <w:rFonts w:ascii="Sitka Text" w:eastAsia="Sitka Text" w:hAnsi="Sitka Text" w:cs="Sitka Text"/>
                <w:color w:val="auto"/>
              </w:rPr>
            </w:pPr>
            <w:r w:rsidRPr="000545E1">
              <w:rPr>
                <w:rFonts w:ascii="Sitka Text" w:eastAsia="Sitka Text" w:hAnsi="Sitka Text" w:cs="Sitka Text"/>
                <w:color w:val="auto"/>
              </w:rPr>
              <w:t>- Broj obučenih administratora i moderatora Portala elektronske uprave</w:t>
            </w:r>
          </w:p>
        </w:tc>
        <w:tc>
          <w:tcPr>
            <w:tcW w:w="1467" w:type="dxa"/>
            <w:shd w:val="clear" w:color="auto" w:fill="auto"/>
            <w:vAlign w:val="center"/>
          </w:tcPr>
          <w:p w:rsidR="00042F67" w:rsidRPr="000545E1" w:rsidRDefault="00042F67" w:rsidP="001D3F7C">
            <w:pPr>
              <w:pBdr>
                <w:top w:val="nil"/>
                <w:left w:val="nil"/>
                <w:bottom w:val="nil"/>
                <w:right w:val="nil"/>
                <w:between w:val="nil"/>
              </w:pBdr>
              <w:spacing w:before="20"/>
              <w:jc w:val="center"/>
              <w:rPr>
                <w:rFonts w:ascii="Sitka Text" w:eastAsia="Sitka Text" w:hAnsi="Sitka Text" w:cs="Sitka Text"/>
                <w:color w:val="auto"/>
              </w:rPr>
            </w:pPr>
            <w:r w:rsidRPr="000545E1">
              <w:rPr>
                <w:rFonts w:ascii="Sitka Text" w:eastAsia="Sitka Text" w:hAnsi="Sitka Text" w:cs="Sitka Text"/>
                <w:color w:val="auto"/>
              </w:rPr>
              <w:t>MJUDDM</w:t>
            </w:r>
          </w:p>
          <w:p w:rsidR="00042F67" w:rsidRPr="000545E1" w:rsidRDefault="00042F67" w:rsidP="001D3F7C">
            <w:pPr>
              <w:pBdr>
                <w:top w:val="nil"/>
                <w:left w:val="nil"/>
                <w:bottom w:val="nil"/>
                <w:right w:val="nil"/>
                <w:between w:val="nil"/>
              </w:pBdr>
              <w:spacing w:before="20"/>
              <w:jc w:val="center"/>
              <w:rPr>
                <w:rFonts w:ascii="Sitka Text" w:eastAsia="Sitka Text" w:hAnsi="Sitka Text" w:cs="Sitka Text"/>
                <w:color w:val="auto"/>
              </w:rPr>
            </w:pPr>
            <w:r w:rsidRPr="000545E1">
              <w:rPr>
                <w:rFonts w:ascii="Sitka Text" w:eastAsia="Sitka Text" w:hAnsi="Sitka Text" w:cs="Sitka Text"/>
                <w:color w:val="auto"/>
              </w:rPr>
              <w:t>UZK</w:t>
            </w:r>
          </w:p>
        </w:tc>
        <w:tc>
          <w:tcPr>
            <w:tcW w:w="1412" w:type="dxa"/>
            <w:gridSpan w:val="2"/>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III Q 2022</w:t>
            </w:r>
          </w:p>
        </w:tc>
        <w:tc>
          <w:tcPr>
            <w:tcW w:w="1338" w:type="dxa"/>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IV Q 2024</w:t>
            </w:r>
          </w:p>
        </w:tc>
        <w:tc>
          <w:tcPr>
            <w:tcW w:w="1248" w:type="dxa"/>
            <w:gridSpan w:val="2"/>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25.000 €</w:t>
            </w:r>
          </w:p>
        </w:tc>
        <w:tc>
          <w:tcPr>
            <w:tcW w:w="1858" w:type="dxa"/>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Budžet CG</w:t>
            </w:r>
          </w:p>
        </w:tc>
      </w:tr>
      <w:tr w:rsidR="00042F67" w:rsidRPr="000545E1" w:rsidTr="001D3F7C">
        <w:trPr>
          <w:gridAfter w:val="1"/>
          <w:wAfter w:w="32" w:type="dxa"/>
        </w:trPr>
        <w:tc>
          <w:tcPr>
            <w:tcW w:w="625" w:type="dxa"/>
            <w:shd w:val="clear" w:color="auto" w:fill="auto"/>
          </w:tcPr>
          <w:p w:rsidR="00042F67" w:rsidRPr="000545E1" w:rsidRDefault="00042F67" w:rsidP="001D3F7C">
            <w:pPr>
              <w:spacing w:before="20" w:after="20"/>
              <w:ind w:left="-26" w:right="-108"/>
              <w:rPr>
                <w:rFonts w:ascii="Sitka Text" w:eastAsia="Sitka Text" w:hAnsi="Sitka Text" w:cs="Sitka Text"/>
                <w:color w:val="auto"/>
              </w:rPr>
            </w:pPr>
            <w:r w:rsidRPr="000545E1">
              <w:rPr>
                <w:rFonts w:ascii="Sitka Text" w:eastAsia="Sitka Text" w:hAnsi="Sitka Text" w:cs="Sitka Text"/>
                <w:color w:val="auto"/>
              </w:rPr>
              <w:t>3.2.23</w:t>
            </w:r>
          </w:p>
        </w:tc>
        <w:tc>
          <w:tcPr>
            <w:tcW w:w="2866" w:type="dxa"/>
            <w:shd w:val="clear" w:color="auto" w:fill="auto"/>
            <w:vAlign w:val="center"/>
          </w:tcPr>
          <w:p w:rsidR="00042F67" w:rsidRPr="000545E1" w:rsidRDefault="00042F67" w:rsidP="001D3F7C">
            <w:pPr>
              <w:spacing w:before="20" w:after="20"/>
              <w:rPr>
                <w:rFonts w:ascii="Sitka Text" w:eastAsia="Sitka Text" w:hAnsi="Sitka Text" w:cs="Sitka Text"/>
                <w:color w:val="auto"/>
              </w:rPr>
            </w:pPr>
            <w:r w:rsidRPr="000545E1">
              <w:rPr>
                <w:rFonts w:ascii="Sitka Text" w:eastAsia="Sitka Text" w:hAnsi="Sitka Text" w:cs="Sitka Text"/>
                <w:color w:val="auto"/>
              </w:rPr>
              <w:t xml:space="preserve">Podizanje kapaciteta službenika u MJUDDM o upravljanju ICT projektima </w:t>
            </w:r>
          </w:p>
        </w:tc>
        <w:tc>
          <w:tcPr>
            <w:tcW w:w="3855" w:type="dxa"/>
            <w:gridSpan w:val="2"/>
            <w:shd w:val="clear" w:color="auto" w:fill="auto"/>
            <w:vAlign w:val="center"/>
          </w:tcPr>
          <w:p w:rsidR="00042F67" w:rsidRPr="000545E1" w:rsidRDefault="00042F67" w:rsidP="001D3F7C">
            <w:pPr>
              <w:spacing w:before="20" w:after="20"/>
              <w:jc w:val="both"/>
              <w:rPr>
                <w:rFonts w:ascii="Sitka Text" w:eastAsia="Sitka Text" w:hAnsi="Sitka Text" w:cs="Sitka Text"/>
                <w:color w:val="auto"/>
              </w:rPr>
            </w:pPr>
            <w:r w:rsidRPr="000545E1">
              <w:rPr>
                <w:rFonts w:ascii="Sitka Text" w:eastAsia="Sitka Text" w:hAnsi="Sitka Text" w:cs="Sitka Text"/>
                <w:color w:val="auto"/>
              </w:rPr>
              <w:t>Obučeno 10 zaposlenih o upravljanju ICT projektima</w:t>
            </w:r>
          </w:p>
        </w:tc>
        <w:tc>
          <w:tcPr>
            <w:tcW w:w="1467" w:type="dxa"/>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MJUDDM</w:t>
            </w:r>
          </w:p>
        </w:tc>
        <w:tc>
          <w:tcPr>
            <w:tcW w:w="1412" w:type="dxa"/>
            <w:gridSpan w:val="2"/>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 Q 2022</w:t>
            </w:r>
          </w:p>
        </w:tc>
        <w:tc>
          <w:tcPr>
            <w:tcW w:w="1338" w:type="dxa"/>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IV Q 2023</w:t>
            </w:r>
          </w:p>
        </w:tc>
        <w:tc>
          <w:tcPr>
            <w:tcW w:w="1248" w:type="dxa"/>
            <w:gridSpan w:val="2"/>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15.000 €</w:t>
            </w:r>
          </w:p>
        </w:tc>
        <w:tc>
          <w:tcPr>
            <w:tcW w:w="1858" w:type="dxa"/>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Budžet CG</w:t>
            </w:r>
          </w:p>
        </w:tc>
      </w:tr>
      <w:tr w:rsidR="00042F67" w:rsidRPr="000545E1" w:rsidTr="001D3F7C">
        <w:trPr>
          <w:gridAfter w:val="1"/>
          <w:wAfter w:w="32" w:type="dxa"/>
        </w:trPr>
        <w:tc>
          <w:tcPr>
            <w:tcW w:w="625" w:type="dxa"/>
            <w:shd w:val="clear" w:color="auto" w:fill="auto"/>
          </w:tcPr>
          <w:p w:rsidR="00042F67" w:rsidRPr="000545E1" w:rsidRDefault="00042F67" w:rsidP="001D3F7C">
            <w:pPr>
              <w:spacing w:before="20" w:after="20"/>
              <w:ind w:left="-26" w:right="-108"/>
              <w:rPr>
                <w:rFonts w:ascii="Sitka Text" w:eastAsia="Sitka Text" w:hAnsi="Sitka Text" w:cs="Sitka Text"/>
                <w:color w:val="auto"/>
              </w:rPr>
            </w:pPr>
            <w:r w:rsidRPr="000545E1">
              <w:rPr>
                <w:rFonts w:ascii="Sitka Text" w:eastAsia="Sitka Text" w:hAnsi="Sitka Text" w:cs="Sitka Text"/>
                <w:color w:val="auto"/>
              </w:rPr>
              <w:lastRenderedPageBreak/>
              <w:t>3.2.24</w:t>
            </w:r>
          </w:p>
        </w:tc>
        <w:tc>
          <w:tcPr>
            <w:tcW w:w="2866" w:type="dxa"/>
            <w:shd w:val="clear" w:color="auto" w:fill="auto"/>
            <w:vAlign w:val="center"/>
          </w:tcPr>
          <w:p w:rsidR="00042F67" w:rsidRPr="000545E1" w:rsidRDefault="00042F67" w:rsidP="001D3F7C">
            <w:pPr>
              <w:spacing w:before="20" w:after="20"/>
              <w:rPr>
                <w:rFonts w:ascii="Sitka Text" w:eastAsia="Sitka Text" w:hAnsi="Sitka Text" w:cs="Sitka Text"/>
                <w:color w:val="auto"/>
              </w:rPr>
            </w:pPr>
            <w:r w:rsidRPr="000545E1">
              <w:rPr>
                <w:rFonts w:ascii="Sitka Text" w:eastAsia="Sitka Text" w:hAnsi="Sitka Text" w:cs="Sitka Text"/>
                <w:color w:val="auto"/>
              </w:rPr>
              <w:t>Sprovođenje obuka  iz oblasti ISO standarda i GDPR (za dobijanje sertifikata za implementatore i interne audite)</w:t>
            </w:r>
          </w:p>
        </w:tc>
        <w:tc>
          <w:tcPr>
            <w:tcW w:w="3855" w:type="dxa"/>
            <w:gridSpan w:val="2"/>
            <w:shd w:val="clear" w:color="auto" w:fill="auto"/>
            <w:vAlign w:val="center"/>
          </w:tcPr>
          <w:p w:rsidR="00042F67" w:rsidRPr="000545E1" w:rsidRDefault="00042F67" w:rsidP="001D3F7C">
            <w:pPr>
              <w:pBdr>
                <w:top w:val="nil"/>
                <w:left w:val="nil"/>
                <w:bottom w:val="nil"/>
                <w:right w:val="nil"/>
                <w:between w:val="nil"/>
              </w:pBdr>
              <w:spacing w:before="20"/>
              <w:rPr>
                <w:rFonts w:ascii="Sitka Text" w:eastAsia="Sitka Text" w:hAnsi="Sitka Text" w:cs="Sitka Text"/>
                <w:color w:val="auto"/>
              </w:rPr>
            </w:pPr>
            <w:r w:rsidRPr="000545E1">
              <w:rPr>
                <w:rFonts w:ascii="Sitka Text" w:eastAsia="Sitka Text" w:hAnsi="Sitka Text" w:cs="Sitka Text"/>
                <w:color w:val="auto"/>
              </w:rPr>
              <w:t>- Obučeno/sertifikovano 20 zaposlenih u javnoj upravi za neki od ISO standarda</w:t>
            </w:r>
            <w:r w:rsidRPr="000545E1">
              <w:rPr>
                <w:rFonts w:ascii="Sitka Text" w:eastAsia="Sitka Text" w:hAnsi="Sitka Text" w:cs="Sitka Text"/>
                <w:color w:val="auto"/>
              </w:rPr>
              <w:br/>
              <w:t>- Obučeno 20 zaposlenih u javnoj upravi za poznavanje GDPR</w:t>
            </w:r>
          </w:p>
        </w:tc>
        <w:tc>
          <w:tcPr>
            <w:tcW w:w="1467" w:type="dxa"/>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MJUDDM</w:t>
            </w:r>
          </w:p>
        </w:tc>
        <w:tc>
          <w:tcPr>
            <w:tcW w:w="1412" w:type="dxa"/>
            <w:gridSpan w:val="2"/>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 Q 2022</w:t>
            </w:r>
          </w:p>
        </w:tc>
        <w:tc>
          <w:tcPr>
            <w:tcW w:w="1338" w:type="dxa"/>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IV Q 2023</w:t>
            </w:r>
          </w:p>
        </w:tc>
        <w:tc>
          <w:tcPr>
            <w:tcW w:w="1248" w:type="dxa"/>
            <w:gridSpan w:val="2"/>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15.000 €</w:t>
            </w:r>
          </w:p>
        </w:tc>
        <w:tc>
          <w:tcPr>
            <w:tcW w:w="1858" w:type="dxa"/>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Budžet CG</w:t>
            </w:r>
          </w:p>
        </w:tc>
      </w:tr>
      <w:tr w:rsidR="00042F67" w:rsidRPr="000545E1" w:rsidTr="001D3F7C">
        <w:trPr>
          <w:gridAfter w:val="1"/>
          <w:wAfter w:w="32" w:type="dxa"/>
        </w:trPr>
        <w:tc>
          <w:tcPr>
            <w:tcW w:w="625" w:type="dxa"/>
            <w:shd w:val="clear" w:color="auto" w:fill="auto"/>
          </w:tcPr>
          <w:p w:rsidR="00042F67" w:rsidRPr="000545E1" w:rsidRDefault="00042F67" w:rsidP="001D3F7C">
            <w:pPr>
              <w:spacing w:before="20" w:after="20"/>
              <w:ind w:left="-26" w:right="-108"/>
              <w:rPr>
                <w:rFonts w:ascii="Sitka Text" w:eastAsia="Sitka Text" w:hAnsi="Sitka Text" w:cs="Sitka Text"/>
                <w:color w:val="auto"/>
              </w:rPr>
            </w:pPr>
            <w:r w:rsidRPr="000545E1">
              <w:rPr>
                <w:rFonts w:ascii="Sitka Text" w:eastAsia="Sitka Text" w:hAnsi="Sitka Text" w:cs="Sitka Text"/>
                <w:color w:val="auto"/>
              </w:rPr>
              <w:t>3.2.25</w:t>
            </w:r>
          </w:p>
        </w:tc>
        <w:tc>
          <w:tcPr>
            <w:tcW w:w="2866" w:type="dxa"/>
            <w:shd w:val="clear" w:color="auto" w:fill="auto"/>
          </w:tcPr>
          <w:p w:rsidR="00042F67" w:rsidRPr="000545E1" w:rsidRDefault="00042F67" w:rsidP="001D3F7C">
            <w:pPr>
              <w:spacing w:before="20" w:after="20"/>
              <w:rPr>
                <w:rFonts w:ascii="Sitka Text" w:eastAsia="Sitka Text" w:hAnsi="Sitka Text" w:cs="Sitka Text"/>
                <w:color w:val="auto"/>
              </w:rPr>
            </w:pPr>
            <w:r w:rsidRPr="000545E1">
              <w:rPr>
                <w:rFonts w:ascii="Sitka Text" w:eastAsia="Sitka Text" w:hAnsi="Sitka Text" w:cs="Sitka Text"/>
                <w:color w:val="auto"/>
              </w:rPr>
              <w:t>Unapređenje Sistema mjerenja zadovoljstva u javnoj upravi</w:t>
            </w:r>
          </w:p>
        </w:tc>
        <w:tc>
          <w:tcPr>
            <w:tcW w:w="3855" w:type="dxa"/>
            <w:gridSpan w:val="2"/>
            <w:shd w:val="clear" w:color="auto" w:fill="auto"/>
            <w:vAlign w:val="center"/>
          </w:tcPr>
          <w:p w:rsidR="00042F67" w:rsidRPr="000545E1" w:rsidRDefault="00042F67" w:rsidP="001D3F7C">
            <w:pPr>
              <w:pBdr>
                <w:top w:val="nil"/>
                <w:left w:val="nil"/>
                <w:bottom w:val="nil"/>
                <w:right w:val="nil"/>
                <w:between w:val="nil"/>
              </w:pBdr>
              <w:spacing w:before="20"/>
              <w:rPr>
                <w:rFonts w:ascii="Sitka Text" w:eastAsia="Sitka Text" w:hAnsi="Sitka Text" w:cs="Sitka Text"/>
                <w:color w:val="auto"/>
              </w:rPr>
            </w:pPr>
            <w:r w:rsidRPr="000545E1">
              <w:rPr>
                <w:rFonts w:ascii="Sitka Text" w:eastAsia="Sitka Text" w:hAnsi="Sitka Text" w:cs="Sitka Text"/>
                <w:color w:val="auto"/>
              </w:rPr>
              <w:t>- Unaprijeđena metodologija za mjerenje zadovoljstva zaposlenih u javnoj upravi</w:t>
            </w:r>
          </w:p>
          <w:p w:rsidR="00042F67" w:rsidRPr="000545E1" w:rsidRDefault="00042F67" w:rsidP="001D3F7C">
            <w:pPr>
              <w:pBdr>
                <w:top w:val="nil"/>
                <w:left w:val="nil"/>
                <w:bottom w:val="nil"/>
                <w:right w:val="nil"/>
                <w:between w:val="nil"/>
              </w:pBdr>
              <w:spacing w:before="20"/>
              <w:rPr>
                <w:rFonts w:ascii="Sitka Text" w:eastAsia="Sitka Text" w:hAnsi="Sitka Text" w:cs="Sitka Text"/>
                <w:color w:val="auto"/>
              </w:rPr>
            </w:pPr>
            <w:r w:rsidRPr="000545E1">
              <w:rPr>
                <w:rFonts w:ascii="Sitka Text" w:eastAsia="Sitka Text" w:hAnsi="Sitka Text" w:cs="Sitka Text"/>
                <w:color w:val="auto"/>
              </w:rPr>
              <w:t>- Razvijene standardizovane smjernice za mjerenje zadovoljstva zaposlenih u javnoj upravi</w:t>
            </w:r>
          </w:p>
          <w:p w:rsidR="00042F67" w:rsidRPr="000545E1" w:rsidRDefault="00042F67" w:rsidP="001D3F7C">
            <w:pPr>
              <w:pBdr>
                <w:top w:val="nil"/>
                <w:left w:val="nil"/>
                <w:bottom w:val="nil"/>
                <w:right w:val="nil"/>
                <w:between w:val="nil"/>
              </w:pBdr>
              <w:spacing w:before="20"/>
              <w:rPr>
                <w:rFonts w:ascii="Sitka Text" w:eastAsia="Sitka Text" w:hAnsi="Sitka Text" w:cs="Sitka Text"/>
                <w:color w:val="auto"/>
              </w:rPr>
            </w:pPr>
            <w:r w:rsidRPr="000545E1">
              <w:rPr>
                <w:rFonts w:ascii="Sitka Text" w:eastAsia="Sitka Text" w:hAnsi="Sitka Text" w:cs="Sitka Text"/>
                <w:color w:val="auto"/>
              </w:rPr>
              <w:t>- Broj obučenih kontakt osoba za ULJR  o postupku mjerenje zadovoljstva zaposlenih</w:t>
            </w:r>
          </w:p>
          <w:p w:rsidR="00042F67" w:rsidRPr="000545E1" w:rsidRDefault="00042F67" w:rsidP="001D3F7C">
            <w:pPr>
              <w:pBdr>
                <w:top w:val="nil"/>
                <w:left w:val="nil"/>
                <w:bottom w:val="nil"/>
                <w:right w:val="nil"/>
                <w:between w:val="nil"/>
              </w:pBdr>
              <w:spacing w:before="20"/>
              <w:rPr>
                <w:rFonts w:ascii="Sitka Text" w:eastAsia="Sitka Text" w:hAnsi="Sitka Text" w:cs="Sitka Text"/>
                <w:color w:val="auto"/>
              </w:rPr>
            </w:pPr>
            <w:r w:rsidRPr="000545E1">
              <w:rPr>
                <w:rFonts w:ascii="Sitka Text" w:eastAsia="Sitka Text" w:hAnsi="Sitka Text" w:cs="Sitka Text"/>
                <w:color w:val="auto"/>
              </w:rPr>
              <w:t>- Promotivne aktivnosti o značaju mjerenja zadovoljstva zaposlenih</w:t>
            </w:r>
          </w:p>
        </w:tc>
        <w:tc>
          <w:tcPr>
            <w:tcW w:w="1467" w:type="dxa"/>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UzK</w:t>
            </w:r>
          </w:p>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MJUDDM</w:t>
            </w:r>
          </w:p>
        </w:tc>
        <w:tc>
          <w:tcPr>
            <w:tcW w:w="1412" w:type="dxa"/>
            <w:gridSpan w:val="2"/>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III Q 2022</w:t>
            </w:r>
          </w:p>
        </w:tc>
        <w:tc>
          <w:tcPr>
            <w:tcW w:w="1338" w:type="dxa"/>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III Q 2024</w:t>
            </w:r>
          </w:p>
        </w:tc>
        <w:tc>
          <w:tcPr>
            <w:tcW w:w="1248" w:type="dxa"/>
            <w:gridSpan w:val="2"/>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45.000 €</w:t>
            </w:r>
          </w:p>
        </w:tc>
        <w:tc>
          <w:tcPr>
            <w:tcW w:w="1858" w:type="dxa"/>
            <w:shd w:val="clear" w:color="auto" w:fill="auto"/>
            <w:vAlign w:val="center"/>
          </w:tcPr>
          <w:p w:rsidR="00042F67" w:rsidRPr="000545E1" w:rsidRDefault="00042F67" w:rsidP="001D3F7C">
            <w:pPr>
              <w:spacing w:before="20" w:after="20"/>
              <w:jc w:val="center"/>
              <w:rPr>
                <w:rFonts w:ascii="Sitka Text" w:eastAsia="Sitka Text" w:hAnsi="Sitka Text" w:cs="Sitka Text"/>
                <w:color w:val="auto"/>
              </w:rPr>
            </w:pPr>
            <w:r w:rsidRPr="000545E1">
              <w:rPr>
                <w:rFonts w:ascii="Sitka Text" w:eastAsia="Sitka Text" w:hAnsi="Sitka Text" w:cs="Sitka Text"/>
                <w:color w:val="auto"/>
              </w:rPr>
              <w:t>Budžet CG</w:t>
            </w:r>
          </w:p>
        </w:tc>
      </w:tr>
    </w:tbl>
    <w:p w:rsidR="00042F67" w:rsidRPr="000545E1" w:rsidRDefault="00042F67" w:rsidP="00042F67">
      <w:pPr>
        <w:spacing w:before="120" w:after="120" w:line="240" w:lineRule="auto"/>
        <w:rPr>
          <w:rFonts w:ascii="Sitka Text" w:hAnsi="Sitka Text" w:cs="Mongolian Baiti"/>
          <w:b/>
          <w:color w:val="auto"/>
          <w:sz w:val="28"/>
          <w:szCs w:val="28"/>
        </w:rPr>
      </w:pPr>
    </w:p>
    <w:tbl>
      <w:tblPr>
        <w:tblStyle w:val="TableGrid"/>
        <w:tblW w:w="14666" w:type="dxa"/>
        <w:tblLook w:val="04A0" w:firstRow="1" w:lastRow="0" w:firstColumn="1" w:lastColumn="0" w:noHBand="0" w:noVBand="1"/>
      </w:tblPr>
      <w:tblGrid>
        <w:gridCol w:w="679"/>
        <w:gridCol w:w="2508"/>
        <w:gridCol w:w="3485"/>
        <w:gridCol w:w="627"/>
        <w:gridCol w:w="1440"/>
        <w:gridCol w:w="541"/>
        <w:gridCol w:w="892"/>
        <w:gridCol w:w="1350"/>
        <w:gridCol w:w="526"/>
        <w:gridCol w:w="731"/>
        <w:gridCol w:w="1874"/>
        <w:gridCol w:w="13"/>
      </w:tblGrid>
      <w:tr w:rsidR="00042F67" w:rsidRPr="000545E1" w:rsidTr="001D3F7C">
        <w:tc>
          <w:tcPr>
            <w:tcW w:w="3147" w:type="dxa"/>
            <w:gridSpan w:val="2"/>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OPERATIVNI CILJ 3.3</w:t>
            </w:r>
          </w:p>
        </w:tc>
        <w:tc>
          <w:tcPr>
            <w:tcW w:w="11519" w:type="dxa"/>
            <w:gridSpan w:val="10"/>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Optimalna i efikasna javna administracija</w:t>
            </w:r>
          </w:p>
        </w:tc>
      </w:tr>
      <w:tr w:rsidR="00042F67" w:rsidRPr="000545E1" w:rsidTr="001D3F7C">
        <w:trPr>
          <w:gridAfter w:val="1"/>
          <w:wAfter w:w="13" w:type="dxa"/>
        </w:trPr>
        <w:tc>
          <w:tcPr>
            <w:tcW w:w="6653" w:type="dxa"/>
            <w:gridSpan w:val="3"/>
            <w:shd w:val="clear" w:color="auto" w:fill="DAF2F6"/>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Indikator</w:t>
            </w:r>
          </w:p>
        </w:tc>
        <w:tc>
          <w:tcPr>
            <w:tcW w:w="2615" w:type="dxa"/>
            <w:gridSpan w:val="3"/>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Početna vrijednost</w:t>
            </w:r>
          </w:p>
        </w:tc>
        <w:tc>
          <w:tcPr>
            <w:tcW w:w="2774" w:type="dxa"/>
            <w:gridSpan w:val="3"/>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do 2024.</w:t>
            </w:r>
          </w:p>
        </w:tc>
        <w:tc>
          <w:tcPr>
            <w:tcW w:w="2611" w:type="dxa"/>
            <w:gridSpan w:val="2"/>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u 2026.</w:t>
            </w:r>
          </w:p>
        </w:tc>
      </w:tr>
      <w:tr w:rsidR="00042F67" w:rsidRPr="000545E1" w:rsidTr="001D3F7C">
        <w:trPr>
          <w:gridAfter w:val="1"/>
          <w:wAfter w:w="13" w:type="dxa"/>
        </w:trPr>
        <w:tc>
          <w:tcPr>
            <w:tcW w:w="6653" w:type="dxa"/>
            <w:gridSpan w:val="3"/>
            <w:shd w:val="clear" w:color="auto" w:fill="DAF2F6"/>
          </w:tcPr>
          <w:p w:rsidR="00042F67" w:rsidRPr="000545E1" w:rsidRDefault="00042F67" w:rsidP="001D3F7C">
            <w:pPr>
              <w:spacing w:after="40"/>
              <w:jc w:val="both"/>
              <w:rPr>
                <w:rFonts w:ascii="Sitka Text" w:hAnsi="Sitka Text" w:cs="Mongolian Baiti"/>
                <w:color w:val="auto"/>
                <w:highlight w:val="yellow"/>
              </w:rPr>
            </w:pPr>
            <w:r w:rsidRPr="000545E1">
              <w:rPr>
                <w:rFonts w:ascii="Sitka Text" w:hAnsi="Sitka Text" w:cs="Mongolian Baiti"/>
                <w:color w:val="auto"/>
              </w:rPr>
              <w:t>Broj institucija/sektora sa izmijenjenom organizacionom i funkcionalnom sturkturom na osnovu preporuka funkcionalnih analiza</w:t>
            </w:r>
          </w:p>
        </w:tc>
        <w:tc>
          <w:tcPr>
            <w:tcW w:w="2615" w:type="dxa"/>
            <w:gridSpan w:val="3"/>
            <w:shd w:val="clear" w:color="auto" w:fill="DAF2F6"/>
            <w:vAlign w:val="center"/>
          </w:tcPr>
          <w:p w:rsidR="00042F67" w:rsidRPr="000545E1" w:rsidRDefault="00042F67" w:rsidP="001D3F7C">
            <w:pPr>
              <w:spacing w:after="40"/>
              <w:jc w:val="center"/>
              <w:rPr>
                <w:rFonts w:ascii="Sitka Text" w:hAnsi="Sitka Text" w:cs="Mongolian Baiti"/>
                <w:color w:val="auto"/>
                <w:highlight w:val="yellow"/>
              </w:rPr>
            </w:pPr>
            <w:r w:rsidRPr="000545E1">
              <w:rPr>
                <w:rFonts w:ascii="Sitka Text" w:hAnsi="Sitka Text" w:cs="Mongolian Baiti"/>
                <w:color w:val="auto"/>
              </w:rPr>
              <w:t>0</w:t>
            </w:r>
          </w:p>
        </w:tc>
        <w:tc>
          <w:tcPr>
            <w:tcW w:w="2774" w:type="dxa"/>
            <w:gridSpan w:val="3"/>
            <w:shd w:val="clear" w:color="auto" w:fill="DAF2F6"/>
            <w:vAlign w:val="center"/>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Vrijednost će biti uspostavljena nakon izrađenih funkcionalnih analiza</w:t>
            </w:r>
          </w:p>
        </w:tc>
        <w:tc>
          <w:tcPr>
            <w:tcW w:w="2611" w:type="dxa"/>
            <w:gridSpan w:val="2"/>
            <w:shd w:val="clear" w:color="auto" w:fill="DAF2F6"/>
            <w:vAlign w:val="center"/>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Vrijednost će biti uspostavljena nakon izrađenih funkcionalnih analiza</w:t>
            </w:r>
          </w:p>
        </w:tc>
      </w:tr>
      <w:tr w:rsidR="00042F67" w:rsidRPr="000545E1" w:rsidTr="001D3F7C">
        <w:trPr>
          <w:gridAfter w:val="1"/>
          <w:wAfter w:w="13" w:type="dxa"/>
        </w:trPr>
        <w:tc>
          <w:tcPr>
            <w:tcW w:w="6653" w:type="dxa"/>
            <w:gridSpan w:val="3"/>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Učešće broja zaposlenih na centralnom i lokalnom nivou u ukupnoj zaposlenosti</w:t>
            </w:r>
            <w:r w:rsidRPr="000545E1">
              <w:rPr>
                <w:rStyle w:val="FootnoteReference"/>
                <w:rFonts w:ascii="Sitka Text" w:hAnsi="Sitka Text" w:cstheme="majorHAnsi"/>
                <w:color w:val="auto"/>
              </w:rPr>
              <w:footnoteReference w:id="162"/>
            </w:r>
          </w:p>
        </w:tc>
        <w:tc>
          <w:tcPr>
            <w:tcW w:w="2615" w:type="dxa"/>
            <w:gridSpan w:val="3"/>
            <w:shd w:val="clear" w:color="auto" w:fill="DAF2F6"/>
            <w:vAlign w:val="center"/>
          </w:tcPr>
          <w:p w:rsidR="00042F67" w:rsidRPr="000545E1" w:rsidRDefault="00042F67" w:rsidP="001D3F7C">
            <w:pPr>
              <w:spacing w:after="40"/>
              <w:ind w:right="144"/>
              <w:jc w:val="center"/>
              <w:rPr>
                <w:rFonts w:ascii="Sitka Text" w:hAnsi="Sitka Text" w:cstheme="majorHAnsi"/>
                <w:color w:val="auto"/>
                <w:highlight w:val="yellow"/>
              </w:rPr>
            </w:pPr>
            <w:r w:rsidRPr="000545E1">
              <w:rPr>
                <w:rFonts w:ascii="Sitka Text" w:hAnsi="Sitka Text" w:cstheme="majorHAnsi"/>
                <w:color w:val="auto"/>
              </w:rPr>
              <w:t>32%</w:t>
            </w:r>
          </w:p>
        </w:tc>
        <w:tc>
          <w:tcPr>
            <w:tcW w:w="2774" w:type="dxa"/>
            <w:gridSpan w:val="3"/>
            <w:shd w:val="clear" w:color="auto" w:fill="DAF2F6"/>
          </w:tcPr>
          <w:p w:rsidR="00042F67" w:rsidRPr="000545E1" w:rsidRDefault="00042F67" w:rsidP="001D3F7C">
            <w:pPr>
              <w:spacing w:after="40"/>
              <w:ind w:right="144"/>
              <w:rPr>
                <w:rFonts w:ascii="Sitka Text" w:hAnsi="Sitka Text" w:cstheme="majorHAnsi"/>
                <w:color w:val="auto"/>
              </w:rPr>
            </w:pPr>
          </w:p>
        </w:tc>
        <w:tc>
          <w:tcPr>
            <w:tcW w:w="2611" w:type="dxa"/>
            <w:gridSpan w:val="2"/>
            <w:shd w:val="clear" w:color="auto" w:fill="DAF2F6"/>
          </w:tcPr>
          <w:p w:rsidR="00042F67" w:rsidRPr="000545E1" w:rsidRDefault="00042F67" w:rsidP="001D3F7C">
            <w:pPr>
              <w:spacing w:after="40"/>
              <w:ind w:right="144"/>
              <w:jc w:val="both"/>
              <w:rPr>
                <w:rFonts w:ascii="Sitka Text" w:hAnsi="Sitka Text" w:cstheme="majorHAnsi"/>
                <w:color w:val="auto"/>
              </w:rPr>
            </w:pPr>
          </w:p>
        </w:tc>
      </w:tr>
      <w:tr w:rsidR="00042F67" w:rsidRPr="000545E1" w:rsidTr="001D3F7C">
        <w:tc>
          <w:tcPr>
            <w:tcW w:w="3147"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Aktivnosti</w:t>
            </w:r>
          </w:p>
        </w:tc>
        <w:tc>
          <w:tcPr>
            <w:tcW w:w="4138"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Indikator rezultata</w:t>
            </w:r>
          </w:p>
        </w:tc>
        <w:tc>
          <w:tcPr>
            <w:tcW w:w="1440"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Nadležne institucije</w:t>
            </w:r>
          </w:p>
        </w:tc>
        <w:tc>
          <w:tcPr>
            <w:tcW w:w="1439"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Početak</w:t>
            </w:r>
          </w:p>
        </w:tc>
        <w:tc>
          <w:tcPr>
            <w:tcW w:w="1350"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Završetak</w:t>
            </w:r>
          </w:p>
        </w:tc>
        <w:tc>
          <w:tcPr>
            <w:tcW w:w="1260"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Sredstva</w:t>
            </w:r>
          </w:p>
        </w:tc>
        <w:tc>
          <w:tcPr>
            <w:tcW w:w="1892"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Izvor finansiranja</w:t>
            </w:r>
          </w:p>
        </w:tc>
      </w:tr>
      <w:tr w:rsidR="00042F67" w:rsidRPr="000545E1" w:rsidTr="001D3F7C">
        <w:tc>
          <w:tcPr>
            <w:tcW w:w="633" w:type="dxa"/>
          </w:tcPr>
          <w:p w:rsidR="00042F67" w:rsidRPr="000545E1" w:rsidRDefault="00042F67" w:rsidP="001D3F7C">
            <w:pPr>
              <w:spacing w:before="20" w:after="20"/>
              <w:ind w:right="-96"/>
              <w:rPr>
                <w:rFonts w:ascii="Sitka Text" w:hAnsi="Sitka Text" w:cs="Mongolian Baiti"/>
                <w:color w:val="auto"/>
              </w:rPr>
            </w:pPr>
            <w:r w:rsidRPr="000545E1">
              <w:rPr>
                <w:rFonts w:ascii="Sitka Text" w:hAnsi="Sitka Text" w:cs="Mongolian Baiti"/>
                <w:color w:val="auto"/>
              </w:rPr>
              <w:lastRenderedPageBreak/>
              <w:t>3.3.1</w:t>
            </w:r>
          </w:p>
        </w:tc>
        <w:tc>
          <w:tcPr>
            <w:tcW w:w="2514"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Izrada evidencije/registra za sve zaposlene na centralnom nivou koji se finansiraju iz Budžeta CG</w:t>
            </w:r>
          </w:p>
        </w:tc>
        <w:tc>
          <w:tcPr>
            <w:tcW w:w="4138"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Izrađena evidencija zaposlenih na centralnom nivou u MFSS</w:t>
            </w:r>
          </w:p>
        </w:tc>
        <w:tc>
          <w:tcPr>
            <w:tcW w:w="144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tc>
        <w:tc>
          <w:tcPr>
            <w:tcW w:w="1439"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26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Nisu potrebna sredstva</w:t>
            </w:r>
          </w:p>
        </w:tc>
        <w:tc>
          <w:tcPr>
            <w:tcW w:w="1892"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633" w:type="dxa"/>
            <w:shd w:val="clear" w:color="auto" w:fill="FFFFFF" w:themeFill="background1"/>
          </w:tcPr>
          <w:p w:rsidR="00042F67" w:rsidRPr="000545E1" w:rsidRDefault="00042F67" w:rsidP="001D3F7C">
            <w:pPr>
              <w:spacing w:before="20" w:after="20"/>
              <w:ind w:right="-96"/>
              <w:rPr>
                <w:rFonts w:ascii="Sitka Text" w:hAnsi="Sitka Text" w:cs="Mongolian Baiti"/>
                <w:color w:val="auto"/>
              </w:rPr>
            </w:pPr>
            <w:r w:rsidRPr="000545E1">
              <w:rPr>
                <w:rFonts w:ascii="Sitka Text" w:hAnsi="Sitka Text" w:cs="Mongolian Baiti"/>
                <w:color w:val="auto"/>
              </w:rPr>
              <w:t>3.3.2</w:t>
            </w:r>
          </w:p>
        </w:tc>
        <w:tc>
          <w:tcPr>
            <w:tcW w:w="2514" w:type="dxa"/>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Izmjena normativnog okvira kojim je regulisan sistem zarada u javnom sektoru</w:t>
            </w:r>
          </w:p>
        </w:tc>
        <w:tc>
          <w:tcPr>
            <w:tcW w:w="4138" w:type="dxa"/>
            <w:gridSpan w:val="2"/>
            <w:shd w:val="clear" w:color="auto" w:fill="FFFFFF" w:themeFill="background1"/>
          </w:tcPr>
          <w:p w:rsidR="00042F67" w:rsidRPr="000545E1" w:rsidRDefault="00042F67" w:rsidP="00B43D4E">
            <w:pPr>
              <w:pStyle w:val="ListParagraph"/>
              <w:numPr>
                <w:ilvl w:val="0"/>
                <w:numId w:val="47"/>
              </w:numPr>
              <w:spacing w:before="20" w:after="20"/>
              <w:ind w:left="181" w:hanging="180"/>
              <w:rPr>
                <w:rFonts w:ascii="Sitka Text" w:hAnsi="Sitka Text" w:cs="Mongolian Baiti"/>
                <w:color w:val="auto"/>
              </w:rPr>
            </w:pPr>
            <w:r w:rsidRPr="000545E1">
              <w:rPr>
                <w:rFonts w:ascii="Sitka Text" w:hAnsi="Sitka Text" w:cs="Mongolian Baiti"/>
                <w:color w:val="auto"/>
              </w:rPr>
              <w:t>Zakon o zaradama izmijenjen u dijelu mjerenja učinka rada zaposlenih i definisanja efikasnijeg mehanizma između razultata rada zaposlenih i nagrađivanja; uspostavljanje obaveznosti vođenja jedinstvene evidencije o broju zaposlenih koji se finansiraju iz budžeta, stvaranje pravnog osnova za sporazumni prestanak radnog odnosa i tehnološkog viška, uz otpremnine</w:t>
            </w:r>
          </w:p>
          <w:p w:rsidR="00042F67" w:rsidRPr="000545E1" w:rsidRDefault="00042F67" w:rsidP="00B43D4E">
            <w:pPr>
              <w:pStyle w:val="ListParagraph"/>
              <w:numPr>
                <w:ilvl w:val="0"/>
                <w:numId w:val="47"/>
              </w:numPr>
              <w:spacing w:before="20" w:after="20"/>
              <w:ind w:left="181" w:hanging="180"/>
              <w:rPr>
                <w:rFonts w:ascii="Sitka Text" w:hAnsi="Sitka Text" w:cs="Mongolian Baiti"/>
                <w:color w:val="auto"/>
              </w:rPr>
            </w:pPr>
            <w:r w:rsidRPr="000545E1">
              <w:rPr>
                <w:rFonts w:ascii="Sitka Text" w:hAnsi="Sitka Text" w:cs="Mongolian Baiti"/>
                <w:color w:val="auto"/>
              </w:rPr>
              <w:t xml:space="preserve">Izmjena relevantnih podzakonskih akata </w:t>
            </w:r>
          </w:p>
        </w:tc>
        <w:tc>
          <w:tcPr>
            <w:tcW w:w="1440"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MER</w:t>
            </w:r>
          </w:p>
        </w:tc>
        <w:tc>
          <w:tcPr>
            <w:tcW w:w="1439"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350"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1260"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7.000 €</w:t>
            </w:r>
          </w:p>
        </w:tc>
        <w:tc>
          <w:tcPr>
            <w:tcW w:w="1892"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633" w:type="dxa"/>
            <w:shd w:val="clear" w:color="auto" w:fill="FFFFFF" w:themeFill="background1"/>
          </w:tcPr>
          <w:p w:rsidR="00042F67" w:rsidRPr="000545E1" w:rsidRDefault="00042F67" w:rsidP="001D3F7C">
            <w:pPr>
              <w:spacing w:before="20" w:after="20"/>
              <w:ind w:right="-96"/>
              <w:rPr>
                <w:rFonts w:ascii="Sitka Text" w:hAnsi="Sitka Text" w:cs="Mongolian Baiti"/>
                <w:color w:val="auto"/>
              </w:rPr>
            </w:pPr>
            <w:r w:rsidRPr="000545E1">
              <w:rPr>
                <w:rFonts w:ascii="Sitka Text" w:hAnsi="Sitka Text" w:cs="Mongolian Baiti"/>
                <w:color w:val="auto"/>
              </w:rPr>
              <w:t>3.3.3</w:t>
            </w:r>
          </w:p>
        </w:tc>
        <w:tc>
          <w:tcPr>
            <w:tcW w:w="2514" w:type="dxa"/>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Izmjena Zakona o radu</w:t>
            </w:r>
          </w:p>
        </w:tc>
        <w:tc>
          <w:tcPr>
            <w:tcW w:w="4138" w:type="dxa"/>
            <w:gridSpan w:val="2"/>
            <w:shd w:val="clear" w:color="auto" w:fill="FFFFFF" w:themeFill="background1"/>
          </w:tcPr>
          <w:p w:rsidR="00042F67" w:rsidRPr="000545E1" w:rsidDel="00877FCC" w:rsidRDefault="00042F67" w:rsidP="001D3F7C">
            <w:pPr>
              <w:spacing w:before="20" w:after="20"/>
              <w:rPr>
                <w:rFonts w:ascii="Sitka Text" w:hAnsi="Sitka Text" w:cs="Mongolian Baiti"/>
                <w:color w:val="auto"/>
              </w:rPr>
            </w:pPr>
            <w:r w:rsidRPr="000545E1">
              <w:rPr>
                <w:rFonts w:ascii="Sitka Text" w:hAnsi="Sitka Text" w:cs="Mongolian Baiti"/>
                <w:color w:val="auto"/>
              </w:rPr>
              <w:t>Zakon o radu izmijenjen u dijelu uspostavljana Kadrovskog planiranja ( KP) instutucija koje se finansiraju iz budžeta</w:t>
            </w:r>
          </w:p>
        </w:tc>
        <w:tc>
          <w:tcPr>
            <w:tcW w:w="1440"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MER</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tc>
        <w:tc>
          <w:tcPr>
            <w:tcW w:w="1439"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50"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1260"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3.000 €</w:t>
            </w:r>
          </w:p>
        </w:tc>
        <w:tc>
          <w:tcPr>
            <w:tcW w:w="1892"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633" w:type="dxa"/>
            <w:shd w:val="clear" w:color="auto" w:fill="FFFFFF" w:themeFill="background1"/>
          </w:tcPr>
          <w:p w:rsidR="00042F67" w:rsidRPr="000545E1" w:rsidRDefault="00042F67" w:rsidP="001D3F7C">
            <w:pPr>
              <w:spacing w:before="20" w:after="20"/>
              <w:ind w:right="-96"/>
              <w:rPr>
                <w:rFonts w:ascii="Sitka Text" w:hAnsi="Sitka Text" w:cs="Mongolian Baiti"/>
                <w:color w:val="auto"/>
              </w:rPr>
            </w:pPr>
            <w:r w:rsidRPr="000545E1">
              <w:rPr>
                <w:rFonts w:ascii="Sitka Text" w:hAnsi="Sitka Text" w:cs="Mongolian Baiti"/>
                <w:color w:val="auto"/>
              </w:rPr>
              <w:t>3.3.4</w:t>
            </w:r>
          </w:p>
        </w:tc>
        <w:tc>
          <w:tcPr>
            <w:tcW w:w="2514" w:type="dxa"/>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Uspostavljanje efikasnog mehanizma u dijelu zaključivanja Ugovora o djelu i Ugovora o privremenim i povremenim poslovima</w:t>
            </w:r>
          </w:p>
        </w:tc>
        <w:tc>
          <w:tcPr>
            <w:tcW w:w="4138" w:type="dxa"/>
            <w:gridSpan w:val="2"/>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Pojačan inspekcijski nadzor u dijelu zaključivanja Ugovora o djelu i Ugovora o privremeno povremenim poslovima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Izmijenjen Zakona o porezu na dohodak fizičkih lica u dijelu povećanja poreske stope na Ugovore od djelu</w:t>
            </w:r>
          </w:p>
          <w:p w:rsidR="00042F67" w:rsidRPr="000545E1" w:rsidRDefault="00042F67" w:rsidP="001D3F7C">
            <w:pPr>
              <w:spacing w:before="20" w:after="20"/>
              <w:rPr>
                <w:rFonts w:ascii="Sitka Text" w:hAnsi="Sitka Text" w:cs="Mongolian Baiti"/>
                <w:color w:val="auto"/>
              </w:rPr>
            </w:pPr>
          </w:p>
        </w:tc>
        <w:tc>
          <w:tcPr>
            <w:tcW w:w="1440"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tc>
        <w:tc>
          <w:tcPr>
            <w:tcW w:w="1439"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350"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2023</w:t>
            </w:r>
          </w:p>
        </w:tc>
        <w:tc>
          <w:tcPr>
            <w:tcW w:w="1260"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2.000 €</w:t>
            </w:r>
          </w:p>
        </w:tc>
        <w:tc>
          <w:tcPr>
            <w:tcW w:w="1892"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633" w:type="dxa"/>
            <w:shd w:val="clear" w:color="auto" w:fill="auto"/>
          </w:tcPr>
          <w:p w:rsidR="00042F67" w:rsidRPr="000545E1" w:rsidRDefault="00042F67" w:rsidP="001D3F7C">
            <w:pPr>
              <w:spacing w:before="20" w:after="20"/>
              <w:ind w:right="-96"/>
              <w:rPr>
                <w:rFonts w:ascii="Sitka Text" w:hAnsi="Sitka Text" w:cs="Mongolian Baiti"/>
                <w:color w:val="auto"/>
              </w:rPr>
            </w:pPr>
            <w:r w:rsidRPr="000545E1">
              <w:rPr>
                <w:rFonts w:ascii="Sitka Text" w:hAnsi="Sitka Text" w:cs="Mongolian Baiti"/>
                <w:color w:val="auto"/>
              </w:rPr>
              <w:t>3.3.5</w:t>
            </w:r>
          </w:p>
        </w:tc>
        <w:tc>
          <w:tcPr>
            <w:tcW w:w="2514"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Fazna izrada funkcionalne analize kompletne javne uprave sa posebnim osvrtom na specifičnosti sektora </w:t>
            </w:r>
            <w:r w:rsidRPr="000545E1">
              <w:rPr>
                <w:rFonts w:ascii="Sitka Text" w:hAnsi="Sitka Text" w:cs="Mongolian Baiti"/>
                <w:color w:val="auto"/>
              </w:rPr>
              <w:lastRenderedPageBreak/>
              <w:t>obrazovanja, zdravstva, vojske i policije</w:t>
            </w:r>
          </w:p>
        </w:tc>
        <w:tc>
          <w:tcPr>
            <w:tcW w:w="4138"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lastRenderedPageBreak/>
              <w:t xml:space="preserve">Izrađena fazna analiza funkcionalnosti javne uprave sa preporukama za unapređenje stanja (interni procesi rada, efikasnost i odgovornost javne uprave, </w:t>
            </w:r>
            <w:r w:rsidRPr="000545E1">
              <w:rPr>
                <w:rFonts w:ascii="Sitka Text" w:hAnsi="Sitka Text" w:cs="Mongolian Baiti"/>
                <w:color w:val="auto"/>
              </w:rPr>
              <w:lastRenderedPageBreak/>
              <w:t>kadrovska politika, broj zaposlenih i slično)</w:t>
            </w:r>
          </w:p>
        </w:tc>
        <w:tc>
          <w:tcPr>
            <w:tcW w:w="144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lastRenderedPageBreak/>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r w:rsidRPr="000545E1">
              <w:rPr>
                <w:rFonts w:ascii="Sitka Text" w:hAnsi="Sitka Text" w:cs="Mongolian Baiti"/>
                <w:color w:val="auto"/>
              </w:rPr>
              <w:br/>
              <w:t>Svjetska Banka</w:t>
            </w:r>
          </w:p>
        </w:tc>
        <w:tc>
          <w:tcPr>
            <w:tcW w:w="1439"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5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2024</w:t>
            </w:r>
          </w:p>
        </w:tc>
        <w:tc>
          <w:tcPr>
            <w:tcW w:w="126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505.000 €</w:t>
            </w:r>
          </w:p>
        </w:tc>
        <w:tc>
          <w:tcPr>
            <w:tcW w:w="1892"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633" w:type="dxa"/>
          </w:tcPr>
          <w:p w:rsidR="00042F67" w:rsidRPr="000545E1" w:rsidRDefault="00042F67" w:rsidP="001D3F7C">
            <w:pPr>
              <w:spacing w:before="20" w:after="20"/>
              <w:ind w:right="-96"/>
              <w:rPr>
                <w:rFonts w:ascii="Sitka Text" w:hAnsi="Sitka Text" w:cs="Mongolian Baiti"/>
                <w:color w:val="auto"/>
              </w:rPr>
            </w:pPr>
            <w:r w:rsidRPr="000545E1">
              <w:rPr>
                <w:rFonts w:ascii="Sitka Text" w:hAnsi="Sitka Text" w:cs="Mongolian Baiti"/>
                <w:color w:val="auto"/>
              </w:rPr>
              <w:t>3.3.6</w:t>
            </w:r>
          </w:p>
        </w:tc>
        <w:tc>
          <w:tcPr>
            <w:tcW w:w="2514"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Koordinacija implementacije preporuka za optimizaciju javne uprave (uključujući i izrađenih Funkcionalnih analiza)</w:t>
            </w:r>
          </w:p>
        </w:tc>
        <w:tc>
          <w:tcPr>
            <w:tcW w:w="4138"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Formirani timovi po sektorskom pristupu sa ciljem monitoringa implementacije preporuka mjera optimizacije i izrađenih funkcionalnih analiza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Implementacija  preporuka u odnosu na izrađene funkcionalne analize (u skladu sa vremenskim rokom AP)</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Izvještavanje koordinacionih timova o implementiranim preporukama izrađenih funkcionalih analiza</w:t>
            </w:r>
          </w:p>
        </w:tc>
        <w:tc>
          <w:tcPr>
            <w:tcW w:w="144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Sva</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ministarstva</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Svi organi javne uprave</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Javne ustanove</w:t>
            </w:r>
          </w:p>
        </w:tc>
        <w:tc>
          <w:tcPr>
            <w:tcW w:w="1439"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2023</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2024</w:t>
            </w:r>
          </w:p>
        </w:tc>
        <w:tc>
          <w:tcPr>
            <w:tcW w:w="126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207.000 €</w:t>
            </w:r>
          </w:p>
        </w:tc>
        <w:tc>
          <w:tcPr>
            <w:tcW w:w="1892"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p w:rsidR="00042F67" w:rsidRPr="000545E1" w:rsidRDefault="00042F67" w:rsidP="001D3F7C">
            <w:pPr>
              <w:spacing w:before="20" w:after="20"/>
              <w:jc w:val="center"/>
              <w:rPr>
                <w:rFonts w:ascii="Sitka Text" w:hAnsi="Sitka Text" w:cs="Mongolian Baiti"/>
                <w:color w:val="auto"/>
              </w:rPr>
            </w:pPr>
          </w:p>
        </w:tc>
      </w:tr>
      <w:tr w:rsidR="00042F67" w:rsidRPr="000545E1" w:rsidTr="001D3F7C">
        <w:tc>
          <w:tcPr>
            <w:tcW w:w="633" w:type="dxa"/>
            <w:shd w:val="clear" w:color="auto" w:fill="FFFFFF" w:themeFill="background1"/>
          </w:tcPr>
          <w:p w:rsidR="00042F67" w:rsidRPr="000545E1" w:rsidRDefault="00042F67" w:rsidP="001D3F7C">
            <w:pPr>
              <w:spacing w:before="20" w:after="20"/>
              <w:ind w:right="-96"/>
              <w:rPr>
                <w:rFonts w:ascii="Sitka Text" w:hAnsi="Sitka Text" w:cs="Mongolian Baiti"/>
                <w:color w:val="auto"/>
              </w:rPr>
            </w:pPr>
            <w:r w:rsidRPr="000545E1">
              <w:rPr>
                <w:rFonts w:ascii="Sitka Text" w:hAnsi="Sitka Text" w:cs="Mongolian Baiti"/>
                <w:color w:val="auto"/>
              </w:rPr>
              <w:t>3.3.7</w:t>
            </w:r>
          </w:p>
        </w:tc>
        <w:tc>
          <w:tcPr>
            <w:tcW w:w="2514" w:type="dxa"/>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Izrada </w:t>
            </w:r>
            <w:r w:rsidRPr="000545E1">
              <w:rPr>
                <w:rFonts w:ascii="Sitka Text" w:hAnsi="Sitka Text" w:cs="Mongolian Baiti"/>
                <w:i/>
                <w:color w:val="auto"/>
              </w:rPr>
              <w:t>cost-benifit</w:t>
            </w:r>
            <w:r w:rsidRPr="000545E1">
              <w:rPr>
                <w:rFonts w:ascii="Sitka Text" w:hAnsi="Sitka Text" w:cs="Mongolian Baiti"/>
                <w:color w:val="auto"/>
              </w:rPr>
              <w:t xml:space="preserve"> analize o uvođenju zajedničkih usluga za ključne administrativne funkcije u cilju optimizacije procesa rada</w:t>
            </w:r>
          </w:p>
        </w:tc>
        <w:tc>
          <w:tcPr>
            <w:tcW w:w="4138" w:type="dxa"/>
            <w:gridSpan w:val="2"/>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 Analiza za preporukama izrađena o uvođenju zajedničkih funkcija (pravna služba, računovodstvo, upravljanje ljudskim resursima, nabavke, upravljanje nekretninama i slično) i spajanju područnih jedinica onih organa koji su na centralnom nivou spojeni sa Uredbom o organizaciji državne uprave </w:t>
            </w:r>
            <w:r w:rsidRPr="000545E1">
              <w:rPr>
                <w:rStyle w:val="FootnoteReference"/>
                <w:rFonts w:ascii="Sitka Text" w:hAnsi="Sitka Text" w:cs="Mongolian Baiti"/>
                <w:color w:val="auto"/>
              </w:rPr>
              <w:footnoteReference w:id="163"/>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Akcioni plan sa definisanim daljim aktivnostima na osnovu preporuka analize razvijen</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*veza sa aktivnost 1.1.12</w:t>
            </w:r>
          </w:p>
        </w:tc>
        <w:tc>
          <w:tcPr>
            <w:tcW w:w="1440"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MER</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MKI</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SIGMA</w:t>
            </w:r>
          </w:p>
        </w:tc>
        <w:tc>
          <w:tcPr>
            <w:tcW w:w="1439"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50"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260"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78.000 €</w:t>
            </w:r>
          </w:p>
        </w:tc>
        <w:tc>
          <w:tcPr>
            <w:tcW w:w="1892"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633" w:type="dxa"/>
            <w:shd w:val="clear" w:color="auto" w:fill="FFFFFF" w:themeFill="background1"/>
          </w:tcPr>
          <w:p w:rsidR="00042F67" w:rsidRPr="000545E1" w:rsidRDefault="00042F67" w:rsidP="001D3F7C">
            <w:pPr>
              <w:spacing w:before="20" w:after="20"/>
              <w:ind w:right="-96"/>
              <w:rPr>
                <w:rFonts w:ascii="Sitka Text" w:hAnsi="Sitka Text" w:cs="Mongolian Baiti"/>
                <w:color w:val="auto"/>
              </w:rPr>
            </w:pPr>
            <w:r w:rsidRPr="000545E1">
              <w:rPr>
                <w:rFonts w:ascii="Sitka Text" w:hAnsi="Sitka Text" w:cs="Calibri"/>
                <w:color w:val="auto"/>
              </w:rPr>
              <w:t>3.3.9</w:t>
            </w:r>
          </w:p>
        </w:tc>
        <w:tc>
          <w:tcPr>
            <w:tcW w:w="2514" w:type="dxa"/>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Calibri"/>
                <w:color w:val="auto"/>
              </w:rPr>
              <w:t>Uspostaviti mehanizam kontrole doznaka privremene spriječenost za rad (bolovanje)</w:t>
            </w:r>
          </w:p>
        </w:tc>
        <w:tc>
          <w:tcPr>
            <w:tcW w:w="4138" w:type="dxa"/>
            <w:gridSpan w:val="2"/>
            <w:shd w:val="clear" w:color="auto" w:fill="FFFFFF" w:themeFill="background1"/>
          </w:tcPr>
          <w:p w:rsidR="00042F67" w:rsidRPr="000545E1" w:rsidRDefault="00042F67" w:rsidP="001D3F7C">
            <w:pPr>
              <w:spacing w:before="20" w:after="20"/>
              <w:rPr>
                <w:rFonts w:ascii="Sitka Text" w:hAnsi="Sitka Text" w:cs="Calibri"/>
                <w:color w:val="auto"/>
              </w:rPr>
            </w:pPr>
            <w:r w:rsidRPr="000545E1">
              <w:rPr>
                <w:rFonts w:ascii="Sitka Text" w:hAnsi="Sitka Text" w:cs="Calibri"/>
                <w:color w:val="auto"/>
              </w:rPr>
              <w:t>- Usvojen izmijenjen normativni okvir o zdrastvenoj zaštiti</w:t>
            </w:r>
          </w:p>
          <w:p w:rsidR="00042F67" w:rsidRPr="000545E1" w:rsidRDefault="00042F67" w:rsidP="001D3F7C">
            <w:pPr>
              <w:spacing w:before="20" w:after="20"/>
              <w:rPr>
                <w:rFonts w:ascii="Sitka Text" w:hAnsi="Sitka Text" w:cs="Calibri"/>
                <w:color w:val="auto"/>
              </w:rPr>
            </w:pPr>
            <w:r w:rsidRPr="000545E1">
              <w:rPr>
                <w:rFonts w:ascii="Sitka Text" w:hAnsi="Sitka Text" w:cs="Calibri"/>
                <w:color w:val="auto"/>
              </w:rPr>
              <w:t>- Izrađen analitički materijal o broju bolovanja i finansijskim implikacijama</w:t>
            </w:r>
          </w:p>
          <w:p w:rsidR="00042F67" w:rsidRPr="000545E1" w:rsidRDefault="00042F67" w:rsidP="001D3F7C">
            <w:pPr>
              <w:spacing w:before="20" w:after="20"/>
              <w:rPr>
                <w:rFonts w:ascii="Sitka Text" w:hAnsi="Sitka Text" w:cs="Calibri"/>
                <w:color w:val="auto"/>
              </w:rPr>
            </w:pPr>
            <w:r w:rsidRPr="000545E1">
              <w:rPr>
                <w:rFonts w:ascii="Sitka Text" w:hAnsi="Sitka Text" w:cs="Calibri"/>
                <w:color w:val="auto"/>
              </w:rPr>
              <w:t>- Mapiran proces prijave privremene spriječenosti za rad</w:t>
            </w:r>
          </w:p>
          <w:p w:rsidR="00042F67" w:rsidRPr="000545E1" w:rsidRDefault="00042F67" w:rsidP="001D3F7C">
            <w:pPr>
              <w:spacing w:before="20" w:after="20"/>
              <w:rPr>
                <w:rFonts w:ascii="Sitka Text" w:hAnsi="Sitka Text" w:cs="Mongolian Baiti"/>
                <w:color w:val="auto"/>
              </w:rPr>
            </w:pPr>
            <w:r w:rsidRPr="000545E1">
              <w:rPr>
                <w:rFonts w:ascii="Sitka Text" w:hAnsi="Sitka Text" w:cs="Calibri"/>
                <w:color w:val="auto"/>
              </w:rPr>
              <w:t>- Kreiran mehanizam monitoringa privremene spriječenosti za rad</w:t>
            </w:r>
          </w:p>
        </w:tc>
        <w:tc>
          <w:tcPr>
            <w:tcW w:w="1440" w:type="dxa"/>
            <w:shd w:val="clear" w:color="auto" w:fill="FFFFFF" w:themeFill="background1"/>
            <w:vAlign w:val="center"/>
          </w:tcPr>
          <w:p w:rsidR="00042F67" w:rsidRPr="000545E1" w:rsidRDefault="00042F67" w:rsidP="001D3F7C">
            <w:pPr>
              <w:spacing w:after="40"/>
              <w:jc w:val="center"/>
              <w:rPr>
                <w:rFonts w:ascii="Sitka Text" w:hAnsi="Sitka Text" w:cs="Calibri"/>
                <w:color w:val="auto"/>
              </w:rPr>
            </w:pPr>
            <w:r w:rsidRPr="000545E1">
              <w:rPr>
                <w:rFonts w:ascii="Sitka Text" w:hAnsi="Sitka Text" w:cs="Calibri"/>
                <w:color w:val="auto"/>
              </w:rPr>
              <w:t>MZ</w:t>
            </w:r>
          </w:p>
          <w:p w:rsidR="00042F67" w:rsidRPr="000545E1" w:rsidRDefault="00042F67" w:rsidP="001D3F7C">
            <w:pPr>
              <w:spacing w:after="40"/>
              <w:jc w:val="center"/>
              <w:rPr>
                <w:rFonts w:ascii="Sitka Text" w:hAnsi="Sitka Text" w:cs="Calibri"/>
                <w:color w:val="auto"/>
              </w:rPr>
            </w:pPr>
            <w:r w:rsidRPr="000545E1">
              <w:rPr>
                <w:rFonts w:ascii="Sitka Text" w:hAnsi="Sitka Text" w:cs="Calibri"/>
                <w:color w:val="auto"/>
              </w:rPr>
              <w:t>MFSS</w:t>
            </w:r>
          </w:p>
          <w:p w:rsidR="00042F67" w:rsidRPr="000545E1" w:rsidRDefault="00042F67" w:rsidP="001D3F7C">
            <w:pPr>
              <w:spacing w:after="40"/>
              <w:jc w:val="center"/>
              <w:rPr>
                <w:rFonts w:ascii="Sitka Text" w:hAnsi="Sitka Text" w:cs="Calibri"/>
                <w:color w:val="auto"/>
              </w:rPr>
            </w:pPr>
            <w:r w:rsidRPr="000545E1">
              <w:rPr>
                <w:rFonts w:ascii="Sitka Text" w:hAnsi="Sitka Text" w:cs="Calibri"/>
                <w:color w:val="auto"/>
              </w:rPr>
              <w:t>MJUDDM</w:t>
            </w:r>
          </w:p>
          <w:p w:rsidR="00042F67" w:rsidRPr="000545E1" w:rsidRDefault="00042F67" w:rsidP="001D3F7C">
            <w:pPr>
              <w:spacing w:before="20" w:after="20"/>
              <w:jc w:val="center"/>
              <w:rPr>
                <w:rFonts w:ascii="Sitka Text" w:hAnsi="Sitka Text" w:cs="Mongolian Baiti"/>
                <w:color w:val="auto"/>
              </w:rPr>
            </w:pPr>
          </w:p>
        </w:tc>
        <w:tc>
          <w:tcPr>
            <w:tcW w:w="1439"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50"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2024</w:t>
            </w:r>
          </w:p>
        </w:tc>
        <w:tc>
          <w:tcPr>
            <w:tcW w:w="1260"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olor w:val="auto"/>
              </w:rPr>
              <w:t>15.000 €</w:t>
            </w:r>
          </w:p>
        </w:tc>
        <w:tc>
          <w:tcPr>
            <w:tcW w:w="1892" w:type="dxa"/>
            <w:gridSpan w:val="2"/>
            <w:shd w:val="clear" w:color="auto" w:fill="FFFFFF" w:themeFill="background1"/>
            <w:vAlign w:val="center"/>
          </w:tcPr>
          <w:p w:rsidR="00042F67" w:rsidRPr="000545E1" w:rsidRDefault="00042F67" w:rsidP="001D3F7C">
            <w:pPr>
              <w:pStyle w:val="CommentText"/>
              <w:jc w:val="center"/>
              <w:rPr>
                <w:rFonts w:ascii="Sitka Text" w:hAnsi="Sitka Text" w:cs="Calibri"/>
                <w:color w:val="auto"/>
                <w:sz w:val="18"/>
                <w:szCs w:val="18"/>
              </w:rPr>
            </w:pPr>
            <w:r w:rsidRPr="000545E1">
              <w:rPr>
                <w:rFonts w:ascii="Sitka Text" w:hAnsi="Sitka Text" w:cs="Calibri"/>
                <w:color w:val="auto"/>
                <w:sz w:val="18"/>
                <w:szCs w:val="18"/>
              </w:rPr>
              <w:t>Budžet CG</w:t>
            </w:r>
          </w:p>
        </w:tc>
      </w:tr>
    </w:tbl>
    <w:p w:rsidR="00042F67" w:rsidRPr="000545E1" w:rsidRDefault="00042F67" w:rsidP="00042F67">
      <w:pPr>
        <w:spacing w:before="120" w:after="120" w:line="240" w:lineRule="auto"/>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r w:rsidRPr="000545E1">
        <w:rPr>
          <w:rFonts w:ascii="Sitka Text" w:hAnsi="Sitka Text" w:cs="Mongolian Baiti"/>
          <w:b/>
          <w:color w:val="auto"/>
          <w:sz w:val="28"/>
          <w:szCs w:val="28"/>
        </w:rPr>
        <w:t xml:space="preserve">STRATEŠKI CILJ IV </w:t>
      </w:r>
    </w:p>
    <w:p w:rsidR="00042F67" w:rsidRPr="000545E1" w:rsidRDefault="00042F67" w:rsidP="00042F67">
      <w:pPr>
        <w:spacing w:before="120" w:after="120" w:line="240" w:lineRule="auto"/>
        <w:jc w:val="center"/>
        <w:rPr>
          <w:rFonts w:ascii="Sitka Text" w:hAnsi="Sitka Text" w:cs="Mongolian Baiti"/>
          <w:b/>
          <w:color w:val="auto"/>
          <w:sz w:val="28"/>
          <w:szCs w:val="28"/>
        </w:rPr>
      </w:pPr>
      <w:r w:rsidRPr="000545E1">
        <w:rPr>
          <w:rFonts w:ascii="Sitka Text" w:hAnsi="Sitka Text" w:cs="Mongolian Baiti"/>
          <w:b/>
          <w:color w:val="auto"/>
          <w:sz w:val="28"/>
          <w:szCs w:val="28"/>
        </w:rPr>
        <w:t>TRANSPARENTNA I OTVORENA JAVNA UPRAVA</w:t>
      </w:r>
    </w:p>
    <w:p w:rsidR="00042F67" w:rsidRPr="000545E1" w:rsidRDefault="00042F67" w:rsidP="00042F67">
      <w:pPr>
        <w:spacing w:before="20" w:after="20" w:line="240" w:lineRule="auto"/>
        <w:rPr>
          <w:rFonts w:ascii="Sitka Text" w:hAnsi="Sitka Text" w:cs="Mongolian Baiti"/>
          <w:color w:val="auto"/>
          <w:sz w:val="24"/>
          <w:szCs w:val="24"/>
        </w:rPr>
      </w:pPr>
    </w:p>
    <w:tbl>
      <w:tblPr>
        <w:tblStyle w:val="TableGrid"/>
        <w:tblW w:w="5401" w:type="pct"/>
        <w:tblLook w:val="04A0" w:firstRow="1" w:lastRow="0" w:firstColumn="1" w:lastColumn="0" w:noHBand="0" w:noVBand="1"/>
      </w:tblPr>
      <w:tblGrid>
        <w:gridCol w:w="766"/>
        <w:gridCol w:w="2569"/>
        <w:gridCol w:w="3601"/>
        <w:gridCol w:w="326"/>
        <w:gridCol w:w="2098"/>
        <w:gridCol w:w="104"/>
        <w:gridCol w:w="1141"/>
        <w:gridCol w:w="8"/>
        <w:gridCol w:w="1474"/>
        <w:gridCol w:w="140"/>
        <w:gridCol w:w="1094"/>
        <w:gridCol w:w="1445"/>
      </w:tblGrid>
      <w:tr w:rsidR="00042F67" w:rsidRPr="000545E1" w:rsidTr="001D3F7C">
        <w:tc>
          <w:tcPr>
            <w:tcW w:w="1112" w:type="pct"/>
            <w:gridSpan w:val="2"/>
            <w:shd w:val="clear" w:color="auto" w:fill="DAF2F6"/>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OPERATIVNI CILJ 4.1</w:t>
            </w:r>
          </w:p>
        </w:tc>
        <w:tc>
          <w:tcPr>
            <w:tcW w:w="3888" w:type="pct"/>
            <w:gridSpan w:val="10"/>
            <w:shd w:val="clear" w:color="auto" w:fill="DAF2F6"/>
          </w:tcPr>
          <w:p w:rsidR="00042F67" w:rsidRPr="000545E1" w:rsidRDefault="00042F67" w:rsidP="001D3F7C">
            <w:pPr>
              <w:jc w:val="both"/>
              <w:rPr>
                <w:rFonts w:cs="Mongolian Baiti"/>
                <w:b/>
                <w:color w:val="auto"/>
                <w:sz w:val="24"/>
                <w:szCs w:val="24"/>
              </w:rPr>
            </w:pPr>
            <w:r w:rsidRPr="000545E1">
              <w:rPr>
                <w:rFonts w:ascii="Sitka Text" w:hAnsi="Sitka Text" w:cs="Mongolian Baiti"/>
                <w:b/>
                <w:color w:val="auto"/>
                <w:sz w:val="24"/>
                <w:szCs w:val="24"/>
              </w:rPr>
              <w:t>Unapređenje funkcionisanja i kapaciteta Agencije za zaštitu ličnih podataka i slobodan pristup informacijama i generalno sistema pravne zaštite u oblasti SPI</w:t>
            </w:r>
          </w:p>
        </w:tc>
      </w:tr>
      <w:tr w:rsidR="00042F67" w:rsidRPr="000545E1" w:rsidTr="001D3F7C">
        <w:tc>
          <w:tcPr>
            <w:tcW w:w="2334" w:type="pct"/>
            <w:gridSpan w:val="3"/>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color w:val="auto"/>
                <w:sz w:val="22"/>
                <w:szCs w:val="22"/>
                <w:lang w:eastAsia="en-US"/>
              </w:rPr>
              <w:br w:type="page"/>
            </w:r>
            <w:r w:rsidRPr="000545E1">
              <w:rPr>
                <w:rFonts w:ascii="Sitka Text" w:hAnsi="Sitka Text" w:cs="Mongolian Baiti"/>
                <w:b/>
                <w:color w:val="auto"/>
              </w:rPr>
              <w:t>Indikator</w:t>
            </w:r>
          </w:p>
        </w:tc>
        <w:tc>
          <w:tcPr>
            <w:tcW w:w="824" w:type="pct"/>
            <w:gridSpan w:val="2"/>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Početna vrijednost</w:t>
            </w:r>
          </w:p>
        </w:tc>
        <w:tc>
          <w:tcPr>
            <w:tcW w:w="979" w:type="pct"/>
            <w:gridSpan w:val="5"/>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u 2024.</w:t>
            </w:r>
          </w:p>
        </w:tc>
        <w:tc>
          <w:tcPr>
            <w:tcW w:w="862" w:type="pct"/>
            <w:gridSpan w:val="2"/>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u 2026.</w:t>
            </w:r>
          </w:p>
        </w:tc>
      </w:tr>
      <w:tr w:rsidR="00042F67" w:rsidRPr="000545E1" w:rsidTr="001D3F7C">
        <w:tc>
          <w:tcPr>
            <w:tcW w:w="2334" w:type="pct"/>
            <w:gridSpan w:val="3"/>
            <w:shd w:val="clear" w:color="auto" w:fill="DAF2F6"/>
          </w:tcPr>
          <w:p w:rsidR="00042F67" w:rsidRPr="000545E1" w:rsidRDefault="00042F67" w:rsidP="001D3F7C">
            <w:pPr>
              <w:spacing w:after="40"/>
              <w:jc w:val="both"/>
              <w:rPr>
                <w:rFonts w:ascii="Sitka Text" w:hAnsi="Sitka Text" w:cs="Mongolian Baiti"/>
                <w:b/>
                <w:color w:val="auto"/>
              </w:rPr>
            </w:pPr>
            <w:r w:rsidRPr="000545E1">
              <w:rPr>
                <w:rFonts w:ascii="Sitka Text" w:hAnsi="Sitka Text" w:cstheme="majorHAnsi"/>
                <w:color w:val="auto"/>
                <w:lang w:val="hr-HR"/>
              </w:rPr>
              <w:t>Udio poništenih odluka Agencije od strane Upravnog suda, u odnosu na ukupan broj presuda u upravnim sporovima u odnosu na rješenja Agencije</w:t>
            </w:r>
          </w:p>
        </w:tc>
        <w:tc>
          <w:tcPr>
            <w:tcW w:w="824" w:type="pct"/>
            <w:gridSpan w:val="2"/>
            <w:shd w:val="clear" w:color="auto" w:fill="DAF2F6"/>
          </w:tcPr>
          <w:p w:rsidR="00042F67" w:rsidRPr="000545E1" w:rsidRDefault="00042F67" w:rsidP="001D3F7C">
            <w:pPr>
              <w:spacing w:after="40"/>
              <w:rPr>
                <w:rFonts w:ascii="Sitka Text" w:hAnsi="Sitka Text" w:cs="Mongolian Baiti"/>
                <w:color w:val="auto"/>
                <w:lang w:val="hr-HR"/>
              </w:rPr>
            </w:pPr>
            <w:r w:rsidRPr="000545E1">
              <w:rPr>
                <w:rFonts w:ascii="Sitka Text" w:hAnsi="Sitka Text" w:cs="Mongolian Baiti"/>
                <w:color w:val="auto"/>
                <w:lang w:val="hr-HR"/>
              </w:rPr>
              <w:t xml:space="preserve">42,17% - 35 od 83 presuda (2020) </w:t>
            </w:r>
          </w:p>
        </w:tc>
        <w:tc>
          <w:tcPr>
            <w:tcW w:w="979" w:type="pct"/>
            <w:gridSpan w:val="5"/>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Mongolian Baiti"/>
                <w:color w:val="auto"/>
                <w:lang w:val="hr-HR"/>
              </w:rPr>
              <w:t>-10% u odnosu na početnu vrijednost</w:t>
            </w:r>
          </w:p>
        </w:tc>
        <w:tc>
          <w:tcPr>
            <w:tcW w:w="862" w:type="pct"/>
            <w:gridSpan w:val="2"/>
            <w:shd w:val="clear" w:color="auto" w:fill="DAF2F6"/>
          </w:tcPr>
          <w:p w:rsidR="00042F67" w:rsidRPr="000545E1" w:rsidRDefault="00042F67" w:rsidP="001D3F7C">
            <w:pPr>
              <w:spacing w:after="40"/>
              <w:rPr>
                <w:rFonts w:ascii="Sitka Text" w:hAnsi="Sitka Text" w:cs="Mongolian Baiti"/>
                <w:b/>
                <w:color w:val="auto"/>
                <w:lang w:val="fr-FR"/>
              </w:rPr>
            </w:pPr>
            <w:r w:rsidRPr="000545E1">
              <w:rPr>
                <w:rFonts w:ascii="Sitka Text" w:hAnsi="Sitka Text" w:cs="Mongolian Baiti"/>
                <w:color w:val="auto"/>
                <w:lang w:val="hr-HR"/>
              </w:rPr>
              <w:t>-15 % u donosu na početnu vrijednost</w:t>
            </w:r>
          </w:p>
        </w:tc>
      </w:tr>
      <w:tr w:rsidR="00042F67" w:rsidRPr="000545E1" w:rsidTr="001D3F7C">
        <w:tc>
          <w:tcPr>
            <w:tcW w:w="2334" w:type="pct"/>
            <w:gridSpan w:val="3"/>
            <w:shd w:val="clear" w:color="auto" w:fill="DAF2F6"/>
          </w:tcPr>
          <w:p w:rsidR="00042F67" w:rsidRPr="000545E1" w:rsidRDefault="00042F67" w:rsidP="001D3F7C">
            <w:pPr>
              <w:spacing w:after="40"/>
              <w:jc w:val="both"/>
              <w:rPr>
                <w:rFonts w:ascii="Sitka Text" w:hAnsi="Sitka Text" w:cs="Mongolian Baiti"/>
                <w:b/>
                <w:color w:val="auto"/>
                <w:lang w:val="fr-FR"/>
              </w:rPr>
            </w:pPr>
            <w:r w:rsidRPr="000545E1">
              <w:rPr>
                <w:rFonts w:ascii="Sitka Text" w:hAnsi="Sitka Text" w:cstheme="majorHAnsi"/>
                <w:color w:val="auto"/>
                <w:lang w:val="hr-HR"/>
              </w:rPr>
              <w:t xml:space="preserve">Udio odluka Upravnog suda u upravnim sporovima pokrenutim zbog nedonošenja rješenja Agencije </w:t>
            </w:r>
          </w:p>
        </w:tc>
        <w:tc>
          <w:tcPr>
            <w:tcW w:w="824" w:type="pct"/>
            <w:gridSpan w:val="2"/>
            <w:shd w:val="clear" w:color="auto" w:fill="DAF2F6"/>
          </w:tcPr>
          <w:p w:rsidR="00042F67" w:rsidRPr="000545E1" w:rsidRDefault="00042F67" w:rsidP="001D3F7C">
            <w:pPr>
              <w:spacing w:after="40"/>
              <w:rPr>
                <w:rFonts w:ascii="Sitka Text" w:hAnsi="Sitka Text" w:cs="Mongolian Baiti"/>
                <w:b/>
                <w:color w:val="auto"/>
                <w:highlight w:val="yellow"/>
              </w:rPr>
            </w:pPr>
            <w:r w:rsidRPr="000545E1">
              <w:rPr>
                <w:rFonts w:ascii="Sitka Text" w:hAnsi="Sitka Text" w:cs="Mongolian Baiti"/>
                <w:color w:val="auto"/>
                <w:lang w:val="hr-HR"/>
              </w:rPr>
              <w:t>82,28%</w:t>
            </w:r>
          </w:p>
        </w:tc>
        <w:tc>
          <w:tcPr>
            <w:tcW w:w="979" w:type="pct"/>
            <w:gridSpan w:val="5"/>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Mongolian Baiti"/>
                <w:color w:val="auto"/>
                <w:lang w:val="hr-HR"/>
              </w:rPr>
              <w:t xml:space="preserve">55% </w:t>
            </w:r>
          </w:p>
        </w:tc>
        <w:tc>
          <w:tcPr>
            <w:tcW w:w="862" w:type="pct"/>
            <w:gridSpan w:val="2"/>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Mongolian Baiti"/>
                <w:color w:val="auto"/>
                <w:lang w:val="hr-HR"/>
              </w:rPr>
              <w:t>40%</w:t>
            </w:r>
          </w:p>
        </w:tc>
      </w:tr>
      <w:tr w:rsidR="00042F67" w:rsidRPr="000545E1" w:rsidTr="001D3F7C">
        <w:tc>
          <w:tcPr>
            <w:tcW w:w="2334" w:type="pct"/>
            <w:gridSpan w:val="3"/>
            <w:shd w:val="clear" w:color="auto" w:fill="DAF2F6"/>
          </w:tcPr>
          <w:p w:rsidR="00042F67" w:rsidRPr="000545E1" w:rsidRDefault="00042F67" w:rsidP="001D3F7C">
            <w:pPr>
              <w:spacing w:after="40"/>
              <w:jc w:val="both"/>
              <w:rPr>
                <w:rFonts w:ascii="Sitka Text" w:hAnsi="Sitka Text" w:cs="Mongolian Baiti"/>
                <w:b/>
                <w:color w:val="auto"/>
              </w:rPr>
            </w:pPr>
            <w:r w:rsidRPr="000545E1">
              <w:rPr>
                <w:rFonts w:ascii="Sitka Text" w:hAnsi="Sitka Text" w:cs="Mongolian Baiti"/>
                <w:color w:val="auto"/>
                <w:lang w:val="hr-HR"/>
              </w:rPr>
              <w:t xml:space="preserve">Udio organa vlasti koji registruju zahtjeve za pristup informacijama u informacionom sistemu (u odnosu na ukupan broj organa vlasti) </w:t>
            </w:r>
          </w:p>
        </w:tc>
        <w:tc>
          <w:tcPr>
            <w:tcW w:w="824" w:type="pct"/>
            <w:gridSpan w:val="2"/>
            <w:shd w:val="clear" w:color="auto" w:fill="DAF2F6"/>
          </w:tcPr>
          <w:p w:rsidR="00042F67" w:rsidRPr="000545E1" w:rsidRDefault="00042F67" w:rsidP="001D3F7C">
            <w:pPr>
              <w:spacing w:after="40"/>
              <w:rPr>
                <w:rFonts w:ascii="Sitka Text" w:hAnsi="Sitka Text" w:cs="Mongolian Baiti"/>
                <w:color w:val="auto"/>
                <w:lang w:val="hr-HR"/>
              </w:rPr>
            </w:pPr>
            <w:r w:rsidRPr="000545E1">
              <w:rPr>
                <w:rFonts w:ascii="Sitka Text" w:hAnsi="Sitka Text" w:cs="Mongolian Baiti"/>
                <w:color w:val="auto"/>
                <w:lang w:val="hr-HR"/>
              </w:rPr>
              <w:t>933 organa (2020)</w:t>
            </w:r>
          </w:p>
          <w:p w:rsidR="00042F67" w:rsidRPr="000545E1" w:rsidRDefault="00042F67" w:rsidP="001D3F7C">
            <w:pPr>
              <w:spacing w:after="40"/>
              <w:rPr>
                <w:rFonts w:ascii="Sitka Text" w:hAnsi="Sitka Text" w:cs="Mongolian Baiti"/>
                <w:color w:val="auto"/>
                <w:lang w:val="hr-HR"/>
              </w:rPr>
            </w:pPr>
          </w:p>
        </w:tc>
        <w:tc>
          <w:tcPr>
            <w:tcW w:w="979" w:type="pct"/>
            <w:gridSpan w:val="5"/>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lang w:val="hr-HR"/>
              </w:rPr>
              <w:t xml:space="preserve">+10% u odnosu na početnu vrijednost </w:t>
            </w:r>
          </w:p>
        </w:tc>
        <w:tc>
          <w:tcPr>
            <w:tcW w:w="862" w:type="pct"/>
            <w:gridSpan w:val="2"/>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lang w:val="hr-HR"/>
              </w:rPr>
              <w:t xml:space="preserve">+20% u odnosu na početnu vrijedno </w:t>
            </w:r>
          </w:p>
        </w:tc>
      </w:tr>
      <w:tr w:rsidR="00042F67" w:rsidRPr="000545E1" w:rsidTr="001D3F7C">
        <w:tc>
          <w:tcPr>
            <w:tcW w:w="1112" w:type="pct"/>
            <w:gridSpan w:val="2"/>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Aktivnosti</w:t>
            </w:r>
          </w:p>
        </w:tc>
        <w:tc>
          <w:tcPr>
            <w:tcW w:w="1333" w:type="pct"/>
            <w:gridSpan w:val="2"/>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Indikator rezultata</w:t>
            </w:r>
          </w:p>
        </w:tc>
        <w:tc>
          <w:tcPr>
            <w:tcW w:w="749" w:type="pct"/>
            <w:gridSpan w:val="2"/>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Nadležne institucije</w:t>
            </w:r>
          </w:p>
        </w:tc>
        <w:tc>
          <w:tcPr>
            <w:tcW w:w="391" w:type="pct"/>
            <w:gridSpan w:val="2"/>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Početak</w:t>
            </w:r>
          </w:p>
        </w:tc>
        <w:tc>
          <w:tcPr>
            <w:tcW w:w="502" w:type="pct"/>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Završetak</w:t>
            </w:r>
          </w:p>
        </w:tc>
        <w:tc>
          <w:tcPr>
            <w:tcW w:w="421" w:type="pct"/>
            <w:gridSpan w:val="2"/>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Sredstva</w:t>
            </w:r>
          </w:p>
        </w:tc>
        <w:tc>
          <w:tcPr>
            <w:tcW w:w="491" w:type="pct"/>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Izvor finansiranja</w:t>
            </w:r>
          </w:p>
        </w:tc>
      </w:tr>
      <w:tr w:rsidR="00042F67" w:rsidRPr="000545E1" w:rsidTr="001D3F7C">
        <w:tc>
          <w:tcPr>
            <w:tcW w:w="241" w:type="pct"/>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4.1.1.</w:t>
            </w:r>
          </w:p>
        </w:tc>
        <w:tc>
          <w:tcPr>
            <w:tcW w:w="872" w:type="pct"/>
            <w:shd w:val="clear" w:color="auto" w:fill="auto"/>
          </w:tcPr>
          <w:p w:rsidR="00042F67" w:rsidRPr="000545E1" w:rsidRDefault="00042F67" w:rsidP="001D3F7C">
            <w:pPr>
              <w:spacing w:before="20" w:after="20"/>
              <w:rPr>
                <w:rFonts w:ascii="Sitka Text" w:hAnsi="Sitka Text" w:cs="Mongolian Baiti"/>
                <w:color w:val="auto"/>
                <w:lang w:val="fr-FR"/>
              </w:rPr>
            </w:pPr>
            <w:r w:rsidRPr="000545E1">
              <w:rPr>
                <w:rFonts w:ascii="Sitka Text" w:eastAsia="Calibri" w:hAnsi="Sitka Text" w:cs="Arial"/>
                <w:color w:val="auto"/>
                <w:shd w:val="clear" w:color="auto" w:fill="FFFFFF"/>
              </w:rPr>
              <w:t xml:space="preserve">Unapređenje Zakona o slobodnom pristupu informacijama </w:t>
            </w:r>
          </w:p>
        </w:tc>
        <w:tc>
          <w:tcPr>
            <w:tcW w:w="1333" w:type="pct"/>
            <w:gridSpan w:val="2"/>
            <w:shd w:val="clear" w:color="auto" w:fill="auto"/>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Zakon o SPI inoviran u skladu sa međunarodnim i evropskim standardima</w:t>
            </w:r>
          </w:p>
          <w:p w:rsidR="00042F67" w:rsidRPr="000545E1" w:rsidRDefault="00042F67" w:rsidP="001D3F7C">
            <w:pPr>
              <w:spacing w:before="60"/>
              <w:rPr>
                <w:rFonts w:ascii="Sitka Text" w:hAnsi="Sitka Text" w:cs="Mongolian Baiti"/>
                <w:color w:val="auto"/>
                <w:lang w:val="fr-FR"/>
              </w:rPr>
            </w:pPr>
            <w:r w:rsidRPr="000545E1">
              <w:rPr>
                <w:rFonts w:ascii="Sitka Text" w:hAnsi="Sitka Text" w:cs="Mongolian Baiti"/>
                <w:color w:val="auto"/>
              </w:rPr>
              <w:t xml:space="preserve">- Zakon o izmjenama i dopunama usvojen </w:t>
            </w:r>
          </w:p>
        </w:tc>
        <w:tc>
          <w:tcPr>
            <w:tcW w:w="749" w:type="pct"/>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AZLP</w:t>
            </w:r>
          </w:p>
        </w:tc>
        <w:tc>
          <w:tcPr>
            <w:tcW w:w="388" w:type="pc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505" w:type="pct"/>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421" w:type="pct"/>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3.000 €</w:t>
            </w:r>
          </w:p>
        </w:tc>
        <w:tc>
          <w:tcPr>
            <w:tcW w:w="491" w:type="pc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241" w:type="pct"/>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4.1.2.</w:t>
            </w:r>
          </w:p>
        </w:tc>
        <w:tc>
          <w:tcPr>
            <w:tcW w:w="872" w:type="pct"/>
          </w:tcPr>
          <w:p w:rsidR="00042F67" w:rsidRPr="000545E1" w:rsidRDefault="00042F67" w:rsidP="001D3F7C">
            <w:pPr>
              <w:spacing w:before="20" w:after="20"/>
              <w:rPr>
                <w:rFonts w:ascii="Sitka Text" w:hAnsi="Sitka Text" w:cs="Mongolian Baiti"/>
                <w:color w:val="auto"/>
              </w:rPr>
            </w:pPr>
            <w:r w:rsidRPr="000545E1">
              <w:rPr>
                <w:rFonts w:ascii="Sitka Text" w:eastAsia="Calibri" w:hAnsi="Sitka Text" w:cs="Arial"/>
                <w:color w:val="auto"/>
                <w:shd w:val="clear" w:color="auto" w:fill="FFFFFF"/>
              </w:rPr>
              <w:t>Unapređenje žalbenog i drugih postupaka kao i formalnog organizacionog uređenja i praksi u AZLP</w:t>
            </w:r>
          </w:p>
        </w:tc>
        <w:tc>
          <w:tcPr>
            <w:tcW w:w="1333" w:type="pct"/>
            <w:gridSpan w:val="2"/>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Analiza žalbenog postupka i drugih postupaka koje sprovodi Agencija razvijena</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Analiza unutrašnje organizacione strukture AZLP i procesa (odnos Savjeta i stručne službe)  s preporukama za poboljšanje sprovedena</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lastRenderedPageBreak/>
              <w:t>- Utvrđeni indikatori učinka za pojedine organizacione jedinice i radna mjesta (utvrđivanje najmanje 5 indikatora učinka za svaku jedinicu, najmanje 2 za svako radno mjesto)</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Povećan broj medijskih i online infomacija o radu AZLP iz pozicije SPI i PUI (najmanje 5 informacija mjesečno na sajtu i mrežama, najmanje 1 vijest u medijima)</w:t>
            </w:r>
          </w:p>
        </w:tc>
        <w:tc>
          <w:tcPr>
            <w:tcW w:w="749" w:type="pct"/>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lastRenderedPageBreak/>
              <w:t>AZLP</w:t>
            </w:r>
          </w:p>
        </w:tc>
        <w:tc>
          <w:tcPr>
            <w:tcW w:w="388" w:type="pct"/>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505" w:type="pct"/>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2024</w:t>
            </w:r>
          </w:p>
        </w:tc>
        <w:tc>
          <w:tcPr>
            <w:tcW w:w="421" w:type="pct"/>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20.000 €</w:t>
            </w:r>
          </w:p>
        </w:tc>
        <w:tc>
          <w:tcPr>
            <w:tcW w:w="491" w:type="pct"/>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241" w:type="pct"/>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4.1.3. </w:t>
            </w:r>
          </w:p>
        </w:tc>
        <w:tc>
          <w:tcPr>
            <w:tcW w:w="872" w:type="pct"/>
            <w:shd w:val="clear" w:color="auto" w:fill="FFFFFF" w:themeFill="background1"/>
          </w:tcPr>
          <w:p w:rsidR="00042F67" w:rsidRPr="000545E1" w:rsidRDefault="00042F67" w:rsidP="001D3F7C">
            <w:pPr>
              <w:spacing w:before="20" w:after="20"/>
              <w:rPr>
                <w:rFonts w:ascii="Sitka Text" w:eastAsia="Calibri" w:hAnsi="Sitka Text" w:cs="Arial"/>
                <w:color w:val="auto"/>
                <w:shd w:val="clear" w:color="auto" w:fill="FFFFFF"/>
              </w:rPr>
            </w:pPr>
            <w:r w:rsidRPr="000545E1">
              <w:rPr>
                <w:rFonts w:ascii="Sitka Text" w:eastAsia="Calibri" w:hAnsi="Sitka Text" w:cs="Arial"/>
                <w:color w:val="auto"/>
                <w:shd w:val="clear" w:color="auto" w:fill="FFFFFF"/>
              </w:rPr>
              <w:t>Digitalizacija i unapređenje rada na predmetima i vođenju evidencija</w:t>
            </w:r>
          </w:p>
        </w:tc>
        <w:tc>
          <w:tcPr>
            <w:tcW w:w="1333" w:type="pct"/>
            <w:gridSpan w:val="2"/>
            <w:shd w:val="clear" w:color="auto" w:fill="FFFFFF" w:themeFill="background1"/>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Sprovedena analiza potreba i izrađen ToR (uz opciju uvezivanja sa Informacionim sistemom te sa Upravnim sudom i Vrhovnim sudom)</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Sproveden postupak javne nabavke</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Uveden elektronski sistem upravljanja dokumentima u AZLP</w:t>
            </w:r>
          </w:p>
        </w:tc>
        <w:tc>
          <w:tcPr>
            <w:tcW w:w="749" w:type="pct"/>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AZLP</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tc>
        <w:tc>
          <w:tcPr>
            <w:tcW w:w="388" w:type="pct"/>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505" w:type="pct"/>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2024</w:t>
            </w:r>
          </w:p>
        </w:tc>
        <w:tc>
          <w:tcPr>
            <w:tcW w:w="421" w:type="pct"/>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60.000 €</w:t>
            </w:r>
          </w:p>
        </w:tc>
        <w:tc>
          <w:tcPr>
            <w:tcW w:w="491" w:type="pct"/>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241" w:type="pct"/>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4.1.4. </w:t>
            </w:r>
          </w:p>
        </w:tc>
        <w:tc>
          <w:tcPr>
            <w:tcW w:w="872" w:type="pct"/>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eastAsia="Calibri" w:hAnsi="Sitka Text" w:cs="Arial"/>
                <w:color w:val="auto"/>
                <w:shd w:val="clear" w:color="auto" w:fill="FFFFFF"/>
              </w:rPr>
              <w:t xml:space="preserve">Unapređenje funkcionisanja informacionog sistema AZLP i objavljivanja podataka </w:t>
            </w:r>
          </w:p>
        </w:tc>
        <w:tc>
          <w:tcPr>
            <w:tcW w:w="1333" w:type="pct"/>
            <w:gridSpan w:val="2"/>
            <w:shd w:val="clear" w:color="auto" w:fill="FFFFFF" w:themeFill="background1"/>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Razvijena analiza funkcionisanja informacionog sistema iz člana 41/2 ZSPI </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Revidirana kategorizacija, izrađen plan unosa podataka  i osnovnih statističkih indikatora (pravilnik, plan) </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Organizovane </w:t>
            </w:r>
            <w:r w:rsidRPr="000545E1">
              <w:rPr>
                <w:rFonts w:ascii="Sitka Text" w:hAnsi="Sitka Text" w:cs="Mongolian Baiti"/>
                <w:i/>
                <w:color w:val="auto"/>
              </w:rPr>
              <w:t xml:space="preserve">online </w:t>
            </w:r>
            <w:r w:rsidRPr="000545E1">
              <w:rPr>
                <w:rFonts w:ascii="Sitka Text" w:hAnsi="Sitka Text" w:cs="Mongolian Baiti"/>
                <w:color w:val="auto"/>
              </w:rPr>
              <w:t>radionice za službenike sa ciljem unosa podataka (5 radionica za min. 100 službenika)</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Upotpunjeni podaci za organe vlasti (min 1.250 organa vlasti uneseno u IS)</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Objavljena baza podataka o organima vlasti u otvorenom formatu </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Povećan broj unesenih zahtjeva</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Uneseni podaci za žalbe (žalba povezana sa prethodno unesenim zahtjevom)</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lastRenderedPageBreak/>
              <w:t xml:space="preserve">- Objavljeni statistički podaci u otvorenom formatu </w:t>
            </w:r>
          </w:p>
        </w:tc>
        <w:tc>
          <w:tcPr>
            <w:tcW w:w="749" w:type="pct"/>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lastRenderedPageBreak/>
              <w:t>AZLP</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tc>
        <w:tc>
          <w:tcPr>
            <w:tcW w:w="388" w:type="pct"/>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505" w:type="pct"/>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2024</w:t>
            </w:r>
          </w:p>
        </w:tc>
        <w:tc>
          <w:tcPr>
            <w:tcW w:w="421" w:type="pct"/>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87.000 €</w:t>
            </w:r>
          </w:p>
        </w:tc>
        <w:tc>
          <w:tcPr>
            <w:tcW w:w="491" w:type="pct"/>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241" w:type="pct"/>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4.1.5.</w:t>
            </w:r>
          </w:p>
        </w:tc>
        <w:tc>
          <w:tcPr>
            <w:tcW w:w="872" w:type="pct"/>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eastAsia="Calibri" w:hAnsi="Sitka Text" w:cs="Arial"/>
                <w:color w:val="auto"/>
                <w:shd w:val="clear" w:color="auto" w:fill="FFFFFF"/>
              </w:rPr>
              <w:t xml:space="preserve">Osnivanje Savjeta za SPI </w:t>
            </w:r>
          </w:p>
        </w:tc>
        <w:tc>
          <w:tcPr>
            <w:tcW w:w="1333" w:type="pct"/>
            <w:gridSpan w:val="2"/>
            <w:shd w:val="clear" w:color="auto" w:fill="FFFFFF" w:themeFill="background1"/>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Pripremljen pravni okvir za osnivanje savjeta </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Održane 2 sjednice sjednice Savjeta</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Formirane radne grupe </w:t>
            </w:r>
          </w:p>
          <w:p w:rsidR="00042F67" w:rsidRPr="000545E1" w:rsidRDefault="00042F67" w:rsidP="001D3F7C">
            <w:pPr>
              <w:spacing w:before="20" w:after="20"/>
              <w:rPr>
                <w:rFonts w:ascii="Sitka Text" w:hAnsi="Sitka Text" w:cs="Mongolian Baiti"/>
                <w:color w:val="auto"/>
              </w:rPr>
            </w:pPr>
          </w:p>
        </w:tc>
        <w:tc>
          <w:tcPr>
            <w:tcW w:w="749" w:type="pct"/>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AZLP</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Organi vlasti</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NVO</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Mediji</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Akademske institucije</w:t>
            </w:r>
          </w:p>
        </w:tc>
        <w:tc>
          <w:tcPr>
            <w:tcW w:w="388" w:type="pct"/>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505" w:type="pct"/>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421" w:type="pct"/>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3.000 €</w:t>
            </w:r>
          </w:p>
        </w:tc>
        <w:tc>
          <w:tcPr>
            <w:tcW w:w="491" w:type="pct"/>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241" w:type="pct"/>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4.1.7.</w:t>
            </w:r>
          </w:p>
        </w:tc>
        <w:tc>
          <w:tcPr>
            <w:tcW w:w="872" w:type="pct"/>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eastAsia="Calibri" w:hAnsi="Sitka Text" w:cs="Arial"/>
                <w:color w:val="auto"/>
                <w:shd w:val="clear" w:color="auto" w:fill="FFFFFF"/>
              </w:rPr>
              <w:t xml:space="preserve">Obuke zaposlenih u AZLP sa ciljem jačanja kapaciteta za provođenje ZSPI </w:t>
            </w:r>
          </w:p>
          <w:p w:rsidR="00042F67" w:rsidRPr="000545E1" w:rsidRDefault="00042F67" w:rsidP="001D3F7C">
            <w:pPr>
              <w:spacing w:before="20" w:after="20"/>
              <w:rPr>
                <w:rFonts w:ascii="Sitka Text" w:hAnsi="Sitka Text" w:cs="Mongolian Baiti"/>
                <w:color w:val="auto"/>
              </w:rPr>
            </w:pPr>
          </w:p>
        </w:tc>
        <w:tc>
          <w:tcPr>
            <w:tcW w:w="1333" w:type="pct"/>
            <w:gridSpan w:val="2"/>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 Izrađen program obuke i podrške prema različitim potrebama i oblastima (sankcije, izvršenje, ograničenja, itd.) </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Sprovedeno 5 radionica, 1 okrugli sto, 1 studijska posjeta u instituciji s najboljom praksom u pojedinim pitanjima za 5 zaposlenih AZLP</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 Svaki zaposleni u AZLP prošao najmanje 3 obuke/posjete </w:t>
            </w:r>
          </w:p>
        </w:tc>
        <w:tc>
          <w:tcPr>
            <w:tcW w:w="749" w:type="pct"/>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AZLP</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Sudovi 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SIGMA</w:t>
            </w:r>
          </w:p>
        </w:tc>
        <w:tc>
          <w:tcPr>
            <w:tcW w:w="388" w:type="pct"/>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505" w:type="pct"/>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highlight w:val="yellow"/>
              </w:rPr>
            </w:pPr>
            <w:r w:rsidRPr="000545E1">
              <w:rPr>
                <w:rFonts w:ascii="Sitka Text" w:hAnsi="Sitka Text" w:cs="Mongolian Baiti"/>
                <w:color w:val="auto"/>
              </w:rPr>
              <w:t>IV Q 2023</w:t>
            </w:r>
          </w:p>
        </w:tc>
        <w:tc>
          <w:tcPr>
            <w:tcW w:w="421" w:type="pct"/>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31.000 €</w:t>
            </w:r>
          </w:p>
        </w:tc>
        <w:tc>
          <w:tcPr>
            <w:tcW w:w="491" w:type="pct"/>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241" w:type="pct"/>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4.1.8.</w:t>
            </w:r>
          </w:p>
        </w:tc>
        <w:tc>
          <w:tcPr>
            <w:tcW w:w="872" w:type="pct"/>
          </w:tcPr>
          <w:p w:rsidR="00042F67" w:rsidRPr="000545E1" w:rsidRDefault="00042F67" w:rsidP="001D3F7C">
            <w:pPr>
              <w:spacing w:before="20" w:after="20"/>
              <w:rPr>
                <w:rFonts w:ascii="Sitka Text" w:hAnsi="Sitka Text" w:cs="Mongolian Baiti"/>
                <w:color w:val="auto"/>
              </w:rPr>
            </w:pPr>
            <w:r w:rsidRPr="000545E1">
              <w:rPr>
                <w:rFonts w:ascii="Sitka Text" w:eastAsia="Calibri" w:hAnsi="Sitka Text" w:cs="Arial"/>
                <w:color w:val="auto"/>
                <w:shd w:val="clear" w:color="auto" w:fill="FFFFFF"/>
              </w:rPr>
              <w:t>Pružanje kontinuirane podrške korisnicima</w:t>
            </w:r>
          </w:p>
        </w:tc>
        <w:tc>
          <w:tcPr>
            <w:tcW w:w="1333" w:type="pct"/>
            <w:gridSpan w:val="2"/>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Unaprjeđena informisanost putem sajta i društvenih mreža, uključujući pregled i analizu sajta i drugih načina komunikacije (FAQ)</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Izrađeni obrasci  materijali za korisnike (najmanje 3) </w:t>
            </w:r>
          </w:p>
          <w:p w:rsidR="00042F67" w:rsidRPr="000545E1" w:rsidRDefault="00042F67" w:rsidP="001D3F7C">
            <w:pPr>
              <w:rPr>
                <w:rFonts w:ascii="Sitka Text" w:hAnsi="Sitka Text" w:cs="Mongolian Baiti"/>
                <w:color w:val="auto"/>
              </w:rPr>
            </w:pPr>
            <w:r w:rsidRPr="000545E1">
              <w:rPr>
                <w:rFonts w:ascii="Sitka Text" w:hAnsi="Sitka Text" w:cs="Mongolian Baiti"/>
                <w:color w:val="auto"/>
              </w:rPr>
              <w:t xml:space="preserve">- Otvoreni kanali komunikacije </w:t>
            </w:r>
          </w:p>
          <w:p w:rsidR="00042F67" w:rsidRPr="000545E1" w:rsidRDefault="00042F67" w:rsidP="00B43D4E">
            <w:pPr>
              <w:pStyle w:val="ListParagraph"/>
              <w:numPr>
                <w:ilvl w:val="0"/>
                <w:numId w:val="56"/>
              </w:numPr>
              <w:spacing w:before="0"/>
              <w:rPr>
                <w:rFonts w:ascii="Sitka Text" w:hAnsi="Sitka Text" w:cs="Mongolian Baiti"/>
                <w:color w:val="auto"/>
              </w:rPr>
            </w:pPr>
            <w:r w:rsidRPr="000545E1">
              <w:rPr>
                <w:rFonts w:ascii="Sitka Text" w:hAnsi="Sitka Text" w:cs="Mongolian Baiti"/>
                <w:color w:val="auto"/>
              </w:rPr>
              <w:t xml:space="preserve">telefonska linija za korisnike </w:t>
            </w:r>
          </w:p>
          <w:p w:rsidR="00042F67" w:rsidRPr="000545E1" w:rsidRDefault="00042F67" w:rsidP="00B43D4E">
            <w:pPr>
              <w:pStyle w:val="ListParagraph"/>
              <w:numPr>
                <w:ilvl w:val="0"/>
                <w:numId w:val="56"/>
              </w:numPr>
              <w:spacing w:before="60"/>
              <w:rPr>
                <w:rFonts w:ascii="Sitka Text" w:hAnsi="Sitka Text" w:cs="Mongolian Baiti"/>
                <w:color w:val="auto"/>
              </w:rPr>
            </w:pPr>
            <w:r w:rsidRPr="000545E1">
              <w:rPr>
                <w:rFonts w:ascii="Sitka Text" w:hAnsi="Sitka Text" w:cs="Mongolian Baiti"/>
                <w:color w:val="auto"/>
              </w:rPr>
              <w:t xml:space="preserve">mejl adresa </w:t>
            </w:r>
          </w:p>
          <w:p w:rsidR="00042F67" w:rsidRPr="000545E1" w:rsidRDefault="00042F67" w:rsidP="00B43D4E">
            <w:pPr>
              <w:pStyle w:val="ListParagraph"/>
              <w:numPr>
                <w:ilvl w:val="0"/>
                <w:numId w:val="56"/>
              </w:numPr>
              <w:spacing w:before="60"/>
              <w:rPr>
                <w:rFonts w:ascii="Sitka Text" w:hAnsi="Sitka Text" w:cs="Mongolian Baiti"/>
                <w:color w:val="auto"/>
              </w:rPr>
            </w:pPr>
            <w:r w:rsidRPr="000545E1">
              <w:rPr>
                <w:rFonts w:ascii="Sitka Text" w:hAnsi="Sitka Text" w:cs="Mongolian Baiti"/>
                <w:color w:val="auto"/>
              </w:rPr>
              <w:t>društvene mreže (najmanje 1)</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Specijalizovani sastanci (sa medijima, NVO-ima, naučnicima)</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Organizovan dan otvorenih vrata za korisnike </w:t>
            </w:r>
          </w:p>
        </w:tc>
        <w:tc>
          <w:tcPr>
            <w:tcW w:w="749" w:type="pct"/>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AZLP</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Savjet za SPI</w:t>
            </w:r>
          </w:p>
        </w:tc>
        <w:tc>
          <w:tcPr>
            <w:tcW w:w="388" w:type="pct"/>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505" w:type="pct"/>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2024</w:t>
            </w:r>
          </w:p>
        </w:tc>
        <w:tc>
          <w:tcPr>
            <w:tcW w:w="421" w:type="pct"/>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26.000 €</w:t>
            </w:r>
          </w:p>
        </w:tc>
        <w:tc>
          <w:tcPr>
            <w:tcW w:w="491" w:type="pct"/>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241" w:type="pct"/>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lastRenderedPageBreak/>
              <w:t>4.1.9.</w:t>
            </w:r>
          </w:p>
        </w:tc>
        <w:tc>
          <w:tcPr>
            <w:tcW w:w="872" w:type="pct"/>
          </w:tcPr>
          <w:p w:rsidR="00042F67" w:rsidRPr="000545E1" w:rsidRDefault="00042F67" w:rsidP="001D3F7C">
            <w:pPr>
              <w:spacing w:before="20" w:after="20"/>
              <w:rPr>
                <w:rFonts w:ascii="Sitka Text" w:hAnsi="Sitka Text" w:cs="Mongolian Baiti"/>
                <w:color w:val="auto"/>
              </w:rPr>
            </w:pPr>
            <w:r w:rsidRPr="000545E1">
              <w:rPr>
                <w:rFonts w:ascii="Sitka Text" w:eastAsia="Calibri" w:hAnsi="Sitka Text" w:cs="Arial"/>
                <w:color w:val="auto"/>
                <w:shd w:val="clear" w:color="auto" w:fill="FFFFFF"/>
              </w:rPr>
              <w:t>Priprema i realizacija plana komunikacije u Agenciji</w:t>
            </w:r>
          </w:p>
        </w:tc>
        <w:tc>
          <w:tcPr>
            <w:tcW w:w="1333" w:type="pct"/>
            <w:gridSpan w:val="2"/>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Izrada strategije komunikacije AZLP</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Broj objavljenih vijesti (tema SPI) u medijima godišnje </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Broj objavljenih vijesti (tema SPI) na sajtu godišnje</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Otvorene društvene mreže (Facebook, Linkedin, Twitter, YouTube)</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Objavljene biografije na sajtu i informacije o zaposlenima (Agencija sa prijateljskim licem)</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Izrađeni video materijali o agenciji (npr. projekt sa studentima žurnalistike / komunikacija, prava, političkih nauka, režije)</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Održan doručak s novinarima</w:t>
            </w:r>
          </w:p>
        </w:tc>
        <w:tc>
          <w:tcPr>
            <w:tcW w:w="749" w:type="pct"/>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AZLP</w:t>
            </w:r>
          </w:p>
        </w:tc>
        <w:tc>
          <w:tcPr>
            <w:tcW w:w="388" w:type="pct"/>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505" w:type="pct"/>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2023</w:t>
            </w:r>
          </w:p>
        </w:tc>
        <w:tc>
          <w:tcPr>
            <w:tcW w:w="421" w:type="pct"/>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15.000 €</w:t>
            </w:r>
          </w:p>
        </w:tc>
        <w:tc>
          <w:tcPr>
            <w:tcW w:w="491" w:type="pct"/>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241" w:type="pct"/>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4.1.10</w:t>
            </w:r>
          </w:p>
        </w:tc>
        <w:tc>
          <w:tcPr>
            <w:tcW w:w="872" w:type="pct"/>
          </w:tcPr>
          <w:p w:rsidR="00042F67" w:rsidRPr="000545E1" w:rsidRDefault="00042F67" w:rsidP="001D3F7C">
            <w:pPr>
              <w:spacing w:before="20" w:after="20"/>
              <w:rPr>
                <w:rFonts w:ascii="Sitka Text" w:hAnsi="Sitka Text" w:cs="Mongolian Baiti"/>
                <w:color w:val="auto"/>
              </w:rPr>
            </w:pPr>
            <w:r w:rsidRPr="000545E1">
              <w:rPr>
                <w:rFonts w:ascii="Sitka Text" w:eastAsia="Calibri" w:hAnsi="Sitka Text" w:cs="Arial"/>
                <w:color w:val="auto"/>
                <w:shd w:val="clear" w:color="auto" w:fill="FFFFFF"/>
              </w:rPr>
              <w:t>Unapređenje metodologije za godišnji izvještaj Agencije koji se podnosi Skupštini</w:t>
            </w:r>
          </w:p>
        </w:tc>
        <w:tc>
          <w:tcPr>
            <w:tcW w:w="1333" w:type="pct"/>
            <w:gridSpan w:val="2"/>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Izrađena metodologija izvještavanja prema Skupštini </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Broj diskusija o SPI u Skupštini</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Izvještaj objavljen na web stranici i mrežama</w:t>
            </w:r>
          </w:p>
        </w:tc>
        <w:tc>
          <w:tcPr>
            <w:tcW w:w="749" w:type="pct"/>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AZLP</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Savjet za SPI</w:t>
            </w:r>
          </w:p>
        </w:tc>
        <w:tc>
          <w:tcPr>
            <w:tcW w:w="388" w:type="pct"/>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505" w:type="pct"/>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421" w:type="pct"/>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17.000 €</w:t>
            </w:r>
          </w:p>
        </w:tc>
        <w:tc>
          <w:tcPr>
            <w:tcW w:w="491" w:type="pct"/>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bl>
    <w:p w:rsidR="00042F67" w:rsidRPr="000545E1" w:rsidRDefault="00042F67" w:rsidP="00042F67">
      <w:pPr>
        <w:spacing w:before="20" w:after="20" w:line="240" w:lineRule="auto"/>
        <w:rPr>
          <w:rFonts w:ascii="Sitka Text" w:hAnsi="Sitka Text" w:cs="Mongolian Baiti"/>
          <w:color w:val="auto"/>
          <w:sz w:val="24"/>
          <w:szCs w:val="24"/>
        </w:rPr>
      </w:pPr>
    </w:p>
    <w:tbl>
      <w:tblPr>
        <w:tblStyle w:val="TableGrid"/>
        <w:tblW w:w="5397" w:type="pct"/>
        <w:tblLook w:val="04A0" w:firstRow="1" w:lastRow="0" w:firstColumn="1" w:lastColumn="0" w:noHBand="0" w:noVBand="1"/>
      </w:tblPr>
      <w:tblGrid>
        <w:gridCol w:w="763"/>
        <w:gridCol w:w="2420"/>
        <w:gridCol w:w="139"/>
        <w:gridCol w:w="2623"/>
        <w:gridCol w:w="1721"/>
        <w:gridCol w:w="930"/>
        <w:gridCol w:w="506"/>
        <w:gridCol w:w="1444"/>
        <w:gridCol w:w="1149"/>
        <w:gridCol w:w="269"/>
        <w:gridCol w:w="1264"/>
        <w:gridCol w:w="1527"/>
      </w:tblGrid>
      <w:tr w:rsidR="00042F67" w:rsidRPr="000545E1" w:rsidTr="001D3F7C">
        <w:tc>
          <w:tcPr>
            <w:tcW w:w="1061" w:type="pct"/>
            <w:gridSpan w:val="2"/>
            <w:shd w:val="clear" w:color="auto" w:fill="DAF2F6"/>
          </w:tcPr>
          <w:p w:rsidR="00042F67" w:rsidRPr="000545E1" w:rsidRDefault="00042F67" w:rsidP="001D3F7C">
            <w:pPr>
              <w:spacing w:after="40"/>
              <w:rPr>
                <w:rFonts w:ascii="Sitka Text" w:hAnsi="Sitka Text" w:cs="Mongolian Baiti"/>
                <w:b/>
                <w:color w:val="auto"/>
                <w:sz w:val="24"/>
                <w:szCs w:val="24"/>
              </w:rPr>
            </w:pPr>
            <w:r w:rsidRPr="000545E1">
              <w:rPr>
                <w:color w:val="auto"/>
              </w:rPr>
              <w:br w:type="page"/>
            </w:r>
            <w:r w:rsidRPr="000545E1">
              <w:rPr>
                <w:rFonts w:ascii="Sitka Text" w:hAnsi="Sitka Text" w:cs="Mongolian Baiti"/>
                <w:b/>
                <w:color w:val="auto"/>
                <w:sz w:val="24"/>
                <w:szCs w:val="24"/>
              </w:rPr>
              <w:t>OPERATIVNI CILJ 4.2</w:t>
            </w:r>
          </w:p>
        </w:tc>
        <w:tc>
          <w:tcPr>
            <w:tcW w:w="3939" w:type="pct"/>
            <w:gridSpan w:val="10"/>
            <w:shd w:val="clear" w:color="auto" w:fill="DAF2F6"/>
          </w:tcPr>
          <w:p w:rsidR="00042F67" w:rsidRPr="000545E1" w:rsidRDefault="00042F67" w:rsidP="001D3F7C">
            <w:pPr>
              <w:jc w:val="both"/>
              <w:rPr>
                <w:rFonts w:cs="Mongolian Baiti"/>
                <w:b/>
                <w:color w:val="auto"/>
                <w:sz w:val="24"/>
                <w:szCs w:val="24"/>
              </w:rPr>
            </w:pPr>
            <w:r w:rsidRPr="000545E1">
              <w:rPr>
                <w:rFonts w:ascii="Sitka Text" w:hAnsi="Sitka Text" w:cs="Mongolian Baiti"/>
                <w:b/>
                <w:color w:val="auto"/>
                <w:sz w:val="24"/>
                <w:szCs w:val="24"/>
              </w:rPr>
              <w:t>Unapređenje primjene Zakona o SPI od strane organa vlasti radi obezbjeđenja adekvatnog ostvarivanja prava na pristup informacijama i davanje pristupa informacijama u skladu sa institucionalnim pravnim okvirom i jačanje svijesti i razvijanje vještina korisnika Zakona o SPI</w:t>
            </w:r>
          </w:p>
        </w:tc>
      </w:tr>
      <w:tr w:rsidR="00042F67" w:rsidRPr="000545E1" w:rsidTr="001D3F7C">
        <w:tc>
          <w:tcPr>
            <w:tcW w:w="2001" w:type="pct"/>
            <w:gridSpan w:val="4"/>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color w:val="auto"/>
                <w:sz w:val="22"/>
                <w:szCs w:val="22"/>
                <w:lang w:eastAsia="en-US"/>
              </w:rPr>
              <w:br w:type="page"/>
            </w:r>
            <w:r w:rsidRPr="000545E1">
              <w:rPr>
                <w:rFonts w:ascii="Sitka Text" w:hAnsi="Sitka Text" w:cs="Mongolian Baiti"/>
                <w:b/>
                <w:color w:val="auto"/>
              </w:rPr>
              <w:t>Indikator</w:t>
            </w:r>
          </w:p>
        </w:tc>
        <w:tc>
          <w:tcPr>
            <w:tcW w:w="902" w:type="pct"/>
            <w:gridSpan w:val="2"/>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Početna vrijednost</w:t>
            </w:r>
          </w:p>
        </w:tc>
        <w:tc>
          <w:tcPr>
            <w:tcW w:w="1055" w:type="pct"/>
            <w:gridSpan w:val="3"/>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u 2024.</w:t>
            </w:r>
          </w:p>
        </w:tc>
        <w:tc>
          <w:tcPr>
            <w:tcW w:w="1042" w:type="pct"/>
            <w:gridSpan w:val="3"/>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u 2026.</w:t>
            </w:r>
          </w:p>
        </w:tc>
      </w:tr>
      <w:tr w:rsidR="00042F67" w:rsidRPr="000545E1" w:rsidTr="001D3F7C">
        <w:tc>
          <w:tcPr>
            <w:tcW w:w="2001" w:type="pct"/>
            <w:gridSpan w:val="4"/>
            <w:shd w:val="clear" w:color="auto" w:fill="DAF2F6"/>
          </w:tcPr>
          <w:p w:rsidR="00042F67" w:rsidRPr="000545E1" w:rsidRDefault="00042F67" w:rsidP="001D3F7C">
            <w:pPr>
              <w:spacing w:after="40"/>
              <w:jc w:val="both"/>
              <w:rPr>
                <w:rFonts w:ascii="Sitka Text" w:hAnsi="Sitka Text" w:cs="Mongolian Baiti"/>
                <w:b/>
                <w:color w:val="auto"/>
              </w:rPr>
            </w:pPr>
            <w:r w:rsidRPr="000545E1">
              <w:rPr>
                <w:rFonts w:ascii="Sitka Text" w:hAnsi="Sitka Text" w:cstheme="majorHAnsi"/>
                <w:color w:val="auto"/>
                <w:lang w:val="hr-HR"/>
              </w:rPr>
              <w:t xml:space="preserve">Udio usvojenih žalbi zbog ćutanja administracije u odnosu na ukupan broj žalbi </w:t>
            </w:r>
          </w:p>
        </w:tc>
        <w:tc>
          <w:tcPr>
            <w:tcW w:w="902" w:type="pct"/>
            <w:gridSpan w:val="2"/>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lang w:val="hr-HR"/>
              </w:rPr>
              <w:t>23,15% (1,002 od 4,328 u 2020)</w:t>
            </w:r>
          </w:p>
        </w:tc>
        <w:tc>
          <w:tcPr>
            <w:tcW w:w="1055" w:type="pct"/>
            <w:gridSpan w:val="3"/>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lang w:val="hr-HR"/>
              </w:rPr>
              <w:t xml:space="preserve">15% </w:t>
            </w:r>
          </w:p>
        </w:tc>
        <w:tc>
          <w:tcPr>
            <w:tcW w:w="1042" w:type="pct"/>
            <w:gridSpan w:val="3"/>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lang w:val="hr-HR"/>
              </w:rPr>
              <w:t xml:space="preserve">10% </w:t>
            </w:r>
          </w:p>
        </w:tc>
      </w:tr>
      <w:tr w:rsidR="00042F67" w:rsidRPr="000545E1" w:rsidTr="001D3F7C">
        <w:tc>
          <w:tcPr>
            <w:tcW w:w="2001" w:type="pct"/>
            <w:gridSpan w:val="4"/>
            <w:shd w:val="clear" w:color="auto" w:fill="DAF2F6"/>
          </w:tcPr>
          <w:p w:rsidR="00042F67" w:rsidRPr="000545E1" w:rsidRDefault="00042F67" w:rsidP="001D3F7C">
            <w:pPr>
              <w:spacing w:after="40"/>
              <w:jc w:val="both"/>
              <w:rPr>
                <w:rFonts w:ascii="Sitka Text" w:hAnsi="Sitka Text" w:cs="Mongolian Baiti"/>
                <w:b/>
                <w:color w:val="auto"/>
              </w:rPr>
            </w:pPr>
            <w:r w:rsidRPr="000545E1">
              <w:rPr>
                <w:rFonts w:ascii="Sitka Text" w:hAnsi="Sitka Text" w:cstheme="majorHAnsi"/>
                <w:color w:val="auto"/>
                <w:lang w:val="hr-HR"/>
              </w:rPr>
              <w:t>Udio poništenih odluka organa vlasti od strane Agencije u odnosu na ukupan broj žalbi</w:t>
            </w:r>
          </w:p>
        </w:tc>
        <w:tc>
          <w:tcPr>
            <w:tcW w:w="902" w:type="pct"/>
            <w:gridSpan w:val="2"/>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theme="majorHAnsi"/>
                <w:color w:val="auto"/>
                <w:lang w:val="hr-HR"/>
              </w:rPr>
              <w:t>53,19% (2,302 od 4,328 u 2020)</w:t>
            </w:r>
          </w:p>
        </w:tc>
        <w:tc>
          <w:tcPr>
            <w:tcW w:w="1055" w:type="pct"/>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lang w:val="hr-HR"/>
              </w:rPr>
              <w:t>45%</w:t>
            </w:r>
          </w:p>
        </w:tc>
        <w:tc>
          <w:tcPr>
            <w:tcW w:w="1042" w:type="pct"/>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lang w:val="hr-HR"/>
              </w:rPr>
              <w:t>35%</w:t>
            </w:r>
          </w:p>
        </w:tc>
      </w:tr>
      <w:tr w:rsidR="00042F67" w:rsidRPr="000545E1" w:rsidTr="001D3F7C">
        <w:tc>
          <w:tcPr>
            <w:tcW w:w="1110" w:type="pct"/>
            <w:gridSpan w:val="3"/>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Aktivnosti</w:t>
            </w:r>
          </w:p>
        </w:tc>
        <w:tc>
          <w:tcPr>
            <w:tcW w:w="1476" w:type="pct"/>
            <w:gridSpan w:val="2"/>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Indikator rezultata</w:t>
            </w:r>
          </w:p>
        </w:tc>
        <w:tc>
          <w:tcPr>
            <w:tcW w:w="490" w:type="pct"/>
            <w:gridSpan w:val="2"/>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Nadležne institucije</w:t>
            </w:r>
          </w:p>
        </w:tc>
        <w:tc>
          <w:tcPr>
            <w:tcW w:w="491" w:type="pct"/>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Početak</w:t>
            </w:r>
          </w:p>
        </w:tc>
        <w:tc>
          <w:tcPr>
            <w:tcW w:w="484" w:type="pct"/>
            <w:gridSpan w:val="2"/>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Završetak</w:t>
            </w:r>
          </w:p>
        </w:tc>
        <w:tc>
          <w:tcPr>
            <w:tcW w:w="430" w:type="pct"/>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Sredstva</w:t>
            </w:r>
          </w:p>
        </w:tc>
        <w:tc>
          <w:tcPr>
            <w:tcW w:w="519" w:type="pct"/>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Izvor finansiranja</w:t>
            </w:r>
          </w:p>
        </w:tc>
      </w:tr>
      <w:tr w:rsidR="00042F67" w:rsidRPr="000545E1" w:rsidTr="001D3F7C">
        <w:tc>
          <w:tcPr>
            <w:tcW w:w="239" w:type="pct"/>
          </w:tcPr>
          <w:p w:rsidR="00042F67" w:rsidRPr="000545E1" w:rsidRDefault="00042F67" w:rsidP="001D3F7C">
            <w:pPr>
              <w:spacing w:before="60"/>
              <w:ind w:left="-26" w:right="-96"/>
              <w:rPr>
                <w:rFonts w:ascii="Sitka Text" w:hAnsi="Sitka Text" w:cs="Mongolian Baiti"/>
                <w:color w:val="auto"/>
              </w:rPr>
            </w:pPr>
            <w:r w:rsidRPr="000545E1">
              <w:rPr>
                <w:rFonts w:ascii="Sitka Text" w:hAnsi="Sitka Text" w:cs="Mongolian Baiti"/>
                <w:color w:val="auto"/>
              </w:rPr>
              <w:lastRenderedPageBreak/>
              <w:t>4.2.1</w:t>
            </w:r>
          </w:p>
        </w:tc>
        <w:tc>
          <w:tcPr>
            <w:tcW w:w="871" w:type="pct"/>
            <w:gridSpan w:val="2"/>
          </w:tcPr>
          <w:p w:rsidR="00042F67" w:rsidRPr="000545E1" w:rsidRDefault="00042F67" w:rsidP="001D3F7C">
            <w:pPr>
              <w:spacing w:before="60"/>
              <w:rPr>
                <w:rFonts w:ascii="Sitka Text" w:eastAsia="Calibri" w:hAnsi="Sitka Text" w:cs="Arial"/>
                <w:color w:val="auto"/>
                <w:shd w:val="clear" w:color="auto" w:fill="FFFFFF"/>
              </w:rPr>
            </w:pPr>
            <w:r w:rsidRPr="000545E1">
              <w:rPr>
                <w:rFonts w:ascii="Sitka Text" w:eastAsia="Calibri" w:hAnsi="Sitka Text" w:cs="Arial"/>
                <w:color w:val="auto"/>
                <w:shd w:val="clear" w:color="auto" w:fill="FFFFFF"/>
              </w:rPr>
              <w:t xml:space="preserve">Pružanje podrške odabranim organima vlasti sa ciljem unaprjeđenja primjene ZoSPI </w:t>
            </w:r>
          </w:p>
          <w:p w:rsidR="00042F67" w:rsidRPr="000545E1" w:rsidRDefault="00042F67" w:rsidP="001D3F7C">
            <w:pPr>
              <w:spacing w:before="60"/>
              <w:rPr>
                <w:rFonts w:ascii="Sitka Text" w:eastAsia="Calibri" w:hAnsi="Sitka Text" w:cs="Arial"/>
                <w:color w:val="auto"/>
                <w:shd w:val="clear" w:color="auto" w:fill="FFFFFF"/>
              </w:rPr>
            </w:pPr>
          </w:p>
        </w:tc>
        <w:tc>
          <w:tcPr>
            <w:tcW w:w="1476" w:type="pct"/>
            <w:gridSpan w:val="2"/>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Izrađena analiza i identifikovani ključni organi vlasti koji imaju najveći broj zahtjeva za pristup informacijama i najveći broj žalbi (najmanje 10 organa)</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Pripremljen plan podrške sa preporukama za unapređenje</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Smanjen broj zahtjeva za 30%, povećana količina informacija na sajtu za 30%</w:t>
            </w:r>
          </w:p>
        </w:tc>
        <w:tc>
          <w:tcPr>
            <w:tcW w:w="490" w:type="pct"/>
            <w:gridSpan w:val="2"/>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AZLP</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Savjet za SPI</w:t>
            </w:r>
          </w:p>
        </w:tc>
        <w:tc>
          <w:tcPr>
            <w:tcW w:w="491" w:type="pct"/>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IV Q 2021</w:t>
            </w:r>
          </w:p>
        </w:tc>
        <w:tc>
          <w:tcPr>
            <w:tcW w:w="484" w:type="pct"/>
            <w:gridSpan w:val="2"/>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IV Q 2024</w:t>
            </w:r>
          </w:p>
        </w:tc>
        <w:tc>
          <w:tcPr>
            <w:tcW w:w="430" w:type="pct"/>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13.000 €</w:t>
            </w:r>
          </w:p>
        </w:tc>
        <w:tc>
          <w:tcPr>
            <w:tcW w:w="519" w:type="pct"/>
            <w:shd w:val="clear" w:color="auto" w:fill="auto"/>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Budžet CG</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239" w:type="pct"/>
            <w:shd w:val="clear" w:color="auto" w:fill="FFFFFF" w:themeFill="background1"/>
          </w:tcPr>
          <w:p w:rsidR="00042F67" w:rsidRPr="000545E1" w:rsidRDefault="00042F67" w:rsidP="001D3F7C">
            <w:pPr>
              <w:spacing w:before="60"/>
              <w:ind w:left="-26" w:right="-96"/>
              <w:rPr>
                <w:rFonts w:ascii="Sitka Text" w:hAnsi="Sitka Text" w:cs="Mongolian Baiti"/>
                <w:color w:val="auto"/>
              </w:rPr>
            </w:pPr>
            <w:r w:rsidRPr="000545E1">
              <w:rPr>
                <w:rFonts w:ascii="Sitka Text" w:hAnsi="Sitka Text" w:cs="Mongolian Baiti"/>
                <w:color w:val="auto"/>
              </w:rPr>
              <w:t>4.2.2</w:t>
            </w:r>
          </w:p>
        </w:tc>
        <w:tc>
          <w:tcPr>
            <w:tcW w:w="871" w:type="pct"/>
            <w:gridSpan w:val="2"/>
            <w:shd w:val="clear" w:color="auto" w:fill="FFFFFF" w:themeFill="background1"/>
          </w:tcPr>
          <w:p w:rsidR="00042F67" w:rsidRPr="000545E1" w:rsidRDefault="00042F67" w:rsidP="001D3F7C">
            <w:pPr>
              <w:spacing w:before="60"/>
              <w:rPr>
                <w:rFonts w:ascii="Sitka Text" w:hAnsi="Sitka Text" w:cs="Mongolian Baiti"/>
                <w:color w:val="auto"/>
              </w:rPr>
            </w:pPr>
            <w:r w:rsidRPr="000545E1">
              <w:rPr>
                <w:rFonts w:ascii="Sitka Text" w:eastAsia="Calibri" w:hAnsi="Sitka Text" w:cs="Arial"/>
                <w:color w:val="auto"/>
                <w:shd w:val="clear" w:color="auto" w:fill="FFFFFF"/>
              </w:rPr>
              <w:t>Razvijanje smjernica za primjenu odredaba Zakona o SPI</w:t>
            </w:r>
          </w:p>
        </w:tc>
        <w:tc>
          <w:tcPr>
            <w:tcW w:w="1476" w:type="pct"/>
            <w:gridSpan w:val="2"/>
            <w:shd w:val="clear" w:color="auto" w:fill="FFFFFF" w:themeFill="background1"/>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Izrađene smjernice za proaktivno objavljivanje (prema kategorijama, kako je navedeno u tekstu člana ZoSPI, pojedinačno ili cjelovito) </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Izrađene smjernice za primjenu isključenja i ograničenja za SPI </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Izrađene smjernice za provođenje testa štetnosti ili javnog interesa </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Izrađene smjernice za pojedina pitanja ZoSPI i postupak </w:t>
            </w:r>
          </w:p>
        </w:tc>
        <w:tc>
          <w:tcPr>
            <w:tcW w:w="490" w:type="pct"/>
            <w:gridSpan w:val="2"/>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AZLP</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NVO</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Savjet za SPI</w:t>
            </w:r>
          </w:p>
        </w:tc>
        <w:tc>
          <w:tcPr>
            <w:tcW w:w="491" w:type="pct"/>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 Q 2022</w:t>
            </w:r>
          </w:p>
        </w:tc>
        <w:tc>
          <w:tcPr>
            <w:tcW w:w="484" w:type="pct"/>
            <w:gridSpan w:val="2"/>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IV Q 2023</w:t>
            </w:r>
          </w:p>
        </w:tc>
        <w:tc>
          <w:tcPr>
            <w:tcW w:w="430" w:type="pct"/>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26.000 €</w:t>
            </w:r>
          </w:p>
        </w:tc>
        <w:tc>
          <w:tcPr>
            <w:tcW w:w="519" w:type="pct"/>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rPr>
          <w:trHeight w:val="3581"/>
        </w:trPr>
        <w:tc>
          <w:tcPr>
            <w:tcW w:w="239" w:type="pct"/>
            <w:shd w:val="clear" w:color="auto" w:fill="FFFFFF" w:themeFill="background1"/>
          </w:tcPr>
          <w:p w:rsidR="00042F67" w:rsidRPr="000545E1" w:rsidRDefault="00042F67" w:rsidP="001D3F7C">
            <w:pPr>
              <w:spacing w:before="60"/>
              <w:ind w:left="-26" w:right="-96"/>
              <w:rPr>
                <w:rFonts w:ascii="Sitka Text" w:hAnsi="Sitka Text" w:cs="Mongolian Baiti"/>
                <w:color w:val="auto"/>
              </w:rPr>
            </w:pPr>
            <w:r w:rsidRPr="000545E1">
              <w:rPr>
                <w:rFonts w:ascii="Sitka Text" w:hAnsi="Sitka Text" w:cs="Mongolian Baiti"/>
                <w:color w:val="auto"/>
              </w:rPr>
              <w:t>4.2.3</w:t>
            </w:r>
          </w:p>
        </w:tc>
        <w:tc>
          <w:tcPr>
            <w:tcW w:w="871" w:type="pct"/>
            <w:gridSpan w:val="2"/>
            <w:shd w:val="clear" w:color="auto" w:fill="FFFFFF" w:themeFill="background1"/>
          </w:tcPr>
          <w:p w:rsidR="00042F67" w:rsidRPr="000545E1" w:rsidRDefault="00042F67" w:rsidP="001D3F7C">
            <w:pPr>
              <w:spacing w:before="60"/>
              <w:rPr>
                <w:rFonts w:ascii="Sitka Text" w:hAnsi="Sitka Text" w:cs="Mongolian Baiti"/>
                <w:color w:val="auto"/>
              </w:rPr>
            </w:pPr>
            <w:r w:rsidRPr="000545E1">
              <w:rPr>
                <w:rFonts w:ascii="Sitka Text" w:eastAsia="Calibri" w:hAnsi="Sitka Text" w:cs="Arial"/>
                <w:color w:val="auto"/>
                <w:shd w:val="clear" w:color="auto" w:fill="FFFFFF"/>
              </w:rPr>
              <w:t xml:space="preserve">Razvoj pretraživača odluka o SPI  Agencije i sudova, sa opcijom pretraživanja </w:t>
            </w:r>
          </w:p>
        </w:tc>
        <w:tc>
          <w:tcPr>
            <w:tcW w:w="1476" w:type="pct"/>
            <w:gridSpan w:val="2"/>
            <w:shd w:val="clear" w:color="auto" w:fill="FFFFFF" w:themeFill="background1"/>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Izrađena analiza potreba i predlog strukture pretražive baze, uključujući predloge povezivanja sa bazama sudova i eDMS Agencije</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Aplikativno rješenje naručeno i implementirano (najmanje) sa uključenom mogućnošću pretraživanja po vrsti organa, ograničenju, ključnim riječima i ishodu odluke</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Obavljena selekcija odluka i odluke pripremljene za objavljivanje </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Objavljeno najmanje 150 odluka (AZLP, Upravni sud)</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Uspostavljena procedura za objavljivanje budućih odluka (koraci u procesu, uključena lica)</w:t>
            </w:r>
          </w:p>
        </w:tc>
        <w:tc>
          <w:tcPr>
            <w:tcW w:w="490" w:type="pct"/>
            <w:gridSpan w:val="2"/>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AZLP</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Upravni sud / Vrhovni sud</w:t>
            </w:r>
          </w:p>
        </w:tc>
        <w:tc>
          <w:tcPr>
            <w:tcW w:w="491" w:type="pct"/>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 Q 2022</w:t>
            </w:r>
          </w:p>
        </w:tc>
        <w:tc>
          <w:tcPr>
            <w:tcW w:w="484" w:type="pct"/>
            <w:gridSpan w:val="2"/>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II Q 2023</w:t>
            </w:r>
          </w:p>
        </w:tc>
        <w:tc>
          <w:tcPr>
            <w:tcW w:w="430" w:type="pct"/>
            <w:shd w:val="clear" w:color="auto" w:fill="FFFFFF" w:themeFill="background1"/>
            <w:vAlign w:val="center"/>
          </w:tcPr>
          <w:p w:rsidR="00042F67" w:rsidRPr="000545E1" w:rsidRDefault="00042F67" w:rsidP="001D3F7C">
            <w:pPr>
              <w:jc w:val="center"/>
              <w:rPr>
                <w:rFonts w:ascii="Sitka Text" w:hAnsi="Sitka Text" w:cs="Mongolian Baiti"/>
                <w:color w:val="auto"/>
              </w:rPr>
            </w:pPr>
            <w:r w:rsidRPr="000545E1">
              <w:rPr>
                <w:rFonts w:ascii="Sitka Text" w:hAnsi="Sitka Text" w:cs="Mongolian Baiti"/>
                <w:color w:val="auto"/>
              </w:rPr>
              <w:t>32.000 €</w:t>
            </w:r>
          </w:p>
        </w:tc>
        <w:tc>
          <w:tcPr>
            <w:tcW w:w="519" w:type="pct"/>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239" w:type="pct"/>
            <w:shd w:val="clear" w:color="auto" w:fill="FFFFFF" w:themeFill="background1"/>
          </w:tcPr>
          <w:p w:rsidR="00042F67" w:rsidRPr="000545E1" w:rsidRDefault="00042F67" w:rsidP="001D3F7C">
            <w:pPr>
              <w:spacing w:before="60"/>
              <w:ind w:left="-26" w:right="-96"/>
              <w:rPr>
                <w:rFonts w:ascii="Sitka Text" w:hAnsi="Sitka Text" w:cs="Mongolian Baiti"/>
                <w:color w:val="auto"/>
              </w:rPr>
            </w:pPr>
            <w:r w:rsidRPr="000545E1">
              <w:rPr>
                <w:rFonts w:ascii="Sitka Text" w:hAnsi="Sitka Text" w:cs="Mongolian Baiti"/>
                <w:color w:val="auto"/>
              </w:rPr>
              <w:lastRenderedPageBreak/>
              <w:t>4.2.4</w:t>
            </w:r>
          </w:p>
        </w:tc>
        <w:tc>
          <w:tcPr>
            <w:tcW w:w="871" w:type="pct"/>
            <w:gridSpan w:val="2"/>
            <w:shd w:val="clear" w:color="auto" w:fill="FFFFFF" w:themeFill="background1"/>
          </w:tcPr>
          <w:p w:rsidR="00042F67" w:rsidRPr="000545E1" w:rsidRDefault="00042F67" w:rsidP="001D3F7C">
            <w:pPr>
              <w:spacing w:before="60"/>
              <w:rPr>
                <w:rFonts w:ascii="Sitka Text" w:hAnsi="Sitka Text" w:cs="Mongolian Baiti"/>
                <w:color w:val="auto"/>
              </w:rPr>
            </w:pPr>
            <w:r w:rsidRPr="000545E1">
              <w:rPr>
                <w:rFonts w:ascii="Sitka Text" w:eastAsia="Calibri" w:hAnsi="Sitka Text" w:cs="Arial"/>
                <w:color w:val="auto"/>
                <w:shd w:val="clear" w:color="auto" w:fill="FFFFFF"/>
              </w:rPr>
              <w:t xml:space="preserve">Priprema priručnika, publikacija i materijala za obuku </w:t>
            </w:r>
          </w:p>
        </w:tc>
        <w:tc>
          <w:tcPr>
            <w:tcW w:w="1476" w:type="pct"/>
            <w:gridSpan w:val="2"/>
            <w:shd w:val="clear" w:color="auto" w:fill="FFFFFF" w:themeFill="background1"/>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Izrađen i objavljen priručnik za službenike za informacije u organima vlasti</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Izrađen priručnik za organe vlasti o proaktivnom objavljivanju </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Izrađena analiza informativnosti sajta AZLP sa preporukama za unapređenje </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Uspostavljena nagrada za najproaktivniji organ vlasti i način dodjele </w:t>
            </w:r>
          </w:p>
        </w:tc>
        <w:tc>
          <w:tcPr>
            <w:tcW w:w="490" w:type="pct"/>
            <w:gridSpan w:val="2"/>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AZLP</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Ministarstva</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NVO</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Akademska zajednica</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Savjet za SPI</w:t>
            </w:r>
          </w:p>
        </w:tc>
        <w:tc>
          <w:tcPr>
            <w:tcW w:w="491" w:type="pct"/>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 Q 2022</w:t>
            </w:r>
          </w:p>
        </w:tc>
        <w:tc>
          <w:tcPr>
            <w:tcW w:w="484" w:type="pct"/>
            <w:gridSpan w:val="2"/>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IV Q 2023</w:t>
            </w:r>
          </w:p>
        </w:tc>
        <w:tc>
          <w:tcPr>
            <w:tcW w:w="430" w:type="pct"/>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36.000 €</w:t>
            </w:r>
          </w:p>
        </w:tc>
        <w:tc>
          <w:tcPr>
            <w:tcW w:w="519" w:type="pct"/>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239" w:type="pct"/>
          </w:tcPr>
          <w:p w:rsidR="00042F67" w:rsidRPr="000545E1" w:rsidRDefault="00042F67" w:rsidP="001D3F7C">
            <w:pPr>
              <w:spacing w:before="60"/>
              <w:ind w:left="-26" w:right="-96"/>
              <w:rPr>
                <w:rFonts w:ascii="Sitka Text" w:hAnsi="Sitka Text" w:cs="Mongolian Baiti"/>
                <w:i/>
                <w:color w:val="auto"/>
              </w:rPr>
            </w:pPr>
            <w:r w:rsidRPr="000545E1">
              <w:rPr>
                <w:rFonts w:ascii="Sitka Text" w:hAnsi="Sitka Text" w:cs="Mongolian Baiti"/>
                <w:color w:val="auto"/>
              </w:rPr>
              <w:t>4.2.5</w:t>
            </w:r>
          </w:p>
          <w:p w:rsidR="00042F67" w:rsidRPr="000545E1" w:rsidRDefault="00042F67" w:rsidP="001D3F7C">
            <w:pPr>
              <w:spacing w:before="60"/>
              <w:ind w:left="-26" w:right="-96"/>
              <w:rPr>
                <w:rFonts w:ascii="Sitka Text" w:hAnsi="Sitka Text" w:cs="Mongolian Baiti"/>
                <w:color w:val="auto"/>
              </w:rPr>
            </w:pPr>
          </w:p>
          <w:p w:rsidR="00042F67" w:rsidRPr="000545E1" w:rsidRDefault="00042F67" w:rsidP="001D3F7C">
            <w:pPr>
              <w:spacing w:before="60"/>
              <w:ind w:left="-26" w:right="-96"/>
              <w:rPr>
                <w:rFonts w:ascii="Sitka Text" w:hAnsi="Sitka Text" w:cs="Mongolian Baiti"/>
                <w:color w:val="auto"/>
              </w:rPr>
            </w:pPr>
          </w:p>
        </w:tc>
        <w:tc>
          <w:tcPr>
            <w:tcW w:w="871" w:type="pct"/>
            <w:gridSpan w:val="2"/>
          </w:tcPr>
          <w:p w:rsidR="00042F67" w:rsidRPr="000545E1" w:rsidRDefault="00042F67" w:rsidP="001D3F7C">
            <w:pPr>
              <w:spacing w:before="60"/>
              <w:rPr>
                <w:rFonts w:ascii="Sitka Text" w:hAnsi="Sitka Text" w:cs="Mongolian Baiti"/>
                <w:color w:val="auto"/>
              </w:rPr>
            </w:pPr>
            <w:r w:rsidRPr="000545E1">
              <w:rPr>
                <w:rFonts w:ascii="Sitka Text" w:eastAsia="Calibri" w:hAnsi="Sitka Text" w:cs="Arial"/>
                <w:color w:val="auto"/>
                <w:shd w:val="clear" w:color="auto" w:fill="FFFFFF"/>
              </w:rPr>
              <w:t xml:space="preserve">Obezbjeđene kontinuirane obuke za ovlašćene službenike, rukovodeći kadar i druge  službenike organa vlasti  </w:t>
            </w:r>
          </w:p>
        </w:tc>
        <w:tc>
          <w:tcPr>
            <w:tcW w:w="1476" w:type="pct"/>
            <w:gridSpan w:val="2"/>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Izrađena procjena potreba za obukom (TNA - Tranining Needs Assessment) </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Izrađen plan obuke koji sadržava ciljane grupe (ovlašćena lica, službenici za informacije, druga lica, rukovodeći kadar), sadržaj prema kategorijama, sadržaj prema vrstama kao i poslovna tajna, podaci označeni stepenom tajnosti, zaštita ličnih podataka i privatnosti)</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Najmanje 200 lica prošlo obuku </w:t>
            </w:r>
          </w:p>
        </w:tc>
        <w:tc>
          <w:tcPr>
            <w:tcW w:w="490" w:type="pct"/>
            <w:gridSpan w:val="2"/>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AZLP</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Savjet za SPI</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MFSS</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NVO</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Akademska zajednica</w:t>
            </w:r>
          </w:p>
        </w:tc>
        <w:tc>
          <w:tcPr>
            <w:tcW w:w="491" w:type="pct"/>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 Q 2022</w:t>
            </w:r>
          </w:p>
        </w:tc>
        <w:tc>
          <w:tcPr>
            <w:tcW w:w="484" w:type="pct"/>
            <w:gridSpan w:val="2"/>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IV Q 2023</w:t>
            </w:r>
          </w:p>
        </w:tc>
        <w:tc>
          <w:tcPr>
            <w:tcW w:w="430" w:type="pct"/>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27.000 €</w:t>
            </w:r>
          </w:p>
        </w:tc>
        <w:tc>
          <w:tcPr>
            <w:tcW w:w="519" w:type="pct"/>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239" w:type="pct"/>
          </w:tcPr>
          <w:p w:rsidR="00042F67" w:rsidRPr="000545E1" w:rsidRDefault="00042F67" w:rsidP="001D3F7C">
            <w:pPr>
              <w:spacing w:before="60"/>
              <w:ind w:left="-26" w:right="-96"/>
              <w:rPr>
                <w:rFonts w:ascii="Sitka Text" w:hAnsi="Sitka Text" w:cs="Mongolian Baiti"/>
                <w:color w:val="auto"/>
              </w:rPr>
            </w:pPr>
            <w:r w:rsidRPr="000545E1">
              <w:rPr>
                <w:rFonts w:ascii="Sitka Text" w:hAnsi="Sitka Text" w:cs="Mongolian Baiti"/>
                <w:color w:val="auto"/>
              </w:rPr>
              <w:t>4.2.6</w:t>
            </w:r>
          </w:p>
        </w:tc>
        <w:tc>
          <w:tcPr>
            <w:tcW w:w="871" w:type="pct"/>
            <w:gridSpan w:val="2"/>
          </w:tcPr>
          <w:p w:rsidR="00042F67" w:rsidRPr="000545E1" w:rsidRDefault="00042F67" w:rsidP="001D3F7C">
            <w:pPr>
              <w:spacing w:before="60"/>
              <w:rPr>
                <w:rFonts w:ascii="Sitka Text" w:hAnsi="Sitka Text" w:cs="Mongolian Baiti"/>
                <w:color w:val="auto"/>
              </w:rPr>
            </w:pPr>
            <w:r w:rsidRPr="000545E1">
              <w:rPr>
                <w:rFonts w:ascii="Sitka Text" w:eastAsia="Calibri" w:hAnsi="Sitka Text" w:cs="Arial"/>
                <w:color w:val="auto"/>
                <w:shd w:val="clear" w:color="auto" w:fill="FFFFFF"/>
              </w:rPr>
              <w:t>Planiranje i sprovođenje kontinuirane edukacije i jačanje svijesti korisnika</w:t>
            </w:r>
          </w:p>
        </w:tc>
        <w:tc>
          <w:tcPr>
            <w:tcW w:w="1476" w:type="pct"/>
            <w:gridSpan w:val="2"/>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Razvijen Strateški plan sa identifikaciju ciljanih korisnika i partnerstvo</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Izrađen reklamni materijali (nacionalna tv i radio)</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Ogranizovan jedan okrugli sto</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Identifikovani ključni korisnici (podnosioci najvećeg broja žalbi i zahtjeva) i pružanje podrške (edukacija, pomoć)</w:t>
            </w:r>
          </w:p>
        </w:tc>
        <w:tc>
          <w:tcPr>
            <w:tcW w:w="490" w:type="pct"/>
            <w:gridSpan w:val="2"/>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AZLP</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Savjet za SPI</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NVO</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Mediji</w:t>
            </w:r>
          </w:p>
        </w:tc>
        <w:tc>
          <w:tcPr>
            <w:tcW w:w="491" w:type="pct"/>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II Q 2022</w:t>
            </w:r>
          </w:p>
        </w:tc>
        <w:tc>
          <w:tcPr>
            <w:tcW w:w="484" w:type="pct"/>
            <w:gridSpan w:val="2"/>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IV Q 2023</w:t>
            </w:r>
          </w:p>
        </w:tc>
        <w:tc>
          <w:tcPr>
            <w:tcW w:w="430" w:type="pct"/>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42.000 €</w:t>
            </w:r>
          </w:p>
        </w:tc>
        <w:tc>
          <w:tcPr>
            <w:tcW w:w="519" w:type="pct"/>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239" w:type="pct"/>
          </w:tcPr>
          <w:p w:rsidR="00042F67" w:rsidRPr="000545E1" w:rsidRDefault="00042F67" w:rsidP="001D3F7C">
            <w:pPr>
              <w:spacing w:before="60"/>
              <w:ind w:left="-26" w:right="-96"/>
              <w:rPr>
                <w:rFonts w:ascii="Sitka Text" w:hAnsi="Sitka Text" w:cs="Mongolian Baiti"/>
                <w:color w:val="auto"/>
              </w:rPr>
            </w:pPr>
            <w:r w:rsidRPr="000545E1">
              <w:rPr>
                <w:rFonts w:ascii="Sitka Text" w:hAnsi="Sitka Text" w:cs="Mongolian Baiti"/>
                <w:color w:val="auto"/>
              </w:rPr>
              <w:t>4.2.7</w:t>
            </w:r>
          </w:p>
        </w:tc>
        <w:tc>
          <w:tcPr>
            <w:tcW w:w="871" w:type="pct"/>
            <w:gridSpan w:val="2"/>
          </w:tcPr>
          <w:p w:rsidR="00042F67" w:rsidRPr="000545E1" w:rsidRDefault="00042F67" w:rsidP="001D3F7C">
            <w:pPr>
              <w:spacing w:before="60"/>
              <w:rPr>
                <w:rFonts w:ascii="Sitka Text" w:hAnsi="Sitka Text" w:cs="Mongolian Baiti"/>
                <w:color w:val="auto"/>
              </w:rPr>
            </w:pPr>
            <w:r w:rsidRPr="000545E1">
              <w:rPr>
                <w:rFonts w:ascii="Sitka Text" w:eastAsia="Calibri" w:hAnsi="Sitka Text" w:cs="Arial"/>
                <w:color w:val="auto"/>
                <w:shd w:val="clear" w:color="auto" w:fill="FFFFFF"/>
              </w:rPr>
              <w:t>Obuka za predavače za primjenu ZSPI</w:t>
            </w:r>
          </w:p>
        </w:tc>
        <w:tc>
          <w:tcPr>
            <w:tcW w:w="1476" w:type="pct"/>
            <w:gridSpan w:val="2"/>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Izrađen plan za trening trenera </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Sproveden trening trenera na kojem je obuku prošlo najmanje 15 trenera </w:t>
            </w:r>
          </w:p>
        </w:tc>
        <w:tc>
          <w:tcPr>
            <w:tcW w:w="490" w:type="pct"/>
            <w:gridSpan w:val="2"/>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AZLP</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Savjet za SPI</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NVO</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Mediji</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lastRenderedPageBreak/>
              <w:t>Akademska zajednica</w:t>
            </w:r>
          </w:p>
        </w:tc>
        <w:tc>
          <w:tcPr>
            <w:tcW w:w="491" w:type="pct"/>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lastRenderedPageBreak/>
              <w:t>II Q 2023</w:t>
            </w:r>
          </w:p>
        </w:tc>
        <w:tc>
          <w:tcPr>
            <w:tcW w:w="484" w:type="pct"/>
            <w:gridSpan w:val="2"/>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IV Q 2024</w:t>
            </w:r>
          </w:p>
        </w:tc>
        <w:tc>
          <w:tcPr>
            <w:tcW w:w="430" w:type="pct"/>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25.000 €</w:t>
            </w:r>
          </w:p>
        </w:tc>
        <w:tc>
          <w:tcPr>
            <w:tcW w:w="519" w:type="pct"/>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239" w:type="pct"/>
          </w:tcPr>
          <w:p w:rsidR="00042F67" w:rsidRPr="000545E1" w:rsidRDefault="00042F67" w:rsidP="001D3F7C">
            <w:pPr>
              <w:spacing w:before="60"/>
              <w:ind w:left="-26" w:right="-96"/>
              <w:rPr>
                <w:rFonts w:ascii="Sitka Text" w:hAnsi="Sitka Text" w:cs="Mongolian Baiti"/>
                <w:color w:val="auto"/>
              </w:rPr>
            </w:pPr>
            <w:r w:rsidRPr="000545E1">
              <w:rPr>
                <w:rFonts w:ascii="Sitka Text" w:hAnsi="Sitka Text" w:cs="Mongolian Baiti"/>
                <w:color w:val="auto"/>
              </w:rPr>
              <w:t>4.2.8</w:t>
            </w:r>
          </w:p>
        </w:tc>
        <w:tc>
          <w:tcPr>
            <w:tcW w:w="871" w:type="pct"/>
            <w:gridSpan w:val="2"/>
          </w:tcPr>
          <w:p w:rsidR="00042F67" w:rsidRPr="000545E1" w:rsidRDefault="00042F67" w:rsidP="001D3F7C">
            <w:pPr>
              <w:spacing w:before="60"/>
              <w:rPr>
                <w:rFonts w:ascii="Sitka Text" w:hAnsi="Sitka Text" w:cs="Mongolian Baiti"/>
                <w:color w:val="auto"/>
              </w:rPr>
            </w:pPr>
            <w:r w:rsidRPr="000545E1">
              <w:rPr>
                <w:rFonts w:ascii="Sitka Text" w:eastAsia="Calibri" w:hAnsi="Sitka Text" w:cs="Arial"/>
                <w:color w:val="auto"/>
                <w:shd w:val="clear" w:color="auto" w:fill="FFFFFF"/>
              </w:rPr>
              <w:t>Razvoj unutrašnjeg ZSPI rukovođenja / radne grupe za unapređenje transparentnosti</w:t>
            </w:r>
          </w:p>
        </w:tc>
        <w:tc>
          <w:tcPr>
            <w:tcW w:w="1476" w:type="pct"/>
            <w:gridSpan w:val="2"/>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Izrađene smjernice za uspostavljanje radnih grupa za ZSPI na razini organa vlasti </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Uspostavljene radne grupe za ZSPI na nivou organa vlasti  - najmanje 50 organa vlasti u prvoj godini, 100 u drugoj i dr.</w:t>
            </w:r>
          </w:p>
        </w:tc>
        <w:tc>
          <w:tcPr>
            <w:tcW w:w="490" w:type="pct"/>
            <w:gridSpan w:val="2"/>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AZLP</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Savjet za SPI</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organi vlasti</w:t>
            </w:r>
          </w:p>
        </w:tc>
        <w:tc>
          <w:tcPr>
            <w:tcW w:w="491" w:type="pct"/>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 Q 2022</w:t>
            </w:r>
          </w:p>
        </w:tc>
        <w:tc>
          <w:tcPr>
            <w:tcW w:w="484" w:type="pct"/>
            <w:gridSpan w:val="2"/>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III Q 2022</w:t>
            </w:r>
          </w:p>
        </w:tc>
        <w:tc>
          <w:tcPr>
            <w:tcW w:w="430" w:type="pct"/>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2.000 €</w:t>
            </w:r>
          </w:p>
        </w:tc>
        <w:tc>
          <w:tcPr>
            <w:tcW w:w="519" w:type="pct"/>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239" w:type="pct"/>
          </w:tcPr>
          <w:p w:rsidR="00042F67" w:rsidRPr="000545E1" w:rsidRDefault="00042F67" w:rsidP="001D3F7C">
            <w:pPr>
              <w:spacing w:before="60"/>
              <w:ind w:left="-26" w:right="-96"/>
              <w:rPr>
                <w:rFonts w:ascii="Sitka Text" w:hAnsi="Sitka Text" w:cs="Mongolian Baiti"/>
                <w:color w:val="auto"/>
              </w:rPr>
            </w:pPr>
            <w:r w:rsidRPr="000545E1">
              <w:rPr>
                <w:rFonts w:ascii="Sitka Text" w:hAnsi="Sitka Text" w:cs="Mongolian Baiti"/>
                <w:color w:val="auto"/>
              </w:rPr>
              <w:t>4.2.9</w:t>
            </w:r>
          </w:p>
        </w:tc>
        <w:tc>
          <w:tcPr>
            <w:tcW w:w="871" w:type="pct"/>
            <w:gridSpan w:val="2"/>
          </w:tcPr>
          <w:p w:rsidR="00042F67" w:rsidRPr="000545E1" w:rsidRDefault="00042F67" w:rsidP="001D3F7C">
            <w:pPr>
              <w:spacing w:before="60"/>
              <w:rPr>
                <w:rFonts w:ascii="Sitka Text" w:hAnsi="Sitka Text" w:cs="Mongolian Baiti"/>
                <w:color w:val="auto"/>
              </w:rPr>
            </w:pPr>
            <w:r w:rsidRPr="000545E1">
              <w:rPr>
                <w:rFonts w:ascii="Sitka Text" w:eastAsia="Calibri" w:hAnsi="Sitka Text" w:cs="Arial"/>
                <w:color w:val="auto"/>
                <w:shd w:val="clear" w:color="auto" w:fill="FFFFFF"/>
              </w:rPr>
              <w:t>Unapređenje kvaliteta u oblasti slobodnog pristupa informacijama (upitnik o kvalitetu pristupa informacijama za svrhe procjene i unaprjeđenja poštovanja Zakona o SPI)</w:t>
            </w:r>
          </w:p>
        </w:tc>
        <w:tc>
          <w:tcPr>
            <w:tcW w:w="1476" w:type="pct"/>
            <w:gridSpan w:val="2"/>
          </w:tcPr>
          <w:p w:rsidR="00042F67" w:rsidRPr="000545E1" w:rsidRDefault="00042F67" w:rsidP="001D3F7C">
            <w:pPr>
              <w:rPr>
                <w:rFonts w:ascii="Sitka Text" w:hAnsi="Sitka Text" w:cs="Mongolian Baiti"/>
                <w:color w:val="auto"/>
              </w:rPr>
            </w:pPr>
            <w:r w:rsidRPr="000545E1">
              <w:rPr>
                <w:rFonts w:ascii="Sitka Text" w:hAnsi="Sitka Text" w:cs="Mongolian Baiti"/>
                <w:color w:val="auto"/>
              </w:rPr>
              <w:t>- Izrađen model upravljanja kvalitetom u oblasti SPI s ciljem primjene u organima vlasti koji sadržava:</w:t>
            </w:r>
          </w:p>
          <w:p w:rsidR="00042F67" w:rsidRPr="000545E1" w:rsidRDefault="00042F67" w:rsidP="00B43D4E">
            <w:pPr>
              <w:pStyle w:val="ListParagraph"/>
              <w:numPr>
                <w:ilvl w:val="0"/>
                <w:numId w:val="55"/>
              </w:numPr>
              <w:spacing w:before="0"/>
              <w:rPr>
                <w:rFonts w:ascii="Sitka Text" w:hAnsi="Sitka Text" w:cs="Mongolian Baiti"/>
                <w:color w:val="auto"/>
              </w:rPr>
            </w:pPr>
            <w:r w:rsidRPr="000545E1">
              <w:rPr>
                <w:rFonts w:ascii="Sitka Text" w:hAnsi="Sitka Text" w:cs="Mongolian Baiti"/>
                <w:color w:val="auto"/>
              </w:rPr>
              <w:t>samoprocjenu i akcioni plan</w:t>
            </w:r>
          </w:p>
          <w:p w:rsidR="00042F67" w:rsidRPr="000545E1" w:rsidRDefault="00042F67" w:rsidP="00B43D4E">
            <w:pPr>
              <w:pStyle w:val="ListParagraph"/>
              <w:numPr>
                <w:ilvl w:val="0"/>
                <w:numId w:val="55"/>
              </w:numPr>
              <w:spacing w:before="0"/>
              <w:rPr>
                <w:rFonts w:ascii="Sitka Text" w:hAnsi="Sitka Text" w:cs="Mongolian Baiti"/>
                <w:color w:val="auto"/>
              </w:rPr>
            </w:pPr>
            <w:r w:rsidRPr="000545E1">
              <w:rPr>
                <w:rFonts w:ascii="Sitka Text" w:hAnsi="Sitka Text" w:cs="Mongolian Baiti"/>
                <w:color w:val="auto"/>
              </w:rPr>
              <w:t xml:space="preserve">obuku za zaposlene </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Uspostavljene radne grupe na nivou organa vlasti (najmanje organi državne uprave i lokalna samouprava)</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Uključeni rezultati u izvještaje organa vlasti – najmanje 20 organa vlasti uključilo u svoje izvještaje</w:t>
            </w:r>
          </w:p>
        </w:tc>
        <w:tc>
          <w:tcPr>
            <w:tcW w:w="490" w:type="pct"/>
            <w:gridSpan w:val="2"/>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AZLP</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Savjet za SPI</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organi vlasti</w:t>
            </w:r>
          </w:p>
        </w:tc>
        <w:tc>
          <w:tcPr>
            <w:tcW w:w="491" w:type="pct"/>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 Q 2023</w:t>
            </w:r>
          </w:p>
        </w:tc>
        <w:tc>
          <w:tcPr>
            <w:tcW w:w="484" w:type="pct"/>
            <w:gridSpan w:val="2"/>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IV Q 2023</w:t>
            </w:r>
          </w:p>
        </w:tc>
        <w:tc>
          <w:tcPr>
            <w:tcW w:w="430" w:type="pct"/>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13.000 €</w:t>
            </w:r>
          </w:p>
        </w:tc>
        <w:tc>
          <w:tcPr>
            <w:tcW w:w="519" w:type="pct"/>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239" w:type="pct"/>
            <w:shd w:val="clear" w:color="auto" w:fill="FFFFFF" w:themeFill="background1"/>
          </w:tcPr>
          <w:p w:rsidR="00042F67" w:rsidRPr="000545E1" w:rsidRDefault="00042F67" w:rsidP="001D3F7C">
            <w:pPr>
              <w:spacing w:before="60"/>
              <w:ind w:left="-26" w:right="-96"/>
              <w:rPr>
                <w:rFonts w:ascii="Sitka Text" w:hAnsi="Sitka Text" w:cs="Mongolian Baiti"/>
                <w:color w:val="auto"/>
              </w:rPr>
            </w:pPr>
            <w:r w:rsidRPr="000545E1">
              <w:rPr>
                <w:rFonts w:ascii="Sitka Text" w:hAnsi="Sitka Text" w:cs="Mongolian Baiti"/>
                <w:color w:val="auto"/>
              </w:rPr>
              <w:t>4.2.10</w:t>
            </w:r>
          </w:p>
        </w:tc>
        <w:tc>
          <w:tcPr>
            <w:tcW w:w="871" w:type="pct"/>
            <w:gridSpan w:val="2"/>
            <w:shd w:val="clear" w:color="auto" w:fill="FFFFFF" w:themeFill="background1"/>
          </w:tcPr>
          <w:p w:rsidR="00042F67" w:rsidRPr="000545E1" w:rsidRDefault="00042F67" w:rsidP="001D3F7C">
            <w:pPr>
              <w:spacing w:before="60"/>
              <w:rPr>
                <w:rFonts w:ascii="Sitka Text" w:hAnsi="Sitka Text" w:cs="Mongolian Baiti"/>
                <w:color w:val="auto"/>
              </w:rPr>
            </w:pPr>
            <w:r w:rsidRPr="000545E1">
              <w:rPr>
                <w:rFonts w:ascii="Sitka Text" w:eastAsia="Calibri" w:hAnsi="Sitka Text" w:cs="Arial"/>
                <w:color w:val="auto"/>
                <w:shd w:val="clear" w:color="auto" w:fill="FFFFFF"/>
              </w:rPr>
              <w:t>Podrška ovlašćenim licima u organima vlasti kroz formiranje mreže ovlašćenih lica</w:t>
            </w:r>
          </w:p>
        </w:tc>
        <w:tc>
          <w:tcPr>
            <w:tcW w:w="1476" w:type="pct"/>
            <w:gridSpan w:val="2"/>
            <w:shd w:val="clear" w:color="auto" w:fill="FFFFFF" w:themeFill="background1"/>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Organizovana posebna grupa službenika za informacije kao potpora Savjetu (4.3.)</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Obezbjeđeni kanali komunikacije (grupa na društvenim mrežama, mejling lista, forum na sajtu?)</w:t>
            </w:r>
          </w:p>
        </w:tc>
        <w:tc>
          <w:tcPr>
            <w:tcW w:w="490" w:type="pct"/>
            <w:gridSpan w:val="2"/>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AZLP</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organi vlasti</w:t>
            </w:r>
          </w:p>
          <w:p w:rsidR="00042F67" w:rsidRPr="000545E1" w:rsidRDefault="00042F67" w:rsidP="001D3F7C">
            <w:pPr>
              <w:spacing w:before="60"/>
              <w:jc w:val="center"/>
              <w:rPr>
                <w:rFonts w:ascii="Sitka Text" w:hAnsi="Sitka Text" w:cs="Mongolian Baiti"/>
                <w:color w:val="auto"/>
              </w:rPr>
            </w:pPr>
          </w:p>
        </w:tc>
        <w:tc>
          <w:tcPr>
            <w:tcW w:w="491" w:type="pct"/>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II Q 2022</w:t>
            </w:r>
          </w:p>
        </w:tc>
        <w:tc>
          <w:tcPr>
            <w:tcW w:w="484" w:type="pct"/>
            <w:gridSpan w:val="2"/>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 Q 2023</w:t>
            </w:r>
          </w:p>
        </w:tc>
        <w:tc>
          <w:tcPr>
            <w:tcW w:w="430" w:type="pct"/>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2.000 €</w:t>
            </w:r>
          </w:p>
        </w:tc>
        <w:tc>
          <w:tcPr>
            <w:tcW w:w="519" w:type="pct"/>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239" w:type="pct"/>
            <w:shd w:val="clear" w:color="auto" w:fill="FFFFFF" w:themeFill="background1"/>
          </w:tcPr>
          <w:p w:rsidR="00042F67" w:rsidRPr="000545E1" w:rsidRDefault="00042F67" w:rsidP="001D3F7C">
            <w:pPr>
              <w:spacing w:before="60"/>
              <w:ind w:left="-26" w:right="-96"/>
              <w:rPr>
                <w:rFonts w:ascii="Sitka Text" w:hAnsi="Sitka Text" w:cs="Mongolian Baiti"/>
                <w:color w:val="auto"/>
              </w:rPr>
            </w:pPr>
            <w:r w:rsidRPr="000545E1">
              <w:rPr>
                <w:rFonts w:ascii="Sitka Text" w:hAnsi="Sitka Text" w:cs="Mongolian Baiti"/>
                <w:color w:val="auto"/>
              </w:rPr>
              <w:t>4.2.11</w:t>
            </w:r>
          </w:p>
        </w:tc>
        <w:tc>
          <w:tcPr>
            <w:tcW w:w="871" w:type="pct"/>
            <w:gridSpan w:val="2"/>
            <w:shd w:val="clear" w:color="auto" w:fill="FFFFFF" w:themeFill="background1"/>
          </w:tcPr>
          <w:p w:rsidR="00042F67" w:rsidRPr="000545E1" w:rsidRDefault="00042F67" w:rsidP="001D3F7C">
            <w:pPr>
              <w:spacing w:before="60"/>
              <w:rPr>
                <w:rFonts w:ascii="Sitka Text" w:hAnsi="Sitka Text" w:cs="Mongolian Baiti"/>
                <w:color w:val="auto"/>
              </w:rPr>
            </w:pPr>
            <w:r w:rsidRPr="000545E1">
              <w:rPr>
                <w:rFonts w:ascii="Sitka Text" w:eastAsia="Calibri" w:hAnsi="Sitka Text" w:cs="Arial"/>
                <w:color w:val="auto"/>
                <w:shd w:val="clear" w:color="auto" w:fill="FFFFFF"/>
              </w:rPr>
              <w:t>Izrada visokokvalitetne fiskalne transparentnost za organe vlasti</w:t>
            </w:r>
          </w:p>
        </w:tc>
        <w:tc>
          <w:tcPr>
            <w:tcW w:w="1476" w:type="pct"/>
            <w:gridSpan w:val="2"/>
            <w:shd w:val="clear" w:color="auto" w:fill="FFFFFF" w:themeFill="background1"/>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Pripremljen plan za jačanje budžetske transparentnosti u skladu sa međunarodnim i evropskim standardima </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Primijenjen pilot plan u najmanje 20 organa vlasti različitih grupa </w:t>
            </w:r>
          </w:p>
        </w:tc>
        <w:tc>
          <w:tcPr>
            <w:tcW w:w="490" w:type="pct"/>
            <w:gridSpan w:val="2"/>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AZLP</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MFSS</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Savjet za SPI</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organi vlasti</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NVO</w:t>
            </w:r>
          </w:p>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Akademska zajednica</w:t>
            </w:r>
          </w:p>
        </w:tc>
        <w:tc>
          <w:tcPr>
            <w:tcW w:w="491" w:type="pct"/>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 Q 2022</w:t>
            </w:r>
          </w:p>
        </w:tc>
        <w:tc>
          <w:tcPr>
            <w:tcW w:w="484" w:type="pct"/>
            <w:gridSpan w:val="2"/>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IV Q 2023</w:t>
            </w:r>
          </w:p>
        </w:tc>
        <w:tc>
          <w:tcPr>
            <w:tcW w:w="430" w:type="pct"/>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4.000 €</w:t>
            </w:r>
          </w:p>
        </w:tc>
        <w:tc>
          <w:tcPr>
            <w:tcW w:w="519" w:type="pct"/>
            <w:shd w:val="clear" w:color="auto" w:fill="FFFFFF" w:themeFill="background1"/>
            <w:vAlign w:val="center"/>
          </w:tcPr>
          <w:p w:rsidR="00042F67" w:rsidRPr="000545E1" w:rsidRDefault="00042F67" w:rsidP="001D3F7C">
            <w:pPr>
              <w:spacing w:before="60"/>
              <w:jc w:val="center"/>
              <w:rPr>
                <w:rFonts w:ascii="Sitka Text" w:hAnsi="Sitka Text" w:cs="Mongolian Baiti"/>
                <w:color w:val="auto"/>
              </w:rPr>
            </w:pPr>
            <w:r w:rsidRPr="000545E1">
              <w:rPr>
                <w:rFonts w:ascii="Sitka Text" w:hAnsi="Sitka Text" w:cs="Mongolian Baiti"/>
                <w:color w:val="auto"/>
              </w:rPr>
              <w:t>Budžet CG</w:t>
            </w:r>
          </w:p>
        </w:tc>
      </w:tr>
    </w:tbl>
    <w:p w:rsidR="00042F67" w:rsidRPr="000545E1" w:rsidRDefault="00042F67" w:rsidP="00042F67">
      <w:pPr>
        <w:spacing w:before="20" w:after="20" w:line="240" w:lineRule="auto"/>
        <w:rPr>
          <w:rFonts w:ascii="Sitka Text" w:hAnsi="Sitka Text" w:cs="Mongolian Baiti"/>
          <w:color w:val="auto"/>
          <w:sz w:val="24"/>
          <w:szCs w:val="24"/>
        </w:rPr>
      </w:pPr>
    </w:p>
    <w:p w:rsidR="00042F67" w:rsidRPr="000545E1" w:rsidRDefault="00042F67" w:rsidP="00042F67">
      <w:pPr>
        <w:spacing w:before="20" w:after="20" w:line="240" w:lineRule="auto"/>
        <w:rPr>
          <w:rFonts w:ascii="Sitka Text" w:hAnsi="Sitka Text" w:cs="Mongolian Baiti"/>
          <w:color w:val="auto"/>
          <w:sz w:val="24"/>
          <w:szCs w:val="24"/>
        </w:rPr>
      </w:pPr>
    </w:p>
    <w:tbl>
      <w:tblPr>
        <w:tblStyle w:val="TableGrid"/>
        <w:tblW w:w="5397" w:type="pct"/>
        <w:tblLook w:val="04A0" w:firstRow="1" w:lastRow="0" w:firstColumn="1" w:lastColumn="0" w:noHBand="0" w:noVBand="1"/>
      </w:tblPr>
      <w:tblGrid>
        <w:gridCol w:w="688"/>
        <w:gridCol w:w="2689"/>
        <w:gridCol w:w="86"/>
        <w:gridCol w:w="2634"/>
        <w:gridCol w:w="394"/>
        <w:gridCol w:w="1775"/>
        <w:gridCol w:w="394"/>
        <w:gridCol w:w="1041"/>
        <w:gridCol w:w="1510"/>
        <w:gridCol w:w="67"/>
        <w:gridCol w:w="1516"/>
        <w:gridCol w:w="1961"/>
      </w:tblGrid>
      <w:tr w:rsidR="00042F67" w:rsidRPr="000545E1" w:rsidTr="001D3F7C">
        <w:tc>
          <w:tcPr>
            <w:tcW w:w="1130" w:type="pct"/>
            <w:gridSpan w:val="2"/>
            <w:shd w:val="clear" w:color="auto" w:fill="DAF2F6"/>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OPERATIVNI CILJ 4.3</w:t>
            </w:r>
          </w:p>
        </w:tc>
        <w:tc>
          <w:tcPr>
            <w:tcW w:w="3870" w:type="pct"/>
            <w:gridSpan w:val="10"/>
            <w:shd w:val="clear" w:color="auto" w:fill="DAF2F6"/>
          </w:tcPr>
          <w:p w:rsidR="00042F67" w:rsidRPr="000545E1" w:rsidRDefault="00042F67" w:rsidP="001D3F7C">
            <w:pPr>
              <w:jc w:val="both"/>
              <w:rPr>
                <w:rFonts w:cs="Mongolian Baiti"/>
                <w:b/>
                <w:color w:val="auto"/>
                <w:sz w:val="24"/>
                <w:szCs w:val="24"/>
              </w:rPr>
            </w:pPr>
            <w:r w:rsidRPr="000545E1">
              <w:rPr>
                <w:rFonts w:ascii="Sitka Text" w:hAnsi="Sitka Text" w:cs="Mongolian Baiti"/>
                <w:b/>
                <w:color w:val="auto"/>
                <w:sz w:val="24"/>
                <w:szCs w:val="24"/>
              </w:rPr>
              <w:t xml:space="preserve">Unapređenje ponovne upotrebe informacija i povećanje dostupnosti otvorenih podataka  </w:t>
            </w:r>
          </w:p>
        </w:tc>
      </w:tr>
      <w:tr w:rsidR="00042F67" w:rsidRPr="000545E1" w:rsidTr="001D3F7C">
        <w:tc>
          <w:tcPr>
            <w:tcW w:w="2055" w:type="pct"/>
            <w:gridSpan w:val="4"/>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color w:val="auto"/>
                <w:sz w:val="22"/>
                <w:szCs w:val="22"/>
                <w:lang w:eastAsia="en-US"/>
              </w:rPr>
              <w:br w:type="page"/>
            </w:r>
            <w:r w:rsidRPr="000545E1">
              <w:rPr>
                <w:rFonts w:ascii="Sitka Text" w:hAnsi="Sitka Text" w:cs="Mongolian Baiti"/>
                <w:b/>
                <w:color w:val="auto"/>
              </w:rPr>
              <w:t>Indikator</w:t>
            </w:r>
          </w:p>
        </w:tc>
        <w:tc>
          <w:tcPr>
            <w:tcW w:w="873" w:type="pct"/>
            <w:gridSpan w:val="3"/>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Početna vrijednost</w:t>
            </w:r>
          </w:p>
        </w:tc>
        <w:tc>
          <w:tcPr>
            <w:tcW w:w="891" w:type="pct"/>
            <w:gridSpan w:val="3"/>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u 2024.</w:t>
            </w:r>
          </w:p>
        </w:tc>
        <w:tc>
          <w:tcPr>
            <w:tcW w:w="1182" w:type="pct"/>
            <w:gridSpan w:val="2"/>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u 2026.</w:t>
            </w:r>
          </w:p>
        </w:tc>
      </w:tr>
      <w:tr w:rsidR="00042F67" w:rsidRPr="000545E1" w:rsidTr="001D3F7C">
        <w:tc>
          <w:tcPr>
            <w:tcW w:w="2055" w:type="pct"/>
            <w:gridSpan w:val="4"/>
            <w:shd w:val="clear" w:color="auto" w:fill="DAF2F6"/>
          </w:tcPr>
          <w:p w:rsidR="00042F67" w:rsidRPr="000545E1" w:rsidRDefault="00042F67" w:rsidP="001D3F7C">
            <w:pPr>
              <w:spacing w:after="40"/>
              <w:jc w:val="both"/>
              <w:rPr>
                <w:rFonts w:ascii="Sitka Text" w:hAnsi="Sitka Text" w:cs="Mongolian Baiti"/>
                <w:b/>
                <w:color w:val="auto"/>
              </w:rPr>
            </w:pPr>
            <w:r w:rsidRPr="000545E1">
              <w:rPr>
                <w:rFonts w:ascii="Sitka Text" w:hAnsi="Sitka Text" w:cstheme="majorHAnsi"/>
                <w:color w:val="auto"/>
                <w:lang w:val="hr-HR"/>
              </w:rPr>
              <w:t xml:space="preserve">Broj data-setova na portalu otvorenih podataka </w:t>
            </w:r>
            <w:hyperlink r:id="rId134" w:history="1">
              <w:r w:rsidRPr="000545E1">
                <w:rPr>
                  <w:rFonts w:ascii="Sitka Text" w:hAnsi="Sitka Text" w:cstheme="majorHAnsi"/>
                  <w:color w:val="auto"/>
                  <w:u w:val="single"/>
                  <w:lang w:val="hr-HR"/>
                </w:rPr>
                <w:t>www.data.gov.me</w:t>
              </w:r>
            </w:hyperlink>
          </w:p>
        </w:tc>
        <w:tc>
          <w:tcPr>
            <w:tcW w:w="873" w:type="pct"/>
            <w:gridSpan w:val="3"/>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lang w:val="hr-HR"/>
              </w:rPr>
              <w:t>146 (2021)</w:t>
            </w:r>
          </w:p>
        </w:tc>
        <w:tc>
          <w:tcPr>
            <w:tcW w:w="891" w:type="pct"/>
            <w:gridSpan w:val="3"/>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lang w:val="hr-HR"/>
              </w:rPr>
              <w:t>500</w:t>
            </w:r>
          </w:p>
        </w:tc>
        <w:tc>
          <w:tcPr>
            <w:tcW w:w="1182" w:type="pct"/>
            <w:gridSpan w:val="2"/>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lang w:val="hr-HR"/>
              </w:rPr>
              <w:t>800</w:t>
            </w:r>
          </w:p>
        </w:tc>
      </w:tr>
      <w:tr w:rsidR="00042F67" w:rsidRPr="000545E1" w:rsidTr="001D3F7C">
        <w:tc>
          <w:tcPr>
            <w:tcW w:w="2055" w:type="pct"/>
            <w:gridSpan w:val="4"/>
            <w:shd w:val="clear" w:color="auto" w:fill="DAF2F6"/>
          </w:tcPr>
          <w:p w:rsidR="00042F67" w:rsidRPr="000545E1" w:rsidRDefault="00042F67" w:rsidP="001D3F7C">
            <w:pPr>
              <w:spacing w:after="40"/>
              <w:jc w:val="both"/>
              <w:rPr>
                <w:rFonts w:ascii="Sitka Text" w:hAnsi="Sitka Text" w:cs="Mongolian Baiti"/>
                <w:b/>
                <w:color w:val="auto"/>
              </w:rPr>
            </w:pPr>
            <w:r w:rsidRPr="000545E1">
              <w:rPr>
                <w:rFonts w:ascii="Sitka Text" w:hAnsi="Sitka Text" w:cstheme="majorHAnsi"/>
                <w:color w:val="auto"/>
                <w:lang w:val="hr-HR"/>
              </w:rPr>
              <w:t>Broj institucija</w:t>
            </w:r>
            <w:r w:rsidRPr="000545E1">
              <w:rPr>
                <w:rFonts w:ascii="Sitka Text" w:hAnsi="Sitka Text" w:cstheme="majorHAnsi"/>
                <w:color w:val="auto"/>
                <w:vertAlign w:val="superscript"/>
                <w:lang w:val="hr-HR"/>
              </w:rPr>
              <w:footnoteReference w:id="164"/>
            </w:r>
            <w:r w:rsidRPr="000545E1">
              <w:rPr>
                <w:rFonts w:ascii="Sitka Text" w:hAnsi="Sitka Text" w:cstheme="majorHAnsi"/>
                <w:color w:val="auto"/>
                <w:lang w:val="hr-HR"/>
              </w:rPr>
              <w:t xml:space="preserve"> koji objavljuju podatke na portalu otvorenih podataka </w:t>
            </w:r>
          </w:p>
        </w:tc>
        <w:tc>
          <w:tcPr>
            <w:tcW w:w="873" w:type="pct"/>
            <w:gridSpan w:val="3"/>
            <w:shd w:val="clear" w:color="auto" w:fill="DAF2F6"/>
          </w:tcPr>
          <w:p w:rsidR="00042F67" w:rsidRPr="000545E1" w:rsidRDefault="00042F67" w:rsidP="001D3F7C">
            <w:pPr>
              <w:spacing w:after="40"/>
              <w:rPr>
                <w:rFonts w:ascii="Sitka Text" w:hAnsi="Sitka Text" w:cs="Mongolian Baiti"/>
                <w:b/>
                <w:color w:val="auto"/>
                <w:highlight w:val="yellow"/>
              </w:rPr>
            </w:pPr>
            <w:r w:rsidRPr="000545E1">
              <w:rPr>
                <w:rFonts w:ascii="Sitka Text" w:hAnsi="Sitka Text" w:cstheme="majorHAnsi"/>
                <w:color w:val="auto"/>
                <w:lang w:val="hr-HR"/>
              </w:rPr>
              <w:t>1,5% institucija obveznika SPI</w:t>
            </w:r>
          </w:p>
        </w:tc>
        <w:tc>
          <w:tcPr>
            <w:tcW w:w="891" w:type="pct"/>
            <w:gridSpan w:val="3"/>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lang w:val="hr-HR"/>
              </w:rPr>
              <w:t xml:space="preserve">10% institucija obveznika SPI </w:t>
            </w:r>
          </w:p>
        </w:tc>
        <w:tc>
          <w:tcPr>
            <w:tcW w:w="1182" w:type="pct"/>
            <w:gridSpan w:val="2"/>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lang w:val="hr-HR"/>
              </w:rPr>
              <w:t>15% institucija obveznika SPI</w:t>
            </w:r>
          </w:p>
        </w:tc>
      </w:tr>
      <w:tr w:rsidR="00042F67" w:rsidRPr="000545E1" w:rsidTr="001D3F7C">
        <w:tc>
          <w:tcPr>
            <w:tcW w:w="2055" w:type="pct"/>
            <w:gridSpan w:val="4"/>
            <w:shd w:val="clear" w:color="auto" w:fill="DAF2F6"/>
          </w:tcPr>
          <w:p w:rsidR="00042F67" w:rsidRPr="000545E1" w:rsidRDefault="00042F67" w:rsidP="001D3F7C">
            <w:pPr>
              <w:spacing w:after="40"/>
              <w:jc w:val="both"/>
              <w:rPr>
                <w:rFonts w:ascii="Sitka Text" w:hAnsi="Sitka Text" w:cs="Mongolian Baiti"/>
                <w:b/>
                <w:color w:val="auto"/>
              </w:rPr>
            </w:pPr>
            <w:r w:rsidRPr="000545E1">
              <w:rPr>
                <w:rFonts w:ascii="Sitka Text" w:hAnsi="Sitka Text" w:cs="Mongolian Baiti"/>
                <w:color w:val="auto"/>
                <w:lang w:val="hr-HR"/>
              </w:rPr>
              <w:t xml:space="preserve">Broj objavljenih setova podataka velike vrijednosti sa API-jem na Portalu otvorenih podataka </w:t>
            </w:r>
          </w:p>
        </w:tc>
        <w:tc>
          <w:tcPr>
            <w:tcW w:w="873" w:type="pct"/>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lang w:val="hr-HR"/>
              </w:rPr>
              <w:t>podatak provjeriti sa e-upravom</w:t>
            </w:r>
          </w:p>
        </w:tc>
        <w:tc>
          <w:tcPr>
            <w:tcW w:w="891" w:type="pct"/>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lang w:val="hr-HR"/>
              </w:rPr>
              <w:t xml:space="preserve">Najmanje 10 </w:t>
            </w:r>
          </w:p>
        </w:tc>
        <w:tc>
          <w:tcPr>
            <w:tcW w:w="1182" w:type="pct"/>
            <w:gridSpan w:val="2"/>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lang w:val="hr-HR"/>
              </w:rPr>
              <w:t xml:space="preserve">Najmanje 20 </w:t>
            </w:r>
          </w:p>
        </w:tc>
      </w:tr>
      <w:tr w:rsidR="00042F67" w:rsidRPr="000545E1" w:rsidTr="001D3F7C">
        <w:tc>
          <w:tcPr>
            <w:tcW w:w="2055" w:type="pct"/>
            <w:gridSpan w:val="4"/>
            <w:shd w:val="clear" w:color="auto" w:fill="DAF2F6"/>
          </w:tcPr>
          <w:p w:rsidR="00042F67" w:rsidRPr="000545E1" w:rsidRDefault="00042F67" w:rsidP="001D3F7C">
            <w:pPr>
              <w:spacing w:after="40"/>
              <w:jc w:val="both"/>
              <w:rPr>
                <w:rFonts w:ascii="Sitka Text" w:hAnsi="Sitka Text" w:cs="Mongolian Baiti"/>
                <w:color w:val="auto"/>
                <w:lang w:val="hr-HR"/>
              </w:rPr>
            </w:pPr>
            <w:r w:rsidRPr="000545E1">
              <w:rPr>
                <w:rFonts w:ascii="Sitka Text" w:hAnsi="Sitka Text" w:cs="Mongolian Baiti"/>
                <w:color w:val="auto"/>
                <w:lang w:val="hr-HR"/>
              </w:rPr>
              <w:t xml:space="preserve">Udio organa vlasti koji proaktivno objavljuju informacije u skladu sa Zakonom o SPI </w:t>
            </w:r>
          </w:p>
        </w:tc>
        <w:tc>
          <w:tcPr>
            <w:tcW w:w="873" w:type="pct"/>
            <w:gridSpan w:val="3"/>
            <w:shd w:val="clear" w:color="auto" w:fill="DAF2F6"/>
          </w:tcPr>
          <w:p w:rsidR="00042F67" w:rsidRPr="000545E1" w:rsidRDefault="00042F67" w:rsidP="001D3F7C">
            <w:pPr>
              <w:spacing w:after="40"/>
              <w:rPr>
                <w:rFonts w:ascii="Sitka Text" w:hAnsi="Sitka Text" w:cs="Mongolian Baiti"/>
                <w:color w:val="auto"/>
                <w:lang w:val="hr-HR"/>
              </w:rPr>
            </w:pPr>
            <w:r w:rsidRPr="000545E1">
              <w:rPr>
                <w:rFonts w:ascii="Sitka Text" w:hAnsi="Sitka Text" w:cs="Mongolian Baiti"/>
                <w:color w:val="auto"/>
                <w:lang w:val="hr-HR"/>
              </w:rPr>
              <w:t>bez podataka</w:t>
            </w:r>
          </w:p>
        </w:tc>
        <w:tc>
          <w:tcPr>
            <w:tcW w:w="891" w:type="pct"/>
            <w:gridSpan w:val="3"/>
            <w:shd w:val="clear" w:color="auto" w:fill="DAF2F6"/>
          </w:tcPr>
          <w:p w:rsidR="00042F67" w:rsidRPr="000545E1" w:rsidRDefault="00042F67" w:rsidP="001D3F7C">
            <w:pPr>
              <w:spacing w:after="40"/>
              <w:rPr>
                <w:rFonts w:ascii="Sitka Text" w:hAnsi="Sitka Text" w:cs="Mongolian Baiti"/>
                <w:color w:val="auto"/>
                <w:lang w:val="hr-HR"/>
              </w:rPr>
            </w:pPr>
            <w:r w:rsidRPr="000545E1">
              <w:rPr>
                <w:rFonts w:ascii="Sitka Text" w:hAnsi="Sitka Text" w:cs="Mongolian Baiti"/>
                <w:color w:val="auto"/>
                <w:lang w:val="hr-HR"/>
              </w:rPr>
              <w:t xml:space="preserve">65% ministarstava i drugih (odabranih) organa uprave </w:t>
            </w:r>
          </w:p>
          <w:p w:rsidR="00042F67" w:rsidRPr="000545E1" w:rsidRDefault="00042F67" w:rsidP="001D3F7C">
            <w:pPr>
              <w:spacing w:after="40"/>
              <w:rPr>
                <w:rFonts w:ascii="Sitka Text" w:hAnsi="Sitka Text" w:cs="Mongolian Baiti"/>
                <w:color w:val="auto"/>
                <w:lang w:val="hr-HR"/>
              </w:rPr>
            </w:pPr>
            <w:r w:rsidRPr="000545E1">
              <w:rPr>
                <w:rFonts w:ascii="Sitka Text" w:hAnsi="Sitka Text" w:cs="Mongolian Baiti"/>
                <w:color w:val="auto"/>
                <w:lang w:val="hr-HR"/>
              </w:rPr>
              <w:t>65% lokalnih samouprava</w:t>
            </w:r>
          </w:p>
        </w:tc>
        <w:tc>
          <w:tcPr>
            <w:tcW w:w="1182" w:type="pct"/>
            <w:gridSpan w:val="2"/>
            <w:shd w:val="clear" w:color="auto" w:fill="DAF2F6"/>
          </w:tcPr>
          <w:p w:rsidR="00042F67" w:rsidRPr="000545E1" w:rsidRDefault="00042F67" w:rsidP="001D3F7C">
            <w:pPr>
              <w:spacing w:after="40"/>
              <w:rPr>
                <w:rFonts w:ascii="Sitka Text" w:hAnsi="Sitka Text" w:cs="Mongolian Baiti"/>
                <w:color w:val="auto"/>
                <w:lang w:val="hr-HR"/>
              </w:rPr>
            </w:pPr>
            <w:r w:rsidRPr="000545E1">
              <w:rPr>
                <w:rFonts w:ascii="Sitka Text" w:hAnsi="Sitka Text" w:cs="Mongolian Baiti"/>
                <w:color w:val="auto"/>
                <w:lang w:val="hr-HR"/>
              </w:rPr>
              <w:t xml:space="preserve">80% ministarstava i drugih organa uprave </w:t>
            </w:r>
          </w:p>
          <w:p w:rsidR="00042F67" w:rsidRPr="000545E1" w:rsidRDefault="00042F67" w:rsidP="001D3F7C">
            <w:pPr>
              <w:spacing w:after="40"/>
              <w:rPr>
                <w:rFonts w:ascii="Sitka Text" w:hAnsi="Sitka Text" w:cs="Mongolian Baiti"/>
                <w:color w:val="auto"/>
                <w:lang w:val="hr-HR"/>
              </w:rPr>
            </w:pPr>
            <w:r w:rsidRPr="000545E1">
              <w:rPr>
                <w:rFonts w:ascii="Sitka Text" w:hAnsi="Sitka Text" w:cs="Mongolian Baiti"/>
                <w:color w:val="auto"/>
                <w:lang w:val="hr-HR"/>
              </w:rPr>
              <w:t>80% lokalnih samouprava</w:t>
            </w:r>
          </w:p>
        </w:tc>
      </w:tr>
      <w:tr w:rsidR="00042F67" w:rsidRPr="000545E1" w:rsidTr="001D3F7C">
        <w:tc>
          <w:tcPr>
            <w:tcW w:w="1161" w:type="pct"/>
            <w:gridSpan w:val="3"/>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Aktivnosti</w:t>
            </w:r>
          </w:p>
        </w:tc>
        <w:tc>
          <w:tcPr>
            <w:tcW w:w="1029" w:type="pct"/>
            <w:gridSpan w:val="2"/>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Indikator rezultata</w:t>
            </w:r>
          </w:p>
        </w:tc>
        <w:tc>
          <w:tcPr>
            <w:tcW w:w="603" w:type="pct"/>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Nadležne institucije</w:t>
            </w:r>
          </w:p>
        </w:tc>
        <w:tc>
          <w:tcPr>
            <w:tcW w:w="489" w:type="pct"/>
            <w:gridSpan w:val="2"/>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Početak</w:t>
            </w:r>
          </w:p>
        </w:tc>
        <w:tc>
          <w:tcPr>
            <w:tcW w:w="513" w:type="pct"/>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Završetak</w:t>
            </w:r>
          </w:p>
        </w:tc>
        <w:tc>
          <w:tcPr>
            <w:tcW w:w="539" w:type="pct"/>
            <w:gridSpan w:val="2"/>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Sredstva</w:t>
            </w:r>
          </w:p>
        </w:tc>
        <w:tc>
          <w:tcPr>
            <w:tcW w:w="667" w:type="pct"/>
            <w:shd w:val="clear" w:color="auto" w:fill="DAF2F6"/>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Izvor finansiranja</w:t>
            </w:r>
          </w:p>
        </w:tc>
      </w:tr>
      <w:tr w:rsidR="00042F67" w:rsidRPr="000545E1" w:rsidTr="001D3F7C">
        <w:tc>
          <w:tcPr>
            <w:tcW w:w="217" w:type="pct"/>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4.3.1</w:t>
            </w:r>
          </w:p>
        </w:tc>
        <w:tc>
          <w:tcPr>
            <w:tcW w:w="943" w:type="pct"/>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Arial"/>
                <w:color w:val="auto"/>
              </w:rPr>
              <w:t xml:space="preserve">Predlog izmjene ZoSPI u dijelu koji se odnosi na ponovnu upotrebu informacija i otvorene podatke </w:t>
            </w:r>
          </w:p>
        </w:tc>
        <w:tc>
          <w:tcPr>
            <w:tcW w:w="1029" w:type="pct"/>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eastAsia="Times New Roman" w:hAnsi="Sitka Text" w:cs="Arial"/>
                <w:color w:val="auto"/>
              </w:rPr>
              <w:t xml:space="preserve">Analiza usklađivanja postojećih odredbi ZSPI sa evropskim standardima i Direktivom o otvorenim podacima s preporukama za poboljšanje </w:t>
            </w:r>
          </w:p>
        </w:tc>
        <w:tc>
          <w:tcPr>
            <w:tcW w:w="603" w:type="pct"/>
            <w:shd w:val="clear" w:color="auto" w:fill="auto"/>
            <w:vAlign w:val="center"/>
          </w:tcPr>
          <w:p w:rsidR="00042F67" w:rsidRPr="000545E1" w:rsidRDefault="00042F67" w:rsidP="001D3F7C">
            <w:pPr>
              <w:spacing w:before="20" w:after="20"/>
              <w:jc w:val="center"/>
              <w:rPr>
                <w:rFonts w:ascii="Sitka Text" w:hAnsi="Sitka Text" w:cs="Arial"/>
                <w:color w:val="auto"/>
              </w:rPr>
            </w:pPr>
            <w:r w:rsidRPr="000545E1">
              <w:rPr>
                <w:rFonts w:ascii="Sitka Text" w:hAnsi="Sitka Text" w:cs="Arial"/>
                <w:color w:val="auto"/>
              </w:rPr>
              <w:t>MJUDDM</w:t>
            </w:r>
          </w:p>
          <w:p w:rsidR="00042F67" w:rsidRPr="000545E1" w:rsidRDefault="00042F67" w:rsidP="001D3F7C">
            <w:pPr>
              <w:spacing w:before="20" w:after="20"/>
              <w:jc w:val="center"/>
              <w:rPr>
                <w:rFonts w:ascii="Sitka Text" w:hAnsi="Sitka Text" w:cs="Arial"/>
                <w:color w:val="auto"/>
              </w:rPr>
            </w:pPr>
            <w:r w:rsidRPr="000545E1">
              <w:rPr>
                <w:rFonts w:ascii="Sitka Text" w:hAnsi="Sitka Text" w:cs="Arial"/>
                <w:color w:val="auto"/>
              </w:rPr>
              <w:t>Savjet za otvorene podatke</w:t>
            </w:r>
          </w:p>
        </w:tc>
        <w:tc>
          <w:tcPr>
            <w:tcW w:w="489" w:type="pct"/>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Arial"/>
                <w:color w:val="auto"/>
              </w:rPr>
              <w:t>III Q 2023</w:t>
            </w:r>
          </w:p>
        </w:tc>
        <w:tc>
          <w:tcPr>
            <w:tcW w:w="513" w:type="pc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Arial"/>
                <w:color w:val="auto"/>
              </w:rPr>
              <w:t>II Q 2024</w:t>
            </w:r>
          </w:p>
        </w:tc>
        <w:tc>
          <w:tcPr>
            <w:tcW w:w="539" w:type="pct"/>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12.000 €</w:t>
            </w:r>
          </w:p>
        </w:tc>
        <w:tc>
          <w:tcPr>
            <w:tcW w:w="667" w:type="pc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217" w:type="pct"/>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4.3.2</w:t>
            </w:r>
          </w:p>
        </w:tc>
        <w:tc>
          <w:tcPr>
            <w:tcW w:w="943" w:type="pct"/>
            <w:gridSpan w:val="2"/>
            <w:shd w:val="clear" w:color="auto" w:fill="auto"/>
          </w:tcPr>
          <w:p w:rsidR="00042F67" w:rsidRPr="000545E1" w:rsidRDefault="00042F67" w:rsidP="001D3F7C">
            <w:pPr>
              <w:spacing w:before="20" w:after="20"/>
              <w:rPr>
                <w:rFonts w:ascii="Sitka Text" w:hAnsi="Sitka Text" w:cs="Mongolian Baiti"/>
                <w:color w:val="auto"/>
                <w:lang w:val="fr-FR"/>
              </w:rPr>
            </w:pPr>
            <w:r w:rsidRPr="000545E1">
              <w:rPr>
                <w:rFonts w:ascii="Sitka Text" w:hAnsi="Sitka Text" w:cs="Arial"/>
                <w:color w:val="auto"/>
              </w:rPr>
              <w:t xml:space="preserve">Unapređenje portala www.data.gov.me </w:t>
            </w:r>
          </w:p>
        </w:tc>
        <w:tc>
          <w:tcPr>
            <w:tcW w:w="1029" w:type="pct"/>
            <w:gridSpan w:val="2"/>
            <w:shd w:val="clear" w:color="auto" w:fill="auto"/>
          </w:tcPr>
          <w:p w:rsidR="00042F67" w:rsidRPr="000545E1" w:rsidRDefault="00042F67" w:rsidP="001D3F7C">
            <w:pPr>
              <w:spacing w:before="20" w:after="20"/>
              <w:rPr>
                <w:rFonts w:ascii="Sitka Text" w:eastAsia="Times New Roman" w:hAnsi="Sitka Text" w:cs="Arial"/>
                <w:color w:val="auto"/>
              </w:rPr>
            </w:pPr>
            <w:r w:rsidRPr="000545E1">
              <w:rPr>
                <w:rFonts w:ascii="Sitka Text" w:eastAsia="Times New Roman" w:hAnsi="Sitka Text" w:cs="Arial"/>
                <w:color w:val="auto"/>
              </w:rPr>
              <w:t xml:space="preserve">- Povećan broj ukupnih data </w:t>
            </w:r>
            <w:r w:rsidRPr="000545E1">
              <w:rPr>
                <w:rFonts w:ascii="Sitka Text" w:hAnsi="Sitka Text" w:cs="Arial"/>
                <w:color w:val="auto"/>
              </w:rPr>
              <w:t>setova</w:t>
            </w:r>
            <w:r w:rsidRPr="000545E1">
              <w:rPr>
                <w:rFonts w:ascii="Sitka Text" w:eastAsia="Times New Roman" w:hAnsi="Sitka Text" w:cs="Arial"/>
                <w:color w:val="auto"/>
              </w:rPr>
              <w:t xml:space="preserve"> (50%) i povećan broj dinamičkih data setova (50%)</w:t>
            </w:r>
          </w:p>
          <w:p w:rsidR="00042F67" w:rsidRPr="000545E1" w:rsidRDefault="00042F67" w:rsidP="001D3F7C">
            <w:pPr>
              <w:spacing w:before="20" w:after="20"/>
              <w:rPr>
                <w:rFonts w:ascii="Sitka Text" w:hAnsi="Sitka Text" w:cs="Mongolian Baiti"/>
                <w:color w:val="auto"/>
              </w:rPr>
            </w:pPr>
            <w:r w:rsidRPr="000545E1">
              <w:rPr>
                <w:rFonts w:ascii="Sitka Text" w:eastAsia="Times New Roman" w:hAnsi="Sitka Text" w:cs="Arial"/>
                <w:color w:val="auto"/>
              </w:rPr>
              <w:t xml:space="preserve">- Analiza potrebe za poboljšanjem funkcionalnosti portala </w:t>
            </w:r>
          </w:p>
        </w:tc>
        <w:tc>
          <w:tcPr>
            <w:tcW w:w="603" w:type="pct"/>
            <w:shd w:val="clear" w:color="auto" w:fill="auto"/>
            <w:vAlign w:val="center"/>
          </w:tcPr>
          <w:p w:rsidR="00042F67" w:rsidRPr="000545E1" w:rsidRDefault="00042F67" w:rsidP="001D3F7C">
            <w:pPr>
              <w:spacing w:before="20" w:after="20"/>
              <w:jc w:val="center"/>
              <w:rPr>
                <w:rFonts w:ascii="Sitka Text" w:hAnsi="Sitka Text" w:cs="Arial"/>
                <w:color w:val="auto"/>
              </w:rPr>
            </w:pPr>
            <w:r w:rsidRPr="000545E1">
              <w:rPr>
                <w:rFonts w:ascii="Sitka Text" w:hAnsi="Sitka Text" w:cs="Arial"/>
                <w:color w:val="auto"/>
              </w:rPr>
              <w:t>MJUDDM</w:t>
            </w:r>
          </w:p>
          <w:p w:rsidR="00042F67" w:rsidRPr="000545E1" w:rsidRDefault="00042F67" w:rsidP="001D3F7C">
            <w:pPr>
              <w:spacing w:before="20" w:after="20"/>
              <w:jc w:val="center"/>
              <w:rPr>
                <w:rFonts w:ascii="Sitka Text" w:hAnsi="Sitka Text" w:cs="Arial"/>
                <w:color w:val="auto"/>
              </w:rPr>
            </w:pPr>
            <w:r w:rsidRPr="000545E1">
              <w:rPr>
                <w:rFonts w:ascii="Sitka Text" w:hAnsi="Sitka Text" w:cs="Arial"/>
                <w:color w:val="auto"/>
              </w:rPr>
              <w:t>MONSTAT</w:t>
            </w:r>
          </w:p>
          <w:p w:rsidR="00042F67" w:rsidRPr="000545E1" w:rsidRDefault="00042F67" w:rsidP="001D3F7C">
            <w:pPr>
              <w:spacing w:before="20" w:after="20"/>
              <w:jc w:val="center"/>
              <w:rPr>
                <w:rFonts w:ascii="Sitka Text" w:hAnsi="Sitka Text" w:cs="Arial"/>
                <w:color w:val="auto"/>
              </w:rPr>
            </w:pPr>
            <w:r w:rsidRPr="000545E1">
              <w:rPr>
                <w:rFonts w:ascii="Sitka Text" w:hAnsi="Sitka Text" w:cs="Arial"/>
                <w:color w:val="auto"/>
              </w:rPr>
              <w:t>ZOCG</w:t>
            </w:r>
          </w:p>
          <w:p w:rsidR="00042F67" w:rsidRPr="000545E1" w:rsidRDefault="00042F67" w:rsidP="001D3F7C">
            <w:pPr>
              <w:spacing w:before="20" w:after="20"/>
              <w:jc w:val="center"/>
              <w:rPr>
                <w:rFonts w:ascii="Sitka Text" w:hAnsi="Sitka Text" w:cs="Arial"/>
                <w:color w:val="auto"/>
              </w:rPr>
            </w:pPr>
            <w:r w:rsidRPr="000545E1">
              <w:rPr>
                <w:rFonts w:ascii="Sitka Text" w:hAnsi="Sitka Text" w:cs="Arial"/>
                <w:color w:val="auto"/>
              </w:rPr>
              <w:t>JLS</w:t>
            </w:r>
          </w:p>
          <w:p w:rsidR="00042F67" w:rsidRPr="000545E1" w:rsidRDefault="00042F67" w:rsidP="001D3F7C">
            <w:pPr>
              <w:spacing w:before="20" w:after="20"/>
              <w:jc w:val="center"/>
              <w:rPr>
                <w:rFonts w:ascii="Sitka Text" w:hAnsi="Sitka Text" w:cs="Arial"/>
                <w:color w:val="auto"/>
              </w:rPr>
            </w:pPr>
            <w:r w:rsidRPr="000545E1">
              <w:rPr>
                <w:rFonts w:ascii="Sitka Text" w:hAnsi="Sitka Text" w:cs="Arial"/>
                <w:color w:val="auto"/>
              </w:rPr>
              <w:t>Organi obveznici Zakona o SPI</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Arial"/>
                <w:color w:val="auto"/>
              </w:rPr>
              <w:lastRenderedPageBreak/>
              <w:t>Savjet za otvorene podatke</w:t>
            </w:r>
          </w:p>
        </w:tc>
        <w:tc>
          <w:tcPr>
            <w:tcW w:w="489" w:type="pct"/>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Arial"/>
                <w:color w:val="auto"/>
              </w:rPr>
              <w:lastRenderedPageBreak/>
              <w:t>I Q 2022</w:t>
            </w:r>
          </w:p>
        </w:tc>
        <w:tc>
          <w:tcPr>
            <w:tcW w:w="513" w:type="pc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Arial"/>
                <w:color w:val="auto"/>
              </w:rPr>
              <w:t>IV Q 2023</w:t>
            </w:r>
          </w:p>
        </w:tc>
        <w:tc>
          <w:tcPr>
            <w:tcW w:w="539" w:type="pct"/>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67.000 €</w:t>
            </w:r>
          </w:p>
        </w:tc>
        <w:tc>
          <w:tcPr>
            <w:tcW w:w="667" w:type="pc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p w:rsidR="00042F67" w:rsidRPr="000545E1" w:rsidRDefault="00042F67" w:rsidP="001D3F7C">
            <w:pPr>
              <w:spacing w:before="20" w:after="20"/>
              <w:jc w:val="center"/>
              <w:rPr>
                <w:rFonts w:ascii="Sitka Text" w:hAnsi="Sitka Text" w:cs="Mongolian Baiti"/>
                <w:color w:val="auto"/>
              </w:rPr>
            </w:pPr>
          </w:p>
        </w:tc>
      </w:tr>
      <w:tr w:rsidR="00042F67" w:rsidRPr="000545E1" w:rsidTr="001D3F7C">
        <w:tc>
          <w:tcPr>
            <w:tcW w:w="217" w:type="pct"/>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4.3.3</w:t>
            </w:r>
          </w:p>
        </w:tc>
        <w:tc>
          <w:tcPr>
            <w:tcW w:w="943" w:type="pct"/>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eastAsia="Times New Roman" w:hAnsi="Sitka Text" w:cs="Arial"/>
                <w:color w:val="auto"/>
              </w:rPr>
              <w:t xml:space="preserve">Identifikacija i revizija već objavljenih setova podataka </w:t>
            </w:r>
          </w:p>
        </w:tc>
        <w:tc>
          <w:tcPr>
            <w:tcW w:w="1029" w:type="pct"/>
            <w:gridSpan w:val="2"/>
            <w:shd w:val="clear" w:color="auto" w:fill="auto"/>
          </w:tcPr>
          <w:p w:rsidR="00042F67" w:rsidRPr="000545E1" w:rsidRDefault="00042F67" w:rsidP="001D3F7C">
            <w:pPr>
              <w:spacing w:before="20" w:after="20"/>
              <w:rPr>
                <w:rFonts w:ascii="Sitka Text" w:hAnsi="Sitka Text" w:cs="Arial"/>
                <w:color w:val="auto"/>
              </w:rPr>
            </w:pPr>
            <w:r w:rsidRPr="000545E1">
              <w:rPr>
                <w:rFonts w:ascii="Sitka Text" w:hAnsi="Sitka Text" w:cs="Arial"/>
                <w:color w:val="auto"/>
              </w:rPr>
              <w:t xml:space="preserve">Ažurirani postojeći setovi – najmanje 75% datasetova na Portalu </w:t>
            </w:r>
          </w:p>
          <w:p w:rsidR="00042F67" w:rsidRPr="000545E1" w:rsidRDefault="00042F67" w:rsidP="001D3F7C">
            <w:pPr>
              <w:spacing w:before="20" w:after="20"/>
              <w:rPr>
                <w:rFonts w:ascii="Sitka Text" w:hAnsi="Sitka Text" w:cs="Mongolian Baiti"/>
                <w:color w:val="auto"/>
              </w:rPr>
            </w:pPr>
            <w:r w:rsidRPr="000545E1">
              <w:rPr>
                <w:rFonts w:ascii="Sitka Text" w:hAnsi="Sitka Text" w:cs="Arial"/>
                <w:color w:val="auto"/>
              </w:rPr>
              <w:t>- Pilot projekt u ministarstvima, odabranim organima uprave i odabranim lokalnim samoupravama za objavljivanje podataka u otvorenom formatu (najmanje 30 organa vlasti)</w:t>
            </w:r>
          </w:p>
        </w:tc>
        <w:tc>
          <w:tcPr>
            <w:tcW w:w="603" w:type="pct"/>
            <w:shd w:val="clear" w:color="auto" w:fill="auto"/>
            <w:vAlign w:val="center"/>
          </w:tcPr>
          <w:p w:rsidR="00042F67" w:rsidRPr="000545E1" w:rsidRDefault="00042F67" w:rsidP="001D3F7C">
            <w:pPr>
              <w:spacing w:before="20" w:after="20"/>
              <w:jc w:val="center"/>
              <w:rPr>
                <w:rFonts w:ascii="Sitka Text" w:hAnsi="Sitka Text" w:cs="Arial"/>
                <w:color w:val="auto"/>
              </w:rPr>
            </w:pPr>
            <w:r w:rsidRPr="000545E1">
              <w:rPr>
                <w:rFonts w:ascii="Sitka Text" w:hAnsi="Sitka Text" w:cs="Arial"/>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Organi obveznici Zakona o SPI</w:t>
            </w:r>
          </w:p>
        </w:tc>
        <w:tc>
          <w:tcPr>
            <w:tcW w:w="489" w:type="pct"/>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513" w:type="pc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539" w:type="pct"/>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37.000 €</w:t>
            </w:r>
          </w:p>
        </w:tc>
        <w:tc>
          <w:tcPr>
            <w:tcW w:w="667" w:type="pc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217" w:type="pct"/>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4.3.4</w:t>
            </w:r>
          </w:p>
        </w:tc>
        <w:tc>
          <w:tcPr>
            <w:tcW w:w="943" w:type="pct"/>
            <w:gridSpan w:val="2"/>
            <w:shd w:val="clear" w:color="auto" w:fill="auto"/>
          </w:tcPr>
          <w:p w:rsidR="00042F67" w:rsidRPr="000545E1" w:rsidRDefault="00042F67" w:rsidP="001D3F7C">
            <w:pPr>
              <w:spacing w:before="20" w:after="20"/>
              <w:rPr>
                <w:rFonts w:ascii="Sitka Text" w:eastAsia="Times New Roman" w:hAnsi="Sitka Text" w:cs="Arial"/>
                <w:color w:val="auto"/>
              </w:rPr>
            </w:pPr>
            <w:r w:rsidRPr="000545E1">
              <w:rPr>
                <w:rFonts w:ascii="Sitka Text" w:eastAsia="Times New Roman" w:hAnsi="Sitka Text" w:cs="Arial"/>
                <w:color w:val="auto"/>
              </w:rPr>
              <w:t>Identifikacija high value open data setova</w:t>
            </w:r>
            <w:r w:rsidRPr="000545E1">
              <w:rPr>
                <w:rStyle w:val="FootnoteReference"/>
                <w:rFonts w:ascii="Sitka Text" w:eastAsia="Times New Roman" w:hAnsi="Sitka Text" w:cs="Arial"/>
                <w:color w:val="auto"/>
              </w:rPr>
              <w:footnoteReference w:id="165"/>
            </w:r>
            <w:r w:rsidRPr="000545E1">
              <w:rPr>
                <w:rFonts w:ascii="Sitka Text" w:eastAsia="Times New Roman" w:hAnsi="Sitka Text" w:cs="Arial"/>
                <w:color w:val="auto"/>
              </w:rPr>
              <w:t>- pilot inicijative za ključne oblasti poput javnih finansija, geo lokacija, zdravstva, transport</w:t>
            </w:r>
          </w:p>
        </w:tc>
        <w:tc>
          <w:tcPr>
            <w:tcW w:w="1029" w:type="pct"/>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 Izrađena analiza o visokovrijednim setovima podataka uz preporuke </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Povećan broj high value open data setova (najmanje 10)</w:t>
            </w:r>
          </w:p>
        </w:tc>
        <w:tc>
          <w:tcPr>
            <w:tcW w:w="603" w:type="pc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MEP</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MZ</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MKI</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Savjet za otvorene podatke</w:t>
            </w:r>
          </w:p>
        </w:tc>
        <w:tc>
          <w:tcPr>
            <w:tcW w:w="489" w:type="pct"/>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513" w:type="pc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539" w:type="pct"/>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17.000 €</w:t>
            </w:r>
          </w:p>
        </w:tc>
        <w:tc>
          <w:tcPr>
            <w:tcW w:w="667" w:type="pc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217" w:type="pct"/>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4.3.5</w:t>
            </w:r>
          </w:p>
        </w:tc>
        <w:tc>
          <w:tcPr>
            <w:tcW w:w="943" w:type="pct"/>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eastAsia="Times New Roman" w:hAnsi="Sitka Text" w:cs="Arial"/>
                <w:color w:val="auto"/>
              </w:rPr>
              <w:t>Organizovanje kampanje u cilju podizanja svijesti javnosti i javne uprave o značaju otvorenih podataka i njihovoj vrijednosti</w:t>
            </w:r>
          </w:p>
        </w:tc>
        <w:tc>
          <w:tcPr>
            <w:tcW w:w="1029" w:type="pct"/>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 najmanje 2 promotivna događaja organizovana </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najmanje 6 obuka za službenike koji su imenovani za postavljanje data setova na portalu data.gov.me organizovane</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xml:space="preserve">- najmanje 2 </w:t>
            </w:r>
            <w:r w:rsidRPr="000545E1">
              <w:rPr>
                <w:rFonts w:ascii="Sitka Text" w:hAnsi="Sitka Text" w:cs="Mongolian Baiti"/>
                <w:i/>
                <w:color w:val="auto"/>
              </w:rPr>
              <w:t>Hackatona</w:t>
            </w:r>
            <w:r w:rsidRPr="000545E1">
              <w:rPr>
                <w:rFonts w:ascii="Sitka Text" w:hAnsi="Sitka Text" w:cs="Mongolian Baiti"/>
                <w:color w:val="auto"/>
              </w:rPr>
              <w:t xml:space="preserve"> povodom dana otvorenih podataka (Mart svake godine)</w:t>
            </w:r>
          </w:p>
        </w:tc>
        <w:tc>
          <w:tcPr>
            <w:tcW w:w="603" w:type="pc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NVO</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Akademska zajednica</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PKCG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Organi obveznici Zakona o SPI</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lastRenderedPageBreak/>
              <w:t>Savjet za otvorene podatke</w:t>
            </w:r>
          </w:p>
        </w:tc>
        <w:tc>
          <w:tcPr>
            <w:tcW w:w="489" w:type="pct"/>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lastRenderedPageBreak/>
              <w:t>III Q 2022</w:t>
            </w:r>
          </w:p>
        </w:tc>
        <w:tc>
          <w:tcPr>
            <w:tcW w:w="513" w:type="pc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539" w:type="pct"/>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62.000 €</w:t>
            </w:r>
          </w:p>
        </w:tc>
        <w:tc>
          <w:tcPr>
            <w:tcW w:w="667" w:type="pct"/>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217" w:type="pct"/>
          </w:tcPr>
          <w:p w:rsidR="00042F67" w:rsidRPr="00233016" w:rsidRDefault="00042F67" w:rsidP="001D3F7C">
            <w:pPr>
              <w:spacing w:before="20" w:after="20"/>
              <w:rPr>
                <w:rFonts w:ascii="Sitka Text" w:hAnsi="Sitka Text" w:cs="Mongolian Baiti"/>
                <w:color w:val="auto"/>
              </w:rPr>
            </w:pPr>
            <w:r w:rsidRPr="00233016">
              <w:rPr>
                <w:rFonts w:ascii="Sitka Text" w:hAnsi="Sitka Text" w:cs="Mongolian Baiti"/>
                <w:color w:val="auto"/>
              </w:rPr>
              <w:t>4.3.6</w:t>
            </w:r>
          </w:p>
        </w:tc>
        <w:tc>
          <w:tcPr>
            <w:tcW w:w="943" w:type="pct"/>
            <w:gridSpan w:val="2"/>
          </w:tcPr>
          <w:p w:rsidR="00042F67" w:rsidRPr="00233016" w:rsidRDefault="00042F67" w:rsidP="001D3F7C">
            <w:pPr>
              <w:spacing w:before="20" w:after="20"/>
              <w:rPr>
                <w:rFonts w:ascii="Sitka Text" w:hAnsi="Sitka Text" w:cs="Mongolian Baiti"/>
                <w:color w:val="auto"/>
              </w:rPr>
            </w:pPr>
            <w:r w:rsidRPr="00233016">
              <w:rPr>
                <w:rFonts w:ascii="Sitka Text" w:hAnsi="Sitka Text" w:cs="Mongolian Baiti"/>
                <w:color w:val="auto"/>
              </w:rPr>
              <w:t>Unapređenje dostupnosti podataka o rodnoj ravnopravnosti</w:t>
            </w:r>
          </w:p>
          <w:p w:rsidR="00042F67" w:rsidRPr="00233016" w:rsidRDefault="00042F67" w:rsidP="001D3F7C">
            <w:pPr>
              <w:spacing w:before="20" w:after="20"/>
              <w:rPr>
                <w:rFonts w:ascii="Sitka Text" w:hAnsi="Sitka Text" w:cs="Mongolian Baiti"/>
                <w:color w:val="auto"/>
              </w:rPr>
            </w:pPr>
          </w:p>
        </w:tc>
        <w:tc>
          <w:tcPr>
            <w:tcW w:w="1029" w:type="pct"/>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Razvijanje priručnika za primjenu GAP III evropskih standarda za objavljivanje podataka o rodnoj ravnopravnosti</w:t>
            </w:r>
          </w:p>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 Podizanje svijesti organa javne uprave o objavljivanju podataka o rodnoj ravnopravnosti na portalu otvorenih podataka</w:t>
            </w:r>
          </w:p>
        </w:tc>
        <w:tc>
          <w:tcPr>
            <w:tcW w:w="603" w:type="pct"/>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Svi organi javne uprave</w:t>
            </w:r>
          </w:p>
        </w:tc>
        <w:tc>
          <w:tcPr>
            <w:tcW w:w="489" w:type="pct"/>
            <w:gridSpan w:val="2"/>
            <w:vAlign w:val="center"/>
          </w:tcPr>
          <w:p w:rsidR="00042F67" w:rsidRPr="000545E1" w:rsidRDefault="00042F67" w:rsidP="001D3F7C">
            <w:pPr>
              <w:spacing w:before="20" w:after="20"/>
              <w:jc w:val="center"/>
              <w:rPr>
                <w:rFonts w:ascii="Sitka Text" w:hAnsi="Sitka Text" w:cs="Mongolian Baiti"/>
                <w:color w:val="auto"/>
                <w:highlight w:val="yellow"/>
              </w:rPr>
            </w:pPr>
          </w:p>
        </w:tc>
        <w:tc>
          <w:tcPr>
            <w:tcW w:w="513" w:type="pct"/>
            <w:vAlign w:val="center"/>
          </w:tcPr>
          <w:p w:rsidR="00042F67" w:rsidRPr="000545E1" w:rsidRDefault="00042F67" w:rsidP="001D3F7C">
            <w:pPr>
              <w:spacing w:before="20" w:after="20"/>
              <w:jc w:val="center"/>
              <w:rPr>
                <w:rFonts w:ascii="Sitka Text" w:hAnsi="Sitka Text" w:cs="Mongolian Baiti"/>
                <w:color w:val="auto"/>
                <w:highlight w:val="yellow"/>
              </w:rPr>
            </w:pPr>
          </w:p>
        </w:tc>
        <w:tc>
          <w:tcPr>
            <w:tcW w:w="539" w:type="pct"/>
            <w:gridSpan w:val="2"/>
            <w:vAlign w:val="center"/>
          </w:tcPr>
          <w:p w:rsidR="00042F67" w:rsidRPr="000545E1" w:rsidRDefault="00042F67" w:rsidP="001D3F7C">
            <w:pPr>
              <w:spacing w:before="20" w:after="20"/>
              <w:jc w:val="center"/>
              <w:rPr>
                <w:rFonts w:ascii="Sitka Text" w:hAnsi="Sitka Text" w:cs="Mongolian Baiti"/>
                <w:color w:val="auto"/>
                <w:highlight w:val="yellow"/>
              </w:rPr>
            </w:pPr>
          </w:p>
        </w:tc>
        <w:tc>
          <w:tcPr>
            <w:tcW w:w="667" w:type="pct"/>
            <w:vAlign w:val="center"/>
          </w:tcPr>
          <w:p w:rsidR="00042F67" w:rsidRPr="000545E1" w:rsidRDefault="00042F67" w:rsidP="001D3F7C">
            <w:pPr>
              <w:spacing w:before="20" w:after="20"/>
              <w:jc w:val="center"/>
              <w:rPr>
                <w:rFonts w:ascii="Sitka Text" w:hAnsi="Sitka Text" w:cs="Mongolian Baiti"/>
                <w:color w:val="auto"/>
                <w:highlight w:val="yellow"/>
              </w:rPr>
            </w:pPr>
          </w:p>
        </w:tc>
      </w:tr>
      <w:tr w:rsidR="00042F67" w:rsidRPr="000545E1" w:rsidTr="001D3F7C">
        <w:tc>
          <w:tcPr>
            <w:tcW w:w="217" w:type="pct"/>
            <w:shd w:val="clear" w:color="auto" w:fill="auto"/>
          </w:tcPr>
          <w:p w:rsidR="00042F67" w:rsidRPr="00233016" w:rsidRDefault="00042F67" w:rsidP="001D3F7C">
            <w:pPr>
              <w:spacing w:before="20" w:after="20"/>
              <w:rPr>
                <w:rFonts w:ascii="Sitka Text" w:hAnsi="Sitka Text" w:cs="Mongolian Baiti"/>
                <w:color w:val="auto"/>
              </w:rPr>
            </w:pPr>
            <w:r w:rsidRPr="00233016">
              <w:rPr>
                <w:rFonts w:ascii="Sitka Text" w:hAnsi="Sitka Text" w:cs="Mongolian Baiti"/>
                <w:color w:val="auto"/>
              </w:rPr>
              <w:t>4.3.7</w:t>
            </w:r>
          </w:p>
          <w:p w:rsidR="00042F67" w:rsidRPr="00233016" w:rsidRDefault="00042F67" w:rsidP="001D3F7C">
            <w:pPr>
              <w:spacing w:before="20" w:after="20"/>
              <w:rPr>
                <w:rFonts w:ascii="Sitka Text" w:hAnsi="Sitka Text" w:cs="Mongolian Baiti"/>
                <w:color w:val="auto"/>
              </w:rPr>
            </w:pPr>
          </w:p>
          <w:p w:rsidR="00042F67" w:rsidRPr="00233016" w:rsidRDefault="00042F67" w:rsidP="001D3F7C">
            <w:pPr>
              <w:spacing w:before="20" w:after="20"/>
              <w:rPr>
                <w:rFonts w:ascii="Sitka Text" w:hAnsi="Sitka Text" w:cs="Mongolian Baiti"/>
                <w:color w:val="auto"/>
              </w:rPr>
            </w:pPr>
          </w:p>
        </w:tc>
        <w:tc>
          <w:tcPr>
            <w:tcW w:w="943" w:type="pct"/>
            <w:gridSpan w:val="2"/>
            <w:shd w:val="clear" w:color="auto" w:fill="auto"/>
          </w:tcPr>
          <w:p w:rsidR="00042F67" w:rsidRPr="00233016" w:rsidRDefault="00042F67" w:rsidP="001D3F7C">
            <w:pPr>
              <w:spacing w:before="20" w:after="20"/>
              <w:rPr>
                <w:rFonts w:ascii="Sitka Text" w:hAnsi="Sitka Text" w:cs="Mongolian Baiti"/>
                <w:color w:val="auto"/>
              </w:rPr>
            </w:pPr>
            <w:r w:rsidRPr="00233016">
              <w:rPr>
                <w:rFonts w:ascii="Sitka Text" w:hAnsi="Sitka Text" w:cs="Mongolian Baiti"/>
                <w:color w:val="auto"/>
              </w:rPr>
              <w:t>Interoperabilnost podataka iz domena rodne ravnopravnosti</w:t>
            </w:r>
            <w:r w:rsidRPr="00233016">
              <w:rPr>
                <w:rFonts w:ascii="Sitka Text" w:hAnsi="Sitka Text" w:cs="Mongolian Baiti"/>
                <w:color w:val="auto"/>
              </w:rPr>
              <w:tab/>
            </w:r>
          </w:p>
        </w:tc>
        <w:tc>
          <w:tcPr>
            <w:tcW w:w="1029" w:type="pct"/>
            <w:gridSpan w:val="2"/>
          </w:tcPr>
          <w:p w:rsidR="00042F67" w:rsidRPr="000545E1" w:rsidRDefault="00042F67" w:rsidP="001D3F7C">
            <w:pPr>
              <w:spacing w:before="60"/>
              <w:rPr>
                <w:rFonts w:ascii="Sitka Text" w:hAnsi="Sitka Text" w:cs="Mongolian Baiti"/>
                <w:color w:val="auto"/>
              </w:rPr>
            </w:pPr>
            <w:r w:rsidRPr="000545E1">
              <w:rPr>
                <w:rFonts w:ascii="Sitka Text" w:hAnsi="Sitka Text" w:cs="Mongolian Baiti"/>
                <w:color w:val="auto"/>
              </w:rPr>
              <w:t>Interoperabilnost razvijenih registara postignuta u dijelu razmjene podataka o rodnoj ravnopravnosti</w:t>
            </w:r>
          </w:p>
        </w:tc>
        <w:tc>
          <w:tcPr>
            <w:tcW w:w="603" w:type="pct"/>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Organi javne uprave sa razvijenim registrima</w:t>
            </w:r>
          </w:p>
        </w:tc>
        <w:tc>
          <w:tcPr>
            <w:tcW w:w="489" w:type="pct"/>
            <w:gridSpan w:val="2"/>
          </w:tcPr>
          <w:p w:rsidR="00042F67" w:rsidRPr="000545E1" w:rsidRDefault="00042F67" w:rsidP="001D3F7C">
            <w:pPr>
              <w:spacing w:before="20" w:after="20"/>
              <w:rPr>
                <w:rFonts w:ascii="Sitka Text" w:hAnsi="Sitka Text" w:cs="Mongolian Baiti"/>
                <w:color w:val="auto"/>
                <w:highlight w:val="yellow"/>
              </w:rPr>
            </w:pPr>
          </w:p>
        </w:tc>
        <w:tc>
          <w:tcPr>
            <w:tcW w:w="513" w:type="pct"/>
          </w:tcPr>
          <w:p w:rsidR="00042F67" w:rsidRPr="000545E1" w:rsidRDefault="00042F67" w:rsidP="001D3F7C">
            <w:pPr>
              <w:spacing w:before="20" w:after="20"/>
              <w:rPr>
                <w:rFonts w:ascii="Sitka Text" w:hAnsi="Sitka Text" w:cs="Mongolian Baiti"/>
                <w:color w:val="auto"/>
                <w:highlight w:val="yellow"/>
              </w:rPr>
            </w:pPr>
          </w:p>
        </w:tc>
        <w:tc>
          <w:tcPr>
            <w:tcW w:w="539" w:type="pct"/>
            <w:gridSpan w:val="2"/>
          </w:tcPr>
          <w:p w:rsidR="00042F67" w:rsidRPr="000545E1" w:rsidRDefault="00042F67" w:rsidP="001D3F7C">
            <w:pPr>
              <w:spacing w:before="20" w:after="20"/>
              <w:rPr>
                <w:rFonts w:ascii="Sitka Text" w:hAnsi="Sitka Text" w:cs="Mongolian Baiti"/>
                <w:color w:val="auto"/>
                <w:highlight w:val="yellow"/>
              </w:rPr>
            </w:pPr>
          </w:p>
        </w:tc>
        <w:tc>
          <w:tcPr>
            <w:tcW w:w="667" w:type="pct"/>
          </w:tcPr>
          <w:p w:rsidR="00042F67" w:rsidRPr="000545E1" w:rsidRDefault="00042F67" w:rsidP="001D3F7C">
            <w:pPr>
              <w:spacing w:before="20" w:after="20"/>
              <w:rPr>
                <w:rFonts w:ascii="Sitka Text" w:hAnsi="Sitka Text" w:cs="Mongolian Baiti"/>
                <w:color w:val="auto"/>
                <w:highlight w:val="yellow"/>
              </w:rPr>
            </w:pPr>
          </w:p>
        </w:tc>
      </w:tr>
    </w:tbl>
    <w:p w:rsidR="00042F67" w:rsidRPr="000545E1" w:rsidRDefault="00042F67" w:rsidP="00042F67">
      <w:pPr>
        <w:spacing w:before="20" w:after="20" w:line="240" w:lineRule="auto"/>
        <w:rPr>
          <w:rFonts w:ascii="Sitka Text" w:hAnsi="Sitka Text" w:cs="Mongolian Baiti"/>
          <w:color w:val="auto"/>
          <w:sz w:val="24"/>
          <w:szCs w:val="24"/>
        </w:rPr>
      </w:pPr>
    </w:p>
    <w:p w:rsidR="00042F67" w:rsidRPr="000545E1" w:rsidRDefault="00042F67" w:rsidP="00042F67">
      <w:pPr>
        <w:spacing w:before="120" w:after="120" w:line="240" w:lineRule="auto"/>
        <w:rPr>
          <w:rFonts w:ascii="Sitka Text" w:hAnsi="Sitka Text" w:cs="Mongolian Baiti"/>
          <w:b/>
          <w:color w:val="auto"/>
          <w:sz w:val="28"/>
          <w:szCs w:val="28"/>
        </w:rPr>
      </w:pPr>
    </w:p>
    <w:p w:rsidR="00042F67" w:rsidRPr="000545E1" w:rsidRDefault="00042F67" w:rsidP="00042F67">
      <w:pPr>
        <w:spacing w:before="120" w:after="120" w:line="240" w:lineRule="auto"/>
        <w:rPr>
          <w:rFonts w:ascii="Sitka Text" w:hAnsi="Sitka Text" w:cs="Mongolian Baiti"/>
          <w:b/>
          <w:color w:val="auto"/>
          <w:sz w:val="28"/>
          <w:szCs w:val="28"/>
        </w:rPr>
      </w:pPr>
    </w:p>
    <w:p w:rsidR="00042F67" w:rsidRPr="000545E1" w:rsidRDefault="00042F67" w:rsidP="00042F67">
      <w:pPr>
        <w:spacing w:before="120" w:after="120" w:line="240" w:lineRule="auto"/>
        <w:rPr>
          <w:rFonts w:ascii="Sitka Text" w:hAnsi="Sitka Text" w:cs="Mongolian Baiti"/>
          <w:b/>
          <w:color w:val="auto"/>
          <w:sz w:val="28"/>
          <w:szCs w:val="28"/>
        </w:rPr>
      </w:pPr>
    </w:p>
    <w:p w:rsidR="00042F67" w:rsidRPr="000545E1" w:rsidRDefault="00042F67" w:rsidP="00042F67">
      <w:pPr>
        <w:spacing w:before="120" w:after="120" w:line="240" w:lineRule="auto"/>
        <w:rPr>
          <w:rFonts w:ascii="Sitka Text" w:hAnsi="Sitka Text" w:cs="Mongolian Baiti"/>
          <w:b/>
          <w:color w:val="auto"/>
          <w:sz w:val="28"/>
          <w:szCs w:val="28"/>
        </w:rPr>
      </w:pPr>
    </w:p>
    <w:p w:rsidR="00042F67" w:rsidRPr="000545E1" w:rsidRDefault="00042F67" w:rsidP="00042F67">
      <w:pPr>
        <w:spacing w:before="120" w:after="120" w:line="240" w:lineRule="auto"/>
        <w:rPr>
          <w:rFonts w:ascii="Sitka Text" w:hAnsi="Sitka Text" w:cs="Mongolian Baiti"/>
          <w:b/>
          <w:color w:val="auto"/>
          <w:sz w:val="28"/>
          <w:szCs w:val="28"/>
        </w:rPr>
      </w:pPr>
    </w:p>
    <w:p w:rsidR="00042F67" w:rsidRPr="000545E1" w:rsidRDefault="00042F67" w:rsidP="00042F67">
      <w:pPr>
        <w:spacing w:before="120" w:after="120" w:line="240" w:lineRule="auto"/>
        <w:rPr>
          <w:rFonts w:ascii="Sitka Text" w:hAnsi="Sitka Text" w:cs="Mongolian Baiti"/>
          <w:b/>
          <w:color w:val="auto"/>
          <w:sz w:val="28"/>
          <w:szCs w:val="28"/>
        </w:rPr>
      </w:pPr>
    </w:p>
    <w:p w:rsidR="00042F67" w:rsidRPr="000545E1" w:rsidRDefault="00042F67" w:rsidP="00042F67">
      <w:pPr>
        <w:spacing w:before="120" w:after="120" w:line="240" w:lineRule="auto"/>
        <w:rPr>
          <w:rFonts w:ascii="Sitka Text" w:hAnsi="Sitka Text" w:cs="Mongolian Baiti"/>
          <w:b/>
          <w:color w:val="auto"/>
          <w:sz w:val="28"/>
          <w:szCs w:val="28"/>
        </w:rPr>
      </w:pPr>
    </w:p>
    <w:p w:rsidR="00042F67" w:rsidRPr="000545E1" w:rsidRDefault="00042F67" w:rsidP="00042F67">
      <w:pPr>
        <w:spacing w:before="120" w:after="120" w:line="240" w:lineRule="auto"/>
        <w:rPr>
          <w:rFonts w:ascii="Sitka Text" w:hAnsi="Sitka Text" w:cs="Mongolian Baiti"/>
          <w:b/>
          <w:color w:val="auto"/>
          <w:sz w:val="28"/>
          <w:szCs w:val="28"/>
        </w:rPr>
      </w:pPr>
    </w:p>
    <w:p w:rsidR="00042F67" w:rsidRPr="000545E1" w:rsidRDefault="00042F67" w:rsidP="00042F67">
      <w:pPr>
        <w:spacing w:before="120" w:after="120" w:line="240" w:lineRule="auto"/>
        <w:rPr>
          <w:rFonts w:ascii="Sitka Text" w:hAnsi="Sitka Text" w:cs="Mongolian Baiti"/>
          <w:b/>
          <w:color w:val="auto"/>
          <w:sz w:val="28"/>
          <w:szCs w:val="28"/>
        </w:rPr>
      </w:pPr>
    </w:p>
    <w:p w:rsidR="00042F67" w:rsidRPr="000545E1" w:rsidRDefault="00042F67" w:rsidP="00042F67">
      <w:pPr>
        <w:spacing w:before="120" w:after="120" w:line="240" w:lineRule="auto"/>
        <w:rPr>
          <w:rFonts w:ascii="Sitka Text" w:hAnsi="Sitka Text" w:cs="Mongolian Baiti"/>
          <w:b/>
          <w:color w:val="auto"/>
          <w:sz w:val="28"/>
          <w:szCs w:val="28"/>
        </w:rPr>
      </w:pPr>
    </w:p>
    <w:p w:rsidR="00042F67" w:rsidRPr="000545E1" w:rsidRDefault="00042F67" w:rsidP="00042F67">
      <w:pPr>
        <w:spacing w:before="120" w:after="120" w:line="240" w:lineRule="auto"/>
        <w:rPr>
          <w:rFonts w:ascii="Sitka Text" w:hAnsi="Sitka Text" w:cs="Mongolian Baiti"/>
          <w:b/>
          <w:color w:val="auto"/>
          <w:sz w:val="28"/>
          <w:szCs w:val="28"/>
        </w:rPr>
      </w:pPr>
    </w:p>
    <w:p w:rsidR="00042F67" w:rsidRPr="000545E1" w:rsidRDefault="00042F67" w:rsidP="00042F67">
      <w:pPr>
        <w:spacing w:before="120" w:after="120" w:line="240" w:lineRule="auto"/>
        <w:rPr>
          <w:rFonts w:ascii="Sitka Text" w:hAnsi="Sitka Text" w:cs="Mongolian Baiti"/>
          <w:b/>
          <w:color w:val="auto"/>
          <w:sz w:val="28"/>
          <w:szCs w:val="28"/>
        </w:rPr>
      </w:pPr>
    </w:p>
    <w:p w:rsidR="00042F67" w:rsidRPr="000545E1" w:rsidRDefault="00042F67" w:rsidP="00042F67">
      <w:pPr>
        <w:spacing w:before="120" w:after="120" w:line="240" w:lineRule="auto"/>
        <w:jc w:val="center"/>
        <w:rPr>
          <w:rFonts w:ascii="Sitka Text" w:hAnsi="Sitka Text" w:cs="Mongolian Baiti"/>
          <w:b/>
          <w:color w:val="auto"/>
          <w:sz w:val="28"/>
          <w:szCs w:val="28"/>
        </w:rPr>
      </w:pPr>
      <w:r w:rsidRPr="000545E1">
        <w:rPr>
          <w:rFonts w:ascii="Sitka Text" w:hAnsi="Sitka Text" w:cs="Mongolian Baiti"/>
          <w:b/>
          <w:color w:val="auto"/>
          <w:sz w:val="28"/>
          <w:szCs w:val="28"/>
        </w:rPr>
        <w:t>STRATEŠKI CILJ V</w:t>
      </w:r>
    </w:p>
    <w:p w:rsidR="00042F67" w:rsidRPr="000545E1" w:rsidRDefault="00042F67" w:rsidP="00042F67">
      <w:pPr>
        <w:spacing w:before="120" w:after="120" w:line="240" w:lineRule="auto"/>
        <w:jc w:val="center"/>
        <w:rPr>
          <w:rFonts w:ascii="Sitka Text" w:hAnsi="Sitka Text" w:cs="Mongolian Baiti"/>
          <w:b/>
          <w:color w:val="auto"/>
          <w:sz w:val="28"/>
          <w:szCs w:val="28"/>
        </w:rPr>
      </w:pPr>
      <w:r w:rsidRPr="000545E1">
        <w:rPr>
          <w:rFonts w:ascii="Sitka Text" w:hAnsi="Sitka Text" w:cs="Mongolian Baiti"/>
          <w:b/>
          <w:color w:val="auto"/>
          <w:sz w:val="28"/>
          <w:szCs w:val="28"/>
        </w:rPr>
        <w:t>PLANIRANJE POLITIKA SA GRA</w:t>
      </w:r>
      <w:r w:rsidRPr="000545E1">
        <w:rPr>
          <w:rFonts w:ascii="Sitka Text" w:hAnsi="Sitka Text" w:cs="Calibri"/>
          <w:b/>
          <w:color w:val="auto"/>
          <w:sz w:val="28"/>
          <w:szCs w:val="28"/>
        </w:rPr>
        <w:t>Đ</w:t>
      </w:r>
      <w:r w:rsidRPr="000545E1">
        <w:rPr>
          <w:rFonts w:ascii="Sitka Text" w:hAnsi="Sitka Text" w:cs="Mongolian Baiti"/>
          <w:b/>
          <w:color w:val="auto"/>
          <w:sz w:val="28"/>
          <w:szCs w:val="28"/>
        </w:rPr>
        <w:t>ANIMA I ZA GRA</w:t>
      </w:r>
      <w:r w:rsidRPr="000545E1">
        <w:rPr>
          <w:rFonts w:ascii="Sitka Text" w:hAnsi="Sitka Text" w:cs="Calibri"/>
          <w:b/>
          <w:color w:val="auto"/>
          <w:sz w:val="28"/>
          <w:szCs w:val="28"/>
        </w:rPr>
        <w:t>Đ</w:t>
      </w:r>
      <w:r w:rsidRPr="000545E1">
        <w:rPr>
          <w:rFonts w:ascii="Sitka Text" w:hAnsi="Sitka Text" w:cs="Mongolian Baiti"/>
          <w:b/>
          <w:color w:val="auto"/>
          <w:sz w:val="28"/>
          <w:szCs w:val="28"/>
        </w:rPr>
        <w:t>ANE</w:t>
      </w:r>
    </w:p>
    <w:tbl>
      <w:tblPr>
        <w:tblStyle w:val="TableGrid"/>
        <w:tblW w:w="14665" w:type="dxa"/>
        <w:tblLayout w:type="fixed"/>
        <w:tblLook w:val="04A0" w:firstRow="1" w:lastRow="0" w:firstColumn="1" w:lastColumn="0" w:noHBand="0" w:noVBand="1"/>
      </w:tblPr>
      <w:tblGrid>
        <w:gridCol w:w="625"/>
        <w:gridCol w:w="2520"/>
        <w:gridCol w:w="2738"/>
        <w:gridCol w:w="1222"/>
        <w:gridCol w:w="1350"/>
        <w:gridCol w:w="332"/>
        <w:gridCol w:w="1018"/>
        <w:gridCol w:w="1350"/>
        <w:gridCol w:w="345"/>
        <w:gridCol w:w="1185"/>
        <w:gridCol w:w="1980"/>
      </w:tblGrid>
      <w:tr w:rsidR="00042F67" w:rsidRPr="000545E1" w:rsidTr="001D3F7C">
        <w:tc>
          <w:tcPr>
            <w:tcW w:w="3145" w:type="dxa"/>
            <w:gridSpan w:val="2"/>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OPERATIVNI CILJ 5.1</w:t>
            </w:r>
          </w:p>
        </w:tc>
        <w:tc>
          <w:tcPr>
            <w:tcW w:w="11520" w:type="dxa"/>
            <w:gridSpan w:val="9"/>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Jačanje sistema planiranja zasnovanog na podacima koje vodi ka kreiranju održivih politika i postizanju prioriteta Vlade</w:t>
            </w:r>
          </w:p>
        </w:tc>
      </w:tr>
      <w:tr w:rsidR="00042F67" w:rsidRPr="000545E1" w:rsidTr="001D3F7C">
        <w:tc>
          <w:tcPr>
            <w:tcW w:w="5883" w:type="dxa"/>
            <w:gridSpan w:val="3"/>
            <w:shd w:val="clear" w:color="auto" w:fill="DAF2F6"/>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Indikator</w:t>
            </w:r>
          </w:p>
        </w:tc>
        <w:tc>
          <w:tcPr>
            <w:tcW w:w="2904" w:type="dxa"/>
            <w:gridSpan w:val="3"/>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Početna vrijednost</w:t>
            </w:r>
          </w:p>
        </w:tc>
        <w:tc>
          <w:tcPr>
            <w:tcW w:w="2713" w:type="dxa"/>
            <w:gridSpan w:val="3"/>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do 2024.</w:t>
            </w:r>
          </w:p>
        </w:tc>
        <w:tc>
          <w:tcPr>
            <w:tcW w:w="3165" w:type="dxa"/>
            <w:gridSpan w:val="2"/>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u 2026.</w:t>
            </w:r>
          </w:p>
        </w:tc>
      </w:tr>
      <w:tr w:rsidR="00042F67" w:rsidRPr="000545E1" w:rsidTr="001D3F7C">
        <w:tc>
          <w:tcPr>
            <w:tcW w:w="5883" w:type="dxa"/>
            <w:gridSpan w:val="3"/>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 novih strateških dokumenata koji su potpuno usklađeni sa metodološkim kriterijumima</w:t>
            </w:r>
          </w:p>
        </w:tc>
        <w:tc>
          <w:tcPr>
            <w:tcW w:w="2904" w:type="dxa"/>
            <w:gridSpan w:val="3"/>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69% (2020)</w:t>
            </w:r>
          </w:p>
        </w:tc>
        <w:tc>
          <w:tcPr>
            <w:tcW w:w="2713" w:type="dxa"/>
            <w:gridSpan w:val="3"/>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75%</w:t>
            </w:r>
          </w:p>
        </w:tc>
        <w:tc>
          <w:tcPr>
            <w:tcW w:w="3165" w:type="dxa"/>
            <w:gridSpan w:val="2"/>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80%</w:t>
            </w:r>
          </w:p>
        </w:tc>
      </w:tr>
      <w:tr w:rsidR="00042F67" w:rsidRPr="000545E1" w:rsidTr="001D3F7C">
        <w:tc>
          <w:tcPr>
            <w:tcW w:w="5883" w:type="dxa"/>
            <w:gridSpan w:val="3"/>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 izvještaja o sprovođenju strateških dokumenata koji su potpuno usklađeni sa metodologijom</w:t>
            </w:r>
            <w:r w:rsidRPr="000545E1">
              <w:rPr>
                <w:rStyle w:val="FootnoteReference"/>
                <w:rFonts w:ascii="Sitka Text" w:hAnsi="Sitka Text" w:cstheme="majorHAnsi"/>
                <w:color w:val="auto"/>
              </w:rPr>
              <w:footnoteReference w:id="166"/>
            </w:r>
          </w:p>
        </w:tc>
        <w:tc>
          <w:tcPr>
            <w:tcW w:w="2904" w:type="dxa"/>
            <w:gridSpan w:val="3"/>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52% (2020)</w:t>
            </w:r>
          </w:p>
        </w:tc>
        <w:tc>
          <w:tcPr>
            <w:tcW w:w="2713" w:type="dxa"/>
            <w:gridSpan w:val="3"/>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65%</w:t>
            </w:r>
          </w:p>
        </w:tc>
        <w:tc>
          <w:tcPr>
            <w:tcW w:w="3165" w:type="dxa"/>
            <w:gridSpan w:val="2"/>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70%</w:t>
            </w:r>
          </w:p>
        </w:tc>
      </w:tr>
      <w:tr w:rsidR="00042F67" w:rsidRPr="000545E1" w:rsidTr="001D3F7C">
        <w:tc>
          <w:tcPr>
            <w:tcW w:w="5883"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olor w:val="auto"/>
              </w:rPr>
              <w:t>Procenat ministarstava čiji godišnji programi rada sadrže jasno postavljene ciljeve i indikatore</w:t>
            </w:r>
          </w:p>
        </w:tc>
        <w:tc>
          <w:tcPr>
            <w:tcW w:w="2904"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olor w:val="auto"/>
              </w:rPr>
              <w:t>18% (2019)</w:t>
            </w:r>
          </w:p>
        </w:tc>
        <w:tc>
          <w:tcPr>
            <w:tcW w:w="2713"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olor w:val="auto"/>
              </w:rPr>
              <w:t>80%</w:t>
            </w:r>
          </w:p>
        </w:tc>
        <w:tc>
          <w:tcPr>
            <w:tcW w:w="3165" w:type="dxa"/>
            <w:gridSpan w:val="2"/>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olor w:val="auto"/>
              </w:rPr>
              <w:t>100%</w:t>
            </w:r>
          </w:p>
        </w:tc>
      </w:tr>
      <w:tr w:rsidR="00042F67" w:rsidRPr="000545E1" w:rsidTr="001D3F7C">
        <w:tc>
          <w:tcPr>
            <w:tcW w:w="5883"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olor w:val="auto"/>
              </w:rPr>
              <w:t>Procenat ministarstava u čijim godišnjim izvještajima  o  radu je predstavljen rezultat na osnovu postavljenih ciljeva i indikatora</w:t>
            </w:r>
          </w:p>
        </w:tc>
        <w:tc>
          <w:tcPr>
            <w:tcW w:w="2904"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olor w:val="auto"/>
              </w:rPr>
              <w:t>0%</w:t>
            </w:r>
          </w:p>
        </w:tc>
        <w:tc>
          <w:tcPr>
            <w:tcW w:w="2713"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olor w:val="auto"/>
              </w:rPr>
              <w:t>80%</w:t>
            </w:r>
          </w:p>
        </w:tc>
        <w:tc>
          <w:tcPr>
            <w:tcW w:w="3165" w:type="dxa"/>
            <w:gridSpan w:val="2"/>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olor w:val="auto"/>
              </w:rPr>
              <w:t>100%</w:t>
            </w:r>
          </w:p>
        </w:tc>
      </w:tr>
      <w:tr w:rsidR="00042F67" w:rsidRPr="000545E1" w:rsidTr="001D3F7C">
        <w:tc>
          <w:tcPr>
            <w:tcW w:w="5883"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olor w:val="auto"/>
              </w:rPr>
              <w:t>Procenat starteških dokumenata za koje je izrađena evaluacija</w:t>
            </w:r>
          </w:p>
        </w:tc>
        <w:tc>
          <w:tcPr>
            <w:tcW w:w="2904"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olor w:val="auto"/>
              </w:rPr>
              <w:t>Polazna vrijednost će biti utvrđena nakon izrađene analize (2022)</w:t>
            </w:r>
          </w:p>
        </w:tc>
        <w:tc>
          <w:tcPr>
            <w:tcW w:w="2713"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olor w:val="auto"/>
              </w:rPr>
              <w:t>40%</w:t>
            </w:r>
          </w:p>
        </w:tc>
        <w:tc>
          <w:tcPr>
            <w:tcW w:w="3165" w:type="dxa"/>
            <w:gridSpan w:val="2"/>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olor w:val="auto"/>
              </w:rPr>
              <w:t>60%</w:t>
            </w:r>
          </w:p>
        </w:tc>
      </w:tr>
      <w:tr w:rsidR="00042F67" w:rsidRPr="000545E1" w:rsidTr="001D3F7C">
        <w:tc>
          <w:tcPr>
            <w:tcW w:w="5883"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theme="majorHAnsi"/>
                <w:color w:val="auto"/>
              </w:rPr>
              <w:t>% zakona/strateških dokumenata koji se u potpunosti priprema u skladu sa Checklist o javnim konsultacijama u organima u skladu sa Uredbom o organizaciji i načinu rada državne uprave</w:t>
            </w:r>
          </w:p>
        </w:tc>
        <w:tc>
          <w:tcPr>
            <w:tcW w:w="2904"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theme="majorHAnsi"/>
                <w:color w:val="auto"/>
              </w:rPr>
              <w:t>1 zakon</w:t>
            </w:r>
          </w:p>
        </w:tc>
        <w:tc>
          <w:tcPr>
            <w:tcW w:w="2713"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theme="majorHAnsi"/>
                <w:color w:val="auto"/>
              </w:rPr>
              <w:t>80%</w:t>
            </w:r>
          </w:p>
        </w:tc>
        <w:tc>
          <w:tcPr>
            <w:tcW w:w="3165" w:type="dxa"/>
            <w:gridSpan w:val="2"/>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theme="majorHAnsi"/>
                <w:color w:val="auto"/>
              </w:rPr>
              <w:t>100%</w:t>
            </w:r>
          </w:p>
        </w:tc>
      </w:tr>
      <w:tr w:rsidR="00042F67" w:rsidRPr="000545E1" w:rsidTr="001D3F7C">
        <w:tc>
          <w:tcPr>
            <w:tcW w:w="3145"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Aktivnosti</w:t>
            </w:r>
          </w:p>
        </w:tc>
        <w:tc>
          <w:tcPr>
            <w:tcW w:w="3960"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Indikator rezultata</w:t>
            </w:r>
          </w:p>
        </w:tc>
        <w:tc>
          <w:tcPr>
            <w:tcW w:w="1350"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Nadležne institucije</w:t>
            </w:r>
          </w:p>
        </w:tc>
        <w:tc>
          <w:tcPr>
            <w:tcW w:w="1350"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Početak</w:t>
            </w:r>
          </w:p>
        </w:tc>
        <w:tc>
          <w:tcPr>
            <w:tcW w:w="1350"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 xml:space="preserve">Završetak </w:t>
            </w:r>
          </w:p>
        </w:tc>
        <w:tc>
          <w:tcPr>
            <w:tcW w:w="1530"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Sredstva za realizaciju</w:t>
            </w:r>
          </w:p>
        </w:tc>
        <w:tc>
          <w:tcPr>
            <w:tcW w:w="1980"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Izvor finansiranja</w:t>
            </w:r>
          </w:p>
        </w:tc>
      </w:tr>
      <w:tr w:rsidR="00042F67" w:rsidRPr="000545E1" w:rsidTr="001D3F7C">
        <w:tc>
          <w:tcPr>
            <w:tcW w:w="625" w:type="dxa"/>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lastRenderedPageBreak/>
              <w:t>5.1.1</w:t>
            </w:r>
          </w:p>
        </w:tc>
        <w:tc>
          <w:tcPr>
            <w:tcW w:w="252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Izrada dopunjene metodologije za srednjoročno planiranje rada Vlade i ministarstava</w:t>
            </w:r>
          </w:p>
        </w:tc>
        <w:tc>
          <w:tcPr>
            <w:tcW w:w="3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Izrađena i usvojena Metodologija kojom se definišu smjernice za srednjoročno planiranje rada Vlade i ministarstava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Održana zvanična promocija metodologije</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Održana prezentacije metodologije (minimum 1 u resornim ministarstvima)</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SIGMA</w:t>
            </w:r>
          </w:p>
        </w:tc>
        <w:tc>
          <w:tcPr>
            <w:tcW w:w="135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53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9.800  €</w:t>
            </w:r>
          </w:p>
        </w:tc>
        <w:tc>
          <w:tcPr>
            <w:tcW w:w="198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625" w:type="dxa"/>
            <w:shd w:val="clear" w:color="auto" w:fill="FFFFFF" w:themeFill="background1"/>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5.1.2</w:t>
            </w:r>
          </w:p>
        </w:tc>
        <w:tc>
          <w:tcPr>
            <w:tcW w:w="2520" w:type="dxa"/>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Održavanje obuka za izradu srednjoročnih programa rada ministarstava i izrada za ciklus 2023-2025.</w:t>
            </w:r>
          </w:p>
        </w:tc>
        <w:tc>
          <w:tcPr>
            <w:tcW w:w="3960" w:type="dxa"/>
            <w:gridSpan w:val="2"/>
            <w:shd w:val="clear" w:color="auto" w:fill="FFFFFF" w:themeFill="background1"/>
          </w:tcPr>
          <w:p w:rsidR="00042F67" w:rsidRPr="000545E1" w:rsidRDefault="00042F67" w:rsidP="00B43D4E">
            <w:pPr>
              <w:pStyle w:val="ListParagraph"/>
              <w:numPr>
                <w:ilvl w:val="0"/>
                <w:numId w:val="47"/>
              </w:numPr>
              <w:spacing w:before="20" w:after="20"/>
              <w:ind w:left="174" w:hanging="174"/>
              <w:rPr>
                <w:rFonts w:ascii="Sitka Text" w:hAnsi="Sitka Text" w:cs="Mongolian Baiti"/>
                <w:color w:val="auto"/>
              </w:rPr>
            </w:pPr>
            <w:r w:rsidRPr="000545E1">
              <w:rPr>
                <w:rFonts w:ascii="Sitka Text" w:hAnsi="Sitka Text" w:cs="Mongolian Baiti"/>
                <w:color w:val="auto"/>
              </w:rPr>
              <w:t>Broj obuka za izradu SPRM za državne službenike koji rade na ovim poslovima</w:t>
            </w:r>
          </w:p>
          <w:p w:rsidR="00042F67" w:rsidRPr="000545E1" w:rsidRDefault="00042F67" w:rsidP="00B43D4E">
            <w:pPr>
              <w:pStyle w:val="ListParagraph"/>
              <w:numPr>
                <w:ilvl w:val="0"/>
                <w:numId w:val="47"/>
              </w:numPr>
              <w:spacing w:before="20" w:after="20"/>
              <w:ind w:left="174" w:hanging="174"/>
              <w:rPr>
                <w:rFonts w:ascii="Sitka Text" w:hAnsi="Sitka Text" w:cs="Mongolian Baiti"/>
                <w:color w:val="auto"/>
              </w:rPr>
            </w:pPr>
            <w:r w:rsidRPr="000545E1">
              <w:rPr>
                <w:rFonts w:ascii="Sitka Text" w:hAnsi="Sitka Text" w:cs="Mongolian Baiti"/>
                <w:color w:val="auto"/>
              </w:rPr>
              <w:t>Izrađeni SPRM 2023-2025. u svim ministarstvima</w:t>
            </w:r>
          </w:p>
        </w:tc>
        <w:tc>
          <w:tcPr>
            <w:tcW w:w="1350"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SIGMA</w:t>
            </w:r>
          </w:p>
          <w:p w:rsidR="00042F67" w:rsidRPr="000545E1" w:rsidRDefault="00042F67" w:rsidP="001D3F7C">
            <w:pPr>
              <w:spacing w:before="20" w:after="20"/>
              <w:jc w:val="center"/>
              <w:rPr>
                <w:rFonts w:ascii="Sitka Text" w:hAnsi="Sitka Text" w:cs="Mongolian Baiti"/>
                <w:color w:val="auto"/>
              </w:rPr>
            </w:pPr>
          </w:p>
        </w:tc>
        <w:tc>
          <w:tcPr>
            <w:tcW w:w="1350"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50"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530"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6.850  €</w:t>
            </w:r>
          </w:p>
        </w:tc>
        <w:tc>
          <w:tcPr>
            <w:tcW w:w="1980"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625" w:type="dxa"/>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5.1.3</w:t>
            </w:r>
          </w:p>
        </w:tc>
        <w:tc>
          <w:tcPr>
            <w:tcW w:w="252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Revidiranje Programa obrazovanja za strateško planiranje u dijelu tema i obuhvata</w:t>
            </w:r>
          </w:p>
          <w:p w:rsidR="00042F67" w:rsidRPr="000545E1" w:rsidRDefault="00042F67" w:rsidP="001D3F7C">
            <w:pPr>
              <w:spacing w:before="20" w:after="20"/>
              <w:rPr>
                <w:rFonts w:ascii="Sitka Text" w:hAnsi="Sitka Text" w:cs="Mongolian Baiti"/>
                <w:color w:val="auto"/>
              </w:rPr>
            </w:pPr>
          </w:p>
        </w:tc>
        <w:tc>
          <w:tcPr>
            <w:tcW w:w="3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Revidirana sadržina Programa obrazovanja za strateško planiranje, kojim su obuhvaćene teme orodnjavanja, procjene uticaja na životnu sredinu i proširen obuhvat na službenike drugih državnih institucija i lokalne samouprave </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MPLJMP</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MEPPU</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JLS</w:t>
            </w:r>
          </w:p>
        </w:tc>
        <w:tc>
          <w:tcPr>
            <w:tcW w:w="135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53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5.200  €</w:t>
            </w:r>
          </w:p>
        </w:tc>
        <w:tc>
          <w:tcPr>
            <w:tcW w:w="198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625" w:type="dxa"/>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5.1.4</w:t>
            </w:r>
          </w:p>
        </w:tc>
        <w:tc>
          <w:tcPr>
            <w:tcW w:w="252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Organizovanje obuke u okviru inoviranog Programa</w:t>
            </w:r>
          </w:p>
        </w:tc>
        <w:tc>
          <w:tcPr>
            <w:tcW w:w="3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Broj realizovanih ciklusa programa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Broj obučenih polaznika i polaznica (centralni i lokalni nivo) koji su uspješno završili Program</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p>
        </w:tc>
        <w:tc>
          <w:tcPr>
            <w:tcW w:w="135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53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37.700 €</w:t>
            </w:r>
          </w:p>
        </w:tc>
        <w:tc>
          <w:tcPr>
            <w:tcW w:w="198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625" w:type="dxa"/>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5.1.5</w:t>
            </w:r>
          </w:p>
        </w:tc>
        <w:tc>
          <w:tcPr>
            <w:tcW w:w="252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Izrada analize o mehanizmima saradnje s istraživačima i proizvođačima zvanične statistike</w:t>
            </w:r>
          </w:p>
        </w:tc>
        <w:tc>
          <w:tcPr>
            <w:tcW w:w="3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Izrađena analiza i identifikovani mehanizmi za uspostavljanje sistemske saradnje između istraživača i državne uprave</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tc>
        <w:tc>
          <w:tcPr>
            <w:tcW w:w="135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53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3.600  €</w:t>
            </w:r>
          </w:p>
        </w:tc>
        <w:tc>
          <w:tcPr>
            <w:tcW w:w="198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625" w:type="dxa"/>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5.1.6</w:t>
            </w:r>
          </w:p>
        </w:tc>
        <w:tc>
          <w:tcPr>
            <w:tcW w:w="252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Pilotiranje izabranih mehanizama za saradnju s istraživačima za zajedničko kreiranje politika i korišćenje </w:t>
            </w:r>
            <w:r w:rsidRPr="000545E1">
              <w:rPr>
                <w:rFonts w:ascii="Sitka Text" w:hAnsi="Sitka Text" w:cs="Mongolian Baiti"/>
                <w:color w:val="auto"/>
              </w:rPr>
              <w:lastRenderedPageBreak/>
              <w:t>podataka za izradu javnih politika</w:t>
            </w:r>
          </w:p>
        </w:tc>
        <w:tc>
          <w:tcPr>
            <w:tcW w:w="3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lastRenderedPageBreak/>
              <w:t>- Broj strateških dokumenata u kojima su integrisani nalazi naučnih istraživanja</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tc>
        <w:tc>
          <w:tcPr>
            <w:tcW w:w="135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53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5 940  €</w:t>
            </w:r>
          </w:p>
        </w:tc>
        <w:tc>
          <w:tcPr>
            <w:tcW w:w="198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625" w:type="dxa"/>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5.1.7</w:t>
            </w:r>
          </w:p>
        </w:tc>
        <w:tc>
          <w:tcPr>
            <w:tcW w:w="252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Izrada smjernica za integrisanje nalaza istraživanja i zvanične statistike u novi ciklus planiranja politika</w:t>
            </w:r>
          </w:p>
        </w:tc>
        <w:tc>
          <w:tcPr>
            <w:tcW w:w="3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Izrađene smjernice za korišćenje istraživačkih nalaza u kreiranju politika</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 u saradnji s MONSTAT (inovativni hab)</w:t>
            </w:r>
          </w:p>
        </w:tc>
        <w:tc>
          <w:tcPr>
            <w:tcW w:w="135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53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1 620  €</w:t>
            </w:r>
          </w:p>
        </w:tc>
        <w:tc>
          <w:tcPr>
            <w:tcW w:w="198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625" w:type="dxa"/>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5.1.8</w:t>
            </w:r>
          </w:p>
        </w:tc>
        <w:tc>
          <w:tcPr>
            <w:tcW w:w="252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Izrada analize o sprovođenju evaluacija za strateška dokumenta</w:t>
            </w:r>
          </w:p>
        </w:tc>
        <w:tc>
          <w:tcPr>
            <w:tcW w:w="3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Izrađena analiza s informacijama o sprovođenju evaluacija za strateška dokumenta i preporukama za unapređenje stanja</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tc>
        <w:tc>
          <w:tcPr>
            <w:tcW w:w="135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53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2 420  €</w:t>
            </w:r>
          </w:p>
        </w:tc>
        <w:tc>
          <w:tcPr>
            <w:tcW w:w="198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625" w:type="dxa"/>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5.1.9</w:t>
            </w:r>
          </w:p>
        </w:tc>
        <w:tc>
          <w:tcPr>
            <w:tcW w:w="252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Priprema priručnika za izradu evaluacija i integrisanja nalaza evaluacije i izvještavanja u novi ciklus planiranja politika</w:t>
            </w:r>
          </w:p>
        </w:tc>
        <w:tc>
          <w:tcPr>
            <w:tcW w:w="3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Pripremljen priručnik</w:t>
            </w:r>
          </w:p>
          <w:p w:rsidR="00042F67" w:rsidRPr="000545E1" w:rsidRDefault="00042F67" w:rsidP="001D3F7C">
            <w:pPr>
              <w:spacing w:before="20" w:after="20"/>
              <w:rPr>
                <w:rFonts w:ascii="Sitka Text" w:hAnsi="Sitka Text" w:cs="Mongolian Baiti"/>
                <w:color w:val="auto"/>
              </w:rPr>
            </w:pPr>
          </w:p>
          <w:p w:rsidR="00042F67" w:rsidRPr="000545E1" w:rsidRDefault="00042F67" w:rsidP="001D3F7C">
            <w:pPr>
              <w:spacing w:before="20" w:after="20"/>
              <w:rPr>
                <w:rFonts w:ascii="Sitka Text" w:hAnsi="Sitka Text" w:cs="Mongolian Baiti"/>
                <w:color w:val="auto"/>
              </w:rPr>
            </w:pP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tc>
        <w:tc>
          <w:tcPr>
            <w:tcW w:w="135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53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7 000  €</w:t>
            </w:r>
          </w:p>
        </w:tc>
        <w:tc>
          <w:tcPr>
            <w:tcW w:w="198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625" w:type="dxa"/>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5.1.10</w:t>
            </w:r>
          </w:p>
        </w:tc>
        <w:tc>
          <w:tcPr>
            <w:tcW w:w="252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Izrada digitalnih sadržaja (video materijal, kratke priče) o  procesu planiranja javnih politika</w:t>
            </w:r>
          </w:p>
        </w:tc>
        <w:tc>
          <w:tcPr>
            <w:tcW w:w="3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Izrađeni digitalni sadržaji dostupni na sajtu </w:t>
            </w:r>
            <w:hyperlink r:id="rId135" w:history="1">
              <w:r w:rsidRPr="000545E1">
                <w:rPr>
                  <w:rStyle w:val="Hyperlink"/>
                  <w:rFonts w:ascii="Sitka Text" w:hAnsi="Sitka Text" w:cs="Mongolian Baiti"/>
                  <w:color w:val="auto"/>
                </w:rPr>
                <w:t>www.javnepolitike.me</w:t>
              </w:r>
            </w:hyperlink>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tc>
        <w:tc>
          <w:tcPr>
            <w:tcW w:w="135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53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6.150 €</w:t>
            </w:r>
          </w:p>
        </w:tc>
        <w:tc>
          <w:tcPr>
            <w:tcW w:w="198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625" w:type="dxa"/>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5.1.11</w:t>
            </w:r>
          </w:p>
        </w:tc>
        <w:tc>
          <w:tcPr>
            <w:tcW w:w="252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Izrada liste standardnih troškova za izradu strategija</w:t>
            </w:r>
          </w:p>
        </w:tc>
        <w:tc>
          <w:tcPr>
            <w:tcW w:w="3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Izrađena lista standardnih troškova</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tc>
        <w:tc>
          <w:tcPr>
            <w:tcW w:w="135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53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2.400 €</w:t>
            </w:r>
          </w:p>
        </w:tc>
        <w:tc>
          <w:tcPr>
            <w:tcW w:w="198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625" w:type="dxa"/>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5.1.12</w:t>
            </w:r>
          </w:p>
        </w:tc>
        <w:tc>
          <w:tcPr>
            <w:tcW w:w="252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Definisanje liste nacionalnih indikatora uspjeha po sektorima politika koji se redovno proizvode i prate</w:t>
            </w:r>
          </w:p>
        </w:tc>
        <w:tc>
          <w:tcPr>
            <w:tcW w:w="3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Definisana lista nacionalnih indikatora uspjeha, uvezani s IPA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Broj indikatora uspjeha koji se redovno proizvode i prate</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Broj indikatora uspjeha koji su usaglašeni sa IPA indikatorima</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KEI</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MONSTAT</w:t>
            </w:r>
          </w:p>
        </w:tc>
        <w:tc>
          <w:tcPr>
            <w:tcW w:w="135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153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1.000 €</w:t>
            </w:r>
          </w:p>
        </w:tc>
        <w:tc>
          <w:tcPr>
            <w:tcW w:w="198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625" w:type="dxa"/>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5.1.13</w:t>
            </w:r>
          </w:p>
        </w:tc>
        <w:tc>
          <w:tcPr>
            <w:tcW w:w="252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Izrada metodologije za integrisano strateško planiranje</w:t>
            </w:r>
          </w:p>
        </w:tc>
        <w:tc>
          <w:tcPr>
            <w:tcW w:w="3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Izrađena metodologija za integrisano strateško planiranje kojom se uvezuju procesi planiranja politika i budžeta</w:t>
            </w:r>
          </w:p>
          <w:p w:rsidR="00042F67" w:rsidRPr="000545E1" w:rsidRDefault="00042F67" w:rsidP="001D3F7C">
            <w:pPr>
              <w:spacing w:before="20" w:after="20"/>
              <w:rPr>
                <w:rFonts w:ascii="Sitka Text" w:hAnsi="Sitka Text" w:cs="Mongolian Baiti"/>
                <w:color w:val="auto"/>
              </w:rPr>
            </w:pP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lastRenderedPageBreak/>
              <w:t>GSV</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lastRenderedPageBreak/>
              <w:t>KEI</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SIGMA</w:t>
            </w:r>
          </w:p>
        </w:tc>
        <w:tc>
          <w:tcPr>
            <w:tcW w:w="135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lastRenderedPageBreak/>
              <w:t>II Q 2022</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53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12.550  €</w:t>
            </w:r>
          </w:p>
        </w:tc>
        <w:tc>
          <w:tcPr>
            <w:tcW w:w="198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625" w:type="dxa"/>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5.1.14</w:t>
            </w:r>
          </w:p>
        </w:tc>
        <w:tc>
          <w:tcPr>
            <w:tcW w:w="252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Unapređenje metodologije planiranja poltika, izrade i praćenja sprovođenja strateških dokumenata u dijelu orodnjavanja </w:t>
            </w:r>
          </w:p>
        </w:tc>
        <w:tc>
          <w:tcPr>
            <w:tcW w:w="3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Metodologija unaprijeđena u odnosu uticaja strateških dokumenata na rodnu ravnopravnost</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tc>
        <w:tc>
          <w:tcPr>
            <w:tcW w:w="135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2023</w:t>
            </w:r>
          </w:p>
        </w:tc>
        <w:tc>
          <w:tcPr>
            <w:tcW w:w="153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7.500  €</w:t>
            </w:r>
          </w:p>
        </w:tc>
        <w:tc>
          <w:tcPr>
            <w:tcW w:w="198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Donatroska sredstva</w:t>
            </w:r>
          </w:p>
        </w:tc>
      </w:tr>
      <w:tr w:rsidR="00042F67" w:rsidRPr="000545E1" w:rsidTr="001D3F7C">
        <w:tc>
          <w:tcPr>
            <w:tcW w:w="625" w:type="dxa"/>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5.1.15</w:t>
            </w:r>
          </w:p>
        </w:tc>
        <w:tc>
          <w:tcPr>
            <w:tcW w:w="252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Izrada analize IT sistema za strateško planiranje (MESPH), praćenje i izvještavanje (ISPI), programski i srednjoročni budžet</w:t>
            </w:r>
          </w:p>
        </w:tc>
        <w:tc>
          <w:tcPr>
            <w:tcW w:w="3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Izrađena analiza postojećih IT sistema s definisanjem opcija za uvezivanje</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tc>
        <w:tc>
          <w:tcPr>
            <w:tcW w:w="135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53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5.400  €</w:t>
            </w:r>
          </w:p>
        </w:tc>
        <w:tc>
          <w:tcPr>
            <w:tcW w:w="198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Donatroska sredstva</w:t>
            </w:r>
          </w:p>
        </w:tc>
      </w:tr>
      <w:tr w:rsidR="00042F67" w:rsidRPr="000545E1" w:rsidTr="001D3F7C">
        <w:tc>
          <w:tcPr>
            <w:tcW w:w="625" w:type="dxa"/>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5.1.16</w:t>
            </w:r>
          </w:p>
        </w:tc>
        <w:tc>
          <w:tcPr>
            <w:tcW w:w="252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Izrada analize zakonodavnog okvira za strateško planiranje</w:t>
            </w:r>
          </w:p>
        </w:tc>
        <w:tc>
          <w:tcPr>
            <w:tcW w:w="3960"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Urađena analiza mogućnosti unaprjeđenja normativnog okvira za strateško planiranje</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tc>
        <w:tc>
          <w:tcPr>
            <w:tcW w:w="135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35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2023</w:t>
            </w:r>
          </w:p>
        </w:tc>
        <w:tc>
          <w:tcPr>
            <w:tcW w:w="1530"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4.600  €</w:t>
            </w:r>
          </w:p>
        </w:tc>
        <w:tc>
          <w:tcPr>
            <w:tcW w:w="1980"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Donatroska sredstva</w:t>
            </w:r>
          </w:p>
        </w:tc>
      </w:tr>
      <w:tr w:rsidR="00042F67" w:rsidRPr="000545E1" w:rsidTr="001D3F7C">
        <w:tc>
          <w:tcPr>
            <w:tcW w:w="625" w:type="dxa"/>
            <w:shd w:val="clear" w:color="auto" w:fill="FFFFFF" w:themeFill="background1"/>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5.1.17</w:t>
            </w:r>
          </w:p>
        </w:tc>
        <w:tc>
          <w:tcPr>
            <w:tcW w:w="2520" w:type="dxa"/>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Održavanje obuka za službenike koji rade na pripremi zakona i strategija o </w:t>
            </w:r>
            <w:r w:rsidRPr="000545E1">
              <w:rPr>
                <w:rFonts w:ascii="Sitka Text" w:hAnsi="Sitka Text" w:cs="Arial"/>
                <w:color w:val="auto"/>
                <w:shd w:val="clear" w:color="auto" w:fill="FFFFFF"/>
              </w:rPr>
              <w:t>standardima sprovođenja javnih konsultacija u procesu pripreme zakona i strategija</w:t>
            </w:r>
          </w:p>
        </w:tc>
        <w:tc>
          <w:tcPr>
            <w:tcW w:w="3960" w:type="dxa"/>
            <w:gridSpan w:val="2"/>
            <w:shd w:val="clear" w:color="auto" w:fill="FFFFFF" w:themeFill="background1"/>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Namjanje 80 službenika obučeno</w:t>
            </w:r>
          </w:p>
          <w:p w:rsidR="00042F67" w:rsidRPr="000545E1" w:rsidRDefault="00042F67" w:rsidP="001D3F7C">
            <w:pPr>
              <w:spacing w:before="20" w:after="20"/>
              <w:rPr>
                <w:rFonts w:ascii="Sitka Text" w:hAnsi="Sitka Text" w:cs="Mongolian Baiti"/>
                <w:color w:val="auto"/>
              </w:rPr>
            </w:pPr>
          </w:p>
        </w:tc>
        <w:tc>
          <w:tcPr>
            <w:tcW w:w="1350"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p>
        </w:tc>
        <w:tc>
          <w:tcPr>
            <w:tcW w:w="1350"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50"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2024</w:t>
            </w:r>
          </w:p>
        </w:tc>
        <w:tc>
          <w:tcPr>
            <w:tcW w:w="1530" w:type="dxa"/>
            <w:gridSpan w:val="2"/>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17.000 €</w:t>
            </w:r>
          </w:p>
        </w:tc>
        <w:tc>
          <w:tcPr>
            <w:tcW w:w="1980" w:type="dxa"/>
            <w:shd w:val="clear" w:color="auto" w:fill="FFFFFF" w:themeFill="background1"/>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625" w:type="dxa"/>
            <w:shd w:val="clear" w:color="auto" w:fill="auto"/>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5.1.18</w:t>
            </w:r>
          </w:p>
        </w:tc>
        <w:tc>
          <w:tcPr>
            <w:tcW w:w="2520"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Unaprijediti izvještaj o primjeni Uredbe o izboru predstavnika nevladninih organizacija</w:t>
            </w:r>
          </w:p>
        </w:tc>
        <w:tc>
          <w:tcPr>
            <w:tcW w:w="3960"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Izmijenjena struktura izvještaja sa unaprijeđenim statističkim podacima i dodavanjem informacija o zadovoljstvu učesnika u radnim grupama, godišnja evaluacija procesa održanih javnih konsultacija </w:t>
            </w:r>
          </w:p>
        </w:tc>
        <w:tc>
          <w:tcPr>
            <w:tcW w:w="135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p w:rsidR="00042F67" w:rsidRPr="000545E1" w:rsidRDefault="00042F67" w:rsidP="001D3F7C">
            <w:pPr>
              <w:spacing w:before="20" w:after="20"/>
              <w:jc w:val="center"/>
              <w:rPr>
                <w:rFonts w:ascii="Sitka Text" w:hAnsi="Sitka Text" w:cs="Mongolian Baiti"/>
                <w:color w:val="auto"/>
              </w:rPr>
            </w:pP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35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53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5.000  €</w:t>
            </w:r>
          </w:p>
        </w:tc>
        <w:tc>
          <w:tcPr>
            <w:tcW w:w="198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625" w:type="dxa"/>
            <w:shd w:val="clear" w:color="auto" w:fill="auto"/>
          </w:tcPr>
          <w:p w:rsidR="00042F67" w:rsidRPr="000545E1" w:rsidRDefault="00042F67" w:rsidP="001D3F7C">
            <w:pPr>
              <w:spacing w:before="20" w:after="20"/>
              <w:ind w:right="-192"/>
              <w:rPr>
                <w:rFonts w:ascii="Sitka Text" w:hAnsi="Sitka Text" w:cs="Mongolian Baiti"/>
                <w:color w:val="auto"/>
              </w:rPr>
            </w:pPr>
            <w:r w:rsidRPr="000545E1">
              <w:rPr>
                <w:rFonts w:ascii="Sitka Text" w:hAnsi="Sitka Text" w:cs="Mongolian Baiti"/>
                <w:color w:val="auto"/>
              </w:rPr>
              <w:t>5.1.19</w:t>
            </w:r>
          </w:p>
        </w:tc>
        <w:tc>
          <w:tcPr>
            <w:tcW w:w="2520"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Efikasna upotreba  e-platformi za učešće javnosti u kreiranju javnih politika</w:t>
            </w:r>
          </w:p>
        </w:tc>
        <w:tc>
          <w:tcPr>
            <w:tcW w:w="3960"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Izrađena analiza razloga nekorišćena portala e-peticija i e-participacija sa preporukama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lastRenderedPageBreak/>
              <w:t>- Prevazilažnje već identifikovanih izazova na osnovu korisničkog iskustva i realizacija preporuka analize (rok validacije e-peticije, dostupnost na tablet računarima i mobilnim telefonima, i sl.)</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Promovisane dobre prakse učećšća javnosti u procesu kreiranja politika, sa posebnim fokus na konsultacije u početnim fazama izrade dokumenata</w:t>
            </w:r>
          </w:p>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Promovisani portali e-peticija i e-paricipacija</w:t>
            </w:r>
          </w:p>
        </w:tc>
        <w:tc>
          <w:tcPr>
            <w:tcW w:w="135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lastRenderedPageBreak/>
              <w:t>MJUDDM</w:t>
            </w:r>
          </w:p>
        </w:tc>
        <w:tc>
          <w:tcPr>
            <w:tcW w:w="135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35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2024</w:t>
            </w:r>
          </w:p>
        </w:tc>
        <w:tc>
          <w:tcPr>
            <w:tcW w:w="1530"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67.000  €</w:t>
            </w:r>
          </w:p>
        </w:tc>
        <w:tc>
          <w:tcPr>
            <w:tcW w:w="198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bl>
    <w:p w:rsidR="00042F67" w:rsidRPr="000545E1" w:rsidRDefault="00042F67" w:rsidP="00042F67">
      <w:pPr>
        <w:spacing w:before="20" w:after="20" w:line="240" w:lineRule="auto"/>
        <w:rPr>
          <w:rFonts w:ascii="Sitka Text" w:hAnsi="Sitka Text" w:cs="Mongolian Baiti"/>
          <w:color w:val="auto"/>
          <w:sz w:val="24"/>
          <w:szCs w:val="24"/>
        </w:rPr>
      </w:pPr>
    </w:p>
    <w:tbl>
      <w:tblPr>
        <w:tblStyle w:val="TableGrid"/>
        <w:tblW w:w="14755" w:type="dxa"/>
        <w:tblLook w:val="04A0" w:firstRow="1" w:lastRow="0" w:firstColumn="1" w:lastColumn="0" w:noHBand="0" w:noVBand="1"/>
      </w:tblPr>
      <w:tblGrid>
        <w:gridCol w:w="727"/>
        <w:gridCol w:w="2321"/>
        <w:gridCol w:w="2809"/>
        <w:gridCol w:w="258"/>
        <w:gridCol w:w="1807"/>
        <w:gridCol w:w="1163"/>
        <w:gridCol w:w="538"/>
        <w:gridCol w:w="1701"/>
        <w:gridCol w:w="551"/>
        <w:gridCol w:w="1151"/>
        <w:gridCol w:w="1729"/>
      </w:tblGrid>
      <w:tr w:rsidR="00042F67" w:rsidRPr="000545E1" w:rsidTr="001D3F7C">
        <w:tc>
          <w:tcPr>
            <w:tcW w:w="3048" w:type="dxa"/>
            <w:gridSpan w:val="2"/>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OPERATIVNI CILJ 5.2</w:t>
            </w:r>
          </w:p>
        </w:tc>
        <w:tc>
          <w:tcPr>
            <w:tcW w:w="11707" w:type="dxa"/>
            <w:gridSpan w:val="9"/>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Unapređenje institucionalne koordinacije za snažnije efekte javnih politika</w:t>
            </w:r>
          </w:p>
        </w:tc>
      </w:tr>
      <w:tr w:rsidR="00042F67" w:rsidRPr="000545E1" w:rsidTr="001D3F7C">
        <w:tc>
          <w:tcPr>
            <w:tcW w:w="6115" w:type="dxa"/>
            <w:gridSpan w:val="4"/>
            <w:shd w:val="clear" w:color="auto" w:fill="DAF2F6"/>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Indikator</w:t>
            </w:r>
          </w:p>
        </w:tc>
        <w:tc>
          <w:tcPr>
            <w:tcW w:w="2970" w:type="dxa"/>
            <w:gridSpan w:val="2"/>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Početna vrijednost</w:t>
            </w:r>
          </w:p>
        </w:tc>
        <w:tc>
          <w:tcPr>
            <w:tcW w:w="2790" w:type="dxa"/>
            <w:gridSpan w:val="3"/>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do 2024.</w:t>
            </w:r>
          </w:p>
        </w:tc>
        <w:tc>
          <w:tcPr>
            <w:tcW w:w="2880" w:type="dxa"/>
            <w:gridSpan w:val="2"/>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u 2026.</w:t>
            </w:r>
          </w:p>
        </w:tc>
      </w:tr>
      <w:tr w:rsidR="00042F67" w:rsidRPr="000545E1" w:rsidTr="001D3F7C">
        <w:tc>
          <w:tcPr>
            <w:tcW w:w="6115" w:type="dxa"/>
            <w:gridSpan w:val="4"/>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 ministarstava koja imaju uspostavljene jedinice za strateško planiranje</w:t>
            </w:r>
            <w:r w:rsidRPr="000545E1">
              <w:rPr>
                <w:rStyle w:val="FootnoteReference"/>
                <w:rFonts w:ascii="Sitka Text" w:hAnsi="Sitka Text" w:cs="Mongolian Baiti"/>
                <w:color w:val="auto"/>
              </w:rPr>
              <w:footnoteReference w:id="167"/>
            </w:r>
          </w:p>
        </w:tc>
        <w:tc>
          <w:tcPr>
            <w:tcW w:w="2970" w:type="dxa"/>
            <w:gridSpan w:val="2"/>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30% (2021)</w:t>
            </w:r>
          </w:p>
        </w:tc>
        <w:tc>
          <w:tcPr>
            <w:tcW w:w="2790" w:type="dxa"/>
            <w:gridSpan w:val="3"/>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70%</w:t>
            </w:r>
          </w:p>
        </w:tc>
        <w:tc>
          <w:tcPr>
            <w:tcW w:w="2880" w:type="dxa"/>
            <w:gridSpan w:val="2"/>
            <w:shd w:val="clear" w:color="auto" w:fill="DAF2F6"/>
          </w:tcPr>
          <w:p w:rsidR="00042F67" w:rsidRPr="000545E1" w:rsidRDefault="00042F67" w:rsidP="001D3F7C">
            <w:pPr>
              <w:spacing w:after="40"/>
              <w:rPr>
                <w:rFonts w:ascii="Sitka Text" w:hAnsi="Sitka Text" w:cs="Mongolian Baiti"/>
                <w:color w:val="auto"/>
              </w:rPr>
            </w:pPr>
            <w:r w:rsidRPr="000545E1">
              <w:rPr>
                <w:rFonts w:ascii="Sitka Text" w:hAnsi="Sitka Text" w:cs="Mongolian Baiti"/>
                <w:color w:val="auto"/>
              </w:rPr>
              <w:t>100%</w:t>
            </w:r>
          </w:p>
        </w:tc>
      </w:tr>
      <w:tr w:rsidR="00042F67" w:rsidRPr="000545E1" w:rsidTr="001D3F7C">
        <w:tc>
          <w:tcPr>
            <w:tcW w:w="6115" w:type="dxa"/>
            <w:gridSpan w:val="4"/>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olor w:val="auto"/>
              </w:rPr>
              <w:t>%  ministarstava koji imaju članove/ članice Mreže državnih službenika za strateško planiranje</w:t>
            </w:r>
          </w:p>
        </w:tc>
        <w:tc>
          <w:tcPr>
            <w:tcW w:w="2970" w:type="dxa"/>
            <w:gridSpan w:val="2"/>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Mongolian Baiti"/>
                <w:color w:val="auto"/>
              </w:rPr>
              <w:t>50% (2021)</w:t>
            </w:r>
          </w:p>
        </w:tc>
        <w:tc>
          <w:tcPr>
            <w:tcW w:w="2790" w:type="dxa"/>
            <w:gridSpan w:val="3"/>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Mongolian Baiti"/>
                <w:color w:val="auto"/>
              </w:rPr>
              <w:t>70%</w:t>
            </w:r>
          </w:p>
        </w:tc>
        <w:tc>
          <w:tcPr>
            <w:tcW w:w="2880" w:type="dxa"/>
            <w:gridSpan w:val="2"/>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Mongolian Baiti"/>
                <w:color w:val="auto"/>
              </w:rPr>
              <w:t>100%</w:t>
            </w:r>
          </w:p>
        </w:tc>
      </w:tr>
      <w:tr w:rsidR="00042F67" w:rsidRPr="000545E1" w:rsidTr="001D3F7C">
        <w:tc>
          <w:tcPr>
            <w:tcW w:w="3048"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Aktivnosti</w:t>
            </w:r>
          </w:p>
        </w:tc>
        <w:tc>
          <w:tcPr>
            <w:tcW w:w="2809"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Indikator rezultata</w:t>
            </w:r>
          </w:p>
        </w:tc>
        <w:tc>
          <w:tcPr>
            <w:tcW w:w="2065"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Nadležne institucije</w:t>
            </w:r>
          </w:p>
        </w:tc>
        <w:tc>
          <w:tcPr>
            <w:tcW w:w="1701"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Početak aktivnosti</w:t>
            </w:r>
          </w:p>
        </w:tc>
        <w:tc>
          <w:tcPr>
            <w:tcW w:w="1701"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Završetak aktivnosti</w:t>
            </w:r>
          </w:p>
        </w:tc>
        <w:tc>
          <w:tcPr>
            <w:tcW w:w="1702"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Sredstva za realizaciju</w:t>
            </w:r>
          </w:p>
        </w:tc>
        <w:tc>
          <w:tcPr>
            <w:tcW w:w="1729"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rPr>
            </w:pPr>
            <w:r w:rsidRPr="000545E1">
              <w:rPr>
                <w:rFonts w:ascii="Sitka Text" w:hAnsi="Sitka Text" w:cs="Mongolian Baiti"/>
                <w:b/>
                <w:color w:val="auto"/>
              </w:rPr>
              <w:t>Izvor finansiranja</w:t>
            </w:r>
          </w:p>
        </w:tc>
      </w:tr>
      <w:tr w:rsidR="00042F67" w:rsidRPr="000545E1" w:rsidTr="001D3F7C">
        <w:tc>
          <w:tcPr>
            <w:tcW w:w="727"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5.2.1</w:t>
            </w:r>
          </w:p>
        </w:tc>
        <w:tc>
          <w:tcPr>
            <w:tcW w:w="2321"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Priprema Informacije o potrebi formiranja jedinica za strateško planiranje objedinjenih s IPA programiranjem</w:t>
            </w:r>
          </w:p>
        </w:tc>
        <w:tc>
          <w:tcPr>
            <w:tcW w:w="2809"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Informacija usvojena na Vladi, sa preporukama i zaključcima za dalji rad</w:t>
            </w:r>
          </w:p>
        </w:tc>
        <w:tc>
          <w:tcPr>
            <w:tcW w:w="2065"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KEI</w:t>
            </w:r>
          </w:p>
        </w:tc>
        <w:tc>
          <w:tcPr>
            <w:tcW w:w="1701"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701"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702"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Nisu potrebna dodatna sredstva</w:t>
            </w:r>
          </w:p>
        </w:tc>
        <w:tc>
          <w:tcPr>
            <w:tcW w:w="1729"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727"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5.2.2</w:t>
            </w:r>
          </w:p>
        </w:tc>
        <w:tc>
          <w:tcPr>
            <w:tcW w:w="2321"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Promjena pravilnika o sistematizaciji ministarstava u dijelu definisanja jedinice za </w:t>
            </w:r>
            <w:r w:rsidRPr="000545E1">
              <w:rPr>
                <w:rFonts w:ascii="Sitka Text" w:hAnsi="Sitka Text" w:cs="Mongolian Baiti"/>
                <w:color w:val="auto"/>
              </w:rPr>
              <w:lastRenderedPageBreak/>
              <w:t>strateško planiranje i programiranje IPA</w:t>
            </w:r>
            <w:r w:rsidRPr="000545E1">
              <w:rPr>
                <w:rStyle w:val="FootnoteReference"/>
                <w:rFonts w:ascii="Sitka Text" w:hAnsi="Sitka Text" w:cs="Mongolian Baiti"/>
                <w:color w:val="auto"/>
              </w:rPr>
              <w:footnoteReference w:id="168"/>
            </w:r>
          </w:p>
        </w:tc>
        <w:tc>
          <w:tcPr>
            <w:tcW w:w="2809"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lastRenderedPageBreak/>
              <w:t xml:space="preserve">Broj ministarstava čiji pravilnici o sistematizaciji predviđaju jedinicu za </w:t>
            </w:r>
            <w:r w:rsidRPr="000545E1">
              <w:rPr>
                <w:rFonts w:ascii="Sitka Text" w:hAnsi="Sitka Text" w:cs="Mongolian Baiti"/>
                <w:color w:val="auto"/>
              </w:rPr>
              <w:lastRenderedPageBreak/>
              <w:t>strateško planiranje objedinjenu s IPA</w:t>
            </w:r>
          </w:p>
        </w:tc>
        <w:tc>
          <w:tcPr>
            <w:tcW w:w="2065"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lastRenderedPageBreak/>
              <w:t>Ministarstva, s koordinativnom funkcijom GSV</w:t>
            </w:r>
          </w:p>
        </w:tc>
        <w:tc>
          <w:tcPr>
            <w:tcW w:w="1701"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701"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702"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Nisu potrebna dodatna sredstva</w:t>
            </w:r>
          </w:p>
        </w:tc>
        <w:tc>
          <w:tcPr>
            <w:tcW w:w="1729"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727"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5.2.3</w:t>
            </w:r>
          </w:p>
        </w:tc>
        <w:tc>
          <w:tcPr>
            <w:tcW w:w="2321"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Uspostavljanje jedinica za strateško planiranje objedinjenih s IPA programiranjem</w:t>
            </w:r>
          </w:p>
        </w:tc>
        <w:tc>
          <w:tcPr>
            <w:tcW w:w="2809"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Broj ministarstava s uspostavljenim jedinicama za strateško planiranje objedinjenih s IPA</w:t>
            </w:r>
          </w:p>
        </w:tc>
        <w:tc>
          <w:tcPr>
            <w:tcW w:w="2065"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Ministarstva, s koordinativnom funkcijom GSV</w:t>
            </w:r>
          </w:p>
        </w:tc>
        <w:tc>
          <w:tcPr>
            <w:tcW w:w="1701"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701"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702"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Nisu potrebna dodatna sredstva</w:t>
            </w:r>
            <w:r w:rsidRPr="000545E1">
              <w:rPr>
                <w:rStyle w:val="FootnoteReference"/>
                <w:rFonts w:ascii="Sitka Text" w:hAnsi="Sitka Text" w:cs="Mongolian Baiti"/>
                <w:color w:val="auto"/>
              </w:rPr>
              <w:footnoteReference w:id="169"/>
            </w:r>
          </w:p>
        </w:tc>
        <w:tc>
          <w:tcPr>
            <w:tcW w:w="1729"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727"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5.2.4</w:t>
            </w:r>
          </w:p>
        </w:tc>
        <w:tc>
          <w:tcPr>
            <w:tcW w:w="2321"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Priprema Informacije o formalizovanju Mreže državnih službenika za strateško planiranje</w:t>
            </w:r>
          </w:p>
        </w:tc>
        <w:tc>
          <w:tcPr>
            <w:tcW w:w="2809"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Informacija usvojena na Vladi, sa preporukama i zaključcima za dalji rad</w:t>
            </w:r>
          </w:p>
        </w:tc>
        <w:tc>
          <w:tcPr>
            <w:tcW w:w="2065"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tc>
        <w:tc>
          <w:tcPr>
            <w:tcW w:w="1701"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701"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702"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1.600  €</w:t>
            </w:r>
          </w:p>
        </w:tc>
        <w:tc>
          <w:tcPr>
            <w:tcW w:w="1729"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727"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5.2.5</w:t>
            </w:r>
          </w:p>
        </w:tc>
        <w:tc>
          <w:tcPr>
            <w:tcW w:w="2321"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Formalizovanje Mreže državnih službenika za strateško planiranje</w:t>
            </w:r>
          </w:p>
        </w:tc>
        <w:tc>
          <w:tcPr>
            <w:tcW w:w="2809"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Broj državnih službenika u Mreži/ Broj ministarstava koji imaju po dva predstavnika u Mreži</w:t>
            </w:r>
          </w:p>
        </w:tc>
        <w:tc>
          <w:tcPr>
            <w:tcW w:w="2065"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tc>
        <w:tc>
          <w:tcPr>
            <w:tcW w:w="1701"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701"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702"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Nisu potrebna dodatna sredstva</w:t>
            </w:r>
          </w:p>
        </w:tc>
        <w:tc>
          <w:tcPr>
            <w:tcW w:w="1729"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Budžet CG</w:t>
            </w:r>
          </w:p>
        </w:tc>
      </w:tr>
      <w:tr w:rsidR="00042F67" w:rsidRPr="000545E1" w:rsidTr="001D3F7C">
        <w:tc>
          <w:tcPr>
            <w:tcW w:w="727"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5.2.6</w:t>
            </w:r>
          </w:p>
        </w:tc>
        <w:tc>
          <w:tcPr>
            <w:tcW w:w="2321"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Utvrđivanje agende i plana rada Mreže državnih službenika za strateško planiranje za period 2022-2024.</w:t>
            </w:r>
          </w:p>
        </w:tc>
        <w:tc>
          <w:tcPr>
            <w:tcW w:w="2809"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Definisana i usvojena agenda Mreže za period 2022-2024.</w:t>
            </w:r>
          </w:p>
        </w:tc>
        <w:tc>
          <w:tcPr>
            <w:tcW w:w="2065"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Mreža (resornim ministarstvima)</w:t>
            </w:r>
          </w:p>
        </w:tc>
        <w:tc>
          <w:tcPr>
            <w:tcW w:w="1701"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701"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1702"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5.000 €</w:t>
            </w:r>
          </w:p>
        </w:tc>
        <w:tc>
          <w:tcPr>
            <w:tcW w:w="1729"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Donatorska sredstva</w:t>
            </w:r>
          </w:p>
        </w:tc>
      </w:tr>
      <w:tr w:rsidR="00042F67" w:rsidRPr="000545E1" w:rsidTr="001D3F7C">
        <w:tc>
          <w:tcPr>
            <w:tcW w:w="727"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5.2.7</w:t>
            </w:r>
          </w:p>
        </w:tc>
        <w:tc>
          <w:tcPr>
            <w:tcW w:w="2321"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Izrada smjernica za ministarstva o koordinacionim mehanizmima i internim procedurama za planiranje politika</w:t>
            </w:r>
          </w:p>
        </w:tc>
        <w:tc>
          <w:tcPr>
            <w:tcW w:w="2809"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Izrađene smjernice s objašnjenjem o mehanizmima i procedurama koordinacije i izrade politika u ministarstvima</w:t>
            </w:r>
          </w:p>
        </w:tc>
        <w:tc>
          <w:tcPr>
            <w:tcW w:w="2065"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Mreža (resornim ministarstvima)</w:t>
            </w:r>
          </w:p>
        </w:tc>
        <w:tc>
          <w:tcPr>
            <w:tcW w:w="1701"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701"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2023</w:t>
            </w:r>
          </w:p>
        </w:tc>
        <w:tc>
          <w:tcPr>
            <w:tcW w:w="1702"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4.700 €</w:t>
            </w:r>
          </w:p>
        </w:tc>
        <w:tc>
          <w:tcPr>
            <w:tcW w:w="1729"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Donatroska sredstva</w:t>
            </w:r>
          </w:p>
        </w:tc>
      </w:tr>
      <w:tr w:rsidR="00042F67" w:rsidRPr="000545E1" w:rsidTr="001D3F7C">
        <w:tc>
          <w:tcPr>
            <w:tcW w:w="727"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5.2.8</w:t>
            </w:r>
          </w:p>
        </w:tc>
        <w:tc>
          <w:tcPr>
            <w:tcW w:w="2321"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 xml:space="preserve">Izrada smjernica za usklađivanje planiranja </w:t>
            </w:r>
            <w:r w:rsidRPr="000545E1">
              <w:rPr>
                <w:rFonts w:ascii="Sitka Text" w:hAnsi="Sitka Text" w:cs="Mongolian Baiti"/>
                <w:color w:val="auto"/>
              </w:rPr>
              <w:lastRenderedPageBreak/>
              <w:t>nacionalnih politika s programiranjem IPA podrške</w:t>
            </w:r>
          </w:p>
        </w:tc>
        <w:tc>
          <w:tcPr>
            <w:tcW w:w="2809"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lastRenderedPageBreak/>
              <w:t>Izrađene smjernice</w:t>
            </w:r>
          </w:p>
        </w:tc>
        <w:tc>
          <w:tcPr>
            <w:tcW w:w="2065"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KEI</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tc>
        <w:tc>
          <w:tcPr>
            <w:tcW w:w="1701"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2023</w:t>
            </w:r>
          </w:p>
        </w:tc>
        <w:tc>
          <w:tcPr>
            <w:tcW w:w="1701"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702"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3.800 €</w:t>
            </w:r>
          </w:p>
        </w:tc>
        <w:tc>
          <w:tcPr>
            <w:tcW w:w="1729"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Donatroska sredstva</w:t>
            </w:r>
          </w:p>
        </w:tc>
      </w:tr>
      <w:tr w:rsidR="00042F67" w:rsidRPr="000545E1" w:rsidTr="001D3F7C">
        <w:tc>
          <w:tcPr>
            <w:tcW w:w="727"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5.2.9</w:t>
            </w:r>
          </w:p>
        </w:tc>
        <w:tc>
          <w:tcPr>
            <w:tcW w:w="2321"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Izrada analize odnosa strateških dokumenata na nacionalnom i lokalnom nivou</w:t>
            </w:r>
          </w:p>
        </w:tc>
        <w:tc>
          <w:tcPr>
            <w:tcW w:w="2809"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Izrađena analiza o vezama starteških dokumenata na nacionalnom i lokalnom nivou s preporukama za unapređenje</w:t>
            </w:r>
          </w:p>
        </w:tc>
        <w:tc>
          <w:tcPr>
            <w:tcW w:w="2065"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GSV</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ZOCG</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JLS</w:t>
            </w:r>
          </w:p>
        </w:tc>
        <w:tc>
          <w:tcPr>
            <w:tcW w:w="1701"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2023</w:t>
            </w:r>
          </w:p>
        </w:tc>
        <w:tc>
          <w:tcPr>
            <w:tcW w:w="1701"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702"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4.600 €</w:t>
            </w:r>
          </w:p>
        </w:tc>
        <w:tc>
          <w:tcPr>
            <w:tcW w:w="1729"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Donatroska sredstva</w:t>
            </w:r>
          </w:p>
        </w:tc>
      </w:tr>
    </w:tbl>
    <w:p w:rsidR="00042F67" w:rsidRPr="000545E1" w:rsidRDefault="00042F67" w:rsidP="00042F67">
      <w:pPr>
        <w:spacing w:before="20" w:after="20" w:line="240" w:lineRule="auto"/>
        <w:rPr>
          <w:rFonts w:ascii="Sitka Text" w:hAnsi="Sitka Text" w:cs="Mongolian Baiti"/>
          <w:color w:val="auto"/>
        </w:rPr>
      </w:pPr>
    </w:p>
    <w:p w:rsidR="00042F67" w:rsidRPr="000545E1" w:rsidRDefault="00042F67" w:rsidP="00042F67">
      <w:pPr>
        <w:spacing w:before="20" w:after="20" w:line="240" w:lineRule="auto"/>
        <w:rPr>
          <w:rFonts w:ascii="Sitka Text" w:hAnsi="Sitka Text" w:cs="Mongolian Baiti"/>
          <w:color w:val="auto"/>
          <w:sz w:val="24"/>
          <w:szCs w:val="24"/>
        </w:rPr>
      </w:pPr>
    </w:p>
    <w:tbl>
      <w:tblPr>
        <w:tblStyle w:val="TableGrid"/>
        <w:tblW w:w="14755" w:type="dxa"/>
        <w:tblLook w:val="04A0" w:firstRow="1" w:lastRow="0" w:firstColumn="1" w:lastColumn="0" w:noHBand="0" w:noVBand="1"/>
      </w:tblPr>
      <w:tblGrid>
        <w:gridCol w:w="727"/>
        <w:gridCol w:w="2319"/>
        <w:gridCol w:w="6"/>
        <w:gridCol w:w="2806"/>
        <w:gridCol w:w="254"/>
        <w:gridCol w:w="1810"/>
        <w:gridCol w:w="1159"/>
        <w:gridCol w:w="542"/>
        <w:gridCol w:w="1701"/>
        <w:gridCol w:w="547"/>
        <w:gridCol w:w="1155"/>
        <w:gridCol w:w="1729"/>
      </w:tblGrid>
      <w:tr w:rsidR="00042F67" w:rsidRPr="000545E1" w:rsidTr="001D3F7C">
        <w:tc>
          <w:tcPr>
            <w:tcW w:w="3052" w:type="dxa"/>
            <w:gridSpan w:val="3"/>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OPERATIVNI CILJ 5.3</w:t>
            </w:r>
          </w:p>
        </w:tc>
        <w:tc>
          <w:tcPr>
            <w:tcW w:w="11703" w:type="dxa"/>
            <w:gridSpan w:val="9"/>
            <w:shd w:val="clear" w:color="auto" w:fill="DFE4E5" w:themeFill="accent5" w:themeFillTint="33"/>
          </w:tcPr>
          <w:p w:rsidR="00042F67" w:rsidRPr="000545E1" w:rsidRDefault="00042F67" w:rsidP="001D3F7C">
            <w:pPr>
              <w:spacing w:after="40"/>
              <w:rPr>
                <w:rFonts w:ascii="Sitka Text" w:hAnsi="Sitka Text" w:cs="Mongolian Baiti"/>
                <w:b/>
                <w:color w:val="auto"/>
                <w:sz w:val="24"/>
                <w:szCs w:val="24"/>
              </w:rPr>
            </w:pPr>
            <w:r w:rsidRPr="000545E1">
              <w:rPr>
                <w:rFonts w:ascii="Sitka Text" w:hAnsi="Sitka Text" w:cs="Mongolian Baiti"/>
                <w:b/>
                <w:color w:val="auto"/>
                <w:sz w:val="24"/>
                <w:szCs w:val="24"/>
              </w:rPr>
              <w:t>Povećanje obuhvata i jačanje kapaciteta za sprovođenje RIA</w:t>
            </w:r>
          </w:p>
        </w:tc>
      </w:tr>
      <w:tr w:rsidR="00042F67" w:rsidRPr="000545E1" w:rsidTr="001D3F7C">
        <w:tc>
          <w:tcPr>
            <w:tcW w:w="6112" w:type="dxa"/>
            <w:gridSpan w:val="5"/>
            <w:shd w:val="clear" w:color="auto" w:fill="DAF2F6"/>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Indikator</w:t>
            </w:r>
          </w:p>
        </w:tc>
        <w:tc>
          <w:tcPr>
            <w:tcW w:w="2969" w:type="dxa"/>
            <w:gridSpan w:val="2"/>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Mongolian Baiti"/>
                <w:b/>
                <w:color w:val="auto"/>
              </w:rPr>
              <w:t>Početna vrijednost</w:t>
            </w:r>
          </w:p>
        </w:tc>
        <w:tc>
          <w:tcPr>
            <w:tcW w:w="2790" w:type="dxa"/>
            <w:gridSpan w:val="3"/>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do 2024.</w:t>
            </w:r>
          </w:p>
        </w:tc>
        <w:tc>
          <w:tcPr>
            <w:tcW w:w="2884" w:type="dxa"/>
            <w:gridSpan w:val="2"/>
            <w:tcBorders>
              <w:bottom w:val="single" w:sz="4" w:space="0" w:color="FFFFFF" w:themeColor="background1"/>
            </w:tcBorders>
            <w:shd w:val="clear" w:color="auto" w:fill="DAF2F6"/>
            <w:vAlign w:val="center"/>
          </w:tcPr>
          <w:p w:rsidR="00042F67" w:rsidRPr="000545E1" w:rsidRDefault="00042F67" w:rsidP="001D3F7C">
            <w:pPr>
              <w:spacing w:after="40"/>
              <w:jc w:val="center"/>
              <w:rPr>
                <w:rFonts w:ascii="Sitka Text" w:hAnsi="Sitka Text" w:cs="Mongolian Baiti"/>
                <w:b/>
                <w:color w:val="auto"/>
              </w:rPr>
            </w:pPr>
            <w:r w:rsidRPr="000545E1">
              <w:rPr>
                <w:rFonts w:ascii="Sitka Text" w:hAnsi="Sitka Text" w:cstheme="majorHAnsi"/>
                <w:b/>
                <w:color w:val="auto"/>
              </w:rPr>
              <w:t>Ciljana vrijednost u 2026.</w:t>
            </w:r>
          </w:p>
        </w:tc>
      </w:tr>
      <w:tr w:rsidR="00042F67" w:rsidRPr="000545E1" w:rsidTr="001D3F7C">
        <w:tc>
          <w:tcPr>
            <w:tcW w:w="6112" w:type="dxa"/>
            <w:gridSpan w:val="5"/>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 nacrta podzakonskih akata sa RIA</w:t>
            </w:r>
          </w:p>
        </w:tc>
        <w:tc>
          <w:tcPr>
            <w:tcW w:w="2969" w:type="dxa"/>
            <w:gridSpan w:val="2"/>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28,49% (2020)</w:t>
            </w:r>
          </w:p>
        </w:tc>
        <w:tc>
          <w:tcPr>
            <w:tcW w:w="2790" w:type="dxa"/>
            <w:gridSpan w:val="3"/>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35%</w:t>
            </w:r>
          </w:p>
        </w:tc>
        <w:tc>
          <w:tcPr>
            <w:tcW w:w="2884" w:type="dxa"/>
            <w:gridSpan w:val="2"/>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50%</w:t>
            </w:r>
          </w:p>
        </w:tc>
      </w:tr>
      <w:tr w:rsidR="00042F67" w:rsidRPr="000545E1" w:rsidTr="001D3F7C">
        <w:tc>
          <w:tcPr>
            <w:tcW w:w="6112" w:type="dxa"/>
            <w:gridSpan w:val="5"/>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 zakona kod kojh se za RIA primjenjuje Model standardnog troška (Standard cost model)</w:t>
            </w:r>
          </w:p>
        </w:tc>
        <w:tc>
          <w:tcPr>
            <w:tcW w:w="2969" w:type="dxa"/>
            <w:gridSpan w:val="2"/>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18% (2020)</w:t>
            </w:r>
          </w:p>
        </w:tc>
        <w:tc>
          <w:tcPr>
            <w:tcW w:w="2790" w:type="dxa"/>
            <w:gridSpan w:val="3"/>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20%</w:t>
            </w:r>
          </w:p>
        </w:tc>
        <w:tc>
          <w:tcPr>
            <w:tcW w:w="2884" w:type="dxa"/>
            <w:gridSpan w:val="2"/>
            <w:shd w:val="clear" w:color="auto" w:fill="DAF2F6"/>
          </w:tcPr>
          <w:p w:rsidR="00042F67" w:rsidRPr="000545E1" w:rsidRDefault="00042F67" w:rsidP="001D3F7C">
            <w:pPr>
              <w:spacing w:after="40"/>
              <w:rPr>
                <w:rFonts w:ascii="Sitka Text" w:hAnsi="Sitka Text" w:cs="Mongolian Baiti"/>
                <w:b/>
                <w:color w:val="auto"/>
              </w:rPr>
            </w:pPr>
            <w:r w:rsidRPr="000545E1">
              <w:rPr>
                <w:rFonts w:ascii="Sitka Text" w:hAnsi="Sitka Text" w:cstheme="majorHAnsi"/>
                <w:color w:val="auto"/>
              </w:rPr>
              <w:t>30%</w:t>
            </w:r>
          </w:p>
        </w:tc>
      </w:tr>
      <w:tr w:rsidR="00042F67" w:rsidRPr="000545E1" w:rsidTr="001D3F7C">
        <w:tc>
          <w:tcPr>
            <w:tcW w:w="6112" w:type="dxa"/>
            <w:gridSpan w:val="5"/>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 kvalitetno izrađenih RIA u odnosu na ukupan broj RIA koje su dostavljenje na mišljenje MFSS</w:t>
            </w:r>
          </w:p>
        </w:tc>
        <w:tc>
          <w:tcPr>
            <w:tcW w:w="2969" w:type="dxa"/>
            <w:gridSpan w:val="2"/>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68,72% (2020)</w:t>
            </w:r>
          </w:p>
        </w:tc>
        <w:tc>
          <w:tcPr>
            <w:tcW w:w="2790" w:type="dxa"/>
            <w:gridSpan w:val="3"/>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77%</w:t>
            </w:r>
          </w:p>
        </w:tc>
        <w:tc>
          <w:tcPr>
            <w:tcW w:w="2884" w:type="dxa"/>
            <w:gridSpan w:val="2"/>
            <w:shd w:val="clear" w:color="auto" w:fill="DAF2F6"/>
          </w:tcPr>
          <w:p w:rsidR="00042F67" w:rsidRPr="000545E1" w:rsidRDefault="00042F67" w:rsidP="001D3F7C">
            <w:pPr>
              <w:spacing w:after="40"/>
              <w:rPr>
                <w:rFonts w:ascii="Sitka Text" w:hAnsi="Sitka Text" w:cstheme="majorHAnsi"/>
                <w:color w:val="auto"/>
              </w:rPr>
            </w:pPr>
            <w:r w:rsidRPr="000545E1">
              <w:rPr>
                <w:rFonts w:ascii="Sitka Text" w:hAnsi="Sitka Text" w:cstheme="majorHAnsi"/>
                <w:color w:val="auto"/>
              </w:rPr>
              <w:t>88%</w:t>
            </w:r>
          </w:p>
        </w:tc>
      </w:tr>
      <w:tr w:rsidR="00042F67" w:rsidRPr="000545E1" w:rsidTr="001D3F7C">
        <w:tc>
          <w:tcPr>
            <w:tcW w:w="3052" w:type="dxa"/>
            <w:gridSpan w:val="3"/>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sz w:val="22"/>
                <w:szCs w:val="22"/>
              </w:rPr>
            </w:pPr>
            <w:r w:rsidRPr="000545E1">
              <w:rPr>
                <w:rFonts w:ascii="Sitka Text" w:hAnsi="Sitka Text" w:cs="Mongolian Baiti"/>
                <w:b/>
                <w:color w:val="auto"/>
                <w:sz w:val="22"/>
                <w:szCs w:val="22"/>
              </w:rPr>
              <w:t>Aktivnosti</w:t>
            </w:r>
          </w:p>
        </w:tc>
        <w:tc>
          <w:tcPr>
            <w:tcW w:w="2806"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sz w:val="22"/>
                <w:szCs w:val="22"/>
              </w:rPr>
            </w:pPr>
            <w:r w:rsidRPr="000545E1">
              <w:rPr>
                <w:rFonts w:ascii="Sitka Text" w:hAnsi="Sitka Text" w:cs="Mongolian Baiti"/>
                <w:b/>
                <w:color w:val="auto"/>
                <w:sz w:val="22"/>
                <w:szCs w:val="22"/>
              </w:rPr>
              <w:t>Indikator rezultata</w:t>
            </w:r>
          </w:p>
        </w:tc>
        <w:tc>
          <w:tcPr>
            <w:tcW w:w="2064"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sz w:val="22"/>
                <w:szCs w:val="22"/>
              </w:rPr>
            </w:pPr>
            <w:r w:rsidRPr="000545E1">
              <w:rPr>
                <w:rFonts w:ascii="Sitka Text" w:hAnsi="Sitka Text" w:cs="Mongolian Baiti"/>
                <w:b/>
                <w:color w:val="auto"/>
                <w:sz w:val="22"/>
                <w:szCs w:val="22"/>
              </w:rPr>
              <w:t>Nadležne institucije</w:t>
            </w:r>
          </w:p>
        </w:tc>
        <w:tc>
          <w:tcPr>
            <w:tcW w:w="1701"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sz w:val="22"/>
                <w:szCs w:val="22"/>
              </w:rPr>
            </w:pPr>
            <w:r w:rsidRPr="000545E1">
              <w:rPr>
                <w:rFonts w:ascii="Sitka Text" w:hAnsi="Sitka Text" w:cs="Mongolian Baiti"/>
                <w:b/>
                <w:color w:val="auto"/>
                <w:sz w:val="22"/>
                <w:szCs w:val="22"/>
              </w:rPr>
              <w:t>Početak aktivnosti</w:t>
            </w:r>
          </w:p>
        </w:tc>
        <w:tc>
          <w:tcPr>
            <w:tcW w:w="1701"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sz w:val="22"/>
                <w:szCs w:val="22"/>
              </w:rPr>
            </w:pPr>
            <w:r w:rsidRPr="000545E1">
              <w:rPr>
                <w:rFonts w:ascii="Sitka Text" w:hAnsi="Sitka Text" w:cs="Mongolian Baiti"/>
                <w:b/>
                <w:color w:val="auto"/>
                <w:sz w:val="22"/>
                <w:szCs w:val="22"/>
              </w:rPr>
              <w:t>Završetak aktivnosti</w:t>
            </w:r>
          </w:p>
        </w:tc>
        <w:tc>
          <w:tcPr>
            <w:tcW w:w="1702"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sz w:val="22"/>
                <w:szCs w:val="22"/>
              </w:rPr>
            </w:pPr>
            <w:r w:rsidRPr="000545E1">
              <w:rPr>
                <w:rFonts w:ascii="Sitka Text" w:hAnsi="Sitka Text" w:cs="Mongolian Baiti"/>
                <w:b/>
                <w:color w:val="auto"/>
                <w:sz w:val="22"/>
                <w:szCs w:val="22"/>
              </w:rPr>
              <w:t>Sredstva za realizaciju</w:t>
            </w:r>
          </w:p>
        </w:tc>
        <w:tc>
          <w:tcPr>
            <w:tcW w:w="1729"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sz w:val="22"/>
                <w:szCs w:val="22"/>
              </w:rPr>
            </w:pPr>
            <w:r w:rsidRPr="000545E1">
              <w:rPr>
                <w:rFonts w:ascii="Sitka Text" w:hAnsi="Sitka Text" w:cs="Mongolian Baiti"/>
                <w:b/>
                <w:color w:val="auto"/>
                <w:sz w:val="22"/>
                <w:szCs w:val="22"/>
              </w:rPr>
              <w:t>Izvor finansiranja</w:t>
            </w:r>
          </w:p>
        </w:tc>
      </w:tr>
      <w:tr w:rsidR="00042F67" w:rsidRPr="000545E1" w:rsidTr="001D3F7C">
        <w:tc>
          <w:tcPr>
            <w:tcW w:w="727"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5.3.1</w:t>
            </w:r>
          </w:p>
        </w:tc>
        <w:tc>
          <w:tcPr>
            <w:tcW w:w="2319" w:type="dxa"/>
          </w:tcPr>
          <w:p w:rsidR="00042F67" w:rsidRPr="000545E1" w:rsidRDefault="00042F67" w:rsidP="001D3F7C">
            <w:pPr>
              <w:spacing w:before="20" w:after="20"/>
              <w:jc w:val="both"/>
              <w:rPr>
                <w:rFonts w:ascii="Sitka Text" w:hAnsi="Sitka Text"/>
                <w:color w:val="auto"/>
              </w:rPr>
            </w:pPr>
            <w:r w:rsidRPr="000545E1">
              <w:rPr>
                <w:rFonts w:ascii="Sitka Text" w:hAnsi="Sitka Text"/>
                <w:color w:val="auto"/>
              </w:rPr>
              <w:t>Izmijena Uputstva o sačinjavanju izvještaja o sprovedenoj analizi uticaja propisa i Priručnik za RIA</w:t>
            </w:r>
          </w:p>
        </w:tc>
        <w:tc>
          <w:tcPr>
            <w:tcW w:w="2812" w:type="dxa"/>
            <w:gridSpan w:val="2"/>
          </w:tcPr>
          <w:p w:rsidR="00042F67" w:rsidRPr="000545E1" w:rsidRDefault="00042F67" w:rsidP="001D3F7C">
            <w:pPr>
              <w:spacing w:before="20" w:after="20"/>
              <w:rPr>
                <w:rFonts w:ascii="Sitka Text" w:hAnsi="Sitka Text"/>
                <w:color w:val="auto"/>
              </w:rPr>
            </w:pPr>
            <w:r w:rsidRPr="000545E1">
              <w:rPr>
                <w:rFonts w:ascii="Sitka Text" w:hAnsi="Sitka Text"/>
                <w:color w:val="auto"/>
              </w:rPr>
              <w:t>Izmijenjeno Upustvo u dijelu uticaja na dio uticaja budžeta na lokalne samouprave i rodnu ravnopravnost i Priručnika za RIA</w:t>
            </w:r>
          </w:p>
        </w:tc>
        <w:tc>
          <w:tcPr>
            <w:tcW w:w="2064"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tc>
        <w:tc>
          <w:tcPr>
            <w:tcW w:w="1701"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701"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2023</w:t>
            </w:r>
          </w:p>
        </w:tc>
        <w:tc>
          <w:tcPr>
            <w:tcW w:w="1702" w:type="dxa"/>
            <w:gridSpan w:val="2"/>
            <w:vAlign w:val="center"/>
          </w:tcPr>
          <w:p w:rsidR="00042F67" w:rsidRPr="000545E1" w:rsidRDefault="00042F67" w:rsidP="001D3F7C">
            <w:pPr>
              <w:spacing w:before="20" w:after="20"/>
              <w:jc w:val="center"/>
              <w:rPr>
                <w:rFonts w:ascii="Sitka Text" w:hAnsi="Sitka Text" w:cs="Mongolian Baiti"/>
                <w:color w:val="auto"/>
              </w:rPr>
            </w:pPr>
          </w:p>
        </w:tc>
        <w:tc>
          <w:tcPr>
            <w:tcW w:w="1729" w:type="dxa"/>
            <w:vAlign w:val="center"/>
          </w:tcPr>
          <w:p w:rsidR="00042F67" w:rsidRPr="000545E1" w:rsidRDefault="00042F67" w:rsidP="001D3F7C">
            <w:pPr>
              <w:spacing w:before="20" w:after="20"/>
              <w:jc w:val="center"/>
              <w:rPr>
                <w:rFonts w:ascii="Sitka Text" w:hAnsi="Sitka Text" w:cs="Mongolian Baiti"/>
                <w:color w:val="auto"/>
              </w:rPr>
            </w:pPr>
          </w:p>
        </w:tc>
      </w:tr>
      <w:tr w:rsidR="00042F67" w:rsidRPr="000545E1" w:rsidTr="001D3F7C">
        <w:tc>
          <w:tcPr>
            <w:tcW w:w="727"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5.3.2</w:t>
            </w:r>
          </w:p>
        </w:tc>
        <w:tc>
          <w:tcPr>
            <w:tcW w:w="2319"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theme="minorHAnsi"/>
                <w:color w:val="auto"/>
              </w:rPr>
              <w:t>Sprovođenje obuka za primjenu tehnika koje se koriste za procjenu troškova regulative, kao i sagledavanje dugoročnih fiskalnih implikacija propisa</w:t>
            </w:r>
          </w:p>
        </w:tc>
        <w:tc>
          <w:tcPr>
            <w:tcW w:w="2812"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theme="minorHAnsi"/>
                <w:color w:val="auto"/>
              </w:rPr>
              <w:t>Obučeno 140 službenika</w:t>
            </w:r>
          </w:p>
        </w:tc>
        <w:tc>
          <w:tcPr>
            <w:tcW w:w="2064"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UZK</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tc>
        <w:tc>
          <w:tcPr>
            <w:tcW w:w="1701"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701"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702" w:type="dxa"/>
            <w:gridSpan w:val="2"/>
            <w:vAlign w:val="center"/>
          </w:tcPr>
          <w:p w:rsidR="00042F67" w:rsidRPr="000545E1" w:rsidRDefault="00042F67" w:rsidP="001D3F7C">
            <w:pPr>
              <w:spacing w:before="20" w:after="20"/>
              <w:jc w:val="center"/>
              <w:rPr>
                <w:rFonts w:ascii="Sitka Text" w:hAnsi="Sitka Text" w:cs="Mongolian Baiti"/>
                <w:color w:val="auto"/>
              </w:rPr>
            </w:pPr>
          </w:p>
        </w:tc>
        <w:tc>
          <w:tcPr>
            <w:tcW w:w="1729" w:type="dxa"/>
            <w:vAlign w:val="center"/>
          </w:tcPr>
          <w:p w:rsidR="00042F67" w:rsidRPr="000545E1" w:rsidRDefault="00042F67" w:rsidP="001D3F7C">
            <w:pPr>
              <w:spacing w:before="20" w:after="20"/>
              <w:jc w:val="center"/>
              <w:rPr>
                <w:rFonts w:ascii="Sitka Text" w:hAnsi="Sitka Text" w:cs="Mongolian Baiti"/>
                <w:color w:val="auto"/>
              </w:rPr>
            </w:pPr>
          </w:p>
        </w:tc>
      </w:tr>
      <w:tr w:rsidR="00042F67" w:rsidRPr="000545E1" w:rsidTr="001D3F7C">
        <w:tc>
          <w:tcPr>
            <w:tcW w:w="727"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lastRenderedPageBreak/>
              <w:t>5.3.3</w:t>
            </w:r>
          </w:p>
        </w:tc>
        <w:tc>
          <w:tcPr>
            <w:tcW w:w="2319"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theme="minorHAnsi"/>
                <w:color w:val="auto"/>
              </w:rPr>
              <w:t>Unaprijeđivanje godišnjih izvještaja o kvalitetu pripreme RIA-e, kroz obezbjeđivanje učešća eksternih evaluatora prilikom ocjene kvaliteta</w:t>
            </w:r>
          </w:p>
        </w:tc>
        <w:tc>
          <w:tcPr>
            <w:tcW w:w="2812"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theme="minorHAnsi"/>
                <w:color w:val="auto"/>
              </w:rPr>
              <w:t>2 godišnja izvještaja  unaprijeđena o stanju RIA</w:t>
            </w:r>
          </w:p>
        </w:tc>
        <w:tc>
          <w:tcPr>
            <w:tcW w:w="2064"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tc>
        <w:tc>
          <w:tcPr>
            <w:tcW w:w="1701"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2022</w:t>
            </w:r>
          </w:p>
        </w:tc>
        <w:tc>
          <w:tcPr>
            <w:tcW w:w="1701"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702" w:type="dxa"/>
            <w:gridSpan w:val="2"/>
            <w:vAlign w:val="center"/>
          </w:tcPr>
          <w:p w:rsidR="00042F67" w:rsidRPr="000545E1" w:rsidRDefault="00042F67" w:rsidP="001D3F7C">
            <w:pPr>
              <w:spacing w:before="20" w:after="20"/>
              <w:jc w:val="center"/>
              <w:rPr>
                <w:rFonts w:ascii="Sitka Text" w:hAnsi="Sitka Text" w:cs="Mongolian Baiti"/>
                <w:color w:val="auto"/>
              </w:rPr>
            </w:pPr>
          </w:p>
        </w:tc>
        <w:tc>
          <w:tcPr>
            <w:tcW w:w="1729" w:type="dxa"/>
            <w:vAlign w:val="center"/>
          </w:tcPr>
          <w:p w:rsidR="00042F67" w:rsidRPr="000545E1" w:rsidRDefault="00042F67" w:rsidP="001D3F7C">
            <w:pPr>
              <w:spacing w:before="20" w:after="20"/>
              <w:jc w:val="center"/>
              <w:rPr>
                <w:rFonts w:ascii="Sitka Text" w:hAnsi="Sitka Text" w:cs="Mongolian Baiti"/>
                <w:color w:val="auto"/>
              </w:rPr>
            </w:pPr>
          </w:p>
        </w:tc>
      </w:tr>
      <w:tr w:rsidR="00042F67" w:rsidRPr="000545E1" w:rsidTr="001D3F7C">
        <w:tc>
          <w:tcPr>
            <w:tcW w:w="727"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5.3.4</w:t>
            </w:r>
          </w:p>
        </w:tc>
        <w:tc>
          <w:tcPr>
            <w:tcW w:w="2319"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theme="minorHAnsi"/>
                <w:color w:val="auto"/>
              </w:rPr>
              <w:t>Učiniti sve RIA-e javno dostupnim na jedinstvenom novom portalu e-uprave</w:t>
            </w:r>
          </w:p>
        </w:tc>
        <w:tc>
          <w:tcPr>
            <w:tcW w:w="2812" w:type="dxa"/>
            <w:gridSpan w:val="2"/>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theme="minorHAnsi"/>
                <w:color w:val="auto"/>
              </w:rPr>
              <w:t>Broj RIA na novom portalu e-uprava</w:t>
            </w:r>
          </w:p>
        </w:tc>
        <w:tc>
          <w:tcPr>
            <w:tcW w:w="206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MJUDDM</w:t>
            </w:r>
          </w:p>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tc>
        <w:tc>
          <w:tcPr>
            <w:tcW w:w="1701"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III Q 2022</w:t>
            </w:r>
          </w:p>
        </w:tc>
        <w:tc>
          <w:tcPr>
            <w:tcW w:w="1701"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IV Q 2023</w:t>
            </w:r>
          </w:p>
        </w:tc>
        <w:tc>
          <w:tcPr>
            <w:tcW w:w="1702"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3.000 €</w:t>
            </w:r>
          </w:p>
        </w:tc>
        <w:tc>
          <w:tcPr>
            <w:tcW w:w="1729"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p>
        </w:tc>
      </w:tr>
      <w:tr w:rsidR="00042F67" w:rsidRPr="000545E1" w:rsidTr="001D3F7C">
        <w:tc>
          <w:tcPr>
            <w:tcW w:w="727"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5.3.5</w:t>
            </w:r>
          </w:p>
        </w:tc>
        <w:tc>
          <w:tcPr>
            <w:tcW w:w="2319"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Unapređenje forme mišljenja Ministarstva finansija i socijalnog staranja na RIA</w:t>
            </w:r>
          </w:p>
        </w:tc>
        <w:tc>
          <w:tcPr>
            <w:tcW w:w="2812" w:type="dxa"/>
            <w:gridSpan w:val="2"/>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Usvojena  unaprijeđena forma obaveznog mišljenja za analizu i pružanje povratnih informacija o kvalitetu RIA</w:t>
            </w:r>
          </w:p>
        </w:tc>
        <w:tc>
          <w:tcPr>
            <w:tcW w:w="2064"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MFSS</w:t>
            </w:r>
          </w:p>
        </w:tc>
        <w:tc>
          <w:tcPr>
            <w:tcW w:w="1701" w:type="dxa"/>
            <w:gridSpan w:val="2"/>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 Q 2022</w:t>
            </w:r>
          </w:p>
        </w:tc>
        <w:tc>
          <w:tcPr>
            <w:tcW w:w="1701" w:type="dxa"/>
            <w:vAlign w:val="center"/>
          </w:tcPr>
          <w:p w:rsidR="00042F67" w:rsidRPr="000545E1" w:rsidRDefault="00042F67" w:rsidP="001D3F7C">
            <w:pPr>
              <w:spacing w:before="20" w:after="20"/>
              <w:jc w:val="center"/>
              <w:rPr>
                <w:rFonts w:ascii="Sitka Text" w:hAnsi="Sitka Text" w:cs="Mongolian Baiti"/>
                <w:color w:val="auto"/>
              </w:rPr>
            </w:pPr>
            <w:r w:rsidRPr="000545E1">
              <w:rPr>
                <w:rFonts w:ascii="Sitka Text" w:hAnsi="Sitka Text" w:cs="Mongolian Baiti"/>
                <w:color w:val="auto"/>
              </w:rPr>
              <w:t>II Q 2022</w:t>
            </w:r>
          </w:p>
        </w:tc>
        <w:tc>
          <w:tcPr>
            <w:tcW w:w="1702" w:type="dxa"/>
            <w:gridSpan w:val="2"/>
            <w:vAlign w:val="center"/>
          </w:tcPr>
          <w:p w:rsidR="00042F67" w:rsidRPr="000545E1" w:rsidRDefault="00042F67" w:rsidP="001D3F7C">
            <w:pPr>
              <w:spacing w:before="20" w:after="20"/>
              <w:jc w:val="center"/>
              <w:rPr>
                <w:rFonts w:ascii="Sitka Text" w:hAnsi="Sitka Text" w:cs="Mongolian Baiti"/>
                <w:color w:val="auto"/>
              </w:rPr>
            </w:pPr>
          </w:p>
        </w:tc>
        <w:tc>
          <w:tcPr>
            <w:tcW w:w="1729" w:type="dxa"/>
            <w:vAlign w:val="center"/>
          </w:tcPr>
          <w:p w:rsidR="00042F67" w:rsidRPr="000545E1" w:rsidRDefault="00042F67" w:rsidP="001D3F7C">
            <w:pPr>
              <w:spacing w:before="20" w:after="20"/>
              <w:jc w:val="center"/>
              <w:rPr>
                <w:rFonts w:ascii="Sitka Text" w:hAnsi="Sitka Text" w:cs="Mongolian Baiti"/>
                <w:color w:val="auto"/>
              </w:rPr>
            </w:pPr>
          </w:p>
        </w:tc>
      </w:tr>
    </w:tbl>
    <w:p w:rsidR="00042F67" w:rsidRPr="000545E1" w:rsidRDefault="00042F67" w:rsidP="00042F67">
      <w:pPr>
        <w:spacing w:before="20" w:after="20" w:line="240" w:lineRule="auto"/>
        <w:rPr>
          <w:rFonts w:ascii="Sitka Text" w:hAnsi="Sitka Text" w:cs="Mongolian Baiti"/>
          <w:b/>
          <w:color w:val="auto"/>
          <w:sz w:val="24"/>
          <w:szCs w:val="24"/>
        </w:rPr>
      </w:pPr>
    </w:p>
    <w:p w:rsidR="00042F67" w:rsidRPr="000545E1" w:rsidRDefault="00042F67" w:rsidP="00042F67">
      <w:pPr>
        <w:spacing w:before="20" w:after="20" w:line="240" w:lineRule="auto"/>
        <w:rPr>
          <w:rFonts w:ascii="Sitka Text" w:hAnsi="Sitka Text" w:cs="Mongolian Baiti"/>
          <w:b/>
          <w:color w:val="auto"/>
          <w:sz w:val="24"/>
          <w:szCs w:val="24"/>
        </w:rPr>
      </w:pPr>
    </w:p>
    <w:p w:rsidR="00042F67" w:rsidRPr="000545E1" w:rsidRDefault="00042F67" w:rsidP="00042F67">
      <w:pPr>
        <w:spacing w:before="20" w:after="20" w:line="240" w:lineRule="auto"/>
        <w:rPr>
          <w:rFonts w:ascii="Sitka Text" w:hAnsi="Sitka Text" w:cs="Mongolian Baiti"/>
          <w:b/>
          <w:color w:val="auto"/>
          <w:sz w:val="28"/>
          <w:szCs w:val="28"/>
        </w:rPr>
      </w:pPr>
      <w:r w:rsidRPr="000545E1">
        <w:rPr>
          <w:rFonts w:ascii="Sitka Text" w:hAnsi="Sitka Text" w:cs="Mongolian Baiti"/>
          <w:b/>
          <w:color w:val="auto"/>
          <w:sz w:val="28"/>
          <w:szCs w:val="28"/>
        </w:rPr>
        <w:t>AKTIVNOSTI ZA SPROVOĐENJE STRATEGIJE, MONITORING I IZVJEŠTAVANJE</w:t>
      </w:r>
    </w:p>
    <w:p w:rsidR="00042F67" w:rsidRPr="000545E1" w:rsidRDefault="00042F67" w:rsidP="00042F67">
      <w:pPr>
        <w:spacing w:before="20" w:after="20" w:line="240" w:lineRule="auto"/>
        <w:rPr>
          <w:rFonts w:ascii="Sitka Text" w:hAnsi="Sitka Text" w:cs="Mongolian Baiti"/>
          <w:color w:val="auto"/>
          <w:sz w:val="24"/>
          <w:szCs w:val="24"/>
        </w:rPr>
      </w:pPr>
    </w:p>
    <w:tbl>
      <w:tblPr>
        <w:tblStyle w:val="TableGrid"/>
        <w:tblW w:w="14670" w:type="dxa"/>
        <w:tblInd w:w="85" w:type="dxa"/>
        <w:tblLook w:val="04A0" w:firstRow="1" w:lastRow="0" w:firstColumn="1" w:lastColumn="0" w:noHBand="0" w:noVBand="1"/>
      </w:tblPr>
      <w:tblGrid>
        <w:gridCol w:w="630"/>
        <w:gridCol w:w="2340"/>
        <w:gridCol w:w="2790"/>
        <w:gridCol w:w="2160"/>
        <w:gridCol w:w="1710"/>
        <w:gridCol w:w="1620"/>
        <w:gridCol w:w="1857"/>
        <w:gridCol w:w="7"/>
        <w:gridCol w:w="1556"/>
      </w:tblGrid>
      <w:tr w:rsidR="00E50DDA" w:rsidRPr="000545E1" w:rsidTr="00E50DDA">
        <w:tc>
          <w:tcPr>
            <w:tcW w:w="2970"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sz w:val="22"/>
                <w:szCs w:val="22"/>
              </w:rPr>
            </w:pPr>
            <w:r w:rsidRPr="000545E1">
              <w:rPr>
                <w:rFonts w:ascii="Sitka Text" w:hAnsi="Sitka Text" w:cs="Mongolian Baiti"/>
                <w:b/>
                <w:color w:val="auto"/>
                <w:sz w:val="22"/>
                <w:szCs w:val="22"/>
              </w:rPr>
              <w:t>Aktivnosti</w:t>
            </w:r>
          </w:p>
        </w:tc>
        <w:tc>
          <w:tcPr>
            <w:tcW w:w="2790"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sz w:val="22"/>
                <w:szCs w:val="22"/>
              </w:rPr>
            </w:pPr>
            <w:r w:rsidRPr="000545E1">
              <w:rPr>
                <w:rFonts w:ascii="Sitka Text" w:hAnsi="Sitka Text" w:cs="Mongolian Baiti"/>
                <w:b/>
                <w:color w:val="auto"/>
                <w:sz w:val="22"/>
                <w:szCs w:val="22"/>
              </w:rPr>
              <w:t>Indikator rezultata</w:t>
            </w:r>
          </w:p>
        </w:tc>
        <w:tc>
          <w:tcPr>
            <w:tcW w:w="2160"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sz w:val="22"/>
                <w:szCs w:val="22"/>
              </w:rPr>
            </w:pPr>
            <w:r w:rsidRPr="000545E1">
              <w:rPr>
                <w:rFonts w:ascii="Sitka Text" w:hAnsi="Sitka Text" w:cs="Mongolian Baiti"/>
                <w:b/>
                <w:color w:val="auto"/>
                <w:sz w:val="22"/>
                <w:szCs w:val="22"/>
              </w:rPr>
              <w:t>Nadležne institucije</w:t>
            </w:r>
          </w:p>
        </w:tc>
        <w:tc>
          <w:tcPr>
            <w:tcW w:w="1710"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sz w:val="22"/>
                <w:szCs w:val="22"/>
              </w:rPr>
            </w:pPr>
            <w:r w:rsidRPr="000545E1">
              <w:rPr>
                <w:rFonts w:ascii="Sitka Text" w:hAnsi="Sitka Text" w:cs="Mongolian Baiti"/>
                <w:b/>
                <w:color w:val="auto"/>
                <w:sz w:val="22"/>
                <w:szCs w:val="22"/>
              </w:rPr>
              <w:t>Početak aktivnosti</w:t>
            </w:r>
          </w:p>
        </w:tc>
        <w:tc>
          <w:tcPr>
            <w:tcW w:w="1620"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sz w:val="22"/>
                <w:szCs w:val="22"/>
              </w:rPr>
            </w:pPr>
            <w:r w:rsidRPr="000545E1">
              <w:rPr>
                <w:rFonts w:ascii="Sitka Text" w:hAnsi="Sitka Text" w:cs="Mongolian Baiti"/>
                <w:b/>
                <w:color w:val="auto"/>
                <w:sz w:val="22"/>
                <w:szCs w:val="22"/>
              </w:rPr>
              <w:t>Završetak aktivnosti</w:t>
            </w:r>
          </w:p>
        </w:tc>
        <w:tc>
          <w:tcPr>
            <w:tcW w:w="1857" w:type="dxa"/>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sz w:val="22"/>
                <w:szCs w:val="22"/>
              </w:rPr>
            </w:pPr>
            <w:r w:rsidRPr="000545E1">
              <w:rPr>
                <w:rFonts w:ascii="Sitka Text" w:hAnsi="Sitka Text" w:cs="Mongolian Baiti"/>
                <w:b/>
                <w:color w:val="auto"/>
                <w:sz w:val="22"/>
                <w:szCs w:val="22"/>
              </w:rPr>
              <w:t>Sredstva za realizaciju</w:t>
            </w:r>
          </w:p>
        </w:tc>
        <w:tc>
          <w:tcPr>
            <w:tcW w:w="1563" w:type="dxa"/>
            <w:gridSpan w:val="2"/>
            <w:shd w:val="clear" w:color="auto" w:fill="F0E9E1" w:themeFill="accent4" w:themeFillTint="33"/>
            <w:vAlign w:val="center"/>
          </w:tcPr>
          <w:p w:rsidR="00042F67" w:rsidRPr="000545E1" w:rsidRDefault="00042F67" w:rsidP="001D3F7C">
            <w:pPr>
              <w:spacing w:before="20" w:after="20"/>
              <w:jc w:val="center"/>
              <w:rPr>
                <w:rFonts w:ascii="Sitka Text" w:hAnsi="Sitka Text" w:cs="Mongolian Baiti"/>
                <w:b/>
                <w:color w:val="auto"/>
                <w:sz w:val="22"/>
                <w:szCs w:val="22"/>
              </w:rPr>
            </w:pPr>
            <w:r w:rsidRPr="000545E1">
              <w:rPr>
                <w:rFonts w:ascii="Sitka Text" w:hAnsi="Sitka Text" w:cs="Mongolian Baiti"/>
                <w:b/>
                <w:color w:val="auto"/>
                <w:sz w:val="22"/>
                <w:szCs w:val="22"/>
              </w:rPr>
              <w:t>Izvor finansiranja</w:t>
            </w:r>
          </w:p>
        </w:tc>
      </w:tr>
      <w:tr w:rsidR="00E50DDA" w:rsidRPr="000545E1" w:rsidTr="00E50DDA">
        <w:tc>
          <w:tcPr>
            <w:tcW w:w="63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1.</w:t>
            </w:r>
          </w:p>
        </w:tc>
        <w:tc>
          <w:tcPr>
            <w:tcW w:w="2340" w:type="dxa"/>
          </w:tcPr>
          <w:p w:rsidR="00042F67" w:rsidRPr="000545E1" w:rsidRDefault="00042F67" w:rsidP="001D3F7C">
            <w:pPr>
              <w:spacing w:before="20" w:after="20"/>
              <w:jc w:val="both"/>
              <w:rPr>
                <w:rFonts w:ascii="Sitka Text" w:hAnsi="Sitka Text"/>
                <w:color w:val="auto"/>
              </w:rPr>
            </w:pPr>
            <w:r w:rsidRPr="000545E1">
              <w:rPr>
                <w:rFonts w:ascii="Sitka Text" w:hAnsi="Sitka Text"/>
                <w:color w:val="auto"/>
              </w:rPr>
              <w:t>Podizanje kapaciteta zaposlenih u Direktoratu za strateško planiranje, međunarodnu saradnju i IPA fondove</w:t>
            </w:r>
          </w:p>
        </w:tc>
        <w:tc>
          <w:tcPr>
            <w:tcW w:w="2790" w:type="dxa"/>
          </w:tcPr>
          <w:p w:rsidR="00042F67" w:rsidRDefault="00042F67" w:rsidP="001D3F7C">
            <w:pPr>
              <w:spacing w:before="20" w:after="20"/>
              <w:rPr>
                <w:rFonts w:ascii="Sitka Text" w:hAnsi="Sitka Text"/>
                <w:color w:val="auto"/>
              </w:rPr>
            </w:pPr>
            <w:r>
              <w:rPr>
                <w:rFonts w:ascii="Sitka Text" w:hAnsi="Sitka Text"/>
                <w:color w:val="auto"/>
              </w:rPr>
              <w:t>- Najmanje 4 zaposl</w:t>
            </w:r>
            <w:r w:rsidRPr="000545E1">
              <w:rPr>
                <w:rFonts w:ascii="Sitka Text" w:hAnsi="Sitka Text"/>
                <w:color w:val="auto"/>
              </w:rPr>
              <w:t>enih prošlo akreditovanu obuku za strateško upravljanje</w:t>
            </w:r>
          </w:p>
          <w:p w:rsidR="00042F67" w:rsidRPr="000545E1" w:rsidRDefault="00042F67" w:rsidP="001D3F7C">
            <w:pPr>
              <w:spacing w:before="20" w:after="20"/>
              <w:rPr>
                <w:rFonts w:ascii="Sitka Text" w:hAnsi="Sitka Text"/>
                <w:color w:val="auto"/>
              </w:rPr>
            </w:pPr>
            <w:r>
              <w:rPr>
                <w:rFonts w:ascii="Sitka Text" w:hAnsi="Sitka Text"/>
                <w:color w:val="auto"/>
              </w:rPr>
              <w:t>- Najmanje 4 zaposlenih prošlo obuke za nedostajuće vještine</w:t>
            </w:r>
          </w:p>
        </w:tc>
        <w:tc>
          <w:tcPr>
            <w:tcW w:w="2160" w:type="dxa"/>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UzK</w:t>
            </w:r>
          </w:p>
        </w:tc>
        <w:tc>
          <w:tcPr>
            <w:tcW w:w="1710" w:type="dxa"/>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II Q 2022</w:t>
            </w:r>
          </w:p>
        </w:tc>
        <w:tc>
          <w:tcPr>
            <w:tcW w:w="1620" w:type="dxa"/>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II Q 2024</w:t>
            </w:r>
          </w:p>
        </w:tc>
        <w:tc>
          <w:tcPr>
            <w:tcW w:w="1864" w:type="dxa"/>
            <w:gridSpan w:val="2"/>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 xml:space="preserve">9.000 </w:t>
            </w:r>
            <w:r w:rsidRPr="00AC6893">
              <w:rPr>
                <w:rFonts w:ascii="Sitka Text" w:hAnsi="Sitka Text" w:cs="Mongolian Baiti"/>
                <w:color w:val="auto"/>
              </w:rPr>
              <w:t>€</w:t>
            </w:r>
          </w:p>
        </w:tc>
        <w:tc>
          <w:tcPr>
            <w:tcW w:w="1556" w:type="dxa"/>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Budžet CG</w:t>
            </w:r>
          </w:p>
        </w:tc>
      </w:tr>
      <w:tr w:rsidR="00E50DDA" w:rsidRPr="000545E1" w:rsidTr="00E50DDA">
        <w:tc>
          <w:tcPr>
            <w:tcW w:w="63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2.</w:t>
            </w:r>
          </w:p>
        </w:tc>
        <w:tc>
          <w:tcPr>
            <w:tcW w:w="2340" w:type="dxa"/>
          </w:tcPr>
          <w:p w:rsidR="00042F67" w:rsidRPr="000545E1" w:rsidRDefault="00042F67" w:rsidP="001D3F7C">
            <w:pPr>
              <w:spacing w:before="20" w:after="20"/>
              <w:rPr>
                <w:rFonts w:ascii="Sitka Text" w:hAnsi="Sitka Text" w:cs="Mongolian Baiti"/>
                <w:color w:val="auto"/>
              </w:rPr>
            </w:pPr>
            <w:r>
              <w:rPr>
                <w:rFonts w:ascii="Sitka Text" w:hAnsi="Sitka Text" w:cs="Mongolian Baiti"/>
                <w:color w:val="auto"/>
              </w:rPr>
              <w:t xml:space="preserve">Unaprijeđena koordinacija identifikovanih institucija za </w:t>
            </w:r>
            <w:r>
              <w:rPr>
                <w:rFonts w:ascii="Sitka Text" w:hAnsi="Sitka Text" w:cs="Mongolian Baiti"/>
                <w:color w:val="auto"/>
              </w:rPr>
              <w:lastRenderedPageBreak/>
              <w:t>realizaciju aktivnosti i MJUDDM</w:t>
            </w:r>
          </w:p>
        </w:tc>
        <w:tc>
          <w:tcPr>
            <w:tcW w:w="2790" w:type="dxa"/>
          </w:tcPr>
          <w:p w:rsidR="00042F67" w:rsidRDefault="00042F67" w:rsidP="001D3F7C">
            <w:pPr>
              <w:spacing w:before="20" w:after="20"/>
              <w:rPr>
                <w:rFonts w:ascii="Sitka Text" w:hAnsi="Sitka Text" w:cs="Mongolian Baiti"/>
                <w:color w:val="auto"/>
              </w:rPr>
            </w:pPr>
            <w:r>
              <w:rPr>
                <w:rFonts w:ascii="Sitka Text" w:hAnsi="Sitka Text" w:cs="Mongolian Baiti"/>
                <w:color w:val="auto"/>
              </w:rPr>
              <w:lastRenderedPageBreak/>
              <w:t xml:space="preserve">- Ogranizovani polugodišnji sastanakci Direktorata za strateško planiranje, međunarodnu saradnju i IPA fondove i </w:t>
            </w:r>
            <w:r>
              <w:rPr>
                <w:rFonts w:ascii="Sitka Text" w:hAnsi="Sitka Text" w:cs="Mongolian Baiti"/>
                <w:color w:val="auto"/>
              </w:rPr>
              <w:lastRenderedPageBreak/>
              <w:t>identitifkovanih institucija ta realizaciju aktivnosti iz Startegije</w:t>
            </w:r>
          </w:p>
          <w:p w:rsidR="00042F67" w:rsidRDefault="00042F67" w:rsidP="001D3F7C">
            <w:pPr>
              <w:spacing w:before="20" w:after="20"/>
              <w:rPr>
                <w:rFonts w:ascii="Sitka Text" w:hAnsi="Sitka Text"/>
                <w:color w:val="auto"/>
              </w:rPr>
            </w:pPr>
            <w:r>
              <w:rPr>
                <w:rFonts w:ascii="Sitka Text" w:hAnsi="Sitka Text"/>
                <w:color w:val="auto"/>
              </w:rPr>
              <w:t>- Organizovane 4 dvodnevne radionice o monitoringu i izvještavanju za konktat osobe identifikovanih istitucija u Strategiji</w:t>
            </w:r>
          </w:p>
          <w:p w:rsidR="00042F67" w:rsidRDefault="00042F67" w:rsidP="001D3F7C">
            <w:pPr>
              <w:spacing w:before="20" w:after="20"/>
              <w:rPr>
                <w:rFonts w:ascii="Sitka Text" w:hAnsi="Sitka Text"/>
                <w:color w:val="auto"/>
              </w:rPr>
            </w:pPr>
            <w:r>
              <w:rPr>
                <w:rFonts w:ascii="Sitka Text" w:hAnsi="Sitka Text" w:cs="Mongolian Baiti"/>
                <w:color w:val="auto"/>
              </w:rPr>
              <w:t xml:space="preserve">- </w:t>
            </w:r>
            <w:r>
              <w:rPr>
                <w:rFonts w:ascii="Sitka Text" w:hAnsi="Sitka Text"/>
                <w:color w:val="auto"/>
              </w:rPr>
              <w:t>Uspostavljena bolja koordinacija sa GSV-om</w:t>
            </w:r>
          </w:p>
          <w:p w:rsidR="00042F67" w:rsidRPr="00AC6893" w:rsidRDefault="00042F67" w:rsidP="001D3F7C">
            <w:pPr>
              <w:spacing w:before="20" w:after="20"/>
              <w:rPr>
                <w:rFonts w:ascii="Sitka Text" w:hAnsi="Sitka Text"/>
                <w:color w:val="auto"/>
              </w:rPr>
            </w:pPr>
            <w:r>
              <w:rPr>
                <w:rFonts w:ascii="Sitka Text" w:hAnsi="Sitka Text"/>
                <w:color w:val="auto"/>
              </w:rPr>
              <w:t>- Studijska posjeta MJUDDM zemlji sa najboljom praksom stratešškog monitoring sistema</w:t>
            </w:r>
          </w:p>
        </w:tc>
        <w:tc>
          <w:tcPr>
            <w:tcW w:w="2160" w:type="dxa"/>
            <w:vAlign w:val="center"/>
          </w:tcPr>
          <w:p w:rsidR="00042F67" w:rsidRDefault="00042F67" w:rsidP="001D3F7C">
            <w:pPr>
              <w:spacing w:before="20" w:after="20"/>
              <w:jc w:val="center"/>
              <w:rPr>
                <w:rFonts w:ascii="Sitka Text" w:hAnsi="Sitka Text" w:cs="Mongolian Baiti"/>
                <w:color w:val="auto"/>
              </w:rPr>
            </w:pPr>
            <w:r>
              <w:rPr>
                <w:rFonts w:ascii="Sitka Text" w:hAnsi="Sitka Text" w:cs="Mongolian Baiti"/>
                <w:color w:val="auto"/>
              </w:rPr>
              <w:lastRenderedPageBreak/>
              <w:t>MJUDDM</w:t>
            </w:r>
          </w:p>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Relevantne institucije u Stratgeiji</w:t>
            </w:r>
          </w:p>
        </w:tc>
        <w:tc>
          <w:tcPr>
            <w:tcW w:w="1710" w:type="dxa"/>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III Q 2022</w:t>
            </w:r>
          </w:p>
        </w:tc>
        <w:tc>
          <w:tcPr>
            <w:tcW w:w="1620" w:type="dxa"/>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IV Q 2024</w:t>
            </w:r>
          </w:p>
        </w:tc>
        <w:tc>
          <w:tcPr>
            <w:tcW w:w="1864" w:type="dxa"/>
            <w:gridSpan w:val="2"/>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 xml:space="preserve">76.000 </w:t>
            </w:r>
            <w:r w:rsidRPr="00AC6893">
              <w:rPr>
                <w:rFonts w:ascii="Sitka Text" w:hAnsi="Sitka Text" w:cs="Mongolian Baiti"/>
                <w:color w:val="auto"/>
              </w:rPr>
              <w:t>€</w:t>
            </w:r>
          </w:p>
        </w:tc>
        <w:tc>
          <w:tcPr>
            <w:tcW w:w="1556" w:type="dxa"/>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Budžet CG</w:t>
            </w:r>
          </w:p>
        </w:tc>
      </w:tr>
      <w:tr w:rsidR="00E50DDA" w:rsidRPr="000545E1" w:rsidTr="00E50DDA">
        <w:tc>
          <w:tcPr>
            <w:tcW w:w="630" w:type="dxa"/>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3.</w:t>
            </w:r>
          </w:p>
        </w:tc>
        <w:tc>
          <w:tcPr>
            <w:tcW w:w="2340" w:type="dxa"/>
          </w:tcPr>
          <w:p w:rsidR="00042F67" w:rsidRPr="000545E1" w:rsidRDefault="00042F67" w:rsidP="001D3F7C">
            <w:pPr>
              <w:spacing w:before="20" w:after="20"/>
              <w:rPr>
                <w:rFonts w:ascii="Sitka Text" w:hAnsi="Sitka Text" w:cs="Mongolian Baiti"/>
                <w:color w:val="auto"/>
              </w:rPr>
            </w:pPr>
            <w:r>
              <w:rPr>
                <w:rFonts w:ascii="Sitka Text" w:hAnsi="Sitka Text" w:cs="Mongolian Baiti"/>
                <w:color w:val="auto"/>
              </w:rPr>
              <w:t>Razvijanje dodatnih mehanizama za bolji monitoring i izvještavanje o rezultatima Startegije 2022-2026</w:t>
            </w:r>
          </w:p>
        </w:tc>
        <w:tc>
          <w:tcPr>
            <w:tcW w:w="2790" w:type="dxa"/>
          </w:tcPr>
          <w:p w:rsidR="00042F67" w:rsidRDefault="00042F67" w:rsidP="001D3F7C">
            <w:pPr>
              <w:spacing w:before="20" w:after="20"/>
              <w:rPr>
                <w:rFonts w:ascii="Sitka Text" w:hAnsi="Sitka Text" w:cs="Mongolian Baiti"/>
                <w:color w:val="auto"/>
              </w:rPr>
            </w:pPr>
            <w:r>
              <w:rPr>
                <w:rFonts w:ascii="Sitka Text" w:hAnsi="Sitka Text" w:cs="Mongolian Baiti"/>
                <w:color w:val="auto"/>
              </w:rPr>
              <w:t>- Razvijena analiza najbolje prakse u regioni o monitoring sistemu za implementaciju Startegije</w:t>
            </w:r>
          </w:p>
          <w:p w:rsidR="00042F67" w:rsidRDefault="00042F67" w:rsidP="001D3F7C">
            <w:pPr>
              <w:spacing w:before="20" w:after="20"/>
              <w:rPr>
                <w:rFonts w:ascii="Sitka Text" w:hAnsi="Sitka Text" w:cs="Mongolian Baiti"/>
                <w:color w:val="auto"/>
              </w:rPr>
            </w:pPr>
            <w:r>
              <w:rPr>
                <w:rFonts w:ascii="Sitka Text" w:hAnsi="Sitka Text" w:cs="Mongolian Baiti"/>
                <w:color w:val="auto"/>
              </w:rPr>
              <w:t>- Razvijena tenderska dokumentacija za razvoj IT sistema za monitoring</w:t>
            </w:r>
          </w:p>
          <w:p w:rsidR="00042F67" w:rsidRPr="000545E1" w:rsidRDefault="00042F67" w:rsidP="001D3F7C">
            <w:pPr>
              <w:spacing w:before="20" w:after="20"/>
              <w:rPr>
                <w:rFonts w:ascii="Sitka Text" w:hAnsi="Sitka Text" w:cs="Mongolian Baiti"/>
                <w:color w:val="auto"/>
              </w:rPr>
            </w:pPr>
            <w:r>
              <w:rPr>
                <w:rFonts w:ascii="Sitka Text" w:hAnsi="Sitka Text" w:cs="Mongolian Baiti"/>
                <w:color w:val="auto"/>
              </w:rPr>
              <w:t>- Kreiranje IT rešenja za monitoring realizacije strategije</w:t>
            </w:r>
          </w:p>
        </w:tc>
        <w:tc>
          <w:tcPr>
            <w:tcW w:w="2160" w:type="dxa"/>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MJUDDM</w:t>
            </w:r>
          </w:p>
        </w:tc>
        <w:tc>
          <w:tcPr>
            <w:tcW w:w="1710" w:type="dxa"/>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I Q 2022</w:t>
            </w:r>
          </w:p>
        </w:tc>
        <w:tc>
          <w:tcPr>
            <w:tcW w:w="1620" w:type="dxa"/>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IV Q 2024</w:t>
            </w:r>
          </w:p>
        </w:tc>
        <w:tc>
          <w:tcPr>
            <w:tcW w:w="1864" w:type="dxa"/>
            <w:gridSpan w:val="2"/>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 xml:space="preserve">105.000 </w:t>
            </w:r>
            <w:r w:rsidRPr="00AC6893">
              <w:rPr>
                <w:rFonts w:ascii="Sitka Text" w:hAnsi="Sitka Text" w:cs="Mongolian Baiti"/>
                <w:color w:val="auto"/>
              </w:rPr>
              <w:t>€</w:t>
            </w:r>
          </w:p>
        </w:tc>
        <w:tc>
          <w:tcPr>
            <w:tcW w:w="1556" w:type="dxa"/>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Budžet CG</w:t>
            </w:r>
          </w:p>
        </w:tc>
      </w:tr>
      <w:tr w:rsidR="00E50DDA" w:rsidRPr="000545E1" w:rsidTr="00E50DDA">
        <w:tc>
          <w:tcPr>
            <w:tcW w:w="630" w:type="dxa"/>
            <w:shd w:val="clear" w:color="auto" w:fill="auto"/>
          </w:tcPr>
          <w:p w:rsidR="00042F67" w:rsidRPr="000545E1" w:rsidRDefault="00042F67" w:rsidP="001D3F7C">
            <w:pPr>
              <w:spacing w:before="20" w:after="20"/>
              <w:rPr>
                <w:rFonts w:ascii="Sitka Text" w:hAnsi="Sitka Text" w:cs="Mongolian Baiti"/>
                <w:color w:val="auto"/>
              </w:rPr>
            </w:pPr>
            <w:r w:rsidRPr="000545E1">
              <w:rPr>
                <w:rFonts w:ascii="Sitka Text" w:hAnsi="Sitka Text" w:cs="Mongolian Baiti"/>
                <w:color w:val="auto"/>
              </w:rPr>
              <w:t>4.</w:t>
            </w:r>
          </w:p>
        </w:tc>
        <w:tc>
          <w:tcPr>
            <w:tcW w:w="2340" w:type="dxa"/>
            <w:shd w:val="clear" w:color="auto" w:fill="auto"/>
          </w:tcPr>
          <w:p w:rsidR="00042F67" w:rsidRPr="000545E1" w:rsidRDefault="00042F67" w:rsidP="001D3F7C">
            <w:pPr>
              <w:spacing w:before="20" w:after="20"/>
              <w:rPr>
                <w:rFonts w:ascii="Sitka Text" w:hAnsi="Sitka Text" w:cs="Mongolian Baiti"/>
                <w:color w:val="auto"/>
              </w:rPr>
            </w:pPr>
            <w:r>
              <w:rPr>
                <w:rFonts w:ascii="Sitka Text" w:hAnsi="Sitka Text" w:cs="Mongolian Baiti"/>
                <w:color w:val="auto"/>
              </w:rPr>
              <w:t>Promocija Strategije RJU, postignutih rezultata i aktivnosti</w:t>
            </w:r>
          </w:p>
        </w:tc>
        <w:tc>
          <w:tcPr>
            <w:tcW w:w="2790" w:type="dxa"/>
            <w:shd w:val="clear" w:color="auto" w:fill="auto"/>
          </w:tcPr>
          <w:p w:rsidR="00042F67" w:rsidRDefault="00042F67" w:rsidP="001D3F7C">
            <w:pPr>
              <w:spacing w:before="20" w:after="20"/>
              <w:rPr>
                <w:rFonts w:ascii="Sitka Text" w:hAnsi="Sitka Text" w:cs="Mongolian Baiti"/>
                <w:color w:val="auto"/>
              </w:rPr>
            </w:pPr>
            <w:r>
              <w:rPr>
                <w:rFonts w:ascii="Sitka Text" w:hAnsi="Sitka Text" w:cs="Mongolian Baiti"/>
                <w:color w:val="auto"/>
              </w:rPr>
              <w:t>- Orgnaizovana min 3 okrugla stola o ciljevima strategije</w:t>
            </w:r>
          </w:p>
          <w:p w:rsidR="00042F67" w:rsidRDefault="00042F67" w:rsidP="001D3F7C">
            <w:pPr>
              <w:spacing w:before="20" w:after="20"/>
              <w:rPr>
                <w:rFonts w:ascii="Sitka Text" w:hAnsi="Sitka Text" w:cs="Mongolian Baiti"/>
                <w:color w:val="auto"/>
              </w:rPr>
            </w:pPr>
            <w:r>
              <w:rPr>
                <w:rFonts w:ascii="Sitka Text" w:hAnsi="Sitka Text" w:cs="Mongolian Baiti"/>
                <w:color w:val="auto"/>
              </w:rPr>
              <w:t>- Organizovane 4 fokus grupe o prioritetnim mjerama startegije</w:t>
            </w:r>
          </w:p>
          <w:p w:rsidR="00042F67" w:rsidRDefault="00042F67" w:rsidP="001D3F7C">
            <w:pPr>
              <w:spacing w:before="20" w:after="20"/>
              <w:rPr>
                <w:rFonts w:ascii="Sitka Text" w:hAnsi="Sitka Text" w:cs="Mongolian Baiti"/>
                <w:color w:val="auto"/>
              </w:rPr>
            </w:pPr>
            <w:r>
              <w:rPr>
                <w:rFonts w:ascii="Sitka Text" w:hAnsi="Sitka Text" w:cs="Mongolian Baiti"/>
                <w:color w:val="auto"/>
              </w:rPr>
              <w:t xml:space="preserve">- Organizovane konsultacije sa mladima, </w:t>
            </w:r>
            <w:r>
              <w:rPr>
                <w:rFonts w:ascii="Sitka Text" w:hAnsi="Sitka Text" w:cs="Mongolian Baiti"/>
                <w:color w:val="auto"/>
              </w:rPr>
              <w:lastRenderedPageBreak/>
              <w:t>NVO o temama reforme javne uprave</w:t>
            </w:r>
          </w:p>
          <w:p w:rsidR="00042F67" w:rsidRDefault="00042F67" w:rsidP="001D3F7C">
            <w:pPr>
              <w:spacing w:before="20" w:after="20"/>
              <w:rPr>
                <w:rFonts w:ascii="Sitka Text" w:hAnsi="Sitka Text" w:cs="Mongolian Baiti"/>
                <w:color w:val="auto"/>
              </w:rPr>
            </w:pPr>
            <w:r>
              <w:rPr>
                <w:rFonts w:ascii="Sitka Text" w:hAnsi="Sitka Text" w:cs="Mongolian Baiti"/>
                <w:color w:val="auto"/>
              </w:rPr>
              <w:t>- Razvijena anketa za građane o temama iz reforme javne uprave</w:t>
            </w:r>
          </w:p>
          <w:p w:rsidR="00042F67" w:rsidRDefault="00042F67" w:rsidP="001D3F7C">
            <w:pPr>
              <w:spacing w:before="20" w:after="20"/>
              <w:rPr>
                <w:rFonts w:ascii="Sitka Text" w:hAnsi="Sitka Text" w:cs="Mongolian Baiti"/>
                <w:color w:val="auto"/>
              </w:rPr>
            </w:pPr>
            <w:r>
              <w:rPr>
                <w:rFonts w:ascii="Sitka Text" w:hAnsi="Sitka Text" w:cs="Mongolian Baiti"/>
                <w:color w:val="auto"/>
              </w:rPr>
              <w:t>- Razvijena 3 video klipa o ciljevima reforme javne uprave</w:t>
            </w:r>
          </w:p>
          <w:p w:rsidR="00042F67" w:rsidRPr="000545E1" w:rsidRDefault="00042F67" w:rsidP="001D3F7C">
            <w:pPr>
              <w:spacing w:before="20" w:after="20"/>
              <w:rPr>
                <w:rFonts w:ascii="Sitka Text" w:hAnsi="Sitka Text" w:cs="Mongolian Baiti"/>
                <w:color w:val="auto"/>
              </w:rPr>
            </w:pPr>
            <w:r>
              <w:rPr>
                <w:rFonts w:ascii="Sitka Text" w:hAnsi="Sitka Text" w:cs="Mongolian Baiti"/>
                <w:color w:val="auto"/>
              </w:rPr>
              <w:t>- Promotivna PR kampanja o reformi javne uprave uvezane sa EU integracijama implementirana</w:t>
            </w:r>
          </w:p>
        </w:tc>
        <w:tc>
          <w:tcPr>
            <w:tcW w:w="216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lastRenderedPageBreak/>
              <w:t>MJUDDM</w:t>
            </w:r>
          </w:p>
        </w:tc>
        <w:tc>
          <w:tcPr>
            <w:tcW w:w="171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II Q 2022</w:t>
            </w:r>
          </w:p>
        </w:tc>
        <w:tc>
          <w:tcPr>
            <w:tcW w:w="162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IV Q 2024</w:t>
            </w:r>
          </w:p>
        </w:tc>
        <w:tc>
          <w:tcPr>
            <w:tcW w:w="1864" w:type="dxa"/>
            <w:gridSpan w:val="2"/>
            <w:shd w:val="clear" w:color="auto" w:fill="auto"/>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 xml:space="preserve">100.000 </w:t>
            </w:r>
            <w:r w:rsidRPr="000C0611">
              <w:rPr>
                <w:rFonts w:ascii="Sitka Text" w:hAnsi="Sitka Text" w:cs="Mongolian Baiti"/>
                <w:color w:val="auto"/>
              </w:rPr>
              <w:t>€</w:t>
            </w:r>
          </w:p>
        </w:tc>
        <w:tc>
          <w:tcPr>
            <w:tcW w:w="1556"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Budžet CG</w:t>
            </w:r>
          </w:p>
        </w:tc>
      </w:tr>
      <w:tr w:rsidR="00E50DDA" w:rsidRPr="000545E1" w:rsidTr="00E50DDA">
        <w:tc>
          <w:tcPr>
            <w:tcW w:w="630" w:type="dxa"/>
            <w:shd w:val="clear" w:color="auto" w:fill="auto"/>
          </w:tcPr>
          <w:p w:rsidR="00042F67" w:rsidRPr="000545E1" w:rsidRDefault="00042F67" w:rsidP="001D3F7C">
            <w:pPr>
              <w:spacing w:before="20" w:after="20"/>
              <w:rPr>
                <w:rFonts w:ascii="Sitka Text" w:hAnsi="Sitka Text" w:cs="Mongolian Baiti"/>
                <w:color w:val="auto"/>
              </w:rPr>
            </w:pPr>
            <w:r>
              <w:rPr>
                <w:rFonts w:ascii="Sitka Text" w:hAnsi="Sitka Text" w:cs="Mongolian Baiti"/>
                <w:color w:val="auto"/>
              </w:rPr>
              <w:t>5.</w:t>
            </w:r>
          </w:p>
        </w:tc>
        <w:tc>
          <w:tcPr>
            <w:tcW w:w="2340" w:type="dxa"/>
            <w:shd w:val="clear" w:color="auto" w:fill="auto"/>
          </w:tcPr>
          <w:p w:rsidR="00042F67" w:rsidRDefault="00042F67" w:rsidP="001D3F7C">
            <w:pPr>
              <w:spacing w:before="20" w:after="20"/>
              <w:rPr>
                <w:rFonts w:ascii="Sitka Text" w:hAnsi="Sitka Text" w:cs="Mongolian Baiti"/>
                <w:color w:val="auto"/>
              </w:rPr>
            </w:pPr>
            <w:r>
              <w:rPr>
                <w:rFonts w:ascii="Sitka Text" w:hAnsi="Sitka Text" w:cs="Mongolian Baiti"/>
                <w:color w:val="auto"/>
              </w:rPr>
              <w:t>Izvještavanje i evaluacija strateških rezultata</w:t>
            </w:r>
          </w:p>
        </w:tc>
        <w:tc>
          <w:tcPr>
            <w:tcW w:w="2790" w:type="dxa"/>
            <w:shd w:val="clear" w:color="auto" w:fill="auto"/>
          </w:tcPr>
          <w:p w:rsidR="00042F67" w:rsidRDefault="00042F67" w:rsidP="001D3F7C">
            <w:pPr>
              <w:spacing w:before="20" w:after="20"/>
              <w:rPr>
                <w:rFonts w:ascii="Sitka Text" w:hAnsi="Sitka Text" w:cs="Mongolian Baiti"/>
                <w:color w:val="auto"/>
              </w:rPr>
            </w:pPr>
            <w:r>
              <w:rPr>
                <w:rFonts w:ascii="Sitka Text" w:hAnsi="Sitka Text" w:cs="Mongolian Baiti"/>
                <w:color w:val="auto"/>
              </w:rPr>
              <w:t>- Koncept izvještavanja unaprijeđen</w:t>
            </w:r>
          </w:p>
          <w:p w:rsidR="00042F67" w:rsidRDefault="00042F67" w:rsidP="001D3F7C">
            <w:pPr>
              <w:spacing w:before="20" w:after="20"/>
              <w:rPr>
                <w:rFonts w:ascii="Sitka Text" w:hAnsi="Sitka Text" w:cs="Mongolian Baiti"/>
                <w:color w:val="auto"/>
              </w:rPr>
            </w:pPr>
            <w:r>
              <w:rPr>
                <w:rFonts w:ascii="Sitka Text" w:hAnsi="Sitka Text" w:cs="Mongolian Baiti"/>
                <w:color w:val="auto"/>
              </w:rPr>
              <w:t>- Sprovedene godišnje eksterne evaluacije Startegije RJU</w:t>
            </w:r>
          </w:p>
        </w:tc>
        <w:tc>
          <w:tcPr>
            <w:tcW w:w="216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MJUDDM</w:t>
            </w:r>
          </w:p>
        </w:tc>
        <w:tc>
          <w:tcPr>
            <w:tcW w:w="171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IV Q 2022</w:t>
            </w:r>
          </w:p>
        </w:tc>
        <w:tc>
          <w:tcPr>
            <w:tcW w:w="1620" w:type="dxa"/>
            <w:shd w:val="clear" w:color="auto" w:fill="auto"/>
            <w:vAlign w:val="center"/>
          </w:tcPr>
          <w:p w:rsidR="00042F67" w:rsidRPr="000545E1" w:rsidRDefault="00042F67" w:rsidP="001D3F7C">
            <w:pPr>
              <w:spacing w:before="20" w:after="20"/>
              <w:jc w:val="center"/>
              <w:rPr>
                <w:rFonts w:ascii="Sitka Text" w:hAnsi="Sitka Text" w:cs="Mongolian Baiti"/>
                <w:color w:val="auto"/>
              </w:rPr>
            </w:pPr>
            <w:r>
              <w:rPr>
                <w:rFonts w:ascii="Sitka Text" w:hAnsi="Sitka Text" w:cs="Mongolian Baiti"/>
                <w:color w:val="auto"/>
              </w:rPr>
              <w:t>IV Q 2024</w:t>
            </w:r>
          </w:p>
        </w:tc>
        <w:tc>
          <w:tcPr>
            <w:tcW w:w="1864" w:type="dxa"/>
            <w:gridSpan w:val="2"/>
            <w:shd w:val="clear" w:color="auto" w:fill="auto"/>
            <w:vAlign w:val="center"/>
          </w:tcPr>
          <w:p w:rsidR="00042F67" w:rsidRDefault="00042F67" w:rsidP="001D3F7C">
            <w:pPr>
              <w:spacing w:before="20" w:after="20"/>
              <w:jc w:val="center"/>
              <w:rPr>
                <w:rFonts w:ascii="Sitka Text" w:hAnsi="Sitka Text" w:cs="Mongolian Baiti"/>
                <w:color w:val="auto"/>
              </w:rPr>
            </w:pPr>
            <w:r>
              <w:rPr>
                <w:rFonts w:ascii="Sitka Text" w:hAnsi="Sitka Text" w:cs="Mongolian Baiti"/>
                <w:color w:val="auto"/>
              </w:rPr>
              <w:t xml:space="preserve">60.000 </w:t>
            </w:r>
            <w:r w:rsidRPr="000C0611">
              <w:rPr>
                <w:rFonts w:ascii="Sitka Text" w:hAnsi="Sitka Text" w:cs="Mongolian Baiti"/>
                <w:color w:val="auto"/>
              </w:rPr>
              <w:t>€</w:t>
            </w:r>
          </w:p>
        </w:tc>
        <w:tc>
          <w:tcPr>
            <w:tcW w:w="1556" w:type="dxa"/>
            <w:shd w:val="clear" w:color="auto" w:fill="auto"/>
            <w:vAlign w:val="center"/>
          </w:tcPr>
          <w:p w:rsidR="00042F67" w:rsidRDefault="00042F67" w:rsidP="001D3F7C">
            <w:pPr>
              <w:spacing w:before="20" w:after="20"/>
              <w:jc w:val="center"/>
              <w:rPr>
                <w:rFonts w:ascii="Sitka Text" w:hAnsi="Sitka Text" w:cs="Mongolian Baiti"/>
                <w:color w:val="auto"/>
              </w:rPr>
            </w:pPr>
            <w:r>
              <w:rPr>
                <w:rFonts w:ascii="Sitka Text" w:hAnsi="Sitka Text" w:cs="Mongolian Baiti"/>
                <w:color w:val="auto"/>
              </w:rPr>
              <w:t>Budžet CG</w:t>
            </w:r>
          </w:p>
        </w:tc>
      </w:tr>
    </w:tbl>
    <w:p w:rsidR="00042F67" w:rsidRPr="000545E1" w:rsidRDefault="00042F67" w:rsidP="00042F67">
      <w:pPr>
        <w:spacing w:before="20" w:after="20" w:line="240" w:lineRule="auto"/>
        <w:rPr>
          <w:rFonts w:ascii="Sitka Text" w:hAnsi="Sitka Text" w:cs="Mongolian Baiti"/>
          <w:color w:val="auto"/>
          <w:sz w:val="24"/>
          <w:szCs w:val="24"/>
        </w:rPr>
      </w:pPr>
    </w:p>
    <w:p w:rsidR="00D376EC" w:rsidRPr="00CB681C" w:rsidRDefault="00D376EC" w:rsidP="00CB681C">
      <w:pPr>
        <w:spacing w:before="60" w:after="60" w:line="240" w:lineRule="auto"/>
        <w:ind w:right="-471"/>
        <w:jc w:val="both"/>
        <w:rPr>
          <w:rFonts w:asciiTheme="majorHAnsi" w:hAnsiTheme="majorHAnsi" w:cstheme="majorHAnsi"/>
          <w:color w:val="auto"/>
          <w:sz w:val="24"/>
          <w:szCs w:val="24"/>
        </w:rPr>
      </w:pPr>
    </w:p>
    <w:sectPr w:rsidR="00D376EC" w:rsidRPr="00CB681C" w:rsidSect="00C57D76">
      <w:headerReference w:type="default" r:id="rId136"/>
      <w:footerReference w:type="default" r:id="rId137"/>
      <w:headerReference w:type="first" r:id="rId138"/>
      <w:footerReference w:type="first" r:id="rId139"/>
      <w:pgSz w:w="15840" w:h="12240" w:orient="landscape" w:code="1"/>
      <w:pgMar w:top="864" w:right="1440" w:bottom="864" w:left="720" w:header="432"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1F67E6" w16cid:durableId="253425D1"/>
  <w16cid:commentId w16cid:paraId="79CFC612" w16cid:durableId="253425DD"/>
  <w16cid:commentId w16cid:paraId="275DE4DC" w16cid:durableId="253425E0"/>
  <w16cid:commentId w16cid:paraId="2FBBD8B7" w16cid:durableId="253425E3"/>
  <w16cid:commentId w16cid:paraId="6C0C3840" w16cid:durableId="253425E4"/>
  <w16cid:commentId w16cid:paraId="5A34DEC4" w16cid:durableId="253425E5"/>
  <w16cid:commentId w16cid:paraId="5EAFC9E7" w16cid:durableId="253425E6"/>
  <w16cid:commentId w16cid:paraId="7344A99E" w16cid:durableId="253425E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498" w:rsidRDefault="00DC3498">
      <w:pPr>
        <w:spacing w:after="0" w:line="240" w:lineRule="auto"/>
      </w:pPr>
      <w:r>
        <w:separator/>
      </w:r>
    </w:p>
  </w:endnote>
  <w:endnote w:type="continuationSeparator" w:id="0">
    <w:p w:rsidR="00DC3498" w:rsidRDefault="00DC3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00"/>
    <w:family w:val="auto"/>
    <w:pitch w:val="variable"/>
    <w:sig w:usb0="A00002EF" w:usb1="4000204B"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29447"/>
      <w:docPartObj>
        <w:docPartGallery w:val="Page Numbers (Bottom of Page)"/>
        <w:docPartUnique/>
      </w:docPartObj>
    </w:sdtPr>
    <w:sdtEndPr>
      <w:rPr>
        <w:noProof/>
      </w:rPr>
    </w:sdtEndPr>
    <w:sdtContent>
      <w:p w:rsidR="00F735BC" w:rsidRDefault="00F735BC">
        <w:pPr>
          <w:pStyle w:val="Footer"/>
          <w:jc w:val="right"/>
        </w:pPr>
        <w:r>
          <w:fldChar w:fldCharType="begin"/>
        </w:r>
        <w:r>
          <w:instrText xml:space="preserve"> PAGE   \* MERGEFORMAT </w:instrText>
        </w:r>
        <w:r>
          <w:fldChar w:fldCharType="separate"/>
        </w:r>
        <w:r w:rsidR="009972CE">
          <w:rPr>
            <w:noProof/>
          </w:rPr>
          <w:t>90</w:t>
        </w:r>
        <w:r>
          <w:rPr>
            <w:noProof/>
          </w:rPr>
          <w:fldChar w:fldCharType="end"/>
        </w:r>
      </w:p>
    </w:sdtContent>
  </w:sdt>
  <w:p w:rsidR="00F735BC" w:rsidRDefault="00F735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487472"/>
      <w:docPartObj>
        <w:docPartGallery w:val="Page Numbers (Bottom of Page)"/>
        <w:docPartUnique/>
      </w:docPartObj>
    </w:sdtPr>
    <w:sdtEndPr>
      <w:rPr>
        <w:noProof/>
      </w:rPr>
    </w:sdtEndPr>
    <w:sdtContent>
      <w:p w:rsidR="00042F67" w:rsidRDefault="00042F67">
        <w:pPr>
          <w:pStyle w:val="Footer"/>
          <w:jc w:val="right"/>
        </w:pPr>
        <w:r>
          <w:fldChar w:fldCharType="begin"/>
        </w:r>
        <w:r>
          <w:instrText xml:space="preserve"> PAGE   \* MERGEFORMAT </w:instrText>
        </w:r>
        <w:r>
          <w:fldChar w:fldCharType="separate"/>
        </w:r>
        <w:r w:rsidR="009972CE">
          <w:rPr>
            <w:noProof/>
          </w:rPr>
          <w:t>134</w:t>
        </w:r>
        <w:r>
          <w:rPr>
            <w:noProof/>
          </w:rPr>
          <w:fldChar w:fldCharType="end"/>
        </w:r>
      </w:p>
    </w:sdtContent>
  </w:sdt>
  <w:p w:rsidR="00042F67" w:rsidRDefault="00042F6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F67" w:rsidRDefault="00042F67">
    <w:pPr>
      <w:pStyle w:val="Footer"/>
    </w:pPr>
    <w:r>
      <w:rPr>
        <w:noProof/>
        <w:lang w:eastAsia="sr-Latn-RS"/>
      </w:rPr>
      <mc:AlternateContent>
        <mc:Choice Requires="wps">
          <w:drawing>
            <wp:anchor distT="0" distB="0" distL="114300" distR="114300" simplePos="0" relativeHeight="251659264" behindDoc="1" locked="0" layoutInCell="1" allowOverlap="1" wp14:anchorId="27EB9A1C" wp14:editId="1483DA0D">
              <wp:simplePos x="0" y="0"/>
              <wp:positionH relativeFrom="page">
                <wp:posOffset>0</wp:posOffset>
              </wp:positionH>
              <wp:positionV relativeFrom="page">
                <wp:posOffset>8671560</wp:posOffset>
              </wp:positionV>
              <wp:extent cx="7810500" cy="1706880"/>
              <wp:effectExtent l="0" t="0" r="0" b="0"/>
              <wp:wrapNone/>
              <wp:docPr id="53" name="Freeform: Shape 8" descr="Green gradient i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7810500" cy="1706880"/>
                      </a:xfrm>
                      <a:custGeom>
                        <a:avLst/>
                        <a:gdLst>
                          <a:gd name="connsiteX0" fmla="*/ 0 w 7738110"/>
                          <a:gd name="connsiteY0" fmla="*/ 0 h 2906395"/>
                          <a:gd name="connsiteX1" fmla="*/ 7738110 w 7738110"/>
                          <a:gd name="connsiteY1" fmla="*/ 0 h 2906395"/>
                          <a:gd name="connsiteX2" fmla="*/ 7738110 w 7738110"/>
                          <a:gd name="connsiteY2" fmla="*/ 2906395 h 2906395"/>
                          <a:gd name="connsiteX3" fmla="*/ 0 w 7738110"/>
                          <a:gd name="connsiteY3" fmla="*/ 2906395 h 2906395"/>
                          <a:gd name="connsiteX4" fmla="*/ 0 w 7738110"/>
                          <a:gd name="connsiteY4" fmla="*/ 0 h 2906395"/>
                          <a:gd name="connsiteX0" fmla="*/ 0 w 7738110"/>
                          <a:gd name="connsiteY0" fmla="*/ 0 h 2906395"/>
                          <a:gd name="connsiteX1" fmla="*/ 7738110 w 7738110"/>
                          <a:gd name="connsiteY1" fmla="*/ 0 h 2906395"/>
                          <a:gd name="connsiteX2" fmla="*/ 7738110 w 7738110"/>
                          <a:gd name="connsiteY2" fmla="*/ 1896461 h 2906395"/>
                          <a:gd name="connsiteX3" fmla="*/ 0 w 7738110"/>
                          <a:gd name="connsiteY3" fmla="*/ 2906395 h 2906395"/>
                          <a:gd name="connsiteX4" fmla="*/ 0 w 7738110"/>
                          <a:gd name="connsiteY4" fmla="*/ 0 h 29063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38110" h="2906395">
                            <a:moveTo>
                              <a:pt x="0" y="0"/>
                            </a:moveTo>
                            <a:lnTo>
                              <a:pt x="7738110" y="0"/>
                            </a:lnTo>
                            <a:lnTo>
                              <a:pt x="7738110" y="1896461"/>
                            </a:lnTo>
                            <a:lnTo>
                              <a:pt x="0" y="2906395"/>
                            </a:lnTo>
                            <a:lnTo>
                              <a:pt x="0" y="0"/>
                            </a:lnTo>
                            <a:close/>
                          </a:path>
                        </a:pathLst>
                      </a:custGeom>
                      <a:gradFill flip="none" rotWithShape="1">
                        <a:gsLst>
                          <a:gs pos="0">
                            <a:schemeClr val="accent3">
                              <a:lumMod val="40000"/>
                              <a:lumOff val="60000"/>
                            </a:schemeClr>
                          </a:gs>
                          <a:gs pos="100000">
                            <a:schemeClr val="accent5">
                              <a:lumMod val="100000"/>
                            </a:schemeClr>
                          </a:gs>
                        </a:gsLst>
                        <a:lin ang="192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2F67" w:rsidRDefault="00042F67" w:rsidP="00A367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B9A1C" id="_x0000_s1165" alt="Green gradient in rectangle" style="position:absolute;left:0;text-align:left;margin-left:0;margin-top:682.8pt;width:615pt;height:134.4pt;rotation:18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738110,2906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" adj="-11796480,,5400" path="m,l7738110,r,1896461l,2906395,,xe" fillcolor="#cbc2bd [1302]" stroked="f" strokeweight="2pt">
              <v:fill color2="#67787b [3208]" rotate="t" angle="58" focus="100%" type="gradient">
                <o:fill v:ext="view" type="gradientUnscaled"/>
              </v:fill>
              <v:stroke joinstyle="miter"/>
              <v:formulas/>
              <v:path arrowok="t" o:connecttype="custom" o:connectlocs="0,0;7810500,0;7810500,1113762;0,1706880;0,0" o:connectangles="0,0,0,0,0" textboxrect="0,0,7738110,2906395"/>
              <v:textbox>
                <w:txbxContent>
                  <w:p w:rsidR="00042F67" w:rsidRDefault="00042F67" w:rsidP="00A36725"/>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498" w:rsidRDefault="00DC3498">
      <w:pPr>
        <w:spacing w:after="0" w:line="240" w:lineRule="auto"/>
      </w:pPr>
      <w:r>
        <w:separator/>
      </w:r>
    </w:p>
  </w:footnote>
  <w:footnote w:type="continuationSeparator" w:id="0">
    <w:p w:rsidR="00DC3498" w:rsidRDefault="00DC3498">
      <w:pPr>
        <w:spacing w:after="0" w:line="240" w:lineRule="auto"/>
      </w:pPr>
      <w:r>
        <w:continuationSeparator/>
      </w:r>
    </w:p>
  </w:footnote>
  <w:footnote w:id="1">
    <w:p w:rsidR="00F735BC" w:rsidRPr="00253588" w:rsidRDefault="00F735BC">
      <w:pPr>
        <w:pStyle w:val="FootnoteText"/>
        <w:rPr>
          <w:rFonts w:asciiTheme="majorHAnsi" w:hAnsiTheme="majorHAnsi" w:cstheme="majorHAnsi"/>
          <w:color w:val="auto"/>
          <w:sz w:val="16"/>
          <w:szCs w:val="16"/>
        </w:rPr>
      </w:pPr>
      <w:r w:rsidRPr="00253588">
        <w:rPr>
          <w:rStyle w:val="FootnoteReference"/>
          <w:rFonts w:asciiTheme="majorHAnsi" w:hAnsiTheme="majorHAnsi" w:cstheme="majorHAnsi"/>
          <w:color w:val="auto"/>
          <w:sz w:val="16"/>
          <w:szCs w:val="16"/>
        </w:rPr>
        <w:footnoteRef/>
      </w:r>
      <w:r w:rsidRPr="00253588">
        <w:rPr>
          <w:rFonts w:asciiTheme="majorHAnsi" w:hAnsiTheme="majorHAnsi" w:cstheme="majorHAnsi"/>
          <w:color w:val="auto"/>
          <w:sz w:val="16"/>
          <w:szCs w:val="16"/>
        </w:rPr>
        <w:t xml:space="preserve"> </w:t>
      </w:r>
      <w:hyperlink r:id="rId1" w:history="1">
        <w:r w:rsidRPr="00253588">
          <w:rPr>
            <w:rStyle w:val="Hyperlink"/>
            <w:rFonts w:asciiTheme="majorHAnsi" w:hAnsiTheme="majorHAnsi" w:cstheme="majorHAnsi"/>
            <w:color w:val="auto"/>
            <w:sz w:val="16"/>
            <w:szCs w:val="16"/>
          </w:rPr>
          <w:t>http://media.cgo-cce.org/2013/03/Strategija-reforme-javne-uprave-u-Crnoj-Gori-2011-2016-AURUM.pdf</w:t>
        </w:r>
      </w:hyperlink>
    </w:p>
  </w:footnote>
  <w:footnote w:id="2">
    <w:p w:rsidR="00F735BC" w:rsidRDefault="00F735BC">
      <w:pPr>
        <w:pStyle w:val="FootnoteText"/>
      </w:pPr>
      <w:r w:rsidRPr="00253588">
        <w:rPr>
          <w:rStyle w:val="FootnoteReference"/>
          <w:rFonts w:asciiTheme="majorHAnsi" w:hAnsiTheme="majorHAnsi" w:cstheme="majorHAnsi"/>
          <w:color w:val="auto"/>
          <w:sz w:val="16"/>
          <w:szCs w:val="16"/>
        </w:rPr>
        <w:footnoteRef/>
      </w:r>
      <w:r w:rsidRPr="00253588">
        <w:rPr>
          <w:rFonts w:asciiTheme="majorHAnsi" w:hAnsiTheme="majorHAnsi" w:cstheme="majorHAnsi"/>
          <w:color w:val="auto"/>
          <w:sz w:val="16"/>
          <w:szCs w:val="16"/>
        </w:rPr>
        <w:t xml:space="preserve"> </w:t>
      </w:r>
      <w:hyperlink r:id="rId2" w:history="1">
        <w:r w:rsidRPr="00253588">
          <w:rPr>
            <w:rStyle w:val="Hyperlink"/>
            <w:rFonts w:asciiTheme="majorHAnsi" w:hAnsiTheme="majorHAnsi" w:cstheme="majorHAnsi"/>
            <w:color w:val="auto"/>
            <w:sz w:val="16"/>
            <w:szCs w:val="16"/>
          </w:rPr>
          <w:t>https://www.gov.me/en/documents/eb181a14-f291-44be-8603-bfbb75901152</w:t>
        </w:r>
      </w:hyperlink>
      <w:r w:rsidRPr="00253588">
        <w:rPr>
          <w:color w:val="auto"/>
          <w:sz w:val="14"/>
          <w:szCs w:val="14"/>
        </w:rPr>
        <w:t xml:space="preserve"> </w:t>
      </w:r>
    </w:p>
  </w:footnote>
  <w:footnote w:id="3">
    <w:p w:rsidR="00F735BC" w:rsidRPr="007E14C5" w:rsidRDefault="00F735BC" w:rsidP="007E14C5">
      <w:pPr>
        <w:pStyle w:val="FootnoteText"/>
        <w:ind w:right="-540"/>
        <w:jc w:val="both"/>
        <w:rPr>
          <w:rFonts w:asciiTheme="majorHAnsi" w:hAnsiTheme="majorHAnsi" w:cstheme="majorHAnsi"/>
          <w:sz w:val="16"/>
          <w:szCs w:val="16"/>
          <w:lang w:val="en-US"/>
        </w:rPr>
      </w:pPr>
      <w:r w:rsidRPr="007E14C5">
        <w:rPr>
          <w:rStyle w:val="FootnoteReference"/>
          <w:rFonts w:asciiTheme="majorHAnsi" w:hAnsiTheme="majorHAnsi" w:cstheme="majorHAnsi"/>
          <w:sz w:val="16"/>
          <w:szCs w:val="16"/>
        </w:rPr>
        <w:footnoteRef/>
      </w:r>
      <w:r w:rsidRPr="007E14C5">
        <w:rPr>
          <w:rFonts w:asciiTheme="majorHAnsi" w:hAnsiTheme="majorHAnsi" w:cstheme="majorHAnsi"/>
          <w:sz w:val="16"/>
          <w:szCs w:val="16"/>
        </w:rPr>
        <w:t xml:space="preserve"> </w:t>
      </w:r>
      <w:r w:rsidRPr="007E14C5">
        <w:rPr>
          <w:rFonts w:asciiTheme="majorHAnsi" w:hAnsiTheme="majorHAnsi" w:cstheme="majorHAnsi"/>
          <w:color w:val="auto"/>
          <w:sz w:val="16"/>
          <w:szCs w:val="16"/>
        </w:rPr>
        <w:t xml:space="preserve">Detaljne informacije o realizovanim i djelimično realizovanim ciljevima i aktivnostima, kroz Finalnim izvještajem o realizaciji Strategije reforme javne uprave 2016-2020. godine, mogu se naći na adresi: </w:t>
      </w:r>
      <w:hyperlink r:id="rId3" w:history="1">
        <w:r w:rsidRPr="007E14C5">
          <w:rPr>
            <w:rStyle w:val="Hyperlink"/>
            <w:rFonts w:asciiTheme="majorHAnsi" w:hAnsiTheme="majorHAnsi" w:cstheme="majorHAnsi"/>
            <w:sz w:val="16"/>
            <w:szCs w:val="16"/>
          </w:rPr>
          <w:t>file:///D:/Korisnicki%20podaci/Downloads/zavrsni-izvjestaj-o-implementaciji-stategije-reforme-javne-uprave-2016-2020-1.pdf</w:t>
        </w:r>
      </w:hyperlink>
      <w:r w:rsidRPr="007E14C5">
        <w:rPr>
          <w:rFonts w:asciiTheme="majorHAnsi" w:hAnsiTheme="majorHAnsi" w:cstheme="majorHAnsi"/>
          <w:color w:val="auto"/>
          <w:sz w:val="16"/>
          <w:szCs w:val="16"/>
        </w:rPr>
        <w:t xml:space="preserve"> </w:t>
      </w:r>
    </w:p>
  </w:footnote>
  <w:footnote w:id="4">
    <w:p w:rsidR="00F735BC" w:rsidRPr="00C1093A" w:rsidRDefault="00F735BC" w:rsidP="003465A2">
      <w:pPr>
        <w:pStyle w:val="FootnoteText"/>
        <w:spacing w:before="0"/>
        <w:rPr>
          <w:rFonts w:asciiTheme="majorHAnsi" w:hAnsiTheme="majorHAnsi" w:cstheme="majorHAnsi"/>
          <w:color w:val="auto"/>
          <w:sz w:val="16"/>
          <w:szCs w:val="16"/>
        </w:rPr>
      </w:pPr>
      <w:r w:rsidRPr="00C1093A">
        <w:rPr>
          <w:rStyle w:val="FootnoteReference"/>
          <w:rFonts w:asciiTheme="majorHAnsi" w:hAnsiTheme="majorHAnsi" w:cstheme="majorHAnsi"/>
          <w:color w:val="auto"/>
          <w:sz w:val="16"/>
          <w:szCs w:val="16"/>
        </w:rPr>
        <w:footnoteRef/>
      </w:r>
      <w:r w:rsidRPr="00C1093A">
        <w:rPr>
          <w:rFonts w:asciiTheme="majorHAnsi" w:hAnsiTheme="majorHAnsi" w:cstheme="majorHAnsi"/>
          <w:color w:val="auto"/>
          <w:sz w:val="16"/>
          <w:szCs w:val="16"/>
        </w:rPr>
        <w:t xml:space="preserve"> </w:t>
      </w:r>
      <w:hyperlink r:id="rId4" w:history="1">
        <w:r w:rsidRPr="00C1093A">
          <w:rPr>
            <w:rStyle w:val="Hyperlink"/>
            <w:rFonts w:asciiTheme="majorHAnsi" w:hAnsiTheme="majorHAnsi" w:cstheme="majorHAnsi"/>
            <w:color w:val="auto"/>
            <w:sz w:val="16"/>
            <w:szCs w:val="16"/>
          </w:rPr>
          <w:t>file:///D:/Korisnicki%20podaci/Downloads/Montenegro%202021%20report.PDF</w:t>
        </w:r>
      </w:hyperlink>
      <w:r w:rsidRPr="00C1093A">
        <w:rPr>
          <w:rFonts w:asciiTheme="majorHAnsi" w:hAnsiTheme="majorHAnsi" w:cstheme="majorHAnsi"/>
          <w:color w:val="auto"/>
          <w:sz w:val="16"/>
          <w:szCs w:val="16"/>
        </w:rPr>
        <w:t xml:space="preserve"> </w:t>
      </w:r>
    </w:p>
  </w:footnote>
  <w:footnote w:id="5">
    <w:p w:rsidR="00F735BC" w:rsidRPr="00C1093A" w:rsidRDefault="00F735BC" w:rsidP="0067762A">
      <w:pPr>
        <w:pStyle w:val="FootnoteText"/>
        <w:spacing w:before="0"/>
        <w:ind w:right="-385"/>
        <w:jc w:val="both"/>
        <w:rPr>
          <w:rFonts w:asciiTheme="majorHAnsi" w:hAnsiTheme="majorHAnsi" w:cstheme="majorHAnsi"/>
          <w:color w:val="auto"/>
          <w:sz w:val="16"/>
          <w:szCs w:val="16"/>
        </w:rPr>
      </w:pPr>
      <w:r w:rsidRPr="00C1093A">
        <w:rPr>
          <w:rStyle w:val="FootnoteReference"/>
          <w:rFonts w:asciiTheme="majorHAnsi" w:hAnsiTheme="majorHAnsi" w:cstheme="majorHAnsi"/>
          <w:color w:val="auto"/>
          <w:sz w:val="16"/>
          <w:szCs w:val="16"/>
        </w:rPr>
        <w:footnoteRef/>
      </w:r>
      <w:r w:rsidRPr="00C1093A">
        <w:rPr>
          <w:rFonts w:asciiTheme="majorHAnsi" w:hAnsiTheme="majorHAnsi" w:cstheme="majorHAnsi"/>
          <w:color w:val="auto"/>
          <w:sz w:val="16"/>
          <w:szCs w:val="16"/>
        </w:rPr>
        <w:t xml:space="preserve"> </w:t>
      </w:r>
      <w:hyperlink r:id="rId5" w:history="1">
        <w:r w:rsidRPr="00C1093A">
          <w:rPr>
            <w:rStyle w:val="Hyperlink"/>
            <w:rFonts w:asciiTheme="majorHAnsi" w:hAnsiTheme="majorHAnsi" w:cstheme="majorHAnsi"/>
            <w:color w:val="auto"/>
            <w:sz w:val="16"/>
            <w:szCs w:val="16"/>
          </w:rPr>
          <w:t>https://javnepolitike.me/wp-content/uploads/2020/11/Metodologija-razvijanja-politika-draft3-preview-22SEP20.pdf</w:t>
        </w:r>
      </w:hyperlink>
      <w:r w:rsidRPr="00C1093A">
        <w:rPr>
          <w:rFonts w:asciiTheme="majorHAnsi" w:hAnsiTheme="majorHAnsi" w:cstheme="majorHAnsi"/>
          <w:color w:val="auto"/>
          <w:sz w:val="16"/>
          <w:szCs w:val="16"/>
        </w:rPr>
        <w:t xml:space="preserve"> </w:t>
      </w:r>
    </w:p>
  </w:footnote>
  <w:footnote w:id="6">
    <w:p w:rsidR="00F735BC" w:rsidRPr="00C1093A" w:rsidRDefault="00F735BC" w:rsidP="00424323">
      <w:pPr>
        <w:pStyle w:val="FootnoteText"/>
        <w:spacing w:before="0"/>
        <w:ind w:right="-385"/>
        <w:jc w:val="both"/>
        <w:rPr>
          <w:rFonts w:asciiTheme="majorHAnsi" w:hAnsiTheme="majorHAnsi" w:cstheme="majorHAnsi"/>
          <w:color w:val="auto"/>
          <w:sz w:val="16"/>
          <w:szCs w:val="16"/>
        </w:rPr>
      </w:pPr>
      <w:r w:rsidRPr="00C1093A">
        <w:rPr>
          <w:rStyle w:val="FootnoteReference"/>
          <w:rFonts w:asciiTheme="majorHAnsi" w:hAnsiTheme="majorHAnsi" w:cstheme="majorHAnsi"/>
          <w:color w:val="auto"/>
          <w:sz w:val="16"/>
          <w:szCs w:val="16"/>
        </w:rPr>
        <w:footnoteRef/>
      </w:r>
      <w:r w:rsidRPr="00C1093A">
        <w:rPr>
          <w:rFonts w:asciiTheme="majorHAnsi" w:hAnsiTheme="majorHAnsi" w:cstheme="majorHAnsi"/>
          <w:color w:val="auto"/>
          <w:sz w:val="16"/>
          <w:szCs w:val="16"/>
        </w:rPr>
        <w:t xml:space="preserve"> Ukupno je </w:t>
      </w:r>
      <w:r w:rsidRPr="00C1093A">
        <w:rPr>
          <w:rFonts w:asciiTheme="majorHAnsi" w:hAnsiTheme="majorHAnsi" w:cstheme="majorHAnsi"/>
          <w:color w:val="auto"/>
          <w:sz w:val="16"/>
          <w:szCs w:val="16"/>
          <w:u w:val="single"/>
        </w:rPr>
        <w:t>održano 8 fokus grupa sa preko 60 učesnika</w:t>
      </w:r>
      <w:r w:rsidRPr="00C1093A">
        <w:rPr>
          <w:rFonts w:asciiTheme="majorHAnsi" w:hAnsiTheme="majorHAnsi" w:cstheme="majorHAnsi"/>
          <w:color w:val="auto"/>
          <w:sz w:val="16"/>
          <w:szCs w:val="16"/>
        </w:rPr>
        <w:t xml:space="preserve">, a uključene su sve relevantne zajednice: studenti, organizacije civilnog društva, mali biznisi, akademska zajednica, poslovna zajednica i sindikati, zaposleni u javnoj upravi (2 fokus grupe), građani/ke. Razvijen je </w:t>
      </w:r>
      <w:r w:rsidRPr="00C1093A">
        <w:rPr>
          <w:rFonts w:asciiTheme="majorHAnsi" w:hAnsiTheme="majorHAnsi" w:cstheme="majorHAnsi"/>
          <w:color w:val="auto"/>
          <w:sz w:val="16"/>
          <w:szCs w:val="16"/>
          <w:u w:val="single"/>
        </w:rPr>
        <w:t>Izvještaj sa fokus grupa</w:t>
      </w:r>
      <w:r w:rsidRPr="00C1093A">
        <w:rPr>
          <w:rFonts w:asciiTheme="majorHAnsi" w:hAnsiTheme="majorHAnsi" w:cstheme="majorHAnsi"/>
          <w:color w:val="auto"/>
          <w:sz w:val="16"/>
          <w:szCs w:val="16"/>
        </w:rPr>
        <w:t xml:space="preserve">, a predložene aktivnosti od strane svih zajednica su inkorporirane u sam strateški dokument. Dodatno, razvijena je anketa za sve građane/ke sa ciljem prikupljanja informacija o iskustvu u radu sa javnom upravom, te na osnovu predloga dobijenih ovim putem kreirane su i aktivnosti za prvi dvogodišnji akcioni plan koji prati ovu strategiju. </w:t>
      </w:r>
    </w:p>
    <w:p w:rsidR="00F735BC" w:rsidRPr="00C1093A" w:rsidRDefault="00F735BC" w:rsidP="00424323">
      <w:pPr>
        <w:pStyle w:val="FootnoteText"/>
        <w:spacing w:before="0"/>
        <w:ind w:right="-385"/>
        <w:jc w:val="both"/>
        <w:rPr>
          <w:rFonts w:asciiTheme="majorHAnsi" w:hAnsiTheme="majorHAnsi" w:cstheme="majorHAnsi"/>
          <w:color w:val="auto"/>
          <w:sz w:val="16"/>
          <w:szCs w:val="16"/>
        </w:rPr>
      </w:pPr>
      <w:r w:rsidRPr="00C1093A">
        <w:rPr>
          <w:rFonts w:asciiTheme="majorHAnsi" w:hAnsiTheme="majorHAnsi" w:cstheme="majorHAnsi"/>
          <w:color w:val="auto"/>
          <w:sz w:val="16"/>
          <w:szCs w:val="16"/>
        </w:rPr>
        <w:t xml:space="preserve">Nakon identifikacije svih zainteresovanih strana u javnoj upravi, tokom mjeseca maja održani su </w:t>
      </w:r>
      <w:r w:rsidRPr="00C1093A">
        <w:rPr>
          <w:rFonts w:asciiTheme="majorHAnsi" w:hAnsiTheme="majorHAnsi" w:cstheme="majorHAnsi"/>
          <w:color w:val="auto"/>
          <w:sz w:val="16"/>
          <w:szCs w:val="16"/>
          <w:u w:val="single"/>
        </w:rPr>
        <w:t>stakeholder sastanci (ukupno 6)</w:t>
      </w:r>
      <w:r w:rsidRPr="00C1093A">
        <w:rPr>
          <w:rFonts w:asciiTheme="majorHAnsi" w:hAnsiTheme="majorHAnsi" w:cstheme="majorHAnsi"/>
          <w:color w:val="auto"/>
          <w:sz w:val="16"/>
          <w:szCs w:val="16"/>
        </w:rPr>
        <w:t xml:space="preserve"> po identifikovanim strateškim ciljevima. Dodatno, organizovane su </w:t>
      </w:r>
      <w:r w:rsidRPr="00C1093A">
        <w:rPr>
          <w:rFonts w:asciiTheme="majorHAnsi" w:hAnsiTheme="majorHAnsi" w:cstheme="majorHAnsi"/>
          <w:color w:val="auto"/>
          <w:sz w:val="16"/>
          <w:szCs w:val="16"/>
          <w:u w:val="single"/>
        </w:rPr>
        <w:t>3 dvodnevne radionice sa radnim grupama</w:t>
      </w:r>
      <w:r w:rsidRPr="00C1093A">
        <w:rPr>
          <w:rFonts w:asciiTheme="majorHAnsi" w:hAnsiTheme="majorHAnsi" w:cstheme="majorHAnsi"/>
          <w:color w:val="auto"/>
          <w:sz w:val="16"/>
          <w:szCs w:val="16"/>
        </w:rPr>
        <w:t xml:space="preserve"> u proširenom sastavu (predstavnici organa javne uprave) sa ciljem otvorenih i inkluzivnih javnih konsultacija u prvim fazama razvoja dokumenta (sa preko 35 učesnika po radionici).</w:t>
      </w:r>
    </w:p>
  </w:footnote>
  <w:footnote w:id="7">
    <w:p w:rsidR="00F735BC" w:rsidRPr="00424323" w:rsidRDefault="00F735BC" w:rsidP="00424323">
      <w:pPr>
        <w:pStyle w:val="FootnoteText"/>
        <w:spacing w:before="0"/>
        <w:rPr>
          <w:rFonts w:asciiTheme="majorHAnsi" w:hAnsiTheme="majorHAnsi" w:cstheme="majorHAnsi"/>
          <w:color w:val="auto"/>
          <w:sz w:val="16"/>
          <w:szCs w:val="16"/>
        </w:rPr>
      </w:pPr>
      <w:r w:rsidRPr="00C1093A">
        <w:rPr>
          <w:rStyle w:val="FootnoteReference"/>
          <w:rFonts w:asciiTheme="majorHAnsi" w:hAnsiTheme="majorHAnsi" w:cstheme="majorHAnsi"/>
          <w:color w:val="auto"/>
          <w:sz w:val="16"/>
          <w:szCs w:val="16"/>
        </w:rPr>
        <w:footnoteRef/>
      </w:r>
      <w:r w:rsidRPr="00C1093A">
        <w:rPr>
          <w:rFonts w:asciiTheme="majorHAnsi" w:hAnsiTheme="majorHAnsi" w:cstheme="majorHAnsi"/>
          <w:color w:val="auto"/>
          <w:sz w:val="16"/>
          <w:szCs w:val="16"/>
        </w:rPr>
        <w:t xml:space="preserve"> Izvještaj je dostupan na </w:t>
      </w:r>
      <w:hyperlink r:id="rId6" w:history="1">
        <w:r w:rsidRPr="00C1093A">
          <w:rPr>
            <w:rStyle w:val="Hyperlink"/>
            <w:rFonts w:asciiTheme="majorHAnsi" w:hAnsiTheme="majorHAnsi" w:cstheme="majorHAnsi"/>
            <w:color w:val="auto"/>
            <w:sz w:val="16"/>
            <w:szCs w:val="16"/>
          </w:rPr>
          <w:t>https://www.gov.me/dokumenta/ec924896-5446-48f7-9551-df6461c6fffa</w:t>
        </w:r>
      </w:hyperlink>
      <w:r w:rsidRPr="00C1093A">
        <w:rPr>
          <w:rFonts w:asciiTheme="majorHAnsi" w:hAnsiTheme="majorHAnsi" w:cstheme="majorHAnsi"/>
          <w:color w:val="auto"/>
          <w:sz w:val="16"/>
          <w:szCs w:val="16"/>
        </w:rPr>
        <w:t xml:space="preserve"> </w:t>
      </w:r>
    </w:p>
  </w:footnote>
  <w:footnote w:id="8">
    <w:p w:rsidR="00F735BC" w:rsidRPr="00C1093A" w:rsidRDefault="00F735BC" w:rsidP="00424323">
      <w:pPr>
        <w:pStyle w:val="FootnoteText"/>
        <w:spacing w:before="0"/>
        <w:ind w:right="-450"/>
        <w:jc w:val="both"/>
        <w:rPr>
          <w:rFonts w:asciiTheme="majorHAnsi" w:hAnsiTheme="majorHAnsi" w:cstheme="majorHAnsi"/>
          <w:color w:val="auto"/>
          <w:sz w:val="16"/>
          <w:szCs w:val="16"/>
        </w:rPr>
      </w:pPr>
      <w:r w:rsidRPr="00C1093A">
        <w:rPr>
          <w:rStyle w:val="FootnoteReference"/>
          <w:rFonts w:asciiTheme="majorHAnsi" w:hAnsiTheme="majorHAnsi" w:cstheme="majorHAnsi"/>
          <w:color w:val="auto"/>
          <w:sz w:val="16"/>
          <w:szCs w:val="16"/>
        </w:rPr>
        <w:footnoteRef/>
      </w:r>
      <w:r w:rsidRPr="00C1093A">
        <w:rPr>
          <w:rFonts w:asciiTheme="majorHAnsi" w:hAnsiTheme="majorHAnsi" w:cstheme="majorHAnsi"/>
          <w:color w:val="auto"/>
          <w:sz w:val="16"/>
          <w:szCs w:val="16"/>
        </w:rPr>
        <w:t xml:space="preserve"> Izvještaj o sprovođenju Strategije Reforme javne uprave (RJU) Crne Gore 2016 – 2020, Izvještaj o realizaciji Plana optimizacije javne uprave 2018-2020 za 2020. godinu, sa osvrtom na implementaciju cjelokupnog dokumenta, Analiza efekata kratkoročnih mjera Plana optimizacije u 2018. godini, Model optimizacije privrednih društava i ustanova čiji je osnivač lokalna samouprava, avgust 2020. godine, Analiza stanja u oblasti upravljanja ljudskim resursima za 2020. godinu, UZK, Izvještaj o kvalitetu primjene analize uticaja propisa (RIA) u Crnoj Gori za 2020. godinu, Istraživanje stepena zadovoljstva korisnika javnim uslugama u odabranim institucijama Crne Gore, maj 2021. godine, Izvještaj o postupanju u upravnim stvarima za period 01.01.2020. - 31.12.2020., Izvještaj o implementaciji Akcionog plana za sprovođenje Strategije RJU za 2017. godinu, Izvještaj o implementaciji Akcionog plana za sprovođenje Strategije RJU za 2018. godinu, Izvještaj o implementaciji Akcionog plana za sprovođenje Strategije RJU za 2019. godinu, Srednjoročna evaluacija Strategije reforme javne uprave 2016-2020 u Crnoj Gori, Evaluacija podrške EU za sektor reforme javne uprave PAR SBS (kroz IPA II 2014-2020), Izvještaj Evropske Komisije o napretku Crne Gore za 2018. godinu, Izvještaj Evropske Komisije o napretku Crne Gore za 2019. godinu, Izvještaj Evropske Komisije o napretku Crne Gore za 2020. godinu, SIGMA monitoring izvještaj za 2019. godinu, SIGMA komentari i sugestije za dalju reformu javne uprave, WeBER nacionalni izvještaj o reformi javne uprave 2017/2018, WeBER anketa o stanju u u admiinistrativnim servisima za Zapadni Balkan (decembar 2020. godine), Rodna ravnopravnost u javnoj upravi u zemljama Zapadnog Balkana - Izvještaj za Crnu Goru, Istraživanje Gender mainstreaming - stavovi i percepcije zaposlenih u javnoj upravi i ocjena primjene načela rodne ravnopravnosti u institucijama javne vlasti</w:t>
      </w:r>
    </w:p>
  </w:footnote>
  <w:footnote w:id="9">
    <w:p w:rsidR="00F735BC" w:rsidRPr="00C1093A" w:rsidRDefault="00F735BC" w:rsidP="00156E08">
      <w:pPr>
        <w:pStyle w:val="FootnoteText"/>
        <w:spacing w:before="0"/>
        <w:rPr>
          <w:rFonts w:asciiTheme="majorHAnsi" w:hAnsiTheme="majorHAnsi" w:cstheme="majorHAnsi"/>
          <w:lang w:val="sr-Latn-ME"/>
        </w:rPr>
      </w:pPr>
      <w:r w:rsidRPr="00C1093A">
        <w:rPr>
          <w:rStyle w:val="FootnoteReference"/>
          <w:rFonts w:asciiTheme="majorHAnsi" w:hAnsiTheme="majorHAnsi" w:cstheme="majorHAnsi"/>
          <w:color w:val="auto"/>
          <w:sz w:val="16"/>
          <w:szCs w:val="16"/>
        </w:rPr>
        <w:footnoteRef/>
      </w:r>
      <w:r w:rsidRPr="00C1093A">
        <w:rPr>
          <w:rFonts w:asciiTheme="majorHAnsi" w:hAnsiTheme="majorHAnsi" w:cstheme="majorHAnsi"/>
          <w:color w:val="auto"/>
          <w:sz w:val="16"/>
          <w:szCs w:val="16"/>
        </w:rPr>
        <w:t xml:space="preserve"> </w:t>
      </w:r>
      <w:r w:rsidRPr="00894907">
        <w:rPr>
          <w:rFonts w:asciiTheme="majorHAnsi" w:hAnsiTheme="majorHAnsi" w:cstheme="majorHAnsi"/>
          <w:color w:val="auto"/>
          <w:sz w:val="16"/>
          <w:szCs w:val="16"/>
          <w:lang w:val="sr-Latn-ME"/>
        </w:rPr>
        <w:t>U aneksu dokumenta lista institucija</w:t>
      </w:r>
    </w:p>
  </w:footnote>
  <w:footnote w:id="10">
    <w:p w:rsidR="00F735BC" w:rsidRPr="000A3D1C" w:rsidRDefault="00F735BC" w:rsidP="00156E08">
      <w:pPr>
        <w:pStyle w:val="FootnoteText"/>
        <w:spacing w:before="0"/>
        <w:rPr>
          <w:rFonts w:asciiTheme="majorHAnsi" w:hAnsiTheme="majorHAnsi" w:cstheme="majorHAnsi"/>
          <w:color w:val="auto"/>
          <w:sz w:val="16"/>
          <w:szCs w:val="16"/>
        </w:rPr>
      </w:pPr>
      <w:r w:rsidRPr="00C1093A">
        <w:rPr>
          <w:rStyle w:val="FootnoteReference"/>
          <w:rFonts w:asciiTheme="majorHAnsi" w:hAnsiTheme="majorHAnsi" w:cstheme="majorHAnsi"/>
          <w:color w:val="auto"/>
          <w:sz w:val="16"/>
          <w:szCs w:val="16"/>
        </w:rPr>
        <w:footnoteRef/>
      </w:r>
      <w:r w:rsidRPr="00C1093A">
        <w:rPr>
          <w:rFonts w:asciiTheme="majorHAnsi" w:hAnsiTheme="majorHAnsi" w:cstheme="majorHAnsi"/>
          <w:color w:val="auto"/>
          <w:sz w:val="16"/>
          <w:szCs w:val="16"/>
        </w:rPr>
        <w:t xml:space="preserve"> Odluka o osnivanju društva sa ograničenom odgovornošu „Montenegro works“ (Službeni list CG“, br 85/21 i 86/21)</w:t>
      </w:r>
    </w:p>
  </w:footnote>
  <w:footnote w:id="11">
    <w:p w:rsidR="00F735BC" w:rsidRPr="00F71149" w:rsidRDefault="00F735BC">
      <w:pPr>
        <w:pStyle w:val="FootnoteText"/>
        <w:spacing w:before="0"/>
        <w:ind w:right="-230"/>
        <w:rPr>
          <w:rFonts w:asciiTheme="majorHAnsi" w:hAnsiTheme="majorHAnsi" w:cstheme="majorHAnsi"/>
          <w:color w:val="auto"/>
          <w:sz w:val="16"/>
          <w:szCs w:val="16"/>
          <w:lang w:val="en-US"/>
        </w:rPr>
      </w:pPr>
      <w:r w:rsidRPr="00F71149">
        <w:rPr>
          <w:rStyle w:val="FootnoteReference"/>
          <w:rFonts w:asciiTheme="majorHAnsi" w:hAnsiTheme="majorHAnsi" w:cstheme="majorHAnsi"/>
          <w:color w:val="auto"/>
          <w:sz w:val="16"/>
          <w:szCs w:val="16"/>
        </w:rPr>
        <w:footnoteRef/>
      </w:r>
      <w:r w:rsidRPr="00F71149">
        <w:rPr>
          <w:rFonts w:asciiTheme="majorHAnsi" w:hAnsiTheme="majorHAnsi" w:cstheme="majorHAnsi"/>
          <w:color w:val="auto"/>
          <w:sz w:val="16"/>
          <w:szCs w:val="16"/>
        </w:rPr>
        <w:t xml:space="preserve"> „Sl. list CG“, br. 1/2007 i 38/2013 - Amandmani I-XVI</w:t>
      </w:r>
    </w:p>
  </w:footnote>
  <w:footnote w:id="12">
    <w:p w:rsidR="00F735BC" w:rsidRPr="007E14C5" w:rsidRDefault="00F735BC" w:rsidP="007E14C5">
      <w:pPr>
        <w:pStyle w:val="FootnoteText"/>
        <w:spacing w:before="0"/>
        <w:rPr>
          <w:rFonts w:asciiTheme="majorHAnsi" w:hAnsiTheme="majorHAnsi" w:cstheme="majorHAnsi"/>
          <w:color w:val="auto"/>
          <w:sz w:val="16"/>
          <w:szCs w:val="16"/>
        </w:rPr>
      </w:pPr>
      <w:r w:rsidRPr="007E14C5">
        <w:rPr>
          <w:rStyle w:val="FootnoteReference"/>
          <w:rFonts w:asciiTheme="majorHAnsi" w:hAnsiTheme="majorHAnsi" w:cstheme="majorHAnsi"/>
          <w:color w:val="auto"/>
          <w:sz w:val="16"/>
          <w:szCs w:val="16"/>
        </w:rPr>
        <w:footnoteRef/>
      </w:r>
      <w:r w:rsidRPr="007E14C5">
        <w:rPr>
          <w:rFonts w:asciiTheme="majorHAnsi" w:hAnsiTheme="majorHAnsi" w:cstheme="majorHAnsi"/>
          <w:color w:val="auto"/>
          <w:sz w:val="16"/>
          <w:szCs w:val="16"/>
        </w:rPr>
        <w:t xml:space="preserve"> „Sl. list CG“, br. 78/18 i 70/21)  </w:t>
      </w:r>
    </w:p>
  </w:footnote>
  <w:footnote w:id="13">
    <w:p w:rsidR="00F735BC" w:rsidRPr="00F71149" w:rsidRDefault="00F735BC">
      <w:pPr>
        <w:pStyle w:val="FootnoteText"/>
        <w:spacing w:before="0"/>
        <w:ind w:right="-230"/>
        <w:rPr>
          <w:rFonts w:asciiTheme="majorHAnsi" w:hAnsiTheme="majorHAnsi" w:cstheme="majorHAnsi"/>
          <w:color w:val="auto"/>
          <w:sz w:val="16"/>
          <w:szCs w:val="16"/>
          <w:lang w:val="en-US"/>
        </w:rPr>
      </w:pPr>
      <w:r w:rsidRPr="00F71149">
        <w:rPr>
          <w:rStyle w:val="FootnoteReference"/>
          <w:rFonts w:asciiTheme="majorHAnsi" w:hAnsiTheme="majorHAnsi" w:cstheme="majorHAnsi"/>
          <w:color w:val="auto"/>
          <w:sz w:val="16"/>
          <w:szCs w:val="16"/>
        </w:rPr>
        <w:footnoteRef/>
      </w:r>
      <w:r w:rsidRPr="00F71149">
        <w:rPr>
          <w:rFonts w:asciiTheme="majorHAnsi" w:hAnsiTheme="majorHAnsi" w:cstheme="majorHAnsi"/>
          <w:color w:val="auto"/>
          <w:sz w:val="16"/>
          <w:szCs w:val="16"/>
        </w:rPr>
        <w:t xml:space="preserve"> „Sl. list CG“, br. 118/2020, 121/2020, 1/2021 i 2/2021</w:t>
      </w:r>
    </w:p>
  </w:footnote>
  <w:footnote w:id="14">
    <w:p w:rsidR="00F735BC" w:rsidRPr="00F71149" w:rsidRDefault="00F735BC">
      <w:pPr>
        <w:pStyle w:val="FootnoteText"/>
        <w:spacing w:before="0"/>
        <w:ind w:right="-230"/>
        <w:rPr>
          <w:rFonts w:asciiTheme="majorHAnsi" w:hAnsiTheme="majorHAnsi" w:cstheme="majorHAnsi"/>
          <w:color w:val="auto"/>
          <w:sz w:val="16"/>
          <w:szCs w:val="16"/>
        </w:rPr>
      </w:pPr>
      <w:r w:rsidRPr="00F71149">
        <w:rPr>
          <w:rStyle w:val="FootnoteReference"/>
          <w:rFonts w:asciiTheme="majorHAnsi" w:hAnsiTheme="majorHAnsi" w:cstheme="majorHAnsi"/>
          <w:color w:val="auto"/>
          <w:sz w:val="16"/>
          <w:szCs w:val="16"/>
        </w:rPr>
        <w:footnoteRef/>
      </w:r>
      <w:r w:rsidRPr="00F71149">
        <w:rPr>
          <w:rFonts w:asciiTheme="majorHAnsi" w:hAnsiTheme="majorHAnsi" w:cstheme="majorHAnsi"/>
          <w:color w:val="auto"/>
          <w:sz w:val="16"/>
          <w:szCs w:val="16"/>
        </w:rPr>
        <w:t xml:space="preserve"> „Sl. list CG“, br. 2/2018, 34/2019 i 38/2020</w:t>
      </w:r>
    </w:p>
  </w:footnote>
  <w:footnote w:id="15">
    <w:p w:rsidR="00F735BC" w:rsidRPr="007E14C5" w:rsidRDefault="00F735BC">
      <w:pPr>
        <w:pStyle w:val="FootnoteText"/>
        <w:spacing w:before="0"/>
        <w:ind w:right="-230"/>
        <w:rPr>
          <w:rFonts w:asciiTheme="majorHAnsi" w:hAnsiTheme="majorHAnsi" w:cstheme="majorHAnsi"/>
          <w:color w:val="auto"/>
          <w:sz w:val="16"/>
          <w:szCs w:val="16"/>
        </w:rPr>
      </w:pPr>
      <w:r w:rsidRPr="00F71149">
        <w:rPr>
          <w:rStyle w:val="FootnoteReference"/>
          <w:rFonts w:asciiTheme="majorHAnsi" w:hAnsiTheme="majorHAnsi" w:cstheme="majorHAnsi"/>
          <w:color w:val="auto"/>
          <w:sz w:val="16"/>
          <w:szCs w:val="16"/>
        </w:rPr>
        <w:footnoteRef/>
      </w:r>
      <w:r w:rsidRPr="00F71149">
        <w:rPr>
          <w:rFonts w:asciiTheme="majorHAnsi" w:hAnsiTheme="majorHAnsi" w:cstheme="majorHAnsi"/>
          <w:color w:val="auto"/>
          <w:sz w:val="16"/>
          <w:szCs w:val="16"/>
        </w:rPr>
        <w:t xml:space="preserve"> „Sl. list CG“, br. 54/11, 26/12, 27/13, 62/13, 12/14, 3/16, 31/17, 86/18 i 3/20)</w:t>
      </w:r>
    </w:p>
  </w:footnote>
  <w:footnote w:id="16">
    <w:p w:rsidR="00F735BC" w:rsidRPr="007E14C5" w:rsidRDefault="00F735BC">
      <w:pPr>
        <w:pStyle w:val="FootnoteText"/>
        <w:spacing w:before="0"/>
        <w:rPr>
          <w:rFonts w:asciiTheme="majorHAnsi" w:hAnsiTheme="majorHAnsi" w:cstheme="majorHAnsi"/>
          <w:color w:val="auto"/>
          <w:sz w:val="16"/>
          <w:szCs w:val="16"/>
          <w:lang w:val="sr-Latn-ME"/>
        </w:rPr>
      </w:pPr>
      <w:r w:rsidRPr="007E14C5">
        <w:rPr>
          <w:rStyle w:val="FootnoteReference"/>
          <w:rFonts w:asciiTheme="majorHAnsi" w:hAnsiTheme="majorHAnsi" w:cstheme="majorHAnsi"/>
          <w:color w:val="auto"/>
          <w:sz w:val="16"/>
          <w:szCs w:val="16"/>
        </w:rPr>
        <w:footnoteRef/>
      </w:r>
      <w:r w:rsidRPr="007E14C5">
        <w:rPr>
          <w:rFonts w:asciiTheme="majorHAnsi" w:hAnsiTheme="majorHAnsi" w:cstheme="majorHAnsi"/>
          <w:color w:val="auto"/>
          <w:sz w:val="16"/>
          <w:szCs w:val="16"/>
        </w:rPr>
        <w:t xml:space="preserve"> </w:t>
      </w:r>
      <w:r w:rsidRPr="00F71149">
        <w:rPr>
          <w:rFonts w:asciiTheme="majorHAnsi" w:eastAsia="Calibri" w:hAnsiTheme="majorHAnsi" w:cstheme="majorHAnsi"/>
          <w:color w:val="auto"/>
          <w:kern w:val="0"/>
          <w:sz w:val="16"/>
          <w:szCs w:val="16"/>
          <w:lang w:eastAsia="en-US"/>
        </w:rPr>
        <w:t>Uredba o organizaciji i načinu rada državne uprave („Služebni list CG“, broj 118/20)</w:t>
      </w:r>
    </w:p>
  </w:footnote>
  <w:footnote w:id="17">
    <w:p w:rsidR="00F735BC" w:rsidRPr="007E14C5" w:rsidRDefault="00F735BC">
      <w:pPr>
        <w:pStyle w:val="FootnoteText"/>
        <w:spacing w:before="0"/>
        <w:ind w:right="-230"/>
        <w:rPr>
          <w:rFonts w:asciiTheme="majorHAnsi" w:hAnsiTheme="majorHAnsi" w:cstheme="majorHAnsi"/>
          <w:color w:val="auto"/>
          <w:sz w:val="16"/>
          <w:szCs w:val="16"/>
        </w:rPr>
      </w:pPr>
      <w:r w:rsidRPr="00F71149">
        <w:rPr>
          <w:rStyle w:val="FootnoteReference"/>
          <w:rFonts w:asciiTheme="majorHAnsi" w:hAnsiTheme="majorHAnsi" w:cstheme="majorHAnsi"/>
          <w:color w:val="auto"/>
          <w:sz w:val="16"/>
          <w:szCs w:val="16"/>
        </w:rPr>
        <w:footnoteRef/>
      </w:r>
      <w:r w:rsidRPr="00F71149">
        <w:rPr>
          <w:rFonts w:asciiTheme="majorHAnsi" w:hAnsiTheme="majorHAnsi" w:cstheme="majorHAnsi"/>
          <w:color w:val="auto"/>
          <w:sz w:val="16"/>
          <w:szCs w:val="16"/>
        </w:rPr>
        <w:t xml:space="preserve"> 4. decembar 2020. godine</w:t>
      </w:r>
    </w:p>
  </w:footnote>
  <w:footnote w:id="18">
    <w:p w:rsidR="00F735BC" w:rsidRPr="00F71149" w:rsidRDefault="00F735BC">
      <w:pPr>
        <w:pStyle w:val="FootnoteText"/>
        <w:spacing w:before="0"/>
        <w:ind w:right="-230"/>
        <w:jc w:val="both"/>
        <w:rPr>
          <w:rFonts w:asciiTheme="majorHAnsi" w:hAnsiTheme="majorHAnsi" w:cstheme="majorHAnsi"/>
          <w:color w:val="auto"/>
          <w:sz w:val="16"/>
          <w:szCs w:val="16"/>
        </w:rPr>
      </w:pPr>
      <w:r w:rsidRPr="00F71149">
        <w:rPr>
          <w:rStyle w:val="FootnoteReference"/>
          <w:rFonts w:asciiTheme="majorHAnsi" w:hAnsiTheme="majorHAnsi" w:cstheme="majorHAnsi"/>
          <w:color w:val="auto"/>
          <w:sz w:val="16"/>
          <w:szCs w:val="16"/>
        </w:rPr>
        <w:footnoteRef/>
      </w:r>
      <w:r w:rsidRPr="00F71149">
        <w:rPr>
          <w:rFonts w:asciiTheme="majorHAnsi" w:hAnsiTheme="majorHAnsi" w:cstheme="majorHAnsi"/>
          <w:color w:val="auto"/>
          <w:sz w:val="16"/>
          <w:szCs w:val="16"/>
        </w:rPr>
        <w:t xml:space="preserve"> Ministarstvo pravde, ljudskih i manjinskih prava, Ministarstvo unutrašnjih poslova, Ministarstvo odbrane, Ministarstvo finansija i socijalnog staranja, Ministarstvo vanjskih poslova, Ministarstvo javne uprave, digitalnog društva i medija, Ministarstvo prosvjete, nauke, kulture i sporta, Ministarstvo zdravlja, Ministarstvo ekonomskog razvoja, Ministarstvo poljoprivrede, šumarstva i vodoprivrede, Ministarstvo ekologije, prostornog planiranja i urbanizma, Ministarstvo kapitalnih investicija</w:t>
      </w:r>
    </w:p>
  </w:footnote>
  <w:footnote w:id="19">
    <w:p w:rsidR="00F735BC" w:rsidRPr="007E14C5" w:rsidRDefault="00F735BC">
      <w:pPr>
        <w:pStyle w:val="FootnoteText"/>
        <w:spacing w:before="0"/>
        <w:ind w:right="-230"/>
        <w:jc w:val="both"/>
        <w:rPr>
          <w:rFonts w:asciiTheme="majorHAnsi" w:hAnsiTheme="majorHAnsi" w:cstheme="majorHAnsi"/>
          <w:color w:val="auto"/>
          <w:sz w:val="16"/>
          <w:szCs w:val="16"/>
        </w:rPr>
      </w:pPr>
      <w:r w:rsidRPr="00F71149">
        <w:rPr>
          <w:rStyle w:val="FootnoteReference"/>
          <w:rFonts w:asciiTheme="majorHAnsi" w:hAnsiTheme="majorHAnsi" w:cstheme="majorHAnsi"/>
          <w:color w:val="auto"/>
          <w:sz w:val="16"/>
          <w:szCs w:val="16"/>
        </w:rPr>
        <w:footnoteRef/>
      </w:r>
      <w:r w:rsidRPr="00F71149">
        <w:rPr>
          <w:rFonts w:asciiTheme="majorHAnsi" w:hAnsiTheme="majorHAnsi" w:cstheme="majorHAnsi"/>
          <w:color w:val="auto"/>
          <w:sz w:val="16"/>
          <w:szCs w:val="16"/>
        </w:rPr>
        <w:t xml:space="preserve"> Uprava za izvršenje krivičnih sankcija, Uprava policije, Direkcija za zaštitu tajnih podataka, Uprava prihoda, Uprava carina, Uprava za katastar i državnu imovinu, Uprava za statistiku, Zavod za socijalnu i dječju zaštitu, Uprava za dijasporu, Uprava za kadrove, Zavod za školstvo, Uprava za zaštitu kulturnih dobara, Državni arhiv, Uprava za sport i mlade, Zavod za metrologiju, Uprava za bezbjednost hrane, veterinu i fitosanitarne poslove, Uprava za šume, Uprava za vode, Uprava javnih radova, Agencija za zaštitu prirode i životne sredine, Zavod za hidrometeorologiju i seizmologiju, Uprava pomorske sigurnosti i upravljanja lukama, Uprava za saobraćaj, Uprava za željeznice, Uprava za ugljovodonike, Uprava za inspekcijske poslove, Sekretarijat za zakonodavstvo</w:t>
      </w:r>
    </w:p>
  </w:footnote>
  <w:footnote w:id="20">
    <w:p w:rsidR="00F735BC" w:rsidRPr="00767AC9" w:rsidRDefault="00F735BC">
      <w:pPr>
        <w:pStyle w:val="FootnoteText"/>
        <w:spacing w:before="0"/>
        <w:ind w:right="-230"/>
        <w:rPr>
          <w:rFonts w:asciiTheme="majorHAnsi" w:hAnsiTheme="majorHAnsi" w:cstheme="majorHAnsi"/>
          <w:color w:val="auto"/>
          <w:sz w:val="16"/>
          <w:szCs w:val="16"/>
        </w:rPr>
      </w:pPr>
      <w:r w:rsidRPr="00F71149">
        <w:rPr>
          <w:rStyle w:val="FootnoteReference"/>
          <w:rFonts w:asciiTheme="majorHAnsi" w:hAnsiTheme="majorHAnsi" w:cstheme="majorHAnsi"/>
          <w:color w:val="auto"/>
          <w:sz w:val="16"/>
          <w:szCs w:val="16"/>
        </w:rPr>
        <w:footnoteRef/>
      </w:r>
      <w:r w:rsidRPr="00F71149">
        <w:rPr>
          <w:rFonts w:asciiTheme="majorHAnsi" w:hAnsiTheme="majorHAnsi" w:cstheme="majorHAnsi"/>
          <w:color w:val="auto"/>
          <w:sz w:val="16"/>
          <w:szCs w:val="16"/>
        </w:rPr>
        <w:t xml:space="preserve"> Zakon o državnoj upravi („Sl. list CG“, broj 78/18)</w:t>
      </w:r>
    </w:p>
  </w:footnote>
  <w:footnote w:id="21">
    <w:p w:rsidR="00F735BC" w:rsidRPr="000E1288" w:rsidRDefault="00F735BC" w:rsidP="00403401">
      <w:pPr>
        <w:pStyle w:val="FootnoteText"/>
        <w:spacing w:before="0"/>
        <w:ind w:right="-540"/>
        <w:rPr>
          <w:sz w:val="16"/>
          <w:szCs w:val="16"/>
        </w:rPr>
      </w:pPr>
      <w:r w:rsidRPr="0016163B">
        <w:rPr>
          <w:rStyle w:val="FootnoteReference"/>
          <w:rFonts w:asciiTheme="majorHAnsi" w:hAnsiTheme="majorHAnsi" w:cstheme="majorHAnsi"/>
          <w:color w:val="auto"/>
          <w:sz w:val="16"/>
          <w:szCs w:val="16"/>
        </w:rPr>
        <w:footnoteRef/>
      </w:r>
      <w:r w:rsidRPr="0016163B">
        <w:rPr>
          <w:rFonts w:asciiTheme="majorHAnsi" w:hAnsiTheme="majorHAnsi" w:cstheme="majorHAnsi"/>
          <w:color w:val="auto"/>
          <w:sz w:val="16"/>
          <w:szCs w:val="16"/>
        </w:rPr>
        <w:t xml:space="preserve"> </w:t>
      </w:r>
      <w:r w:rsidRPr="0016163B">
        <w:rPr>
          <w:rFonts w:asciiTheme="majorHAnsi" w:eastAsia="Cambria" w:hAnsiTheme="majorHAnsi" w:cstheme="majorHAnsi"/>
          <w:color w:val="auto"/>
          <w:sz w:val="16"/>
          <w:szCs w:val="16"/>
        </w:rPr>
        <w:t>Zakon o javnim preduzećima i Zakon o društvenim djelatnostima iz 1991</w:t>
      </w:r>
      <w:r>
        <w:rPr>
          <w:rFonts w:asciiTheme="majorHAnsi" w:eastAsia="Cambria" w:hAnsiTheme="majorHAnsi" w:cstheme="majorHAnsi"/>
          <w:color w:val="auto"/>
          <w:sz w:val="16"/>
          <w:szCs w:val="16"/>
        </w:rPr>
        <w:t>.</w:t>
      </w:r>
      <w:r w:rsidRPr="0016163B">
        <w:rPr>
          <w:rFonts w:asciiTheme="majorHAnsi" w:eastAsia="Cambria" w:hAnsiTheme="majorHAnsi" w:cstheme="majorHAnsi"/>
          <w:color w:val="auto"/>
          <w:sz w:val="16"/>
          <w:szCs w:val="16"/>
        </w:rPr>
        <w:t xml:space="preserve"> godine su predstavljali sistemske zakone iz oblasti javnih službi, ali su ukinuti</w:t>
      </w:r>
      <w:r>
        <w:rPr>
          <w:rFonts w:asciiTheme="majorHAnsi" w:eastAsia="Cambria" w:hAnsiTheme="majorHAnsi" w:cstheme="majorHAnsi"/>
          <w:color w:val="auto"/>
          <w:sz w:val="16"/>
          <w:szCs w:val="16"/>
        </w:rPr>
        <w:t>.</w:t>
      </w:r>
    </w:p>
  </w:footnote>
  <w:footnote w:id="22">
    <w:p w:rsidR="00F735BC" w:rsidRPr="00DE4601" w:rsidRDefault="00F735BC" w:rsidP="00403401">
      <w:pPr>
        <w:pStyle w:val="Heading1"/>
        <w:spacing w:after="0"/>
        <w:ind w:left="0" w:right="-630"/>
        <w:rPr>
          <w:rFonts w:asciiTheme="majorHAnsi" w:hAnsiTheme="majorHAnsi" w:cstheme="majorHAnsi"/>
          <w:color w:val="auto"/>
          <w:sz w:val="16"/>
          <w:szCs w:val="16"/>
          <w:lang w:eastAsia="en-US"/>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w:t>
      </w:r>
      <w:r w:rsidRPr="00712444">
        <w:rPr>
          <w:rFonts w:asciiTheme="majorHAnsi" w:hAnsiTheme="majorHAnsi" w:cstheme="majorHAnsi"/>
          <w:bCs/>
          <w:color w:val="auto"/>
          <w:sz w:val="16"/>
          <w:szCs w:val="16"/>
        </w:rPr>
        <w:t xml:space="preserve">Informacija o uspostavljanju razmjene dokumenata u okviru sistema za elektronsko upravljanje dokumentima (eDMS), </w:t>
      </w:r>
      <w:r w:rsidRPr="00712444">
        <w:rPr>
          <w:rFonts w:asciiTheme="majorHAnsi" w:hAnsiTheme="majorHAnsi" w:cstheme="majorHAnsi"/>
          <w:color w:val="auto"/>
          <w:sz w:val="16"/>
          <w:szCs w:val="16"/>
        </w:rPr>
        <w:t>24.07.2020.</w:t>
      </w:r>
    </w:p>
    <w:p w:rsidR="00F735BC" w:rsidRPr="00712444" w:rsidRDefault="00DC3498" w:rsidP="00403401">
      <w:pPr>
        <w:pStyle w:val="FootnoteText"/>
        <w:spacing w:before="0"/>
        <w:ind w:right="-630"/>
        <w:jc w:val="both"/>
        <w:rPr>
          <w:rFonts w:asciiTheme="majorHAnsi" w:hAnsiTheme="majorHAnsi" w:cstheme="majorHAnsi"/>
          <w:color w:val="auto"/>
          <w:sz w:val="16"/>
          <w:szCs w:val="16"/>
        </w:rPr>
      </w:pPr>
      <w:hyperlink r:id="rId7" w:history="1">
        <w:r w:rsidR="00F735BC" w:rsidRPr="00712444">
          <w:rPr>
            <w:rStyle w:val="Hyperlink"/>
            <w:rFonts w:asciiTheme="majorHAnsi" w:hAnsiTheme="majorHAnsi" w:cstheme="majorHAnsi"/>
            <w:color w:val="auto"/>
            <w:sz w:val="16"/>
            <w:szCs w:val="16"/>
          </w:rPr>
          <w:t>https://www.gov.me/dokumenta/ab4bd6ea-4999-4cb6-a7f6-079fb068b9d9</w:t>
        </w:r>
      </w:hyperlink>
      <w:r w:rsidR="00F735BC" w:rsidRPr="00712444">
        <w:rPr>
          <w:rFonts w:asciiTheme="majorHAnsi" w:hAnsiTheme="majorHAnsi" w:cstheme="majorHAnsi"/>
          <w:color w:val="auto"/>
          <w:sz w:val="16"/>
          <w:szCs w:val="16"/>
        </w:rPr>
        <w:t xml:space="preserve"> </w:t>
      </w:r>
    </w:p>
  </w:footnote>
  <w:footnote w:id="23">
    <w:p w:rsidR="00F735BC" w:rsidRPr="00DE4601" w:rsidRDefault="00F735BC" w:rsidP="00403401">
      <w:pPr>
        <w:pStyle w:val="FootnoteText"/>
        <w:spacing w:before="0"/>
        <w:ind w:right="-630"/>
        <w:rPr>
          <w:rFonts w:asciiTheme="majorHAnsi" w:hAnsiTheme="majorHAnsi" w:cstheme="majorHAnsi"/>
          <w:color w:val="auto"/>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Od kojih je optštin</w:t>
      </w:r>
      <w:r>
        <w:rPr>
          <w:rFonts w:asciiTheme="majorHAnsi" w:hAnsiTheme="majorHAnsi" w:cstheme="majorHAnsi"/>
          <w:color w:val="auto"/>
          <w:sz w:val="16"/>
          <w:szCs w:val="16"/>
        </w:rPr>
        <w:t>a</w:t>
      </w:r>
      <w:r w:rsidRPr="00712444">
        <w:rPr>
          <w:rFonts w:asciiTheme="majorHAnsi" w:hAnsiTheme="majorHAnsi" w:cstheme="majorHAnsi"/>
          <w:color w:val="auto"/>
          <w:sz w:val="16"/>
          <w:szCs w:val="16"/>
        </w:rPr>
        <w:t xml:space="preserve"> Golubovci u sastavu Glavnog grada Podgorica</w:t>
      </w:r>
    </w:p>
  </w:footnote>
  <w:footnote w:id="24">
    <w:p w:rsidR="00F735BC" w:rsidRPr="00767AC9" w:rsidRDefault="00F735BC" w:rsidP="00403401">
      <w:pPr>
        <w:pStyle w:val="FootnoteText"/>
        <w:spacing w:before="0"/>
        <w:ind w:right="-630"/>
        <w:rPr>
          <w:rFonts w:asciiTheme="majorHAnsi" w:hAnsiTheme="majorHAnsi" w:cstheme="majorHAnsi"/>
          <w:color w:val="auto"/>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Zakon o izmjenama i dopunama Zakona o komunalnim djelatnostima </w:t>
      </w:r>
      <w:r>
        <w:rPr>
          <w:rFonts w:asciiTheme="majorHAnsi" w:hAnsiTheme="majorHAnsi" w:cstheme="majorHAnsi"/>
          <w:color w:val="auto"/>
          <w:sz w:val="16"/>
          <w:szCs w:val="16"/>
        </w:rPr>
        <w:t>(</w:t>
      </w:r>
      <w:r w:rsidRPr="00712444">
        <w:rPr>
          <w:rFonts w:asciiTheme="majorHAnsi" w:hAnsiTheme="majorHAnsi" w:cstheme="majorHAnsi"/>
          <w:color w:val="auto"/>
          <w:sz w:val="16"/>
          <w:szCs w:val="16"/>
        </w:rPr>
        <w:t>„Sl. list CG“ br. 66/19</w:t>
      </w:r>
      <w:r>
        <w:rPr>
          <w:rFonts w:asciiTheme="majorHAnsi" w:hAnsiTheme="majorHAnsi" w:cstheme="majorHAnsi"/>
          <w:color w:val="auto"/>
          <w:sz w:val="16"/>
          <w:szCs w:val="16"/>
        </w:rPr>
        <w:t>)</w:t>
      </w:r>
    </w:p>
  </w:footnote>
  <w:footnote w:id="25">
    <w:p w:rsidR="00F735BC" w:rsidRPr="00712444" w:rsidRDefault="00F735BC" w:rsidP="00403401">
      <w:pPr>
        <w:spacing w:before="0" w:after="0" w:line="240" w:lineRule="auto"/>
        <w:ind w:right="-540"/>
        <w:rPr>
          <w:rFonts w:asciiTheme="majorHAnsi" w:hAnsiTheme="majorHAnsi" w:cstheme="majorHAnsi"/>
          <w:color w:val="auto"/>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Prema Analizi o mogućim oblastima i mehanizmima saradnje između JLU i izvorima finansiranja i  Predlogu plana podsticajnih mjera, izrađenoj u okviru projekta </w:t>
      </w:r>
      <w:r w:rsidRPr="00712444">
        <w:rPr>
          <w:rFonts w:asciiTheme="majorHAnsi" w:hAnsiTheme="majorHAnsi" w:cstheme="majorHAnsi"/>
          <w:i/>
          <w:iCs/>
          <w:color w:val="auto"/>
          <w:sz w:val="16"/>
          <w:szCs w:val="16"/>
        </w:rPr>
        <w:t>“Podrška uspostavljanju transparentne i efikasne javne uprave na usluzi građanima”</w:t>
      </w:r>
      <w:r w:rsidRPr="00712444">
        <w:rPr>
          <w:rFonts w:asciiTheme="majorHAnsi" w:hAnsiTheme="majorHAnsi" w:cstheme="majorHAnsi"/>
          <w:color w:val="auto"/>
          <w:sz w:val="16"/>
          <w:szCs w:val="16"/>
        </w:rPr>
        <w:t xml:space="preserve"> koji je finansirala Evropska unija, a sproveo UNDP u saradnji sa Ministarstvom javne uprave u septembru 2019. godine, primjeri saradnje opština po oblastima i sporazumima su:</w:t>
      </w:r>
    </w:p>
    <w:p w:rsidR="00F735BC" w:rsidRPr="00712444" w:rsidRDefault="00F735BC" w:rsidP="00B43D4E">
      <w:pPr>
        <w:pStyle w:val="ListParagraph"/>
        <w:numPr>
          <w:ilvl w:val="0"/>
          <w:numId w:val="19"/>
        </w:numPr>
        <w:spacing w:before="0" w:after="0" w:line="240" w:lineRule="auto"/>
        <w:ind w:left="270" w:right="-540" w:hanging="180"/>
        <w:contextualSpacing w:val="0"/>
        <w:jc w:val="both"/>
        <w:rPr>
          <w:rFonts w:asciiTheme="majorHAnsi" w:hAnsiTheme="majorHAnsi" w:cstheme="majorHAnsi"/>
          <w:color w:val="auto"/>
          <w:sz w:val="16"/>
          <w:szCs w:val="16"/>
        </w:rPr>
      </w:pPr>
      <w:r w:rsidRPr="00712444">
        <w:rPr>
          <w:rFonts w:asciiTheme="majorHAnsi" w:hAnsiTheme="majorHAnsi" w:cstheme="majorHAnsi"/>
          <w:color w:val="auto"/>
          <w:sz w:val="16"/>
          <w:szCs w:val="16"/>
        </w:rPr>
        <w:t>Zajedničko vršenje poslova unutrašnje revizije po sporazumu, na osnovu Zakona o upravljanju i unutrašnjim kontrolama u javnom sektoru (Opština Nikšić za opštine Plužine i Šavnik; Opština Pljevlja, za opštinu Žabljak; Opština Tivat za opštine Kolašin i Mojkovac)</w:t>
      </w:r>
    </w:p>
    <w:p w:rsidR="00F735BC" w:rsidRPr="00712444" w:rsidRDefault="00F735BC" w:rsidP="00B43D4E">
      <w:pPr>
        <w:pStyle w:val="ListParagraph"/>
        <w:numPr>
          <w:ilvl w:val="0"/>
          <w:numId w:val="19"/>
        </w:numPr>
        <w:spacing w:before="0" w:after="0" w:line="240" w:lineRule="auto"/>
        <w:ind w:left="270" w:right="-540" w:hanging="180"/>
        <w:contextualSpacing w:val="0"/>
        <w:jc w:val="both"/>
        <w:rPr>
          <w:rFonts w:asciiTheme="majorHAnsi" w:hAnsiTheme="majorHAnsi" w:cstheme="majorHAnsi"/>
          <w:color w:val="auto"/>
          <w:sz w:val="16"/>
          <w:szCs w:val="16"/>
        </w:rPr>
      </w:pPr>
      <w:r w:rsidRPr="00712444">
        <w:rPr>
          <w:rFonts w:asciiTheme="majorHAnsi" w:hAnsiTheme="majorHAnsi" w:cstheme="majorHAnsi"/>
          <w:color w:val="auto"/>
          <w:sz w:val="16"/>
          <w:szCs w:val="16"/>
        </w:rPr>
        <w:t>Poslovi glavnog gradskog arhitekte (Opština Nikšić tj. njen glavni gradski arhitekta po sporazumu obavlja ove poslove i u opštinama Šavnik, Žabljak, Plužine, Glavni grad Podgorica za opštinu Kolašin, opština Rožaje za opštinu Gusinje i opština Berane za opštinu Mojkovac)</w:t>
      </w:r>
    </w:p>
    <w:p w:rsidR="00F735BC" w:rsidRPr="00712444" w:rsidRDefault="00F735BC" w:rsidP="00B43D4E">
      <w:pPr>
        <w:pStyle w:val="ListParagraph"/>
        <w:numPr>
          <w:ilvl w:val="0"/>
          <w:numId w:val="19"/>
        </w:numPr>
        <w:spacing w:before="0" w:after="0" w:line="240" w:lineRule="auto"/>
        <w:ind w:left="270" w:right="-540" w:hanging="180"/>
        <w:contextualSpacing w:val="0"/>
        <w:jc w:val="both"/>
        <w:rPr>
          <w:rFonts w:asciiTheme="majorHAnsi" w:hAnsiTheme="majorHAnsi" w:cstheme="majorHAnsi"/>
          <w:color w:val="auto"/>
          <w:sz w:val="16"/>
          <w:szCs w:val="16"/>
        </w:rPr>
      </w:pPr>
      <w:r w:rsidRPr="00712444">
        <w:rPr>
          <w:rFonts w:asciiTheme="majorHAnsi" w:hAnsiTheme="majorHAnsi" w:cstheme="majorHAnsi"/>
          <w:color w:val="auto"/>
          <w:sz w:val="16"/>
          <w:szCs w:val="16"/>
        </w:rPr>
        <w:t xml:space="preserve">Upravljanje regionalnom sanitarnom deponijom (Opštine Bar i Ulcinj su zaključile Ugovor o osnivanju „Možura“d.o.o. za upravljanje regionalnom sanitarnom deponijom, uz udio opštine Bar od 65% a opštine Ulcinj od 35%) </w:t>
      </w:r>
    </w:p>
    <w:p w:rsidR="00F735BC" w:rsidRPr="00712444" w:rsidRDefault="00F735BC" w:rsidP="00B43D4E">
      <w:pPr>
        <w:pStyle w:val="ListParagraph"/>
        <w:numPr>
          <w:ilvl w:val="0"/>
          <w:numId w:val="19"/>
        </w:numPr>
        <w:spacing w:before="0" w:after="0" w:line="240" w:lineRule="auto"/>
        <w:ind w:left="270" w:right="-540" w:hanging="180"/>
        <w:contextualSpacing w:val="0"/>
        <w:jc w:val="both"/>
        <w:rPr>
          <w:rFonts w:asciiTheme="majorHAnsi" w:hAnsiTheme="majorHAnsi" w:cstheme="majorHAnsi"/>
          <w:color w:val="auto"/>
          <w:sz w:val="16"/>
          <w:szCs w:val="16"/>
        </w:rPr>
      </w:pPr>
      <w:r w:rsidRPr="00712444">
        <w:rPr>
          <w:rFonts w:asciiTheme="majorHAnsi" w:hAnsiTheme="majorHAnsi" w:cstheme="majorHAnsi"/>
          <w:color w:val="auto"/>
          <w:sz w:val="16"/>
          <w:szCs w:val="16"/>
        </w:rPr>
        <w:t>Uvođenje kompostiranja i prikupljanja selektivnog otpada (Opštine Kotor, Budva, Tivat i Herceg Novi - Lider projekta JKP Kotor. Partneri na projektu JKP Budva, Tivat i Herceg Novi)</w:t>
      </w:r>
    </w:p>
    <w:p w:rsidR="00F735BC" w:rsidRPr="00712444" w:rsidRDefault="00F735BC" w:rsidP="00B43D4E">
      <w:pPr>
        <w:pStyle w:val="ListParagraph"/>
        <w:numPr>
          <w:ilvl w:val="0"/>
          <w:numId w:val="19"/>
        </w:numPr>
        <w:spacing w:before="0" w:after="0" w:line="240" w:lineRule="auto"/>
        <w:ind w:left="270" w:right="-540" w:hanging="180"/>
        <w:contextualSpacing w:val="0"/>
        <w:jc w:val="both"/>
        <w:rPr>
          <w:rFonts w:asciiTheme="majorHAnsi" w:hAnsiTheme="majorHAnsi" w:cstheme="majorHAnsi"/>
          <w:color w:val="auto"/>
          <w:sz w:val="16"/>
          <w:szCs w:val="16"/>
        </w:rPr>
      </w:pPr>
      <w:r w:rsidRPr="00712444">
        <w:rPr>
          <w:rFonts w:asciiTheme="majorHAnsi" w:hAnsiTheme="majorHAnsi" w:cstheme="majorHAnsi"/>
          <w:color w:val="auto"/>
          <w:sz w:val="16"/>
          <w:szCs w:val="16"/>
        </w:rPr>
        <w:t>Upravljanje postrojenjem za prečišćavanje otpadnih voda (Opštine Tivat i Kotor)</w:t>
      </w:r>
    </w:p>
    <w:p w:rsidR="00F735BC" w:rsidRPr="00712444" w:rsidRDefault="00F735BC" w:rsidP="00B43D4E">
      <w:pPr>
        <w:pStyle w:val="ListParagraph"/>
        <w:numPr>
          <w:ilvl w:val="0"/>
          <w:numId w:val="19"/>
        </w:numPr>
        <w:spacing w:before="0" w:after="0" w:line="240" w:lineRule="auto"/>
        <w:ind w:left="270" w:right="-540" w:hanging="180"/>
        <w:contextualSpacing w:val="0"/>
        <w:jc w:val="both"/>
        <w:rPr>
          <w:rFonts w:asciiTheme="majorHAnsi" w:hAnsiTheme="majorHAnsi" w:cstheme="majorHAnsi"/>
          <w:color w:val="auto"/>
          <w:sz w:val="16"/>
          <w:szCs w:val="16"/>
        </w:rPr>
      </w:pPr>
      <w:r w:rsidRPr="00712444">
        <w:rPr>
          <w:rFonts w:asciiTheme="majorHAnsi" w:hAnsiTheme="majorHAnsi" w:cstheme="majorHAnsi"/>
          <w:color w:val="auto"/>
          <w:sz w:val="16"/>
          <w:szCs w:val="16"/>
        </w:rPr>
        <w:t>Osnivanje Regionalnog parka Sinjajevina (Lider projekta je Opština Mojkovac. Partneri na projektu: opštine Danilovgrad, Žabljak, Kolašin i Šavnik)</w:t>
      </w:r>
    </w:p>
    <w:p w:rsidR="00F735BC" w:rsidRPr="00712444" w:rsidRDefault="00F735BC" w:rsidP="00B43D4E">
      <w:pPr>
        <w:pStyle w:val="ListParagraph"/>
        <w:numPr>
          <w:ilvl w:val="0"/>
          <w:numId w:val="19"/>
        </w:numPr>
        <w:spacing w:before="0" w:after="0" w:line="240" w:lineRule="auto"/>
        <w:ind w:left="270" w:right="-540" w:hanging="180"/>
        <w:contextualSpacing w:val="0"/>
        <w:jc w:val="both"/>
        <w:rPr>
          <w:rFonts w:asciiTheme="majorHAnsi" w:hAnsiTheme="majorHAnsi" w:cstheme="majorHAnsi"/>
          <w:color w:val="auto"/>
          <w:sz w:val="16"/>
          <w:szCs w:val="16"/>
        </w:rPr>
      </w:pPr>
      <w:r w:rsidRPr="00712444">
        <w:rPr>
          <w:rFonts w:asciiTheme="majorHAnsi" w:hAnsiTheme="majorHAnsi" w:cstheme="majorHAnsi"/>
          <w:color w:val="auto"/>
          <w:sz w:val="16"/>
          <w:szCs w:val="16"/>
        </w:rPr>
        <w:t>Osnivanje Regionalnog biznis centra za sjevero-istočni region (Lider projekta je Opština Berane. Partneri na projektu: opštine Andrijevica, Bijelo Polje, Plav, Rožaje, Regionalna razvojna agencija Bjelasica, Komovi i Prokletije).</w:t>
      </w:r>
    </w:p>
  </w:footnote>
  <w:footnote w:id="26">
    <w:p w:rsidR="00F735BC" w:rsidRPr="00712444" w:rsidRDefault="00F735BC" w:rsidP="00403401">
      <w:pPr>
        <w:pStyle w:val="FootnoteText"/>
        <w:spacing w:before="0"/>
        <w:ind w:right="-540"/>
        <w:jc w:val="both"/>
        <w:rPr>
          <w:rFonts w:asciiTheme="majorHAnsi" w:hAnsiTheme="majorHAnsi" w:cstheme="majorHAnsi"/>
          <w:color w:val="auto"/>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Završni izvještaj o implementaciji Strategije reforme javne uprave 2016–2020, sa osvrtom na aktivnosti za 2020. godinu, mart 2021. godine, link ka dokumentu: </w:t>
      </w:r>
      <w:hyperlink r:id="rId8" w:history="1">
        <w:r w:rsidRPr="00712444">
          <w:rPr>
            <w:rStyle w:val="Hyperlink"/>
            <w:rFonts w:asciiTheme="majorHAnsi" w:hAnsiTheme="majorHAnsi" w:cstheme="majorHAnsi"/>
            <w:color w:val="auto"/>
            <w:sz w:val="16"/>
            <w:szCs w:val="16"/>
          </w:rPr>
          <w:t>https://wapi.gov.me/download/9bd7ecd6-1673-4469-8e47-18a88af893db?version=1.0</w:t>
        </w:r>
      </w:hyperlink>
    </w:p>
  </w:footnote>
  <w:footnote w:id="27">
    <w:p w:rsidR="00F735BC" w:rsidRPr="00712444" w:rsidRDefault="00F735BC" w:rsidP="009E35B8">
      <w:pPr>
        <w:pStyle w:val="FootnoteText"/>
        <w:spacing w:before="0"/>
        <w:ind w:right="-360"/>
        <w:jc w:val="both"/>
        <w:rPr>
          <w:rFonts w:asciiTheme="majorHAnsi" w:hAnsiTheme="majorHAnsi" w:cstheme="majorHAnsi"/>
          <w:color w:val="auto"/>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Završni izvještaj o implementaciji Strategije reforme javne uprave 2016–2020, sa osvrtom na aktivnosti za 2020. godinu, mart 2021. godine, link ka dokumentu: </w:t>
      </w:r>
      <w:hyperlink r:id="rId9" w:history="1">
        <w:r w:rsidRPr="00712444">
          <w:rPr>
            <w:rStyle w:val="Hyperlink"/>
            <w:rFonts w:asciiTheme="majorHAnsi" w:hAnsiTheme="majorHAnsi" w:cstheme="majorHAnsi"/>
            <w:color w:val="auto"/>
            <w:sz w:val="16"/>
            <w:szCs w:val="16"/>
          </w:rPr>
          <w:t>https://wapi.gov.me/download/9bd7ecd6-1673-4469-8e47-18a88af893db?version=1.0</w:t>
        </w:r>
      </w:hyperlink>
      <w:r w:rsidRPr="00712444">
        <w:rPr>
          <w:rFonts w:asciiTheme="majorHAnsi" w:hAnsiTheme="majorHAnsi" w:cstheme="majorHAnsi"/>
          <w:color w:val="auto"/>
          <w:sz w:val="16"/>
          <w:szCs w:val="16"/>
        </w:rPr>
        <w:t xml:space="preserve"> </w:t>
      </w:r>
    </w:p>
  </w:footnote>
  <w:footnote w:id="28">
    <w:p w:rsidR="00F735BC" w:rsidRPr="004B0C09" w:rsidRDefault="00F735BC" w:rsidP="00D44880">
      <w:pPr>
        <w:pStyle w:val="FootnoteText"/>
        <w:spacing w:before="0"/>
        <w:ind w:right="-450"/>
        <w:jc w:val="both"/>
        <w:rPr>
          <w:rFonts w:ascii="Calibri" w:hAnsi="Calibri"/>
          <w:sz w:val="18"/>
          <w:szCs w:val="18"/>
          <w:lang w:val="sr-Latn-ME"/>
        </w:rPr>
      </w:pPr>
      <w:r w:rsidRPr="00712444">
        <w:rPr>
          <w:rStyle w:val="FootnoteReference"/>
          <w:rFonts w:asciiTheme="majorHAnsi" w:hAnsiTheme="majorHAnsi" w:cstheme="majorHAnsi"/>
          <w:sz w:val="16"/>
          <w:szCs w:val="16"/>
        </w:rPr>
        <w:footnoteRef/>
      </w:r>
      <w:r w:rsidRPr="00712444">
        <w:rPr>
          <w:rFonts w:asciiTheme="majorHAnsi" w:hAnsiTheme="majorHAnsi" w:cstheme="majorHAnsi"/>
          <w:sz w:val="16"/>
          <w:szCs w:val="16"/>
        </w:rPr>
        <w:t xml:space="preserve"> </w:t>
      </w:r>
      <w:r w:rsidRPr="00712444">
        <w:rPr>
          <w:rFonts w:asciiTheme="majorHAnsi" w:hAnsiTheme="majorHAnsi" w:cstheme="majorHAnsi"/>
          <w:color w:val="000000"/>
          <w:sz w:val="16"/>
          <w:szCs w:val="16"/>
        </w:rPr>
        <w:t>Agencija za elektronske komunikacije i poštansku djelatnost, Agencija za ljekove i medicinska sredstva, Agencija za mirno rješavanje radnih sporova, Agencija za nadzor osiguranja, Agencija za zaštitu konkurencije, Fond penzijskog i invalidskog osiguranja Crne Gore, Fond za zdravstveno osiguranje Crne Gore i Fond rada</w:t>
      </w:r>
      <w:r w:rsidRPr="004B0C09">
        <w:rPr>
          <w:rFonts w:ascii="Calibri" w:hAnsi="Calibri" w:cs="Tahoma"/>
          <w:color w:val="000000"/>
          <w:sz w:val="18"/>
          <w:szCs w:val="18"/>
        </w:rPr>
        <w:t xml:space="preserve"> </w:t>
      </w:r>
    </w:p>
  </w:footnote>
  <w:footnote w:id="29">
    <w:p w:rsidR="00F735BC" w:rsidRPr="002206F7" w:rsidRDefault="00F735BC">
      <w:pPr>
        <w:pStyle w:val="FootnoteText"/>
        <w:rPr>
          <w:rFonts w:asciiTheme="majorHAnsi" w:hAnsiTheme="majorHAnsi" w:cstheme="majorHAnsi"/>
          <w:sz w:val="12"/>
          <w:szCs w:val="12"/>
        </w:rPr>
      </w:pPr>
      <w:r w:rsidRPr="002206F7">
        <w:rPr>
          <w:rFonts w:asciiTheme="majorHAnsi" w:hAnsiTheme="majorHAnsi" w:cstheme="majorHAnsi"/>
          <w:color w:val="auto"/>
          <w:sz w:val="12"/>
          <w:szCs w:val="12"/>
        </w:rPr>
        <w:footnoteRef/>
      </w:r>
      <w:r w:rsidRPr="002206F7">
        <w:rPr>
          <w:rFonts w:asciiTheme="majorHAnsi" w:hAnsiTheme="majorHAnsi" w:cstheme="majorHAnsi"/>
          <w:color w:val="auto"/>
          <w:sz w:val="12"/>
          <w:szCs w:val="12"/>
        </w:rPr>
        <w:t xml:space="preserve"> </w:t>
      </w:r>
      <w:hyperlink r:id="rId10" w:history="1">
        <w:r w:rsidRPr="002206F7">
          <w:rPr>
            <w:rFonts w:asciiTheme="majorHAnsi" w:hAnsiTheme="majorHAnsi" w:cstheme="majorHAnsi"/>
            <w:color w:val="auto"/>
            <w:sz w:val="16"/>
            <w:szCs w:val="16"/>
          </w:rPr>
          <w:t>https://www.gov.me/dokumenta/8ab85e15-37e7-49ab-9b6a-60d1c67dc721</w:t>
        </w:r>
      </w:hyperlink>
      <w:r w:rsidRPr="002206F7">
        <w:rPr>
          <w:rFonts w:asciiTheme="majorHAnsi" w:hAnsiTheme="majorHAnsi" w:cstheme="majorHAnsi"/>
          <w:color w:val="auto"/>
          <w:sz w:val="12"/>
          <w:szCs w:val="12"/>
        </w:rPr>
        <w:t xml:space="preserve"> </w:t>
      </w:r>
    </w:p>
  </w:footnote>
  <w:footnote w:id="30">
    <w:p w:rsidR="00F735BC" w:rsidRPr="00712444" w:rsidRDefault="00F735BC" w:rsidP="004813EA">
      <w:pPr>
        <w:pStyle w:val="FootnoteText"/>
        <w:spacing w:before="0"/>
        <w:ind w:right="-450"/>
        <w:jc w:val="both"/>
        <w:rPr>
          <w:rFonts w:asciiTheme="majorHAnsi" w:hAnsiTheme="majorHAnsi" w:cstheme="majorHAnsi"/>
          <w:color w:val="auto"/>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Izvještaj o implementaciji Akcionog plana za sprovođenje Strategije reforme javne uprave 2016 – 2020. u 2018. godini, Ministarstvo javne uprave Crne Gore, mart 2019. godina i Završni izvještaj o implementaciji Strategije reforme javne uprave 2016–2020, sa osvrtom na aktivnosti za 2020. godinu, mart 2021. godine, link ka dokumentu: </w:t>
      </w:r>
      <w:hyperlink r:id="rId11" w:history="1">
        <w:r w:rsidRPr="00712444">
          <w:rPr>
            <w:rStyle w:val="Hyperlink"/>
            <w:rFonts w:asciiTheme="majorHAnsi" w:hAnsiTheme="majorHAnsi" w:cstheme="majorHAnsi"/>
            <w:color w:val="auto"/>
            <w:sz w:val="16"/>
            <w:szCs w:val="16"/>
          </w:rPr>
          <w:t>https://wapi.gov.me/download/9bd7ecd6-1673-4469-8e47-18a88af893db?version=1.0</w:t>
        </w:r>
      </w:hyperlink>
    </w:p>
  </w:footnote>
  <w:footnote w:id="31">
    <w:p w:rsidR="00F735BC" w:rsidRPr="00712444" w:rsidRDefault="00F735BC" w:rsidP="004813EA">
      <w:pPr>
        <w:pStyle w:val="FootnoteText"/>
        <w:spacing w:before="0"/>
        <w:ind w:right="-450"/>
        <w:jc w:val="both"/>
        <w:rPr>
          <w:rFonts w:asciiTheme="majorHAnsi" w:hAnsiTheme="majorHAnsi" w:cstheme="majorHAnsi"/>
          <w:color w:val="auto"/>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Godišnji izvještaj o izvršenim revizijama i aktivnostima Državne revizorske institucije Crne Gore za period oktobar 2018 – oktobar 2019. godine, Podgorica, 29. 10. 2019. godine, link ka dokumentu: </w:t>
      </w:r>
    </w:p>
    <w:p w:rsidR="00F735BC" w:rsidRPr="00712444" w:rsidRDefault="00DC3498" w:rsidP="004813EA">
      <w:pPr>
        <w:pStyle w:val="FootnoteText"/>
        <w:spacing w:before="0"/>
        <w:ind w:right="-450"/>
        <w:jc w:val="both"/>
        <w:rPr>
          <w:rFonts w:asciiTheme="majorHAnsi" w:hAnsiTheme="majorHAnsi" w:cstheme="majorHAnsi"/>
          <w:color w:val="auto"/>
          <w:sz w:val="16"/>
          <w:szCs w:val="16"/>
        </w:rPr>
      </w:pPr>
      <w:hyperlink r:id="rId12" w:history="1">
        <w:r w:rsidR="00F735BC" w:rsidRPr="00712444">
          <w:rPr>
            <w:rStyle w:val="Hyperlink"/>
            <w:rFonts w:asciiTheme="majorHAnsi" w:hAnsiTheme="majorHAnsi" w:cstheme="majorHAnsi"/>
            <w:color w:val="auto"/>
            <w:sz w:val="16"/>
            <w:szCs w:val="16"/>
          </w:rPr>
          <w:t>http://www.dri.co.me/1/doc/Godi%C5%A1nji%20izvje%C5%A1taj%20o%20izvr%C5%A1enim%20revizijama%20i%20aktivnostima%20DRI%20za%20period%20oktobar%202018%20-%20oktobar%202019.%20godine.pdf</w:t>
        </w:r>
      </w:hyperlink>
      <w:r w:rsidR="00F735BC" w:rsidRPr="00712444">
        <w:rPr>
          <w:rFonts w:asciiTheme="majorHAnsi" w:hAnsiTheme="majorHAnsi" w:cstheme="majorHAnsi"/>
          <w:color w:val="auto"/>
          <w:sz w:val="16"/>
          <w:szCs w:val="16"/>
        </w:rPr>
        <w:t xml:space="preserve">  i Godišnji izvještaj o izvršenim revizijama i aktivnostima Državne revizorske institucije Crne Gore za period oktobar 2019 – oktobar 2020. godine, Podgorica, 30. 10. 2020. godine, link ka dokumentu: </w:t>
      </w:r>
    </w:p>
    <w:p w:rsidR="00F735BC" w:rsidRPr="00712444" w:rsidRDefault="00DC3498" w:rsidP="004813EA">
      <w:pPr>
        <w:pStyle w:val="FootnoteText"/>
        <w:spacing w:before="0"/>
        <w:ind w:right="-450"/>
        <w:jc w:val="both"/>
        <w:rPr>
          <w:rFonts w:asciiTheme="majorHAnsi" w:hAnsiTheme="majorHAnsi" w:cstheme="majorHAnsi"/>
          <w:color w:val="auto"/>
          <w:sz w:val="16"/>
          <w:szCs w:val="16"/>
        </w:rPr>
      </w:pPr>
      <w:hyperlink r:id="rId13" w:history="1">
        <w:r w:rsidR="00F735BC" w:rsidRPr="00712444">
          <w:rPr>
            <w:rStyle w:val="Hyperlink"/>
            <w:rFonts w:asciiTheme="majorHAnsi" w:hAnsiTheme="majorHAnsi" w:cstheme="majorHAnsi"/>
            <w:color w:val="auto"/>
            <w:sz w:val="16"/>
            <w:szCs w:val="16"/>
          </w:rPr>
          <w:t>http://www.dri.co.me/1/doc/Godi%C5%A1nji%20izvje%C5%A1taj%20DRI%20X%202019%20-%20X%202020.pdf</w:t>
        </w:r>
      </w:hyperlink>
    </w:p>
  </w:footnote>
  <w:footnote w:id="32">
    <w:p w:rsidR="00F735BC" w:rsidRPr="00712444" w:rsidRDefault="00F735BC" w:rsidP="004813EA">
      <w:pPr>
        <w:pStyle w:val="FootnoteText"/>
        <w:spacing w:before="0"/>
        <w:ind w:right="-450"/>
        <w:jc w:val="both"/>
        <w:rPr>
          <w:rFonts w:asciiTheme="majorHAnsi" w:hAnsiTheme="majorHAnsi" w:cstheme="majorHAnsi"/>
          <w:color w:val="auto"/>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Podaci su dobijeni od Ministarstva finansija CG u toku SIGMA Assesment procesa za 2021. godinu.</w:t>
      </w:r>
    </w:p>
  </w:footnote>
  <w:footnote w:id="33">
    <w:p w:rsidR="00F735BC" w:rsidRPr="00767AC9" w:rsidRDefault="00F735BC" w:rsidP="00E77433">
      <w:pPr>
        <w:pStyle w:val="FootnoteText"/>
        <w:spacing w:before="0"/>
        <w:ind w:right="-230"/>
        <w:jc w:val="both"/>
        <w:rPr>
          <w:rFonts w:asciiTheme="majorHAnsi" w:hAnsiTheme="majorHAnsi" w:cstheme="majorHAnsi"/>
          <w:color w:val="auto"/>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Izvještaj o radu za 2020. godinu, Zaštitnik ljudskih prava i sloboda, Podgorica, mart 2021. godina, link ka dokumentu: </w:t>
      </w:r>
      <w:hyperlink r:id="rId14" w:history="1">
        <w:r w:rsidRPr="00712444">
          <w:rPr>
            <w:rStyle w:val="Hyperlink"/>
            <w:rFonts w:asciiTheme="majorHAnsi" w:hAnsiTheme="majorHAnsi" w:cstheme="majorHAnsi"/>
            <w:color w:val="auto"/>
            <w:sz w:val="16"/>
            <w:szCs w:val="16"/>
          </w:rPr>
          <w:t>https://www.ombudsman.co.me/docs/1619074992_izvjestaj_01042021.pdf</w:t>
        </w:r>
      </w:hyperlink>
    </w:p>
  </w:footnote>
  <w:footnote w:id="34">
    <w:p w:rsidR="00F735BC" w:rsidRPr="00712444" w:rsidRDefault="00F735BC">
      <w:pPr>
        <w:pStyle w:val="FootnoteText"/>
        <w:spacing w:before="0"/>
        <w:ind w:right="-230"/>
        <w:jc w:val="both"/>
        <w:rPr>
          <w:rFonts w:asciiTheme="majorHAnsi" w:hAnsiTheme="majorHAnsi" w:cstheme="majorHAnsi"/>
          <w:color w:val="auto"/>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Završni izvještaj o implementaciji Strategije reforme javne uprave 2016–2020, sa osvrtom na aktivnosti za 2020. godinu, mart 2021. godine, link ka dokumentu: </w:t>
      </w:r>
      <w:hyperlink r:id="rId15" w:history="1">
        <w:r w:rsidRPr="00712444">
          <w:rPr>
            <w:rStyle w:val="Hyperlink"/>
            <w:rFonts w:asciiTheme="majorHAnsi" w:hAnsiTheme="majorHAnsi" w:cstheme="majorHAnsi"/>
            <w:color w:val="auto"/>
            <w:sz w:val="16"/>
            <w:szCs w:val="16"/>
          </w:rPr>
          <w:t>https://wapi.gov.me/download/9bd7ecd6-1673-4469-8e47-18a88af893db?version=1.0</w:t>
        </w:r>
      </w:hyperlink>
    </w:p>
  </w:footnote>
  <w:footnote w:id="35">
    <w:p w:rsidR="00F735BC" w:rsidRPr="00767AC9" w:rsidRDefault="00F735BC" w:rsidP="00712444">
      <w:pPr>
        <w:pStyle w:val="FootnoteText"/>
        <w:spacing w:before="0"/>
        <w:jc w:val="both"/>
        <w:rPr>
          <w:rFonts w:asciiTheme="majorHAnsi" w:hAnsiTheme="majorHAnsi" w:cstheme="majorHAnsi"/>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Završni izvještaj o implementaciji Strategije reforme javne uprave 2016–2020, sa osvrtom na aktivnosti za 2020. godinu, mart 2021. godine, link ka dokumentu: </w:t>
      </w:r>
      <w:hyperlink r:id="rId16" w:history="1">
        <w:r w:rsidRPr="00712444">
          <w:rPr>
            <w:rStyle w:val="Hyperlink"/>
            <w:rFonts w:asciiTheme="majorHAnsi" w:hAnsiTheme="majorHAnsi" w:cstheme="majorHAnsi"/>
            <w:color w:val="auto"/>
            <w:sz w:val="16"/>
            <w:szCs w:val="16"/>
          </w:rPr>
          <w:t>https://wapi.gov.me/download/9bd7ecd6-1673-4469-8e47-18a88af893db?version=1.0</w:t>
        </w:r>
      </w:hyperlink>
      <w:r w:rsidRPr="00767AC9">
        <w:rPr>
          <w:rFonts w:asciiTheme="majorHAnsi" w:hAnsiTheme="majorHAnsi" w:cstheme="majorHAnsi"/>
          <w:color w:val="auto"/>
          <w:sz w:val="16"/>
          <w:szCs w:val="16"/>
        </w:rPr>
        <w:t xml:space="preserve"> </w:t>
      </w:r>
    </w:p>
  </w:footnote>
  <w:footnote w:id="36">
    <w:p w:rsidR="00F735BC" w:rsidRPr="00767AC9" w:rsidRDefault="00F735BC" w:rsidP="00657D06">
      <w:pPr>
        <w:pStyle w:val="FootnoteText"/>
        <w:spacing w:before="0"/>
        <w:ind w:right="-450"/>
        <w:jc w:val="both"/>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w:t>
      </w:r>
      <w:r w:rsidRPr="00767AC9">
        <w:rPr>
          <w:rFonts w:asciiTheme="majorHAnsi" w:hAnsiTheme="majorHAnsi" w:cstheme="majorHAnsi"/>
          <w:color w:val="auto"/>
          <w:sz w:val="16"/>
          <w:szCs w:val="16"/>
          <w:shd w:val="clear" w:color="auto" w:fill="FFFFFF"/>
        </w:rPr>
        <w:t>Ministarstvo javne uprave, digitalnog društva i medija je kreiralo i dostavilo Upitnik svim jedinicama lokalne samouprave, sa ciljem prikupljanja podataka kako bi se stekao uvid u stepen digitalizacije pomenutih procesa i dobile dodatne informacije o svim relevantnim pitanjima iz ove oblasti. Nalazi navedenog upitnika navedeni su u ovoj analizi.</w:t>
      </w:r>
    </w:p>
  </w:footnote>
  <w:footnote w:id="37">
    <w:p w:rsidR="00F735BC" w:rsidRPr="00712444" w:rsidRDefault="00F735BC" w:rsidP="00657D06">
      <w:pPr>
        <w:pStyle w:val="CommentText"/>
        <w:spacing w:before="0" w:after="0"/>
        <w:ind w:right="-540"/>
        <w:jc w:val="both"/>
        <w:rPr>
          <w:rFonts w:asciiTheme="majorHAnsi" w:hAnsiTheme="majorHAnsi" w:cstheme="majorHAnsi"/>
          <w:color w:val="auto"/>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Konsolidovani dug opština iznosi oko 175,75 mil. eura za kraj 2016. godine, </w:t>
      </w:r>
      <w:hyperlink r:id="rId17" w:history="1">
        <w:r w:rsidRPr="00712444">
          <w:rPr>
            <w:rStyle w:val="Hyperlink"/>
            <w:rFonts w:asciiTheme="majorHAnsi" w:hAnsiTheme="majorHAnsi" w:cstheme="majorHAnsi"/>
            <w:color w:val="auto"/>
            <w:sz w:val="16"/>
            <w:szCs w:val="16"/>
          </w:rPr>
          <w:t>https://www.gov.me/dokumenta/e69b4f81-e111-41ec-b26c-63bc433dda76</w:t>
        </w:r>
      </w:hyperlink>
      <w:r w:rsidRPr="00712444">
        <w:rPr>
          <w:rFonts w:asciiTheme="majorHAnsi" w:hAnsiTheme="majorHAnsi" w:cstheme="majorHAnsi"/>
          <w:color w:val="auto"/>
          <w:sz w:val="16"/>
          <w:szCs w:val="16"/>
        </w:rPr>
        <w:t xml:space="preserve"> , konsolidovani dug opština iznosi oko 150,80 miliona eura, za kraj 2018. godine, </w:t>
      </w:r>
      <w:hyperlink r:id="rId18" w:history="1">
        <w:r w:rsidRPr="00712444">
          <w:rPr>
            <w:rStyle w:val="Hyperlink"/>
            <w:rFonts w:asciiTheme="majorHAnsi" w:hAnsiTheme="majorHAnsi" w:cstheme="majorHAnsi"/>
            <w:color w:val="auto"/>
            <w:sz w:val="16"/>
            <w:szCs w:val="16"/>
          </w:rPr>
          <w:t>https://wapi.gov.me/download/5e706afb-cd8e-45f7-86e2-67c1271245e3?version=1.0</w:t>
        </w:r>
      </w:hyperlink>
      <w:r w:rsidRPr="00712444">
        <w:rPr>
          <w:rFonts w:asciiTheme="majorHAnsi" w:hAnsiTheme="majorHAnsi" w:cstheme="majorHAnsi"/>
          <w:color w:val="auto"/>
          <w:sz w:val="16"/>
          <w:szCs w:val="16"/>
        </w:rPr>
        <w:t xml:space="preserve"> , k</w:t>
      </w:r>
      <w:r w:rsidRPr="00712444">
        <w:rPr>
          <w:rFonts w:asciiTheme="majorHAnsi" w:eastAsia="Cambria" w:hAnsiTheme="majorHAnsi" w:cstheme="majorHAnsi"/>
          <w:color w:val="auto"/>
          <w:sz w:val="16"/>
          <w:szCs w:val="16"/>
          <w:lang w:eastAsia="en-US"/>
        </w:rPr>
        <w:t xml:space="preserve">onsolidovani dug opština iznosi oko 118,70 miliona eura, za kraj 2019. godine, </w:t>
      </w:r>
      <w:hyperlink r:id="rId19" w:history="1">
        <w:r w:rsidRPr="00712444">
          <w:rPr>
            <w:rStyle w:val="Hyperlink"/>
            <w:rFonts w:asciiTheme="majorHAnsi" w:eastAsia="Cambria" w:hAnsiTheme="majorHAnsi" w:cstheme="majorHAnsi"/>
            <w:color w:val="auto"/>
            <w:sz w:val="16"/>
            <w:szCs w:val="16"/>
          </w:rPr>
          <w:t>https://www.gov.me/dokumenta/be4caf8d-23bb-45bc-83ad-d44ce29920c5</w:t>
        </w:r>
      </w:hyperlink>
      <w:r w:rsidRPr="00712444">
        <w:rPr>
          <w:rFonts w:asciiTheme="majorHAnsi" w:eastAsia="Cambria" w:hAnsiTheme="majorHAnsi" w:cstheme="majorHAnsi"/>
          <w:color w:val="auto"/>
          <w:sz w:val="16"/>
          <w:szCs w:val="16"/>
        </w:rPr>
        <w:t xml:space="preserve"> , k</w:t>
      </w:r>
      <w:r w:rsidRPr="00712444">
        <w:rPr>
          <w:rFonts w:asciiTheme="majorHAnsi" w:hAnsiTheme="majorHAnsi" w:cstheme="majorHAnsi"/>
          <w:color w:val="auto"/>
          <w:sz w:val="16"/>
          <w:szCs w:val="16"/>
        </w:rPr>
        <w:t xml:space="preserve">onsolidovani dug opština iznosi oko 119,76 miliona eura, 2020. godina </w:t>
      </w:r>
      <w:hyperlink r:id="rId20" w:history="1">
        <w:r w:rsidRPr="00712444">
          <w:rPr>
            <w:rStyle w:val="Hyperlink"/>
            <w:rFonts w:asciiTheme="majorHAnsi" w:hAnsiTheme="majorHAnsi" w:cstheme="majorHAnsi"/>
            <w:color w:val="auto"/>
            <w:sz w:val="16"/>
            <w:szCs w:val="16"/>
          </w:rPr>
          <w:t>https://www.gov.me/dokumenta/36e6eebd-1c0c-473a-bf36-44db85771437</w:t>
        </w:r>
      </w:hyperlink>
    </w:p>
  </w:footnote>
  <w:footnote w:id="38">
    <w:p w:rsidR="00F735BC" w:rsidRPr="00712444" w:rsidRDefault="00F735BC" w:rsidP="00657D06">
      <w:pPr>
        <w:pStyle w:val="FootnoteText"/>
        <w:spacing w:before="0"/>
        <w:ind w:right="-540"/>
        <w:rPr>
          <w:rFonts w:asciiTheme="majorHAnsi" w:hAnsiTheme="majorHAnsi" w:cstheme="majorHAnsi"/>
          <w:color w:val="auto"/>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http://www.dri.co.me</w:t>
      </w:r>
    </w:p>
  </w:footnote>
  <w:footnote w:id="39">
    <w:p w:rsidR="00F735BC" w:rsidRPr="00DE4601" w:rsidRDefault="00F735BC" w:rsidP="004100E3">
      <w:pPr>
        <w:shd w:val="clear" w:color="auto" w:fill="FFFFFF"/>
        <w:spacing w:before="0" w:after="0" w:line="240" w:lineRule="auto"/>
        <w:ind w:right="-450"/>
        <w:jc w:val="both"/>
        <w:rPr>
          <w:rFonts w:asciiTheme="majorHAnsi" w:hAnsiTheme="majorHAnsi" w:cstheme="majorHAnsi"/>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w:t>
      </w:r>
      <w:r w:rsidRPr="00712444">
        <w:rPr>
          <w:rFonts w:asciiTheme="majorHAnsi" w:hAnsiTheme="majorHAnsi" w:cstheme="majorHAnsi"/>
          <w:color w:val="auto"/>
          <w:sz w:val="16"/>
          <w:szCs w:val="16"/>
          <w:shd w:val="clear" w:color="auto" w:fill="FFFFFF"/>
        </w:rPr>
        <w:t>Zakon o lokalnoj samoupravi predstavlja osnovni pravni okvir za međuopštinsku sar</w:t>
      </w:r>
      <w:r>
        <w:rPr>
          <w:rFonts w:asciiTheme="majorHAnsi" w:hAnsiTheme="majorHAnsi" w:cstheme="majorHAnsi"/>
          <w:color w:val="auto"/>
          <w:sz w:val="16"/>
          <w:szCs w:val="16"/>
          <w:shd w:val="clear" w:color="auto" w:fill="FFFFFF"/>
        </w:rPr>
        <w:t>a</w:t>
      </w:r>
      <w:r w:rsidRPr="00712444">
        <w:rPr>
          <w:rFonts w:asciiTheme="majorHAnsi" w:hAnsiTheme="majorHAnsi" w:cstheme="majorHAnsi"/>
          <w:color w:val="auto"/>
          <w:sz w:val="16"/>
          <w:szCs w:val="16"/>
          <w:shd w:val="clear" w:color="auto" w:fill="FFFFFF"/>
        </w:rPr>
        <w:t xml:space="preserve">dnju. Članom 191. Zakona propisano je da, radi zajedničkog vršenja odreženih poslova iz izvorne nadležnosti, opštine mogu zaključivati ugovor sa drugom opštinom. Nadalje, tom odredbom definisana je sadržina tog ugovora. Takođe, određeni broj sektorskih zakona pruža normativna rješenja za uspostavljanje međuopštinske saradnje koja je prilagođena odgovarajućim oblastima (npr. Zakon o komunalnim djelatnostima – zajedničko obavljanje komunalnih djelatnosti, član 27 (1) </w:t>
      </w:r>
      <w:r w:rsidRPr="00712444">
        <w:rPr>
          <w:rFonts w:asciiTheme="majorHAnsi" w:hAnsiTheme="majorHAnsi" w:cstheme="majorHAnsi"/>
          <w:i/>
          <w:color w:val="auto"/>
          <w:sz w:val="16"/>
          <w:szCs w:val="16"/>
          <w:shd w:val="clear" w:color="auto" w:fill="FFFFFF"/>
        </w:rPr>
        <w:t>Dvije ili više jedinica lokalne samouprave mogu da obezbijede zajedničko obavljanje komunalnih djelatnosti, pod uslovima koje sporazumno utvrde</w:t>
      </w:r>
      <w:r w:rsidRPr="00712444">
        <w:rPr>
          <w:rFonts w:asciiTheme="majorHAnsi" w:hAnsiTheme="majorHAnsi" w:cstheme="majorHAnsi"/>
          <w:color w:val="auto"/>
          <w:sz w:val="16"/>
          <w:szCs w:val="16"/>
          <w:shd w:val="clear" w:color="auto" w:fill="FFFFFF"/>
        </w:rPr>
        <w:t xml:space="preserve"> </w:t>
      </w:r>
      <w:r w:rsidRPr="00712444">
        <w:rPr>
          <w:rFonts w:asciiTheme="majorHAnsi" w:hAnsiTheme="majorHAnsi" w:cstheme="majorHAnsi"/>
          <w:i/>
          <w:color w:val="auto"/>
          <w:sz w:val="16"/>
          <w:szCs w:val="16"/>
          <w:shd w:val="clear" w:color="auto" w:fill="FFFFFF"/>
        </w:rPr>
        <w:t>nadležni organi jedinica lokalne samouprave)</w:t>
      </w:r>
      <w:r w:rsidRPr="00712444">
        <w:rPr>
          <w:rFonts w:asciiTheme="majorHAnsi" w:hAnsiTheme="majorHAnsi" w:cstheme="majorHAnsi"/>
          <w:color w:val="auto"/>
          <w:sz w:val="16"/>
          <w:szCs w:val="16"/>
          <w:shd w:val="clear" w:color="auto" w:fill="FFFFFF"/>
        </w:rPr>
        <w:t>.</w:t>
      </w:r>
      <w:r w:rsidRPr="00712444">
        <w:rPr>
          <w:rFonts w:asciiTheme="majorHAnsi" w:hAnsiTheme="majorHAnsi" w:cstheme="majorHAnsi"/>
          <w:color w:val="auto"/>
          <w:sz w:val="16"/>
          <w:szCs w:val="16"/>
        </w:rPr>
        <w:t xml:space="preserve"> </w:t>
      </w:r>
      <w:r w:rsidRPr="00712444">
        <w:rPr>
          <w:rFonts w:asciiTheme="majorHAnsi" w:eastAsia="Times New Roman" w:hAnsiTheme="majorHAnsi" w:cstheme="majorHAnsi"/>
          <w:color w:val="auto"/>
          <w:sz w:val="16"/>
          <w:szCs w:val="16"/>
        </w:rPr>
        <w:t xml:space="preserve">Dakle, institucionalni oblici saradnje u dijelu izvornih poslova definisani su Zakonom o lokalnoj samoupravi i pojedinim sektorskim zakonom i </w:t>
      </w:r>
      <w:r w:rsidRPr="00712444">
        <w:rPr>
          <w:rFonts w:asciiTheme="majorHAnsi" w:hAnsiTheme="majorHAnsi" w:cstheme="majorHAnsi"/>
          <w:color w:val="auto"/>
          <w:sz w:val="16"/>
          <w:szCs w:val="16"/>
        </w:rPr>
        <w:t>p</w:t>
      </w:r>
      <w:r w:rsidRPr="00712444">
        <w:rPr>
          <w:rFonts w:asciiTheme="majorHAnsi" w:eastAsia="Times New Roman" w:hAnsiTheme="majorHAnsi" w:cstheme="majorHAnsi"/>
          <w:color w:val="auto"/>
          <w:sz w:val="16"/>
          <w:szCs w:val="16"/>
        </w:rPr>
        <w:t xml:space="preserve">ostojeći pravni okvir ne sprečava </w:t>
      </w:r>
      <w:r w:rsidRPr="00712444">
        <w:rPr>
          <w:rFonts w:asciiTheme="majorHAnsi" w:hAnsiTheme="majorHAnsi" w:cstheme="majorHAnsi"/>
          <w:color w:val="auto"/>
          <w:sz w:val="16"/>
          <w:szCs w:val="16"/>
          <w:shd w:val="clear" w:color="auto" w:fill="FFFFFF"/>
        </w:rPr>
        <w:t xml:space="preserve">međuopštinsku saradnju u </w:t>
      </w:r>
      <w:r w:rsidRPr="00712444">
        <w:rPr>
          <w:rFonts w:asciiTheme="majorHAnsi" w:eastAsia="Times New Roman" w:hAnsiTheme="majorHAnsi" w:cstheme="majorHAnsi"/>
          <w:color w:val="auto"/>
          <w:sz w:val="16"/>
          <w:szCs w:val="16"/>
        </w:rPr>
        <w:t>vršenju sopstvenih poslova, ali ona nije moguća u sprovođenju poslova prenesenih i povjernih sa višeg nivoa vlasti.</w:t>
      </w:r>
    </w:p>
  </w:footnote>
  <w:footnote w:id="40">
    <w:p w:rsidR="00F735BC" w:rsidRPr="0048511B" w:rsidRDefault="00F735BC">
      <w:pPr>
        <w:pStyle w:val="FootnoteText"/>
        <w:rPr>
          <w:rFonts w:asciiTheme="majorHAnsi" w:hAnsiTheme="majorHAnsi" w:cstheme="majorHAnsi"/>
          <w:color w:val="auto"/>
          <w:sz w:val="16"/>
          <w:szCs w:val="16"/>
        </w:rPr>
      </w:pPr>
      <w:r w:rsidRPr="0048511B">
        <w:rPr>
          <w:rStyle w:val="FootnoteReference"/>
          <w:rFonts w:asciiTheme="majorHAnsi" w:hAnsiTheme="majorHAnsi" w:cstheme="majorHAnsi"/>
          <w:color w:val="auto"/>
          <w:sz w:val="12"/>
          <w:szCs w:val="12"/>
        </w:rPr>
        <w:footnoteRef/>
      </w:r>
      <w:r w:rsidRPr="0048511B">
        <w:rPr>
          <w:rFonts w:asciiTheme="majorHAnsi" w:hAnsiTheme="majorHAnsi" w:cstheme="majorHAnsi"/>
          <w:color w:val="auto"/>
          <w:sz w:val="12"/>
          <w:szCs w:val="12"/>
        </w:rPr>
        <w:t xml:space="preserve"> </w:t>
      </w:r>
      <w:r w:rsidRPr="0048511B">
        <w:rPr>
          <w:rFonts w:asciiTheme="majorHAnsi" w:hAnsiTheme="majorHAnsi" w:cstheme="majorHAnsi"/>
          <w:color w:val="auto"/>
          <w:sz w:val="16"/>
          <w:szCs w:val="16"/>
        </w:rPr>
        <w:t>Ministarstva i lokalna samouprava</w:t>
      </w:r>
    </w:p>
  </w:footnote>
  <w:footnote w:id="41">
    <w:p w:rsidR="00F735BC" w:rsidRDefault="00F735BC">
      <w:pPr>
        <w:pStyle w:val="FootnoteText"/>
      </w:pPr>
      <w:r w:rsidRPr="0048511B">
        <w:rPr>
          <w:rStyle w:val="FootnoteReference"/>
          <w:rFonts w:asciiTheme="majorHAnsi" w:hAnsiTheme="majorHAnsi" w:cstheme="majorHAnsi"/>
          <w:color w:val="auto"/>
          <w:sz w:val="12"/>
          <w:szCs w:val="12"/>
        </w:rPr>
        <w:footnoteRef/>
      </w:r>
      <w:r w:rsidRPr="0048511B">
        <w:rPr>
          <w:rFonts w:asciiTheme="majorHAnsi" w:hAnsiTheme="majorHAnsi" w:cstheme="majorHAnsi"/>
          <w:color w:val="auto"/>
          <w:sz w:val="12"/>
          <w:szCs w:val="12"/>
        </w:rPr>
        <w:t xml:space="preserve"> </w:t>
      </w:r>
      <w:r w:rsidRPr="0048511B">
        <w:rPr>
          <w:rFonts w:asciiTheme="majorHAnsi" w:hAnsiTheme="majorHAnsi" w:cstheme="majorHAnsi"/>
          <w:color w:val="auto"/>
          <w:sz w:val="16"/>
          <w:szCs w:val="16"/>
        </w:rPr>
        <w:t>Ministarstva i lokalna samouprava</w:t>
      </w:r>
    </w:p>
  </w:footnote>
  <w:footnote w:id="42">
    <w:p w:rsidR="00F735BC" w:rsidRPr="0048511B" w:rsidRDefault="00F735BC">
      <w:pPr>
        <w:pStyle w:val="FootnoteText"/>
        <w:rPr>
          <w:sz w:val="12"/>
          <w:szCs w:val="12"/>
          <w:lang w:val="en-US"/>
        </w:rPr>
      </w:pPr>
      <w:r w:rsidRPr="0048511B">
        <w:rPr>
          <w:rStyle w:val="FootnoteReference"/>
          <w:color w:val="auto"/>
          <w:sz w:val="12"/>
          <w:szCs w:val="12"/>
        </w:rPr>
        <w:footnoteRef/>
      </w:r>
      <w:r w:rsidRPr="0048511B">
        <w:rPr>
          <w:color w:val="auto"/>
          <w:sz w:val="12"/>
          <w:szCs w:val="12"/>
        </w:rPr>
        <w:t xml:space="preserve"> </w:t>
      </w:r>
      <w:r w:rsidRPr="0048511B">
        <w:rPr>
          <w:rFonts w:ascii="Sitka Text" w:hAnsi="Sitka Text"/>
          <w:color w:val="auto"/>
          <w:sz w:val="14"/>
          <w:szCs w:val="14"/>
        </w:rPr>
        <w:t>Komunalne djelatnosti, unutrašnja revizija, prostorsno planiranje</w:t>
      </w:r>
    </w:p>
  </w:footnote>
  <w:footnote w:id="43">
    <w:p w:rsidR="00F735BC" w:rsidRPr="00954575" w:rsidRDefault="00F735BC" w:rsidP="00012E9B">
      <w:pPr>
        <w:pStyle w:val="FootnoteText"/>
        <w:rPr>
          <w:sz w:val="16"/>
          <w:szCs w:val="16"/>
          <w:lang w:val="sr-Latn-ME"/>
        </w:rPr>
      </w:pPr>
      <w:r w:rsidRPr="00954575">
        <w:rPr>
          <w:rStyle w:val="FootnoteReference"/>
          <w:color w:val="auto"/>
          <w:sz w:val="16"/>
          <w:szCs w:val="16"/>
        </w:rPr>
        <w:footnoteRef/>
      </w:r>
      <w:r w:rsidRPr="00954575">
        <w:rPr>
          <w:color w:val="auto"/>
          <w:sz w:val="16"/>
          <w:szCs w:val="16"/>
        </w:rPr>
        <w:t xml:space="preserve"> </w:t>
      </w:r>
      <w:r>
        <w:rPr>
          <w:color w:val="auto"/>
          <w:sz w:val="16"/>
          <w:szCs w:val="16"/>
        </w:rPr>
        <w:t xml:space="preserve">Shodno EU metodologiji </w:t>
      </w:r>
      <w:r w:rsidRPr="00954575">
        <w:rPr>
          <w:i/>
          <w:color w:val="auto"/>
          <w:sz w:val="16"/>
          <w:szCs w:val="16"/>
        </w:rPr>
        <w:t>eGovenment benchmark</w:t>
      </w:r>
    </w:p>
  </w:footnote>
  <w:footnote w:id="44">
    <w:p w:rsidR="00F735BC" w:rsidRPr="00767AC9" w:rsidRDefault="00F735BC" w:rsidP="0031303E">
      <w:pPr>
        <w:pStyle w:val="FootnoteText"/>
        <w:rPr>
          <w:rFonts w:asciiTheme="majorHAnsi" w:hAnsiTheme="majorHAnsi" w:cstheme="majorHAnsi"/>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„Sl. list CG“, br. 56/2014, 20/2015, 40/2016 I 37/2017</w:t>
      </w:r>
    </w:p>
  </w:footnote>
  <w:footnote w:id="45">
    <w:p w:rsidR="00F735BC" w:rsidRPr="00767AC9" w:rsidRDefault="00F735BC" w:rsidP="0031303E">
      <w:pPr>
        <w:pStyle w:val="FootnoteText"/>
        <w:spacing w:before="0"/>
        <w:ind w:right="-230"/>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„Sl. list CG“, br. 12/2007, 73/2010, 28/2011, 50/2012, 10/2014 i 18/2019</w:t>
      </w:r>
    </w:p>
  </w:footnote>
  <w:footnote w:id="46">
    <w:p w:rsidR="00F735BC" w:rsidRPr="0075545E" w:rsidRDefault="00F735BC" w:rsidP="0075545E">
      <w:pPr>
        <w:pStyle w:val="FootnoteText"/>
        <w:spacing w:before="0"/>
        <w:ind w:right="-450"/>
        <w:jc w:val="both"/>
        <w:rPr>
          <w:rFonts w:asciiTheme="majorHAnsi" w:hAnsiTheme="majorHAnsi" w:cstheme="majorHAnsi"/>
          <w:color w:val="auto"/>
          <w:sz w:val="16"/>
          <w:szCs w:val="16"/>
        </w:rPr>
      </w:pPr>
      <w:r w:rsidRPr="0075545E">
        <w:rPr>
          <w:rStyle w:val="FootnoteReference"/>
          <w:rFonts w:asciiTheme="majorHAnsi" w:hAnsiTheme="majorHAnsi" w:cstheme="majorHAnsi"/>
          <w:color w:val="auto"/>
          <w:sz w:val="16"/>
          <w:szCs w:val="16"/>
        </w:rPr>
        <w:footnoteRef/>
      </w:r>
      <w:r w:rsidRPr="007E14C5">
        <w:rPr>
          <w:rFonts w:asciiTheme="majorHAnsi" w:hAnsiTheme="majorHAnsi" w:cstheme="majorHAnsi"/>
          <w:color w:val="auto"/>
          <w:sz w:val="16"/>
          <w:szCs w:val="16"/>
        </w:rPr>
        <w:t xml:space="preserve"> </w:t>
      </w:r>
      <w:hyperlink r:id="rId21" w:history="1">
        <w:r w:rsidRPr="0075545E">
          <w:rPr>
            <w:rStyle w:val="Hyperlink"/>
            <w:rFonts w:asciiTheme="majorHAnsi" w:hAnsiTheme="majorHAnsi" w:cstheme="majorHAnsi"/>
            <w:color w:val="auto"/>
            <w:sz w:val="16"/>
            <w:szCs w:val="16"/>
          </w:rPr>
          <w:t>www.par-monitor.org/what-do-citizens-tell-us-about-administrative-services-the-second-public-perception-survey-in-the-western-balkans/</w:t>
        </w:r>
      </w:hyperlink>
      <w:r w:rsidRPr="007E14C5">
        <w:rPr>
          <w:rStyle w:val="Hyperlink"/>
          <w:rFonts w:asciiTheme="majorHAnsi" w:hAnsiTheme="majorHAnsi" w:cstheme="majorHAnsi"/>
          <w:color w:val="auto"/>
          <w:sz w:val="16"/>
          <w:szCs w:val="16"/>
        </w:rPr>
        <w:t xml:space="preserve"> </w:t>
      </w:r>
      <w:r w:rsidRPr="0075545E">
        <w:rPr>
          <w:rFonts w:asciiTheme="majorHAnsi" w:hAnsiTheme="majorHAnsi" w:cstheme="majorHAnsi"/>
          <w:color w:val="auto"/>
          <w:sz w:val="16"/>
          <w:szCs w:val="16"/>
        </w:rPr>
        <w:t xml:space="preserve"> </w:t>
      </w:r>
    </w:p>
  </w:footnote>
  <w:footnote w:id="47">
    <w:p w:rsidR="00F735BC" w:rsidRDefault="00F735BC" w:rsidP="0075545E">
      <w:pPr>
        <w:pStyle w:val="FootnoteText"/>
        <w:ind w:right="-450"/>
      </w:pPr>
      <w:r w:rsidRPr="007E14C5">
        <w:rPr>
          <w:rStyle w:val="FootnoteReference"/>
          <w:rFonts w:asciiTheme="majorHAnsi" w:hAnsiTheme="majorHAnsi" w:cstheme="majorHAnsi"/>
          <w:color w:val="auto"/>
          <w:sz w:val="16"/>
          <w:szCs w:val="16"/>
        </w:rPr>
        <w:footnoteRef/>
      </w:r>
      <w:r w:rsidRPr="007E14C5">
        <w:rPr>
          <w:rFonts w:asciiTheme="majorHAnsi" w:hAnsiTheme="majorHAnsi" w:cstheme="majorHAnsi"/>
          <w:color w:val="auto"/>
          <w:sz w:val="16"/>
          <w:szCs w:val="16"/>
        </w:rPr>
        <w:t xml:space="preserve"> 2.326.892 predmeta</w:t>
      </w:r>
    </w:p>
  </w:footnote>
  <w:footnote w:id="48">
    <w:p w:rsidR="00F735BC" w:rsidRPr="00712444" w:rsidRDefault="00F735BC" w:rsidP="00CA5B42">
      <w:pPr>
        <w:pStyle w:val="FootnoteText"/>
        <w:spacing w:before="0"/>
        <w:ind w:right="-540"/>
        <w:jc w:val="both"/>
        <w:rPr>
          <w:rFonts w:asciiTheme="majorHAnsi" w:hAnsiTheme="majorHAnsi" w:cstheme="majorHAnsi"/>
          <w:color w:val="auto"/>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Komparativna studija o pružanju usluga Regionalne škole za državnu upravu – ReSPA, 2018. godina, link ka dokumentu: </w:t>
      </w:r>
      <w:hyperlink r:id="rId22" w:history="1">
        <w:r w:rsidRPr="00712444">
          <w:rPr>
            <w:rStyle w:val="Hyperlink"/>
            <w:rFonts w:asciiTheme="majorHAnsi" w:hAnsiTheme="majorHAnsi" w:cstheme="majorHAnsi"/>
            <w:color w:val="auto"/>
            <w:sz w:val="16"/>
            <w:szCs w:val="16"/>
          </w:rPr>
          <w:t>https://www.respaweb.eu/download/doc/Comparative+Study+on+Service+Delivery.pdf/2342ffd1fe9e64da16d225f545eef521.pdf</w:t>
        </w:r>
      </w:hyperlink>
      <w:r w:rsidRPr="00712444">
        <w:rPr>
          <w:rFonts w:asciiTheme="majorHAnsi" w:hAnsiTheme="majorHAnsi" w:cstheme="majorHAnsi"/>
          <w:color w:val="auto"/>
          <w:sz w:val="16"/>
          <w:szCs w:val="16"/>
        </w:rPr>
        <w:t xml:space="preserve"> </w:t>
      </w:r>
    </w:p>
  </w:footnote>
  <w:footnote w:id="49">
    <w:p w:rsidR="00F735BC" w:rsidRPr="00767AC9" w:rsidRDefault="00F735BC" w:rsidP="00CA5B42">
      <w:pPr>
        <w:pStyle w:val="FootnoteText"/>
        <w:spacing w:before="0"/>
        <w:ind w:right="-540"/>
        <w:jc w:val="both"/>
        <w:rPr>
          <w:rFonts w:asciiTheme="majorHAnsi" w:hAnsiTheme="majorHAnsi" w:cstheme="majorHAnsi"/>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Balkan Barometar: </w:t>
      </w:r>
      <w:hyperlink r:id="rId23" w:history="1">
        <w:r w:rsidRPr="00712444">
          <w:rPr>
            <w:rStyle w:val="Hyperlink"/>
            <w:rFonts w:asciiTheme="majorHAnsi" w:hAnsiTheme="majorHAnsi" w:cstheme="majorHAnsi"/>
            <w:color w:val="auto"/>
            <w:sz w:val="16"/>
            <w:szCs w:val="16"/>
          </w:rPr>
          <w:t>https://www.rcc.int/balkanbarometer/results/2/public</w:t>
        </w:r>
      </w:hyperlink>
      <w:r w:rsidRPr="00767AC9">
        <w:rPr>
          <w:rFonts w:asciiTheme="majorHAnsi" w:hAnsiTheme="majorHAnsi" w:cstheme="majorHAnsi"/>
          <w:color w:val="auto"/>
          <w:sz w:val="16"/>
          <w:szCs w:val="16"/>
        </w:rPr>
        <w:t xml:space="preserve"> </w:t>
      </w:r>
    </w:p>
  </w:footnote>
  <w:footnote w:id="50">
    <w:p w:rsidR="00F735BC" w:rsidRPr="00562586" w:rsidRDefault="00F735BC" w:rsidP="00561BDE">
      <w:pPr>
        <w:pStyle w:val="Heading1"/>
        <w:shd w:val="clear" w:color="auto" w:fill="FFFFFF"/>
        <w:spacing w:after="0"/>
        <w:ind w:left="0" w:right="-450"/>
        <w:jc w:val="both"/>
        <w:rPr>
          <w:rFonts w:asciiTheme="majorHAnsi" w:hAnsiTheme="majorHAnsi" w:cstheme="majorHAnsi"/>
          <w:color w:val="auto"/>
          <w:sz w:val="16"/>
          <w:szCs w:val="16"/>
        </w:rPr>
      </w:pPr>
      <w:r w:rsidRPr="00712444">
        <w:rPr>
          <w:rStyle w:val="FootnoteReference"/>
          <w:rFonts w:asciiTheme="majorHAnsi" w:hAnsiTheme="majorHAnsi" w:cstheme="majorHAnsi"/>
          <w:color w:val="auto"/>
          <w:sz w:val="16"/>
          <w:szCs w:val="16"/>
        </w:rPr>
        <w:footnoteRef/>
      </w:r>
      <w:r w:rsidRPr="00712444">
        <w:rPr>
          <w:rFonts w:asciiTheme="majorHAnsi" w:hAnsiTheme="majorHAnsi" w:cstheme="majorHAnsi"/>
          <w:color w:val="auto"/>
          <w:sz w:val="16"/>
          <w:szCs w:val="16"/>
        </w:rPr>
        <w:t xml:space="preserve"> Nivo sofisticiranosti e-usluga (dostupnih na jednom mjestu) definisan je od strane Evropske komisije kroz 5 nivoa</w:t>
      </w:r>
      <w:r w:rsidRPr="00712444">
        <w:rPr>
          <w:rFonts w:asciiTheme="majorHAnsi" w:hAnsiTheme="majorHAnsi" w:cstheme="majorHAnsi"/>
          <w:bCs/>
          <w:color w:val="auto"/>
          <w:sz w:val="16"/>
          <w:szCs w:val="16"/>
        </w:rPr>
        <w:t xml:space="preserve"> i to Nivo 1. Informacije: Na internetu je dostupna samo informacija o uslugama (npr. opis postupka); Nivo 2. Jednosmjerna interakcija: Dostupnost formulara u e-obliku za čuvanje na kompjuteru; Nivo 3. Dvosmjerna komunikacija: Interaktivno ispunjavanje formulara i prijava uz autentifikaciju. Ispunjavanjem formulara pokreće se pojedinačna usluga; Nivo 4. Transakcija: Cijela usluga je dostupna na internetu, zbog čega je omogućeno popunjavanje formulara, autentifikacija, plaćanje </w:t>
      </w:r>
      <w:r w:rsidRPr="00562586">
        <w:rPr>
          <w:rFonts w:asciiTheme="majorHAnsi" w:hAnsiTheme="majorHAnsi" w:cstheme="majorHAnsi"/>
          <w:bCs/>
          <w:color w:val="auto"/>
          <w:sz w:val="16"/>
          <w:szCs w:val="16"/>
        </w:rPr>
        <w:t xml:space="preserve">i isporuka potvrda, narudžbe ili drugi oblici potpune usluge putem interneta; nivo 5. Targetizacija: Javna usluga pruža proaktivnu ili automatiziranu uslugu bez potrebe da korisnici podnose bilo kakav zahtjev jer se potrebni podaci za realizaciju ovih usluga prikupljaju po službenoj dužnosti. </w:t>
      </w:r>
      <w:r w:rsidRPr="00562586">
        <w:rPr>
          <w:rFonts w:asciiTheme="majorHAnsi" w:hAnsiTheme="majorHAnsi" w:cstheme="majorHAnsi"/>
          <w:bCs/>
          <w:i/>
          <w:color w:val="auto"/>
          <w:sz w:val="16"/>
          <w:szCs w:val="16"/>
        </w:rPr>
        <w:t>Five-stage model for e-government maturity (European Commission, 2010).</w:t>
      </w:r>
    </w:p>
  </w:footnote>
  <w:footnote w:id="51">
    <w:p w:rsidR="00F735BC" w:rsidRPr="00562586" w:rsidRDefault="00F735BC" w:rsidP="00561BDE">
      <w:pPr>
        <w:pStyle w:val="FootnoteText"/>
        <w:spacing w:before="0"/>
        <w:ind w:right="-450"/>
        <w:jc w:val="both"/>
        <w:rPr>
          <w:rFonts w:asciiTheme="majorHAnsi" w:hAnsiTheme="majorHAnsi" w:cstheme="majorHAnsi"/>
          <w:color w:val="auto"/>
          <w:sz w:val="16"/>
          <w:szCs w:val="16"/>
        </w:rPr>
      </w:pPr>
      <w:r w:rsidRPr="00562586">
        <w:rPr>
          <w:rStyle w:val="FootnoteReference"/>
          <w:rFonts w:asciiTheme="majorHAnsi" w:hAnsiTheme="majorHAnsi" w:cstheme="majorHAnsi"/>
          <w:color w:val="auto"/>
          <w:sz w:val="16"/>
          <w:szCs w:val="16"/>
        </w:rPr>
        <w:footnoteRef/>
      </w:r>
      <w:r w:rsidRPr="00562586">
        <w:rPr>
          <w:rFonts w:asciiTheme="majorHAnsi" w:hAnsiTheme="majorHAnsi" w:cstheme="majorHAnsi"/>
          <w:color w:val="auto"/>
          <w:sz w:val="16"/>
          <w:szCs w:val="16"/>
        </w:rPr>
        <w:t xml:space="preserve"> „</w:t>
      </w:r>
      <w:r w:rsidRPr="00562586">
        <w:rPr>
          <w:rFonts w:asciiTheme="majorHAnsi" w:hAnsiTheme="majorHAnsi" w:cstheme="majorHAnsi"/>
          <w:i/>
          <w:color w:val="auto"/>
          <w:sz w:val="16"/>
          <w:szCs w:val="16"/>
        </w:rPr>
        <w:t>There are two functional one stop shop services available via the central e-Government portal (www.eUprava.me/en/) – professional development and student loans.“,</w:t>
      </w:r>
      <w:r w:rsidRPr="00562586">
        <w:rPr>
          <w:rFonts w:asciiTheme="majorHAnsi" w:hAnsiTheme="majorHAnsi" w:cstheme="majorHAnsi"/>
          <w:color w:val="auto"/>
          <w:sz w:val="16"/>
          <w:szCs w:val="16"/>
        </w:rPr>
        <w:t xml:space="preserve"> Comparative study on service delivery, Regionalna škola za državnu upravu – ReSPA, 2018. godina, link ka dokumentu: </w:t>
      </w:r>
      <w:hyperlink r:id="rId24" w:history="1">
        <w:r w:rsidRPr="00562586">
          <w:rPr>
            <w:rStyle w:val="Hyperlink"/>
            <w:rFonts w:asciiTheme="majorHAnsi" w:hAnsiTheme="majorHAnsi" w:cstheme="majorHAnsi"/>
            <w:color w:val="auto"/>
            <w:sz w:val="16"/>
            <w:szCs w:val="16"/>
          </w:rPr>
          <w:t>https://www.respaweb.eu/download/doc/Comparative+Study+on+Service+Delivery.pdf/2342ffd1fe9e64da16d225f545eef521.pdf</w:t>
        </w:r>
      </w:hyperlink>
      <w:r w:rsidRPr="00562586">
        <w:rPr>
          <w:rFonts w:asciiTheme="majorHAnsi" w:hAnsiTheme="majorHAnsi" w:cstheme="majorHAnsi"/>
          <w:color w:val="auto"/>
          <w:sz w:val="16"/>
          <w:szCs w:val="16"/>
        </w:rPr>
        <w:t xml:space="preserve"> </w:t>
      </w:r>
    </w:p>
  </w:footnote>
  <w:footnote w:id="52">
    <w:p w:rsidR="00F735BC" w:rsidRPr="00562586" w:rsidRDefault="00F735BC" w:rsidP="0031303E">
      <w:pPr>
        <w:pStyle w:val="FootnoteText"/>
        <w:spacing w:before="0"/>
        <w:ind w:right="-230"/>
        <w:jc w:val="both"/>
        <w:rPr>
          <w:rFonts w:asciiTheme="majorHAnsi" w:hAnsiTheme="majorHAnsi" w:cstheme="majorHAnsi"/>
          <w:color w:val="auto"/>
          <w:sz w:val="16"/>
          <w:szCs w:val="16"/>
        </w:rPr>
      </w:pPr>
      <w:r w:rsidRPr="00562586">
        <w:rPr>
          <w:rStyle w:val="FootnoteReference"/>
          <w:rFonts w:asciiTheme="majorHAnsi" w:hAnsiTheme="majorHAnsi" w:cstheme="majorHAnsi"/>
          <w:color w:val="auto"/>
          <w:sz w:val="16"/>
          <w:szCs w:val="16"/>
        </w:rPr>
        <w:footnoteRef/>
      </w:r>
      <w:r w:rsidRPr="00562586">
        <w:rPr>
          <w:rFonts w:asciiTheme="majorHAnsi" w:hAnsiTheme="majorHAnsi" w:cstheme="majorHAnsi"/>
          <w:color w:val="auto"/>
          <w:sz w:val="16"/>
          <w:szCs w:val="16"/>
        </w:rPr>
        <w:t xml:space="preserve"> IPSOS istraživanje</w:t>
      </w:r>
    </w:p>
  </w:footnote>
  <w:footnote w:id="53">
    <w:p w:rsidR="00F735BC" w:rsidRPr="00562586" w:rsidRDefault="00F735BC" w:rsidP="005A6E16">
      <w:pPr>
        <w:pStyle w:val="FootnoteText"/>
        <w:spacing w:before="0"/>
        <w:ind w:right="-230"/>
        <w:jc w:val="both"/>
        <w:rPr>
          <w:rFonts w:asciiTheme="majorHAnsi" w:hAnsiTheme="majorHAnsi" w:cstheme="majorHAnsi"/>
          <w:color w:val="auto"/>
          <w:sz w:val="16"/>
          <w:szCs w:val="16"/>
        </w:rPr>
      </w:pPr>
      <w:r w:rsidRPr="00562586">
        <w:rPr>
          <w:rStyle w:val="FootnoteReference"/>
          <w:rFonts w:asciiTheme="majorHAnsi" w:hAnsiTheme="majorHAnsi" w:cstheme="majorHAnsi"/>
          <w:color w:val="auto"/>
          <w:sz w:val="16"/>
          <w:szCs w:val="16"/>
        </w:rPr>
        <w:footnoteRef/>
      </w:r>
      <w:r w:rsidRPr="00562586">
        <w:rPr>
          <w:rFonts w:asciiTheme="majorHAnsi" w:hAnsiTheme="majorHAnsi" w:cstheme="majorHAnsi"/>
          <w:color w:val="auto"/>
          <w:sz w:val="16"/>
          <w:szCs w:val="16"/>
        </w:rPr>
        <w:t xml:space="preserve"> Izvještaj o postupanju u upravnim stvarima za period 1.1.2019 – 31.12.2019, Ministarstvo javne uprave, jun 2020. godine, link ka dokumentu: </w:t>
      </w:r>
      <w:hyperlink r:id="rId25" w:history="1">
        <w:r w:rsidRPr="00562586">
          <w:rPr>
            <w:rStyle w:val="Hyperlink"/>
            <w:rFonts w:asciiTheme="majorHAnsi" w:hAnsiTheme="majorHAnsi" w:cstheme="majorHAnsi"/>
            <w:color w:val="auto"/>
            <w:sz w:val="16"/>
            <w:szCs w:val="16"/>
          </w:rPr>
          <w:t>https://www.gov.me/dokumenta/4a61d65e-54db-4ad9-a7c7-626ebe15dfff</w:t>
        </w:r>
      </w:hyperlink>
      <w:r w:rsidRPr="00562586">
        <w:rPr>
          <w:rFonts w:asciiTheme="majorHAnsi" w:hAnsiTheme="majorHAnsi" w:cstheme="majorHAnsi"/>
          <w:color w:val="auto"/>
          <w:sz w:val="16"/>
          <w:szCs w:val="16"/>
        </w:rPr>
        <w:t xml:space="preserve"> </w:t>
      </w:r>
    </w:p>
  </w:footnote>
  <w:footnote w:id="54">
    <w:p w:rsidR="00F735BC" w:rsidRPr="00562586" w:rsidRDefault="00F735BC" w:rsidP="00562586">
      <w:pPr>
        <w:pStyle w:val="FootnoteText"/>
      </w:pPr>
      <w:r w:rsidRPr="00562586">
        <w:rPr>
          <w:rStyle w:val="FootnoteReference"/>
          <w:color w:val="auto"/>
          <w:sz w:val="16"/>
          <w:szCs w:val="16"/>
        </w:rPr>
        <w:footnoteRef/>
      </w:r>
      <w:r w:rsidRPr="00562586">
        <w:rPr>
          <w:color w:val="auto"/>
          <w:sz w:val="16"/>
          <w:szCs w:val="16"/>
        </w:rPr>
        <w:t xml:space="preserve"> "SI. list Crne Gore", br.070/19</w:t>
      </w:r>
    </w:p>
  </w:footnote>
  <w:footnote w:id="55">
    <w:p w:rsidR="00F735BC" w:rsidRPr="00162C8F" w:rsidRDefault="00F735BC">
      <w:pPr>
        <w:pStyle w:val="FootnoteText"/>
        <w:rPr>
          <w:rFonts w:asciiTheme="majorHAnsi" w:hAnsiTheme="majorHAnsi"/>
          <w:sz w:val="16"/>
          <w:szCs w:val="16"/>
        </w:rPr>
      </w:pPr>
      <w:r w:rsidRPr="00162C8F">
        <w:rPr>
          <w:rStyle w:val="FootnoteReference"/>
          <w:rFonts w:asciiTheme="majorHAnsi" w:hAnsiTheme="majorHAnsi"/>
          <w:sz w:val="16"/>
          <w:szCs w:val="16"/>
        </w:rPr>
        <w:footnoteRef/>
      </w:r>
      <w:r w:rsidRPr="00162C8F">
        <w:rPr>
          <w:rFonts w:asciiTheme="majorHAnsi" w:hAnsiTheme="majorHAnsi"/>
          <w:sz w:val="16"/>
          <w:szCs w:val="16"/>
        </w:rPr>
        <w:t xml:space="preserve"> </w:t>
      </w:r>
      <w:hyperlink r:id="rId26" w:history="1">
        <w:r w:rsidRPr="00162C8F">
          <w:rPr>
            <w:rStyle w:val="Hyperlink"/>
            <w:rFonts w:asciiTheme="majorHAnsi" w:hAnsiTheme="majorHAnsi"/>
            <w:color w:val="auto"/>
            <w:sz w:val="16"/>
            <w:szCs w:val="16"/>
          </w:rPr>
          <w:t>file:///D:/Korisnicki%20podaci/Downloads/Balkan_Barometer_Public_opinon_2021v4.pdf</w:t>
        </w:r>
      </w:hyperlink>
      <w:r w:rsidRPr="00162C8F">
        <w:rPr>
          <w:rFonts w:asciiTheme="majorHAnsi" w:hAnsiTheme="majorHAnsi"/>
          <w:color w:val="auto"/>
          <w:sz w:val="16"/>
          <w:szCs w:val="16"/>
        </w:rPr>
        <w:t>, strana 88</w:t>
      </w:r>
    </w:p>
  </w:footnote>
  <w:footnote w:id="56">
    <w:p w:rsidR="00F735BC" w:rsidRPr="00162C8F" w:rsidRDefault="00F735BC">
      <w:pPr>
        <w:pStyle w:val="FootnoteText"/>
        <w:rPr>
          <w:rFonts w:asciiTheme="majorHAnsi" w:hAnsiTheme="majorHAnsi"/>
          <w:sz w:val="16"/>
          <w:szCs w:val="16"/>
          <w:lang w:val="en-US"/>
        </w:rPr>
      </w:pPr>
      <w:r w:rsidRPr="00162C8F">
        <w:rPr>
          <w:rStyle w:val="FootnoteReference"/>
          <w:rFonts w:asciiTheme="majorHAnsi" w:hAnsiTheme="majorHAnsi"/>
          <w:sz w:val="16"/>
          <w:szCs w:val="16"/>
        </w:rPr>
        <w:footnoteRef/>
      </w:r>
      <w:r w:rsidRPr="00162C8F">
        <w:rPr>
          <w:rFonts w:asciiTheme="majorHAnsi" w:hAnsiTheme="majorHAnsi"/>
          <w:sz w:val="16"/>
          <w:szCs w:val="16"/>
        </w:rPr>
        <w:t xml:space="preserve"> </w:t>
      </w:r>
      <w:hyperlink r:id="rId27" w:history="1">
        <w:r w:rsidRPr="00162C8F">
          <w:rPr>
            <w:rStyle w:val="Hyperlink"/>
            <w:rFonts w:asciiTheme="majorHAnsi" w:hAnsiTheme="majorHAnsi" w:cstheme="majorHAnsi"/>
            <w:sz w:val="16"/>
            <w:szCs w:val="16"/>
          </w:rPr>
          <w:t>https://www.capgemini.com/resources/egovernment-benchmark-2020/</w:t>
        </w:r>
      </w:hyperlink>
    </w:p>
  </w:footnote>
  <w:footnote w:id="57">
    <w:p w:rsidR="00F735BC" w:rsidRPr="00266D24" w:rsidRDefault="00F735BC">
      <w:pPr>
        <w:pStyle w:val="FootnoteText"/>
        <w:rPr>
          <w:lang w:val="en-US"/>
        </w:rPr>
      </w:pPr>
      <w:r w:rsidRPr="00162C8F">
        <w:rPr>
          <w:rStyle w:val="FootnoteReference"/>
          <w:rFonts w:asciiTheme="majorHAnsi" w:hAnsiTheme="majorHAnsi"/>
          <w:sz w:val="16"/>
          <w:szCs w:val="16"/>
        </w:rPr>
        <w:footnoteRef/>
      </w:r>
      <w:r w:rsidRPr="00162C8F">
        <w:rPr>
          <w:rFonts w:asciiTheme="majorHAnsi" w:hAnsiTheme="majorHAnsi"/>
          <w:sz w:val="16"/>
          <w:szCs w:val="16"/>
        </w:rPr>
        <w:t xml:space="preserve"> </w:t>
      </w:r>
      <w:r w:rsidRPr="00162C8F">
        <w:rPr>
          <w:rFonts w:asciiTheme="majorHAnsi" w:hAnsiTheme="majorHAnsi" w:cstheme="majorHAnsi"/>
          <w:color w:val="auto"/>
          <w:sz w:val="16"/>
          <w:szCs w:val="16"/>
        </w:rPr>
        <w:t>Predlog: e-zapošljavanje, e-NVO registracija, e-student, e-stručni ispit</w:t>
      </w:r>
    </w:p>
  </w:footnote>
  <w:footnote w:id="58">
    <w:p w:rsidR="00F735BC" w:rsidRPr="00767AC9" w:rsidRDefault="00F735BC" w:rsidP="00677F87">
      <w:pPr>
        <w:pStyle w:val="FootnoteText"/>
        <w:rPr>
          <w:rFonts w:asciiTheme="majorHAnsi" w:hAnsiTheme="majorHAnsi" w:cstheme="majorHAnsi"/>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„Službeni list CG“, br. 2/18 </w:t>
      </w:r>
      <w:r>
        <w:rPr>
          <w:rFonts w:asciiTheme="majorHAnsi" w:hAnsiTheme="majorHAnsi" w:cstheme="majorHAnsi"/>
          <w:color w:val="auto"/>
          <w:sz w:val="16"/>
          <w:szCs w:val="16"/>
        </w:rPr>
        <w:t>,</w:t>
      </w:r>
      <w:r w:rsidRPr="00767AC9">
        <w:rPr>
          <w:rFonts w:asciiTheme="majorHAnsi" w:hAnsiTheme="majorHAnsi" w:cstheme="majorHAnsi"/>
          <w:color w:val="auto"/>
          <w:sz w:val="16"/>
          <w:szCs w:val="16"/>
        </w:rPr>
        <w:t>34/19</w:t>
      </w:r>
      <w:r>
        <w:rPr>
          <w:rFonts w:asciiTheme="majorHAnsi" w:hAnsiTheme="majorHAnsi" w:cstheme="majorHAnsi"/>
          <w:color w:val="auto"/>
          <w:sz w:val="16"/>
          <w:szCs w:val="16"/>
        </w:rPr>
        <w:t xml:space="preserve"> i 8/21</w:t>
      </w:r>
    </w:p>
  </w:footnote>
  <w:footnote w:id="59">
    <w:p w:rsidR="00F735BC" w:rsidRPr="0016163B" w:rsidRDefault="00F735BC" w:rsidP="00162A32">
      <w:pPr>
        <w:pStyle w:val="FootnoteText"/>
        <w:spacing w:before="0"/>
        <w:ind w:right="-630"/>
        <w:rPr>
          <w:rFonts w:asciiTheme="majorHAnsi" w:hAnsiTheme="majorHAnsi" w:cstheme="majorHAnsi"/>
          <w:color w:val="auto"/>
          <w:sz w:val="16"/>
          <w:szCs w:val="16"/>
        </w:rPr>
      </w:pPr>
      <w:r w:rsidRPr="0016163B">
        <w:rPr>
          <w:rStyle w:val="FootnoteReference"/>
          <w:rFonts w:asciiTheme="majorHAnsi" w:hAnsiTheme="majorHAnsi" w:cstheme="majorHAnsi"/>
          <w:color w:val="auto"/>
          <w:sz w:val="16"/>
          <w:szCs w:val="16"/>
        </w:rPr>
        <w:footnoteRef/>
      </w:r>
      <w:r w:rsidRPr="0016163B">
        <w:rPr>
          <w:rFonts w:asciiTheme="majorHAnsi" w:hAnsiTheme="majorHAnsi" w:cstheme="majorHAnsi"/>
          <w:color w:val="auto"/>
          <w:sz w:val="16"/>
          <w:szCs w:val="16"/>
        </w:rPr>
        <w:t xml:space="preserve"> Došlo je po povećanja koeficijenata zaposlenima u prosvjeti za 2020 godinu 9% i u 2021 još 3%;</w:t>
      </w:r>
    </w:p>
    <w:p w:rsidR="00F735BC" w:rsidRPr="0016163B" w:rsidRDefault="00F735BC">
      <w:pPr>
        <w:pStyle w:val="FootnoteText"/>
        <w:spacing w:before="0"/>
        <w:ind w:right="-630"/>
        <w:rPr>
          <w:rFonts w:asciiTheme="majorHAnsi" w:hAnsiTheme="majorHAnsi" w:cstheme="majorHAnsi"/>
        </w:rPr>
      </w:pPr>
      <w:r w:rsidRPr="0016163B">
        <w:rPr>
          <w:rFonts w:asciiTheme="majorHAnsi" w:hAnsiTheme="majorHAnsi" w:cstheme="majorHAnsi"/>
          <w:color w:val="auto"/>
          <w:sz w:val="16"/>
          <w:szCs w:val="16"/>
        </w:rPr>
        <w:t>Došlo je do povećanja koeficijenata zaposlenima u zdravstvu za 2020 godinu 12% i u 2021 još 3%.</w:t>
      </w:r>
    </w:p>
  </w:footnote>
  <w:footnote w:id="60">
    <w:p w:rsidR="00F735BC" w:rsidRPr="007E14C5" w:rsidRDefault="00F735BC" w:rsidP="007E14C5">
      <w:pPr>
        <w:pStyle w:val="FootnoteText"/>
        <w:spacing w:before="0"/>
        <w:ind w:right="-540"/>
        <w:jc w:val="both"/>
        <w:rPr>
          <w:rFonts w:asciiTheme="majorHAnsi" w:hAnsiTheme="majorHAnsi" w:cstheme="majorHAnsi"/>
          <w:sz w:val="16"/>
          <w:szCs w:val="16"/>
          <w:lang w:val="en-US"/>
        </w:rPr>
      </w:pPr>
      <w:r w:rsidRPr="007E14C5">
        <w:rPr>
          <w:rStyle w:val="FootnoteReference"/>
          <w:rFonts w:asciiTheme="majorHAnsi" w:hAnsiTheme="majorHAnsi" w:cstheme="majorHAnsi"/>
          <w:color w:val="auto"/>
          <w:sz w:val="16"/>
          <w:szCs w:val="16"/>
        </w:rPr>
        <w:footnoteRef/>
      </w:r>
      <w:r w:rsidRPr="007E14C5">
        <w:rPr>
          <w:rFonts w:asciiTheme="majorHAnsi" w:hAnsiTheme="majorHAnsi" w:cstheme="majorHAnsi"/>
          <w:color w:val="auto"/>
          <w:sz w:val="16"/>
          <w:szCs w:val="16"/>
        </w:rPr>
        <w:t xml:space="preserve"> Izvještaj o realizaciji plana optimizacije javne uprave 2018-2020 za 2020. godinu, sa osvrtom na implementaciju cjelokupnog dokumenta, ministarstvo javne uprave, digitalnog društva i medija, Crna Gora, jun 2021. godine</w:t>
      </w:r>
    </w:p>
  </w:footnote>
  <w:footnote w:id="61">
    <w:p w:rsidR="00F735BC" w:rsidRPr="00767AC9" w:rsidRDefault="00F735BC" w:rsidP="007E14C5">
      <w:pPr>
        <w:spacing w:before="0" w:after="0" w:line="240" w:lineRule="auto"/>
        <w:ind w:right="-540"/>
        <w:jc w:val="both"/>
        <w:rPr>
          <w:rFonts w:asciiTheme="majorHAnsi" w:hAnsiTheme="majorHAnsi" w:cstheme="majorHAnsi"/>
          <w:sz w:val="16"/>
          <w:szCs w:val="16"/>
        </w:rPr>
      </w:pPr>
      <w:r w:rsidRPr="00162A32">
        <w:rPr>
          <w:rStyle w:val="FootnoteReference"/>
          <w:rFonts w:asciiTheme="majorHAnsi" w:hAnsiTheme="majorHAnsi" w:cstheme="majorHAnsi"/>
          <w:color w:val="auto"/>
          <w:sz w:val="16"/>
          <w:szCs w:val="16"/>
        </w:rPr>
        <w:footnoteRef/>
      </w:r>
      <w:r w:rsidRPr="00162A32">
        <w:rPr>
          <w:rFonts w:asciiTheme="majorHAnsi" w:hAnsiTheme="majorHAnsi" w:cstheme="majorHAnsi"/>
          <w:color w:val="auto"/>
          <w:sz w:val="16"/>
          <w:szCs w:val="16"/>
        </w:rPr>
        <w:t xml:space="preserve"> Izvještaj o realizaciji Plana optimizacije javne uprave 2018-2020. za 2020. godinu, Ministarstvo javne uprave, digitalnog društva i medija, jun 2021. godine.</w:t>
      </w:r>
    </w:p>
  </w:footnote>
  <w:footnote w:id="62">
    <w:p w:rsidR="00F735BC" w:rsidRPr="00767AC9" w:rsidRDefault="00F735BC" w:rsidP="0080159F">
      <w:pPr>
        <w:spacing w:before="0" w:after="0" w:line="240" w:lineRule="auto"/>
        <w:ind w:right="-540"/>
        <w:jc w:val="both"/>
        <w:rPr>
          <w:rFonts w:asciiTheme="majorHAnsi" w:hAnsiTheme="majorHAnsi" w:cstheme="majorHAnsi"/>
          <w:bCs/>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Strategijom reforme javne uprave 2016-2020. i Planom optimizacije javne uprave 2018-2020. predviđeno je smanjenje broja zaposlenih na centralnom nivou za 5%, a na lokalnom za 10% do kraja 2020. godine u odnosu na početnu vrijednost definisanu u decembru 2017. godine. </w:t>
      </w:r>
      <w:r w:rsidRPr="00767AC9">
        <w:rPr>
          <w:rFonts w:asciiTheme="majorHAnsi" w:hAnsiTheme="majorHAnsi" w:cstheme="majorHAnsi"/>
          <w:bCs/>
          <w:color w:val="auto"/>
          <w:sz w:val="16"/>
          <w:szCs w:val="16"/>
        </w:rPr>
        <w:t xml:space="preserve">Ovaj cilj nije ispunjen, a umjesto planiranog smanjenja došlo je do </w:t>
      </w:r>
      <w:r w:rsidRPr="00767AC9">
        <w:rPr>
          <w:rFonts w:asciiTheme="majorHAnsi" w:hAnsiTheme="majorHAnsi" w:cstheme="majorHAnsi"/>
          <w:b/>
          <w:bCs/>
          <w:color w:val="auto"/>
          <w:sz w:val="16"/>
          <w:szCs w:val="16"/>
        </w:rPr>
        <w:t xml:space="preserve">povećanja broja zaposlenih za 8%, </w:t>
      </w:r>
      <w:r w:rsidRPr="00767AC9">
        <w:rPr>
          <w:rFonts w:asciiTheme="majorHAnsi" w:hAnsiTheme="majorHAnsi" w:cstheme="majorHAnsi"/>
          <w:bCs/>
          <w:color w:val="auto"/>
          <w:sz w:val="16"/>
          <w:szCs w:val="16"/>
        </w:rPr>
        <w:t>kako na centralnom tako i na lokalnom nivou.</w:t>
      </w:r>
      <w:r w:rsidRPr="00767AC9">
        <w:rPr>
          <w:rFonts w:asciiTheme="majorHAnsi" w:hAnsiTheme="majorHAnsi" w:cstheme="majorHAnsi"/>
          <w:color w:val="auto"/>
          <w:sz w:val="16"/>
          <w:szCs w:val="16"/>
        </w:rPr>
        <w:t xml:space="preserve"> Na dan 31. decembar 2020. godine na centralnom nivou zaposleno je </w:t>
      </w:r>
      <w:r w:rsidRPr="00767AC9">
        <w:rPr>
          <w:rFonts w:asciiTheme="majorHAnsi" w:hAnsiTheme="majorHAnsi" w:cstheme="majorHAnsi"/>
          <w:b/>
          <w:bCs/>
          <w:color w:val="auto"/>
          <w:sz w:val="16"/>
          <w:szCs w:val="16"/>
        </w:rPr>
        <w:t>42.193</w:t>
      </w:r>
      <w:r w:rsidRPr="00767AC9">
        <w:rPr>
          <w:rFonts w:asciiTheme="majorHAnsi" w:hAnsiTheme="majorHAnsi" w:cstheme="majorHAnsi"/>
          <w:bCs/>
          <w:color w:val="auto"/>
          <w:sz w:val="16"/>
          <w:szCs w:val="16"/>
        </w:rPr>
        <w:t xml:space="preserve"> lica</w:t>
      </w:r>
      <w:r w:rsidRPr="00767AC9">
        <w:rPr>
          <w:rFonts w:asciiTheme="majorHAnsi" w:hAnsiTheme="majorHAnsi" w:cstheme="majorHAnsi"/>
          <w:color w:val="auto"/>
          <w:sz w:val="16"/>
          <w:szCs w:val="16"/>
        </w:rPr>
        <w:t xml:space="preserve">, a na lokalnom </w:t>
      </w:r>
      <w:r w:rsidRPr="00767AC9">
        <w:rPr>
          <w:rFonts w:asciiTheme="majorHAnsi" w:hAnsiTheme="majorHAnsi" w:cstheme="majorHAnsi"/>
          <w:b/>
          <w:bCs/>
          <w:color w:val="auto"/>
          <w:sz w:val="16"/>
          <w:szCs w:val="16"/>
        </w:rPr>
        <w:t>13.235</w:t>
      </w:r>
      <w:r w:rsidRPr="00767AC9">
        <w:rPr>
          <w:rFonts w:asciiTheme="majorHAnsi" w:hAnsiTheme="majorHAnsi" w:cstheme="majorHAnsi"/>
          <w:bCs/>
          <w:color w:val="auto"/>
          <w:sz w:val="16"/>
          <w:szCs w:val="16"/>
        </w:rPr>
        <w:t xml:space="preserve"> lica</w:t>
      </w:r>
      <w:r w:rsidRPr="00767AC9">
        <w:rPr>
          <w:rFonts w:asciiTheme="majorHAnsi" w:hAnsiTheme="majorHAnsi" w:cstheme="majorHAnsi"/>
          <w:color w:val="auto"/>
          <w:sz w:val="16"/>
          <w:szCs w:val="16"/>
        </w:rPr>
        <w:t xml:space="preserve">, što </w:t>
      </w:r>
      <w:r w:rsidRPr="00767AC9">
        <w:rPr>
          <w:rFonts w:asciiTheme="majorHAnsi" w:hAnsiTheme="majorHAnsi" w:cstheme="majorHAnsi"/>
          <w:bCs/>
          <w:color w:val="auto"/>
          <w:sz w:val="16"/>
          <w:szCs w:val="16"/>
        </w:rPr>
        <w:t xml:space="preserve">ukupno čini </w:t>
      </w:r>
      <w:r w:rsidRPr="00767AC9">
        <w:rPr>
          <w:rFonts w:asciiTheme="majorHAnsi" w:hAnsiTheme="majorHAnsi" w:cstheme="majorHAnsi"/>
          <w:b/>
          <w:bCs/>
          <w:color w:val="auto"/>
          <w:sz w:val="16"/>
          <w:szCs w:val="16"/>
        </w:rPr>
        <w:t>55.428 zaposlenih na nivou javne uprave</w:t>
      </w:r>
      <w:r w:rsidRPr="00767AC9">
        <w:rPr>
          <w:rFonts w:asciiTheme="majorHAnsi" w:hAnsiTheme="majorHAnsi" w:cstheme="majorHAnsi"/>
          <w:bCs/>
          <w:color w:val="auto"/>
          <w:sz w:val="16"/>
          <w:szCs w:val="16"/>
        </w:rPr>
        <w:t xml:space="preserve">. Na centralnom nivou je tokom sprovođenja Plana optimizacije došlo do povećanja broja zaposlenih za 3.136, a na lokalnom za 1.061, što ukupno čini povećanje od 4.197 zaposlenih na nivou javne uprave u periodu od jula 2018. do decembra 2020. godine, prema </w:t>
      </w:r>
      <w:r w:rsidRPr="00767AC9">
        <w:rPr>
          <w:rFonts w:asciiTheme="majorHAnsi" w:hAnsiTheme="majorHAnsi" w:cstheme="majorHAnsi"/>
          <w:color w:val="auto"/>
          <w:sz w:val="16"/>
          <w:szCs w:val="16"/>
        </w:rPr>
        <w:t>Izvještaju o realizaciji Plana optimizacije javne uprave 2018-2020, za 2020. godinu, Ministarstvo javne uprave, digitalnog društva i medija, jun 2021. godine.</w:t>
      </w:r>
    </w:p>
  </w:footnote>
  <w:footnote w:id="63">
    <w:p w:rsidR="00F735BC" w:rsidRPr="00767AC9" w:rsidRDefault="00F735BC" w:rsidP="0080159F">
      <w:pPr>
        <w:spacing w:before="0" w:after="0" w:line="240" w:lineRule="auto"/>
        <w:ind w:right="-540"/>
        <w:jc w:val="both"/>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Izvještaj o realizaciji Plana optimizacije javne uprave 2018-2020, za 2020. godinu, sa osvrtom na implementaciju cjelokupnog dokumenta, Ministarstvo javne uprave, digitalnog društva i medija, jun 2021. godine.</w:t>
      </w:r>
    </w:p>
  </w:footnote>
  <w:footnote w:id="64">
    <w:p w:rsidR="00F735BC" w:rsidRPr="00767AC9" w:rsidRDefault="00F735BC" w:rsidP="0080159F">
      <w:pPr>
        <w:pStyle w:val="FootnoteText"/>
        <w:spacing w:before="0"/>
        <w:ind w:right="-540"/>
        <w:jc w:val="both"/>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Izvještaj o realizaciji Plana optimizacije javne uprave 2018-2020, za 2020. godinu, sa osvrtom na implementaciju cjelokupnog dokumenta, Ministarstvo javne uprave, digitalnog društva i medija, jun 2021. godine.</w:t>
      </w:r>
    </w:p>
  </w:footnote>
  <w:footnote w:id="65">
    <w:p w:rsidR="00F735BC" w:rsidRPr="00767AC9" w:rsidRDefault="00F735BC" w:rsidP="0080159F">
      <w:pPr>
        <w:pStyle w:val="NormalWeb"/>
        <w:spacing w:before="0" w:after="0" w:line="240" w:lineRule="auto"/>
        <w:ind w:right="-450"/>
        <w:jc w:val="both"/>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w:t>
      </w:r>
      <w:r w:rsidRPr="00767AC9">
        <w:rPr>
          <w:rFonts w:asciiTheme="majorHAnsi" w:hAnsiTheme="majorHAnsi" w:cstheme="majorHAnsi"/>
          <w:color w:val="auto"/>
          <w:sz w:val="16"/>
          <w:szCs w:val="16"/>
          <w:lang w:val="pl-PL"/>
        </w:rPr>
        <w:t>Organi državne uprave i drugi državni organi, Kadrovskim planom za 2020</w:t>
      </w:r>
      <w:r w:rsidRPr="00767AC9">
        <w:rPr>
          <w:rFonts w:asciiTheme="majorHAnsi" w:hAnsiTheme="majorHAnsi" w:cstheme="majorHAnsi"/>
          <w:color w:val="auto"/>
          <w:sz w:val="16"/>
          <w:szCs w:val="16"/>
          <w:lang w:val="sr-Latn-ME"/>
        </w:rPr>
        <w:t xml:space="preserve">. godinu planirali su zapošljavanje za 1260 izvršilaca, a u postupcima po internim, javnim oglasima i javnim konkursima donijete su odluke o izboru za 767 kandidata, što iznosi 61% od planiranog, prema </w:t>
      </w:r>
      <w:r w:rsidRPr="00767AC9">
        <w:rPr>
          <w:rFonts w:asciiTheme="majorHAnsi" w:hAnsiTheme="majorHAnsi" w:cstheme="majorHAnsi"/>
          <w:color w:val="auto"/>
          <w:sz w:val="16"/>
          <w:szCs w:val="16"/>
        </w:rPr>
        <w:t>Analizi stanja u oblasti upravljanja ljudskim resursima za 2020. godinu, Uprava za kadrove, jun 2021. godine.</w:t>
      </w:r>
    </w:p>
  </w:footnote>
  <w:footnote w:id="66">
    <w:p w:rsidR="00F735BC" w:rsidRPr="007E14C5" w:rsidRDefault="00F735BC" w:rsidP="0080159F">
      <w:pPr>
        <w:pStyle w:val="NormalWeb"/>
        <w:spacing w:before="0" w:after="0" w:line="240" w:lineRule="auto"/>
        <w:ind w:right="-450"/>
        <w:jc w:val="both"/>
        <w:rPr>
          <w:rFonts w:asciiTheme="majorHAnsi" w:hAnsiTheme="majorHAnsi" w:cstheme="majorHAnsi"/>
          <w:color w:val="auto"/>
          <w:sz w:val="16"/>
          <w:szCs w:val="16"/>
        </w:rPr>
      </w:pPr>
      <w:r w:rsidRPr="00162A32">
        <w:rPr>
          <w:rStyle w:val="FootnoteReference"/>
          <w:rFonts w:asciiTheme="majorHAnsi" w:hAnsiTheme="majorHAnsi" w:cstheme="majorHAnsi"/>
          <w:color w:val="auto"/>
          <w:sz w:val="16"/>
          <w:szCs w:val="16"/>
        </w:rPr>
        <w:footnoteRef/>
      </w:r>
      <w:r w:rsidRPr="00162A32">
        <w:rPr>
          <w:rFonts w:asciiTheme="majorHAnsi" w:hAnsiTheme="majorHAnsi" w:cstheme="majorHAnsi"/>
          <w:color w:val="auto"/>
          <w:sz w:val="16"/>
          <w:szCs w:val="16"/>
        </w:rPr>
        <w:t xml:space="preserve"> Analiza stanja u oblasti upravljanja ljudskim resursima za 2020. godinu, Uprava za kadrove, jun 2021. godine.</w:t>
      </w:r>
    </w:p>
  </w:footnote>
  <w:footnote w:id="67">
    <w:p w:rsidR="00F735BC" w:rsidRPr="007E14C5" w:rsidRDefault="00F735BC" w:rsidP="007E14C5">
      <w:pPr>
        <w:pStyle w:val="FootnoteText"/>
        <w:spacing w:before="0"/>
        <w:ind w:right="-547"/>
        <w:jc w:val="both"/>
        <w:rPr>
          <w:rFonts w:asciiTheme="majorHAnsi" w:hAnsiTheme="majorHAnsi" w:cstheme="majorHAnsi"/>
          <w:color w:val="auto"/>
          <w:sz w:val="16"/>
          <w:szCs w:val="16"/>
        </w:rPr>
      </w:pPr>
      <w:r w:rsidRPr="007E14C5">
        <w:rPr>
          <w:rStyle w:val="FootnoteReference"/>
          <w:rFonts w:asciiTheme="majorHAnsi" w:hAnsiTheme="majorHAnsi" w:cstheme="majorHAnsi"/>
          <w:color w:val="auto"/>
          <w:sz w:val="16"/>
          <w:szCs w:val="16"/>
        </w:rPr>
        <w:footnoteRef/>
      </w:r>
      <w:r w:rsidRPr="007E14C5">
        <w:rPr>
          <w:rFonts w:asciiTheme="majorHAnsi" w:hAnsiTheme="majorHAnsi" w:cstheme="majorHAnsi"/>
          <w:color w:val="auto"/>
          <w:sz w:val="16"/>
          <w:szCs w:val="16"/>
        </w:rPr>
        <w:t xml:space="preserve"> U praksi se dešava da usljed većeg broja prijavljenih kandidata, dostava se ne izvrši u istom vremenskom periodu iz razloga što u pojedinim slučajevima lična dostava ne uspijeva.</w:t>
      </w:r>
    </w:p>
  </w:footnote>
  <w:footnote w:id="68">
    <w:p w:rsidR="00F735BC" w:rsidRPr="007E14C5" w:rsidRDefault="00F735BC" w:rsidP="007E14C5">
      <w:pPr>
        <w:pStyle w:val="FootnoteText"/>
        <w:spacing w:before="0"/>
        <w:ind w:right="-547"/>
        <w:jc w:val="both"/>
        <w:rPr>
          <w:rFonts w:asciiTheme="majorHAnsi" w:hAnsiTheme="majorHAnsi" w:cstheme="majorHAnsi"/>
          <w:color w:val="auto"/>
          <w:sz w:val="18"/>
          <w:szCs w:val="18"/>
        </w:rPr>
      </w:pPr>
      <w:r w:rsidRPr="00162A32">
        <w:rPr>
          <w:rStyle w:val="FootnoteReference"/>
          <w:rFonts w:asciiTheme="majorHAnsi" w:hAnsiTheme="majorHAnsi" w:cstheme="majorHAnsi"/>
          <w:color w:val="auto"/>
          <w:sz w:val="16"/>
          <w:szCs w:val="16"/>
        </w:rPr>
        <w:footnoteRef/>
      </w:r>
      <w:r w:rsidRPr="00162A32">
        <w:rPr>
          <w:rFonts w:asciiTheme="majorHAnsi" w:hAnsiTheme="majorHAnsi" w:cstheme="majorHAnsi"/>
          <w:color w:val="auto"/>
          <w:sz w:val="16"/>
          <w:szCs w:val="16"/>
        </w:rPr>
        <w:t xml:space="preserve"> „Sl. list CG“, br. 2/2018, 34/2019 i 8/2021</w:t>
      </w:r>
    </w:p>
  </w:footnote>
  <w:footnote w:id="69">
    <w:p w:rsidR="00F735BC" w:rsidRPr="00162A32" w:rsidRDefault="00F735BC" w:rsidP="007E14C5">
      <w:pPr>
        <w:pStyle w:val="FootnoteText"/>
        <w:spacing w:before="0"/>
        <w:ind w:right="-547"/>
        <w:jc w:val="both"/>
        <w:rPr>
          <w:rFonts w:asciiTheme="majorHAnsi" w:hAnsiTheme="majorHAnsi" w:cstheme="majorHAnsi"/>
          <w:color w:val="auto"/>
          <w:sz w:val="16"/>
          <w:szCs w:val="16"/>
        </w:rPr>
      </w:pPr>
      <w:r w:rsidRPr="00162A32">
        <w:rPr>
          <w:rStyle w:val="FootnoteReference"/>
          <w:rFonts w:asciiTheme="majorHAnsi" w:hAnsiTheme="majorHAnsi" w:cstheme="majorHAnsi"/>
          <w:color w:val="auto"/>
          <w:sz w:val="16"/>
          <w:szCs w:val="16"/>
        </w:rPr>
        <w:footnoteRef/>
      </w:r>
      <w:r w:rsidRPr="00162A32">
        <w:rPr>
          <w:rFonts w:asciiTheme="majorHAnsi" w:hAnsiTheme="majorHAnsi" w:cstheme="majorHAnsi"/>
          <w:color w:val="auto"/>
          <w:sz w:val="16"/>
          <w:szCs w:val="16"/>
        </w:rPr>
        <w:t xml:space="preserve"> Ipsos Strategic Marketing za Institut alternativa, Percepcija javne uprave 2019, septembar 2019. godine</w:t>
      </w:r>
    </w:p>
  </w:footnote>
  <w:footnote w:id="70">
    <w:p w:rsidR="00F735BC" w:rsidRPr="00767AC9" w:rsidRDefault="00F735BC" w:rsidP="00345235">
      <w:pPr>
        <w:pStyle w:val="FootnoteText"/>
        <w:spacing w:before="0"/>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Analiza</w:t>
      </w:r>
      <w:r w:rsidRPr="00767AC9">
        <w:rPr>
          <w:rFonts w:asciiTheme="majorHAnsi" w:eastAsia="Times New Roman" w:hAnsiTheme="majorHAnsi" w:cstheme="majorHAnsi"/>
          <w:color w:val="auto"/>
          <w:sz w:val="16"/>
          <w:szCs w:val="16"/>
        </w:rPr>
        <w:t xml:space="preserve"> stanja u oblasti upravljanja ljudskim resursima</w:t>
      </w:r>
      <w:r w:rsidRPr="00767AC9">
        <w:rPr>
          <w:rFonts w:asciiTheme="majorHAnsi" w:hAnsiTheme="majorHAnsi" w:cstheme="majorHAnsi"/>
          <w:color w:val="auto"/>
          <w:sz w:val="16"/>
          <w:szCs w:val="16"/>
        </w:rPr>
        <w:t xml:space="preserve"> za 2020. godinu, Uprava za kadrove, jun 2021. godine</w:t>
      </w:r>
    </w:p>
  </w:footnote>
  <w:footnote w:id="71">
    <w:p w:rsidR="00F735BC" w:rsidRPr="007E14C5" w:rsidRDefault="00F735BC" w:rsidP="007E14C5">
      <w:pPr>
        <w:pStyle w:val="NoSpacing"/>
        <w:spacing w:before="0"/>
        <w:ind w:right="-547"/>
        <w:jc w:val="both"/>
        <w:rPr>
          <w:rFonts w:asciiTheme="majorHAnsi" w:hAnsiTheme="majorHAnsi" w:cstheme="majorHAnsi"/>
          <w:color w:val="auto"/>
          <w:sz w:val="16"/>
          <w:szCs w:val="16"/>
          <w:lang w:val="sr-Latn-RS"/>
        </w:rPr>
      </w:pPr>
      <w:r w:rsidRPr="00162A32">
        <w:rPr>
          <w:rStyle w:val="FootnoteReference"/>
          <w:rFonts w:asciiTheme="majorHAnsi" w:hAnsiTheme="majorHAnsi" w:cstheme="majorHAnsi"/>
          <w:color w:val="auto"/>
          <w:sz w:val="16"/>
          <w:szCs w:val="16"/>
        </w:rPr>
        <w:footnoteRef/>
      </w:r>
      <w:r w:rsidRPr="00162A32">
        <w:rPr>
          <w:rFonts w:asciiTheme="majorHAnsi" w:hAnsiTheme="majorHAnsi" w:cstheme="majorHAnsi"/>
          <w:color w:val="auto"/>
          <w:sz w:val="16"/>
          <w:szCs w:val="16"/>
          <w:lang w:val="sr-Latn-RS"/>
        </w:rPr>
        <w:t xml:space="preserve"> Nacrt i</w:t>
      </w:r>
      <w:r w:rsidRPr="00162A32">
        <w:rPr>
          <w:rFonts w:asciiTheme="majorHAnsi" w:hAnsiTheme="majorHAnsi" w:cstheme="majorHAnsi"/>
          <w:bCs/>
          <w:color w:val="auto"/>
          <w:sz w:val="16"/>
          <w:szCs w:val="16"/>
          <w:lang w:val="sr-Latn-RS"/>
        </w:rPr>
        <w:t>zvještaja o sprovođenju Zakona o državnim službenicima i namještenicima, Ministarstvo javne uprave, digitalnog društva i medija, april 2021. Godina.</w:t>
      </w:r>
    </w:p>
  </w:footnote>
  <w:footnote w:id="72">
    <w:p w:rsidR="00F735BC" w:rsidRPr="00767AC9" w:rsidRDefault="00F735BC" w:rsidP="0080159F">
      <w:pPr>
        <w:pStyle w:val="FootnoteText"/>
        <w:spacing w:before="0"/>
        <w:ind w:right="-540"/>
        <w:rPr>
          <w:rFonts w:asciiTheme="majorHAnsi" w:hAnsiTheme="majorHAnsi" w:cstheme="majorHAnsi"/>
          <w:color w:val="auto"/>
          <w:sz w:val="16"/>
          <w:szCs w:val="16"/>
        </w:rPr>
      </w:pPr>
      <w:r w:rsidRPr="00162A32">
        <w:rPr>
          <w:rStyle w:val="FootnoteReference"/>
          <w:rFonts w:asciiTheme="majorHAnsi" w:hAnsiTheme="majorHAnsi" w:cstheme="majorHAnsi"/>
          <w:color w:val="auto"/>
          <w:sz w:val="16"/>
          <w:szCs w:val="16"/>
        </w:rPr>
        <w:footnoteRef/>
      </w:r>
      <w:r w:rsidRPr="00162A32">
        <w:rPr>
          <w:rFonts w:asciiTheme="majorHAnsi" w:hAnsiTheme="majorHAnsi" w:cstheme="majorHAnsi"/>
          <w:color w:val="auto"/>
          <w:sz w:val="16"/>
          <w:szCs w:val="16"/>
        </w:rPr>
        <w:t xml:space="preserve"> Izvještaj sa fokus grupa održanih u aprilu 2021. godine za Strategiju reforme javne uprave 2022 – 2026, Ministarstvo javne uprave, digitalnog društva i medija i UNDP, Podgorica, maj 2021.</w:t>
      </w:r>
    </w:p>
  </w:footnote>
  <w:footnote w:id="73">
    <w:p w:rsidR="00F735BC" w:rsidRPr="00193302" w:rsidRDefault="00F735BC" w:rsidP="00345235">
      <w:pPr>
        <w:pStyle w:val="NormalWeb"/>
        <w:spacing w:before="0" w:after="0" w:line="240" w:lineRule="auto"/>
        <w:ind w:right="-450"/>
        <w:jc w:val="both"/>
        <w:rPr>
          <w:rFonts w:asciiTheme="majorHAnsi" w:hAnsiTheme="majorHAnsi" w:cstheme="majorHAnsi"/>
          <w:color w:val="auto"/>
          <w:lang w:val="sr-Latn-ME"/>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w:t>
      </w:r>
      <w:r w:rsidRPr="00767AC9">
        <w:rPr>
          <w:rFonts w:asciiTheme="majorHAnsi" w:hAnsiTheme="majorHAnsi" w:cstheme="majorHAnsi"/>
          <w:color w:val="auto"/>
          <w:sz w:val="16"/>
          <w:szCs w:val="16"/>
          <w:lang w:val="sr-Latn-ME"/>
        </w:rPr>
        <w:t xml:space="preserve">Prema </w:t>
      </w:r>
      <w:r w:rsidRPr="00767AC9">
        <w:rPr>
          <w:rFonts w:asciiTheme="majorHAnsi" w:hAnsiTheme="majorHAnsi" w:cstheme="majorHAnsi"/>
          <w:color w:val="auto"/>
          <w:sz w:val="16"/>
          <w:szCs w:val="16"/>
        </w:rPr>
        <w:t>Analizi stanja u oblasti upravljanja ljudskim resursima za 2020. godinu, Uprava za kadrove, jun 2021. godine, p</w:t>
      </w:r>
      <w:r w:rsidRPr="00767AC9">
        <w:rPr>
          <w:rFonts w:asciiTheme="majorHAnsi" w:eastAsia="Arial" w:hAnsiTheme="majorHAnsi" w:cstheme="majorHAnsi"/>
          <w:color w:val="auto"/>
          <w:sz w:val="16"/>
          <w:szCs w:val="16"/>
          <w:lang w:val="sr-Latn-ME"/>
        </w:rPr>
        <w:t xml:space="preserve">odaci ukazuju da je </w:t>
      </w:r>
      <w:r w:rsidRPr="00767AC9">
        <w:rPr>
          <w:rFonts w:asciiTheme="majorHAnsi" w:eastAsia="Arial" w:hAnsiTheme="majorHAnsi" w:cstheme="majorHAnsi"/>
          <w:b/>
          <w:color w:val="auto"/>
          <w:sz w:val="16"/>
          <w:szCs w:val="16"/>
          <w:lang w:val="sr-Latn-ME"/>
        </w:rPr>
        <w:t>planirano za 2020. godinu da na programima obuke bude 3.000 polaznika, a evidencije govore da ih je bilo 2.134</w:t>
      </w:r>
      <w:r w:rsidRPr="00767AC9">
        <w:rPr>
          <w:rFonts w:asciiTheme="majorHAnsi" w:eastAsia="Arial" w:hAnsiTheme="majorHAnsi" w:cstheme="majorHAnsi"/>
          <w:color w:val="auto"/>
          <w:sz w:val="16"/>
          <w:szCs w:val="16"/>
          <w:lang w:val="sr-Latn-ME"/>
        </w:rPr>
        <w:t xml:space="preserve">. Dominantan je broj iz kategorije ekspertskog i izvršnog kadra, dok je manje zastupljen rukovodeći kadar. Pojedine obuke bile su namijenjene isključivo licima iz kategorije visoko rukovodni kadar, </w:t>
      </w:r>
      <w:r w:rsidRPr="00193302">
        <w:rPr>
          <w:rFonts w:asciiTheme="majorHAnsi" w:eastAsia="Arial" w:hAnsiTheme="majorHAnsi" w:cstheme="majorHAnsi"/>
          <w:color w:val="auto"/>
          <w:sz w:val="16"/>
          <w:szCs w:val="16"/>
          <w:lang w:val="sr-Latn-ME"/>
        </w:rPr>
        <w:t xml:space="preserve">ali je odziv na njima često bio iz kategorije ekspertski rukovodni kadar. Ovo ukazuje da je neophodno uvođenje obaveznosti pohađanja za pojedine obuke i pojedine kategorije službenika, kao i planiranje obuka na nivou organa. </w:t>
      </w:r>
    </w:p>
  </w:footnote>
  <w:footnote w:id="74">
    <w:p w:rsidR="00F735BC" w:rsidRPr="00193302" w:rsidRDefault="00F735BC" w:rsidP="007E14C5">
      <w:pPr>
        <w:pStyle w:val="FootnoteText"/>
        <w:spacing w:before="0"/>
        <w:ind w:right="-450"/>
        <w:rPr>
          <w:rFonts w:asciiTheme="majorHAnsi" w:hAnsiTheme="majorHAnsi" w:cstheme="majorHAnsi"/>
          <w:color w:val="auto"/>
          <w:sz w:val="16"/>
          <w:szCs w:val="16"/>
        </w:rPr>
      </w:pPr>
      <w:r w:rsidRPr="00193302">
        <w:rPr>
          <w:rStyle w:val="FootnoteReference"/>
          <w:rFonts w:asciiTheme="majorHAnsi" w:hAnsiTheme="majorHAnsi" w:cstheme="majorHAnsi"/>
          <w:color w:val="auto"/>
          <w:sz w:val="16"/>
          <w:szCs w:val="16"/>
        </w:rPr>
        <w:footnoteRef/>
      </w:r>
      <w:r w:rsidRPr="00193302">
        <w:rPr>
          <w:rFonts w:asciiTheme="majorHAnsi" w:hAnsiTheme="majorHAnsi" w:cstheme="majorHAnsi"/>
          <w:color w:val="auto"/>
          <w:sz w:val="16"/>
          <w:szCs w:val="16"/>
        </w:rPr>
        <w:t xml:space="preserve"> Analiza</w:t>
      </w:r>
      <w:r w:rsidRPr="00193302">
        <w:rPr>
          <w:rFonts w:asciiTheme="majorHAnsi" w:eastAsia="Times New Roman" w:hAnsiTheme="majorHAnsi" w:cstheme="majorHAnsi"/>
          <w:color w:val="auto"/>
          <w:sz w:val="16"/>
          <w:szCs w:val="16"/>
        </w:rPr>
        <w:t xml:space="preserve"> stanja u oblasti upravljanja ljudskim resursima</w:t>
      </w:r>
      <w:r w:rsidRPr="00193302">
        <w:rPr>
          <w:rFonts w:asciiTheme="majorHAnsi" w:hAnsiTheme="majorHAnsi" w:cstheme="majorHAnsi"/>
          <w:color w:val="auto"/>
          <w:sz w:val="16"/>
          <w:szCs w:val="16"/>
        </w:rPr>
        <w:t xml:space="preserve"> za 2020. godinu, Uprava za kadrove, jun 2021. godine</w:t>
      </w:r>
    </w:p>
  </w:footnote>
  <w:footnote w:id="75">
    <w:p w:rsidR="00F735BC" w:rsidRPr="00EA5CEF" w:rsidRDefault="00F735BC" w:rsidP="007E14C5">
      <w:pPr>
        <w:pStyle w:val="FootnoteText"/>
        <w:spacing w:before="0"/>
        <w:ind w:right="-450"/>
        <w:rPr>
          <w:sz w:val="16"/>
          <w:szCs w:val="16"/>
        </w:rPr>
      </w:pPr>
      <w:r w:rsidRPr="00193302">
        <w:rPr>
          <w:rStyle w:val="FootnoteReference"/>
          <w:rFonts w:asciiTheme="majorHAnsi" w:hAnsiTheme="majorHAnsi" w:cstheme="majorHAnsi"/>
          <w:color w:val="auto"/>
          <w:sz w:val="16"/>
          <w:szCs w:val="16"/>
        </w:rPr>
        <w:footnoteRef/>
      </w:r>
      <w:r w:rsidRPr="00193302">
        <w:rPr>
          <w:rFonts w:asciiTheme="majorHAnsi" w:hAnsiTheme="majorHAnsi" w:cstheme="majorHAnsi"/>
          <w:color w:val="auto"/>
          <w:sz w:val="16"/>
          <w:szCs w:val="16"/>
        </w:rPr>
        <w:t xml:space="preserve"> Odnosi se samo na obuke koje organizuje i sprovodi HRMA</w:t>
      </w:r>
    </w:p>
  </w:footnote>
  <w:footnote w:id="76">
    <w:p w:rsidR="00F735BC" w:rsidRPr="00767AC9" w:rsidRDefault="00F735BC" w:rsidP="007E14C5">
      <w:pPr>
        <w:pStyle w:val="FootnoteText"/>
        <w:spacing w:before="0"/>
        <w:ind w:right="-450"/>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Analiza</w:t>
      </w:r>
      <w:r w:rsidRPr="00767AC9">
        <w:rPr>
          <w:rFonts w:asciiTheme="majorHAnsi" w:eastAsia="Times New Roman" w:hAnsiTheme="majorHAnsi" w:cstheme="majorHAnsi"/>
          <w:color w:val="auto"/>
          <w:sz w:val="16"/>
          <w:szCs w:val="16"/>
        </w:rPr>
        <w:t xml:space="preserve"> stanja u oblasti upravljanja ljudskim resursima</w:t>
      </w:r>
      <w:r w:rsidRPr="00767AC9">
        <w:rPr>
          <w:rFonts w:asciiTheme="majorHAnsi" w:hAnsiTheme="majorHAnsi" w:cstheme="majorHAnsi"/>
          <w:color w:val="auto"/>
          <w:sz w:val="16"/>
          <w:szCs w:val="16"/>
        </w:rPr>
        <w:t xml:space="preserve"> za 2020. godinu, Uprava za kadrove, jun 2021. godine</w:t>
      </w:r>
    </w:p>
  </w:footnote>
  <w:footnote w:id="77">
    <w:p w:rsidR="00F735BC" w:rsidRPr="00767AC9" w:rsidRDefault="00F735BC" w:rsidP="007E14C5">
      <w:pPr>
        <w:spacing w:before="0" w:after="0" w:line="240" w:lineRule="auto"/>
        <w:ind w:right="-450"/>
        <w:rPr>
          <w:rFonts w:asciiTheme="majorHAnsi" w:eastAsia="Times New Roman"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Prema Analizi</w:t>
      </w:r>
      <w:r w:rsidRPr="00767AC9">
        <w:rPr>
          <w:rFonts w:asciiTheme="majorHAnsi" w:eastAsia="Times New Roman" w:hAnsiTheme="majorHAnsi" w:cstheme="majorHAnsi"/>
          <w:color w:val="auto"/>
          <w:sz w:val="16"/>
          <w:szCs w:val="16"/>
        </w:rPr>
        <w:t xml:space="preserve"> stanja u oblasti upravljanja ljudskim resursima</w:t>
      </w:r>
      <w:r w:rsidRPr="00767AC9">
        <w:rPr>
          <w:rFonts w:asciiTheme="majorHAnsi" w:hAnsiTheme="majorHAnsi" w:cstheme="majorHAnsi"/>
          <w:color w:val="auto"/>
          <w:sz w:val="16"/>
          <w:szCs w:val="16"/>
        </w:rPr>
        <w:t xml:space="preserve"> za 2020. godinu, Uprava za kadrove, jun 2021. godine</w:t>
      </w:r>
      <w:r w:rsidRPr="00767AC9">
        <w:rPr>
          <w:rFonts w:asciiTheme="majorHAnsi" w:eastAsia="Times New Roman" w:hAnsiTheme="majorHAnsi" w:cstheme="majorHAnsi"/>
          <w:color w:val="auto"/>
          <w:sz w:val="16"/>
          <w:szCs w:val="16"/>
        </w:rPr>
        <w:t>, državni organi koji imaju uspostavljene jedinice za ljudske resurse su:</w:t>
      </w:r>
    </w:p>
    <w:p w:rsidR="00F735BC" w:rsidRPr="00767AC9" w:rsidRDefault="00F735BC" w:rsidP="00B43D4E">
      <w:pPr>
        <w:pStyle w:val="ListParagraph"/>
        <w:numPr>
          <w:ilvl w:val="0"/>
          <w:numId w:val="29"/>
        </w:numPr>
        <w:spacing w:before="0" w:after="0" w:line="240" w:lineRule="auto"/>
        <w:ind w:right="-540"/>
        <w:contextualSpacing w:val="0"/>
        <w:jc w:val="both"/>
        <w:rPr>
          <w:rFonts w:asciiTheme="majorHAnsi" w:eastAsia="Times New Roman" w:hAnsiTheme="majorHAnsi" w:cstheme="majorHAnsi"/>
          <w:color w:val="auto"/>
          <w:sz w:val="16"/>
          <w:szCs w:val="16"/>
        </w:rPr>
      </w:pPr>
      <w:r w:rsidRPr="00767AC9">
        <w:rPr>
          <w:rFonts w:asciiTheme="majorHAnsi" w:eastAsia="Times New Roman" w:hAnsiTheme="majorHAnsi" w:cstheme="majorHAnsi"/>
          <w:color w:val="auto"/>
          <w:sz w:val="16"/>
          <w:szCs w:val="16"/>
        </w:rPr>
        <w:t>Ministarstvo odbrane – Direktorat za upravljanje ljudskim resursima;</w:t>
      </w:r>
    </w:p>
    <w:p w:rsidR="00F735BC" w:rsidRPr="00767AC9" w:rsidRDefault="00F735BC" w:rsidP="00B43D4E">
      <w:pPr>
        <w:pStyle w:val="ListParagraph"/>
        <w:numPr>
          <w:ilvl w:val="0"/>
          <w:numId w:val="29"/>
        </w:numPr>
        <w:spacing w:before="0" w:after="0" w:line="240" w:lineRule="auto"/>
        <w:ind w:right="-540"/>
        <w:contextualSpacing w:val="0"/>
        <w:jc w:val="both"/>
        <w:rPr>
          <w:rFonts w:asciiTheme="majorHAnsi" w:eastAsia="Times New Roman" w:hAnsiTheme="majorHAnsi" w:cstheme="majorHAnsi"/>
          <w:color w:val="auto"/>
          <w:sz w:val="16"/>
          <w:szCs w:val="16"/>
        </w:rPr>
      </w:pPr>
      <w:r w:rsidRPr="00767AC9">
        <w:rPr>
          <w:rFonts w:asciiTheme="majorHAnsi" w:eastAsia="Times New Roman" w:hAnsiTheme="majorHAnsi" w:cstheme="majorHAnsi"/>
          <w:color w:val="auto"/>
          <w:sz w:val="16"/>
          <w:szCs w:val="16"/>
        </w:rPr>
        <w:t>Ministarstvo ekonomskog razvoja – Kancelarija za opšte poslove i ljudske resurse;</w:t>
      </w:r>
    </w:p>
    <w:p w:rsidR="00F735BC" w:rsidRPr="00767AC9" w:rsidRDefault="00F735BC" w:rsidP="00B43D4E">
      <w:pPr>
        <w:pStyle w:val="ListParagraph"/>
        <w:numPr>
          <w:ilvl w:val="0"/>
          <w:numId w:val="29"/>
        </w:numPr>
        <w:spacing w:before="0" w:after="0" w:line="240" w:lineRule="auto"/>
        <w:ind w:right="-540"/>
        <w:contextualSpacing w:val="0"/>
        <w:jc w:val="both"/>
        <w:rPr>
          <w:rFonts w:asciiTheme="majorHAnsi" w:eastAsia="Times New Roman" w:hAnsiTheme="majorHAnsi" w:cstheme="majorHAnsi"/>
          <w:color w:val="auto"/>
          <w:sz w:val="16"/>
          <w:szCs w:val="16"/>
        </w:rPr>
      </w:pPr>
      <w:r w:rsidRPr="00767AC9">
        <w:rPr>
          <w:rFonts w:asciiTheme="majorHAnsi" w:eastAsia="Times New Roman" w:hAnsiTheme="majorHAnsi" w:cstheme="majorHAnsi"/>
          <w:color w:val="auto"/>
          <w:sz w:val="16"/>
          <w:szCs w:val="16"/>
        </w:rPr>
        <w:t>Ministarstvo vanjskih poslova – Odjeljenje za upravljanje ljudskim resursima;</w:t>
      </w:r>
    </w:p>
    <w:p w:rsidR="00F735BC" w:rsidRPr="00767AC9" w:rsidRDefault="00F735BC" w:rsidP="00B43D4E">
      <w:pPr>
        <w:pStyle w:val="ListParagraph"/>
        <w:numPr>
          <w:ilvl w:val="0"/>
          <w:numId w:val="29"/>
        </w:numPr>
        <w:spacing w:before="0" w:after="0" w:line="240" w:lineRule="auto"/>
        <w:ind w:right="-540"/>
        <w:contextualSpacing w:val="0"/>
        <w:jc w:val="both"/>
        <w:rPr>
          <w:rFonts w:asciiTheme="majorHAnsi" w:eastAsia="Times New Roman" w:hAnsiTheme="majorHAnsi" w:cstheme="majorHAnsi"/>
          <w:color w:val="auto"/>
          <w:sz w:val="16"/>
          <w:szCs w:val="16"/>
        </w:rPr>
      </w:pPr>
      <w:r w:rsidRPr="00767AC9">
        <w:rPr>
          <w:rFonts w:asciiTheme="majorHAnsi" w:eastAsia="Times New Roman" w:hAnsiTheme="majorHAnsi" w:cstheme="majorHAnsi"/>
          <w:color w:val="auto"/>
          <w:sz w:val="16"/>
          <w:szCs w:val="16"/>
        </w:rPr>
        <w:t>Ministarstvo unutrašnjih poslova – Direkcija za ljudske resurse, obuke i stručno usavršavanje;</w:t>
      </w:r>
    </w:p>
    <w:p w:rsidR="00F735BC" w:rsidRPr="00767AC9" w:rsidRDefault="00F735BC" w:rsidP="00B43D4E">
      <w:pPr>
        <w:pStyle w:val="ListParagraph"/>
        <w:numPr>
          <w:ilvl w:val="0"/>
          <w:numId w:val="29"/>
        </w:numPr>
        <w:spacing w:before="0" w:after="0" w:line="240" w:lineRule="auto"/>
        <w:ind w:right="-540"/>
        <w:contextualSpacing w:val="0"/>
        <w:jc w:val="both"/>
        <w:rPr>
          <w:rFonts w:asciiTheme="majorHAnsi" w:hAnsiTheme="majorHAnsi" w:cstheme="majorHAnsi"/>
          <w:color w:val="auto"/>
          <w:sz w:val="16"/>
          <w:szCs w:val="16"/>
        </w:rPr>
      </w:pPr>
      <w:r w:rsidRPr="00767AC9">
        <w:rPr>
          <w:rFonts w:asciiTheme="majorHAnsi" w:eastAsia="Times New Roman" w:hAnsiTheme="majorHAnsi" w:cstheme="majorHAnsi"/>
          <w:color w:val="auto"/>
          <w:sz w:val="16"/>
          <w:szCs w:val="16"/>
        </w:rPr>
        <w:t>Ministarstvo ekologije, prostornog planiranja i urbanizma – Služba za upravljanje ljudskim resursima;</w:t>
      </w:r>
    </w:p>
    <w:p w:rsidR="00F735BC" w:rsidRPr="007E14C5" w:rsidRDefault="00F735BC" w:rsidP="00B43D4E">
      <w:pPr>
        <w:pStyle w:val="ListParagraph"/>
        <w:numPr>
          <w:ilvl w:val="0"/>
          <w:numId w:val="29"/>
        </w:numPr>
        <w:spacing w:before="0" w:after="0" w:line="240" w:lineRule="auto"/>
        <w:ind w:right="-540"/>
        <w:contextualSpacing w:val="0"/>
        <w:jc w:val="both"/>
        <w:rPr>
          <w:rFonts w:asciiTheme="majorHAnsi" w:hAnsiTheme="majorHAnsi" w:cstheme="majorHAnsi"/>
        </w:rPr>
      </w:pPr>
      <w:r w:rsidRPr="007E14C5">
        <w:rPr>
          <w:rFonts w:asciiTheme="majorHAnsi" w:eastAsia="Times New Roman" w:hAnsiTheme="majorHAnsi" w:cstheme="majorHAnsi"/>
          <w:color w:val="auto"/>
          <w:sz w:val="16"/>
          <w:szCs w:val="16"/>
        </w:rPr>
        <w:t>Ministarstvo kapitalnih investicija – Služba za opšte poslove i ljudske resurse</w:t>
      </w:r>
    </w:p>
  </w:footnote>
  <w:footnote w:id="78">
    <w:p w:rsidR="00F735BC" w:rsidRDefault="00F735BC" w:rsidP="007E14C5">
      <w:pPr>
        <w:spacing w:before="0" w:after="0" w:line="240" w:lineRule="auto"/>
        <w:ind w:right="-446"/>
        <w:jc w:val="both"/>
      </w:pPr>
      <w:r w:rsidRPr="007E14C5">
        <w:rPr>
          <w:rStyle w:val="FootnoteReference"/>
          <w:rFonts w:asciiTheme="majorHAnsi" w:hAnsiTheme="majorHAnsi" w:cstheme="majorHAnsi"/>
          <w:color w:val="auto"/>
          <w:sz w:val="16"/>
          <w:szCs w:val="16"/>
        </w:rPr>
        <w:footnoteRef/>
      </w:r>
      <w:r w:rsidRPr="007E14C5">
        <w:rPr>
          <w:rFonts w:asciiTheme="majorHAnsi" w:hAnsiTheme="majorHAnsi" w:cstheme="majorHAnsi"/>
          <w:color w:val="auto"/>
          <w:sz w:val="16"/>
          <w:szCs w:val="16"/>
        </w:rPr>
        <w:t xml:space="preserve"> U okviru KIS-a kreiran je modul koji će u velikoj mjeri olakšati državnim organima izradu kadrovskog plana, a Upravi za kadrove praćenje realizacije istog. Ovaj modul se zove Kadrovski plan i državni organi će kroz KIS raditi svoje kadrovske planove na jednostavan način, tako što će im sistem sam povući podatke i sistematizacije i popuniti prvi dio kadrovskog plana, dok će Uprava za kadrove vidjeti sve podatke i pratiti realizaciji istih.</w:t>
      </w:r>
    </w:p>
  </w:footnote>
  <w:footnote w:id="79">
    <w:p w:rsidR="00F735BC" w:rsidRPr="007E14C5" w:rsidRDefault="00F735BC" w:rsidP="007E14C5">
      <w:pPr>
        <w:spacing w:before="0" w:after="0" w:line="240" w:lineRule="auto"/>
        <w:ind w:right="-446"/>
        <w:jc w:val="both"/>
        <w:rPr>
          <w:rFonts w:asciiTheme="majorHAnsi" w:hAnsiTheme="majorHAnsi" w:cstheme="majorHAnsi"/>
          <w:color w:val="auto"/>
          <w:sz w:val="22"/>
          <w:szCs w:val="22"/>
        </w:rPr>
      </w:pPr>
      <w:r w:rsidRPr="007E14C5">
        <w:rPr>
          <w:rStyle w:val="FootnoteReference"/>
          <w:rFonts w:asciiTheme="majorHAnsi" w:hAnsiTheme="majorHAnsi" w:cstheme="majorHAnsi"/>
          <w:sz w:val="16"/>
          <w:szCs w:val="16"/>
        </w:rPr>
        <w:footnoteRef/>
      </w:r>
      <w:r w:rsidRPr="007E14C5">
        <w:rPr>
          <w:rFonts w:asciiTheme="majorHAnsi" w:hAnsiTheme="majorHAnsi" w:cstheme="majorHAnsi"/>
          <w:sz w:val="16"/>
          <w:szCs w:val="16"/>
        </w:rPr>
        <w:t xml:space="preserve"> </w:t>
      </w:r>
      <w:r w:rsidRPr="007E14C5">
        <w:rPr>
          <w:rFonts w:asciiTheme="majorHAnsi" w:hAnsiTheme="majorHAnsi" w:cstheme="majorHAnsi"/>
          <w:color w:val="auto"/>
          <w:sz w:val="16"/>
          <w:szCs w:val="16"/>
        </w:rPr>
        <w:t>Urađena je „Analiza stanja i prikupljanje podataka za implementaciju Centralne kadrovske evidencije (CKE) unutar jedinica lokalne samouprave“. Nakon toga je urađen projekat za izradu jedinstvenog informacionog sistema za upravljanje ljudskim resursima na lokalnom nivou, a sve u saradnji sa Ministarstvom javne uprave, digitalnog društva i medija, Zajednicom opština Crne Gore i predstavinicima nekoliko opština. Ovaj projekat je urađen dok je bio stari KIS, u skladu sa tim planirano je da se koriguje i preispita tj. usaglasi sa novim kadrovskim informacionim sistemom.</w:t>
      </w:r>
      <w:r w:rsidRPr="00677F87">
        <w:rPr>
          <w:rFonts w:asciiTheme="majorHAnsi" w:hAnsiTheme="majorHAnsi" w:cstheme="majorHAnsi"/>
          <w:color w:val="auto"/>
          <w:sz w:val="22"/>
          <w:szCs w:val="22"/>
        </w:rPr>
        <w:t xml:space="preserve"> </w:t>
      </w:r>
    </w:p>
  </w:footnote>
  <w:footnote w:id="80">
    <w:p w:rsidR="00F735BC" w:rsidRPr="00D407A5" w:rsidRDefault="00F735BC">
      <w:pPr>
        <w:pStyle w:val="FootnoteText"/>
        <w:rPr>
          <w:sz w:val="16"/>
          <w:szCs w:val="16"/>
        </w:rPr>
      </w:pPr>
      <w:r w:rsidRPr="00D407A5">
        <w:rPr>
          <w:rStyle w:val="FootnoteReference"/>
          <w:sz w:val="16"/>
          <w:szCs w:val="16"/>
        </w:rPr>
        <w:footnoteRef/>
      </w:r>
      <w:r w:rsidRPr="00D407A5">
        <w:rPr>
          <w:sz w:val="16"/>
          <w:szCs w:val="16"/>
        </w:rPr>
        <w:t xml:space="preserve"> </w:t>
      </w:r>
      <w:r w:rsidRPr="00D407A5">
        <w:rPr>
          <w:rFonts w:ascii="Sitka Text" w:hAnsi="Sitka Text"/>
          <w:sz w:val="16"/>
          <w:szCs w:val="16"/>
          <w:lang w:val="en-US"/>
        </w:rPr>
        <w:t>U skladu sa</w:t>
      </w:r>
      <w:r w:rsidRPr="00D407A5">
        <w:rPr>
          <w:rFonts w:ascii="Sitka Text" w:hAnsi="Sitka Text"/>
          <w:sz w:val="16"/>
          <w:szCs w:val="16"/>
        </w:rPr>
        <w:t xml:space="preserve"> Zakonom o državnim službenicima i namještenicima i Zakonom o lokalnoj samoupravi</w:t>
      </w:r>
    </w:p>
  </w:footnote>
  <w:footnote w:id="81">
    <w:p w:rsidR="00F735BC" w:rsidRPr="00D407A5" w:rsidRDefault="00F735BC">
      <w:pPr>
        <w:pStyle w:val="FootnoteText"/>
        <w:rPr>
          <w:rFonts w:ascii="Sitka Text" w:hAnsi="Sitka Text"/>
          <w:sz w:val="16"/>
          <w:szCs w:val="16"/>
        </w:rPr>
      </w:pPr>
      <w:r w:rsidRPr="00D407A5">
        <w:rPr>
          <w:rStyle w:val="FootnoteReference"/>
          <w:sz w:val="16"/>
          <w:szCs w:val="16"/>
        </w:rPr>
        <w:footnoteRef/>
      </w:r>
      <w:r w:rsidRPr="00D407A5">
        <w:rPr>
          <w:sz w:val="16"/>
          <w:szCs w:val="16"/>
        </w:rPr>
        <w:t xml:space="preserve"> </w:t>
      </w:r>
      <w:r w:rsidRPr="00D407A5">
        <w:rPr>
          <w:rFonts w:ascii="Sitka Text" w:hAnsi="Sitka Text"/>
          <w:sz w:val="16"/>
          <w:szCs w:val="16"/>
          <w:lang w:val="en-US"/>
        </w:rPr>
        <w:t>U skladu sa</w:t>
      </w:r>
      <w:r w:rsidRPr="00D407A5">
        <w:rPr>
          <w:rFonts w:ascii="Sitka Text" w:hAnsi="Sitka Text"/>
          <w:sz w:val="16"/>
          <w:szCs w:val="16"/>
        </w:rPr>
        <w:t xml:space="preserve"> Zakonom o državnim službenicima i namještenicima , Zakonom o lokalnoj samoupravi i Zakon o elektronskoj upravi</w:t>
      </w:r>
    </w:p>
  </w:footnote>
  <w:footnote w:id="82">
    <w:p w:rsidR="00F735BC" w:rsidRPr="00D407A5" w:rsidRDefault="00F735BC">
      <w:pPr>
        <w:pStyle w:val="FootnoteText"/>
        <w:rPr>
          <w:sz w:val="16"/>
          <w:szCs w:val="16"/>
        </w:rPr>
      </w:pPr>
      <w:r w:rsidRPr="00D407A5">
        <w:rPr>
          <w:rStyle w:val="FootnoteReference"/>
          <w:sz w:val="16"/>
          <w:szCs w:val="16"/>
        </w:rPr>
        <w:footnoteRef/>
      </w:r>
      <w:r w:rsidRPr="00D407A5">
        <w:rPr>
          <w:sz w:val="16"/>
          <w:szCs w:val="16"/>
        </w:rPr>
        <w:t xml:space="preserve"> </w:t>
      </w:r>
      <w:r w:rsidRPr="00D407A5">
        <w:rPr>
          <w:rFonts w:ascii="Sitka Text" w:hAnsi="Sitka Text" w:cstheme="majorHAnsi"/>
          <w:color w:val="auto"/>
          <w:sz w:val="16"/>
          <w:szCs w:val="16"/>
        </w:rPr>
        <w:t>Kadrovsko planiranje i prijave za obuke, godišnji odmori</w:t>
      </w:r>
    </w:p>
  </w:footnote>
  <w:footnote w:id="83">
    <w:p w:rsidR="00F735BC" w:rsidRPr="00D407A5" w:rsidRDefault="00F735BC">
      <w:pPr>
        <w:pStyle w:val="FootnoteText"/>
        <w:rPr>
          <w:sz w:val="16"/>
          <w:szCs w:val="16"/>
        </w:rPr>
      </w:pPr>
      <w:r w:rsidRPr="00D407A5">
        <w:rPr>
          <w:rStyle w:val="FootnoteReference"/>
          <w:sz w:val="16"/>
          <w:szCs w:val="16"/>
        </w:rPr>
        <w:footnoteRef/>
      </w:r>
      <w:r w:rsidRPr="00D407A5">
        <w:rPr>
          <w:sz w:val="16"/>
          <w:szCs w:val="16"/>
        </w:rPr>
        <w:t xml:space="preserve"> </w:t>
      </w:r>
      <w:r w:rsidRPr="00D407A5">
        <w:rPr>
          <w:rFonts w:ascii="Sitka Text" w:hAnsi="Sitka Text" w:cstheme="majorHAnsi"/>
          <w:color w:val="auto"/>
          <w:sz w:val="16"/>
          <w:szCs w:val="16"/>
        </w:rPr>
        <w:t>Ocjenjivanje i obračun zarada</w:t>
      </w:r>
    </w:p>
  </w:footnote>
  <w:footnote w:id="84">
    <w:p w:rsidR="00F735BC" w:rsidRPr="00D407A5" w:rsidRDefault="00F735BC">
      <w:pPr>
        <w:pStyle w:val="FootnoteText"/>
        <w:rPr>
          <w:sz w:val="16"/>
          <w:szCs w:val="16"/>
        </w:rPr>
      </w:pPr>
      <w:r w:rsidRPr="00D407A5">
        <w:rPr>
          <w:rStyle w:val="FootnoteReference"/>
          <w:sz w:val="16"/>
          <w:szCs w:val="16"/>
        </w:rPr>
        <w:footnoteRef/>
      </w:r>
      <w:r w:rsidRPr="00D407A5">
        <w:rPr>
          <w:sz w:val="16"/>
          <w:szCs w:val="16"/>
        </w:rPr>
        <w:t xml:space="preserve"> </w:t>
      </w:r>
      <w:r w:rsidRPr="00D407A5">
        <w:rPr>
          <w:rFonts w:ascii="Cambria" w:hAnsi="Cambria"/>
          <w:sz w:val="16"/>
          <w:szCs w:val="16"/>
        </w:rPr>
        <w:t>Prema podacija iz KIS, UzK</w:t>
      </w:r>
    </w:p>
  </w:footnote>
  <w:footnote w:id="85">
    <w:p w:rsidR="00F735BC" w:rsidRDefault="00F735BC">
      <w:pPr>
        <w:pStyle w:val="FootnoteText"/>
      </w:pPr>
      <w:r w:rsidRPr="00D407A5">
        <w:rPr>
          <w:rStyle w:val="FootnoteReference"/>
          <w:rFonts w:ascii="Cambria" w:hAnsi="Cambria"/>
          <w:sz w:val="16"/>
          <w:szCs w:val="16"/>
        </w:rPr>
        <w:footnoteRef/>
      </w:r>
      <w:r w:rsidRPr="00D407A5">
        <w:rPr>
          <w:rFonts w:ascii="Cambria" w:hAnsi="Cambria"/>
          <w:sz w:val="16"/>
          <w:szCs w:val="16"/>
        </w:rPr>
        <w:t xml:space="preserve"> od ukupno 13,679 zaposlenih ocjenjeno je 8,670</w:t>
      </w:r>
    </w:p>
  </w:footnote>
  <w:footnote w:id="86">
    <w:p w:rsidR="00F735BC" w:rsidRPr="007E14C5" w:rsidRDefault="00F735BC" w:rsidP="00906668">
      <w:pPr>
        <w:pStyle w:val="FootnoteText"/>
        <w:rPr>
          <w:rFonts w:asciiTheme="majorHAnsi" w:hAnsiTheme="majorHAnsi" w:cstheme="majorHAnsi"/>
          <w:sz w:val="16"/>
          <w:szCs w:val="16"/>
        </w:rPr>
      </w:pPr>
      <w:r w:rsidRPr="00C00385">
        <w:rPr>
          <w:rStyle w:val="FootnoteReference"/>
          <w:rFonts w:asciiTheme="majorHAnsi" w:hAnsiTheme="majorHAnsi" w:cstheme="majorHAnsi"/>
          <w:sz w:val="16"/>
          <w:szCs w:val="16"/>
        </w:rPr>
        <w:footnoteRef/>
      </w:r>
      <w:r w:rsidRPr="00C00385">
        <w:rPr>
          <w:rFonts w:asciiTheme="majorHAnsi" w:hAnsiTheme="majorHAnsi" w:cstheme="majorHAnsi"/>
          <w:sz w:val="16"/>
          <w:szCs w:val="16"/>
        </w:rPr>
        <w:t xml:space="preserve"> LINK</w:t>
      </w:r>
    </w:p>
  </w:footnote>
  <w:footnote w:id="87">
    <w:p w:rsidR="00F735BC" w:rsidRPr="00BC72F2" w:rsidRDefault="00F735BC" w:rsidP="008E27A8">
      <w:pPr>
        <w:pStyle w:val="FootnoteText"/>
        <w:spacing w:before="0"/>
        <w:ind w:right="-450"/>
        <w:jc w:val="both"/>
        <w:rPr>
          <w:rFonts w:asciiTheme="majorHAnsi" w:hAnsiTheme="majorHAnsi" w:cstheme="majorHAnsi"/>
          <w:color w:val="auto"/>
          <w:sz w:val="16"/>
          <w:szCs w:val="16"/>
        </w:rPr>
      </w:pPr>
      <w:r w:rsidRPr="00BC72F2">
        <w:rPr>
          <w:rStyle w:val="FootnoteReference"/>
          <w:rFonts w:asciiTheme="majorHAnsi" w:hAnsiTheme="majorHAnsi" w:cstheme="majorHAnsi"/>
          <w:color w:val="auto"/>
          <w:sz w:val="16"/>
          <w:szCs w:val="16"/>
        </w:rPr>
        <w:footnoteRef/>
      </w:r>
      <w:r w:rsidRPr="00BC72F2">
        <w:rPr>
          <w:rFonts w:asciiTheme="majorHAnsi" w:hAnsiTheme="majorHAnsi" w:cstheme="majorHAnsi"/>
          <w:color w:val="auto"/>
          <w:sz w:val="16"/>
          <w:szCs w:val="16"/>
        </w:rPr>
        <w:t xml:space="preserve"> Zakon o slobodnom pristupu informacijama ("Službeni list CG", br. 44/2012 i 30/2017), link ka dokumentu: </w:t>
      </w:r>
      <w:hyperlink r:id="rId28" w:history="1">
        <w:r w:rsidRPr="00BC72F2">
          <w:rPr>
            <w:rStyle w:val="Hyperlink"/>
            <w:rFonts w:asciiTheme="majorHAnsi" w:hAnsiTheme="majorHAnsi" w:cstheme="majorHAnsi"/>
            <w:color w:val="auto"/>
            <w:sz w:val="16"/>
            <w:szCs w:val="16"/>
          </w:rPr>
          <w:t>https://www.gov.me/dokumenta/f9dcdea6-e2b9-4b1a-a80c-e243a073d7b4</w:t>
        </w:r>
      </w:hyperlink>
      <w:r w:rsidRPr="00BC72F2">
        <w:rPr>
          <w:rFonts w:asciiTheme="majorHAnsi" w:hAnsiTheme="majorHAnsi" w:cstheme="majorHAnsi"/>
          <w:color w:val="auto"/>
          <w:sz w:val="16"/>
          <w:szCs w:val="16"/>
        </w:rPr>
        <w:t xml:space="preserve"> </w:t>
      </w:r>
    </w:p>
  </w:footnote>
  <w:footnote w:id="88">
    <w:p w:rsidR="00F735BC" w:rsidRPr="00BC72F2" w:rsidRDefault="00F735BC" w:rsidP="008E27A8">
      <w:pPr>
        <w:pStyle w:val="FootnoteText"/>
        <w:spacing w:before="0"/>
        <w:ind w:right="-450"/>
        <w:jc w:val="both"/>
        <w:rPr>
          <w:rFonts w:asciiTheme="majorHAnsi" w:hAnsiTheme="majorHAnsi" w:cstheme="majorHAnsi"/>
          <w:color w:val="auto"/>
          <w:sz w:val="16"/>
          <w:szCs w:val="16"/>
        </w:rPr>
      </w:pPr>
      <w:r w:rsidRPr="00BC72F2">
        <w:rPr>
          <w:rStyle w:val="FootnoteReference"/>
          <w:rFonts w:asciiTheme="majorHAnsi" w:hAnsiTheme="majorHAnsi" w:cstheme="majorHAnsi"/>
          <w:color w:val="auto"/>
          <w:sz w:val="16"/>
          <w:szCs w:val="16"/>
        </w:rPr>
        <w:footnoteRef/>
      </w:r>
      <w:r w:rsidRPr="00BC72F2">
        <w:rPr>
          <w:rFonts w:asciiTheme="majorHAnsi" w:hAnsiTheme="majorHAnsi" w:cstheme="majorHAnsi"/>
          <w:color w:val="auto"/>
          <w:sz w:val="16"/>
          <w:szCs w:val="16"/>
        </w:rPr>
        <w:t xml:space="preserve"> Agencija za zaštitu ličnih podataka i slobodan pristup informacijama: </w:t>
      </w:r>
      <w:hyperlink r:id="rId29" w:history="1">
        <w:r w:rsidRPr="00BC72F2">
          <w:rPr>
            <w:rStyle w:val="Hyperlink"/>
            <w:rFonts w:asciiTheme="majorHAnsi" w:hAnsiTheme="majorHAnsi" w:cstheme="majorHAnsi"/>
            <w:color w:val="auto"/>
            <w:sz w:val="16"/>
            <w:szCs w:val="16"/>
          </w:rPr>
          <w:t>http://www.azlp.me/me/o-agenciji</w:t>
        </w:r>
      </w:hyperlink>
      <w:r w:rsidRPr="00BC72F2">
        <w:rPr>
          <w:rFonts w:asciiTheme="majorHAnsi" w:hAnsiTheme="majorHAnsi" w:cstheme="majorHAnsi"/>
          <w:color w:val="auto"/>
          <w:sz w:val="16"/>
          <w:szCs w:val="16"/>
        </w:rPr>
        <w:t xml:space="preserve"> </w:t>
      </w:r>
    </w:p>
  </w:footnote>
  <w:footnote w:id="89">
    <w:p w:rsidR="00F735BC" w:rsidRPr="00767AC9" w:rsidRDefault="00F735BC" w:rsidP="008E27A8">
      <w:pPr>
        <w:pStyle w:val="FootnoteText"/>
        <w:spacing w:before="0"/>
        <w:ind w:right="-450"/>
        <w:jc w:val="both"/>
        <w:rPr>
          <w:rFonts w:asciiTheme="majorHAnsi" w:hAnsiTheme="majorHAnsi" w:cstheme="majorHAnsi"/>
          <w:sz w:val="16"/>
          <w:szCs w:val="16"/>
        </w:rPr>
      </w:pPr>
      <w:r w:rsidRPr="00BC72F2">
        <w:rPr>
          <w:rStyle w:val="FootnoteReference"/>
          <w:rFonts w:asciiTheme="majorHAnsi" w:hAnsiTheme="majorHAnsi" w:cstheme="majorHAnsi"/>
          <w:color w:val="auto"/>
          <w:sz w:val="16"/>
          <w:szCs w:val="16"/>
        </w:rPr>
        <w:footnoteRef/>
      </w:r>
      <w:r w:rsidRPr="00BC72F2">
        <w:rPr>
          <w:rFonts w:asciiTheme="majorHAnsi" w:hAnsiTheme="majorHAnsi" w:cstheme="majorHAnsi"/>
          <w:color w:val="auto"/>
          <w:sz w:val="16"/>
          <w:szCs w:val="16"/>
        </w:rPr>
        <w:t xml:space="preserve"> Balkan Barometar: </w:t>
      </w:r>
      <w:hyperlink r:id="rId30" w:history="1">
        <w:r w:rsidRPr="00BC72F2">
          <w:rPr>
            <w:rStyle w:val="Hyperlink"/>
            <w:rFonts w:asciiTheme="majorHAnsi" w:hAnsiTheme="majorHAnsi" w:cstheme="majorHAnsi"/>
            <w:color w:val="auto"/>
            <w:sz w:val="16"/>
            <w:szCs w:val="16"/>
          </w:rPr>
          <w:t>https://www.rcc.int/balkanbarometer/results/2/public</w:t>
        </w:r>
      </w:hyperlink>
      <w:r w:rsidRPr="00BC72F2">
        <w:rPr>
          <w:rFonts w:asciiTheme="majorHAnsi" w:hAnsiTheme="majorHAnsi" w:cstheme="majorHAnsi"/>
          <w:color w:val="auto"/>
          <w:sz w:val="16"/>
          <w:szCs w:val="16"/>
        </w:rPr>
        <w:t xml:space="preserve"> i </w:t>
      </w:r>
      <w:hyperlink r:id="rId31" w:history="1">
        <w:r w:rsidRPr="00BC72F2">
          <w:rPr>
            <w:rStyle w:val="Hyperlink"/>
            <w:rFonts w:asciiTheme="majorHAnsi" w:hAnsiTheme="majorHAnsi" w:cstheme="majorHAnsi"/>
            <w:color w:val="auto"/>
            <w:sz w:val="16"/>
            <w:szCs w:val="16"/>
          </w:rPr>
          <w:t>https://www.rcc.int/balkanbarometer/results/1/business</w:t>
        </w:r>
      </w:hyperlink>
      <w:r w:rsidRPr="00767AC9">
        <w:rPr>
          <w:rFonts w:asciiTheme="majorHAnsi" w:hAnsiTheme="majorHAnsi" w:cstheme="majorHAnsi"/>
          <w:color w:val="auto"/>
          <w:sz w:val="16"/>
          <w:szCs w:val="16"/>
        </w:rPr>
        <w:t xml:space="preserve"> </w:t>
      </w:r>
    </w:p>
  </w:footnote>
  <w:footnote w:id="90">
    <w:p w:rsidR="00F735BC" w:rsidRPr="007E14C5" w:rsidRDefault="00F735BC" w:rsidP="007E14C5">
      <w:pPr>
        <w:pStyle w:val="ListParagraph"/>
        <w:tabs>
          <w:tab w:val="left" w:pos="850"/>
          <w:tab w:val="left" w:pos="1191"/>
          <w:tab w:val="left" w:pos="1531"/>
        </w:tabs>
        <w:spacing w:before="0" w:after="0" w:line="240" w:lineRule="auto"/>
        <w:ind w:left="0" w:right="-475"/>
        <w:contextualSpacing w:val="0"/>
        <w:jc w:val="both"/>
        <w:rPr>
          <w:rFonts w:asciiTheme="majorHAnsi" w:eastAsia="Calibri" w:hAnsiTheme="majorHAnsi" w:cstheme="majorHAnsi"/>
          <w:color w:val="auto"/>
          <w:kern w:val="0"/>
          <w:sz w:val="16"/>
          <w:szCs w:val="16"/>
          <w:lang w:eastAsia="zh-CN"/>
        </w:rPr>
      </w:pPr>
      <w:r w:rsidRPr="007E14C5">
        <w:rPr>
          <w:rStyle w:val="FootnoteReference"/>
          <w:rFonts w:asciiTheme="majorHAnsi" w:hAnsiTheme="majorHAnsi" w:cstheme="majorHAnsi"/>
          <w:color w:val="auto"/>
          <w:sz w:val="16"/>
          <w:szCs w:val="16"/>
        </w:rPr>
        <w:footnoteRef/>
      </w:r>
      <w:r w:rsidRPr="007E14C5">
        <w:rPr>
          <w:rFonts w:asciiTheme="majorHAnsi" w:hAnsiTheme="majorHAnsi" w:cstheme="majorHAnsi"/>
          <w:color w:val="auto"/>
          <w:sz w:val="16"/>
          <w:szCs w:val="16"/>
        </w:rPr>
        <w:t xml:space="preserve"> Izvještaj o stanju zaštite ličnih podataka i stanju u oblasti pristupa informacijama za 2020. godinu,  </w:t>
      </w:r>
      <w:r w:rsidRPr="007E14C5">
        <w:rPr>
          <w:rFonts w:asciiTheme="majorHAnsi" w:eastAsia="Calibri" w:hAnsiTheme="majorHAnsi" w:cstheme="majorHAnsi"/>
          <w:color w:val="auto"/>
          <w:kern w:val="0"/>
          <w:sz w:val="16"/>
          <w:szCs w:val="16"/>
          <w:lang w:eastAsia="zh-CN"/>
        </w:rPr>
        <w:t>Agencija za zaštitu ličnih podataka i slobodan pristup informacijama, Crna Gora, 2020. godina, link: https://www.azlp.me/docs/zajednicka/izvjestaj_o_stanju/IZVJESTAJ%202020%20final.pdf</w:t>
      </w:r>
    </w:p>
    <w:p w:rsidR="00F735BC" w:rsidRPr="006A2BF7" w:rsidRDefault="00F735BC">
      <w:pPr>
        <w:pStyle w:val="FootnoteText"/>
      </w:pPr>
    </w:p>
  </w:footnote>
  <w:footnote w:id="91">
    <w:p w:rsidR="00F735BC" w:rsidRPr="007E14C5" w:rsidRDefault="00F735BC" w:rsidP="007E14C5">
      <w:pPr>
        <w:pStyle w:val="FootnoteText"/>
        <w:spacing w:before="0"/>
        <w:ind w:right="-540"/>
        <w:jc w:val="both"/>
        <w:rPr>
          <w:rFonts w:asciiTheme="majorHAnsi" w:hAnsiTheme="majorHAnsi" w:cstheme="majorHAnsi"/>
          <w:color w:val="auto"/>
          <w:sz w:val="16"/>
          <w:szCs w:val="16"/>
        </w:rPr>
      </w:pPr>
      <w:r w:rsidRPr="007E14C5">
        <w:rPr>
          <w:rStyle w:val="FootnoteReference"/>
          <w:rFonts w:asciiTheme="majorHAnsi" w:hAnsiTheme="majorHAnsi" w:cstheme="majorHAnsi"/>
          <w:color w:val="auto"/>
          <w:sz w:val="16"/>
          <w:szCs w:val="16"/>
        </w:rPr>
        <w:footnoteRef/>
      </w:r>
      <w:r w:rsidRPr="007E14C5">
        <w:rPr>
          <w:rFonts w:asciiTheme="majorHAnsi" w:hAnsiTheme="majorHAnsi" w:cstheme="majorHAnsi"/>
          <w:color w:val="auto"/>
          <w:sz w:val="16"/>
          <w:szCs w:val="16"/>
        </w:rPr>
        <w:t xml:space="preserve"> https://www.azlp.me/me/izvjestaji</w:t>
      </w:r>
    </w:p>
  </w:footnote>
  <w:footnote w:id="92">
    <w:p w:rsidR="00F735BC" w:rsidRDefault="00F735BC" w:rsidP="007E14C5">
      <w:pPr>
        <w:pStyle w:val="FootnoteText"/>
        <w:ind w:right="-540"/>
        <w:jc w:val="both"/>
      </w:pPr>
      <w:r w:rsidRPr="007E14C5">
        <w:rPr>
          <w:rStyle w:val="FootnoteReference"/>
          <w:rFonts w:asciiTheme="majorHAnsi" w:hAnsiTheme="majorHAnsi" w:cstheme="majorHAnsi"/>
          <w:color w:val="auto"/>
          <w:sz w:val="16"/>
          <w:szCs w:val="16"/>
        </w:rPr>
        <w:footnoteRef/>
      </w:r>
      <w:r w:rsidRPr="007E14C5">
        <w:rPr>
          <w:rFonts w:asciiTheme="majorHAnsi" w:hAnsiTheme="majorHAnsi" w:cstheme="majorHAnsi"/>
          <w:color w:val="auto"/>
          <w:sz w:val="16"/>
          <w:szCs w:val="16"/>
        </w:rPr>
        <w:t xml:space="preserve"> Postoji početna aplikacija (nepotpuna baza podataka) </w:t>
      </w:r>
      <w:hyperlink r:id="rId32" w:history="1">
        <w:r w:rsidRPr="007E14C5">
          <w:rPr>
            <w:rStyle w:val="Hyperlink"/>
            <w:rFonts w:asciiTheme="majorHAnsi" w:hAnsiTheme="majorHAnsi" w:cstheme="majorHAnsi"/>
            <w:color w:val="auto"/>
            <w:sz w:val="16"/>
            <w:szCs w:val="16"/>
          </w:rPr>
          <w:t>https://spi.azlp.me/</w:t>
        </w:r>
      </w:hyperlink>
      <w:r w:rsidRPr="007E14C5">
        <w:rPr>
          <w:rStyle w:val="Hyperlink"/>
          <w:rFonts w:asciiTheme="majorHAnsi" w:hAnsiTheme="majorHAnsi" w:cstheme="majorHAnsi"/>
          <w:color w:val="auto"/>
          <w:sz w:val="16"/>
          <w:szCs w:val="16"/>
        </w:rPr>
        <w:t xml:space="preserve"> </w:t>
      </w:r>
      <w:r w:rsidRPr="007E14C5">
        <w:rPr>
          <w:rFonts w:asciiTheme="majorHAnsi" w:eastAsia="Calibri" w:hAnsiTheme="majorHAnsi" w:cstheme="majorHAnsi"/>
          <w:color w:val="auto"/>
          <w:sz w:val="16"/>
          <w:szCs w:val="16"/>
          <w:lang w:val="bs-Latn-BA"/>
        </w:rPr>
        <w:t>osmišljena tako da se na osnovu nje dodatno razvija postojeći informacioni sistem Agencije.</w:t>
      </w:r>
    </w:p>
  </w:footnote>
  <w:footnote w:id="93">
    <w:p w:rsidR="00F735BC" w:rsidRDefault="00F735BC" w:rsidP="007E14C5">
      <w:pPr>
        <w:pStyle w:val="FootnoteText"/>
        <w:spacing w:before="0"/>
        <w:ind w:right="-540"/>
      </w:pPr>
      <w:r w:rsidRPr="007E14C5">
        <w:rPr>
          <w:rStyle w:val="FootnoteReference"/>
          <w:rFonts w:asciiTheme="majorHAnsi" w:hAnsiTheme="majorHAnsi" w:cstheme="majorHAnsi"/>
          <w:color w:val="auto"/>
          <w:sz w:val="16"/>
          <w:szCs w:val="16"/>
        </w:rPr>
        <w:footnoteRef/>
      </w:r>
      <w:r w:rsidRPr="007E14C5">
        <w:rPr>
          <w:rFonts w:asciiTheme="majorHAnsi" w:hAnsiTheme="majorHAnsi" w:cstheme="majorHAnsi"/>
          <w:color w:val="auto"/>
          <w:sz w:val="16"/>
          <w:szCs w:val="16"/>
        </w:rPr>
        <w:t xml:space="preserve"> https://www.paragraf.me/propisi-crnegore/zakon_o_opstem_upravnom_postupku.html</w:t>
      </w:r>
    </w:p>
  </w:footnote>
  <w:footnote w:id="94">
    <w:p w:rsidR="00F735BC" w:rsidRPr="008407AC" w:rsidRDefault="00F735BC" w:rsidP="00AA64B8">
      <w:pPr>
        <w:pStyle w:val="FootnoteText"/>
        <w:spacing w:before="0"/>
        <w:ind w:right="-540"/>
        <w:jc w:val="both"/>
        <w:rPr>
          <w:rFonts w:asciiTheme="majorHAnsi" w:hAnsiTheme="majorHAnsi" w:cstheme="majorHAnsi"/>
          <w:sz w:val="16"/>
          <w:szCs w:val="16"/>
        </w:rPr>
      </w:pPr>
      <w:r w:rsidRPr="008407AC">
        <w:rPr>
          <w:rStyle w:val="FootnoteReference"/>
          <w:rFonts w:asciiTheme="majorHAnsi" w:hAnsiTheme="majorHAnsi" w:cstheme="majorHAnsi"/>
          <w:color w:val="auto"/>
          <w:sz w:val="16"/>
          <w:szCs w:val="16"/>
        </w:rPr>
        <w:footnoteRef/>
      </w:r>
      <w:r w:rsidRPr="008407AC">
        <w:rPr>
          <w:rFonts w:asciiTheme="majorHAnsi" w:hAnsiTheme="majorHAnsi" w:cstheme="majorHAnsi"/>
          <w:color w:val="auto"/>
          <w:sz w:val="16"/>
          <w:szCs w:val="16"/>
        </w:rPr>
        <w:t xml:space="preserve"> Zakon o zaštiti podataka o ličnosti ("Sl. list Crne Gore", br. 79/08 od 23.12.2008, 70/09 od 21.10.2009, 44/12 od 09.08.2012), link ka dokumentu: </w:t>
      </w:r>
      <w:hyperlink r:id="rId33" w:history="1">
        <w:r w:rsidRPr="008407AC">
          <w:rPr>
            <w:rStyle w:val="Hyperlink"/>
            <w:rFonts w:asciiTheme="majorHAnsi" w:hAnsiTheme="majorHAnsi" w:cstheme="majorHAnsi"/>
            <w:color w:val="auto"/>
            <w:sz w:val="16"/>
            <w:szCs w:val="16"/>
          </w:rPr>
          <w:t>http://www.azlp.me/docs/zajednicka/zakoni/zakon-o-zastiti-podataka-o-licnosti.pdf</w:t>
        </w:r>
      </w:hyperlink>
      <w:r w:rsidRPr="008407AC">
        <w:rPr>
          <w:rFonts w:asciiTheme="majorHAnsi" w:hAnsiTheme="majorHAnsi" w:cstheme="majorHAnsi"/>
          <w:color w:val="auto"/>
          <w:sz w:val="16"/>
          <w:szCs w:val="16"/>
        </w:rPr>
        <w:t xml:space="preserve"> </w:t>
      </w:r>
    </w:p>
  </w:footnote>
  <w:footnote w:id="95">
    <w:p w:rsidR="00F735BC" w:rsidRPr="008407AC" w:rsidRDefault="00F735BC" w:rsidP="007E14C5">
      <w:pPr>
        <w:pStyle w:val="FootnoteText"/>
        <w:spacing w:before="0"/>
        <w:ind w:right="-450"/>
        <w:jc w:val="both"/>
        <w:rPr>
          <w:rFonts w:asciiTheme="majorHAnsi" w:hAnsiTheme="majorHAnsi" w:cstheme="majorHAnsi"/>
          <w:color w:val="auto"/>
          <w:sz w:val="16"/>
          <w:szCs w:val="16"/>
        </w:rPr>
      </w:pPr>
      <w:r w:rsidRPr="008407AC">
        <w:rPr>
          <w:rStyle w:val="FootnoteReference"/>
          <w:rFonts w:asciiTheme="majorHAnsi" w:hAnsiTheme="majorHAnsi" w:cstheme="majorHAnsi"/>
          <w:color w:val="auto"/>
          <w:sz w:val="16"/>
          <w:szCs w:val="16"/>
        </w:rPr>
        <w:footnoteRef/>
      </w:r>
      <w:r w:rsidRPr="008407AC">
        <w:rPr>
          <w:rFonts w:asciiTheme="majorHAnsi" w:hAnsiTheme="majorHAnsi" w:cstheme="majorHAnsi"/>
          <w:color w:val="auto"/>
          <w:sz w:val="16"/>
          <w:szCs w:val="16"/>
        </w:rPr>
        <w:t xml:space="preserve"> Izvještaj o stanju zaštite ličnih podataka i stanju u oblasti pristupa informacijama za 2018. godinu, Agencija za zaštitu ličnih podataka i slobodan pristup informacijama, Podgorica, mart 2019. godine, link ka dokumentu:   </w:t>
      </w:r>
    </w:p>
    <w:p w:rsidR="00F735BC" w:rsidRPr="008407AC" w:rsidRDefault="00DC3498" w:rsidP="007E14C5">
      <w:pPr>
        <w:pStyle w:val="FootnoteText"/>
        <w:spacing w:before="0"/>
        <w:ind w:right="-450"/>
        <w:jc w:val="both"/>
        <w:rPr>
          <w:rFonts w:asciiTheme="majorHAnsi" w:hAnsiTheme="majorHAnsi" w:cstheme="majorHAnsi"/>
          <w:color w:val="auto"/>
          <w:sz w:val="16"/>
          <w:szCs w:val="16"/>
        </w:rPr>
      </w:pPr>
      <w:hyperlink r:id="rId34" w:history="1">
        <w:r w:rsidR="00F735BC" w:rsidRPr="008407AC">
          <w:rPr>
            <w:rStyle w:val="Hyperlink"/>
            <w:rFonts w:asciiTheme="majorHAnsi" w:hAnsiTheme="majorHAnsi" w:cstheme="majorHAnsi"/>
            <w:color w:val="auto"/>
            <w:sz w:val="16"/>
            <w:szCs w:val="16"/>
          </w:rPr>
          <w:t>http://www.azlp.me/docs/zajednicka/izvjestaj_o_stanju/IZVJESTAJ%202018.doc</w:t>
        </w:r>
      </w:hyperlink>
      <w:r w:rsidR="00F735BC" w:rsidRPr="008407AC">
        <w:rPr>
          <w:rFonts w:asciiTheme="majorHAnsi" w:hAnsiTheme="majorHAnsi" w:cstheme="majorHAnsi"/>
          <w:color w:val="auto"/>
          <w:sz w:val="16"/>
          <w:szCs w:val="16"/>
        </w:rPr>
        <w:t xml:space="preserve"> </w:t>
      </w:r>
    </w:p>
  </w:footnote>
  <w:footnote w:id="96">
    <w:p w:rsidR="00F735BC" w:rsidRPr="008407AC" w:rsidRDefault="00F735BC" w:rsidP="007E14C5">
      <w:pPr>
        <w:pStyle w:val="FootnoteText"/>
        <w:spacing w:before="0"/>
        <w:ind w:right="-450"/>
        <w:jc w:val="both"/>
        <w:rPr>
          <w:rFonts w:asciiTheme="majorHAnsi" w:hAnsiTheme="majorHAnsi" w:cstheme="majorHAnsi"/>
          <w:color w:val="auto"/>
          <w:sz w:val="16"/>
          <w:szCs w:val="16"/>
        </w:rPr>
      </w:pPr>
      <w:r w:rsidRPr="008407AC">
        <w:rPr>
          <w:rStyle w:val="FootnoteReference"/>
          <w:rFonts w:asciiTheme="majorHAnsi" w:hAnsiTheme="majorHAnsi" w:cstheme="majorHAnsi"/>
          <w:color w:val="auto"/>
          <w:sz w:val="16"/>
          <w:szCs w:val="16"/>
        </w:rPr>
        <w:footnoteRef/>
      </w:r>
      <w:r w:rsidRPr="008407AC">
        <w:rPr>
          <w:rFonts w:asciiTheme="majorHAnsi" w:hAnsiTheme="majorHAnsi" w:cstheme="majorHAnsi"/>
          <w:color w:val="auto"/>
          <w:sz w:val="16"/>
          <w:szCs w:val="16"/>
        </w:rPr>
        <w:t xml:space="preserve"> Napomena: Podaci za 2018. godinu nijesu u potpunosti uporedivi sa 2019. i 2020. godinom jer Izvještaj Agencije za 2018. godinu ne razlaže dalje prikazane podatke.</w:t>
      </w:r>
    </w:p>
  </w:footnote>
  <w:footnote w:id="97">
    <w:p w:rsidR="00F735BC" w:rsidRPr="008407AC" w:rsidRDefault="00F735BC" w:rsidP="007E14C5">
      <w:pPr>
        <w:pStyle w:val="FootnoteText"/>
        <w:spacing w:before="0"/>
        <w:ind w:right="-450"/>
        <w:jc w:val="both"/>
        <w:rPr>
          <w:rFonts w:asciiTheme="majorHAnsi" w:hAnsiTheme="majorHAnsi" w:cstheme="majorHAnsi"/>
          <w:color w:val="auto"/>
          <w:sz w:val="16"/>
          <w:szCs w:val="16"/>
        </w:rPr>
      </w:pPr>
      <w:r w:rsidRPr="008407AC">
        <w:rPr>
          <w:rStyle w:val="FootnoteReference"/>
          <w:rFonts w:asciiTheme="majorHAnsi" w:hAnsiTheme="majorHAnsi" w:cstheme="majorHAnsi"/>
          <w:color w:val="auto"/>
          <w:sz w:val="16"/>
          <w:szCs w:val="16"/>
        </w:rPr>
        <w:footnoteRef/>
      </w:r>
      <w:r w:rsidRPr="008407AC">
        <w:rPr>
          <w:rFonts w:asciiTheme="majorHAnsi" w:hAnsiTheme="majorHAnsi" w:cstheme="majorHAnsi"/>
          <w:color w:val="auto"/>
          <w:sz w:val="16"/>
          <w:szCs w:val="16"/>
        </w:rPr>
        <w:t xml:space="preserve"> Izvještaj o stanju zaštite ličnih podataka i stanju u oblasti pristupa informacijama za 2019. godinu, Agencija za zaštitu ličnih podataka i slobodan pristup informacijama, Podgorica, mart 2020. godine, link ka dokumentu: </w:t>
      </w:r>
    </w:p>
    <w:p w:rsidR="00F735BC" w:rsidRPr="008407AC" w:rsidRDefault="00DC3498" w:rsidP="007E14C5">
      <w:pPr>
        <w:pStyle w:val="FootnoteText"/>
        <w:spacing w:before="0"/>
        <w:ind w:right="-450"/>
        <w:jc w:val="both"/>
        <w:rPr>
          <w:rFonts w:asciiTheme="majorHAnsi" w:hAnsiTheme="majorHAnsi" w:cstheme="majorHAnsi"/>
          <w:color w:val="auto"/>
          <w:sz w:val="16"/>
          <w:szCs w:val="16"/>
        </w:rPr>
      </w:pPr>
      <w:hyperlink r:id="rId35" w:history="1">
        <w:r w:rsidR="00F735BC" w:rsidRPr="008407AC">
          <w:rPr>
            <w:rStyle w:val="Hyperlink"/>
            <w:rFonts w:asciiTheme="majorHAnsi" w:hAnsiTheme="majorHAnsi" w:cstheme="majorHAnsi"/>
            <w:color w:val="auto"/>
            <w:sz w:val="16"/>
            <w:szCs w:val="16"/>
          </w:rPr>
          <w:t>http://www.azlp.me/docs/zajednicka/izvjestaj_o_stanju/IZVJESTAJ%202019%20final.pdf</w:t>
        </w:r>
      </w:hyperlink>
      <w:r w:rsidR="00F735BC" w:rsidRPr="008407AC">
        <w:rPr>
          <w:rFonts w:asciiTheme="majorHAnsi" w:hAnsiTheme="majorHAnsi" w:cstheme="majorHAnsi"/>
          <w:color w:val="auto"/>
          <w:sz w:val="16"/>
          <w:szCs w:val="16"/>
        </w:rPr>
        <w:t xml:space="preserve"> </w:t>
      </w:r>
    </w:p>
  </w:footnote>
  <w:footnote w:id="98">
    <w:p w:rsidR="00F735BC" w:rsidRPr="008407AC" w:rsidRDefault="00F735BC" w:rsidP="007E14C5">
      <w:pPr>
        <w:pStyle w:val="FootnoteText"/>
        <w:spacing w:before="0"/>
        <w:ind w:right="-450"/>
        <w:jc w:val="both"/>
        <w:rPr>
          <w:rFonts w:asciiTheme="majorHAnsi" w:hAnsiTheme="majorHAnsi" w:cstheme="majorHAnsi"/>
          <w:color w:val="auto"/>
          <w:sz w:val="16"/>
          <w:szCs w:val="16"/>
        </w:rPr>
      </w:pPr>
      <w:r w:rsidRPr="008407AC">
        <w:rPr>
          <w:rStyle w:val="FootnoteReference"/>
          <w:rFonts w:asciiTheme="majorHAnsi" w:hAnsiTheme="majorHAnsi" w:cstheme="majorHAnsi"/>
          <w:color w:val="auto"/>
          <w:sz w:val="16"/>
          <w:szCs w:val="16"/>
        </w:rPr>
        <w:footnoteRef/>
      </w:r>
      <w:r w:rsidRPr="008407AC">
        <w:rPr>
          <w:rFonts w:asciiTheme="majorHAnsi" w:hAnsiTheme="majorHAnsi" w:cstheme="majorHAnsi"/>
          <w:color w:val="auto"/>
          <w:sz w:val="16"/>
          <w:szCs w:val="16"/>
        </w:rPr>
        <w:t xml:space="preserve"> Izvještaj o stanju zaštite ličnih podataka i stanju u oblasti pristupa informacijama za 2020. godinu, Agencija za zaštitu ličnih podataka i slobodan pristup informacijama, Podgorica, mart 2021. godine, link ka dokumentu: </w:t>
      </w:r>
    </w:p>
    <w:p w:rsidR="00F735BC" w:rsidRPr="008407AC" w:rsidRDefault="00DC3498" w:rsidP="007E14C5">
      <w:pPr>
        <w:pStyle w:val="FootnoteText"/>
        <w:spacing w:before="0"/>
        <w:ind w:right="-450"/>
        <w:jc w:val="both"/>
        <w:rPr>
          <w:rFonts w:asciiTheme="majorHAnsi" w:hAnsiTheme="majorHAnsi" w:cstheme="majorHAnsi"/>
          <w:sz w:val="16"/>
          <w:szCs w:val="16"/>
        </w:rPr>
      </w:pPr>
      <w:hyperlink r:id="rId36" w:history="1">
        <w:r w:rsidR="00F735BC" w:rsidRPr="008407AC">
          <w:rPr>
            <w:rStyle w:val="Hyperlink"/>
            <w:rFonts w:asciiTheme="majorHAnsi" w:hAnsiTheme="majorHAnsi" w:cstheme="majorHAnsi"/>
            <w:color w:val="auto"/>
            <w:sz w:val="16"/>
            <w:szCs w:val="16"/>
          </w:rPr>
          <w:t>http://www.azlp.me/docs/zajednicka/izvjestaj_o_stanju/IZVJESTAJ%202020%20final.pdf</w:t>
        </w:r>
      </w:hyperlink>
      <w:r w:rsidR="00F735BC" w:rsidRPr="008407AC">
        <w:rPr>
          <w:rFonts w:asciiTheme="majorHAnsi" w:hAnsiTheme="majorHAnsi" w:cstheme="majorHAnsi"/>
          <w:color w:val="auto"/>
          <w:sz w:val="16"/>
          <w:szCs w:val="16"/>
        </w:rPr>
        <w:t xml:space="preserve"> </w:t>
      </w:r>
    </w:p>
  </w:footnote>
  <w:footnote w:id="99">
    <w:p w:rsidR="00F735BC" w:rsidRPr="00B46602" w:rsidRDefault="00F735BC" w:rsidP="00CF5CC9">
      <w:pPr>
        <w:pStyle w:val="FootnoteText"/>
        <w:spacing w:before="0"/>
        <w:ind w:right="-450"/>
        <w:jc w:val="both"/>
        <w:rPr>
          <w:rFonts w:asciiTheme="majorHAnsi" w:hAnsiTheme="majorHAnsi" w:cstheme="majorHAnsi"/>
          <w:sz w:val="16"/>
          <w:szCs w:val="16"/>
        </w:rPr>
      </w:pPr>
      <w:r w:rsidRPr="00B46602">
        <w:rPr>
          <w:rStyle w:val="FootnoteReference"/>
          <w:rFonts w:asciiTheme="majorHAnsi" w:hAnsiTheme="majorHAnsi" w:cstheme="majorHAnsi"/>
          <w:sz w:val="16"/>
          <w:szCs w:val="16"/>
        </w:rPr>
        <w:footnoteRef/>
      </w:r>
      <w:r w:rsidRPr="00B46602">
        <w:rPr>
          <w:rFonts w:asciiTheme="majorHAnsi" w:hAnsiTheme="majorHAnsi" w:cstheme="majorHAnsi"/>
          <w:sz w:val="16"/>
          <w:szCs w:val="16"/>
        </w:rPr>
        <w:t xml:space="preserve"> </w:t>
      </w:r>
      <w:r w:rsidRPr="008407AC">
        <w:rPr>
          <w:rFonts w:asciiTheme="majorHAnsi" w:hAnsiTheme="majorHAnsi" w:cstheme="majorHAnsi"/>
          <w:color w:val="auto"/>
          <w:sz w:val="16"/>
          <w:szCs w:val="16"/>
        </w:rPr>
        <w:t>649 odluka Upravnog suda Crne Gore koje su donijete u formi presude 83 i formi rješenja 566.</w:t>
      </w:r>
    </w:p>
  </w:footnote>
  <w:footnote w:id="100">
    <w:p w:rsidR="00F735BC" w:rsidRPr="000744D1" w:rsidRDefault="00F735BC" w:rsidP="007E14C5">
      <w:pPr>
        <w:pStyle w:val="FootnoteText"/>
        <w:spacing w:before="0"/>
        <w:ind w:right="-450"/>
        <w:jc w:val="both"/>
        <w:rPr>
          <w:rFonts w:asciiTheme="majorHAnsi" w:hAnsiTheme="majorHAnsi" w:cstheme="majorHAnsi"/>
          <w:sz w:val="16"/>
          <w:szCs w:val="16"/>
        </w:rPr>
      </w:pPr>
      <w:r w:rsidRPr="008407AC">
        <w:rPr>
          <w:rStyle w:val="FootnoteReference"/>
          <w:rFonts w:asciiTheme="majorHAnsi" w:hAnsiTheme="majorHAnsi" w:cstheme="majorHAnsi"/>
          <w:color w:val="auto"/>
          <w:sz w:val="16"/>
          <w:szCs w:val="16"/>
        </w:rPr>
        <w:footnoteRef/>
      </w:r>
      <w:r w:rsidRPr="008407AC">
        <w:rPr>
          <w:rFonts w:asciiTheme="majorHAnsi" w:hAnsiTheme="majorHAnsi" w:cstheme="majorHAnsi"/>
          <w:color w:val="auto"/>
          <w:sz w:val="16"/>
          <w:szCs w:val="16"/>
        </w:rPr>
        <w:t xml:space="preserve"> Od ukupno 649 Odluka poništeno je 53.</w:t>
      </w:r>
    </w:p>
  </w:footnote>
  <w:footnote w:id="101">
    <w:p w:rsidR="00F735BC" w:rsidRPr="003D1D3C" w:rsidRDefault="00F735BC" w:rsidP="003D7384">
      <w:pPr>
        <w:pStyle w:val="FootnoteText"/>
        <w:spacing w:before="0"/>
        <w:ind w:right="-450"/>
        <w:jc w:val="both"/>
        <w:rPr>
          <w:rFonts w:asciiTheme="majorHAnsi" w:hAnsiTheme="majorHAnsi" w:cstheme="majorHAnsi"/>
          <w:color w:val="auto"/>
          <w:sz w:val="18"/>
          <w:szCs w:val="18"/>
        </w:rPr>
      </w:pPr>
      <w:r w:rsidRPr="003D1D3C">
        <w:rPr>
          <w:rStyle w:val="FootnoteReference"/>
          <w:rFonts w:asciiTheme="majorHAnsi" w:hAnsiTheme="majorHAnsi" w:cstheme="majorHAnsi"/>
          <w:color w:val="auto"/>
          <w:sz w:val="18"/>
          <w:szCs w:val="18"/>
        </w:rPr>
        <w:footnoteRef/>
      </w:r>
      <w:r w:rsidRPr="003D1D3C">
        <w:rPr>
          <w:rFonts w:asciiTheme="majorHAnsi" w:hAnsiTheme="majorHAnsi" w:cstheme="majorHAnsi"/>
          <w:color w:val="auto"/>
          <w:sz w:val="18"/>
          <w:szCs w:val="18"/>
        </w:rPr>
        <w:t xml:space="preserve"> Završni izvještaj o implementaciji Strategije reforme javne uprave 2016–2020, sa osvrtom na aktivnosti za 2020. godinu, mart 2021. godine, link ka dokumentu: </w:t>
      </w:r>
      <w:hyperlink r:id="rId37" w:history="1">
        <w:r w:rsidRPr="003D1D3C">
          <w:rPr>
            <w:rStyle w:val="Hyperlink"/>
            <w:rFonts w:asciiTheme="majorHAnsi" w:hAnsiTheme="majorHAnsi" w:cstheme="majorHAnsi"/>
            <w:color w:val="auto"/>
            <w:sz w:val="18"/>
            <w:szCs w:val="18"/>
          </w:rPr>
          <w:t>https://wapi.gov.me/download/9bd7ecd6-1673-4469-8e47-18a88af893db?version=1.0</w:t>
        </w:r>
      </w:hyperlink>
    </w:p>
  </w:footnote>
  <w:footnote w:id="102">
    <w:p w:rsidR="00F735BC" w:rsidRPr="003D1D3C" w:rsidRDefault="00F735BC" w:rsidP="003D7384">
      <w:pPr>
        <w:pStyle w:val="FootnoteText"/>
        <w:spacing w:before="0"/>
        <w:ind w:right="-450"/>
        <w:jc w:val="both"/>
        <w:rPr>
          <w:rFonts w:asciiTheme="majorHAnsi" w:hAnsiTheme="majorHAnsi" w:cstheme="majorHAnsi"/>
          <w:color w:val="auto"/>
          <w:sz w:val="18"/>
          <w:szCs w:val="18"/>
        </w:rPr>
      </w:pPr>
      <w:r w:rsidRPr="003D1D3C">
        <w:rPr>
          <w:rStyle w:val="FootnoteReference"/>
          <w:rFonts w:asciiTheme="majorHAnsi" w:hAnsiTheme="majorHAnsi" w:cstheme="majorHAnsi"/>
          <w:color w:val="auto"/>
          <w:sz w:val="18"/>
          <w:szCs w:val="18"/>
        </w:rPr>
        <w:footnoteRef/>
      </w:r>
      <w:r w:rsidRPr="003D1D3C">
        <w:rPr>
          <w:rFonts w:asciiTheme="majorHAnsi" w:hAnsiTheme="majorHAnsi" w:cstheme="majorHAnsi"/>
          <w:color w:val="auto"/>
          <w:sz w:val="18"/>
          <w:szCs w:val="18"/>
        </w:rPr>
        <w:t xml:space="preserve">Završni izvještaj o implementaciji Strategije reforme javne uprave 2016–2020, sa osvrtom na aktivnosti za 2020. godinu, mart 2021. godine, link ka dokumentu: </w:t>
      </w:r>
      <w:hyperlink r:id="rId38" w:history="1">
        <w:r w:rsidRPr="003D1D3C">
          <w:rPr>
            <w:rStyle w:val="Hyperlink"/>
            <w:rFonts w:asciiTheme="majorHAnsi" w:hAnsiTheme="majorHAnsi" w:cstheme="majorHAnsi"/>
            <w:color w:val="auto"/>
            <w:sz w:val="18"/>
            <w:szCs w:val="18"/>
          </w:rPr>
          <w:t>https://wapi.gov.me/download/9bd7ecd6-1673-4469-8e47-18a88af893db?version=1.0</w:t>
        </w:r>
      </w:hyperlink>
    </w:p>
  </w:footnote>
  <w:footnote w:id="103">
    <w:p w:rsidR="00F735BC" w:rsidRPr="003D1D3C" w:rsidRDefault="00F735BC" w:rsidP="003D7384">
      <w:pPr>
        <w:pStyle w:val="FootnoteText"/>
        <w:spacing w:before="0"/>
        <w:ind w:right="-450"/>
        <w:jc w:val="both"/>
        <w:rPr>
          <w:rFonts w:asciiTheme="majorHAnsi" w:hAnsiTheme="majorHAnsi" w:cstheme="majorHAnsi"/>
          <w:color w:val="auto"/>
          <w:sz w:val="18"/>
          <w:szCs w:val="18"/>
        </w:rPr>
      </w:pPr>
      <w:r w:rsidRPr="003D1D3C">
        <w:rPr>
          <w:rStyle w:val="FootnoteReference"/>
          <w:rFonts w:asciiTheme="majorHAnsi" w:hAnsiTheme="majorHAnsi" w:cstheme="majorHAnsi"/>
          <w:color w:val="auto"/>
          <w:sz w:val="18"/>
          <w:szCs w:val="18"/>
        </w:rPr>
        <w:footnoteRef/>
      </w:r>
      <w:r w:rsidRPr="003D1D3C">
        <w:rPr>
          <w:rFonts w:asciiTheme="majorHAnsi" w:hAnsiTheme="majorHAnsi" w:cstheme="majorHAnsi"/>
          <w:color w:val="auto"/>
          <w:sz w:val="18"/>
          <w:szCs w:val="18"/>
        </w:rPr>
        <w:t xml:space="preserve"> Izvještaj sa fokus grupa održanih u aprilu 2021. godine za Strategiju reforme javne uprave 2022 – 2026, Ministarstvo javne uprave, digitalnog društva i medija i UNDP, Podgorica, maj 2021</w:t>
      </w:r>
    </w:p>
  </w:footnote>
  <w:footnote w:id="104">
    <w:p w:rsidR="00F735BC" w:rsidRPr="00767AC9" w:rsidRDefault="00F735BC" w:rsidP="003D7384">
      <w:pPr>
        <w:pStyle w:val="FootnoteText"/>
        <w:spacing w:before="0"/>
        <w:ind w:right="-450"/>
        <w:jc w:val="both"/>
        <w:rPr>
          <w:rFonts w:asciiTheme="majorHAnsi" w:hAnsiTheme="majorHAnsi" w:cstheme="majorHAnsi"/>
          <w:color w:val="auto"/>
          <w:sz w:val="16"/>
          <w:szCs w:val="16"/>
        </w:rPr>
      </w:pPr>
      <w:r w:rsidRPr="003D1D3C">
        <w:rPr>
          <w:rStyle w:val="FootnoteReference"/>
          <w:rFonts w:asciiTheme="majorHAnsi" w:hAnsiTheme="majorHAnsi" w:cstheme="majorHAnsi"/>
          <w:color w:val="auto"/>
          <w:sz w:val="18"/>
          <w:szCs w:val="18"/>
        </w:rPr>
        <w:footnoteRef/>
      </w:r>
      <w:r w:rsidRPr="003D1D3C">
        <w:rPr>
          <w:rFonts w:asciiTheme="majorHAnsi" w:hAnsiTheme="majorHAnsi" w:cstheme="majorHAnsi"/>
          <w:color w:val="auto"/>
          <w:sz w:val="18"/>
          <w:szCs w:val="18"/>
        </w:rPr>
        <w:t xml:space="preserve"> WeBER Indicator Summary Oblast: Odgovornost, Crna Gora, link: </w:t>
      </w:r>
      <w:hyperlink r:id="rId39" w:history="1">
        <w:r w:rsidRPr="003D1D3C">
          <w:rPr>
            <w:rStyle w:val="Hyperlink"/>
            <w:rFonts w:asciiTheme="majorHAnsi" w:hAnsiTheme="majorHAnsi" w:cstheme="majorHAnsi"/>
            <w:color w:val="auto"/>
            <w:sz w:val="18"/>
            <w:szCs w:val="18"/>
          </w:rPr>
          <w:t>https://weber-new.s3.us-west-2.amazonaws.com/wp-content/uploads/2021/06/04102419/MNE_4ACC_P2_I2_summary-1.pdf</w:t>
        </w:r>
      </w:hyperlink>
      <w:r w:rsidRPr="00767AC9">
        <w:rPr>
          <w:rFonts w:asciiTheme="majorHAnsi" w:hAnsiTheme="majorHAnsi" w:cstheme="majorHAnsi"/>
          <w:color w:val="auto"/>
          <w:sz w:val="16"/>
          <w:szCs w:val="16"/>
        </w:rPr>
        <w:t xml:space="preserve"> </w:t>
      </w:r>
    </w:p>
  </w:footnote>
  <w:footnote w:id="105">
    <w:p w:rsidR="00F735BC" w:rsidRPr="00997D8C" w:rsidRDefault="00F735BC" w:rsidP="00997D8C">
      <w:pPr>
        <w:pStyle w:val="FootnoteText"/>
        <w:rPr>
          <w:rFonts w:ascii="Sitka Text" w:hAnsi="Sitka Text" w:cstheme="majorHAnsi"/>
          <w:color w:val="auto"/>
          <w:sz w:val="16"/>
          <w:szCs w:val="16"/>
        </w:rPr>
      </w:pPr>
      <w:r w:rsidRPr="00997D8C">
        <w:rPr>
          <w:rStyle w:val="FootnoteReference"/>
          <w:sz w:val="16"/>
          <w:szCs w:val="16"/>
        </w:rPr>
        <w:footnoteRef/>
      </w:r>
      <w:r w:rsidRPr="00997D8C">
        <w:rPr>
          <w:sz w:val="16"/>
          <w:szCs w:val="16"/>
        </w:rPr>
        <w:t xml:space="preserve"> </w:t>
      </w:r>
      <w:r w:rsidRPr="00997D8C">
        <w:rPr>
          <w:rFonts w:ascii="Sitka Text" w:hAnsi="Sitka Text" w:cstheme="majorHAnsi"/>
          <w:color w:val="auto"/>
          <w:sz w:val="16"/>
          <w:szCs w:val="16"/>
        </w:rPr>
        <w:t>Obveznici primjene Zakona o SPI – ukupno 1327 (2020. godina)</w:t>
      </w:r>
    </w:p>
    <w:p w:rsidR="00F735BC" w:rsidRDefault="00F735BC">
      <w:pPr>
        <w:pStyle w:val="FootnoteText"/>
      </w:pPr>
    </w:p>
  </w:footnote>
  <w:footnote w:id="106">
    <w:p w:rsidR="00F735BC" w:rsidRPr="00767AC9" w:rsidRDefault="00F735BC" w:rsidP="009C427B">
      <w:pPr>
        <w:pStyle w:val="FootnoteText"/>
        <w:spacing w:before="0"/>
        <w:jc w:val="both"/>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Zakon o državnoj upravi (Sl. List CG 13/18), Uredba o načinu i postupku izrade, usklađivanja i praćenja sprovođenja strateških dokumenata (Sl. CG, br. 54/18), Poslovnik Vlade Crne Gore</w:t>
      </w:r>
    </w:p>
  </w:footnote>
  <w:footnote w:id="107">
    <w:p w:rsidR="00F735BC" w:rsidRPr="00767AC9" w:rsidRDefault="00F735BC" w:rsidP="009C427B">
      <w:pPr>
        <w:pStyle w:val="FootnoteText"/>
        <w:spacing w:before="0"/>
        <w:jc w:val="both"/>
        <w:rPr>
          <w:rFonts w:asciiTheme="majorHAnsi" w:hAnsiTheme="majorHAnsi" w:cstheme="majorHAnsi"/>
          <w:color w:val="auto"/>
          <w:sz w:val="16"/>
          <w:szCs w:val="16"/>
          <w:lang w:val="sr-Latn-ME"/>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w:t>
      </w:r>
      <w:r w:rsidRPr="00767AC9">
        <w:rPr>
          <w:rFonts w:asciiTheme="majorHAnsi" w:hAnsiTheme="majorHAnsi" w:cstheme="majorHAnsi"/>
          <w:color w:val="auto"/>
          <w:sz w:val="16"/>
          <w:szCs w:val="16"/>
          <w:lang w:val="sr-Latn-ME"/>
        </w:rPr>
        <w:t>Metodologija razvijanja politika, izrade i praćenja sprovođenja strateških dokumenata (GSV, UNDP, 2020)</w:t>
      </w:r>
    </w:p>
  </w:footnote>
  <w:footnote w:id="108">
    <w:p w:rsidR="00F735BC" w:rsidRPr="00767AC9" w:rsidRDefault="00F735BC" w:rsidP="009C427B">
      <w:pPr>
        <w:pStyle w:val="FootnoteText"/>
        <w:spacing w:before="0"/>
        <w:jc w:val="both"/>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EK u dijelu „</w:t>
      </w:r>
      <w:r w:rsidRPr="00767AC9">
        <w:rPr>
          <w:rFonts w:asciiTheme="majorHAnsi" w:hAnsiTheme="majorHAnsi" w:cstheme="majorHAnsi"/>
          <w:i/>
          <w:color w:val="auto"/>
          <w:sz w:val="16"/>
          <w:szCs w:val="16"/>
        </w:rPr>
        <w:t xml:space="preserve">Politički kriterijumi - Upravljanje“ </w:t>
      </w:r>
      <w:r w:rsidRPr="00767AC9">
        <w:rPr>
          <w:rFonts w:asciiTheme="majorHAnsi" w:hAnsiTheme="majorHAnsi" w:cstheme="majorHAnsi"/>
          <w:color w:val="auto"/>
          <w:sz w:val="16"/>
          <w:szCs w:val="16"/>
        </w:rPr>
        <w:t>eksplicitno naglašava da je</w:t>
      </w:r>
      <w:r w:rsidRPr="00767AC9">
        <w:rPr>
          <w:rFonts w:asciiTheme="majorHAnsi" w:hAnsiTheme="majorHAnsi" w:cstheme="majorHAnsi"/>
          <w:i/>
          <w:color w:val="auto"/>
          <w:sz w:val="16"/>
          <w:szCs w:val="16"/>
        </w:rPr>
        <w:t>: „pravni okvir za jačanje strateškog planiranja od strane centralnih Vladinih organa unaprijeđen u značajnoj mjeri.“</w:t>
      </w:r>
    </w:p>
  </w:footnote>
  <w:footnote w:id="109">
    <w:p w:rsidR="00F735BC" w:rsidRPr="00767AC9" w:rsidRDefault="00F735BC" w:rsidP="009C427B">
      <w:pPr>
        <w:pStyle w:val="FootnoteText"/>
        <w:spacing w:before="0"/>
        <w:jc w:val="both"/>
        <w:rPr>
          <w:rFonts w:asciiTheme="majorHAnsi" w:hAnsiTheme="majorHAnsi" w:cstheme="majorHAnsi"/>
          <w: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w:t>
      </w:r>
      <w:r w:rsidRPr="00767AC9">
        <w:rPr>
          <w:rFonts w:asciiTheme="majorHAnsi" w:hAnsiTheme="majorHAnsi" w:cstheme="majorHAnsi"/>
          <w:i/>
          <w:color w:val="auto"/>
          <w:sz w:val="16"/>
          <w:szCs w:val="16"/>
        </w:rPr>
        <w:t>praćenje kvaliteta strateških dokumenata od strane Generalnog sekretarijata Vlade postalo strukturirano i sistemsko... GSV igra aktivnu ulogu u praćenju sprovođenja Uredbe i obezbjeđenju kontrole kvaliteta izdavanjem mišljenja na nacrte strateških dokumenata. Metodologija takođe ima za cilj racionalizaciju broja strateških dokumenata i dovela je do smanjenja njihovog broja</w:t>
      </w:r>
      <w:r w:rsidRPr="00767AC9">
        <w:rPr>
          <w:rFonts w:asciiTheme="majorHAnsi" w:hAnsiTheme="majorHAnsi" w:cstheme="majorHAnsi"/>
          <w:color w:val="auto"/>
          <w:sz w:val="16"/>
          <w:szCs w:val="16"/>
        </w:rPr>
        <w:t>.“</w:t>
      </w:r>
    </w:p>
  </w:footnote>
  <w:footnote w:id="110">
    <w:p w:rsidR="00F735BC" w:rsidRPr="00767AC9" w:rsidRDefault="00F735BC" w:rsidP="009C427B">
      <w:pPr>
        <w:pStyle w:val="FootnoteText"/>
        <w:spacing w:before="0"/>
        <w:jc w:val="both"/>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Donošenje Uredbe o dopunama Uredbe o Generalnom sekretarijatu Vlade Sl. list Crne Gore br. 33/18 od 14. V 2018. godine</w:t>
      </w:r>
    </w:p>
  </w:footnote>
  <w:footnote w:id="111">
    <w:p w:rsidR="00F735BC" w:rsidRPr="00767AC9" w:rsidRDefault="00F735BC" w:rsidP="009C427B">
      <w:pPr>
        <w:pStyle w:val="FootnoteText"/>
        <w:spacing w:before="0"/>
        <w:jc w:val="both"/>
        <w:rPr>
          <w:rFonts w:asciiTheme="majorHAnsi" w:hAnsiTheme="majorHAnsi" w:cstheme="majorHAnsi"/>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Raniji Sektor za planiranje, koordinaciju i praćenje politika Vlade</w:t>
      </w:r>
    </w:p>
  </w:footnote>
  <w:footnote w:id="112">
    <w:p w:rsidR="00F735BC" w:rsidRPr="00767AC9" w:rsidRDefault="00F735BC" w:rsidP="00CB681C">
      <w:pPr>
        <w:pStyle w:val="FootnoteText"/>
        <w:spacing w:before="0"/>
        <w:ind w:right="-450"/>
        <w:jc w:val="both"/>
        <w:rPr>
          <w:rFonts w:asciiTheme="majorHAnsi" w:hAnsiTheme="majorHAnsi" w:cstheme="majorHAnsi"/>
          <w:sz w:val="16"/>
          <w:szCs w:val="16"/>
        </w:rPr>
      </w:pPr>
      <w:r w:rsidRPr="00767AC9">
        <w:rPr>
          <w:rStyle w:val="FootnoteReference"/>
          <w:rFonts w:asciiTheme="majorHAnsi" w:hAnsiTheme="majorHAnsi" w:cstheme="majorHAnsi"/>
          <w:sz w:val="16"/>
          <w:szCs w:val="16"/>
        </w:rPr>
        <w:footnoteRef/>
      </w:r>
      <w:r w:rsidRPr="00767AC9">
        <w:rPr>
          <w:rFonts w:asciiTheme="majorHAnsi" w:hAnsiTheme="majorHAnsi" w:cstheme="majorHAnsi"/>
          <w:sz w:val="16"/>
          <w:szCs w:val="16"/>
        </w:rPr>
        <w:t xml:space="preserve"> </w:t>
      </w:r>
      <w:r w:rsidRPr="00767AC9">
        <w:rPr>
          <w:rFonts w:asciiTheme="majorHAnsi" w:hAnsiTheme="majorHAnsi" w:cstheme="majorHAnsi"/>
          <w:color w:val="auto"/>
          <w:sz w:val="16"/>
          <w:szCs w:val="16"/>
        </w:rPr>
        <w:t>Nakon dvije uspješne godine sprovođenja uz podršku Sektorske budžetske podrške EU, Generalni sekretarijat Vlade Crne Gore i Uprava za kadrove su oktobra 2020. započeli i treći ciklus Programa obrazovanja za stručno usavršavanje državnih službenika za strateško planiranje</w:t>
      </w:r>
      <w:r w:rsidRPr="00767AC9">
        <w:rPr>
          <w:rFonts w:asciiTheme="majorHAnsi" w:hAnsiTheme="majorHAnsi" w:cstheme="majorHAnsi"/>
          <w:b/>
          <w:color w:val="auto"/>
          <w:sz w:val="16"/>
          <w:szCs w:val="16"/>
        </w:rPr>
        <w:t xml:space="preserve">, </w:t>
      </w:r>
      <w:r w:rsidRPr="00767AC9">
        <w:rPr>
          <w:rFonts w:asciiTheme="majorHAnsi" w:hAnsiTheme="majorHAnsi" w:cstheme="majorHAnsi"/>
          <w:bCs/>
          <w:color w:val="auto"/>
          <w:sz w:val="16"/>
          <w:szCs w:val="16"/>
        </w:rPr>
        <w:t>čiji je poslednji modul završen u aprilu 2021</w:t>
      </w:r>
      <w:r w:rsidRPr="00767AC9">
        <w:rPr>
          <w:rFonts w:asciiTheme="majorHAnsi" w:hAnsiTheme="majorHAnsi" w:cstheme="majorHAnsi"/>
          <w:b/>
          <w:color w:val="auto"/>
          <w:sz w:val="16"/>
          <w:szCs w:val="16"/>
        </w:rPr>
        <w:t xml:space="preserve">. </w:t>
      </w:r>
      <w:r w:rsidRPr="00767AC9">
        <w:rPr>
          <w:rFonts w:asciiTheme="majorHAnsi" w:hAnsiTheme="majorHAnsi" w:cstheme="majorHAnsi"/>
          <w:color w:val="auto"/>
          <w:sz w:val="16"/>
          <w:szCs w:val="16"/>
        </w:rPr>
        <w:t>Program je do sada obezbijedio praktična znanja u oblasti planiranja politika i izrade strategija za tri generacije polaznika (ukupno 105 državnih službenika i službenica) od kojih je prva okupila članove Mreže državnih službenika za strateško planiranje</w:t>
      </w:r>
    </w:p>
  </w:footnote>
  <w:footnote w:id="113">
    <w:p w:rsidR="00F735BC" w:rsidRPr="00767AC9" w:rsidRDefault="00F735BC" w:rsidP="009C427B">
      <w:pPr>
        <w:pStyle w:val="FootnoteText"/>
        <w:spacing w:before="0"/>
        <w:ind w:right="-230"/>
        <w:rPr>
          <w:rFonts w:asciiTheme="majorHAnsi" w:hAnsiTheme="majorHAnsi" w:cstheme="majorHAnsi"/>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„Sl. list CG“, br. 41/18</w:t>
      </w:r>
    </w:p>
  </w:footnote>
  <w:footnote w:id="114">
    <w:p w:rsidR="00F735BC" w:rsidRPr="00767AC9" w:rsidRDefault="00F735BC" w:rsidP="009C427B">
      <w:pPr>
        <w:pStyle w:val="FootnoteText"/>
        <w:spacing w:before="0"/>
        <w:ind w:right="-230"/>
        <w:jc w:val="both"/>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eParticipacija: </w:t>
      </w:r>
      <w:hyperlink r:id="rId40" w:history="1">
        <w:r w:rsidRPr="00767AC9">
          <w:rPr>
            <w:rStyle w:val="Hyperlink"/>
            <w:rFonts w:asciiTheme="majorHAnsi" w:hAnsiTheme="majorHAnsi" w:cstheme="majorHAnsi"/>
            <w:color w:val="auto"/>
            <w:sz w:val="16"/>
            <w:szCs w:val="16"/>
          </w:rPr>
          <w:t>https://www.euprava.me/eparticipacije</w:t>
        </w:r>
      </w:hyperlink>
      <w:r w:rsidRPr="00767AC9">
        <w:rPr>
          <w:rFonts w:asciiTheme="majorHAnsi" w:hAnsiTheme="majorHAnsi" w:cstheme="majorHAnsi"/>
          <w:color w:val="auto"/>
          <w:sz w:val="16"/>
          <w:szCs w:val="16"/>
        </w:rPr>
        <w:t xml:space="preserve"> </w:t>
      </w:r>
    </w:p>
  </w:footnote>
  <w:footnote w:id="115">
    <w:p w:rsidR="00F735BC" w:rsidRPr="00767AC9" w:rsidRDefault="00F735BC" w:rsidP="009C427B">
      <w:pPr>
        <w:pStyle w:val="FootnoteText"/>
        <w:spacing w:before="0"/>
        <w:ind w:right="-230"/>
        <w:jc w:val="both"/>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ePeticija: </w:t>
      </w:r>
      <w:hyperlink r:id="rId41" w:history="1">
        <w:r w:rsidRPr="00767AC9">
          <w:rPr>
            <w:rStyle w:val="Hyperlink"/>
            <w:rFonts w:asciiTheme="majorHAnsi" w:hAnsiTheme="majorHAnsi" w:cstheme="majorHAnsi"/>
            <w:color w:val="auto"/>
            <w:sz w:val="16"/>
            <w:szCs w:val="16"/>
          </w:rPr>
          <w:t>http://epeticije.gov.me/</w:t>
        </w:r>
      </w:hyperlink>
      <w:r w:rsidRPr="00767AC9">
        <w:rPr>
          <w:rFonts w:asciiTheme="majorHAnsi" w:hAnsiTheme="majorHAnsi" w:cstheme="majorHAnsi"/>
          <w:color w:val="auto"/>
          <w:sz w:val="16"/>
          <w:szCs w:val="16"/>
        </w:rPr>
        <w:t xml:space="preserve">  </w:t>
      </w:r>
      <w:r w:rsidRPr="00767AC9">
        <w:rPr>
          <w:rFonts w:asciiTheme="majorHAnsi" w:hAnsiTheme="majorHAnsi" w:cstheme="majorHAnsi"/>
          <w:sz w:val="16"/>
          <w:szCs w:val="16"/>
        </w:rPr>
        <w:t xml:space="preserve"> </w:t>
      </w:r>
      <w:r w:rsidRPr="00767AC9">
        <w:rPr>
          <w:rFonts w:asciiTheme="majorHAnsi" w:hAnsiTheme="majorHAnsi" w:cstheme="majorHAnsi"/>
          <w:color w:val="auto"/>
          <w:sz w:val="16"/>
          <w:szCs w:val="16"/>
        </w:rPr>
        <w:t>Građanima je omogućeno da sa 3 000 prikupljenih potpisa mogu da pokreću inicijative u oblasti javnih politika.</w:t>
      </w:r>
    </w:p>
  </w:footnote>
  <w:footnote w:id="116">
    <w:p w:rsidR="00F735BC" w:rsidRPr="00767AC9" w:rsidRDefault="00F735BC" w:rsidP="0004773A">
      <w:pPr>
        <w:pStyle w:val="FootnoteText"/>
        <w:spacing w:before="0"/>
        <w:ind w:right="-450"/>
        <w:jc w:val="both"/>
        <w:rPr>
          <w:rFonts w:asciiTheme="majorHAnsi" w:hAnsiTheme="majorHAnsi" w:cstheme="majorHAnsi"/>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Portal otvorenih podataka: </w:t>
      </w:r>
      <w:hyperlink r:id="rId42" w:history="1">
        <w:r w:rsidRPr="00767AC9">
          <w:rPr>
            <w:rStyle w:val="Hyperlink"/>
            <w:rFonts w:asciiTheme="majorHAnsi" w:hAnsiTheme="majorHAnsi" w:cstheme="majorHAnsi"/>
            <w:color w:val="auto"/>
            <w:sz w:val="16"/>
            <w:szCs w:val="16"/>
          </w:rPr>
          <w:t>https://data.gov.me/</w:t>
        </w:r>
      </w:hyperlink>
      <w:r w:rsidRPr="00767AC9">
        <w:rPr>
          <w:rFonts w:asciiTheme="majorHAnsi" w:hAnsiTheme="majorHAnsi" w:cstheme="majorHAnsi"/>
          <w:color w:val="auto"/>
          <w:sz w:val="16"/>
          <w:szCs w:val="16"/>
        </w:rPr>
        <w:t xml:space="preserve"> prvi put u Crnoj Gori uspostavljen je 2018. godine i predstavlja centralno mjesto za objavljivanje informacija u posjedu javne uprave i omogućava lako pretraživanje podataka u otvorenom, odnosno mašinski čitljivom formatu. Trenutno je na portalu Otvorenih podataka nalazi 133 data setova od strane 20 institucija iz 15 različitih oblasti. Crna Gora je postala član evropske porodice otvorenih podataka i otvoreni podaci sa crnogorskog nacionalnog portala od juna 2020. godine su dostupni na evropskom portalu otvorenih podataka </w:t>
      </w:r>
      <w:hyperlink r:id="rId43" w:history="1">
        <w:r w:rsidRPr="00767AC9">
          <w:rPr>
            <w:rStyle w:val="Hyperlink"/>
            <w:rFonts w:asciiTheme="majorHAnsi" w:hAnsiTheme="majorHAnsi" w:cstheme="majorHAnsi"/>
            <w:sz w:val="16"/>
            <w:szCs w:val="16"/>
          </w:rPr>
          <w:t>https://www.europeandataportal.eu/en</w:t>
        </w:r>
      </w:hyperlink>
      <w:r w:rsidRPr="00767AC9">
        <w:rPr>
          <w:rFonts w:asciiTheme="majorHAnsi" w:hAnsiTheme="majorHAnsi" w:cstheme="majorHAnsi"/>
          <w:color w:val="auto"/>
          <w:sz w:val="16"/>
          <w:szCs w:val="16"/>
        </w:rPr>
        <w:t xml:space="preserve"> </w:t>
      </w:r>
    </w:p>
  </w:footnote>
  <w:footnote w:id="117">
    <w:p w:rsidR="00F735BC" w:rsidRPr="00767AC9" w:rsidRDefault="00F735BC" w:rsidP="0004773A">
      <w:pPr>
        <w:pStyle w:val="FootnoteText"/>
        <w:spacing w:before="0"/>
        <w:ind w:right="-450"/>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Obaveza sprovođenja Analize je propisana čl. 33 i 40 Poslovnika Vlade Crne Gore (“Sl. list CG”, br. 062/18).</w:t>
      </w:r>
    </w:p>
  </w:footnote>
  <w:footnote w:id="118">
    <w:p w:rsidR="00F735BC" w:rsidRPr="00767AC9" w:rsidRDefault="00F735BC" w:rsidP="0004773A">
      <w:pPr>
        <w:pStyle w:val="FootnoteText"/>
        <w:spacing w:before="0"/>
        <w:ind w:right="-450"/>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„Sl. list CG“, br. 09/12</w:t>
      </w:r>
    </w:p>
  </w:footnote>
  <w:footnote w:id="119">
    <w:p w:rsidR="00F735BC" w:rsidRPr="00767AC9" w:rsidRDefault="00F735BC" w:rsidP="0004773A">
      <w:pPr>
        <w:pStyle w:val="FootnoteText"/>
        <w:spacing w:before="0"/>
        <w:ind w:right="-450"/>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„Sl. list CG“, br. 002/18</w:t>
      </w:r>
    </w:p>
  </w:footnote>
  <w:footnote w:id="120">
    <w:p w:rsidR="00F735BC" w:rsidRPr="00767AC9" w:rsidRDefault="00F735BC" w:rsidP="0004773A">
      <w:pPr>
        <w:pStyle w:val="FootnoteText"/>
        <w:spacing w:before="0"/>
        <w:ind w:right="-450"/>
        <w:rPr>
          <w:rFonts w:asciiTheme="majorHAnsi" w:hAnsiTheme="majorHAnsi" w:cstheme="majorHAnsi"/>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„Sl. list CG“, br. 105/20</w:t>
      </w:r>
    </w:p>
  </w:footnote>
  <w:footnote w:id="121">
    <w:p w:rsidR="00F735BC" w:rsidRPr="00767AC9" w:rsidRDefault="00F735BC" w:rsidP="0004773A">
      <w:pPr>
        <w:pStyle w:val="FootnoteText"/>
        <w:spacing w:before="0"/>
        <w:ind w:right="-450"/>
        <w:rPr>
          <w:rFonts w:asciiTheme="majorHAnsi" w:hAnsiTheme="majorHAnsi" w:cstheme="majorHAnsi"/>
          <w:color w:val="auto"/>
          <w:lang w:val="sr-Latn-ME"/>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SIGMA Monitoring Report 2017, </w:t>
      </w:r>
      <w:hyperlink r:id="rId44" w:history="1">
        <w:r w:rsidRPr="00767AC9">
          <w:rPr>
            <w:rStyle w:val="Hyperlink"/>
            <w:rFonts w:asciiTheme="majorHAnsi" w:hAnsiTheme="majorHAnsi" w:cstheme="majorHAnsi"/>
            <w:color w:val="auto"/>
            <w:sz w:val="16"/>
            <w:szCs w:val="16"/>
          </w:rPr>
          <w:t>https://sigmaweb.org/publications/Monitoring-Report-2017-Montenegro.pdf</w:t>
        </w:r>
      </w:hyperlink>
      <w:r w:rsidRPr="00767AC9">
        <w:rPr>
          <w:rFonts w:asciiTheme="majorHAnsi" w:hAnsiTheme="majorHAnsi" w:cstheme="majorHAnsi"/>
          <w:color w:val="auto"/>
        </w:rPr>
        <w:t xml:space="preserve"> </w:t>
      </w:r>
    </w:p>
  </w:footnote>
  <w:footnote w:id="122">
    <w:p w:rsidR="00F735BC" w:rsidRPr="00767AC9" w:rsidRDefault="00F735BC" w:rsidP="0004773A">
      <w:pPr>
        <w:pStyle w:val="FootnoteText"/>
        <w:spacing w:before="0"/>
        <w:ind w:right="-450"/>
        <w:jc w:val="both"/>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Poslovnikom Vlade Crne Gore je definisana uloga četiri stalne komisije Vlade – Komisije za politički sistem, unutrašnju i vanjsku politiku, Komisije za ekonomski sistem i finansijsku politiku, Komisije za kadrovska i administrativna pitanja i Komisije za raspodjelu dijela sredstava budžetske rezerve. Na njima se razmatraju materijali prije dostavljanja za sjednicu Vlade, ali se ne obezbjeđuje sveobuhvatno sagledavanje pripremljenih i usvojenih materijala u kontekstu ukupnog planskog sistema i strateškog planiranja.</w:t>
      </w:r>
    </w:p>
  </w:footnote>
  <w:footnote w:id="123">
    <w:p w:rsidR="00F735BC" w:rsidRPr="00767AC9" w:rsidRDefault="00F735BC" w:rsidP="0004773A">
      <w:pPr>
        <w:pStyle w:val="FootnoteText"/>
        <w:spacing w:before="0"/>
        <w:ind w:right="-450"/>
        <w:jc w:val="both"/>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Utvrđena Pravilnikom o metodologiji za izradu strateškog plana razvoja jedinice lokalne samouprave (Sl. list CG, br. 37/11), </w:t>
      </w:r>
      <w:hyperlink r:id="rId45" w:history="1">
        <w:r w:rsidRPr="00767AC9">
          <w:rPr>
            <w:rStyle w:val="Hyperlink"/>
            <w:rFonts w:asciiTheme="majorHAnsi" w:hAnsiTheme="majorHAnsi" w:cstheme="majorHAnsi"/>
            <w:color w:val="auto"/>
            <w:sz w:val="16"/>
            <w:szCs w:val="16"/>
          </w:rPr>
          <w:t>Pravilnik o metodologiji za izradu strateıkog plana razvoja jedinice lokalne samouprave (wapi.gov.me)</w:t>
        </w:r>
      </w:hyperlink>
    </w:p>
  </w:footnote>
  <w:footnote w:id="124">
    <w:p w:rsidR="00F735BC" w:rsidRPr="00767AC9" w:rsidRDefault="00F735BC" w:rsidP="0004773A">
      <w:pPr>
        <w:pStyle w:val="FootnoteText"/>
        <w:spacing w:before="0"/>
        <w:ind w:right="-450"/>
        <w:jc w:val="both"/>
        <w:rPr>
          <w:rFonts w:asciiTheme="majorHAnsi" w:hAnsiTheme="majorHAnsi" w:cstheme="majorHAnsi"/>
          <w:color w:val="auto"/>
          <w:sz w:val="16"/>
          <w:szCs w:val="16"/>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Strategija regionalnog razvoja je bila donijeta za period 2014-2020, a nova će biti pripremljena naredne godine, za period od 2022.</w:t>
      </w:r>
    </w:p>
  </w:footnote>
  <w:footnote w:id="125">
    <w:p w:rsidR="00F735BC" w:rsidRDefault="00F735BC">
      <w:pPr>
        <w:pStyle w:val="FootnoteText"/>
      </w:pPr>
      <w:r w:rsidRPr="00997D8C">
        <w:rPr>
          <w:rFonts w:asciiTheme="majorHAnsi" w:hAnsiTheme="majorHAnsi" w:cstheme="majorHAnsi"/>
          <w:color w:val="auto"/>
          <w:sz w:val="16"/>
          <w:szCs w:val="16"/>
          <w:lang w:val="sr-Latn-ME"/>
        </w:rPr>
        <w:footnoteRef/>
      </w:r>
      <w:r w:rsidRPr="00997D8C">
        <w:rPr>
          <w:rFonts w:asciiTheme="majorHAnsi" w:hAnsiTheme="majorHAnsi" w:cstheme="majorHAnsi"/>
          <w:color w:val="auto"/>
          <w:sz w:val="16"/>
          <w:szCs w:val="16"/>
          <w:lang w:val="sr-Latn-ME"/>
        </w:rPr>
        <w:t xml:space="preserve"> Koji su dobili pozitivno mišljenje GSV-a</w:t>
      </w:r>
    </w:p>
  </w:footnote>
  <w:footnote w:id="126">
    <w:p w:rsidR="00F735BC" w:rsidRPr="007E14C5" w:rsidRDefault="00F735BC" w:rsidP="007E14C5">
      <w:pPr>
        <w:pStyle w:val="FootnoteText"/>
        <w:spacing w:before="0"/>
        <w:ind w:right="-450"/>
        <w:jc w:val="both"/>
        <w:rPr>
          <w:rFonts w:asciiTheme="majorHAnsi" w:hAnsiTheme="majorHAnsi" w:cstheme="majorHAnsi"/>
          <w:color w:val="auto"/>
          <w:sz w:val="16"/>
          <w:szCs w:val="16"/>
          <w:lang w:val="sr-Latn-ME"/>
        </w:rPr>
      </w:pPr>
      <w:r w:rsidRPr="007E14C5">
        <w:rPr>
          <w:rStyle w:val="FootnoteReference"/>
          <w:rFonts w:asciiTheme="majorHAnsi" w:hAnsiTheme="majorHAnsi" w:cstheme="majorHAnsi"/>
          <w:color w:val="auto"/>
          <w:sz w:val="16"/>
          <w:szCs w:val="16"/>
        </w:rPr>
        <w:footnoteRef/>
      </w:r>
      <w:r w:rsidRPr="007E14C5">
        <w:rPr>
          <w:rFonts w:asciiTheme="majorHAnsi" w:hAnsiTheme="majorHAnsi" w:cstheme="majorHAnsi"/>
          <w:color w:val="auto"/>
          <w:sz w:val="16"/>
          <w:szCs w:val="16"/>
        </w:rPr>
        <w:t xml:space="preserve"> </w:t>
      </w:r>
      <w:r w:rsidRPr="007E14C5">
        <w:rPr>
          <w:rFonts w:asciiTheme="majorHAnsi" w:hAnsiTheme="majorHAnsi" w:cstheme="majorHAnsi"/>
          <w:color w:val="auto"/>
          <w:sz w:val="16"/>
          <w:szCs w:val="16"/>
          <w:lang w:val="sr-Latn-ME"/>
        </w:rPr>
        <w:t>Ovo je i jedna od sugestija Završnog izvještaja evaluacije saradnje Evropske Unijesa Crnom Gorom u periodu 2012-2019. („Iako je za efikasno upravljanje fondovima EU bilo neophodno osnivanje posebnih odjeljenja za saradnju sa EU u okviru ministarstava i organa iz javnog sektora, ovo je nenamerno rezultiralo razdvajanjem procesa kreiranja nacionalnih politika i javne potrošnje sa jedne strane, te programiranja i upravljanja projektima EU sa druge. Nedavno usvojen zakonski okvir ciji je cilj jacanje procesa izrade strategije ima efekta. Bez obzira na navedeno, potrebna je veca koherentnost izmedu procesa programiranja nacionalnih politika i procesa programiranja IPA.“)</w:t>
      </w:r>
    </w:p>
    <w:p w:rsidR="00F735BC" w:rsidRPr="00BB442D" w:rsidRDefault="00F735BC" w:rsidP="006B031A">
      <w:pPr>
        <w:pStyle w:val="FootnoteText"/>
        <w:rPr>
          <w:lang w:val="sr-Latn-ME"/>
        </w:rPr>
      </w:pPr>
    </w:p>
  </w:footnote>
  <w:footnote w:id="127">
    <w:p w:rsidR="00F735BC" w:rsidRPr="00C00385" w:rsidRDefault="00F735BC">
      <w:pPr>
        <w:pStyle w:val="FootnoteText"/>
        <w:rPr>
          <w:sz w:val="16"/>
          <w:szCs w:val="16"/>
        </w:rPr>
      </w:pPr>
      <w:r w:rsidRPr="006A0202">
        <w:rPr>
          <w:rStyle w:val="FootnoteReference"/>
          <w:sz w:val="16"/>
          <w:szCs w:val="16"/>
        </w:rPr>
        <w:footnoteRef/>
      </w:r>
      <w:r w:rsidRPr="006A0202">
        <w:rPr>
          <w:sz w:val="16"/>
          <w:szCs w:val="16"/>
        </w:rPr>
        <w:t xml:space="preserve"> </w:t>
      </w:r>
      <w:r w:rsidRPr="00051F26">
        <w:rPr>
          <w:rFonts w:ascii="Sitka Text" w:hAnsi="Sitka Text"/>
          <w:sz w:val="16"/>
          <w:szCs w:val="16"/>
        </w:rPr>
        <w:t>Sa koordinacionom funkcijom u oblasti planiranja politika</w:t>
      </w:r>
    </w:p>
  </w:footnote>
  <w:footnote w:id="128">
    <w:p w:rsidR="00F735BC" w:rsidRPr="000E69C4" w:rsidRDefault="00F735BC" w:rsidP="006F7CA6">
      <w:pPr>
        <w:pStyle w:val="FootnoteText"/>
        <w:jc w:val="both"/>
        <w:rPr>
          <w:color w:val="auto"/>
        </w:rPr>
      </w:pPr>
      <w:r w:rsidRPr="000E69C4">
        <w:rPr>
          <w:rStyle w:val="FootnoteReference"/>
          <w:color w:val="auto"/>
        </w:rPr>
        <w:footnoteRef/>
      </w:r>
      <w:r w:rsidRPr="000E69C4">
        <w:rPr>
          <w:color w:val="auto"/>
        </w:rPr>
        <w:t xml:space="preserve"> </w:t>
      </w:r>
      <w:r w:rsidRPr="000E69C4">
        <w:rPr>
          <w:color w:val="auto"/>
          <w:sz w:val="16"/>
          <w:szCs w:val="16"/>
        </w:rPr>
        <w:t>Raznolikost (eng. diversity) uključuje sve načine na koje se ljudi razlikuju, obuhvatajući različite karakteristike po kojima se jedan pojedinac ili grupa razlikuju od drugih. Iako se različitost često koristi u odnosu na rasu, etničku pripadnost i pol, šira definicija različitosti uključuje iskustvo relevantno za misiju, godine, nacionalno porijeklo, religiju, invaliditet, seksualnu orijentaciju, društveno-ekonomski status, obrazovanje, bračni status, jezik(e) koji se govori i fizički izgled.</w:t>
      </w:r>
    </w:p>
  </w:footnote>
  <w:footnote w:id="129">
    <w:p w:rsidR="00F735BC" w:rsidRPr="000E69C4" w:rsidRDefault="00F735BC" w:rsidP="000E69C4">
      <w:pPr>
        <w:pStyle w:val="FootnoteText"/>
        <w:jc w:val="both"/>
        <w:rPr>
          <w:color w:val="auto"/>
          <w:sz w:val="16"/>
          <w:szCs w:val="16"/>
        </w:rPr>
      </w:pPr>
      <w:r w:rsidRPr="000E69C4">
        <w:rPr>
          <w:rStyle w:val="FootnoteReference"/>
          <w:color w:val="auto"/>
        </w:rPr>
        <w:footnoteRef/>
      </w:r>
      <w:r w:rsidRPr="000E69C4">
        <w:rPr>
          <w:color w:val="auto"/>
        </w:rPr>
        <w:t xml:space="preserve"> </w:t>
      </w:r>
      <w:r w:rsidRPr="000E69C4">
        <w:rPr>
          <w:color w:val="auto"/>
          <w:sz w:val="16"/>
          <w:szCs w:val="16"/>
        </w:rPr>
        <w:t>Ravnopravnost (eng. equity) je pošten tretman, pristup, mogućnosti i napredak za sve ljude, dok se istovremeno nastoje identifikovati i ukloniti prepreke koje su spriječile puno učešće nekih grupa. Da bismo poboljšali pravičnost, moramo povećati pravdu i pravičnost u postupcima i procesima institucija ili sistema, kao i u njihovoj raspodjeli resursa. Rješavanje pitanja jednakosti zahtijeva razumijevanje osnovnih uzroka dispariteta ishoda u našem društvu</w:t>
      </w:r>
    </w:p>
  </w:footnote>
  <w:footnote w:id="130">
    <w:p w:rsidR="00F735BC" w:rsidRPr="000E69C4" w:rsidRDefault="00F735BC" w:rsidP="007213A5">
      <w:pPr>
        <w:pStyle w:val="FootnoteText"/>
        <w:spacing w:before="0"/>
        <w:rPr>
          <w:rFonts w:asciiTheme="majorHAnsi" w:hAnsiTheme="majorHAnsi" w:cstheme="majorHAnsi"/>
          <w:color w:val="auto"/>
          <w:sz w:val="16"/>
          <w:szCs w:val="16"/>
        </w:rPr>
      </w:pPr>
      <w:r w:rsidRPr="000E69C4">
        <w:rPr>
          <w:rStyle w:val="FootnoteReference"/>
          <w:rFonts w:asciiTheme="majorHAnsi" w:hAnsiTheme="majorHAnsi" w:cstheme="majorHAnsi"/>
          <w:color w:val="auto"/>
          <w:sz w:val="16"/>
          <w:szCs w:val="16"/>
        </w:rPr>
        <w:footnoteRef/>
      </w:r>
      <w:r w:rsidRPr="000E69C4">
        <w:rPr>
          <w:rFonts w:asciiTheme="majorHAnsi" w:hAnsiTheme="majorHAnsi" w:cstheme="majorHAnsi"/>
          <w:color w:val="auto"/>
          <w:sz w:val="16"/>
          <w:szCs w:val="16"/>
        </w:rPr>
        <w:t xml:space="preserve"> Donijet 2007 godine</w:t>
      </w:r>
    </w:p>
  </w:footnote>
  <w:footnote w:id="131">
    <w:p w:rsidR="00F735BC" w:rsidRPr="000E69C4" w:rsidRDefault="00F735BC" w:rsidP="007213A5">
      <w:pPr>
        <w:pStyle w:val="FootnoteText"/>
        <w:spacing w:before="0"/>
        <w:rPr>
          <w:rFonts w:asciiTheme="majorHAnsi" w:hAnsiTheme="majorHAnsi" w:cstheme="majorHAnsi"/>
          <w:color w:val="auto"/>
          <w:sz w:val="16"/>
          <w:szCs w:val="16"/>
        </w:rPr>
      </w:pPr>
      <w:r w:rsidRPr="000E69C4">
        <w:rPr>
          <w:rStyle w:val="FootnoteReference"/>
          <w:rFonts w:asciiTheme="majorHAnsi" w:hAnsiTheme="majorHAnsi" w:cstheme="majorHAnsi"/>
          <w:color w:val="auto"/>
          <w:sz w:val="16"/>
          <w:szCs w:val="16"/>
        </w:rPr>
        <w:footnoteRef/>
      </w:r>
      <w:r w:rsidRPr="000E69C4">
        <w:rPr>
          <w:rFonts w:asciiTheme="majorHAnsi" w:hAnsiTheme="majorHAnsi" w:cstheme="majorHAnsi"/>
          <w:color w:val="auto"/>
          <w:sz w:val="16"/>
          <w:szCs w:val="16"/>
        </w:rPr>
        <w:t xml:space="preserve"> Usvojen 2007. godine, a posljednji put mijenjan 2015</w:t>
      </w:r>
    </w:p>
  </w:footnote>
  <w:footnote w:id="132">
    <w:p w:rsidR="00F735BC" w:rsidRPr="00274358" w:rsidRDefault="00F735BC" w:rsidP="007213A5">
      <w:pPr>
        <w:pStyle w:val="FootnoteText"/>
        <w:spacing w:before="0"/>
        <w:rPr>
          <w:color w:val="auto"/>
          <w:sz w:val="16"/>
          <w:szCs w:val="16"/>
        </w:rPr>
      </w:pPr>
      <w:r w:rsidRPr="000E69C4">
        <w:rPr>
          <w:rStyle w:val="FootnoteReference"/>
          <w:rFonts w:asciiTheme="majorHAnsi" w:hAnsiTheme="majorHAnsi" w:cstheme="majorHAnsi"/>
          <w:color w:val="auto"/>
          <w:sz w:val="16"/>
          <w:szCs w:val="16"/>
        </w:rPr>
        <w:footnoteRef/>
      </w:r>
      <w:r w:rsidRPr="000E69C4">
        <w:rPr>
          <w:rFonts w:asciiTheme="majorHAnsi" w:hAnsiTheme="majorHAnsi" w:cstheme="majorHAnsi"/>
          <w:color w:val="auto"/>
          <w:sz w:val="16"/>
          <w:szCs w:val="16"/>
        </w:rPr>
        <w:t xml:space="preserve"> Donijet 2010. godine, a posljednji put izmijenjen 2017</w:t>
      </w:r>
    </w:p>
  </w:footnote>
  <w:footnote w:id="133">
    <w:p w:rsidR="00F735BC" w:rsidRPr="009E679B" w:rsidRDefault="00F735BC" w:rsidP="00D554DC">
      <w:pPr>
        <w:pStyle w:val="FootnoteText"/>
        <w:rPr>
          <w:rFonts w:ascii="Sitka Text" w:hAnsi="Sitka Text" w:cs="Arial"/>
          <w:sz w:val="16"/>
          <w:szCs w:val="16"/>
        </w:rPr>
      </w:pPr>
      <w:r w:rsidRPr="009E679B">
        <w:rPr>
          <w:rStyle w:val="FootnoteReference"/>
          <w:rFonts w:ascii="Sitka Text" w:hAnsi="Sitka Text" w:cs="Arial"/>
          <w:sz w:val="16"/>
          <w:szCs w:val="16"/>
        </w:rPr>
        <w:footnoteRef/>
      </w:r>
      <w:r w:rsidRPr="009E679B">
        <w:rPr>
          <w:rFonts w:ascii="Sitka Text" w:hAnsi="Sitka Text" w:cs="Arial"/>
          <w:sz w:val="16"/>
          <w:szCs w:val="16"/>
        </w:rPr>
        <w:t xml:space="preserve"> Od ukupnog broja preporuka date na nivou institucije (357), 71 preporuka je realizova  (oblast uprave)</w:t>
      </w:r>
    </w:p>
  </w:footnote>
  <w:footnote w:id="134">
    <w:p w:rsidR="00F735BC" w:rsidRPr="00767AC9" w:rsidRDefault="00F735BC" w:rsidP="00D554DC">
      <w:pPr>
        <w:pStyle w:val="FootnoteText"/>
        <w:rPr>
          <w:rFonts w:asciiTheme="majorHAnsi" w:hAnsiTheme="majorHAnsi" w:cstheme="majorHAnsi"/>
          <w:color w:val="auto"/>
          <w:sz w:val="16"/>
          <w:szCs w:val="16"/>
        </w:rPr>
      </w:pPr>
      <w:r w:rsidRPr="009E679B">
        <w:rPr>
          <w:rStyle w:val="FootnoteReference"/>
          <w:rFonts w:ascii="Sitka Text" w:hAnsi="Sitka Text" w:cstheme="majorHAnsi"/>
          <w:color w:val="auto"/>
          <w:sz w:val="16"/>
          <w:szCs w:val="16"/>
        </w:rPr>
        <w:footnoteRef/>
      </w:r>
      <w:r w:rsidRPr="009E679B">
        <w:rPr>
          <w:rFonts w:ascii="Sitka Text" w:hAnsi="Sitka Text" w:cstheme="majorHAnsi"/>
          <w:color w:val="auto"/>
          <w:sz w:val="16"/>
          <w:szCs w:val="16"/>
        </w:rPr>
        <w:t xml:space="preserve"> </w:t>
      </w:r>
      <w:r w:rsidRPr="00F940E4">
        <w:rPr>
          <w:rFonts w:asciiTheme="majorHAnsi" w:hAnsiTheme="majorHAnsi" w:cstheme="majorHAnsi"/>
          <w:color w:val="auto"/>
          <w:sz w:val="16"/>
          <w:szCs w:val="16"/>
        </w:rPr>
        <w:t xml:space="preserve">Uredba o prenošenju poslova i zadataka finansijskog upravljanja i unutrašnjih kontrola u javnom sektoru, link: </w:t>
      </w:r>
      <w:hyperlink r:id="rId46" w:history="1">
        <w:r w:rsidRPr="00F940E4">
          <w:rPr>
            <w:rFonts w:asciiTheme="majorHAnsi" w:hAnsiTheme="majorHAnsi"/>
            <w:sz w:val="16"/>
            <w:szCs w:val="16"/>
          </w:rPr>
          <w:t>https://mif.gov.me/organizacija/sektor-za-pifc/243366/Uredba-o-prenosenju-poslova-i-zadataka-finansijskog-upravljanja-i-unutrasnjih-kontrola-u-javnom-sektoru.html</w:t>
        </w:r>
      </w:hyperlink>
      <w:r w:rsidRPr="00F940E4">
        <w:rPr>
          <w:rFonts w:asciiTheme="majorHAnsi" w:hAnsiTheme="majorHAnsi" w:cstheme="majorHAnsi"/>
          <w:color w:val="auto"/>
          <w:sz w:val="16"/>
          <w:szCs w:val="16"/>
        </w:rPr>
        <w:t xml:space="preserve"> </w:t>
      </w:r>
    </w:p>
  </w:footnote>
  <w:footnote w:id="135">
    <w:p w:rsidR="00F735BC" w:rsidRPr="00D042C2" w:rsidRDefault="00F735BC" w:rsidP="00D042C2">
      <w:pPr>
        <w:pStyle w:val="FootnoteText"/>
        <w:spacing w:before="0"/>
        <w:rPr>
          <w:rFonts w:asciiTheme="majorHAnsi" w:hAnsiTheme="majorHAnsi" w:cstheme="majorHAnsi"/>
          <w:color w:val="auto"/>
          <w:sz w:val="16"/>
          <w:szCs w:val="16"/>
        </w:rPr>
      </w:pPr>
      <w:r w:rsidRPr="00D042C2">
        <w:rPr>
          <w:rStyle w:val="FootnoteReference"/>
          <w:rFonts w:asciiTheme="majorHAnsi" w:hAnsiTheme="majorHAnsi" w:cstheme="majorHAnsi"/>
          <w:color w:val="auto"/>
          <w:sz w:val="16"/>
          <w:szCs w:val="16"/>
        </w:rPr>
        <w:footnoteRef/>
      </w:r>
      <w:r w:rsidRPr="00D042C2">
        <w:rPr>
          <w:rFonts w:asciiTheme="majorHAnsi" w:hAnsiTheme="majorHAnsi" w:cstheme="majorHAnsi"/>
          <w:color w:val="auto"/>
          <w:sz w:val="16"/>
          <w:szCs w:val="16"/>
        </w:rPr>
        <w:t xml:space="preserve"> </w:t>
      </w:r>
      <w:r>
        <w:rPr>
          <w:rFonts w:asciiTheme="majorHAnsi" w:hAnsiTheme="majorHAnsi" w:cstheme="majorHAnsi"/>
          <w:color w:val="auto"/>
          <w:sz w:val="16"/>
          <w:szCs w:val="16"/>
        </w:rPr>
        <w:t>Minisitarstva</w:t>
      </w:r>
      <w:r w:rsidRPr="00D042C2">
        <w:rPr>
          <w:rFonts w:asciiTheme="majorHAnsi" w:hAnsiTheme="majorHAnsi" w:cstheme="majorHAnsi"/>
          <w:color w:val="auto"/>
          <w:sz w:val="16"/>
          <w:szCs w:val="16"/>
        </w:rPr>
        <w:t xml:space="preserve"> i lokalna samouprava</w:t>
      </w:r>
      <w:r>
        <w:rPr>
          <w:rFonts w:asciiTheme="majorHAnsi" w:hAnsiTheme="majorHAnsi" w:cstheme="majorHAnsi"/>
          <w:color w:val="auto"/>
          <w:sz w:val="16"/>
          <w:szCs w:val="16"/>
        </w:rPr>
        <w:t xml:space="preserve"> </w:t>
      </w:r>
    </w:p>
  </w:footnote>
  <w:footnote w:id="136">
    <w:p w:rsidR="00F735BC" w:rsidRPr="006E55E9" w:rsidRDefault="00F735BC" w:rsidP="00AA7132">
      <w:pPr>
        <w:pStyle w:val="FootnoteText"/>
        <w:rPr>
          <w:rFonts w:asciiTheme="majorHAnsi" w:hAnsiTheme="majorHAnsi" w:cstheme="majorHAnsi"/>
          <w:color w:val="auto"/>
          <w:sz w:val="16"/>
          <w:szCs w:val="16"/>
        </w:rPr>
      </w:pPr>
      <w:r w:rsidRPr="00C804E3">
        <w:rPr>
          <w:rStyle w:val="FootnoteReference"/>
          <w:rFonts w:ascii="Sitka Text" w:hAnsi="Sitka Text"/>
          <w:sz w:val="16"/>
          <w:szCs w:val="16"/>
        </w:rPr>
        <w:footnoteRef/>
      </w:r>
      <w:r w:rsidRPr="00C804E3">
        <w:rPr>
          <w:rFonts w:ascii="Sitka Text" w:hAnsi="Sitka Text"/>
          <w:sz w:val="16"/>
          <w:szCs w:val="16"/>
        </w:rPr>
        <w:t xml:space="preserve"> </w:t>
      </w:r>
      <w:r w:rsidRPr="006E55E9">
        <w:rPr>
          <w:rFonts w:asciiTheme="majorHAnsi" w:hAnsiTheme="majorHAnsi" w:cstheme="majorHAnsi"/>
          <w:color w:val="auto"/>
          <w:sz w:val="16"/>
          <w:szCs w:val="16"/>
        </w:rPr>
        <w:t>Ministarstva i lokalna samouprava</w:t>
      </w:r>
    </w:p>
  </w:footnote>
  <w:footnote w:id="137">
    <w:p w:rsidR="00F735BC" w:rsidRDefault="00F735BC">
      <w:pPr>
        <w:pStyle w:val="FootnoteText"/>
      </w:pPr>
      <w:r w:rsidRPr="006E55E9">
        <w:rPr>
          <w:rFonts w:asciiTheme="majorHAnsi" w:hAnsiTheme="majorHAnsi" w:cstheme="majorHAnsi"/>
          <w:color w:val="auto"/>
          <w:sz w:val="12"/>
          <w:szCs w:val="12"/>
        </w:rPr>
        <w:footnoteRef/>
      </w:r>
      <w:r w:rsidRPr="006E55E9">
        <w:rPr>
          <w:rFonts w:asciiTheme="majorHAnsi" w:hAnsiTheme="majorHAnsi" w:cstheme="majorHAnsi"/>
          <w:color w:val="auto"/>
          <w:sz w:val="12"/>
          <w:szCs w:val="12"/>
        </w:rPr>
        <w:t xml:space="preserve"> </w:t>
      </w:r>
      <w:r w:rsidRPr="006E55E9">
        <w:rPr>
          <w:rFonts w:asciiTheme="majorHAnsi" w:hAnsiTheme="majorHAnsi" w:cstheme="majorHAnsi"/>
          <w:color w:val="auto"/>
          <w:sz w:val="16"/>
          <w:szCs w:val="16"/>
        </w:rPr>
        <w:t>Komunalne djelatnosti, unutrašnja revizija, prostorsno planiranje</w:t>
      </w:r>
    </w:p>
  </w:footnote>
  <w:footnote w:id="138">
    <w:p w:rsidR="00F735BC" w:rsidRPr="00767AC9" w:rsidRDefault="00F735BC" w:rsidP="00D042C2">
      <w:pPr>
        <w:pStyle w:val="FootnoteText"/>
        <w:spacing w:before="0"/>
        <w:rPr>
          <w:rFonts w:asciiTheme="majorHAnsi" w:hAnsiTheme="majorHAnsi" w:cstheme="majorHAnsi"/>
        </w:rPr>
      </w:pPr>
      <w:r w:rsidRPr="00056A8E">
        <w:rPr>
          <w:rStyle w:val="FootnoteReference"/>
          <w:rFonts w:asciiTheme="majorHAnsi" w:hAnsiTheme="majorHAnsi" w:cstheme="majorHAnsi"/>
          <w:color w:val="auto"/>
          <w:sz w:val="16"/>
          <w:szCs w:val="16"/>
        </w:rPr>
        <w:footnoteRef/>
      </w:r>
      <w:r w:rsidRPr="00056A8E">
        <w:rPr>
          <w:rFonts w:asciiTheme="majorHAnsi" w:hAnsiTheme="majorHAnsi" w:cstheme="majorHAnsi"/>
          <w:color w:val="auto"/>
          <w:sz w:val="16"/>
          <w:szCs w:val="16"/>
        </w:rPr>
        <w:t xml:space="preserve"> https://www.capgemini.com/resources/egovernment-benchmark-2020/</w:t>
      </w:r>
    </w:p>
  </w:footnote>
  <w:footnote w:id="139">
    <w:p w:rsidR="00F735BC" w:rsidRPr="00D042C2" w:rsidRDefault="00F735BC" w:rsidP="00D042C2">
      <w:pPr>
        <w:pStyle w:val="FootnoteText"/>
        <w:spacing w:before="0"/>
        <w:rPr>
          <w:rFonts w:asciiTheme="majorHAnsi" w:hAnsiTheme="majorHAnsi" w:cstheme="majorHAnsi"/>
          <w:color w:val="auto"/>
          <w:sz w:val="16"/>
          <w:szCs w:val="16"/>
          <w:lang w:val="en-US"/>
        </w:rPr>
      </w:pPr>
      <w:r w:rsidRPr="00D042C2">
        <w:rPr>
          <w:rStyle w:val="FootnoteReference"/>
          <w:rFonts w:asciiTheme="majorHAnsi" w:hAnsiTheme="majorHAnsi" w:cstheme="majorHAnsi"/>
          <w:color w:val="auto"/>
          <w:sz w:val="16"/>
          <w:szCs w:val="16"/>
        </w:rPr>
        <w:footnoteRef/>
      </w:r>
      <w:r w:rsidRPr="00D042C2">
        <w:rPr>
          <w:rFonts w:asciiTheme="majorHAnsi" w:hAnsiTheme="majorHAnsi" w:cstheme="majorHAnsi"/>
          <w:color w:val="auto"/>
          <w:sz w:val="16"/>
          <w:szCs w:val="16"/>
        </w:rPr>
        <w:t xml:space="preserve"> Predlog:</w:t>
      </w:r>
      <w:r>
        <w:rPr>
          <w:rFonts w:asciiTheme="majorHAnsi" w:hAnsiTheme="majorHAnsi" w:cstheme="majorHAnsi"/>
          <w:color w:val="auto"/>
          <w:sz w:val="16"/>
          <w:szCs w:val="16"/>
        </w:rPr>
        <w:t xml:space="preserve"> </w:t>
      </w:r>
      <w:r w:rsidRPr="00D042C2">
        <w:rPr>
          <w:rFonts w:asciiTheme="majorHAnsi" w:hAnsiTheme="majorHAnsi" w:cstheme="majorHAnsi"/>
          <w:color w:val="auto"/>
          <w:sz w:val="16"/>
          <w:szCs w:val="16"/>
        </w:rPr>
        <w:t>e-zap</w:t>
      </w:r>
      <w:r>
        <w:rPr>
          <w:rFonts w:asciiTheme="majorHAnsi" w:hAnsiTheme="majorHAnsi" w:cstheme="majorHAnsi"/>
          <w:color w:val="auto"/>
          <w:sz w:val="16"/>
          <w:szCs w:val="16"/>
        </w:rPr>
        <w:t>ošljavanje, e-NVO registracija</w:t>
      </w:r>
      <w:r w:rsidRPr="00D042C2">
        <w:rPr>
          <w:rFonts w:asciiTheme="majorHAnsi" w:hAnsiTheme="majorHAnsi" w:cstheme="majorHAnsi"/>
          <w:color w:val="auto"/>
          <w:sz w:val="16"/>
          <w:szCs w:val="16"/>
        </w:rPr>
        <w:t>, e-student</w:t>
      </w:r>
      <w:r>
        <w:rPr>
          <w:rFonts w:asciiTheme="majorHAnsi" w:hAnsiTheme="majorHAnsi" w:cstheme="majorHAnsi"/>
          <w:color w:val="auto"/>
          <w:sz w:val="16"/>
          <w:szCs w:val="16"/>
        </w:rPr>
        <w:t>, e-stručni ispit</w:t>
      </w:r>
    </w:p>
  </w:footnote>
  <w:footnote w:id="140">
    <w:p w:rsidR="00F735BC" w:rsidRPr="00F940E4" w:rsidRDefault="00F735BC" w:rsidP="00013531">
      <w:pPr>
        <w:pStyle w:val="FootnoteText"/>
        <w:rPr>
          <w:sz w:val="16"/>
          <w:szCs w:val="16"/>
        </w:rPr>
      </w:pPr>
      <w:r w:rsidRPr="00F940E4">
        <w:rPr>
          <w:rStyle w:val="FootnoteReference"/>
          <w:sz w:val="16"/>
          <w:szCs w:val="16"/>
        </w:rPr>
        <w:footnoteRef/>
      </w:r>
      <w:r w:rsidRPr="00F940E4">
        <w:rPr>
          <w:sz w:val="16"/>
          <w:szCs w:val="16"/>
        </w:rPr>
        <w:t xml:space="preserve"> Elektronska razmjena podrazumijeva  par uvezanih registara koji razmjenjuju podatke putem određenog web servisa</w:t>
      </w:r>
    </w:p>
  </w:footnote>
  <w:footnote w:id="141">
    <w:p w:rsidR="00F735BC" w:rsidRPr="001014EF" w:rsidRDefault="00F735BC" w:rsidP="001014EF">
      <w:pPr>
        <w:pStyle w:val="FootnoteText"/>
        <w:spacing w:before="0"/>
        <w:rPr>
          <w:rFonts w:asciiTheme="majorHAnsi" w:hAnsiTheme="majorHAnsi" w:cstheme="majorHAnsi"/>
          <w:color w:val="auto"/>
          <w:sz w:val="16"/>
          <w:szCs w:val="16"/>
        </w:rPr>
      </w:pPr>
      <w:r w:rsidRPr="001014EF">
        <w:rPr>
          <w:rStyle w:val="FootnoteReference"/>
          <w:rFonts w:asciiTheme="majorHAnsi" w:hAnsiTheme="majorHAnsi" w:cstheme="majorHAnsi"/>
          <w:color w:val="auto"/>
          <w:sz w:val="16"/>
          <w:szCs w:val="16"/>
        </w:rPr>
        <w:footnoteRef/>
      </w:r>
      <w:r w:rsidRPr="001014EF">
        <w:rPr>
          <w:rFonts w:asciiTheme="majorHAnsi" w:hAnsiTheme="majorHAnsi" w:cstheme="majorHAnsi"/>
          <w:color w:val="auto"/>
          <w:sz w:val="16"/>
          <w:szCs w:val="16"/>
        </w:rPr>
        <w:t xml:space="preserve"> </w:t>
      </w:r>
      <w:r w:rsidRPr="001014EF">
        <w:rPr>
          <w:rFonts w:asciiTheme="majorHAnsi" w:hAnsiTheme="majorHAnsi" w:cstheme="majorHAnsi"/>
          <w:color w:val="auto"/>
          <w:sz w:val="16"/>
          <w:szCs w:val="16"/>
          <w:lang w:val="en-US"/>
        </w:rPr>
        <w:t>U skladu sa</w:t>
      </w:r>
      <w:r w:rsidRPr="001014EF">
        <w:rPr>
          <w:rFonts w:asciiTheme="majorHAnsi" w:hAnsiTheme="majorHAnsi" w:cstheme="majorHAnsi"/>
          <w:color w:val="auto"/>
          <w:sz w:val="16"/>
          <w:szCs w:val="16"/>
        </w:rPr>
        <w:t xml:space="preserve"> Zakonom o državnim službenicima i namještenicima , Zakonom o lokalnoj samoupravi i Zakon o elektronskoj upravi</w:t>
      </w:r>
    </w:p>
  </w:footnote>
  <w:footnote w:id="142">
    <w:p w:rsidR="00F735BC" w:rsidRPr="001014EF" w:rsidRDefault="00F735BC" w:rsidP="001014EF">
      <w:pPr>
        <w:pStyle w:val="FootnoteText"/>
        <w:spacing w:before="0"/>
        <w:rPr>
          <w:rFonts w:asciiTheme="majorHAnsi" w:hAnsiTheme="majorHAnsi" w:cstheme="majorHAnsi"/>
          <w:color w:val="auto"/>
          <w:sz w:val="16"/>
          <w:szCs w:val="16"/>
        </w:rPr>
      </w:pPr>
      <w:r w:rsidRPr="001014EF">
        <w:rPr>
          <w:rStyle w:val="FootnoteReference"/>
          <w:rFonts w:asciiTheme="majorHAnsi" w:hAnsiTheme="majorHAnsi" w:cstheme="majorHAnsi"/>
          <w:color w:val="auto"/>
          <w:sz w:val="16"/>
          <w:szCs w:val="16"/>
        </w:rPr>
        <w:footnoteRef/>
      </w:r>
      <w:r w:rsidRPr="001014EF">
        <w:rPr>
          <w:rFonts w:asciiTheme="majorHAnsi" w:hAnsiTheme="majorHAnsi" w:cstheme="majorHAnsi"/>
          <w:color w:val="auto"/>
          <w:sz w:val="16"/>
          <w:szCs w:val="16"/>
        </w:rPr>
        <w:t xml:space="preserve"> Kadrovsko planiranje i prijave za obuke, godišnji odmori</w:t>
      </w:r>
    </w:p>
  </w:footnote>
  <w:footnote w:id="143">
    <w:p w:rsidR="00F735BC" w:rsidRPr="00767AC9" w:rsidRDefault="00F735BC" w:rsidP="001014EF">
      <w:pPr>
        <w:pStyle w:val="FootnoteText"/>
        <w:spacing w:before="0"/>
        <w:rPr>
          <w:rFonts w:asciiTheme="majorHAnsi" w:hAnsiTheme="majorHAnsi" w:cstheme="majorHAnsi"/>
        </w:rPr>
      </w:pPr>
      <w:r w:rsidRPr="001014EF">
        <w:rPr>
          <w:rStyle w:val="FootnoteReference"/>
          <w:rFonts w:asciiTheme="majorHAnsi" w:hAnsiTheme="majorHAnsi" w:cstheme="majorHAnsi"/>
          <w:color w:val="auto"/>
          <w:sz w:val="16"/>
          <w:szCs w:val="16"/>
        </w:rPr>
        <w:footnoteRef/>
      </w:r>
      <w:r w:rsidRPr="001014EF">
        <w:rPr>
          <w:rFonts w:asciiTheme="majorHAnsi" w:hAnsiTheme="majorHAnsi" w:cstheme="majorHAnsi"/>
          <w:color w:val="auto"/>
          <w:sz w:val="16"/>
          <w:szCs w:val="16"/>
        </w:rPr>
        <w:t xml:space="preserve"> Ocjenjivanje i obračun zarada</w:t>
      </w:r>
    </w:p>
  </w:footnote>
  <w:footnote w:id="144">
    <w:p w:rsidR="00F735BC" w:rsidRPr="00767AC9" w:rsidRDefault="00F735BC" w:rsidP="001F57BE">
      <w:pPr>
        <w:pStyle w:val="FootnoteText"/>
        <w:spacing w:before="0"/>
        <w:rPr>
          <w:rFonts w:asciiTheme="majorHAnsi" w:hAnsiTheme="majorHAnsi" w:cstheme="majorHAnsi"/>
          <w:color w:val="auto"/>
          <w:sz w:val="16"/>
          <w:szCs w:val="16"/>
          <w:lang w:val="it-IT"/>
        </w:rPr>
      </w:pPr>
      <w:r w:rsidRPr="00767AC9">
        <w:rPr>
          <w:rStyle w:val="FootnoteReference"/>
          <w:rFonts w:asciiTheme="majorHAnsi" w:hAnsiTheme="majorHAnsi" w:cstheme="majorHAnsi"/>
          <w:color w:val="auto"/>
          <w:sz w:val="16"/>
          <w:szCs w:val="16"/>
        </w:rPr>
        <w:footnoteRef/>
      </w:r>
      <w:r w:rsidRPr="00767AC9">
        <w:rPr>
          <w:rFonts w:asciiTheme="majorHAnsi" w:hAnsiTheme="majorHAnsi" w:cstheme="majorHAnsi"/>
          <w:color w:val="auto"/>
          <w:sz w:val="16"/>
          <w:szCs w:val="16"/>
        </w:rPr>
        <w:t xml:space="preserve"> Koji su dobili pozitivno mišljenje GSV-a</w:t>
      </w:r>
    </w:p>
  </w:footnote>
  <w:footnote w:id="145">
    <w:p w:rsidR="00042F67" w:rsidRPr="009E679B" w:rsidRDefault="00042F67" w:rsidP="00042F67">
      <w:pPr>
        <w:pStyle w:val="FootnoteText"/>
        <w:rPr>
          <w:rFonts w:ascii="Sitka Text" w:hAnsi="Sitka Text" w:cs="Arial"/>
          <w:sz w:val="16"/>
          <w:szCs w:val="16"/>
        </w:rPr>
      </w:pPr>
      <w:r w:rsidRPr="009E679B">
        <w:rPr>
          <w:rStyle w:val="FootnoteReference"/>
          <w:rFonts w:ascii="Sitka Text" w:hAnsi="Sitka Text" w:cs="Arial"/>
          <w:sz w:val="16"/>
          <w:szCs w:val="16"/>
        </w:rPr>
        <w:footnoteRef/>
      </w:r>
      <w:r w:rsidRPr="009E679B">
        <w:rPr>
          <w:rFonts w:ascii="Sitka Text" w:hAnsi="Sitka Text" w:cs="Arial"/>
          <w:sz w:val="16"/>
          <w:szCs w:val="16"/>
        </w:rPr>
        <w:t xml:space="preserve"> Od ukupnog broja preporuka date na nivou institucije (357), 71 preporuka je realizova  (oblast uprave)</w:t>
      </w:r>
    </w:p>
  </w:footnote>
  <w:footnote w:id="146">
    <w:p w:rsidR="00042F67" w:rsidRPr="00767AC9" w:rsidRDefault="00042F67" w:rsidP="00042F67">
      <w:pPr>
        <w:pStyle w:val="FootnoteText"/>
        <w:rPr>
          <w:rFonts w:asciiTheme="majorHAnsi" w:hAnsiTheme="majorHAnsi" w:cstheme="majorHAnsi"/>
          <w:color w:val="auto"/>
          <w:sz w:val="16"/>
          <w:szCs w:val="16"/>
        </w:rPr>
      </w:pPr>
      <w:r w:rsidRPr="009E679B">
        <w:rPr>
          <w:rStyle w:val="FootnoteReference"/>
          <w:rFonts w:ascii="Sitka Text" w:hAnsi="Sitka Text" w:cstheme="majorHAnsi"/>
          <w:color w:val="auto"/>
          <w:sz w:val="16"/>
          <w:szCs w:val="16"/>
        </w:rPr>
        <w:footnoteRef/>
      </w:r>
      <w:r w:rsidRPr="009E679B">
        <w:rPr>
          <w:rFonts w:ascii="Sitka Text" w:hAnsi="Sitka Text" w:cstheme="majorHAnsi"/>
          <w:color w:val="auto"/>
          <w:sz w:val="16"/>
          <w:szCs w:val="16"/>
        </w:rPr>
        <w:t xml:space="preserve"> Uredba o prenošenju poslova i zadataka finansijskog upravljanja i unutrašnjih kontrola u javnom sektoru, link: </w:t>
      </w:r>
      <w:hyperlink r:id="rId47" w:history="1">
        <w:r w:rsidRPr="009E679B">
          <w:rPr>
            <w:rStyle w:val="Hyperlink"/>
            <w:rFonts w:ascii="Sitka Text" w:hAnsi="Sitka Text" w:cstheme="majorHAnsi"/>
            <w:color w:val="auto"/>
            <w:sz w:val="16"/>
            <w:szCs w:val="16"/>
          </w:rPr>
          <w:t>https://mif.gov.me/organizacija/sektor-za-pifc/243366/Uredba-o-prenosenju-poslova-i-zadataka-finansijskog-upravljanja-i-unutrasnjih-kontrola-u-javnom-sektoru.html</w:t>
        </w:r>
      </w:hyperlink>
    </w:p>
  </w:footnote>
  <w:footnote w:id="147">
    <w:p w:rsidR="00042F67" w:rsidRPr="00146A62" w:rsidRDefault="00042F67" w:rsidP="00042F67">
      <w:pPr>
        <w:pStyle w:val="FootnoteText"/>
        <w:rPr>
          <w:sz w:val="16"/>
          <w:szCs w:val="16"/>
        </w:rPr>
      </w:pPr>
      <w:r w:rsidRPr="00146A62">
        <w:rPr>
          <w:rStyle w:val="FootnoteReference"/>
          <w:sz w:val="16"/>
          <w:szCs w:val="16"/>
        </w:rPr>
        <w:footnoteRef/>
      </w:r>
      <w:r>
        <w:rPr>
          <w:sz w:val="16"/>
          <w:szCs w:val="16"/>
        </w:rPr>
        <w:t>U javnoj upravi</w:t>
      </w:r>
    </w:p>
  </w:footnote>
  <w:footnote w:id="148">
    <w:p w:rsidR="00042F67" w:rsidRPr="00C804E3" w:rsidRDefault="00042F67" w:rsidP="00042F67">
      <w:pPr>
        <w:pStyle w:val="FootnoteText"/>
        <w:rPr>
          <w:rFonts w:ascii="Sitka Text" w:hAnsi="Sitka Text"/>
          <w:sz w:val="16"/>
          <w:szCs w:val="16"/>
        </w:rPr>
      </w:pPr>
      <w:r w:rsidRPr="00C804E3">
        <w:rPr>
          <w:rStyle w:val="FootnoteReference"/>
          <w:rFonts w:ascii="Sitka Text" w:hAnsi="Sitka Text"/>
          <w:sz w:val="16"/>
          <w:szCs w:val="16"/>
        </w:rPr>
        <w:footnoteRef/>
      </w:r>
      <w:r w:rsidRPr="00C804E3">
        <w:rPr>
          <w:rFonts w:ascii="Sitka Text" w:hAnsi="Sitka Text"/>
          <w:sz w:val="16"/>
          <w:szCs w:val="16"/>
        </w:rPr>
        <w:t xml:space="preserve"> Ministarstva i lokalna samouprava</w:t>
      </w:r>
    </w:p>
  </w:footnote>
  <w:footnote w:id="149">
    <w:p w:rsidR="00042F67" w:rsidRPr="00C804E3" w:rsidRDefault="00042F67" w:rsidP="00042F67">
      <w:pPr>
        <w:pStyle w:val="FootnoteText"/>
        <w:rPr>
          <w:rFonts w:ascii="Sitka Text" w:hAnsi="Sitka Text"/>
          <w:sz w:val="16"/>
          <w:szCs w:val="16"/>
        </w:rPr>
      </w:pPr>
      <w:r w:rsidRPr="00C804E3">
        <w:rPr>
          <w:rStyle w:val="FootnoteReference"/>
          <w:rFonts w:ascii="Sitka Text" w:hAnsi="Sitka Text"/>
          <w:sz w:val="16"/>
          <w:szCs w:val="16"/>
        </w:rPr>
        <w:footnoteRef/>
      </w:r>
      <w:r w:rsidRPr="00C804E3">
        <w:rPr>
          <w:rFonts w:ascii="Sitka Text" w:hAnsi="Sitka Text"/>
          <w:sz w:val="16"/>
          <w:szCs w:val="16"/>
        </w:rPr>
        <w:t>Organi državne uprave i lokalne samouprave</w:t>
      </w:r>
    </w:p>
  </w:footnote>
  <w:footnote w:id="150">
    <w:p w:rsidR="00042F67" w:rsidRPr="009E679B" w:rsidRDefault="00042F67" w:rsidP="00042F67">
      <w:pPr>
        <w:pStyle w:val="FootnoteText"/>
        <w:rPr>
          <w:rFonts w:ascii="Sitka Text" w:hAnsi="Sitka Text"/>
          <w:sz w:val="16"/>
          <w:szCs w:val="16"/>
        </w:rPr>
      </w:pPr>
      <w:r w:rsidRPr="009E679B">
        <w:rPr>
          <w:rStyle w:val="FootnoteReference"/>
          <w:rFonts w:ascii="Sitka Text" w:hAnsi="Sitka Text"/>
          <w:sz w:val="16"/>
          <w:szCs w:val="16"/>
        </w:rPr>
        <w:footnoteRef/>
      </w:r>
      <w:r w:rsidRPr="009E679B">
        <w:rPr>
          <w:rFonts w:ascii="Sitka Text" w:hAnsi="Sitka Text"/>
          <w:sz w:val="16"/>
          <w:szCs w:val="16"/>
        </w:rPr>
        <w:t xml:space="preserve"> Komunalne djelatnosti, unutrašnja revizija, prostorsno planiranje</w:t>
      </w:r>
    </w:p>
  </w:footnote>
  <w:footnote w:id="151">
    <w:p w:rsidR="00042F67" w:rsidRDefault="00042F67" w:rsidP="00042F67">
      <w:pPr>
        <w:pStyle w:val="FootnoteText"/>
      </w:pPr>
      <w:r>
        <w:rPr>
          <w:rStyle w:val="FootnoteReference"/>
        </w:rPr>
        <w:footnoteRef/>
      </w:r>
      <w:hyperlink r:id="rId48" w:history="1">
        <w:r w:rsidRPr="00DF4F27">
          <w:rPr>
            <w:rStyle w:val="Hyperlink"/>
            <w:rFonts w:ascii="Cambria" w:hAnsi="Cambria"/>
            <w:color w:val="auto"/>
            <w:sz w:val="16"/>
            <w:szCs w:val="16"/>
          </w:rPr>
          <w:t>file:///D:/Korisnicki%20podaci/Downloads/Balkan_Barometer_Public_opinon_2021v4.pdf</w:t>
        </w:r>
      </w:hyperlink>
      <w:r w:rsidRPr="00DF4F27">
        <w:rPr>
          <w:rFonts w:ascii="Cambria" w:hAnsi="Cambria"/>
          <w:color w:val="auto"/>
          <w:sz w:val="16"/>
          <w:szCs w:val="16"/>
        </w:rPr>
        <w:t>, strana 88</w:t>
      </w:r>
    </w:p>
  </w:footnote>
  <w:footnote w:id="152">
    <w:p w:rsidR="00042F67" w:rsidRPr="00C357F0" w:rsidRDefault="00042F67" w:rsidP="00042F67">
      <w:pPr>
        <w:pStyle w:val="FootnoteText"/>
        <w:rPr>
          <w:rFonts w:ascii="Sitka Text" w:hAnsi="Sitka Text" w:cstheme="majorHAnsi"/>
          <w:sz w:val="16"/>
          <w:szCs w:val="16"/>
        </w:rPr>
      </w:pPr>
      <w:r w:rsidRPr="00C357F0">
        <w:rPr>
          <w:rStyle w:val="FootnoteReference"/>
          <w:rFonts w:ascii="Sitka Text" w:hAnsi="Sitka Text" w:cstheme="majorHAnsi"/>
          <w:color w:val="auto"/>
          <w:sz w:val="16"/>
          <w:szCs w:val="16"/>
        </w:rPr>
        <w:footnoteRef/>
      </w:r>
      <w:hyperlink r:id="rId49" w:history="1">
        <w:r w:rsidRPr="001515AE">
          <w:rPr>
            <w:rStyle w:val="Hyperlink"/>
            <w:rFonts w:ascii="Sitka Text" w:hAnsi="Sitka Text" w:cstheme="majorHAnsi"/>
            <w:sz w:val="16"/>
            <w:szCs w:val="16"/>
          </w:rPr>
          <w:t>https://www.capgemini.com/resources/egovernment-benchmark-2020/</w:t>
        </w:r>
      </w:hyperlink>
    </w:p>
  </w:footnote>
  <w:footnote w:id="153">
    <w:p w:rsidR="00042F67" w:rsidRPr="00E10F24" w:rsidRDefault="00042F67" w:rsidP="00042F67">
      <w:pPr>
        <w:pStyle w:val="FootnoteText"/>
        <w:rPr>
          <w:rFonts w:ascii="Cambria" w:hAnsi="Cambria" w:cstheme="majorHAnsi"/>
          <w:color w:val="auto"/>
          <w:sz w:val="16"/>
          <w:szCs w:val="16"/>
        </w:rPr>
      </w:pPr>
      <w:r w:rsidRPr="00E10F24">
        <w:rPr>
          <w:rStyle w:val="FootnoteReference"/>
          <w:rFonts w:ascii="Cambria" w:hAnsi="Cambria" w:cstheme="majorHAnsi"/>
          <w:color w:val="auto"/>
          <w:sz w:val="16"/>
          <w:szCs w:val="16"/>
        </w:rPr>
        <w:footnoteRef/>
      </w:r>
      <w:r w:rsidRPr="00E10F24">
        <w:rPr>
          <w:rFonts w:ascii="Cambria" w:hAnsi="Cambria" w:cstheme="majorHAnsi"/>
          <w:color w:val="auto"/>
          <w:sz w:val="16"/>
          <w:szCs w:val="16"/>
        </w:rPr>
        <w:t xml:space="preserve"> Predlog: e-zapošljavanje, e-NVO registracija, e-student, e-stručni ispit</w:t>
      </w:r>
    </w:p>
  </w:footnote>
  <w:footnote w:id="154">
    <w:p w:rsidR="00042F67" w:rsidRDefault="00042F67" w:rsidP="00042F67">
      <w:pPr>
        <w:pStyle w:val="FootnoteText"/>
      </w:pPr>
      <w:r w:rsidRPr="00E10F24">
        <w:rPr>
          <w:rStyle w:val="FootnoteReference"/>
          <w:rFonts w:ascii="Cambria" w:hAnsi="Cambria"/>
          <w:sz w:val="16"/>
          <w:szCs w:val="16"/>
        </w:rPr>
        <w:footnoteRef/>
      </w:r>
      <w:r w:rsidRPr="00E10F24">
        <w:rPr>
          <w:rFonts w:ascii="Cambria" w:hAnsi="Cambria"/>
          <w:sz w:val="16"/>
          <w:szCs w:val="16"/>
        </w:rPr>
        <w:t xml:space="preserve"> Unaprijedjena, izmedju ostalog, i u dijelu prelaska sa jednosmjerne na dvosmjernu komunikaciju uz uključenost građana u kreiranje servisa, unapr</w:t>
      </w:r>
      <w:r>
        <w:rPr>
          <w:rFonts w:ascii="Cambria" w:hAnsi="Cambria"/>
          <w:sz w:val="16"/>
          <w:szCs w:val="16"/>
        </w:rPr>
        <w:t>j</w:t>
      </w:r>
      <w:r w:rsidRPr="00E10F24">
        <w:rPr>
          <w:rFonts w:ascii="Cambria" w:hAnsi="Cambria"/>
          <w:sz w:val="16"/>
          <w:szCs w:val="16"/>
        </w:rPr>
        <w:t>eđenje korisničkog interface trenutno dostupnih portala, na osnovu korisničkog iskustva, informisanje o stanju u vezi sa zahtjevom elektronske usluge</w:t>
      </w:r>
      <w:r>
        <w:rPr>
          <w:rFonts w:ascii="Cambria" w:hAnsi="Cambria"/>
          <w:sz w:val="16"/>
          <w:szCs w:val="16"/>
        </w:rPr>
        <w:t>, mobilne verzija sajta</w:t>
      </w:r>
    </w:p>
  </w:footnote>
  <w:footnote w:id="155">
    <w:p w:rsidR="00042F67" w:rsidRPr="00317DD8" w:rsidRDefault="00042F67" w:rsidP="00042F67">
      <w:pPr>
        <w:pStyle w:val="FootnoteText"/>
        <w:rPr>
          <w:rFonts w:ascii="Sitka Text" w:hAnsi="Sitka Text"/>
        </w:rPr>
      </w:pPr>
      <w:r w:rsidRPr="00317DD8">
        <w:rPr>
          <w:rStyle w:val="FootnoteReference"/>
          <w:rFonts w:ascii="Sitka Text" w:hAnsi="Sitka Text"/>
          <w:sz w:val="16"/>
          <w:szCs w:val="16"/>
        </w:rPr>
        <w:footnoteRef/>
      </w:r>
      <w:r w:rsidRPr="00317DD8">
        <w:rPr>
          <w:rFonts w:ascii="Sitka Text" w:hAnsi="Sitka Text"/>
          <w:sz w:val="16"/>
          <w:szCs w:val="16"/>
        </w:rPr>
        <w:t>Registri koji su evidentirani u metaregistru</w:t>
      </w:r>
    </w:p>
  </w:footnote>
  <w:footnote w:id="156">
    <w:p w:rsidR="00042F67" w:rsidRPr="002A71AC" w:rsidRDefault="00042F67" w:rsidP="00042F67">
      <w:pPr>
        <w:pStyle w:val="FootnoteText"/>
        <w:rPr>
          <w:rFonts w:ascii="Sitka Text" w:hAnsi="Sitka Text"/>
          <w:sz w:val="16"/>
          <w:szCs w:val="16"/>
        </w:rPr>
      </w:pPr>
      <w:r w:rsidRPr="002A71AC">
        <w:rPr>
          <w:rStyle w:val="FootnoteReference"/>
          <w:rFonts w:ascii="Sitka Text" w:hAnsi="Sitka Text"/>
          <w:sz w:val="16"/>
          <w:szCs w:val="16"/>
        </w:rPr>
        <w:footnoteRef/>
      </w:r>
      <w:r w:rsidRPr="002A71AC">
        <w:rPr>
          <w:rFonts w:ascii="Sitka Text" w:hAnsi="Sitka Text"/>
          <w:sz w:val="16"/>
          <w:szCs w:val="16"/>
        </w:rPr>
        <w:t>U skladu sa Zakonom o državnim službenicima i namješ</w:t>
      </w:r>
      <w:r>
        <w:rPr>
          <w:rFonts w:ascii="Sitka Text" w:hAnsi="Sitka Text"/>
          <w:sz w:val="16"/>
          <w:szCs w:val="16"/>
        </w:rPr>
        <w:t>tenicima i Zakonom o lokalnoj s</w:t>
      </w:r>
      <w:r w:rsidRPr="002A71AC">
        <w:rPr>
          <w:rFonts w:ascii="Sitka Text" w:hAnsi="Sitka Text"/>
          <w:sz w:val="16"/>
          <w:szCs w:val="16"/>
        </w:rPr>
        <w:t>a</w:t>
      </w:r>
      <w:r>
        <w:rPr>
          <w:rFonts w:ascii="Sitka Text" w:hAnsi="Sitka Text"/>
          <w:sz w:val="16"/>
          <w:szCs w:val="16"/>
        </w:rPr>
        <w:t>m</w:t>
      </w:r>
      <w:r w:rsidRPr="002A71AC">
        <w:rPr>
          <w:rFonts w:ascii="Sitka Text" w:hAnsi="Sitka Text"/>
          <w:sz w:val="16"/>
          <w:szCs w:val="16"/>
        </w:rPr>
        <w:t>oupravi</w:t>
      </w:r>
    </w:p>
  </w:footnote>
  <w:footnote w:id="157">
    <w:p w:rsidR="00042F67" w:rsidRPr="002A71AC" w:rsidRDefault="00042F67" w:rsidP="00042F67">
      <w:pPr>
        <w:pStyle w:val="FootnoteText"/>
        <w:rPr>
          <w:rFonts w:ascii="Sitka Text" w:hAnsi="Sitka Text"/>
          <w:sz w:val="16"/>
          <w:szCs w:val="16"/>
        </w:rPr>
      </w:pPr>
      <w:r w:rsidRPr="002A71AC">
        <w:rPr>
          <w:rStyle w:val="FootnoteReference"/>
          <w:rFonts w:ascii="Sitka Text" w:hAnsi="Sitka Text"/>
          <w:sz w:val="16"/>
          <w:szCs w:val="16"/>
        </w:rPr>
        <w:footnoteRef/>
      </w:r>
      <w:r w:rsidRPr="002A71AC">
        <w:rPr>
          <w:rFonts w:ascii="Sitka Text" w:hAnsi="Sitka Text"/>
          <w:sz w:val="16"/>
          <w:szCs w:val="16"/>
        </w:rPr>
        <w:t>U skladu sa Zakonom o državnim službenicima i namještenicima , Zakonom o lokalnoj samoupravi i Zakon o elektronskoj upravi</w:t>
      </w:r>
    </w:p>
  </w:footnote>
  <w:footnote w:id="158">
    <w:p w:rsidR="00042F67" w:rsidRPr="00296235" w:rsidRDefault="00042F67" w:rsidP="00042F67">
      <w:pPr>
        <w:pStyle w:val="FootnoteText"/>
        <w:rPr>
          <w:rFonts w:ascii="Sitka Text" w:hAnsi="Sitka Text" w:cstheme="majorHAnsi"/>
          <w:color w:val="auto"/>
          <w:sz w:val="16"/>
          <w:szCs w:val="16"/>
        </w:rPr>
      </w:pPr>
      <w:r w:rsidRPr="00296235">
        <w:rPr>
          <w:rStyle w:val="FootnoteReference"/>
          <w:rFonts w:ascii="Sitka Text" w:hAnsi="Sitka Text" w:cstheme="majorHAnsi"/>
          <w:color w:val="auto"/>
          <w:sz w:val="16"/>
          <w:szCs w:val="16"/>
        </w:rPr>
        <w:footnoteRef/>
      </w:r>
      <w:r w:rsidRPr="00296235">
        <w:rPr>
          <w:rFonts w:ascii="Sitka Text" w:hAnsi="Sitka Text" w:cstheme="majorHAnsi"/>
          <w:color w:val="auto"/>
          <w:sz w:val="16"/>
          <w:szCs w:val="16"/>
        </w:rPr>
        <w:t xml:space="preserve"> Kadrovsko planiranje i prijave za obuke, godišnji odmori</w:t>
      </w:r>
    </w:p>
  </w:footnote>
  <w:footnote w:id="159">
    <w:p w:rsidR="00042F67" w:rsidRPr="00767AC9" w:rsidRDefault="00042F67" w:rsidP="00042F67">
      <w:pPr>
        <w:pStyle w:val="FootnoteText"/>
        <w:rPr>
          <w:rFonts w:asciiTheme="majorHAnsi" w:hAnsiTheme="majorHAnsi" w:cstheme="majorHAnsi"/>
        </w:rPr>
      </w:pPr>
      <w:r w:rsidRPr="00296235">
        <w:rPr>
          <w:rStyle w:val="FootnoteReference"/>
          <w:rFonts w:ascii="Sitka Text" w:hAnsi="Sitka Text" w:cstheme="majorHAnsi"/>
          <w:color w:val="auto"/>
          <w:sz w:val="16"/>
          <w:szCs w:val="16"/>
        </w:rPr>
        <w:footnoteRef/>
      </w:r>
      <w:r w:rsidRPr="00296235">
        <w:rPr>
          <w:rFonts w:ascii="Sitka Text" w:hAnsi="Sitka Text" w:cstheme="majorHAnsi"/>
          <w:color w:val="auto"/>
          <w:sz w:val="16"/>
          <w:szCs w:val="16"/>
        </w:rPr>
        <w:t xml:space="preserve"> Ocjenjivanje i obračun zarada</w:t>
      </w:r>
    </w:p>
  </w:footnote>
  <w:footnote w:id="160">
    <w:p w:rsidR="00042F67" w:rsidRPr="00350426" w:rsidRDefault="00042F67" w:rsidP="00042F67">
      <w:pPr>
        <w:pStyle w:val="FootnoteText"/>
        <w:rPr>
          <w:rFonts w:ascii="Cambria" w:hAnsi="Cambria"/>
          <w:sz w:val="16"/>
          <w:szCs w:val="16"/>
        </w:rPr>
      </w:pPr>
      <w:r w:rsidRPr="00350426">
        <w:rPr>
          <w:rStyle w:val="FootnoteReference"/>
          <w:rFonts w:ascii="Cambria" w:hAnsi="Cambria"/>
          <w:sz w:val="16"/>
          <w:szCs w:val="16"/>
        </w:rPr>
        <w:footnoteRef/>
      </w:r>
      <w:r w:rsidRPr="00350426">
        <w:rPr>
          <w:rFonts w:ascii="Cambria" w:hAnsi="Cambria"/>
          <w:sz w:val="16"/>
          <w:szCs w:val="16"/>
        </w:rPr>
        <w:t xml:space="preserve"> Prema podacija iz KIS, </w:t>
      </w:r>
      <w:r>
        <w:rPr>
          <w:rFonts w:ascii="Cambria" w:hAnsi="Cambria"/>
          <w:sz w:val="16"/>
          <w:szCs w:val="16"/>
        </w:rPr>
        <w:t>UzK</w:t>
      </w:r>
    </w:p>
  </w:footnote>
  <w:footnote w:id="161">
    <w:p w:rsidR="00042F67" w:rsidRPr="00350426" w:rsidRDefault="00042F67" w:rsidP="00042F67">
      <w:pPr>
        <w:pStyle w:val="FootnoteText"/>
      </w:pPr>
      <w:r w:rsidRPr="00350426">
        <w:rPr>
          <w:rStyle w:val="FootnoteReference"/>
          <w:rFonts w:ascii="Cambria" w:hAnsi="Cambria"/>
          <w:sz w:val="16"/>
          <w:szCs w:val="16"/>
        </w:rPr>
        <w:footnoteRef/>
      </w:r>
      <w:r w:rsidRPr="00350426">
        <w:rPr>
          <w:rFonts w:ascii="Cambria" w:hAnsi="Cambria"/>
          <w:sz w:val="16"/>
          <w:szCs w:val="16"/>
        </w:rPr>
        <w:t xml:space="preserve"> od ukupno 13,679 zaposlenih ocjenjeno je 8,670</w:t>
      </w:r>
    </w:p>
  </w:footnote>
  <w:footnote w:id="162">
    <w:p w:rsidR="00042F67" w:rsidRPr="0005044A" w:rsidRDefault="00042F67" w:rsidP="00042F67">
      <w:pPr>
        <w:pStyle w:val="FootnoteText"/>
        <w:rPr>
          <w:rFonts w:ascii="Sitka Text" w:hAnsi="Sitka Text" w:cs="Times New Roman"/>
          <w:sz w:val="16"/>
          <w:szCs w:val="16"/>
          <w:lang w:val="sr-Latn-ME"/>
        </w:rPr>
      </w:pPr>
      <w:r w:rsidRPr="0005044A">
        <w:rPr>
          <w:rStyle w:val="FootnoteReference"/>
          <w:rFonts w:ascii="Sitka Text" w:hAnsi="Sitka Text" w:cs="Times New Roman"/>
          <w:sz w:val="16"/>
          <w:szCs w:val="16"/>
        </w:rPr>
        <w:footnoteRef/>
      </w:r>
      <w:r w:rsidRPr="0005044A">
        <w:rPr>
          <w:rFonts w:ascii="Sitka Text" w:hAnsi="Sitka Text" w:cs="Times New Roman"/>
          <w:sz w:val="16"/>
          <w:szCs w:val="16"/>
        </w:rPr>
        <w:t xml:space="preserve"> </w:t>
      </w:r>
      <w:r w:rsidRPr="0005044A">
        <w:rPr>
          <w:rFonts w:ascii="Sitka Text" w:hAnsi="Sitka Text" w:cs="Times New Roman"/>
          <w:sz w:val="16"/>
          <w:szCs w:val="16"/>
          <w:lang w:val="sr-Latn-ME"/>
        </w:rPr>
        <w:t>po podacima Uprave za statistiku za 2020. godinu</w:t>
      </w:r>
    </w:p>
  </w:footnote>
  <w:footnote w:id="163">
    <w:p w:rsidR="00042F67" w:rsidRPr="009E679B" w:rsidRDefault="00042F67" w:rsidP="00042F67">
      <w:pPr>
        <w:pStyle w:val="FootnoteText"/>
        <w:rPr>
          <w:rFonts w:ascii="Sitka Text" w:hAnsi="Sitka Text"/>
          <w:sz w:val="16"/>
          <w:szCs w:val="16"/>
        </w:rPr>
      </w:pPr>
      <w:r w:rsidRPr="009E679B">
        <w:rPr>
          <w:rStyle w:val="FootnoteReference"/>
          <w:rFonts w:ascii="Sitka Text" w:hAnsi="Sitka Text"/>
          <w:sz w:val="16"/>
          <w:szCs w:val="16"/>
        </w:rPr>
        <w:footnoteRef/>
      </w:r>
      <w:r w:rsidRPr="009E679B">
        <w:rPr>
          <w:rFonts w:ascii="Sitka Text" w:hAnsi="Sitka Text"/>
          <w:sz w:val="16"/>
          <w:szCs w:val="16"/>
        </w:rPr>
        <w:t xml:space="preserve"> Poreska za katastar i drđavnu imovinu i Uprava prihoda</w:t>
      </w:r>
    </w:p>
  </w:footnote>
  <w:footnote w:id="164">
    <w:p w:rsidR="00042F67" w:rsidRPr="000873EC" w:rsidRDefault="00042F67" w:rsidP="00042F67">
      <w:pPr>
        <w:pStyle w:val="FootnoteText"/>
        <w:rPr>
          <w:rFonts w:ascii="Sitka Text" w:hAnsi="Sitka Text" w:cstheme="majorHAnsi"/>
          <w:color w:val="auto"/>
          <w:sz w:val="16"/>
          <w:szCs w:val="16"/>
        </w:rPr>
      </w:pPr>
      <w:r w:rsidRPr="000873EC">
        <w:rPr>
          <w:rStyle w:val="FootnoteReference"/>
          <w:rFonts w:ascii="Sitka Text" w:hAnsi="Sitka Text" w:cstheme="majorHAnsi"/>
          <w:color w:val="auto"/>
          <w:sz w:val="16"/>
          <w:szCs w:val="16"/>
        </w:rPr>
        <w:footnoteRef/>
      </w:r>
      <w:r w:rsidRPr="000873EC">
        <w:rPr>
          <w:rFonts w:ascii="Sitka Text" w:hAnsi="Sitka Text" w:cstheme="majorHAnsi"/>
          <w:color w:val="auto"/>
          <w:sz w:val="16"/>
          <w:szCs w:val="16"/>
        </w:rPr>
        <w:t>Obveznici primjene Zakona o SPI – ukupno 1327 (2020. godina)</w:t>
      </w:r>
    </w:p>
  </w:footnote>
  <w:footnote w:id="165">
    <w:p w:rsidR="00042F67" w:rsidRPr="00317DD8" w:rsidRDefault="00042F67" w:rsidP="00042F67">
      <w:pPr>
        <w:pStyle w:val="FootnoteText"/>
        <w:ind w:right="-720"/>
        <w:jc w:val="both"/>
        <w:rPr>
          <w:rFonts w:ascii="Sitka Text" w:hAnsi="Sitka Text"/>
          <w:sz w:val="16"/>
          <w:szCs w:val="16"/>
        </w:rPr>
      </w:pPr>
      <w:r w:rsidRPr="00317DD8">
        <w:rPr>
          <w:rStyle w:val="FootnoteReference"/>
          <w:rFonts w:ascii="Sitka Text" w:hAnsi="Sitka Text"/>
          <w:sz w:val="16"/>
          <w:szCs w:val="16"/>
        </w:rPr>
        <w:footnoteRef/>
      </w:r>
      <w:r>
        <w:rPr>
          <w:rFonts w:ascii="Sitka Text" w:hAnsi="Sitka Text"/>
          <w:sz w:val="16"/>
          <w:szCs w:val="16"/>
        </w:rPr>
        <w:t xml:space="preserve"> high value data“ </w:t>
      </w:r>
      <w:r w:rsidRPr="003255C1">
        <w:rPr>
          <w:rFonts w:ascii="Sitka Text" w:hAnsi="Sitka Text"/>
          <w:sz w:val="16"/>
          <w:szCs w:val="16"/>
        </w:rPr>
        <w:t>Nova Direktiva (EU) 2019/1024 o otvorenim p</w:t>
      </w:r>
      <w:r>
        <w:rPr>
          <w:rFonts w:ascii="Sitka Text" w:hAnsi="Sitka Text"/>
          <w:sz w:val="16"/>
          <w:szCs w:val="16"/>
        </w:rPr>
        <w:t>odacima i ponovnoj upotrebi PSI</w:t>
      </w:r>
      <w:r w:rsidRPr="003255C1">
        <w:rPr>
          <w:rFonts w:ascii="Sitka Text" w:hAnsi="Sitka Text"/>
          <w:sz w:val="16"/>
          <w:szCs w:val="16"/>
        </w:rPr>
        <w:t>-a uvodi koncept skupova podataka velike vrednosti, definisanih kao podaci koji su povezani sa važnim koristima za društvo i privredu kada se ponovo koriste. Skupovi podataka velike vrednosti podležu zasebnom skupu pravila koji obezbeđuju njihovu dostupnost besplatno, u mašinski čitljivim formatima, koji se obezbeđuju preko interfejsa za programiranje aplikacija (API-ji) i, gde je to relevantno, za masovno preuzimanje.</w:t>
      </w:r>
    </w:p>
  </w:footnote>
  <w:footnote w:id="166">
    <w:p w:rsidR="00042F67" w:rsidRPr="00FD5F98" w:rsidRDefault="00042F67" w:rsidP="00042F67">
      <w:pPr>
        <w:pStyle w:val="FootnoteText"/>
        <w:rPr>
          <w:rFonts w:ascii="Sitka Text" w:hAnsi="Sitka Text" w:cstheme="majorHAnsi"/>
          <w:color w:val="auto"/>
          <w:sz w:val="16"/>
          <w:szCs w:val="16"/>
          <w:lang w:val="it-IT"/>
        </w:rPr>
      </w:pPr>
      <w:r w:rsidRPr="00FD5F98">
        <w:rPr>
          <w:rStyle w:val="FootnoteReference"/>
          <w:rFonts w:ascii="Sitka Text" w:hAnsi="Sitka Text" w:cstheme="majorHAnsi"/>
          <w:color w:val="auto"/>
          <w:sz w:val="16"/>
          <w:szCs w:val="16"/>
        </w:rPr>
        <w:footnoteRef/>
      </w:r>
      <w:r w:rsidRPr="00FD5F98">
        <w:rPr>
          <w:rFonts w:ascii="Sitka Text" w:hAnsi="Sitka Text" w:cstheme="majorHAnsi"/>
          <w:color w:val="auto"/>
          <w:sz w:val="16"/>
          <w:szCs w:val="16"/>
        </w:rPr>
        <w:t xml:space="preserve"> Koji su dobili pozitivno mišljenje GSV-a</w:t>
      </w:r>
    </w:p>
  </w:footnote>
  <w:footnote w:id="167">
    <w:p w:rsidR="00042F67" w:rsidRPr="00937E9A" w:rsidRDefault="00042F67" w:rsidP="00042F67">
      <w:pPr>
        <w:pStyle w:val="FootnoteText"/>
        <w:rPr>
          <w:rFonts w:ascii="Sitka Text" w:hAnsi="Sitka Text"/>
          <w:sz w:val="16"/>
          <w:szCs w:val="16"/>
        </w:rPr>
      </w:pPr>
      <w:r w:rsidRPr="00937E9A">
        <w:rPr>
          <w:rStyle w:val="FootnoteReference"/>
          <w:rFonts w:ascii="Sitka Text" w:hAnsi="Sitka Text"/>
          <w:sz w:val="16"/>
          <w:szCs w:val="16"/>
        </w:rPr>
        <w:footnoteRef/>
      </w:r>
      <w:r>
        <w:rPr>
          <w:rFonts w:ascii="Sitka Text" w:hAnsi="Sitka Text"/>
          <w:sz w:val="16"/>
          <w:szCs w:val="16"/>
        </w:rPr>
        <w:t xml:space="preserve"> Sa </w:t>
      </w:r>
      <w:r w:rsidRPr="00937E9A">
        <w:rPr>
          <w:rFonts w:ascii="Sitka Text" w:hAnsi="Sitka Text"/>
          <w:sz w:val="16"/>
          <w:szCs w:val="16"/>
        </w:rPr>
        <w:t>koordinacionom funkcijom u oblasti planiranja politika</w:t>
      </w:r>
    </w:p>
  </w:footnote>
  <w:footnote w:id="168">
    <w:p w:rsidR="00042F67" w:rsidRPr="00FD2080" w:rsidRDefault="00042F67" w:rsidP="00042F67">
      <w:pPr>
        <w:pStyle w:val="FootnoteText"/>
        <w:rPr>
          <w:rFonts w:ascii="Sitka Text" w:hAnsi="Sitka Text"/>
          <w:sz w:val="16"/>
          <w:szCs w:val="16"/>
        </w:rPr>
      </w:pPr>
      <w:r w:rsidRPr="00FD2080">
        <w:rPr>
          <w:rStyle w:val="FootnoteReference"/>
          <w:rFonts w:ascii="Sitka Text" w:hAnsi="Sitka Text"/>
          <w:sz w:val="16"/>
          <w:szCs w:val="16"/>
        </w:rPr>
        <w:footnoteRef/>
      </w:r>
      <w:r w:rsidRPr="00FD2080">
        <w:rPr>
          <w:rFonts w:ascii="Sitka Text" w:hAnsi="Sitka Text"/>
          <w:sz w:val="16"/>
          <w:szCs w:val="16"/>
        </w:rPr>
        <w:t xml:space="preserve"> Sa koordinacionom funkcijom u oblasti planiranja politika</w:t>
      </w:r>
    </w:p>
  </w:footnote>
  <w:footnote w:id="169">
    <w:p w:rsidR="00042F67" w:rsidRPr="00BB074E" w:rsidRDefault="00042F67" w:rsidP="00042F67">
      <w:pPr>
        <w:pStyle w:val="FootnoteText"/>
        <w:rPr>
          <w:rFonts w:ascii="Cambria" w:hAnsi="Cambria"/>
          <w:sz w:val="16"/>
          <w:szCs w:val="16"/>
        </w:rPr>
      </w:pPr>
      <w:r w:rsidRPr="00BB074E">
        <w:rPr>
          <w:rStyle w:val="FootnoteReference"/>
          <w:rFonts w:ascii="Cambria" w:hAnsi="Cambria"/>
          <w:sz w:val="16"/>
          <w:szCs w:val="16"/>
        </w:rPr>
        <w:footnoteRef/>
      </w:r>
      <w:r w:rsidRPr="00BB074E">
        <w:rPr>
          <w:rFonts w:ascii="Cambria" w:hAnsi="Cambria"/>
          <w:sz w:val="16"/>
          <w:szCs w:val="16"/>
        </w:rPr>
        <w:t>U slučaju raspoređivanja postojećeg kadra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5BC" w:rsidRPr="00B6673E" w:rsidRDefault="00F735BC" w:rsidP="00B6673E">
    <w:pPr>
      <w:pStyle w:val="HeaderShaded"/>
      <w:ind w:left="0"/>
      <w:rPr>
        <w:sz w:val="24"/>
        <w:szCs w:val="24"/>
      </w:rPr>
    </w:pPr>
    <w:r w:rsidRPr="00B6673E">
      <w:rPr>
        <w:sz w:val="24"/>
        <w:szCs w:val="24"/>
      </w:rPr>
      <w:t>STra</w:t>
    </w:r>
    <w:r>
      <w:rPr>
        <w:sz w:val="24"/>
        <w:szCs w:val="24"/>
      </w:rPr>
      <w:t>tegija reforme javne uprave 2022</w:t>
    </w:r>
    <w:r w:rsidRPr="00B6673E">
      <w:rPr>
        <w:sz w:val="24"/>
        <w:szCs w:val="24"/>
      </w:rPr>
      <w:t xml:space="preserve"> </w:t>
    </w:r>
    <w:r>
      <w:rPr>
        <w:sz w:val="24"/>
        <w:szCs w:val="24"/>
      </w:rPr>
      <w:t>– 202</w:t>
    </w:r>
    <w:r w:rsidRPr="004132E3">
      <w:rPr>
        <w:sz w:val="24"/>
        <w:szCs w:val="24"/>
      </w:rPr>
      <w:t>6</w:t>
    </w:r>
    <w:r>
      <w:rPr>
        <w:sz w:val="24"/>
        <w:szCs w:val="24"/>
      </w:rPr>
      <w:t>.</w:t>
    </w:r>
    <w:r w:rsidRPr="004132E3">
      <w:rPr>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F67" w:rsidRDefault="00042F67"/>
  <w:p w:rsidR="00042F67" w:rsidRDefault="00042F67"/>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2F67" w:rsidRDefault="00042F67" w:rsidP="00AC0FCB">
    <w:r>
      <w:rPr>
        <w:noProof/>
        <w:lang w:eastAsia="sr-Latn-RS"/>
      </w:rPr>
      <mc:AlternateContent>
        <mc:Choice Requires="wps">
          <w:drawing>
            <wp:anchor distT="0" distB="0" distL="114300" distR="114300" simplePos="0" relativeHeight="251660288" behindDoc="1" locked="0" layoutInCell="1" allowOverlap="1" wp14:anchorId="12CDFA42" wp14:editId="030668B5">
              <wp:simplePos x="0" y="0"/>
              <wp:positionH relativeFrom="page">
                <wp:align>left</wp:align>
              </wp:positionH>
              <wp:positionV relativeFrom="page">
                <wp:posOffset>-1924050</wp:posOffset>
              </wp:positionV>
              <wp:extent cx="7973695" cy="2715895"/>
              <wp:effectExtent l="0" t="0" r="0" b="0"/>
              <wp:wrapNone/>
              <wp:docPr id="52" name="Freeform: Shape 8" descr="Green gradient i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3695" cy="2715895"/>
                      </a:xfrm>
                      <a:custGeom>
                        <a:avLst/>
                        <a:gdLst>
                          <a:gd name="connsiteX0" fmla="*/ 0 w 7738110"/>
                          <a:gd name="connsiteY0" fmla="*/ 0 h 2906395"/>
                          <a:gd name="connsiteX1" fmla="*/ 7738110 w 7738110"/>
                          <a:gd name="connsiteY1" fmla="*/ 0 h 2906395"/>
                          <a:gd name="connsiteX2" fmla="*/ 7738110 w 7738110"/>
                          <a:gd name="connsiteY2" fmla="*/ 2906395 h 2906395"/>
                          <a:gd name="connsiteX3" fmla="*/ 0 w 7738110"/>
                          <a:gd name="connsiteY3" fmla="*/ 2906395 h 2906395"/>
                          <a:gd name="connsiteX4" fmla="*/ 0 w 7738110"/>
                          <a:gd name="connsiteY4" fmla="*/ 0 h 2906395"/>
                          <a:gd name="connsiteX0" fmla="*/ 0 w 7738110"/>
                          <a:gd name="connsiteY0" fmla="*/ 0 h 2906395"/>
                          <a:gd name="connsiteX1" fmla="*/ 7738110 w 7738110"/>
                          <a:gd name="connsiteY1" fmla="*/ 0 h 2906395"/>
                          <a:gd name="connsiteX2" fmla="*/ 7738110 w 7738110"/>
                          <a:gd name="connsiteY2" fmla="*/ 1896461 h 2906395"/>
                          <a:gd name="connsiteX3" fmla="*/ 0 w 7738110"/>
                          <a:gd name="connsiteY3" fmla="*/ 2906395 h 2906395"/>
                          <a:gd name="connsiteX4" fmla="*/ 0 w 7738110"/>
                          <a:gd name="connsiteY4" fmla="*/ 0 h 29063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38110" h="2906395">
                            <a:moveTo>
                              <a:pt x="0" y="0"/>
                            </a:moveTo>
                            <a:lnTo>
                              <a:pt x="7738110" y="0"/>
                            </a:lnTo>
                            <a:lnTo>
                              <a:pt x="7738110" y="1896461"/>
                            </a:lnTo>
                            <a:lnTo>
                              <a:pt x="0" y="2906395"/>
                            </a:lnTo>
                            <a:lnTo>
                              <a:pt x="0" y="0"/>
                            </a:lnTo>
                            <a:close/>
                          </a:path>
                        </a:pathLst>
                      </a:custGeom>
                      <a:gradFill flip="none" rotWithShape="1">
                        <a:gsLst>
                          <a:gs pos="0">
                            <a:srgbClr val="2F8E5F">
                              <a:lumMod val="40000"/>
                              <a:lumOff val="60000"/>
                            </a:srgbClr>
                          </a:gs>
                          <a:gs pos="100000">
                            <a:srgbClr val="4EB3CF">
                              <a:lumMod val="100000"/>
                            </a:srgbClr>
                          </a:gs>
                        </a:gsLst>
                        <a:lin ang="1920000" scaled="0"/>
                        <a:tileRect/>
                      </a:gradFill>
                      <a:ln w="25400" cap="flat" cmpd="sng" algn="ctr">
                        <a:noFill/>
                        <a:prstDash val="solid"/>
                      </a:ln>
                      <a:effectLst/>
                    </wps:spPr>
                    <wps:txbx>
                      <w:txbxContent>
                        <w:p w:rsidR="00042F67" w:rsidRDefault="00042F67" w:rsidP="00AC0F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DFA42" id="Freeform: Shape 8" o:spid="_x0000_s1164" alt="Green gradient in rectangle" style="position:absolute;margin-left:0;margin-top:-151.5pt;width:627.85pt;height:213.85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738110,2906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" adj="-11796480,,5400" path="m,l7738110,r,1896461l,2906395,,xe" fillcolor="#9fdfbf" stroked="f" strokeweight="2pt">
              <v:fill color2="#4eb3cf" rotate="t" angle="58" focus="100%" type="gradient">
                <o:fill v:ext="view" type="gradientUnscaled"/>
              </v:fill>
              <v:stroke joinstyle="miter"/>
              <v:formulas/>
              <v:path arrowok="t" o:connecttype="custom" o:connectlocs="0,0;7973695,0;7973695,1772157;0,2715895;0,0" o:connectangles="0,0,0,0,0" textboxrect="0,0,7738110,2906395"/>
              <v:textbox>
                <w:txbxContent>
                  <w:p w:rsidR="00042F67" w:rsidRDefault="00042F67" w:rsidP="00AC0FCB"/>
                </w:txbxContent>
              </v:textbox>
              <w10:wrap anchorx="page" anchory="page"/>
            </v:shape>
          </w:pict>
        </mc:Fallback>
      </mc:AlternateContent>
    </w:r>
  </w:p>
  <w:p w:rsidR="00042F67" w:rsidRDefault="00042F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5" w15:restartNumberingAfterBreak="0">
    <w:nsid w:val="01426BF0"/>
    <w:multiLevelType w:val="hybridMultilevel"/>
    <w:tmpl w:val="274AA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4F4328"/>
    <w:multiLevelType w:val="hybridMultilevel"/>
    <w:tmpl w:val="0A7A2D9E"/>
    <w:lvl w:ilvl="0" w:tplc="8B04A60A">
      <w:start w:val="1"/>
      <w:numFmt w:val="lowerLetter"/>
      <w:lvlText w:val="%1)"/>
      <w:lvlJc w:val="left"/>
      <w:pPr>
        <w:ind w:left="720" w:hanging="360"/>
      </w:pPr>
      <w:rPr>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576563"/>
    <w:multiLevelType w:val="hybridMultilevel"/>
    <w:tmpl w:val="B980F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E64B12"/>
    <w:multiLevelType w:val="hybridMultilevel"/>
    <w:tmpl w:val="3AC0345C"/>
    <w:lvl w:ilvl="0" w:tplc="3244B9E2">
      <w:start w:val="1"/>
      <w:numFmt w:val="bullet"/>
      <w:lvlText w:val=""/>
      <w:lvlJc w:val="left"/>
      <w:pPr>
        <w:ind w:left="720" w:hanging="360"/>
      </w:pPr>
      <w:rPr>
        <w:rFonts w:ascii="Symbol" w:hAnsi="Symbol" w:hint="default"/>
        <w:color w:val="B4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48C12F5"/>
    <w:multiLevelType w:val="hybridMultilevel"/>
    <w:tmpl w:val="D72421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6773104"/>
    <w:multiLevelType w:val="hybridMultilevel"/>
    <w:tmpl w:val="62BEAA52"/>
    <w:lvl w:ilvl="0" w:tplc="BDA87CF8">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3615B1"/>
    <w:multiLevelType w:val="hybridMultilevel"/>
    <w:tmpl w:val="AA7A7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11A59"/>
    <w:multiLevelType w:val="hybridMultilevel"/>
    <w:tmpl w:val="FAFC3A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C1529F"/>
    <w:multiLevelType w:val="hybridMultilevel"/>
    <w:tmpl w:val="A3FEC9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C875FB"/>
    <w:multiLevelType w:val="hybridMultilevel"/>
    <w:tmpl w:val="84A889BA"/>
    <w:lvl w:ilvl="0" w:tplc="1820017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E42FC3"/>
    <w:multiLevelType w:val="hybridMultilevel"/>
    <w:tmpl w:val="91E0A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0C1A8A"/>
    <w:multiLevelType w:val="hybridMultilevel"/>
    <w:tmpl w:val="7CA4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C35E47"/>
    <w:multiLevelType w:val="hybridMultilevel"/>
    <w:tmpl w:val="25B63A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DF5902"/>
    <w:multiLevelType w:val="hybridMultilevel"/>
    <w:tmpl w:val="083E7C7C"/>
    <w:lvl w:ilvl="0" w:tplc="67848FE6">
      <w:start w:val="1"/>
      <w:numFmt w:val="bullet"/>
      <w:lvlText w:val="-"/>
      <w:lvlJc w:val="left"/>
      <w:pPr>
        <w:ind w:left="720" w:hanging="360"/>
      </w:pPr>
      <w:rPr>
        <w:rFonts w:ascii="Sitka Text" w:eastAsiaTheme="minorEastAsia" w:hAnsi="Sitka Text"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BE2C24"/>
    <w:multiLevelType w:val="hybridMultilevel"/>
    <w:tmpl w:val="6688EAE2"/>
    <w:lvl w:ilvl="0" w:tplc="672EE9FE">
      <w:start w:val="1"/>
      <w:numFmt w:val="bullet"/>
      <w:lvlText w:val="-"/>
      <w:lvlJc w:val="left"/>
      <w:pPr>
        <w:ind w:left="720" w:hanging="360"/>
      </w:pPr>
      <w:rPr>
        <w:rFonts w:ascii="Sitka Text" w:eastAsiaTheme="minorEastAsia" w:hAnsi="Sitka Text"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C831D5"/>
    <w:multiLevelType w:val="hybridMultilevel"/>
    <w:tmpl w:val="D9DC5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D6C6685"/>
    <w:multiLevelType w:val="hybridMultilevel"/>
    <w:tmpl w:val="0D467E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FA2B5B"/>
    <w:multiLevelType w:val="hybridMultilevel"/>
    <w:tmpl w:val="67D24B74"/>
    <w:lvl w:ilvl="0" w:tplc="3B6E756E">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1A5600"/>
    <w:multiLevelType w:val="hybridMultilevel"/>
    <w:tmpl w:val="0C72E5C0"/>
    <w:lvl w:ilvl="0" w:tplc="7318F604">
      <w:start w:val="1"/>
      <w:numFmt w:val="bullet"/>
      <w:lvlText w:val=""/>
      <w:lvlJc w:val="left"/>
      <w:pPr>
        <w:ind w:left="6750" w:hanging="360"/>
      </w:pPr>
      <w:rPr>
        <w:rFonts w:ascii="Symbol" w:hAnsi="Symbol" w:hint="default"/>
        <w:color w:val="C00000"/>
      </w:rPr>
    </w:lvl>
    <w:lvl w:ilvl="1" w:tplc="04090003" w:tentative="1">
      <w:start w:val="1"/>
      <w:numFmt w:val="bullet"/>
      <w:lvlText w:val="o"/>
      <w:lvlJc w:val="left"/>
      <w:pPr>
        <w:ind w:left="7470" w:hanging="360"/>
      </w:pPr>
      <w:rPr>
        <w:rFonts w:ascii="Courier New" w:hAnsi="Courier New" w:cs="Courier New" w:hint="default"/>
      </w:rPr>
    </w:lvl>
    <w:lvl w:ilvl="2" w:tplc="04090005" w:tentative="1">
      <w:start w:val="1"/>
      <w:numFmt w:val="bullet"/>
      <w:lvlText w:val=""/>
      <w:lvlJc w:val="left"/>
      <w:pPr>
        <w:ind w:left="8190" w:hanging="360"/>
      </w:pPr>
      <w:rPr>
        <w:rFonts w:ascii="Wingdings" w:hAnsi="Wingdings" w:hint="default"/>
      </w:rPr>
    </w:lvl>
    <w:lvl w:ilvl="3" w:tplc="04090001" w:tentative="1">
      <w:start w:val="1"/>
      <w:numFmt w:val="bullet"/>
      <w:lvlText w:val=""/>
      <w:lvlJc w:val="left"/>
      <w:pPr>
        <w:ind w:left="8910" w:hanging="360"/>
      </w:pPr>
      <w:rPr>
        <w:rFonts w:ascii="Symbol" w:hAnsi="Symbol" w:hint="default"/>
      </w:rPr>
    </w:lvl>
    <w:lvl w:ilvl="4" w:tplc="04090003" w:tentative="1">
      <w:start w:val="1"/>
      <w:numFmt w:val="bullet"/>
      <w:lvlText w:val="o"/>
      <w:lvlJc w:val="left"/>
      <w:pPr>
        <w:ind w:left="9630" w:hanging="360"/>
      </w:pPr>
      <w:rPr>
        <w:rFonts w:ascii="Courier New" w:hAnsi="Courier New" w:cs="Courier New" w:hint="default"/>
      </w:rPr>
    </w:lvl>
    <w:lvl w:ilvl="5" w:tplc="04090005" w:tentative="1">
      <w:start w:val="1"/>
      <w:numFmt w:val="bullet"/>
      <w:lvlText w:val=""/>
      <w:lvlJc w:val="left"/>
      <w:pPr>
        <w:ind w:left="10350" w:hanging="360"/>
      </w:pPr>
      <w:rPr>
        <w:rFonts w:ascii="Wingdings" w:hAnsi="Wingdings" w:hint="default"/>
      </w:rPr>
    </w:lvl>
    <w:lvl w:ilvl="6" w:tplc="04090001" w:tentative="1">
      <w:start w:val="1"/>
      <w:numFmt w:val="bullet"/>
      <w:lvlText w:val=""/>
      <w:lvlJc w:val="left"/>
      <w:pPr>
        <w:ind w:left="11070" w:hanging="360"/>
      </w:pPr>
      <w:rPr>
        <w:rFonts w:ascii="Symbol" w:hAnsi="Symbol" w:hint="default"/>
      </w:rPr>
    </w:lvl>
    <w:lvl w:ilvl="7" w:tplc="04090003" w:tentative="1">
      <w:start w:val="1"/>
      <w:numFmt w:val="bullet"/>
      <w:lvlText w:val="o"/>
      <w:lvlJc w:val="left"/>
      <w:pPr>
        <w:ind w:left="11790" w:hanging="360"/>
      </w:pPr>
      <w:rPr>
        <w:rFonts w:ascii="Courier New" w:hAnsi="Courier New" w:cs="Courier New" w:hint="default"/>
      </w:rPr>
    </w:lvl>
    <w:lvl w:ilvl="8" w:tplc="04090005" w:tentative="1">
      <w:start w:val="1"/>
      <w:numFmt w:val="bullet"/>
      <w:lvlText w:val=""/>
      <w:lvlJc w:val="left"/>
      <w:pPr>
        <w:ind w:left="12510" w:hanging="360"/>
      </w:pPr>
      <w:rPr>
        <w:rFonts w:ascii="Wingdings" w:hAnsi="Wingdings" w:hint="default"/>
      </w:rPr>
    </w:lvl>
  </w:abstractNum>
  <w:abstractNum w:abstractNumId="25" w15:restartNumberingAfterBreak="0">
    <w:nsid w:val="1FF95A59"/>
    <w:multiLevelType w:val="hybridMultilevel"/>
    <w:tmpl w:val="E74CFD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26339F"/>
    <w:multiLevelType w:val="hybridMultilevel"/>
    <w:tmpl w:val="DC9E33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5F59FD"/>
    <w:multiLevelType w:val="hybridMultilevel"/>
    <w:tmpl w:val="9B00F9D8"/>
    <w:lvl w:ilvl="0" w:tplc="1C24D1F0">
      <w:start w:val="1"/>
      <w:numFmt w:val="bullet"/>
      <w:lvlText w:val="-"/>
      <w:lvlJc w:val="left"/>
      <w:pPr>
        <w:ind w:left="720" w:hanging="360"/>
      </w:pPr>
      <w:rPr>
        <w:rFonts w:ascii="Sitka Text" w:eastAsiaTheme="minorEastAsia" w:hAnsi="Sitka Text"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8F5313"/>
    <w:multiLevelType w:val="hybridMultilevel"/>
    <w:tmpl w:val="801086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A20F25"/>
    <w:multiLevelType w:val="hybridMultilevel"/>
    <w:tmpl w:val="4DAEA6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57198B"/>
    <w:multiLevelType w:val="hybridMultilevel"/>
    <w:tmpl w:val="9C2A6B0C"/>
    <w:lvl w:ilvl="0" w:tplc="7894460C">
      <w:start w:val="1"/>
      <w:numFmt w:val="bullet"/>
      <w:lvlText w:val="-"/>
      <w:lvlJc w:val="left"/>
      <w:pPr>
        <w:ind w:left="720" w:hanging="360"/>
      </w:pPr>
      <w:rPr>
        <w:rFonts w:ascii="Sitka Text" w:eastAsiaTheme="minorEastAsia" w:hAnsi="Sitka Text"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8C3AD7"/>
    <w:multiLevelType w:val="hybridMultilevel"/>
    <w:tmpl w:val="2F460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B304D7"/>
    <w:multiLevelType w:val="hybridMultilevel"/>
    <w:tmpl w:val="82604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7F6A45"/>
    <w:multiLevelType w:val="multilevel"/>
    <w:tmpl w:val="80C0D6D2"/>
    <w:lvl w:ilvl="0">
      <w:start w:val="1"/>
      <w:numFmt w:val="decimal"/>
      <w:pStyle w:val="ListNumber"/>
      <w:lvlText w:val="%1."/>
      <w:lvlJc w:val="left"/>
      <w:pPr>
        <w:ind w:left="360" w:hanging="360"/>
      </w:pPr>
      <w:rPr>
        <w:rFonts w:hint="default"/>
      </w:rPr>
    </w:lvl>
    <w:lvl w:ilvl="1">
      <w:start w:val="1"/>
      <w:numFmt w:val="decimal"/>
      <w:pStyle w:val="ListNumber2"/>
      <w:suff w:val="space"/>
      <w:lvlText w:val="%1.%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72A034B"/>
    <w:multiLevelType w:val="hybridMultilevel"/>
    <w:tmpl w:val="EDB6FDD0"/>
    <w:lvl w:ilvl="0" w:tplc="520267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9E9572C"/>
    <w:multiLevelType w:val="hybridMultilevel"/>
    <w:tmpl w:val="8B84B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640034"/>
    <w:multiLevelType w:val="hybridMultilevel"/>
    <w:tmpl w:val="20D84D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C9678D5"/>
    <w:multiLevelType w:val="hybridMultilevel"/>
    <w:tmpl w:val="3FD89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06060FB"/>
    <w:multiLevelType w:val="hybridMultilevel"/>
    <w:tmpl w:val="EEEEB78A"/>
    <w:lvl w:ilvl="0" w:tplc="DE4CB0D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1D5CC2"/>
    <w:multiLevelType w:val="hybridMultilevel"/>
    <w:tmpl w:val="AC8E507A"/>
    <w:lvl w:ilvl="0" w:tplc="C2BC1D18">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280415"/>
    <w:multiLevelType w:val="hybridMultilevel"/>
    <w:tmpl w:val="650880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6E70CE"/>
    <w:multiLevelType w:val="hybridMultilevel"/>
    <w:tmpl w:val="49CA4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C83BB4"/>
    <w:multiLevelType w:val="hybridMultilevel"/>
    <w:tmpl w:val="3AFE95D4"/>
    <w:lvl w:ilvl="0" w:tplc="984E5924">
      <w:start w:val="1"/>
      <w:numFmt w:val="bullet"/>
      <w:lvlText w:val="-"/>
      <w:lvlJc w:val="left"/>
      <w:pPr>
        <w:ind w:left="720" w:hanging="360"/>
      </w:pPr>
      <w:rPr>
        <w:rFonts w:ascii="Sitka Text" w:eastAsiaTheme="minorEastAsia" w:hAnsi="Sitka Text"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3B71A3"/>
    <w:multiLevelType w:val="hybridMultilevel"/>
    <w:tmpl w:val="464E77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B9755A"/>
    <w:multiLevelType w:val="hybridMultilevel"/>
    <w:tmpl w:val="8434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AD02E7"/>
    <w:multiLevelType w:val="hybridMultilevel"/>
    <w:tmpl w:val="30C20060"/>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D7110DE"/>
    <w:multiLevelType w:val="hybridMultilevel"/>
    <w:tmpl w:val="901E5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FD7B94"/>
    <w:multiLevelType w:val="hybridMultilevel"/>
    <w:tmpl w:val="9644572C"/>
    <w:lvl w:ilvl="0" w:tplc="C2BC1D18">
      <w:start w:val="6"/>
      <w:numFmt w:val="bullet"/>
      <w:lvlText w:val="-"/>
      <w:lvlJc w:val="left"/>
      <w:pPr>
        <w:ind w:left="1773" w:hanging="360"/>
      </w:pPr>
      <w:rPr>
        <w:rFonts w:ascii="Calibri" w:eastAsiaTheme="minorHAnsi" w:hAnsi="Calibri" w:cstheme="minorBidi" w:hint="default"/>
      </w:rPr>
    </w:lvl>
    <w:lvl w:ilvl="1" w:tplc="2C1A0003" w:tentative="1">
      <w:start w:val="1"/>
      <w:numFmt w:val="bullet"/>
      <w:lvlText w:val="o"/>
      <w:lvlJc w:val="left"/>
      <w:pPr>
        <w:ind w:left="2493" w:hanging="360"/>
      </w:pPr>
      <w:rPr>
        <w:rFonts w:ascii="Courier New" w:hAnsi="Courier New" w:cs="Courier New" w:hint="default"/>
      </w:rPr>
    </w:lvl>
    <w:lvl w:ilvl="2" w:tplc="2C1A0005" w:tentative="1">
      <w:start w:val="1"/>
      <w:numFmt w:val="bullet"/>
      <w:lvlText w:val=""/>
      <w:lvlJc w:val="left"/>
      <w:pPr>
        <w:ind w:left="3213" w:hanging="360"/>
      </w:pPr>
      <w:rPr>
        <w:rFonts w:ascii="Wingdings" w:hAnsi="Wingdings" w:hint="default"/>
      </w:rPr>
    </w:lvl>
    <w:lvl w:ilvl="3" w:tplc="2C1A0001" w:tentative="1">
      <w:start w:val="1"/>
      <w:numFmt w:val="bullet"/>
      <w:lvlText w:val=""/>
      <w:lvlJc w:val="left"/>
      <w:pPr>
        <w:ind w:left="3933" w:hanging="360"/>
      </w:pPr>
      <w:rPr>
        <w:rFonts w:ascii="Symbol" w:hAnsi="Symbol" w:hint="default"/>
      </w:rPr>
    </w:lvl>
    <w:lvl w:ilvl="4" w:tplc="2C1A0003" w:tentative="1">
      <w:start w:val="1"/>
      <w:numFmt w:val="bullet"/>
      <w:lvlText w:val="o"/>
      <w:lvlJc w:val="left"/>
      <w:pPr>
        <w:ind w:left="4653" w:hanging="360"/>
      </w:pPr>
      <w:rPr>
        <w:rFonts w:ascii="Courier New" w:hAnsi="Courier New" w:cs="Courier New" w:hint="default"/>
      </w:rPr>
    </w:lvl>
    <w:lvl w:ilvl="5" w:tplc="2C1A0005" w:tentative="1">
      <w:start w:val="1"/>
      <w:numFmt w:val="bullet"/>
      <w:lvlText w:val=""/>
      <w:lvlJc w:val="left"/>
      <w:pPr>
        <w:ind w:left="5373" w:hanging="360"/>
      </w:pPr>
      <w:rPr>
        <w:rFonts w:ascii="Wingdings" w:hAnsi="Wingdings" w:hint="default"/>
      </w:rPr>
    </w:lvl>
    <w:lvl w:ilvl="6" w:tplc="2C1A0001" w:tentative="1">
      <w:start w:val="1"/>
      <w:numFmt w:val="bullet"/>
      <w:lvlText w:val=""/>
      <w:lvlJc w:val="left"/>
      <w:pPr>
        <w:ind w:left="6093" w:hanging="360"/>
      </w:pPr>
      <w:rPr>
        <w:rFonts w:ascii="Symbol" w:hAnsi="Symbol" w:hint="default"/>
      </w:rPr>
    </w:lvl>
    <w:lvl w:ilvl="7" w:tplc="2C1A0003" w:tentative="1">
      <w:start w:val="1"/>
      <w:numFmt w:val="bullet"/>
      <w:lvlText w:val="o"/>
      <w:lvlJc w:val="left"/>
      <w:pPr>
        <w:ind w:left="6813" w:hanging="360"/>
      </w:pPr>
      <w:rPr>
        <w:rFonts w:ascii="Courier New" w:hAnsi="Courier New" w:cs="Courier New" w:hint="default"/>
      </w:rPr>
    </w:lvl>
    <w:lvl w:ilvl="8" w:tplc="2C1A0005" w:tentative="1">
      <w:start w:val="1"/>
      <w:numFmt w:val="bullet"/>
      <w:lvlText w:val=""/>
      <w:lvlJc w:val="left"/>
      <w:pPr>
        <w:ind w:left="7533" w:hanging="360"/>
      </w:pPr>
      <w:rPr>
        <w:rFonts w:ascii="Wingdings" w:hAnsi="Wingdings" w:hint="default"/>
      </w:rPr>
    </w:lvl>
  </w:abstractNum>
  <w:abstractNum w:abstractNumId="48" w15:restartNumberingAfterBreak="0">
    <w:nsid w:val="62935E16"/>
    <w:multiLevelType w:val="hybridMultilevel"/>
    <w:tmpl w:val="83F4C070"/>
    <w:lvl w:ilvl="0" w:tplc="7F2E9100">
      <w:start w:val="1"/>
      <w:numFmt w:val="bullet"/>
      <w:lvlText w:val="•"/>
      <w:lvlJc w:val="left"/>
      <w:pPr>
        <w:tabs>
          <w:tab w:val="num" w:pos="720"/>
        </w:tabs>
        <w:ind w:left="720" w:hanging="360"/>
      </w:pPr>
      <w:rPr>
        <w:rFonts w:ascii="Times New Roman" w:hAnsi="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B2E6B2BE" w:tentative="1">
      <w:start w:val="1"/>
      <w:numFmt w:val="bullet"/>
      <w:lvlText w:val="•"/>
      <w:lvlJc w:val="left"/>
      <w:pPr>
        <w:tabs>
          <w:tab w:val="num" w:pos="2160"/>
        </w:tabs>
        <w:ind w:left="2160" w:hanging="360"/>
      </w:pPr>
      <w:rPr>
        <w:rFonts w:ascii="Times New Roman" w:hAnsi="Times New Roman" w:hint="default"/>
      </w:rPr>
    </w:lvl>
    <w:lvl w:ilvl="3" w:tplc="9F180788" w:tentative="1">
      <w:start w:val="1"/>
      <w:numFmt w:val="bullet"/>
      <w:lvlText w:val="•"/>
      <w:lvlJc w:val="left"/>
      <w:pPr>
        <w:tabs>
          <w:tab w:val="num" w:pos="2880"/>
        </w:tabs>
        <w:ind w:left="2880" w:hanging="360"/>
      </w:pPr>
      <w:rPr>
        <w:rFonts w:ascii="Times New Roman" w:hAnsi="Times New Roman" w:hint="default"/>
      </w:rPr>
    </w:lvl>
    <w:lvl w:ilvl="4" w:tplc="6B727932" w:tentative="1">
      <w:start w:val="1"/>
      <w:numFmt w:val="bullet"/>
      <w:lvlText w:val="•"/>
      <w:lvlJc w:val="left"/>
      <w:pPr>
        <w:tabs>
          <w:tab w:val="num" w:pos="3600"/>
        </w:tabs>
        <w:ind w:left="3600" w:hanging="360"/>
      </w:pPr>
      <w:rPr>
        <w:rFonts w:ascii="Times New Roman" w:hAnsi="Times New Roman" w:hint="default"/>
      </w:rPr>
    </w:lvl>
    <w:lvl w:ilvl="5" w:tplc="DF02E804" w:tentative="1">
      <w:start w:val="1"/>
      <w:numFmt w:val="bullet"/>
      <w:lvlText w:val="•"/>
      <w:lvlJc w:val="left"/>
      <w:pPr>
        <w:tabs>
          <w:tab w:val="num" w:pos="4320"/>
        </w:tabs>
        <w:ind w:left="4320" w:hanging="360"/>
      </w:pPr>
      <w:rPr>
        <w:rFonts w:ascii="Times New Roman" w:hAnsi="Times New Roman" w:hint="default"/>
      </w:rPr>
    </w:lvl>
    <w:lvl w:ilvl="6" w:tplc="A0463B62" w:tentative="1">
      <w:start w:val="1"/>
      <w:numFmt w:val="bullet"/>
      <w:lvlText w:val="•"/>
      <w:lvlJc w:val="left"/>
      <w:pPr>
        <w:tabs>
          <w:tab w:val="num" w:pos="5040"/>
        </w:tabs>
        <w:ind w:left="5040" w:hanging="360"/>
      </w:pPr>
      <w:rPr>
        <w:rFonts w:ascii="Times New Roman" w:hAnsi="Times New Roman" w:hint="default"/>
      </w:rPr>
    </w:lvl>
    <w:lvl w:ilvl="7" w:tplc="703C242A" w:tentative="1">
      <w:start w:val="1"/>
      <w:numFmt w:val="bullet"/>
      <w:lvlText w:val="•"/>
      <w:lvlJc w:val="left"/>
      <w:pPr>
        <w:tabs>
          <w:tab w:val="num" w:pos="5760"/>
        </w:tabs>
        <w:ind w:left="5760" w:hanging="360"/>
      </w:pPr>
      <w:rPr>
        <w:rFonts w:ascii="Times New Roman" w:hAnsi="Times New Roman" w:hint="default"/>
      </w:rPr>
    </w:lvl>
    <w:lvl w:ilvl="8" w:tplc="D938D314"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6CC34AE3"/>
    <w:multiLevelType w:val="hybridMultilevel"/>
    <w:tmpl w:val="1B7E0138"/>
    <w:lvl w:ilvl="0" w:tplc="186AFBF2">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D036ADE"/>
    <w:multiLevelType w:val="hybridMultilevel"/>
    <w:tmpl w:val="0986BE14"/>
    <w:lvl w:ilvl="0" w:tplc="C2BC1D18">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5F0871"/>
    <w:multiLevelType w:val="hybridMultilevel"/>
    <w:tmpl w:val="479A2C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FF42109"/>
    <w:multiLevelType w:val="hybridMultilevel"/>
    <w:tmpl w:val="E756585A"/>
    <w:lvl w:ilvl="0" w:tplc="4F24A6BC">
      <w:start w:val="1"/>
      <w:numFmt w:val="bullet"/>
      <w:lvlText w:val="-"/>
      <w:lvlJc w:val="left"/>
      <w:pPr>
        <w:ind w:left="720" w:hanging="360"/>
      </w:pPr>
      <w:rPr>
        <w:rFonts w:ascii="Sitka Text" w:eastAsiaTheme="minorEastAsia" w:hAnsi="Sitka Text" w:cs="Mongolian Bai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21481D"/>
    <w:multiLevelType w:val="hybridMultilevel"/>
    <w:tmpl w:val="21925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6C70DF"/>
    <w:multiLevelType w:val="hybridMultilevel"/>
    <w:tmpl w:val="B1DE25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FB2B3F"/>
    <w:multiLevelType w:val="hybridMultilevel"/>
    <w:tmpl w:val="B9A0CA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D01C27"/>
    <w:multiLevelType w:val="hybridMultilevel"/>
    <w:tmpl w:val="5E5691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096D54"/>
    <w:multiLevelType w:val="hybridMultilevel"/>
    <w:tmpl w:val="0CE873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9716FF"/>
    <w:multiLevelType w:val="hybridMultilevel"/>
    <w:tmpl w:val="BFC6C6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1"/>
  </w:num>
  <w:num w:numId="7">
    <w:abstractNumId w:val="33"/>
  </w:num>
  <w:num w:numId="8">
    <w:abstractNumId w:val="11"/>
  </w:num>
  <w:num w:numId="9">
    <w:abstractNumId w:val="31"/>
  </w:num>
  <w:num w:numId="10">
    <w:abstractNumId w:val="37"/>
  </w:num>
  <w:num w:numId="11">
    <w:abstractNumId w:val="9"/>
  </w:num>
  <w:num w:numId="12">
    <w:abstractNumId w:val="16"/>
  </w:num>
  <w:num w:numId="13">
    <w:abstractNumId w:val="46"/>
  </w:num>
  <w:num w:numId="14">
    <w:abstractNumId w:val="35"/>
  </w:num>
  <w:num w:numId="15">
    <w:abstractNumId w:val="41"/>
  </w:num>
  <w:num w:numId="16">
    <w:abstractNumId w:val="6"/>
  </w:num>
  <w:num w:numId="17">
    <w:abstractNumId w:val="13"/>
  </w:num>
  <w:num w:numId="18">
    <w:abstractNumId w:val="56"/>
  </w:num>
  <w:num w:numId="19">
    <w:abstractNumId w:val="47"/>
  </w:num>
  <w:num w:numId="20">
    <w:abstractNumId w:val="51"/>
  </w:num>
  <w:num w:numId="21">
    <w:abstractNumId w:val="40"/>
  </w:num>
  <w:num w:numId="22">
    <w:abstractNumId w:val="24"/>
  </w:num>
  <w:num w:numId="23">
    <w:abstractNumId w:val="20"/>
  </w:num>
  <w:num w:numId="24">
    <w:abstractNumId w:val="15"/>
  </w:num>
  <w:num w:numId="25">
    <w:abstractNumId w:val="38"/>
  </w:num>
  <w:num w:numId="26">
    <w:abstractNumId w:val="8"/>
  </w:num>
  <w:num w:numId="27">
    <w:abstractNumId w:val="50"/>
  </w:num>
  <w:num w:numId="28">
    <w:abstractNumId w:val="7"/>
  </w:num>
  <w:num w:numId="29">
    <w:abstractNumId w:val="49"/>
  </w:num>
  <w:num w:numId="30">
    <w:abstractNumId w:val="55"/>
  </w:num>
  <w:num w:numId="31">
    <w:abstractNumId w:val="26"/>
  </w:num>
  <w:num w:numId="32">
    <w:abstractNumId w:val="53"/>
  </w:num>
  <w:num w:numId="33">
    <w:abstractNumId w:val="12"/>
  </w:num>
  <w:num w:numId="34">
    <w:abstractNumId w:val="25"/>
  </w:num>
  <w:num w:numId="35">
    <w:abstractNumId w:val="10"/>
  </w:num>
  <w:num w:numId="36">
    <w:abstractNumId w:val="17"/>
  </w:num>
  <w:num w:numId="37">
    <w:abstractNumId w:val="58"/>
  </w:num>
  <w:num w:numId="38">
    <w:abstractNumId w:val="44"/>
  </w:num>
  <w:num w:numId="39">
    <w:abstractNumId w:val="32"/>
  </w:num>
  <w:num w:numId="40">
    <w:abstractNumId w:val="23"/>
  </w:num>
  <w:num w:numId="41">
    <w:abstractNumId w:val="54"/>
  </w:num>
  <w:num w:numId="42">
    <w:abstractNumId w:val="14"/>
  </w:num>
  <w:num w:numId="43">
    <w:abstractNumId w:val="5"/>
  </w:num>
  <w:num w:numId="44">
    <w:abstractNumId w:val="28"/>
  </w:num>
  <w:num w:numId="45">
    <w:abstractNumId w:val="39"/>
  </w:num>
  <w:num w:numId="46">
    <w:abstractNumId w:val="34"/>
  </w:num>
  <w:num w:numId="47">
    <w:abstractNumId w:val="18"/>
  </w:num>
  <w:num w:numId="48">
    <w:abstractNumId w:val="48"/>
  </w:num>
  <w:num w:numId="49">
    <w:abstractNumId w:val="57"/>
  </w:num>
  <w:num w:numId="50">
    <w:abstractNumId w:val="29"/>
  </w:num>
  <w:num w:numId="51">
    <w:abstractNumId w:val="36"/>
  </w:num>
  <w:num w:numId="52">
    <w:abstractNumId w:val="22"/>
  </w:num>
  <w:num w:numId="53">
    <w:abstractNumId w:val="43"/>
  </w:num>
  <w:num w:numId="54">
    <w:abstractNumId w:val="45"/>
  </w:num>
  <w:num w:numId="55">
    <w:abstractNumId w:val="30"/>
  </w:num>
  <w:num w:numId="56">
    <w:abstractNumId w:val="52"/>
  </w:num>
  <w:num w:numId="57">
    <w:abstractNumId w:val="19"/>
  </w:num>
  <w:num w:numId="58">
    <w:abstractNumId w:val="27"/>
  </w:num>
  <w:num w:numId="59">
    <w:abstractNumId w:val="4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fr-FR" w:vendorID="64" w:dllVersion="6" w:nlCheck="1" w:checkStyle="0"/>
  <w:activeWritingStyle w:appName="MSWord" w:lang="en-US" w:vendorID="64" w:dllVersion="6" w:nlCheck="1" w:checkStyle="0"/>
  <w:activeWritingStyle w:appName="MSWord" w:lang="en-US" w:vendorID="64" w:dllVersion="4096" w:nlCheck="1" w:checkStyle="0"/>
  <w:activeWritingStyle w:appName="MSWord" w:lang="en-GB"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131078" w:nlCheck="1" w:checkStyle="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421"/>
    <w:rsid w:val="000000E7"/>
    <w:rsid w:val="00001A03"/>
    <w:rsid w:val="000020AD"/>
    <w:rsid w:val="00004873"/>
    <w:rsid w:val="000078E3"/>
    <w:rsid w:val="00010592"/>
    <w:rsid w:val="00011055"/>
    <w:rsid w:val="0001207C"/>
    <w:rsid w:val="0001281A"/>
    <w:rsid w:val="00012E9B"/>
    <w:rsid w:val="00013531"/>
    <w:rsid w:val="00013803"/>
    <w:rsid w:val="000148BC"/>
    <w:rsid w:val="00014C16"/>
    <w:rsid w:val="0001588E"/>
    <w:rsid w:val="00015DFE"/>
    <w:rsid w:val="0001678B"/>
    <w:rsid w:val="00016ACE"/>
    <w:rsid w:val="000175EF"/>
    <w:rsid w:val="000210CC"/>
    <w:rsid w:val="00022B21"/>
    <w:rsid w:val="00023F33"/>
    <w:rsid w:val="000242A4"/>
    <w:rsid w:val="000256B7"/>
    <w:rsid w:val="000259D0"/>
    <w:rsid w:val="00027851"/>
    <w:rsid w:val="00027AB4"/>
    <w:rsid w:val="00027E20"/>
    <w:rsid w:val="00030899"/>
    <w:rsid w:val="00031038"/>
    <w:rsid w:val="00031660"/>
    <w:rsid w:val="00035588"/>
    <w:rsid w:val="00035EA5"/>
    <w:rsid w:val="000375DE"/>
    <w:rsid w:val="000408E3"/>
    <w:rsid w:val="00041FE3"/>
    <w:rsid w:val="00042F67"/>
    <w:rsid w:val="000439B0"/>
    <w:rsid w:val="0004498D"/>
    <w:rsid w:val="00045694"/>
    <w:rsid w:val="00046B21"/>
    <w:rsid w:val="0004773A"/>
    <w:rsid w:val="00050E4A"/>
    <w:rsid w:val="00051587"/>
    <w:rsid w:val="00051F26"/>
    <w:rsid w:val="00052632"/>
    <w:rsid w:val="00052A31"/>
    <w:rsid w:val="00052CDD"/>
    <w:rsid w:val="00053AA6"/>
    <w:rsid w:val="00054B9D"/>
    <w:rsid w:val="000553E1"/>
    <w:rsid w:val="00056213"/>
    <w:rsid w:val="00056A8E"/>
    <w:rsid w:val="00057031"/>
    <w:rsid w:val="000578F3"/>
    <w:rsid w:val="000608D9"/>
    <w:rsid w:val="000612EC"/>
    <w:rsid w:val="000613E8"/>
    <w:rsid w:val="00062268"/>
    <w:rsid w:val="00062862"/>
    <w:rsid w:val="000639A3"/>
    <w:rsid w:val="00064310"/>
    <w:rsid w:val="00064A89"/>
    <w:rsid w:val="000668DF"/>
    <w:rsid w:val="00067D14"/>
    <w:rsid w:val="00070A44"/>
    <w:rsid w:val="000744D1"/>
    <w:rsid w:val="000745EF"/>
    <w:rsid w:val="00075C54"/>
    <w:rsid w:val="0007699A"/>
    <w:rsid w:val="00077B9C"/>
    <w:rsid w:val="00081069"/>
    <w:rsid w:val="000815B8"/>
    <w:rsid w:val="00082820"/>
    <w:rsid w:val="000831FA"/>
    <w:rsid w:val="000862CF"/>
    <w:rsid w:val="00086A90"/>
    <w:rsid w:val="00086D48"/>
    <w:rsid w:val="00087F78"/>
    <w:rsid w:val="00091636"/>
    <w:rsid w:val="00093830"/>
    <w:rsid w:val="000949FE"/>
    <w:rsid w:val="000A0191"/>
    <w:rsid w:val="000A067E"/>
    <w:rsid w:val="000A0D44"/>
    <w:rsid w:val="000A117C"/>
    <w:rsid w:val="000A1AFF"/>
    <w:rsid w:val="000A1DC4"/>
    <w:rsid w:val="000A2407"/>
    <w:rsid w:val="000A2C90"/>
    <w:rsid w:val="000A2FD0"/>
    <w:rsid w:val="000A4020"/>
    <w:rsid w:val="000A4FDD"/>
    <w:rsid w:val="000A5D41"/>
    <w:rsid w:val="000B0856"/>
    <w:rsid w:val="000B2DC3"/>
    <w:rsid w:val="000B39A4"/>
    <w:rsid w:val="000B40F4"/>
    <w:rsid w:val="000B4297"/>
    <w:rsid w:val="000B5480"/>
    <w:rsid w:val="000B54D6"/>
    <w:rsid w:val="000B5DF7"/>
    <w:rsid w:val="000B62F5"/>
    <w:rsid w:val="000B65A5"/>
    <w:rsid w:val="000C0DA5"/>
    <w:rsid w:val="000C1CED"/>
    <w:rsid w:val="000C4751"/>
    <w:rsid w:val="000C4ACF"/>
    <w:rsid w:val="000C583A"/>
    <w:rsid w:val="000C5CDD"/>
    <w:rsid w:val="000C6619"/>
    <w:rsid w:val="000D14C7"/>
    <w:rsid w:val="000D1A94"/>
    <w:rsid w:val="000D1C44"/>
    <w:rsid w:val="000D3230"/>
    <w:rsid w:val="000D4548"/>
    <w:rsid w:val="000D4977"/>
    <w:rsid w:val="000D5A07"/>
    <w:rsid w:val="000D64F6"/>
    <w:rsid w:val="000D6DBD"/>
    <w:rsid w:val="000E1288"/>
    <w:rsid w:val="000E1360"/>
    <w:rsid w:val="000E275D"/>
    <w:rsid w:val="000E330F"/>
    <w:rsid w:val="000E35B9"/>
    <w:rsid w:val="000E4F50"/>
    <w:rsid w:val="000E5309"/>
    <w:rsid w:val="000E5E37"/>
    <w:rsid w:val="000E69C4"/>
    <w:rsid w:val="000E6F05"/>
    <w:rsid w:val="000E7E0E"/>
    <w:rsid w:val="000F2244"/>
    <w:rsid w:val="000F22E3"/>
    <w:rsid w:val="000F23CE"/>
    <w:rsid w:val="000F3F71"/>
    <w:rsid w:val="000F43C3"/>
    <w:rsid w:val="000F441E"/>
    <w:rsid w:val="000F538D"/>
    <w:rsid w:val="000F5E6D"/>
    <w:rsid w:val="000F693A"/>
    <w:rsid w:val="00100710"/>
    <w:rsid w:val="00100B38"/>
    <w:rsid w:val="001014EF"/>
    <w:rsid w:val="00102556"/>
    <w:rsid w:val="00102E24"/>
    <w:rsid w:val="00103AD3"/>
    <w:rsid w:val="00103B20"/>
    <w:rsid w:val="00103FE1"/>
    <w:rsid w:val="00111AEB"/>
    <w:rsid w:val="00112486"/>
    <w:rsid w:val="001129C0"/>
    <w:rsid w:val="00113959"/>
    <w:rsid w:val="00113D78"/>
    <w:rsid w:val="00113E21"/>
    <w:rsid w:val="00116872"/>
    <w:rsid w:val="00116CA6"/>
    <w:rsid w:val="00117774"/>
    <w:rsid w:val="001178A6"/>
    <w:rsid w:val="00117EEC"/>
    <w:rsid w:val="00120FC4"/>
    <w:rsid w:val="001210BA"/>
    <w:rsid w:val="00121340"/>
    <w:rsid w:val="001215C2"/>
    <w:rsid w:val="0012162C"/>
    <w:rsid w:val="001223B6"/>
    <w:rsid w:val="00122C2D"/>
    <w:rsid w:val="0012312F"/>
    <w:rsid w:val="00124F96"/>
    <w:rsid w:val="00125538"/>
    <w:rsid w:val="001258F5"/>
    <w:rsid w:val="0012782C"/>
    <w:rsid w:val="00132916"/>
    <w:rsid w:val="00133333"/>
    <w:rsid w:val="001349AB"/>
    <w:rsid w:val="00135174"/>
    <w:rsid w:val="00135852"/>
    <w:rsid w:val="00135DD7"/>
    <w:rsid w:val="0013715A"/>
    <w:rsid w:val="001372BF"/>
    <w:rsid w:val="001435C5"/>
    <w:rsid w:val="0014373F"/>
    <w:rsid w:val="00143AD4"/>
    <w:rsid w:val="00144533"/>
    <w:rsid w:val="00144846"/>
    <w:rsid w:val="001449D4"/>
    <w:rsid w:val="001478CB"/>
    <w:rsid w:val="00147D1E"/>
    <w:rsid w:val="0015019F"/>
    <w:rsid w:val="00151E66"/>
    <w:rsid w:val="00153229"/>
    <w:rsid w:val="00156E08"/>
    <w:rsid w:val="00160D6C"/>
    <w:rsid w:val="0016163B"/>
    <w:rsid w:val="00162A32"/>
    <w:rsid w:val="00162C8F"/>
    <w:rsid w:val="00162CD0"/>
    <w:rsid w:val="001632D5"/>
    <w:rsid w:val="00164DAF"/>
    <w:rsid w:val="00166526"/>
    <w:rsid w:val="00167FB3"/>
    <w:rsid w:val="00173152"/>
    <w:rsid w:val="001732A9"/>
    <w:rsid w:val="00173832"/>
    <w:rsid w:val="00174DE1"/>
    <w:rsid w:val="001750DE"/>
    <w:rsid w:val="001766E7"/>
    <w:rsid w:val="001773FB"/>
    <w:rsid w:val="001817D7"/>
    <w:rsid w:val="00181932"/>
    <w:rsid w:val="001824F3"/>
    <w:rsid w:val="00183AB8"/>
    <w:rsid w:val="00184183"/>
    <w:rsid w:val="0018467B"/>
    <w:rsid w:val="00184CA0"/>
    <w:rsid w:val="00185B6C"/>
    <w:rsid w:val="001860AC"/>
    <w:rsid w:val="00186864"/>
    <w:rsid w:val="00186F93"/>
    <w:rsid w:val="00187070"/>
    <w:rsid w:val="0019055E"/>
    <w:rsid w:val="00190743"/>
    <w:rsid w:val="00190F92"/>
    <w:rsid w:val="001917C8"/>
    <w:rsid w:val="00192419"/>
    <w:rsid w:val="00193302"/>
    <w:rsid w:val="001933E3"/>
    <w:rsid w:val="001936FA"/>
    <w:rsid w:val="001937A7"/>
    <w:rsid w:val="001949E5"/>
    <w:rsid w:val="001971FC"/>
    <w:rsid w:val="001972E9"/>
    <w:rsid w:val="001974D4"/>
    <w:rsid w:val="001A0EC5"/>
    <w:rsid w:val="001A1838"/>
    <w:rsid w:val="001A2BDC"/>
    <w:rsid w:val="001A2FD6"/>
    <w:rsid w:val="001A3296"/>
    <w:rsid w:val="001A45D6"/>
    <w:rsid w:val="001A6093"/>
    <w:rsid w:val="001A663D"/>
    <w:rsid w:val="001A66B2"/>
    <w:rsid w:val="001A6CA9"/>
    <w:rsid w:val="001A6FE2"/>
    <w:rsid w:val="001A701A"/>
    <w:rsid w:val="001B0333"/>
    <w:rsid w:val="001B29C4"/>
    <w:rsid w:val="001B36E9"/>
    <w:rsid w:val="001B43C4"/>
    <w:rsid w:val="001B50E5"/>
    <w:rsid w:val="001B5236"/>
    <w:rsid w:val="001B5FD3"/>
    <w:rsid w:val="001C0263"/>
    <w:rsid w:val="001C06FB"/>
    <w:rsid w:val="001C1E1E"/>
    <w:rsid w:val="001C25D7"/>
    <w:rsid w:val="001C31E9"/>
    <w:rsid w:val="001C3B11"/>
    <w:rsid w:val="001C41B3"/>
    <w:rsid w:val="001C4E7A"/>
    <w:rsid w:val="001C71BF"/>
    <w:rsid w:val="001C7B49"/>
    <w:rsid w:val="001D0147"/>
    <w:rsid w:val="001D0339"/>
    <w:rsid w:val="001D0C07"/>
    <w:rsid w:val="001D0E0A"/>
    <w:rsid w:val="001D2268"/>
    <w:rsid w:val="001D258A"/>
    <w:rsid w:val="001D429B"/>
    <w:rsid w:val="001D4387"/>
    <w:rsid w:val="001D4DA5"/>
    <w:rsid w:val="001D4DC1"/>
    <w:rsid w:val="001E0D74"/>
    <w:rsid w:val="001E29A1"/>
    <w:rsid w:val="001E4094"/>
    <w:rsid w:val="001E538A"/>
    <w:rsid w:val="001E5611"/>
    <w:rsid w:val="001E6114"/>
    <w:rsid w:val="001E6A76"/>
    <w:rsid w:val="001F0498"/>
    <w:rsid w:val="001F105D"/>
    <w:rsid w:val="001F14A8"/>
    <w:rsid w:val="001F1CBA"/>
    <w:rsid w:val="001F1D5A"/>
    <w:rsid w:val="001F3355"/>
    <w:rsid w:val="001F57BE"/>
    <w:rsid w:val="001F6739"/>
    <w:rsid w:val="001F736D"/>
    <w:rsid w:val="001F78D5"/>
    <w:rsid w:val="00200EEB"/>
    <w:rsid w:val="00201A41"/>
    <w:rsid w:val="002102E9"/>
    <w:rsid w:val="00211F05"/>
    <w:rsid w:val="002129D9"/>
    <w:rsid w:val="0021685C"/>
    <w:rsid w:val="00216A8E"/>
    <w:rsid w:val="0021781D"/>
    <w:rsid w:val="002206F7"/>
    <w:rsid w:val="00222935"/>
    <w:rsid w:val="002229F5"/>
    <w:rsid w:val="00224B70"/>
    <w:rsid w:val="0022515C"/>
    <w:rsid w:val="00225C67"/>
    <w:rsid w:val="00226A77"/>
    <w:rsid w:val="00226AD3"/>
    <w:rsid w:val="002311F6"/>
    <w:rsid w:val="00232722"/>
    <w:rsid w:val="002328BA"/>
    <w:rsid w:val="002333F8"/>
    <w:rsid w:val="002365DC"/>
    <w:rsid w:val="00236A17"/>
    <w:rsid w:val="00237761"/>
    <w:rsid w:val="00240BB2"/>
    <w:rsid w:val="002413DE"/>
    <w:rsid w:val="002435CC"/>
    <w:rsid w:val="00243E2D"/>
    <w:rsid w:val="00245AC4"/>
    <w:rsid w:val="00246887"/>
    <w:rsid w:val="00246DDC"/>
    <w:rsid w:val="002471E4"/>
    <w:rsid w:val="00251C8F"/>
    <w:rsid w:val="00253588"/>
    <w:rsid w:val="00253FFF"/>
    <w:rsid w:val="0025449E"/>
    <w:rsid w:val="00255827"/>
    <w:rsid w:val="00255F19"/>
    <w:rsid w:val="00256111"/>
    <w:rsid w:val="00256BA3"/>
    <w:rsid w:val="00260104"/>
    <w:rsid w:val="00260A48"/>
    <w:rsid w:val="00260AE3"/>
    <w:rsid w:val="00260B42"/>
    <w:rsid w:val="00260F27"/>
    <w:rsid w:val="00261FCC"/>
    <w:rsid w:val="002643DB"/>
    <w:rsid w:val="00264CF7"/>
    <w:rsid w:val="00265841"/>
    <w:rsid w:val="00266D24"/>
    <w:rsid w:val="00267CB2"/>
    <w:rsid w:val="00273749"/>
    <w:rsid w:val="00273A1D"/>
    <w:rsid w:val="00274358"/>
    <w:rsid w:val="00274F89"/>
    <w:rsid w:val="002751F0"/>
    <w:rsid w:val="002764E2"/>
    <w:rsid w:val="002803BC"/>
    <w:rsid w:val="002831AD"/>
    <w:rsid w:val="00290120"/>
    <w:rsid w:val="00290775"/>
    <w:rsid w:val="0029166B"/>
    <w:rsid w:val="002918A3"/>
    <w:rsid w:val="002927DB"/>
    <w:rsid w:val="00292C3A"/>
    <w:rsid w:val="002964BD"/>
    <w:rsid w:val="00296BF2"/>
    <w:rsid w:val="002970EE"/>
    <w:rsid w:val="002A08F0"/>
    <w:rsid w:val="002A145C"/>
    <w:rsid w:val="002A14A7"/>
    <w:rsid w:val="002A1C47"/>
    <w:rsid w:val="002A43B0"/>
    <w:rsid w:val="002A544D"/>
    <w:rsid w:val="002B0FF1"/>
    <w:rsid w:val="002B1883"/>
    <w:rsid w:val="002B2264"/>
    <w:rsid w:val="002B244C"/>
    <w:rsid w:val="002B2B48"/>
    <w:rsid w:val="002B3314"/>
    <w:rsid w:val="002B35E5"/>
    <w:rsid w:val="002B3A42"/>
    <w:rsid w:val="002B7A9A"/>
    <w:rsid w:val="002C1296"/>
    <w:rsid w:val="002C1AA5"/>
    <w:rsid w:val="002C23B1"/>
    <w:rsid w:val="002C2A22"/>
    <w:rsid w:val="002C419A"/>
    <w:rsid w:val="002C53DD"/>
    <w:rsid w:val="002C56BF"/>
    <w:rsid w:val="002C5E0E"/>
    <w:rsid w:val="002C7B8E"/>
    <w:rsid w:val="002D0C03"/>
    <w:rsid w:val="002D114E"/>
    <w:rsid w:val="002D31CB"/>
    <w:rsid w:val="002D3202"/>
    <w:rsid w:val="002D41E5"/>
    <w:rsid w:val="002D4FA6"/>
    <w:rsid w:val="002D7EE7"/>
    <w:rsid w:val="002E0F80"/>
    <w:rsid w:val="002E1D29"/>
    <w:rsid w:val="002E2E09"/>
    <w:rsid w:val="002E49B2"/>
    <w:rsid w:val="002E5598"/>
    <w:rsid w:val="002E581E"/>
    <w:rsid w:val="002E6035"/>
    <w:rsid w:val="002E6985"/>
    <w:rsid w:val="002F030C"/>
    <w:rsid w:val="002F0D10"/>
    <w:rsid w:val="002F12E6"/>
    <w:rsid w:val="002F4035"/>
    <w:rsid w:val="002F442A"/>
    <w:rsid w:val="002F5436"/>
    <w:rsid w:val="002F57DE"/>
    <w:rsid w:val="002F5E6A"/>
    <w:rsid w:val="002F6122"/>
    <w:rsid w:val="002F702B"/>
    <w:rsid w:val="002F7A3A"/>
    <w:rsid w:val="003021F9"/>
    <w:rsid w:val="00304248"/>
    <w:rsid w:val="003042CC"/>
    <w:rsid w:val="00305258"/>
    <w:rsid w:val="00305532"/>
    <w:rsid w:val="0030637F"/>
    <w:rsid w:val="00306BB7"/>
    <w:rsid w:val="00306E35"/>
    <w:rsid w:val="003076ED"/>
    <w:rsid w:val="0031303E"/>
    <w:rsid w:val="0031374C"/>
    <w:rsid w:val="00315FEE"/>
    <w:rsid w:val="003179E4"/>
    <w:rsid w:val="00323193"/>
    <w:rsid w:val="00323524"/>
    <w:rsid w:val="0032364E"/>
    <w:rsid w:val="003238AE"/>
    <w:rsid w:val="00323F0D"/>
    <w:rsid w:val="00323FD3"/>
    <w:rsid w:val="003275BE"/>
    <w:rsid w:val="003302AF"/>
    <w:rsid w:val="00330C9D"/>
    <w:rsid w:val="00330F99"/>
    <w:rsid w:val="00333D01"/>
    <w:rsid w:val="003340A5"/>
    <w:rsid w:val="00334519"/>
    <w:rsid w:val="00335EC9"/>
    <w:rsid w:val="003365D5"/>
    <w:rsid w:val="003374BD"/>
    <w:rsid w:val="00337D03"/>
    <w:rsid w:val="00342169"/>
    <w:rsid w:val="00342998"/>
    <w:rsid w:val="00342A22"/>
    <w:rsid w:val="0034385D"/>
    <w:rsid w:val="00343E80"/>
    <w:rsid w:val="00345235"/>
    <w:rsid w:val="00345765"/>
    <w:rsid w:val="003465A2"/>
    <w:rsid w:val="00346859"/>
    <w:rsid w:val="00351B5F"/>
    <w:rsid w:val="00352D9F"/>
    <w:rsid w:val="00354225"/>
    <w:rsid w:val="003563FD"/>
    <w:rsid w:val="0036142C"/>
    <w:rsid w:val="0036379A"/>
    <w:rsid w:val="00364862"/>
    <w:rsid w:val="00365434"/>
    <w:rsid w:val="00365709"/>
    <w:rsid w:val="00366030"/>
    <w:rsid w:val="0036672B"/>
    <w:rsid w:val="003669F2"/>
    <w:rsid w:val="003669FD"/>
    <w:rsid w:val="00366DCE"/>
    <w:rsid w:val="00367B76"/>
    <w:rsid w:val="00367E09"/>
    <w:rsid w:val="00374BC7"/>
    <w:rsid w:val="003755DF"/>
    <w:rsid w:val="00375C5C"/>
    <w:rsid w:val="00376D6E"/>
    <w:rsid w:val="00376EC9"/>
    <w:rsid w:val="00377A24"/>
    <w:rsid w:val="0038113C"/>
    <w:rsid w:val="003811FC"/>
    <w:rsid w:val="00381601"/>
    <w:rsid w:val="003838E0"/>
    <w:rsid w:val="003843BA"/>
    <w:rsid w:val="0038594C"/>
    <w:rsid w:val="003864B2"/>
    <w:rsid w:val="00390FC9"/>
    <w:rsid w:val="0039191E"/>
    <w:rsid w:val="00393469"/>
    <w:rsid w:val="00393651"/>
    <w:rsid w:val="003959AE"/>
    <w:rsid w:val="00397ECD"/>
    <w:rsid w:val="003A074D"/>
    <w:rsid w:val="003A1301"/>
    <w:rsid w:val="003A1548"/>
    <w:rsid w:val="003A15BA"/>
    <w:rsid w:val="003A243B"/>
    <w:rsid w:val="003A29D3"/>
    <w:rsid w:val="003A6832"/>
    <w:rsid w:val="003A68EF"/>
    <w:rsid w:val="003A7E67"/>
    <w:rsid w:val="003B07A9"/>
    <w:rsid w:val="003B0810"/>
    <w:rsid w:val="003B0B79"/>
    <w:rsid w:val="003B1498"/>
    <w:rsid w:val="003B1DE3"/>
    <w:rsid w:val="003B4B97"/>
    <w:rsid w:val="003B510D"/>
    <w:rsid w:val="003B53D9"/>
    <w:rsid w:val="003B6006"/>
    <w:rsid w:val="003B6A44"/>
    <w:rsid w:val="003B6E02"/>
    <w:rsid w:val="003B711E"/>
    <w:rsid w:val="003C1457"/>
    <w:rsid w:val="003C2114"/>
    <w:rsid w:val="003C271C"/>
    <w:rsid w:val="003C29F1"/>
    <w:rsid w:val="003C3821"/>
    <w:rsid w:val="003C50F5"/>
    <w:rsid w:val="003C78F6"/>
    <w:rsid w:val="003C7DF9"/>
    <w:rsid w:val="003D1CAB"/>
    <w:rsid w:val="003D2316"/>
    <w:rsid w:val="003D2453"/>
    <w:rsid w:val="003D267F"/>
    <w:rsid w:val="003D2D61"/>
    <w:rsid w:val="003D4AD0"/>
    <w:rsid w:val="003D5E9F"/>
    <w:rsid w:val="003D6F21"/>
    <w:rsid w:val="003D7384"/>
    <w:rsid w:val="003E0924"/>
    <w:rsid w:val="003E1741"/>
    <w:rsid w:val="003E2D8B"/>
    <w:rsid w:val="003E3E78"/>
    <w:rsid w:val="003E3EEB"/>
    <w:rsid w:val="003E484F"/>
    <w:rsid w:val="003E59C6"/>
    <w:rsid w:val="003E71B6"/>
    <w:rsid w:val="003E7BAE"/>
    <w:rsid w:val="003F0B59"/>
    <w:rsid w:val="003F1B22"/>
    <w:rsid w:val="003F2AA0"/>
    <w:rsid w:val="003F3B2B"/>
    <w:rsid w:val="003F486D"/>
    <w:rsid w:val="003F4C42"/>
    <w:rsid w:val="003F5394"/>
    <w:rsid w:val="003F6054"/>
    <w:rsid w:val="003F60C1"/>
    <w:rsid w:val="003F6F26"/>
    <w:rsid w:val="003F7838"/>
    <w:rsid w:val="003F7888"/>
    <w:rsid w:val="0040085D"/>
    <w:rsid w:val="004011A6"/>
    <w:rsid w:val="0040138D"/>
    <w:rsid w:val="00402A69"/>
    <w:rsid w:val="00402C21"/>
    <w:rsid w:val="00403401"/>
    <w:rsid w:val="00403F95"/>
    <w:rsid w:val="00404248"/>
    <w:rsid w:val="0040449D"/>
    <w:rsid w:val="00404505"/>
    <w:rsid w:val="00404CEC"/>
    <w:rsid w:val="00405310"/>
    <w:rsid w:val="00407A83"/>
    <w:rsid w:val="004100A9"/>
    <w:rsid w:val="004100E3"/>
    <w:rsid w:val="0041222F"/>
    <w:rsid w:val="004128D7"/>
    <w:rsid w:val="004132E3"/>
    <w:rsid w:val="0041664A"/>
    <w:rsid w:val="0041681C"/>
    <w:rsid w:val="00417512"/>
    <w:rsid w:val="004179A6"/>
    <w:rsid w:val="00417D67"/>
    <w:rsid w:val="00421211"/>
    <w:rsid w:val="00422BAE"/>
    <w:rsid w:val="00422E84"/>
    <w:rsid w:val="00424323"/>
    <w:rsid w:val="004245D8"/>
    <w:rsid w:val="004261D9"/>
    <w:rsid w:val="00430EC6"/>
    <w:rsid w:val="0043290E"/>
    <w:rsid w:val="00432BC4"/>
    <w:rsid w:val="00437954"/>
    <w:rsid w:val="0044093C"/>
    <w:rsid w:val="00440C7D"/>
    <w:rsid w:val="0044113B"/>
    <w:rsid w:val="004413AD"/>
    <w:rsid w:val="00441CE4"/>
    <w:rsid w:val="00441F5B"/>
    <w:rsid w:val="00442520"/>
    <w:rsid w:val="00444339"/>
    <w:rsid w:val="00445122"/>
    <w:rsid w:val="004454DF"/>
    <w:rsid w:val="00445D3F"/>
    <w:rsid w:val="00446839"/>
    <w:rsid w:val="00446E47"/>
    <w:rsid w:val="00447A9D"/>
    <w:rsid w:val="004505CB"/>
    <w:rsid w:val="0045334D"/>
    <w:rsid w:val="0045336E"/>
    <w:rsid w:val="00454C2C"/>
    <w:rsid w:val="00454D62"/>
    <w:rsid w:val="004554F1"/>
    <w:rsid w:val="00457FC2"/>
    <w:rsid w:val="00460E4E"/>
    <w:rsid w:val="00462B38"/>
    <w:rsid w:val="0046363E"/>
    <w:rsid w:val="00463CCB"/>
    <w:rsid w:val="0046480C"/>
    <w:rsid w:val="00464BCD"/>
    <w:rsid w:val="00465318"/>
    <w:rsid w:val="00465C15"/>
    <w:rsid w:val="00466D68"/>
    <w:rsid w:val="004736AE"/>
    <w:rsid w:val="00473D6C"/>
    <w:rsid w:val="00475519"/>
    <w:rsid w:val="004755E1"/>
    <w:rsid w:val="00476F54"/>
    <w:rsid w:val="00480706"/>
    <w:rsid w:val="004813EA"/>
    <w:rsid w:val="004814D2"/>
    <w:rsid w:val="00481A6A"/>
    <w:rsid w:val="0048313C"/>
    <w:rsid w:val="004834AB"/>
    <w:rsid w:val="0048511B"/>
    <w:rsid w:val="004853EA"/>
    <w:rsid w:val="00485CD5"/>
    <w:rsid w:val="00487F09"/>
    <w:rsid w:val="004921B9"/>
    <w:rsid w:val="00492227"/>
    <w:rsid w:val="00492E72"/>
    <w:rsid w:val="00492F31"/>
    <w:rsid w:val="00495D01"/>
    <w:rsid w:val="00496E9A"/>
    <w:rsid w:val="004A1100"/>
    <w:rsid w:val="004A50DB"/>
    <w:rsid w:val="004A58F8"/>
    <w:rsid w:val="004A6419"/>
    <w:rsid w:val="004A65C8"/>
    <w:rsid w:val="004B01A5"/>
    <w:rsid w:val="004B1267"/>
    <w:rsid w:val="004B19D5"/>
    <w:rsid w:val="004B304F"/>
    <w:rsid w:val="004B3E6A"/>
    <w:rsid w:val="004B42FC"/>
    <w:rsid w:val="004B54CE"/>
    <w:rsid w:val="004B602E"/>
    <w:rsid w:val="004B794B"/>
    <w:rsid w:val="004B7A8A"/>
    <w:rsid w:val="004C0F55"/>
    <w:rsid w:val="004C15FB"/>
    <w:rsid w:val="004C1858"/>
    <w:rsid w:val="004C1867"/>
    <w:rsid w:val="004C3484"/>
    <w:rsid w:val="004C4830"/>
    <w:rsid w:val="004C558F"/>
    <w:rsid w:val="004C59AA"/>
    <w:rsid w:val="004C6D2D"/>
    <w:rsid w:val="004C6EA4"/>
    <w:rsid w:val="004D0FCB"/>
    <w:rsid w:val="004D2517"/>
    <w:rsid w:val="004D3900"/>
    <w:rsid w:val="004D4153"/>
    <w:rsid w:val="004D5DFA"/>
    <w:rsid w:val="004D6945"/>
    <w:rsid w:val="004D71C4"/>
    <w:rsid w:val="004D7833"/>
    <w:rsid w:val="004D7914"/>
    <w:rsid w:val="004D7EAC"/>
    <w:rsid w:val="004E0E40"/>
    <w:rsid w:val="004E2247"/>
    <w:rsid w:val="004E2305"/>
    <w:rsid w:val="004E26A0"/>
    <w:rsid w:val="004E278C"/>
    <w:rsid w:val="004E2BDF"/>
    <w:rsid w:val="004E4BE0"/>
    <w:rsid w:val="004E4FA0"/>
    <w:rsid w:val="004F01F2"/>
    <w:rsid w:val="004F0A7A"/>
    <w:rsid w:val="004F3F84"/>
    <w:rsid w:val="004F62F3"/>
    <w:rsid w:val="004F78D5"/>
    <w:rsid w:val="00501860"/>
    <w:rsid w:val="005030A0"/>
    <w:rsid w:val="00503D4E"/>
    <w:rsid w:val="00504293"/>
    <w:rsid w:val="0050484F"/>
    <w:rsid w:val="00506C2F"/>
    <w:rsid w:val="00507AC5"/>
    <w:rsid w:val="00510744"/>
    <w:rsid w:val="00511B5E"/>
    <w:rsid w:val="00513C5E"/>
    <w:rsid w:val="005142C3"/>
    <w:rsid w:val="0051621F"/>
    <w:rsid w:val="00517358"/>
    <w:rsid w:val="00517D51"/>
    <w:rsid w:val="0052008D"/>
    <w:rsid w:val="0052008F"/>
    <w:rsid w:val="005210B4"/>
    <w:rsid w:val="00521CB9"/>
    <w:rsid w:val="00522918"/>
    <w:rsid w:val="005236A3"/>
    <w:rsid w:val="00523732"/>
    <w:rsid w:val="00524414"/>
    <w:rsid w:val="0052662C"/>
    <w:rsid w:val="005271A4"/>
    <w:rsid w:val="005310C4"/>
    <w:rsid w:val="00533951"/>
    <w:rsid w:val="005348FF"/>
    <w:rsid w:val="00534BA6"/>
    <w:rsid w:val="00537DF9"/>
    <w:rsid w:val="00537E72"/>
    <w:rsid w:val="00541187"/>
    <w:rsid w:val="00541D36"/>
    <w:rsid w:val="0054274B"/>
    <w:rsid w:val="00542FE7"/>
    <w:rsid w:val="0054321F"/>
    <w:rsid w:val="00547316"/>
    <w:rsid w:val="0055088D"/>
    <w:rsid w:val="005514A2"/>
    <w:rsid w:val="0055159E"/>
    <w:rsid w:val="00553B1E"/>
    <w:rsid w:val="00554369"/>
    <w:rsid w:val="00554AEB"/>
    <w:rsid w:val="0055715D"/>
    <w:rsid w:val="00561BDE"/>
    <w:rsid w:val="00562586"/>
    <w:rsid w:val="00563D95"/>
    <w:rsid w:val="0056514F"/>
    <w:rsid w:val="00565D5E"/>
    <w:rsid w:val="00566E2F"/>
    <w:rsid w:val="00567258"/>
    <w:rsid w:val="00573A29"/>
    <w:rsid w:val="00573A62"/>
    <w:rsid w:val="0057559A"/>
    <w:rsid w:val="00575C2F"/>
    <w:rsid w:val="00576B0C"/>
    <w:rsid w:val="00576D1D"/>
    <w:rsid w:val="00577DDE"/>
    <w:rsid w:val="00581EC6"/>
    <w:rsid w:val="005822D9"/>
    <w:rsid w:val="005824D7"/>
    <w:rsid w:val="00583250"/>
    <w:rsid w:val="00583317"/>
    <w:rsid w:val="00583B79"/>
    <w:rsid w:val="00584BF0"/>
    <w:rsid w:val="0058669D"/>
    <w:rsid w:val="00587DFE"/>
    <w:rsid w:val="005907AE"/>
    <w:rsid w:val="00590D91"/>
    <w:rsid w:val="005917FD"/>
    <w:rsid w:val="00594647"/>
    <w:rsid w:val="0059631F"/>
    <w:rsid w:val="00596B1E"/>
    <w:rsid w:val="005970CF"/>
    <w:rsid w:val="0059745C"/>
    <w:rsid w:val="005977A5"/>
    <w:rsid w:val="005A0B6E"/>
    <w:rsid w:val="005A129A"/>
    <w:rsid w:val="005A1E75"/>
    <w:rsid w:val="005A239E"/>
    <w:rsid w:val="005A374B"/>
    <w:rsid w:val="005A38DE"/>
    <w:rsid w:val="005A53E9"/>
    <w:rsid w:val="005A5B62"/>
    <w:rsid w:val="005A6E16"/>
    <w:rsid w:val="005B009B"/>
    <w:rsid w:val="005B0476"/>
    <w:rsid w:val="005B0A66"/>
    <w:rsid w:val="005B1413"/>
    <w:rsid w:val="005B1476"/>
    <w:rsid w:val="005B311A"/>
    <w:rsid w:val="005B3453"/>
    <w:rsid w:val="005B399B"/>
    <w:rsid w:val="005B3D35"/>
    <w:rsid w:val="005B4C6F"/>
    <w:rsid w:val="005B6212"/>
    <w:rsid w:val="005B748E"/>
    <w:rsid w:val="005C0573"/>
    <w:rsid w:val="005C1DCB"/>
    <w:rsid w:val="005C2F19"/>
    <w:rsid w:val="005C3C28"/>
    <w:rsid w:val="005C4516"/>
    <w:rsid w:val="005C64C9"/>
    <w:rsid w:val="005C6FD3"/>
    <w:rsid w:val="005C711B"/>
    <w:rsid w:val="005C77C5"/>
    <w:rsid w:val="005D0E8A"/>
    <w:rsid w:val="005D1C3D"/>
    <w:rsid w:val="005D3633"/>
    <w:rsid w:val="005D53CB"/>
    <w:rsid w:val="005D6034"/>
    <w:rsid w:val="005D6584"/>
    <w:rsid w:val="005E0F95"/>
    <w:rsid w:val="005E0FF0"/>
    <w:rsid w:val="005E191A"/>
    <w:rsid w:val="005E22B4"/>
    <w:rsid w:val="005E27FA"/>
    <w:rsid w:val="005E3168"/>
    <w:rsid w:val="005E3316"/>
    <w:rsid w:val="005E4857"/>
    <w:rsid w:val="005E6251"/>
    <w:rsid w:val="005F12C6"/>
    <w:rsid w:val="005F478F"/>
    <w:rsid w:val="005F6357"/>
    <w:rsid w:val="005F6FEC"/>
    <w:rsid w:val="005F70B5"/>
    <w:rsid w:val="00600C2E"/>
    <w:rsid w:val="00601C1E"/>
    <w:rsid w:val="00601E6B"/>
    <w:rsid w:val="00602477"/>
    <w:rsid w:val="00602993"/>
    <w:rsid w:val="00602D1D"/>
    <w:rsid w:val="00603350"/>
    <w:rsid w:val="0060386C"/>
    <w:rsid w:val="00603B1D"/>
    <w:rsid w:val="00605E3D"/>
    <w:rsid w:val="00606A8E"/>
    <w:rsid w:val="00606ED3"/>
    <w:rsid w:val="006124D5"/>
    <w:rsid w:val="00612586"/>
    <w:rsid w:val="00612BA7"/>
    <w:rsid w:val="00613A9B"/>
    <w:rsid w:val="006143A4"/>
    <w:rsid w:val="00614AD4"/>
    <w:rsid w:val="00617F86"/>
    <w:rsid w:val="00621115"/>
    <w:rsid w:val="00621921"/>
    <w:rsid w:val="00621BB2"/>
    <w:rsid w:val="006221E7"/>
    <w:rsid w:val="00622455"/>
    <w:rsid w:val="00622BE0"/>
    <w:rsid w:val="00622C27"/>
    <w:rsid w:val="006231EE"/>
    <w:rsid w:val="00623256"/>
    <w:rsid w:val="00623F3B"/>
    <w:rsid w:val="0062497D"/>
    <w:rsid w:val="00624B04"/>
    <w:rsid w:val="00625F55"/>
    <w:rsid w:val="00626558"/>
    <w:rsid w:val="006267B2"/>
    <w:rsid w:val="006272E9"/>
    <w:rsid w:val="00627604"/>
    <w:rsid w:val="00632177"/>
    <w:rsid w:val="006331AA"/>
    <w:rsid w:val="006344B9"/>
    <w:rsid w:val="00634C48"/>
    <w:rsid w:val="00640E1D"/>
    <w:rsid w:val="006415CA"/>
    <w:rsid w:val="0064272A"/>
    <w:rsid w:val="00645163"/>
    <w:rsid w:val="00645ECF"/>
    <w:rsid w:val="0064736F"/>
    <w:rsid w:val="00650F7B"/>
    <w:rsid w:val="006510B8"/>
    <w:rsid w:val="00651495"/>
    <w:rsid w:val="00651D2C"/>
    <w:rsid w:val="00652421"/>
    <w:rsid w:val="00654807"/>
    <w:rsid w:val="00654B95"/>
    <w:rsid w:val="00655095"/>
    <w:rsid w:val="00655221"/>
    <w:rsid w:val="006564DA"/>
    <w:rsid w:val="00657D06"/>
    <w:rsid w:val="006600F4"/>
    <w:rsid w:val="006616FD"/>
    <w:rsid w:val="00661AD1"/>
    <w:rsid w:val="00662875"/>
    <w:rsid w:val="006674CB"/>
    <w:rsid w:val="00667692"/>
    <w:rsid w:val="00667F11"/>
    <w:rsid w:val="00670336"/>
    <w:rsid w:val="006720BD"/>
    <w:rsid w:val="006720C7"/>
    <w:rsid w:val="00672130"/>
    <w:rsid w:val="00672E3B"/>
    <w:rsid w:val="00673C8D"/>
    <w:rsid w:val="00674AE5"/>
    <w:rsid w:val="00675057"/>
    <w:rsid w:val="00675486"/>
    <w:rsid w:val="006755D3"/>
    <w:rsid w:val="00676506"/>
    <w:rsid w:val="00676B26"/>
    <w:rsid w:val="0067762A"/>
    <w:rsid w:val="00677B3B"/>
    <w:rsid w:val="00677F87"/>
    <w:rsid w:val="00680DFF"/>
    <w:rsid w:val="006826D7"/>
    <w:rsid w:val="006826E4"/>
    <w:rsid w:val="00683956"/>
    <w:rsid w:val="006840C3"/>
    <w:rsid w:val="006841C6"/>
    <w:rsid w:val="00684DBD"/>
    <w:rsid w:val="00690AA4"/>
    <w:rsid w:val="0069139E"/>
    <w:rsid w:val="00691CC7"/>
    <w:rsid w:val="00692B53"/>
    <w:rsid w:val="00693172"/>
    <w:rsid w:val="00693D89"/>
    <w:rsid w:val="00694EAE"/>
    <w:rsid w:val="006959E9"/>
    <w:rsid w:val="00695D18"/>
    <w:rsid w:val="006966B6"/>
    <w:rsid w:val="0069775F"/>
    <w:rsid w:val="006A0202"/>
    <w:rsid w:val="006A1156"/>
    <w:rsid w:val="006A2BF7"/>
    <w:rsid w:val="006A2C89"/>
    <w:rsid w:val="006A5075"/>
    <w:rsid w:val="006A58C2"/>
    <w:rsid w:val="006A59A7"/>
    <w:rsid w:val="006A73F3"/>
    <w:rsid w:val="006A7EFD"/>
    <w:rsid w:val="006A7F89"/>
    <w:rsid w:val="006B031A"/>
    <w:rsid w:val="006B14AB"/>
    <w:rsid w:val="006B1E6F"/>
    <w:rsid w:val="006B2FB2"/>
    <w:rsid w:val="006B40FA"/>
    <w:rsid w:val="006B5111"/>
    <w:rsid w:val="006B6BD4"/>
    <w:rsid w:val="006B7EDD"/>
    <w:rsid w:val="006C065B"/>
    <w:rsid w:val="006C1572"/>
    <w:rsid w:val="006C1809"/>
    <w:rsid w:val="006C1A12"/>
    <w:rsid w:val="006C319E"/>
    <w:rsid w:val="006C31A6"/>
    <w:rsid w:val="006C5BA5"/>
    <w:rsid w:val="006C6AF0"/>
    <w:rsid w:val="006C728C"/>
    <w:rsid w:val="006C7D1C"/>
    <w:rsid w:val="006D0E80"/>
    <w:rsid w:val="006D34F4"/>
    <w:rsid w:val="006D3A55"/>
    <w:rsid w:val="006D3B05"/>
    <w:rsid w:val="006D5ACC"/>
    <w:rsid w:val="006D673F"/>
    <w:rsid w:val="006D6ABC"/>
    <w:rsid w:val="006D7115"/>
    <w:rsid w:val="006D78FF"/>
    <w:rsid w:val="006E00E3"/>
    <w:rsid w:val="006E05CA"/>
    <w:rsid w:val="006E1747"/>
    <w:rsid w:val="006E505D"/>
    <w:rsid w:val="006E51DA"/>
    <w:rsid w:val="006E55E9"/>
    <w:rsid w:val="006E6398"/>
    <w:rsid w:val="006E6DF7"/>
    <w:rsid w:val="006F2597"/>
    <w:rsid w:val="006F2F0B"/>
    <w:rsid w:val="006F48C6"/>
    <w:rsid w:val="006F5051"/>
    <w:rsid w:val="006F5AA4"/>
    <w:rsid w:val="006F6258"/>
    <w:rsid w:val="006F7CA6"/>
    <w:rsid w:val="006F7CC2"/>
    <w:rsid w:val="007027A4"/>
    <w:rsid w:val="007032EE"/>
    <w:rsid w:val="007054A2"/>
    <w:rsid w:val="00706315"/>
    <w:rsid w:val="00706A0A"/>
    <w:rsid w:val="007071F8"/>
    <w:rsid w:val="0071105D"/>
    <w:rsid w:val="00712444"/>
    <w:rsid w:val="00713C68"/>
    <w:rsid w:val="007163A6"/>
    <w:rsid w:val="00716810"/>
    <w:rsid w:val="007177F0"/>
    <w:rsid w:val="007213A5"/>
    <w:rsid w:val="00723CAA"/>
    <w:rsid w:val="00725281"/>
    <w:rsid w:val="00732B79"/>
    <w:rsid w:val="00732DFC"/>
    <w:rsid w:val="007342FE"/>
    <w:rsid w:val="0073524B"/>
    <w:rsid w:val="00737757"/>
    <w:rsid w:val="00740F56"/>
    <w:rsid w:val="00740F70"/>
    <w:rsid w:val="00741F8C"/>
    <w:rsid w:val="00743116"/>
    <w:rsid w:val="007432C6"/>
    <w:rsid w:val="007471E0"/>
    <w:rsid w:val="00751B9C"/>
    <w:rsid w:val="007523BE"/>
    <w:rsid w:val="007523D2"/>
    <w:rsid w:val="00752595"/>
    <w:rsid w:val="00753C0D"/>
    <w:rsid w:val="00753E56"/>
    <w:rsid w:val="00754853"/>
    <w:rsid w:val="00754B31"/>
    <w:rsid w:val="00755236"/>
    <w:rsid w:val="0075545E"/>
    <w:rsid w:val="007559D5"/>
    <w:rsid w:val="00755E36"/>
    <w:rsid w:val="007562B1"/>
    <w:rsid w:val="0075695A"/>
    <w:rsid w:val="00756ECB"/>
    <w:rsid w:val="00756FC5"/>
    <w:rsid w:val="00757B31"/>
    <w:rsid w:val="007605F7"/>
    <w:rsid w:val="007628E8"/>
    <w:rsid w:val="007650CF"/>
    <w:rsid w:val="00765552"/>
    <w:rsid w:val="00765BB1"/>
    <w:rsid w:val="00766CF6"/>
    <w:rsid w:val="00767152"/>
    <w:rsid w:val="00767AC9"/>
    <w:rsid w:val="00770182"/>
    <w:rsid w:val="00770283"/>
    <w:rsid w:val="00770B45"/>
    <w:rsid w:val="00772CBA"/>
    <w:rsid w:val="00772F30"/>
    <w:rsid w:val="00773894"/>
    <w:rsid w:val="007741F9"/>
    <w:rsid w:val="007760F7"/>
    <w:rsid w:val="00776790"/>
    <w:rsid w:val="00780396"/>
    <w:rsid w:val="00781844"/>
    <w:rsid w:val="007822C7"/>
    <w:rsid w:val="00782D00"/>
    <w:rsid w:val="00784951"/>
    <w:rsid w:val="007849B9"/>
    <w:rsid w:val="00784D26"/>
    <w:rsid w:val="00785532"/>
    <w:rsid w:val="00790925"/>
    <w:rsid w:val="00791C82"/>
    <w:rsid w:val="00792FA8"/>
    <w:rsid w:val="00794AF1"/>
    <w:rsid w:val="007960C5"/>
    <w:rsid w:val="00797D0B"/>
    <w:rsid w:val="007A0B81"/>
    <w:rsid w:val="007A1026"/>
    <w:rsid w:val="007A1DEA"/>
    <w:rsid w:val="007A270B"/>
    <w:rsid w:val="007A3E6D"/>
    <w:rsid w:val="007A417C"/>
    <w:rsid w:val="007A5B5A"/>
    <w:rsid w:val="007A5C2D"/>
    <w:rsid w:val="007A6C69"/>
    <w:rsid w:val="007A6FD9"/>
    <w:rsid w:val="007A7136"/>
    <w:rsid w:val="007B237D"/>
    <w:rsid w:val="007B3A3A"/>
    <w:rsid w:val="007B3DD5"/>
    <w:rsid w:val="007B43C4"/>
    <w:rsid w:val="007B7504"/>
    <w:rsid w:val="007C2169"/>
    <w:rsid w:val="007C2555"/>
    <w:rsid w:val="007C374B"/>
    <w:rsid w:val="007C3BB0"/>
    <w:rsid w:val="007C4155"/>
    <w:rsid w:val="007C4C8B"/>
    <w:rsid w:val="007C4CA2"/>
    <w:rsid w:val="007C4E8E"/>
    <w:rsid w:val="007C7B70"/>
    <w:rsid w:val="007D184E"/>
    <w:rsid w:val="007D2E56"/>
    <w:rsid w:val="007D3AAD"/>
    <w:rsid w:val="007D3E05"/>
    <w:rsid w:val="007D54D9"/>
    <w:rsid w:val="007D54FA"/>
    <w:rsid w:val="007D6A9B"/>
    <w:rsid w:val="007E0028"/>
    <w:rsid w:val="007E0112"/>
    <w:rsid w:val="007E1188"/>
    <w:rsid w:val="007E14C5"/>
    <w:rsid w:val="007E3A0A"/>
    <w:rsid w:val="007E3BC8"/>
    <w:rsid w:val="007E4E4A"/>
    <w:rsid w:val="007E4E7C"/>
    <w:rsid w:val="007E5906"/>
    <w:rsid w:val="007E6B1D"/>
    <w:rsid w:val="007E705C"/>
    <w:rsid w:val="007E7177"/>
    <w:rsid w:val="007E73E1"/>
    <w:rsid w:val="007F10D0"/>
    <w:rsid w:val="007F140E"/>
    <w:rsid w:val="007F1898"/>
    <w:rsid w:val="007F1C0E"/>
    <w:rsid w:val="007F22A4"/>
    <w:rsid w:val="007F23FE"/>
    <w:rsid w:val="007F4C0A"/>
    <w:rsid w:val="007F4F71"/>
    <w:rsid w:val="007F51BB"/>
    <w:rsid w:val="007F5E66"/>
    <w:rsid w:val="007F5F77"/>
    <w:rsid w:val="007F6B51"/>
    <w:rsid w:val="007F7088"/>
    <w:rsid w:val="008002E7"/>
    <w:rsid w:val="0080159F"/>
    <w:rsid w:val="00802385"/>
    <w:rsid w:val="008026EA"/>
    <w:rsid w:val="00802734"/>
    <w:rsid w:val="008032AF"/>
    <w:rsid w:val="008036F1"/>
    <w:rsid w:val="0080431A"/>
    <w:rsid w:val="0080584D"/>
    <w:rsid w:val="00807498"/>
    <w:rsid w:val="00807E89"/>
    <w:rsid w:val="008102B3"/>
    <w:rsid w:val="0081073F"/>
    <w:rsid w:val="00811AE7"/>
    <w:rsid w:val="008120CD"/>
    <w:rsid w:val="008123A7"/>
    <w:rsid w:val="0081506D"/>
    <w:rsid w:val="00815A32"/>
    <w:rsid w:val="00815C9C"/>
    <w:rsid w:val="008173CC"/>
    <w:rsid w:val="00817E19"/>
    <w:rsid w:val="00820A5C"/>
    <w:rsid w:val="00821D51"/>
    <w:rsid w:val="00826B77"/>
    <w:rsid w:val="00826B81"/>
    <w:rsid w:val="00831458"/>
    <w:rsid w:val="008317E4"/>
    <w:rsid w:val="008326B4"/>
    <w:rsid w:val="008376BB"/>
    <w:rsid w:val="008407AC"/>
    <w:rsid w:val="008411F5"/>
    <w:rsid w:val="00842176"/>
    <w:rsid w:val="00844315"/>
    <w:rsid w:val="00845BA0"/>
    <w:rsid w:val="00853F04"/>
    <w:rsid w:val="00854939"/>
    <w:rsid w:val="008550D0"/>
    <w:rsid w:val="00855ED8"/>
    <w:rsid w:val="0085648A"/>
    <w:rsid w:val="00856FE4"/>
    <w:rsid w:val="00857B35"/>
    <w:rsid w:val="00860470"/>
    <w:rsid w:val="00860EA9"/>
    <w:rsid w:val="00862FF7"/>
    <w:rsid w:val="008632D2"/>
    <w:rsid w:val="00864B99"/>
    <w:rsid w:val="00864C15"/>
    <w:rsid w:val="00865871"/>
    <w:rsid w:val="00865EA2"/>
    <w:rsid w:val="00871A7B"/>
    <w:rsid w:val="00873B8C"/>
    <w:rsid w:val="0087498E"/>
    <w:rsid w:val="00874BFF"/>
    <w:rsid w:val="00875B15"/>
    <w:rsid w:val="00880FD7"/>
    <w:rsid w:val="00882D61"/>
    <w:rsid w:val="00883524"/>
    <w:rsid w:val="008851B0"/>
    <w:rsid w:val="008856F8"/>
    <w:rsid w:val="008878FC"/>
    <w:rsid w:val="0089057A"/>
    <w:rsid w:val="00891B74"/>
    <w:rsid w:val="00891B7B"/>
    <w:rsid w:val="008928C2"/>
    <w:rsid w:val="00893838"/>
    <w:rsid w:val="0089454B"/>
    <w:rsid w:val="00894907"/>
    <w:rsid w:val="00895430"/>
    <w:rsid w:val="00896D15"/>
    <w:rsid w:val="00896E21"/>
    <w:rsid w:val="00897194"/>
    <w:rsid w:val="008976B8"/>
    <w:rsid w:val="008A04E6"/>
    <w:rsid w:val="008A0ECE"/>
    <w:rsid w:val="008A1027"/>
    <w:rsid w:val="008A1288"/>
    <w:rsid w:val="008A1C96"/>
    <w:rsid w:val="008A2D9C"/>
    <w:rsid w:val="008A315A"/>
    <w:rsid w:val="008A3D72"/>
    <w:rsid w:val="008A4405"/>
    <w:rsid w:val="008A49CD"/>
    <w:rsid w:val="008A5A85"/>
    <w:rsid w:val="008A7167"/>
    <w:rsid w:val="008A7E57"/>
    <w:rsid w:val="008B0E7A"/>
    <w:rsid w:val="008B406C"/>
    <w:rsid w:val="008B697A"/>
    <w:rsid w:val="008C0651"/>
    <w:rsid w:val="008C14FB"/>
    <w:rsid w:val="008C2798"/>
    <w:rsid w:val="008C2ABC"/>
    <w:rsid w:val="008C3774"/>
    <w:rsid w:val="008C45A5"/>
    <w:rsid w:val="008C5E4F"/>
    <w:rsid w:val="008C6BEB"/>
    <w:rsid w:val="008D0471"/>
    <w:rsid w:val="008D0DE3"/>
    <w:rsid w:val="008D1C12"/>
    <w:rsid w:val="008D3C29"/>
    <w:rsid w:val="008D4CFC"/>
    <w:rsid w:val="008D50E5"/>
    <w:rsid w:val="008D5CF4"/>
    <w:rsid w:val="008D6445"/>
    <w:rsid w:val="008D72CD"/>
    <w:rsid w:val="008D74C6"/>
    <w:rsid w:val="008D7954"/>
    <w:rsid w:val="008E0345"/>
    <w:rsid w:val="008E07BC"/>
    <w:rsid w:val="008E081C"/>
    <w:rsid w:val="008E17D7"/>
    <w:rsid w:val="008E1E3E"/>
    <w:rsid w:val="008E27A8"/>
    <w:rsid w:val="008F080A"/>
    <w:rsid w:val="008F2BAB"/>
    <w:rsid w:val="008F5779"/>
    <w:rsid w:val="008F7DA6"/>
    <w:rsid w:val="00900678"/>
    <w:rsid w:val="009006B5"/>
    <w:rsid w:val="0090117E"/>
    <w:rsid w:val="0090160F"/>
    <w:rsid w:val="0090165A"/>
    <w:rsid w:val="00901CFD"/>
    <w:rsid w:val="00903596"/>
    <w:rsid w:val="00904281"/>
    <w:rsid w:val="00904E72"/>
    <w:rsid w:val="00905CFA"/>
    <w:rsid w:val="0090613E"/>
    <w:rsid w:val="00906668"/>
    <w:rsid w:val="00911560"/>
    <w:rsid w:val="00911B3D"/>
    <w:rsid w:val="0091256B"/>
    <w:rsid w:val="00913138"/>
    <w:rsid w:val="00914290"/>
    <w:rsid w:val="00914843"/>
    <w:rsid w:val="00914BB4"/>
    <w:rsid w:val="00915A67"/>
    <w:rsid w:val="00915F7C"/>
    <w:rsid w:val="0091669F"/>
    <w:rsid w:val="0092004E"/>
    <w:rsid w:val="00920276"/>
    <w:rsid w:val="00921085"/>
    <w:rsid w:val="00921FB3"/>
    <w:rsid w:val="0092284A"/>
    <w:rsid w:val="00922B55"/>
    <w:rsid w:val="009246AC"/>
    <w:rsid w:val="0093011F"/>
    <w:rsid w:val="0093017B"/>
    <w:rsid w:val="009301BF"/>
    <w:rsid w:val="00932956"/>
    <w:rsid w:val="009339F6"/>
    <w:rsid w:val="00935109"/>
    <w:rsid w:val="00935790"/>
    <w:rsid w:val="00936867"/>
    <w:rsid w:val="0093744E"/>
    <w:rsid w:val="00940091"/>
    <w:rsid w:val="00940C13"/>
    <w:rsid w:val="00941D26"/>
    <w:rsid w:val="00941DA0"/>
    <w:rsid w:val="009429B3"/>
    <w:rsid w:val="009461E5"/>
    <w:rsid w:val="00950F53"/>
    <w:rsid w:val="0095234E"/>
    <w:rsid w:val="0095276F"/>
    <w:rsid w:val="00952BCF"/>
    <w:rsid w:val="00952FB8"/>
    <w:rsid w:val="00953EF9"/>
    <w:rsid w:val="00954575"/>
    <w:rsid w:val="0095466E"/>
    <w:rsid w:val="00954BCE"/>
    <w:rsid w:val="00956AA6"/>
    <w:rsid w:val="00956E30"/>
    <w:rsid w:val="009575B1"/>
    <w:rsid w:val="00960FE8"/>
    <w:rsid w:val="009619EA"/>
    <w:rsid w:val="00961A4E"/>
    <w:rsid w:val="00961C2E"/>
    <w:rsid w:val="00963BB4"/>
    <w:rsid w:val="00964441"/>
    <w:rsid w:val="00964D8A"/>
    <w:rsid w:val="00970120"/>
    <w:rsid w:val="009707CD"/>
    <w:rsid w:val="00971B2D"/>
    <w:rsid w:val="00974C36"/>
    <w:rsid w:val="00975F3A"/>
    <w:rsid w:val="00976F01"/>
    <w:rsid w:val="00977301"/>
    <w:rsid w:val="009775DC"/>
    <w:rsid w:val="00980222"/>
    <w:rsid w:val="009804F8"/>
    <w:rsid w:val="009823BF"/>
    <w:rsid w:val="00982F8D"/>
    <w:rsid w:val="00983989"/>
    <w:rsid w:val="00985023"/>
    <w:rsid w:val="009855BC"/>
    <w:rsid w:val="0099169E"/>
    <w:rsid w:val="00991D43"/>
    <w:rsid w:val="00992221"/>
    <w:rsid w:val="009926EB"/>
    <w:rsid w:val="00995A47"/>
    <w:rsid w:val="00995DF5"/>
    <w:rsid w:val="00996709"/>
    <w:rsid w:val="009972CE"/>
    <w:rsid w:val="00997A09"/>
    <w:rsid w:val="00997D8C"/>
    <w:rsid w:val="00997E65"/>
    <w:rsid w:val="009A0B8E"/>
    <w:rsid w:val="009A7456"/>
    <w:rsid w:val="009A7A86"/>
    <w:rsid w:val="009A7B8F"/>
    <w:rsid w:val="009B1EDD"/>
    <w:rsid w:val="009B24EB"/>
    <w:rsid w:val="009B3802"/>
    <w:rsid w:val="009B3C36"/>
    <w:rsid w:val="009B40E5"/>
    <w:rsid w:val="009B50F5"/>
    <w:rsid w:val="009B52FA"/>
    <w:rsid w:val="009B65DD"/>
    <w:rsid w:val="009C077B"/>
    <w:rsid w:val="009C0E50"/>
    <w:rsid w:val="009C3051"/>
    <w:rsid w:val="009C3BCB"/>
    <w:rsid w:val="009C427B"/>
    <w:rsid w:val="009C644E"/>
    <w:rsid w:val="009C6637"/>
    <w:rsid w:val="009C694C"/>
    <w:rsid w:val="009D66D2"/>
    <w:rsid w:val="009D7723"/>
    <w:rsid w:val="009E2D38"/>
    <w:rsid w:val="009E35B8"/>
    <w:rsid w:val="009E4A91"/>
    <w:rsid w:val="009E4C70"/>
    <w:rsid w:val="009E6563"/>
    <w:rsid w:val="009E67A8"/>
    <w:rsid w:val="009E7E55"/>
    <w:rsid w:val="009F042F"/>
    <w:rsid w:val="009F35F4"/>
    <w:rsid w:val="009F6ADA"/>
    <w:rsid w:val="009F71AC"/>
    <w:rsid w:val="00A01908"/>
    <w:rsid w:val="00A02884"/>
    <w:rsid w:val="00A02CF0"/>
    <w:rsid w:val="00A0336E"/>
    <w:rsid w:val="00A0661D"/>
    <w:rsid w:val="00A11170"/>
    <w:rsid w:val="00A11AE7"/>
    <w:rsid w:val="00A12EB1"/>
    <w:rsid w:val="00A13D7C"/>
    <w:rsid w:val="00A214A8"/>
    <w:rsid w:val="00A224EB"/>
    <w:rsid w:val="00A22F30"/>
    <w:rsid w:val="00A23F4A"/>
    <w:rsid w:val="00A252E8"/>
    <w:rsid w:val="00A279EA"/>
    <w:rsid w:val="00A27AC1"/>
    <w:rsid w:val="00A30606"/>
    <w:rsid w:val="00A30B16"/>
    <w:rsid w:val="00A30B33"/>
    <w:rsid w:val="00A31A14"/>
    <w:rsid w:val="00A31A97"/>
    <w:rsid w:val="00A31D22"/>
    <w:rsid w:val="00A32885"/>
    <w:rsid w:val="00A33963"/>
    <w:rsid w:val="00A33B19"/>
    <w:rsid w:val="00A33C4F"/>
    <w:rsid w:val="00A351FD"/>
    <w:rsid w:val="00A365A5"/>
    <w:rsid w:val="00A36F45"/>
    <w:rsid w:val="00A373B7"/>
    <w:rsid w:val="00A375F8"/>
    <w:rsid w:val="00A37EFB"/>
    <w:rsid w:val="00A40C70"/>
    <w:rsid w:val="00A41541"/>
    <w:rsid w:val="00A41725"/>
    <w:rsid w:val="00A44BC4"/>
    <w:rsid w:val="00A46704"/>
    <w:rsid w:val="00A47200"/>
    <w:rsid w:val="00A47E1E"/>
    <w:rsid w:val="00A5108F"/>
    <w:rsid w:val="00A524E6"/>
    <w:rsid w:val="00A55958"/>
    <w:rsid w:val="00A560F8"/>
    <w:rsid w:val="00A563E8"/>
    <w:rsid w:val="00A62DD6"/>
    <w:rsid w:val="00A64614"/>
    <w:rsid w:val="00A66669"/>
    <w:rsid w:val="00A666B7"/>
    <w:rsid w:val="00A66C79"/>
    <w:rsid w:val="00A67892"/>
    <w:rsid w:val="00A703A0"/>
    <w:rsid w:val="00A70462"/>
    <w:rsid w:val="00A71E6A"/>
    <w:rsid w:val="00A727FC"/>
    <w:rsid w:val="00A72CC5"/>
    <w:rsid w:val="00A73278"/>
    <w:rsid w:val="00A7371B"/>
    <w:rsid w:val="00A74C58"/>
    <w:rsid w:val="00A74D6C"/>
    <w:rsid w:val="00A75A44"/>
    <w:rsid w:val="00A80BC7"/>
    <w:rsid w:val="00A81159"/>
    <w:rsid w:val="00A814AC"/>
    <w:rsid w:val="00A81B9E"/>
    <w:rsid w:val="00A82FFD"/>
    <w:rsid w:val="00A8315C"/>
    <w:rsid w:val="00A8349C"/>
    <w:rsid w:val="00A86E9E"/>
    <w:rsid w:val="00A90675"/>
    <w:rsid w:val="00A94E07"/>
    <w:rsid w:val="00A95E01"/>
    <w:rsid w:val="00A963DF"/>
    <w:rsid w:val="00A974BF"/>
    <w:rsid w:val="00A97BF4"/>
    <w:rsid w:val="00AA02EB"/>
    <w:rsid w:val="00AA073C"/>
    <w:rsid w:val="00AA0AAE"/>
    <w:rsid w:val="00AA0B33"/>
    <w:rsid w:val="00AA0C93"/>
    <w:rsid w:val="00AA278D"/>
    <w:rsid w:val="00AA3866"/>
    <w:rsid w:val="00AA44BD"/>
    <w:rsid w:val="00AA4701"/>
    <w:rsid w:val="00AA4C34"/>
    <w:rsid w:val="00AA5662"/>
    <w:rsid w:val="00AA64B8"/>
    <w:rsid w:val="00AA679A"/>
    <w:rsid w:val="00AA70F4"/>
    <w:rsid w:val="00AA7132"/>
    <w:rsid w:val="00AB1D6D"/>
    <w:rsid w:val="00AB4287"/>
    <w:rsid w:val="00AB4AF2"/>
    <w:rsid w:val="00AB5048"/>
    <w:rsid w:val="00AB572E"/>
    <w:rsid w:val="00AB7753"/>
    <w:rsid w:val="00AB7774"/>
    <w:rsid w:val="00AC0B45"/>
    <w:rsid w:val="00AC0C58"/>
    <w:rsid w:val="00AC1056"/>
    <w:rsid w:val="00AC188A"/>
    <w:rsid w:val="00AC1D6B"/>
    <w:rsid w:val="00AC2322"/>
    <w:rsid w:val="00AC28F8"/>
    <w:rsid w:val="00AC5184"/>
    <w:rsid w:val="00AC6DF6"/>
    <w:rsid w:val="00AD0EFF"/>
    <w:rsid w:val="00AD231B"/>
    <w:rsid w:val="00AD3A99"/>
    <w:rsid w:val="00AD3F08"/>
    <w:rsid w:val="00AD6DAF"/>
    <w:rsid w:val="00AD77B6"/>
    <w:rsid w:val="00AE310B"/>
    <w:rsid w:val="00AE3D97"/>
    <w:rsid w:val="00AE3F72"/>
    <w:rsid w:val="00AE6283"/>
    <w:rsid w:val="00AE6E74"/>
    <w:rsid w:val="00AE7AF3"/>
    <w:rsid w:val="00AF0FCD"/>
    <w:rsid w:val="00AF1D54"/>
    <w:rsid w:val="00AF30AB"/>
    <w:rsid w:val="00AF504D"/>
    <w:rsid w:val="00AF769F"/>
    <w:rsid w:val="00AF79FD"/>
    <w:rsid w:val="00B01262"/>
    <w:rsid w:val="00B01C74"/>
    <w:rsid w:val="00B01F32"/>
    <w:rsid w:val="00B02118"/>
    <w:rsid w:val="00B027E2"/>
    <w:rsid w:val="00B03AAB"/>
    <w:rsid w:val="00B03EBF"/>
    <w:rsid w:val="00B0433A"/>
    <w:rsid w:val="00B07137"/>
    <w:rsid w:val="00B07FD8"/>
    <w:rsid w:val="00B13060"/>
    <w:rsid w:val="00B13F79"/>
    <w:rsid w:val="00B14616"/>
    <w:rsid w:val="00B156F4"/>
    <w:rsid w:val="00B15E3F"/>
    <w:rsid w:val="00B16099"/>
    <w:rsid w:val="00B16282"/>
    <w:rsid w:val="00B1631C"/>
    <w:rsid w:val="00B16742"/>
    <w:rsid w:val="00B1694C"/>
    <w:rsid w:val="00B20E07"/>
    <w:rsid w:val="00B213AF"/>
    <w:rsid w:val="00B23FA0"/>
    <w:rsid w:val="00B26604"/>
    <w:rsid w:val="00B26FB4"/>
    <w:rsid w:val="00B308B0"/>
    <w:rsid w:val="00B30A9F"/>
    <w:rsid w:val="00B327EE"/>
    <w:rsid w:val="00B331A8"/>
    <w:rsid w:val="00B3451B"/>
    <w:rsid w:val="00B3583E"/>
    <w:rsid w:val="00B3591B"/>
    <w:rsid w:val="00B37D80"/>
    <w:rsid w:val="00B40B95"/>
    <w:rsid w:val="00B427BA"/>
    <w:rsid w:val="00B42CD7"/>
    <w:rsid w:val="00B43AA1"/>
    <w:rsid w:val="00B43D4E"/>
    <w:rsid w:val="00B44232"/>
    <w:rsid w:val="00B444AC"/>
    <w:rsid w:val="00B44628"/>
    <w:rsid w:val="00B469CA"/>
    <w:rsid w:val="00B47FC4"/>
    <w:rsid w:val="00B50385"/>
    <w:rsid w:val="00B512FB"/>
    <w:rsid w:val="00B54A24"/>
    <w:rsid w:val="00B62F47"/>
    <w:rsid w:val="00B63A0A"/>
    <w:rsid w:val="00B63EB7"/>
    <w:rsid w:val="00B644DF"/>
    <w:rsid w:val="00B6673E"/>
    <w:rsid w:val="00B66C03"/>
    <w:rsid w:val="00B66C68"/>
    <w:rsid w:val="00B71C58"/>
    <w:rsid w:val="00B71D32"/>
    <w:rsid w:val="00B7319D"/>
    <w:rsid w:val="00B73DD8"/>
    <w:rsid w:val="00B762DC"/>
    <w:rsid w:val="00B76493"/>
    <w:rsid w:val="00B76521"/>
    <w:rsid w:val="00B80689"/>
    <w:rsid w:val="00B80A07"/>
    <w:rsid w:val="00B83FAC"/>
    <w:rsid w:val="00B86771"/>
    <w:rsid w:val="00B86F6E"/>
    <w:rsid w:val="00B91FF4"/>
    <w:rsid w:val="00B93F37"/>
    <w:rsid w:val="00B93FBF"/>
    <w:rsid w:val="00B945DA"/>
    <w:rsid w:val="00B965C4"/>
    <w:rsid w:val="00B96AB1"/>
    <w:rsid w:val="00BA1667"/>
    <w:rsid w:val="00BA1FA9"/>
    <w:rsid w:val="00BA2A58"/>
    <w:rsid w:val="00BA489E"/>
    <w:rsid w:val="00BA62F9"/>
    <w:rsid w:val="00BB0E26"/>
    <w:rsid w:val="00BB284D"/>
    <w:rsid w:val="00BB4367"/>
    <w:rsid w:val="00BB51F2"/>
    <w:rsid w:val="00BB5C78"/>
    <w:rsid w:val="00BB5DAC"/>
    <w:rsid w:val="00BB620B"/>
    <w:rsid w:val="00BB6E98"/>
    <w:rsid w:val="00BB756C"/>
    <w:rsid w:val="00BC0956"/>
    <w:rsid w:val="00BC0DE8"/>
    <w:rsid w:val="00BC18B3"/>
    <w:rsid w:val="00BC2E50"/>
    <w:rsid w:val="00BC3A48"/>
    <w:rsid w:val="00BC51D9"/>
    <w:rsid w:val="00BC60FF"/>
    <w:rsid w:val="00BC63CA"/>
    <w:rsid w:val="00BC671A"/>
    <w:rsid w:val="00BC72F2"/>
    <w:rsid w:val="00BC76E1"/>
    <w:rsid w:val="00BC7BF0"/>
    <w:rsid w:val="00BD0020"/>
    <w:rsid w:val="00BD1B8A"/>
    <w:rsid w:val="00BD1DA6"/>
    <w:rsid w:val="00BD28C7"/>
    <w:rsid w:val="00BD30F5"/>
    <w:rsid w:val="00BD3CBB"/>
    <w:rsid w:val="00BD4CF2"/>
    <w:rsid w:val="00BD61FC"/>
    <w:rsid w:val="00BD73C7"/>
    <w:rsid w:val="00BD793A"/>
    <w:rsid w:val="00BD7B2D"/>
    <w:rsid w:val="00BE0E3C"/>
    <w:rsid w:val="00BE1C91"/>
    <w:rsid w:val="00BE225A"/>
    <w:rsid w:val="00BE2C27"/>
    <w:rsid w:val="00BE3E45"/>
    <w:rsid w:val="00BE5E21"/>
    <w:rsid w:val="00BE6402"/>
    <w:rsid w:val="00BE77BD"/>
    <w:rsid w:val="00BF0D76"/>
    <w:rsid w:val="00BF2139"/>
    <w:rsid w:val="00BF3548"/>
    <w:rsid w:val="00BF42D9"/>
    <w:rsid w:val="00BF4B68"/>
    <w:rsid w:val="00BF4CEF"/>
    <w:rsid w:val="00BF6830"/>
    <w:rsid w:val="00BF719A"/>
    <w:rsid w:val="00BF7233"/>
    <w:rsid w:val="00BF75D0"/>
    <w:rsid w:val="00C00385"/>
    <w:rsid w:val="00C00659"/>
    <w:rsid w:val="00C01EB3"/>
    <w:rsid w:val="00C03435"/>
    <w:rsid w:val="00C03534"/>
    <w:rsid w:val="00C035E1"/>
    <w:rsid w:val="00C03A72"/>
    <w:rsid w:val="00C03BFB"/>
    <w:rsid w:val="00C046D3"/>
    <w:rsid w:val="00C07ECE"/>
    <w:rsid w:val="00C1093A"/>
    <w:rsid w:val="00C1252F"/>
    <w:rsid w:val="00C12AD9"/>
    <w:rsid w:val="00C13C6C"/>
    <w:rsid w:val="00C14695"/>
    <w:rsid w:val="00C15FC7"/>
    <w:rsid w:val="00C1613C"/>
    <w:rsid w:val="00C1678B"/>
    <w:rsid w:val="00C174C8"/>
    <w:rsid w:val="00C20375"/>
    <w:rsid w:val="00C2044D"/>
    <w:rsid w:val="00C21CB8"/>
    <w:rsid w:val="00C22878"/>
    <w:rsid w:val="00C24081"/>
    <w:rsid w:val="00C248FC"/>
    <w:rsid w:val="00C26EEF"/>
    <w:rsid w:val="00C27E9D"/>
    <w:rsid w:val="00C30625"/>
    <w:rsid w:val="00C31165"/>
    <w:rsid w:val="00C33DD7"/>
    <w:rsid w:val="00C342EF"/>
    <w:rsid w:val="00C34514"/>
    <w:rsid w:val="00C34DAC"/>
    <w:rsid w:val="00C3519E"/>
    <w:rsid w:val="00C35783"/>
    <w:rsid w:val="00C35F3C"/>
    <w:rsid w:val="00C4082D"/>
    <w:rsid w:val="00C414B3"/>
    <w:rsid w:val="00C41C7D"/>
    <w:rsid w:val="00C42506"/>
    <w:rsid w:val="00C4408D"/>
    <w:rsid w:val="00C450D4"/>
    <w:rsid w:val="00C45654"/>
    <w:rsid w:val="00C45DA9"/>
    <w:rsid w:val="00C46374"/>
    <w:rsid w:val="00C47580"/>
    <w:rsid w:val="00C51785"/>
    <w:rsid w:val="00C51D3C"/>
    <w:rsid w:val="00C52C89"/>
    <w:rsid w:val="00C52E50"/>
    <w:rsid w:val="00C5398A"/>
    <w:rsid w:val="00C53E0C"/>
    <w:rsid w:val="00C54402"/>
    <w:rsid w:val="00C54A12"/>
    <w:rsid w:val="00C5712D"/>
    <w:rsid w:val="00C57D7B"/>
    <w:rsid w:val="00C60417"/>
    <w:rsid w:val="00C61534"/>
    <w:rsid w:val="00C6186B"/>
    <w:rsid w:val="00C6361D"/>
    <w:rsid w:val="00C63970"/>
    <w:rsid w:val="00C63DCC"/>
    <w:rsid w:val="00C640B7"/>
    <w:rsid w:val="00C6435C"/>
    <w:rsid w:val="00C64A73"/>
    <w:rsid w:val="00C65264"/>
    <w:rsid w:val="00C6605C"/>
    <w:rsid w:val="00C67821"/>
    <w:rsid w:val="00C7188B"/>
    <w:rsid w:val="00C729EE"/>
    <w:rsid w:val="00C72F18"/>
    <w:rsid w:val="00C75361"/>
    <w:rsid w:val="00C75A46"/>
    <w:rsid w:val="00C76E46"/>
    <w:rsid w:val="00C76ED7"/>
    <w:rsid w:val="00C76F4F"/>
    <w:rsid w:val="00C81058"/>
    <w:rsid w:val="00C81607"/>
    <w:rsid w:val="00C81AD8"/>
    <w:rsid w:val="00C82E0D"/>
    <w:rsid w:val="00C840FB"/>
    <w:rsid w:val="00C865B3"/>
    <w:rsid w:val="00C878DB"/>
    <w:rsid w:val="00C87CDB"/>
    <w:rsid w:val="00C87DF1"/>
    <w:rsid w:val="00C913B1"/>
    <w:rsid w:val="00C92228"/>
    <w:rsid w:val="00C923BC"/>
    <w:rsid w:val="00C92C64"/>
    <w:rsid w:val="00C93BA5"/>
    <w:rsid w:val="00C93CA0"/>
    <w:rsid w:val="00C941CC"/>
    <w:rsid w:val="00C941D8"/>
    <w:rsid w:val="00C947E5"/>
    <w:rsid w:val="00C951C1"/>
    <w:rsid w:val="00C95C15"/>
    <w:rsid w:val="00C95C67"/>
    <w:rsid w:val="00C972EA"/>
    <w:rsid w:val="00CA2AC8"/>
    <w:rsid w:val="00CA3527"/>
    <w:rsid w:val="00CA4112"/>
    <w:rsid w:val="00CA4168"/>
    <w:rsid w:val="00CA5B42"/>
    <w:rsid w:val="00CA60C5"/>
    <w:rsid w:val="00CA6C1C"/>
    <w:rsid w:val="00CA7582"/>
    <w:rsid w:val="00CA797E"/>
    <w:rsid w:val="00CA7DAE"/>
    <w:rsid w:val="00CB039B"/>
    <w:rsid w:val="00CB0402"/>
    <w:rsid w:val="00CB221B"/>
    <w:rsid w:val="00CB31A5"/>
    <w:rsid w:val="00CB4053"/>
    <w:rsid w:val="00CB4A17"/>
    <w:rsid w:val="00CB5A7C"/>
    <w:rsid w:val="00CB5CDA"/>
    <w:rsid w:val="00CB638C"/>
    <w:rsid w:val="00CB681C"/>
    <w:rsid w:val="00CB7C6A"/>
    <w:rsid w:val="00CC1B4C"/>
    <w:rsid w:val="00CC1F35"/>
    <w:rsid w:val="00CC2DB5"/>
    <w:rsid w:val="00CC32F3"/>
    <w:rsid w:val="00CC35D1"/>
    <w:rsid w:val="00CC3ACE"/>
    <w:rsid w:val="00CC4A38"/>
    <w:rsid w:val="00CC5D2D"/>
    <w:rsid w:val="00CC6455"/>
    <w:rsid w:val="00CC6EDC"/>
    <w:rsid w:val="00CC729D"/>
    <w:rsid w:val="00CD130A"/>
    <w:rsid w:val="00CD19E9"/>
    <w:rsid w:val="00CD4399"/>
    <w:rsid w:val="00CD4A05"/>
    <w:rsid w:val="00CD4ED6"/>
    <w:rsid w:val="00CD5CB2"/>
    <w:rsid w:val="00CD75BD"/>
    <w:rsid w:val="00CD7F65"/>
    <w:rsid w:val="00CE0420"/>
    <w:rsid w:val="00CE086A"/>
    <w:rsid w:val="00CE15AC"/>
    <w:rsid w:val="00CE1D04"/>
    <w:rsid w:val="00CE3171"/>
    <w:rsid w:val="00CE3837"/>
    <w:rsid w:val="00CE4E84"/>
    <w:rsid w:val="00CE5041"/>
    <w:rsid w:val="00CE6DA3"/>
    <w:rsid w:val="00CF02AF"/>
    <w:rsid w:val="00CF1C35"/>
    <w:rsid w:val="00CF236D"/>
    <w:rsid w:val="00CF33A4"/>
    <w:rsid w:val="00CF341F"/>
    <w:rsid w:val="00CF4E6F"/>
    <w:rsid w:val="00CF507B"/>
    <w:rsid w:val="00CF5CC9"/>
    <w:rsid w:val="00CF68B5"/>
    <w:rsid w:val="00D01B0C"/>
    <w:rsid w:val="00D0246F"/>
    <w:rsid w:val="00D02952"/>
    <w:rsid w:val="00D03918"/>
    <w:rsid w:val="00D042C2"/>
    <w:rsid w:val="00D0493C"/>
    <w:rsid w:val="00D04C03"/>
    <w:rsid w:val="00D04D17"/>
    <w:rsid w:val="00D04FB6"/>
    <w:rsid w:val="00D072EB"/>
    <w:rsid w:val="00D07766"/>
    <w:rsid w:val="00D078B3"/>
    <w:rsid w:val="00D10FB7"/>
    <w:rsid w:val="00D11274"/>
    <w:rsid w:val="00D1194A"/>
    <w:rsid w:val="00D131F3"/>
    <w:rsid w:val="00D13A62"/>
    <w:rsid w:val="00D13C1C"/>
    <w:rsid w:val="00D154A8"/>
    <w:rsid w:val="00D15D52"/>
    <w:rsid w:val="00D2115D"/>
    <w:rsid w:val="00D219F1"/>
    <w:rsid w:val="00D22CA5"/>
    <w:rsid w:val="00D26AB5"/>
    <w:rsid w:val="00D26C8A"/>
    <w:rsid w:val="00D279BC"/>
    <w:rsid w:val="00D31BE2"/>
    <w:rsid w:val="00D352B6"/>
    <w:rsid w:val="00D354F6"/>
    <w:rsid w:val="00D376EC"/>
    <w:rsid w:val="00D37BBB"/>
    <w:rsid w:val="00D407A5"/>
    <w:rsid w:val="00D41A63"/>
    <w:rsid w:val="00D422B4"/>
    <w:rsid w:val="00D44880"/>
    <w:rsid w:val="00D478E2"/>
    <w:rsid w:val="00D479B2"/>
    <w:rsid w:val="00D47B7A"/>
    <w:rsid w:val="00D5251E"/>
    <w:rsid w:val="00D5344D"/>
    <w:rsid w:val="00D554DC"/>
    <w:rsid w:val="00D565B5"/>
    <w:rsid w:val="00D566D5"/>
    <w:rsid w:val="00D56B8C"/>
    <w:rsid w:val="00D5711A"/>
    <w:rsid w:val="00D5738B"/>
    <w:rsid w:val="00D60C0B"/>
    <w:rsid w:val="00D614DE"/>
    <w:rsid w:val="00D625B3"/>
    <w:rsid w:val="00D62F71"/>
    <w:rsid w:val="00D638F6"/>
    <w:rsid w:val="00D6465D"/>
    <w:rsid w:val="00D65556"/>
    <w:rsid w:val="00D666EB"/>
    <w:rsid w:val="00D7042C"/>
    <w:rsid w:val="00D720E2"/>
    <w:rsid w:val="00D726D4"/>
    <w:rsid w:val="00D72AFD"/>
    <w:rsid w:val="00D74664"/>
    <w:rsid w:val="00D7520C"/>
    <w:rsid w:val="00D75392"/>
    <w:rsid w:val="00D80377"/>
    <w:rsid w:val="00D81237"/>
    <w:rsid w:val="00D81DBF"/>
    <w:rsid w:val="00D82993"/>
    <w:rsid w:val="00D8388B"/>
    <w:rsid w:val="00D83B3F"/>
    <w:rsid w:val="00D85EA0"/>
    <w:rsid w:val="00D86261"/>
    <w:rsid w:val="00D86A1C"/>
    <w:rsid w:val="00D902AF"/>
    <w:rsid w:val="00D93BF1"/>
    <w:rsid w:val="00D9584D"/>
    <w:rsid w:val="00D965D4"/>
    <w:rsid w:val="00D968FA"/>
    <w:rsid w:val="00D96B9C"/>
    <w:rsid w:val="00DA0C72"/>
    <w:rsid w:val="00DA1427"/>
    <w:rsid w:val="00DA1647"/>
    <w:rsid w:val="00DA1BC0"/>
    <w:rsid w:val="00DA1FF7"/>
    <w:rsid w:val="00DA268D"/>
    <w:rsid w:val="00DA2783"/>
    <w:rsid w:val="00DA54F6"/>
    <w:rsid w:val="00DA60E6"/>
    <w:rsid w:val="00DA7DD7"/>
    <w:rsid w:val="00DB0093"/>
    <w:rsid w:val="00DB4B65"/>
    <w:rsid w:val="00DB4FD7"/>
    <w:rsid w:val="00DB5BFE"/>
    <w:rsid w:val="00DB6B09"/>
    <w:rsid w:val="00DB79D1"/>
    <w:rsid w:val="00DC03E0"/>
    <w:rsid w:val="00DC0866"/>
    <w:rsid w:val="00DC0D35"/>
    <w:rsid w:val="00DC109C"/>
    <w:rsid w:val="00DC2DD3"/>
    <w:rsid w:val="00DC3136"/>
    <w:rsid w:val="00DC3498"/>
    <w:rsid w:val="00DC52FB"/>
    <w:rsid w:val="00DC54E1"/>
    <w:rsid w:val="00DC60C3"/>
    <w:rsid w:val="00DC6DF0"/>
    <w:rsid w:val="00DC75A2"/>
    <w:rsid w:val="00DC7EB1"/>
    <w:rsid w:val="00DD0A53"/>
    <w:rsid w:val="00DD1086"/>
    <w:rsid w:val="00DD2281"/>
    <w:rsid w:val="00DD3BA2"/>
    <w:rsid w:val="00DD3CB3"/>
    <w:rsid w:val="00DD5CB7"/>
    <w:rsid w:val="00DD652A"/>
    <w:rsid w:val="00DE0CC2"/>
    <w:rsid w:val="00DE30A8"/>
    <w:rsid w:val="00DE37F8"/>
    <w:rsid w:val="00DE4601"/>
    <w:rsid w:val="00DE4FF1"/>
    <w:rsid w:val="00DE514C"/>
    <w:rsid w:val="00DE5182"/>
    <w:rsid w:val="00DE60C1"/>
    <w:rsid w:val="00DF06EB"/>
    <w:rsid w:val="00DF0873"/>
    <w:rsid w:val="00DF26EC"/>
    <w:rsid w:val="00DF48E2"/>
    <w:rsid w:val="00DF54BD"/>
    <w:rsid w:val="00DF550C"/>
    <w:rsid w:val="00DF5CB2"/>
    <w:rsid w:val="00DF6F30"/>
    <w:rsid w:val="00DF7946"/>
    <w:rsid w:val="00E0024B"/>
    <w:rsid w:val="00E02419"/>
    <w:rsid w:val="00E02585"/>
    <w:rsid w:val="00E028BF"/>
    <w:rsid w:val="00E0397B"/>
    <w:rsid w:val="00E05E0E"/>
    <w:rsid w:val="00E06135"/>
    <w:rsid w:val="00E1037D"/>
    <w:rsid w:val="00E11593"/>
    <w:rsid w:val="00E1237B"/>
    <w:rsid w:val="00E1247D"/>
    <w:rsid w:val="00E129D6"/>
    <w:rsid w:val="00E13B60"/>
    <w:rsid w:val="00E170CD"/>
    <w:rsid w:val="00E2213A"/>
    <w:rsid w:val="00E22DDB"/>
    <w:rsid w:val="00E234CE"/>
    <w:rsid w:val="00E2387D"/>
    <w:rsid w:val="00E24593"/>
    <w:rsid w:val="00E25A27"/>
    <w:rsid w:val="00E25A46"/>
    <w:rsid w:val="00E268F5"/>
    <w:rsid w:val="00E31955"/>
    <w:rsid w:val="00E32861"/>
    <w:rsid w:val="00E3338F"/>
    <w:rsid w:val="00E352F2"/>
    <w:rsid w:val="00E360C8"/>
    <w:rsid w:val="00E366AE"/>
    <w:rsid w:val="00E40486"/>
    <w:rsid w:val="00E4100D"/>
    <w:rsid w:val="00E41F80"/>
    <w:rsid w:val="00E445B6"/>
    <w:rsid w:val="00E47A9D"/>
    <w:rsid w:val="00E47E58"/>
    <w:rsid w:val="00E47EED"/>
    <w:rsid w:val="00E50DDA"/>
    <w:rsid w:val="00E5173A"/>
    <w:rsid w:val="00E51A22"/>
    <w:rsid w:val="00E53A98"/>
    <w:rsid w:val="00E54958"/>
    <w:rsid w:val="00E555B7"/>
    <w:rsid w:val="00E5659B"/>
    <w:rsid w:val="00E56F21"/>
    <w:rsid w:val="00E56F3A"/>
    <w:rsid w:val="00E62F27"/>
    <w:rsid w:val="00E63556"/>
    <w:rsid w:val="00E63CE7"/>
    <w:rsid w:val="00E65CA8"/>
    <w:rsid w:val="00E6659C"/>
    <w:rsid w:val="00E670ED"/>
    <w:rsid w:val="00E70201"/>
    <w:rsid w:val="00E711A3"/>
    <w:rsid w:val="00E71A39"/>
    <w:rsid w:val="00E71FD7"/>
    <w:rsid w:val="00E729BB"/>
    <w:rsid w:val="00E72A11"/>
    <w:rsid w:val="00E7387C"/>
    <w:rsid w:val="00E75477"/>
    <w:rsid w:val="00E76B9F"/>
    <w:rsid w:val="00E76D04"/>
    <w:rsid w:val="00E76FF2"/>
    <w:rsid w:val="00E7727A"/>
    <w:rsid w:val="00E77433"/>
    <w:rsid w:val="00E802B2"/>
    <w:rsid w:val="00E80D2E"/>
    <w:rsid w:val="00E8270C"/>
    <w:rsid w:val="00E8297F"/>
    <w:rsid w:val="00E83DEC"/>
    <w:rsid w:val="00E83ED2"/>
    <w:rsid w:val="00E84A6A"/>
    <w:rsid w:val="00E85DCF"/>
    <w:rsid w:val="00E86147"/>
    <w:rsid w:val="00E87E41"/>
    <w:rsid w:val="00E904A1"/>
    <w:rsid w:val="00E933CB"/>
    <w:rsid w:val="00E9418A"/>
    <w:rsid w:val="00E9508B"/>
    <w:rsid w:val="00EA0E06"/>
    <w:rsid w:val="00EA1D9C"/>
    <w:rsid w:val="00EA1E5A"/>
    <w:rsid w:val="00EA3286"/>
    <w:rsid w:val="00EA480C"/>
    <w:rsid w:val="00EA5CEF"/>
    <w:rsid w:val="00EA5DE2"/>
    <w:rsid w:val="00EA6727"/>
    <w:rsid w:val="00EA68CB"/>
    <w:rsid w:val="00EB2B9D"/>
    <w:rsid w:val="00EB3DE2"/>
    <w:rsid w:val="00EB4023"/>
    <w:rsid w:val="00EB5073"/>
    <w:rsid w:val="00EB52F9"/>
    <w:rsid w:val="00EB5E0B"/>
    <w:rsid w:val="00EB6A39"/>
    <w:rsid w:val="00EB7DBC"/>
    <w:rsid w:val="00EC1E66"/>
    <w:rsid w:val="00EC222E"/>
    <w:rsid w:val="00EC2F84"/>
    <w:rsid w:val="00EC37C3"/>
    <w:rsid w:val="00EC6111"/>
    <w:rsid w:val="00ED053B"/>
    <w:rsid w:val="00ED14EC"/>
    <w:rsid w:val="00ED195D"/>
    <w:rsid w:val="00ED28DD"/>
    <w:rsid w:val="00ED2A7B"/>
    <w:rsid w:val="00ED3C67"/>
    <w:rsid w:val="00ED449D"/>
    <w:rsid w:val="00ED4528"/>
    <w:rsid w:val="00ED6F26"/>
    <w:rsid w:val="00ED79F3"/>
    <w:rsid w:val="00EE209F"/>
    <w:rsid w:val="00EE4175"/>
    <w:rsid w:val="00EE4244"/>
    <w:rsid w:val="00EE5759"/>
    <w:rsid w:val="00EE5A77"/>
    <w:rsid w:val="00EE6BBD"/>
    <w:rsid w:val="00EE75B7"/>
    <w:rsid w:val="00EF06BA"/>
    <w:rsid w:val="00EF18A6"/>
    <w:rsid w:val="00EF2B92"/>
    <w:rsid w:val="00EF44E9"/>
    <w:rsid w:val="00EF71B1"/>
    <w:rsid w:val="00EF7CF8"/>
    <w:rsid w:val="00F00233"/>
    <w:rsid w:val="00F00587"/>
    <w:rsid w:val="00F0074B"/>
    <w:rsid w:val="00F01A3C"/>
    <w:rsid w:val="00F01E22"/>
    <w:rsid w:val="00F02F3B"/>
    <w:rsid w:val="00F02FAB"/>
    <w:rsid w:val="00F0435D"/>
    <w:rsid w:val="00F06D25"/>
    <w:rsid w:val="00F11C23"/>
    <w:rsid w:val="00F147A2"/>
    <w:rsid w:val="00F149F1"/>
    <w:rsid w:val="00F158BA"/>
    <w:rsid w:val="00F159A8"/>
    <w:rsid w:val="00F1665B"/>
    <w:rsid w:val="00F16F8A"/>
    <w:rsid w:val="00F17100"/>
    <w:rsid w:val="00F174DB"/>
    <w:rsid w:val="00F2055B"/>
    <w:rsid w:val="00F218A2"/>
    <w:rsid w:val="00F232C1"/>
    <w:rsid w:val="00F23A51"/>
    <w:rsid w:val="00F26DBC"/>
    <w:rsid w:val="00F27301"/>
    <w:rsid w:val="00F3206C"/>
    <w:rsid w:val="00F32203"/>
    <w:rsid w:val="00F32AFD"/>
    <w:rsid w:val="00F33850"/>
    <w:rsid w:val="00F34170"/>
    <w:rsid w:val="00F37E31"/>
    <w:rsid w:val="00F4224F"/>
    <w:rsid w:val="00F424CC"/>
    <w:rsid w:val="00F42CB0"/>
    <w:rsid w:val="00F451E4"/>
    <w:rsid w:val="00F45258"/>
    <w:rsid w:val="00F4548E"/>
    <w:rsid w:val="00F45BE1"/>
    <w:rsid w:val="00F47873"/>
    <w:rsid w:val="00F50A46"/>
    <w:rsid w:val="00F522FF"/>
    <w:rsid w:val="00F523A8"/>
    <w:rsid w:val="00F530AE"/>
    <w:rsid w:val="00F53495"/>
    <w:rsid w:val="00F53EEF"/>
    <w:rsid w:val="00F560FE"/>
    <w:rsid w:val="00F56252"/>
    <w:rsid w:val="00F5735A"/>
    <w:rsid w:val="00F60CB4"/>
    <w:rsid w:val="00F60F20"/>
    <w:rsid w:val="00F60F2D"/>
    <w:rsid w:val="00F612F9"/>
    <w:rsid w:val="00F6286E"/>
    <w:rsid w:val="00F63A81"/>
    <w:rsid w:val="00F65498"/>
    <w:rsid w:val="00F700DC"/>
    <w:rsid w:val="00F709F3"/>
    <w:rsid w:val="00F71094"/>
    <w:rsid w:val="00F71149"/>
    <w:rsid w:val="00F735BC"/>
    <w:rsid w:val="00F73C2D"/>
    <w:rsid w:val="00F74F2A"/>
    <w:rsid w:val="00F77D9A"/>
    <w:rsid w:val="00F77F3D"/>
    <w:rsid w:val="00F80B75"/>
    <w:rsid w:val="00F80E94"/>
    <w:rsid w:val="00F853F2"/>
    <w:rsid w:val="00F859D0"/>
    <w:rsid w:val="00F90BAB"/>
    <w:rsid w:val="00F91D66"/>
    <w:rsid w:val="00F937F6"/>
    <w:rsid w:val="00F940E4"/>
    <w:rsid w:val="00F9563F"/>
    <w:rsid w:val="00F96A2C"/>
    <w:rsid w:val="00F974C9"/>
    <w:rsid w:val="00F976B6"/>
    <w:rsid w:val="00F97E38"/>
    <w:rsid w:val="00FA0CB2"/>
    <w:rsid w:val="00FA24A9"/>
    <w:rsid w:val="00FA27A8"/>
    <w:rsid w:val="00FA300D"/>
    <w:rsid w:val="00FA5E8F"/>
    <w:rsid w:val="00FA60A8"/>
    <w:rsid w:val="00FA6DE1"/>
    <w:rsid w:val="00FA71AF"/>
    <w:rsid w:val="00FA730C"/>
    <w:rsid w:val="00FA7DF8"/>
    <w:rsid w:val="00FB023B"/>
    <w:rsid w:val="00FB2A1D"/>
    <w:rsid w:val="00FB2D73"/>
    <w:rsid w:val="00FB3B55"/>
    <w:rsid w:val="00FB7DB9"/>
    <w:rsid w:val="00FB7EFF"/>
    <w:rsid w:val="00FB7FEC"/>
    <w:rsid w:val="00FC0643"/>
    <w:rsid w:val="00FC064A"/>
    <w:rsid w:val="00FC0984"/>
    <w:rsid w:val="00FC2AA5"/>
    <w:rsid w:val="00FC2E53"/>
    <w:rsid w:val="00FC3450"/>
    <w:rsid w:val="00FC38FD"/>
    <w:rsid w:val="00FC3C44"/>
    <w:rsid w:val="00FC3DF3"/>
    <w:rsid w:val="00FC48CA"/>
    <w:rsid w:val="00FC5CE8"/>
    <w:rsid w:val="00FC5F76"/>
    <w:rsid w:val="00FC70FF"/>
    <w:rsid w:val="00FD028B"/>
    <w:rsid w:val="00FD0E4C"/>
    <w:rsid w:val="00FD1C25"/>
    <w:rsid w:val="00FD36FA"/>
    <w:rsid w:val="00FD3AF1"/>
    <w:rsid w:val="00FD3D93"/>
    <w:rsid w:val="00FD4CCD"/>
    <w:rsid w:val="00FD5802"/>
    <w:rsid w:val="00FD66DB"/>
    <w:rsid w:val="00FD76AC"/>
    <w:rsid w:val="00FE2550"/>
    <w:rsid w:val="00FE2D76"/>
    <w:rsid w:val="00FE2E21"/>
    <w:rsid w:val="00FE2FAD"/>
    <w:rsid w:val="00FE4A70"/>
    <w:rsid w:val="00FE5C83"/>
    <w:rsid w:val="00FE6BD6"/>
    <w:rsid w:val="00FE6C71"/>
    <w:rsid w:val="00FE7E67"/>
    <w:rsid w:val="00FF0A64"/>
    <w:rsid w:val="00FF20DF"/>
    <w:rsid w:val="00FF30F1"/>
    <w:rsid w:val="00FF3861"/>
    <w:rsid w:val="00FF438D"/>
    <w:rsid w:val="00FF54DA"/>
    <w:rsid w:val="00FF6D8A"/>
    <w:rsid w:val="00FF6EFB"/>
    <w:rsid w:val="00FF7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FEE6514-88CA-4F3B-BAB6-0C186D799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2D9"/>
    <w:rPr>
      <w:kern w:val="20"/>
      <w:lang w:val="sr-Latn-RS"/>
    </w:rPr>
  </w:style>
  <w:style w:type="paragraph" w:styleId="Heading1">
    <w:name w:val="heading 1"/>
    <w:basedOn w:val="Normal"/>
    <w:next w:val="Normal"/>
    <w:link w:val="Heading1Char"/>
    <w:uiPriority w:val="2"/>
    <w:qFormat/>
    <w:pPr>
      <w:pageBreakBefore/>
      <w:spacing w:before="0" w:after="360" w:line="240" w:lineRule="auto"/>
      <w:ind w:left="-360" w:right="-360"/>
      <w:outlineLvl w:val="0"/>
    </w:pPr>
    <w:rPr>
      <w:sz w:val="36"/>
    </w:rPr>
  </w:style>
  <w:style w:type="paragraph" w:styleId="Heading2">
    <w:name w:val="heading 2"/>
    <w:basedOn w:val="Normal"/>
    <w:next w:val="Normal"/>
    <w:link w:val="Heading2Char"/>
    <w:uiPriority w:val="2"/>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2"/>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2"/>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2"/>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2"/>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2"/>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2"/>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2"/>
    <w:rPr>
      <w:kern w:val="20"/>
      <w:sz w:val="36"/>
    </w:rPr>
  </w:style>
  <w:style w:type="character" w:customStyle="1" w:styleId="Heading2Char">
    <w:name w:val="Heading 2 Char"/>
    <w:basedOn w:val="DefaultParagraphFont"/>
    <w:link w:val="Heading2"/>
    <w:uiPriority w:val="2"/>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Pr>
      <w:i/>
      <w:iCs/>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nhideWhenUsed/>
    <w:qFormat/>
    <w:pPr>
      <w:spacing w:after="120"/>
    </w:pPr>
  </w:style>
  <w:style w:type="character" w:customStyle="1" w:styleId="BodyTextChar">
    <w:name w:val="Body Text Char"/>
    <w:basedOn w:val="DefaultParagraphFont"/>
    <w:link w:val="BodyText"/>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qFormat/>
    <w:rPr>
      <w:b/>
      <w:bCs/>
      <w:smallCaps/>
      <w:spacing w:val="5"/>
    </w:rPr>
  </w:style>
  <w:style w:type="paragraph" w:styleId="Caption">
    <w:name w:val="caption"/>
    <w:basedOn w:val="Normal"/>
    <w:next w:val="Normal"/>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aliases w:val="ftref,List Bullet Char Char,appel Char Char,ftref Char,BVI fnr Char,Footnotes refss,16 Point,Superscript 6 Point,Footnote Reference Number,nota pié di pagina,Times 10 Point,Exposant 3 Point,Footnote symbol,Footnote reference number"/>
    <w:basedOn w:val="DefaultParagraphFont"/>
    <w:link w:val="BVIfnr"/>
    <w:uiPriority w:val="99"/>
    <w:unhideWhenUsed/>
    <w:qFormat/>
    <w:rPr>
      <w:vertAlign w:val="superscript"/>
    </w:rPr>
  </w:style>
  <w:style w:type="paragraph" w:styleId="FootnoteText">
    <w:name w:val="footnote text"/>
    <w:aliases w:val="Footnote Text Char Char Char Char Char Char Char Char Char,single space,ALTS FOOTNOTE,fn,Note de bas de page Car Car Car,Note de bas de page Car Car Car Car Car,Note de bas de page Car Car Car Car,Note de bas de page Car Car,f,ft,Cha"/>
    <w:basedOn w:val="Normal"/>
    <w:link w:val="FootnoteTextChar"/>
    <w:uiPriority w:val="99"/>
    <w:unhideWhenUsed/>
    <w:qFormat/>
    <w:pPr>
      <w:spacing w:after="0" w:line="240" w:lineRule="auto"/>
    </w:pPr>
  </w:style>
  <w:style w:type="character" w:customStyle="1" w:styleId="FootnoteTextChar">
    <w:name w:val="Footnote Text Char"/>
    <w:aliases w:val="Footnote Text Char Char Char Char Char Char Char Char Char Char,single space Char,ALTS FOOTNOTE Char,fn Char,Note de bas de page Car Car Car Char,Note de bas de page Car Car Car Car Car Char,Note de bas de page Car Car Car Car Char"/>
    <w:basedOn w:val="DefaultParagraphFont"/>
    <w:link w:val="FootnoteText"/>
    <w:uiPriority w:val="99"/>
    <w:rPr>
      <w:sz w:val="20"/>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2"/>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2"/>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2"/>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2"/>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2"/>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2"/>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Pr>
      <w:b/>
      <w:bCs/>
      <w:i/>
      <w:iCs/>
      <w:color w:val="7E97AD" w:themeColor="accent1"/>
    </w:rPr>
  </w:style>
  <w:style w:type="paragraph" w:styleId="IntenseQuote">
    <w:name w:val="Intense Quote"/>
    <w:basedOn w:val="Normal"/>
    <w:next w:val="Normal"/>
    <w:link w:val="IntenseQuoteChar"/>
    <w:uiPriority w:val="30"/>
    <w:unhideWhenUsed/>
    <w:qFormat/>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rPr>
      <w:b/>
      <w:bCs/>
      <w:i/>
      <w:iCs/>
      <w:color w:val="7E97AD" w:themeColor="accent1"/>
    </w:rPr>
  </w:style>
  <w:style w:type="character" w:styleId="IntenseReference">
    <w:name w:val="Intense Reference"/>
    <w:basedOn w:val="DefaultParagraphFont"/>
    <w:uiPriority w:val="32"/>
    <w:semiHidden/>
    <w:unhideWhenUsed/>
    <w:qFormat/>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7"/>
      </w:numPr>
      <w:contextualSpacing/>
    </w:pPr>
  </w:style>
  <w:style w:type="paragraph" w:styleId="ListNumber2">
    <w:name w:val="List Number 2"/>
    <w:basedOn w:val="Normal"/>
    <w:uiPriority w:val="1"/>
    <w:unhideWhenUsed/>
    <w:qFormat/>
    <w:pPr>
      <w:numPr>
        <w:ilvl w:val="1"/>
        <w:numId w:val="7"/>
      </w:numPr>
      <w:contextualSpacing/>
    </w:pPr>
  </w:style>
  <w:style w:type="paragraph" w:styleId="ListNumber3">
    <w:name w:val="List Number 3"/>
    <w:basedOn w:val="Normal"/>
    <w:uiPriority w:val="18"/>
    <w:unhideWhenUsed/>
    <w:qFormat/>
    <w:pPr>
      <w:numPr>
        <w:ilvl w:val="2"/>
        <w:numId w:val="7"/>
      </w:numPr>
      <w:contextualSpacing/>
    </w:pPr>
  </w:style>
  <w:style w:type="paragraph" w:styleId="ListNumber4">
    <w:name w:val="List Number 4"/>
    <w:basedOn w:val="Normal"/>
    <w:uiPriority w:val="18"/>
    <w:semiHidden/>
    <w:unhideWhenUsed/>
    <w:pPr>
      <w:numPr>
        <w:ilvl w:val="3"/>
        <w:numId w:val="7"/>
      </w:numPr>
      <w:contextualSpacing/>
    </w:pPr>
  </w:style>
  <w:style w:type="paragraph" w:styleId="ListNumber5">
    <w:name w:val="List Number 5"/>
    <w:basedOn w:val="Normal"/>
    <w:uiPriority w:val="18"/>
    <w:semiHidden/>
    <w:unhideWhenUsed/>
    <w:pPr>
      <w:numPr>
        <w:ilvl w:val="4"/>
        <w:numId w:val="7"/>
      </w:numPr>
      <w:contextualSpacing/>
    </w:pPr>
  </w:style>
  <w:style w:type="paragraph" w:styleId="ListParagraph">
    <w:name w:val="List Paragraph"/>
    <w:aliases w:val="List Paragraph 1,Bullets,List Paragraph (numbered (a)),Bullet Points,Liste Paragraf,Listenabsatz1,Llista Nivell1,Lista de nivel 1,Paragraphe de liste PBLH,Normal bullet 2,Graph &amp; Table tite,Table of contents numbered,Bullet list,numbered"/>
    <w:basedOn w:val="Normal"/>
    <w:link w:val="ListParagraphChar"/>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
    <w:unhideWhenUsed/>
    <w:qFormat/>
    <w:pPr>
      <w:spacing w:before="720" w:after="0" w:line="312" w:lineRule="auto"/>
      <w:contextualSpacing/>
    </w:pPr>
  </w:style>
  <w:style w:type="character" w:customStyle="1" w:styleId="SignatureChar">
    <w:name w:val="Signature Char"/>
    <w:basedOn w:val="DefaultParagraphFont"/>
    <w:link w:val="Signature"/>
    <w:uiPriority w:val="9"/>
    <w:rPr>
      <w:kern w:val="20"/>
    </w:rPr>
  </w:style>
  <w:style w:type="character" w:styleId="Strong">
    <w:name w:val="Strong"/>
    <w:basedOn w:val="DefaultParagraphFont"/>
    <w:uiPriority w:val="22"/>
    <w:unhideWhenUsed/>
    <w:qFormat/>
    <w:rPr>
      <w:b/>
      <w:bCs/>
    </w:rPr>
  </w:style>
  <w:style w:type="paragraph" w:styleId="Subtitle">
    <w:name w:val="Subtitle"/>
    <w:basedOn w:val="Normal"/>
    <w:next w:val="Normal"/>
    <w:link w:val="SubtitleChar"/>
    <w:uiPriority w:val="11"/>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1"/>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TitleChar">
    <w:name w:val="Title Char"/>
    <w:basedOn w:val="DefaultParagraphFont"/>
    <w:link w:val="Title"/>
    <w:uiPriority w:val="1"/>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D07766"/>
    <w:pPr>
      <w:tabs>
        <w:tab w:val="left" w:pos="9450"/>
        <w:tab w:val="right" w:leader="underscore" w:pos="9810"/>
        <w:tab w:val="left" w:pos="9900"/>
        <w:tab w:val="left" w:pos="10080"/>
      </w:tabs>
      <w:spacing w:before="120" w:after="240" w:line="240" w:lineRule="auto"/>
      <w:ind w:left="360" w:right="-475" w:hanging="360"/>
      <w:jc w:val="center"/>
    </w:pPr>
    <w:rPr>
      <w:rFonts w:asciiTheme="majorHAnsi" w:hAnsiTheme="majorHAnsi" w:cstheme="majorHAnsi"/>
      <w:b/>
      <w:noProof/>
      <w:color w:val="auto"/>
      <w:sz w:val="32"/>
      <w:szCs w:val="32"/>
    </w:rPr>
  </w:style>
  <w:style w:type="paragraph" w:styleId="TOC2">
    <w:name w:val="toc 2"/>
    <w:basedOn w:val="Normal"/>
    <w:next w:val="Normal"/>
    <w:autoRedefine/>
    <w:uiPriority w:val="39"/>
    <w:unhideWhenUsed/>
    <w:rsid w:val="00C1093A"/>
    <w:pPr>
      <w:tabs>
        <w:tab w:val="right" w:leader="dot" w:pos="9630"/>
        <w:tab w:val="right" w:leader="underscore" w:pos="9810"/>
      </w:tabs>
      <w:spacing w:before="60" w:after="60" w:line="240" w:lineRule="auto"/>
      <w:ind w:left="220"/>
    </w:pPr>
  </w:style>
  <w:style w:type="paragraph" w:styleId="TOC3">
    <w:name w:val="toc 3"/>
    <w:basedOn w:val="Normal"/>
    <w:next w:val="Normal"/>
    <w:autoRedefine/>
    <w:uiPriority w:val="39"/>
    <w:unhideWhenUsed/>
    <w:rsid w:val="00C1093A"/>
    <w:pPr>
      <w:tabs>
        <w:tab w:val="left" w:pos="880"/>
        <w:tab w:val="right" w:leader="dot" w:pos="9630"/>
        <w:tab w:val="right" w:leader="underscore" w:pos="9810"/>
        <w:tab w:val="left" w:pos="10080"/>
      </w:tabs>
      <w:spacing w:before="60" w:after="60" w:line="240" w:lineRule="auto"/>
      <w:ind w:left="440"/>
    </w:pPr>
  </w:style>
  <w:style w:type="paragraph" w:styleId="TOC4">
    <w:name w:val="toc 4"/>
    <w:basedOn w:val="Normal"/>
    <w:next w:val="Normal"/>
    <w:autoRedefine/>
    <w:unhideWhenUsed/>
    <w:qFormat/>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pPr>
      <w:tabs>
        <w:tab w:val="decimal" w:pos="1252"/>
      </w:tabs>
      <w:spacing w:before="60" w:after="60" w:line="240" w:lineRule="auto"/>
      <w:ind w:left="144" w:right="144"/>
    </w:pPr>
  </w:style>
  <w:style w:type="table" w:customStyle="1" w:styleId="FinancialTable">
    <w:name w:val="Financial Table"/>
    <w:basedOn w:val="TableNormal"/>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pPr>
      <w:numPr>
        <w:numId w:val="6"/>
      </w:numPr>
    </w:pPr>
  </w:style>
  <w:style w:type="paragraph" w:customStyle="1" w:styleId="Abstract">
    <w:name w:val="Abstract"/>
    <w:basedOn w:val="Normal"/>
    <w:uiPriority w:val="19"/>
    <w:qFormat/>
    <w:pPr>
      <w:spacing w:before="360" w:after="600"/>
      <w:ind w:left="144" w:right="144"/>
    </w:pPr>
    <w:rPr>
      <w:i/>
      <w:iCs/>
      <w:color w:val="7F7F7F" w:themeColor="text1" w:themeTint="80"/>
      <w:sz w:val="28"/>
    </w:rPr>
  </w:style>
  <w:style w:type="paragraph" w:customStyle="1" w:styleId="TableText">
    <w:name w:val="Table Text"/>
    <w:basedOn w:val="Normal"/>
    <w:uiPriority w:val="9"/>
    <w:qFormat/>
    <w:pPr>
      <w:spacing w:before="60" w:after="60" w:line="240" w:lineRule="auto"/>
      <w:ind w:left="144" w:right="144"/>
    </w:pPr>
  </w:style>
  <w:style w:type="paragraph" w:customStyle="1" w:styleId="TableReverseHeading">
    <w:name w:val="Table Reverse Heading"/>
    <w:basedOn w:val="Normal"/>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table" w:styleId="GridTable5Dark-Accent1">
    <w:name w:val="Grid Table 5 Dark Accent 1"/>
    <w:basedOn w:val="TableNormal"/>
    <w:uiPriority w:val="50"/>
    <w:rsid w:val="000A5D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A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97A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97A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97A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97AD" w:themeFill="accent1"/>
      </w:tcPr>
    </w:tblStylePr>
    <w:tblStylePr w:type="band1Vert">
      <w:tblPr/>
      <w:tcPr>
        <w:shd w:val="clear" w:color="auto" w:fill="CBD5DE" w:themeFill="accent1" w:themeFillTint="66"/>
      </w:tcPr>
    </w:tblStylePr>
    <w:tblStylePr w:type="band1Horz">
      <w:tblPr/>
      <w:tcPr>
        <w:shd w:val="clear" w:color="auto" w:fill="CBD5DE" w:themeFill="accent1" w:themeFillTint="66"/>
      </w:tcPr>
    </w:tblStylePr>
  </w:style>
  <w:style w:type="character" w:customStyle="1" w:styleId="ListParagraphChar">
    <w:name w:val="List Paragraph Char"/>
    <w:aliases w:val="List Paragraph 1 Char,Bullets Char,List Paragraph (numbered (a)) Char,Bullet Points Char,Liste Paragraf Char,Listenabsatz1 Char,Llista Nivell1 Char,Lista de nivel 1 Char,Paragraphe de liste PBLH Char,Normal bullet 2 Char"/>
    <w:link w:val="ListParagraph"/>
    <w:uiPriority w:val="34"/>
    <w:qFormat/>
    <w:locked/>
    <w:rsid w:val="00E802B2"/>
    <w:rPr>
      <w:kern w:val="20"/>
      <w:lang w:val="sr-Latn-RS"/>
    </w:rPr>
  </w:style>
  <w:style w:type="paragraph" w:customStyle="1" w:styleId="7podnas">
    <w:name w:val="_7podnas"/>
    <w:basedOn w:val="Normal"/>
    <w:rsid w:val="00274F89"/>
    <w:pPr>
      <w:spacing w:before="100" w:beforeAutospacing="1" w:after="100" w:afterAutospacing="1" w:line="240" w:lineRule="auto"/>
    </w:pPr>
    <w:rPr>
      <w:rFonts w:ascii="Times New Roman" w:eastAsia="Times New Roman" w:hAnsi="Times New Roman" w:cs="Times New Roman"/>
      <w:color w:val="auto"/>
      <w:kern w:val="0"/>
      <w:sz w:val="24"/>
      <w:szCs w:val="24"/>
      <w:lang w:val="sr-Latn-ME" w:eastAsia="sr-Latn-ME"/>
    </w:rPr>
  </w:style>
  <w:style w:type="table" w:customStyle="1" w:styleId="GridTable6Colorful-Accent51">
    <w:name w:val="Grid Table 6 Colorful - Accent 51"/>
    <w:basedOn w:val="TableNormal"/>
    <w:uiPriority w:val="51"/>
    <w:rsid w:val="00F853F2"/>
    <w:pPr>
      <w:spacing w:before="0" w:after="0" w:line="240" w:lineRule="auto"/>
    </w:pPr>
    <w:rPr>
      <w:color w:val="4D595B" w:themeColor="accent5" w:themeShade="BF"/>
      <w:sz w:val="22"/>
      <w:szCs w:val="22"/>
      <w:lang w:eastAsia="en-US"/>
    </w:rPr>
    <w:tblPr>
      <w:tblStyleRowBandSize w:val="1"/>
      <w:tblStyleColBandSize w:val="1"/>
      <w:tblBorders>
        <w:top w:val="single" w:sz="4" w:space="0" w:color="A2AEB1" w:themeColor="accent5" w:themeTint="99"/>
        <w:left w:val="single" w:sz="4" w:space="0" w:color="A2AEB1" w:themeColor="accent5" w:themeTint="99"/>
        <w:bottom w:val="single" w:sz="4" w:space="0" w:color="A2AEB1" w:themeColor="accent5" w:themeTint="99"/>
        <w:right w:val="single" w:sz="4" w:space="0" w:color="A2AEB1" w:themeColor="accent5" w:themeTint="99"/>
        <w:insideH w:val="single" w:sz="4" w:space="0" w:color="A2AEB1" w:themeColor="accent5" w:themeTint="99"/>
        <w:insideV w:val="single" w:sz="4" w:space="0" w:color="A2AEB1" w:themeColor="accent5" w:themeTint="99"/>
      </w:tblBorders>
    </w:tblPr>
    <w:tblStylePr w:type="firstRow">
      <w:rPr>
        <w:b/>
        <w:bCs/>
      </w:rPr>
      <w:tblPr/>
      <w:tcPr>
        <w:tcBorders>
          <w:bottom w:val="single" w:sz="12" w:space="0" w:color="A2AEB1" w:themeColor="accent5" w:themeTint="99"/>
        </w:tcBorders>
      </w:tcPr>
    </w:tblStylePr>
    <w:tblStylePr w:type="lastRow">
      <w:rPr>
        <w:b/>
        <w:bCs/>
      </w:rPr>
      <w:tblPr/>
      <w:tcPr>
        <w:tcBorders>
          <w:top w:val="double" w:sz="4" w:space="0" w:color="A2AEB1" w:themeColor="accent5" w:themeTint="99"/>
        </w:tcBorders>
      </w:tcPr>
    </w:tblStylePr>
    <w:tblStylePr w:type="firstCol">
      <w:rPr>
        <w:b/>
        <w:bCs/>
      </w:rPr>
    </w:tblStylePr>
    <w:tblStylePr w:type="lastCol">
      <w:rPr>
        <w:b/>
        <w:bCs/>
      </w:rPr>
    </w:tblStylePr>
    <w:tblStylePr w:type="band1Vert">
      <w:tblPr/>
      <w:tcPr>
        <w:shd w:val="clear" w:color="auto" w:fill="DFE4E5" w:themeFill="accent5" w:themeFillTint="33"/>
      </w:tcPr>
    </w:tblStylePr>
    <w:tblStylePr w:type="band1Horz">
      <w:tblPr/>
      <w:tcPr>
        <w:shd w:val="clear" w:color="auto" w:fill="DFE4E5" w:themeFill="accent5" w:themeFillTint="33"/>
      </w:tcPr>
    </w:tblStylePr>
  </w:style>
  <w:style w:type="paragraph" w:customStyle="1" w:styleId="BVIfnr">
    <w:name w:val="BVI fnr"/>
    <w:basedOn w:val="Normal"/>
    <w:link w:val="FootnoteReference"/>
    <w:uiPriority w:val="99"/>
    <w:rsid w:val="00DB0093"/>
    <w:pPr>
      <w:spacing w:before="0" w:line="240" w:lineRule="exact"/>
    </w:pPr>
    <w:rPr>
      <w:kern w:val="0"/>
      <w:vertAlign w:val="superscript"/>
      <w:lang w:val="en-US"/>
    </w:rPr>
  </w:style>
  <w:style w:type="paragraph" w:customStyle="1" w:styleId="4clan">
    <w:name w:val="_4clan"/>
    <w:basedOn w:val="Normal"/>
    <w:rsid w:val="00DB0093"/>
    <w:pPr>
      <w:spacing w:before="100" w:beforeAutospacing="1" w:after="100" w:afterAutospacing="1" w:line="240" w:lineRule="auto"/>
    </w:pPr>
    <w:rPr>
      <w:rFonts w:ascii="Times New Roman" w:eastAsia="Times New Roman" w:hAnsi="Times New Roman" w:cs="Times New Roman"/>
      <w:color w:val="auto"/>
      <w:kern w:val="0"/>
      <w:sz w:val="24"/>
      <w:szCs w:val="24"/>
      <w:lang w:val="en-US" w:eastAsia="en-US"/>
    </w:rPr>
  </w:style>
  <w:style w:type="paragraph" w:customStyle="1" w:styleId="1tekst">
    <w:name w:val="_1tekst"/>
    <w:basedOn w:val="Normal"/>
    <w:rsid w:val="00DB0093"/>
    <w:pPr>
      <w:spacing w:before="100" w:beforeAutospacing="1" w:after="100" w:afterAutospacing="1" w:line="240" w:lineRule="auto"/>
    </w:pPr>
    <w:rPr>
      <w:rFonts w:ascii="Times New Roman" w:eastAsia="Times New Roman" w:hAnsi="Times New Roman" w:cs="Times New Roman"/>
      <w:color w:val="auto"/>
      <w:kern w:val="0"/>
      <w:sz w:val="24"/>
      <w:szCs w:val="24"/>
      <w:lang w:val="en-US" w:eastAsia="en-US"/>
    </w:rPr>
  </w:style>
  <w:style w:type="table" w:customStyle="1" w:styleId="TableGrid0">
    <w:name w:val="TableGrid"/>
    <w:rsid w:val="00B63EB7"/>
    <w:pPr>
      <w:spacing w:before="0" w:after="0" w:line="240" w:lineRule="auto"/>
    </w:pPr>
    <w:rPr>
      <w:rFonts w:eastAsia="Times New Roman"/>
      <w:color w:val="auto"/>
      <w:sz w:val="22"/>
      <w:szCs w:val="22"/>
      <w:lang w:val="sr-Latn-ME" w:eastAsia="sr-Latn-ME"/>
    </w:rPr>
    <w:tblPr>
      <w:tblCellMar>
        <w:top w:w="0" w:type="dxa"/>
        <w:left w:w="0" w:type="dxa"/>
        <w:bottom w:w="0" w:type="dxa"/>
        <w:right w:w="0" w:type="dxa"/>
      </w:tblCellMar>
    </w:tblPr>
  </w:style>
  <w:style w:type="table" w:customStyle="1" w:styleId="GridTable6Colorful1">
    <w:name w:val="Grid Table 6 Colorful1"/>
    <w:basedOn w:val="TableNormal"/>
    <w:next w:val="GridTable6Colorful"/>
    <w:uiPriority w:val="51"/>
    <w:rsid w:val="00167FB3"/>
    <w:pPr>
      <w:spacing w:before="0" w:after="0" w:line="240" w:lineRule="auto"/>
    </w:pPr>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
    <w:name w:val="Grid Table 6 Colorful"/>
    <w:basedOn w:val="TableNormal"/>
    <w:uiPriority w:val="51"/>
    <w:rsid w:val="00167F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
    <w:name w:val="No List1"/>
    <w:next w:val="NoList"/>
    <w:uiPriority w:val="99"/>
    <w:semiHidden/>
    <w:unhideWhenUsed/>
    <w:rsid w:val="00C95C15"/>
  </w:style>
  <w:style w:type="character" w:customStyle="1" w:styleId="FootnoteTextChar1">
    <w:name w:val="Footnote Text Char1"/>
    <w:basedOn w:val="DefaultParagraphFont"/>
    <w:uiPriority w:val="99"/>
    <w:semiHidden/>
    <w:rsid w:val="00C95C15"/>
    <w:rPr>
      <w:rFonts w:ascii="Times New Roman" w:hAnsi="Times New Roman" w:cs="Times New Roman"/>
      <w:sz w:val="20"/>
      <w:szCs w:val="20"/>
      <w:lang w:val="en-GB" w:eastAsia="zh-CN"/>
    </w:rPr>
  </w:style>
  <w:style w:type="paragraph" w:customStyle="1" w:styleId="Normal1">
    <w:name w:val="Normal1"/>
    <w:rsid w:val="00C95C15"/>
    <w:pPr>
      <w:spacing w:before="0" w:line="256" w:lineRule="auto"/>
    </w:pPr>
    <w:rPr>
      <w:rFonts w:ascii="Calibri" w:eastAsia="Calibri" w:hAnsi="Calibri" w:cs="Calibri"/>
      <w:color w:val="auto"/>
      <w:sz w:val="22"/>
      <w:szCs w:val="22"/>
      <w:lang w:val="ka-GE" w:eastAsia="en-US"/>
    </w:rPr>
  </w:style>
  <w:style w:type="table" w:customStyle="1" w:styleId="TableGrid10">
    <w:name w:val="TableGrid1"/>
    <w:rsid w:val="00C95C15"/>
    <w:pPr>
      <w:spacing w:before="0" w:after="0" w:line="240" w:lineRule="auto"/>
    </w:pPr>
    <w:rPr>
      <w:rFonts w:eastAsia="Times New Roman"/>
      <w:color w:val="auto"/>
      <w:sz w:val="22"/>
      <w:szCs w:val="22"/>
      <w:lang w:val="sr-Latn-ME" w:eastAsia="sr-Latn-ME"/>
    </w:rPr>
    <w:tblPr>
      <w:tblCellMar>
        <w:top w:w="0" w:type="dxa"/>
        <w:left w:w="0" w:type="dxa"/>
        <w:bottom w:w="0" w:type="dxa"/>
        <w:right w:w="0" w:type="dxa"/>
      </w:tblCellMar>
    </w:tblPr>
  </w:style>
  <w:style w:type="table" w:customStyle="1" w:styleId="GridTable6Colorful-Accent511">
    <w:name w:val="Grid Table 6 Colorful - Accent 511"/>
    <w:basedOn w:val="TableNormal"/>
    <w:uiPriority w:val="51"/>
    <w:rsid w:val="00C95C15"/>
    <w:pPr>
      <w:spacing w:before="0" w:after="0" w:line="240" w:lineRule="auto"/>
    </w:pPr>
    <w:rPr>
      <w:color w:val="2F5496"/>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1">
    <w:name w:val="Table Grid1"/>
    <w:basedOn w:val="TableNormal"/>
    <w:next w:val="TableGrid"/>
    <w:uiPriority w:val="39"/>
    <w:rsid w:val="00C95C15"/>
    <w:pPr>
      <w:spacing w:before="0" w:after="0" w:line="240" w:lineRule="auto"/>
    </w:pPr>
    <w:rPr>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2">
    <w:name w:val="Grid Table 6 Colorful2"/>
    <w:basedOn w:val="TableNormal"/>
    <w:next w:val="GridTable6Colorful"/>
    <w:uiPriority w:val="51"/>
    <w:rsid w:val="00C95C15"/>
    <w:pPr>
      <w:spacing w:before="0" w:after="0" w:line="240" w:lineRule="auto"/>
    </w:pPr>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10">
    <w:name w:val="Table Grid11"/>
    <w:basedOn w:val="TableNormal"/>
    <w:next w:val="TableGrid"/>
    <w:uiPriority w:val="39"/>
    <w:rsid w:val="00C95C15"/>
    <w:pPr>
      <w:spacing w:before="0" w:after="0" w:line="240" w:lineRule="auto"/>
    </w:pPr>
    <w:rPr>
      <w:rFonts w:ascii="Calibri" w:eastAsia="Calibri" w:hAnsi="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C95C15"/>
  </w:style>
  <w:style w:type="character" w:customStyle="1" w:styleId="jsgrdq">
    <w:name w:val="jsgrdq"/>
    <w:basedOn w:val="DefaultParagraphFont"/>
    <w:rsid w:val="00A01908"/>
  </w:style>
  <w:style w:type="paragraph" w:customStyle="1" w:styleId="C30X">
    <w:name w:val="C30X"/>
    <w:basedOn w:val="Normal"/>
    <w:uiPriority w:val="99"/>
    <w:rsid w:val="00C941D8"/>
    <w:pPr>
      <w:autoSpaceDE w:val="0"/>
      <w:autoSpaceDN w:val="0"/>
      <w:adjustRightInd w:val="0"/>
      <w:spacing w:before="200" w:after="60" w:line="240" w:lineRule="auto"/>
      <w:jc w:val="center"/>
    </w:pPr>
    <w:rPr>
      <w:rFonts w:ascii="Times New Roman" w:eastAsia="Times New Roman" w:hAnsi="Times New Roman" w:cs="Times New Roman"/>
      <w:b/>
      <w:bCs/>
      <w:color w:val="000000"/>
      <w:kern w:val="0"/>
      <w:sz w:val="24"/>
      <w:szCs w:val="24"/>
      <w:lang w:val="en-US" w:eastAsia="en-US"/>
    </w:rPr>
  </w:style>
  <w:style w:type="paragraph" w:customStyle="1" w:styleId="Default">
    <w:name w:val="Default"/>
    <w:rsid w:val="00C941D8"/>
    <w:pPr>
      <w:autoSpaceDE w:val="0"/>
      <w:autoSpaceDN w:val="0"/>
      <w:adjustRightInd w:val="0"/>
      <w:spacing w:before="0" w:after="0" w:line="240" w:lineRule="auto"/>
    </w:pPr>
    <w:rPr>
      <w:rFonts w:ascii="Calibri" w:eastAsia="Calibri" w:hAnsi="Calibri" w:cs="Calibri"/>
      <w:color w:val="000000"/>
      <w:sz w:val="24"/>
      <w:szCs w:val="24"/>
      <w:lang w:val="sr-Latn-RS" w:eastAsia="en-US"/>
    </w:rPr>
  </w:style>
  <w:style w:type="table" w:styleId="GridTable6Colorful-Accent1">
    <w:name w:val="Grid Table 6 Colorful Accent 1"/>
    <w:basedOn w:val="TableNormal"/>
    <w:uiPriority w:val="51"/>
    <w:rsid w:val="00BF2139"/>
    <w:pPr>
      <w:spacing w:after="0" w:line="240" w:lineRule="auto"/>
    </w:pPr>
    <w:rPr>
      <w:color w:val="577188" w:themeColor="accent1" w:themeShade="BF"/>
    </w:r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rPr>
      <w:tblPr/>
      <w:tcPr>
        <w:tcBorders>
          <w:bottom w:val="single" w:sz="12" w:space="0" w:color="B1C0CD" w:themeColor="accent1" w:themeTint="99"/>
        </w:tcBorders>
      </w:tcPr>
    </w:tblStylePr>
    <w:tblStylePr w:type="lastRow">
      <w:rPr>
        <w:b/>
        <w:bCs/>
      </w:rPr>
      <w:tblPr/>
      <w:tcPr>
        <w:tcBorders>
          <w:top w:val="double" w:sz="4" w:space="0" w:color="B1C0CD" w:themeColor="accent1" w:themeTint="99"/>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styleId="ListTable3">
    <w:name w:val="List Table 3"/>
    <w:basedOn w:val="TableNormal"/>
    <w:uiPriority w:val="48"/>
    <w:rsid w:val="00BF213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1Light-Accent4">
    <w:name w:val="Grid Table 1 Light Accent 4"/>
    <w:basedOn w:val="TableNormal"/>
    <w:uiPriority w:val="46"/>
    <w:rsid w:val="000E1288"/>
    <w:pPr>
      <w:spacing w:after="0" w:line="240" w:lineRule="auto"/>
    </w:pPr>
    <w:tblPr>
      <w:tblStyleRowBandSize w:val="1"/>
      <w:tblStyleColBandSize w:val="1"/>
      <w:tblBorders>
        <w:top w:val="single" w:sz="4" w:space="0" w:color="E1D3C4" w:themeColor="accent4" w:themeTint="66"/>
        <w:left w:val="single" w:sz="4" w:space="0" w:color="E1D3C4" w:themeColor="accent4" w:themeTint="66"/>
        <w:bottom w:val="single" w:sz="4" w:space="0" w:color="E1D3C4" w:themeColor="accent4" w:themeTint="66"/>
        <w:right w:val="single" w:sz="4" w:space="0" w:color="E1D3C4" w:themeColor="accent4" w:themeTint="66"/>
        <w:insideH w:val="single" w:sz="4" w:space="0" w:color="E1D3C4" w:themeColor="accent4" w:themeTint="66"/>
        <w:insideV w:val="single" w:sz="4" w:space="0" w:color="E1D3C4" w:themeColor="accent4" w:themeTint="66"/>
      </w:tblBorders>
    </w:tblPr>
    <w:tblStylePr w:type="firstRow">
      <w:rPr>
        <w:b/>
        <w:bCs/>
      </w:rPr>
      <w:tblPr/>
      <w:tcPr>
        <w:tcBorders>
          <w:bottom w:val="single" w:sz="12" w:space="0" w:color="D2BEA7" w:themeColor="accent4" w:themeTint="99"/>
        </w:tcBorders>
      </w:tcPr>
    </w:tblStylePr>
    <w:tblStylePr w:type="lastRow">
      <w:rPr>
        <w:b/>
        <w:bCs/>
      </w:rPr>
      <w:tblPr/>
      <w:tcPr>
        <w:tcBorders>
          <w:top w:val="double" w:sz="2" w:space="0" w:color="D2BEA7" w:themeColor="accent4"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0E1288"/>
    <w:pPr>
      <w:spacing w:after="0" w:line="240" w:lineRule="auto"/>
    </w:pPr>
    <w:tblPr>
      <w:tblStyleRowBandSize w:val="1"/>
      <w:tblStyleColBandSize w:val="1"/>
      <w:tblBorders>
        <w:top w:val="single" w:sz="4" w:space="0" w:color="7E97AD" w:themeColor="accent1"/>
        <w:left w:val="single" w:sz="4" w:space="0" w:color="7E97AD" w:themeColor="accent1"/>
        <w:bottom w:val="single" w:sz="4" w:space="0" w:color="7E97AD" w:themeColor="accent1"/>
        <w:right w:val="single" w:sz="4" w:space="0" w:color="7E97AD" w:themeColor="accent1"/>
      </w:tblBorders>
    </w:tblPr>
    <w:tblStylePr w:type="firstRow">
      <w:rPr>
        <w:b/>
        <w:bCs/>
        <w:color w:val="FFFFFF" w:themeColor="background1"/>
      </w:rPr>
      <w:tblPr/>
      <w:tcPr>
        <w:shd w:val="clear" w:color="auto" w:fill="7E97AD" w:themeFill="accent1"/>
      </w:tcPr>
    </w:tblStylePr>
    <w:tblStylePr w:type="lastRow">
      <w:rPr>
        <w:b/>
        <w:bCs/>
      </w:rPr>
      <w:tblPr/>
      <w:tcPr>
        <w:tcBorders>
          <w:top w:val="double" w:sz="4" w:space="0" w:color="7E97A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E97AD" w:themeColor="accent1"/>
          <w:right w:val="single" w:sz="4" w:space="0" w:color="7E97AD" w:themeColor="accent1"/>
        </w:tcBorders>
      </w:tcPr>
    </w:tblStylePr>
    <w:tblStylePr w:type="band1Horz">
      <w:tblPr/>
      <w:tcPr>
        <w:tcBorders>
          <w:top w:val="single" w:sz="4" w:space="0" w:color="7E97AD" w:themeColor="accent1"/>
          <w:bottom w:val="single" w:sz="4" w:space="0" w:color="7E97A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E97AD" w:themeColor="accent1"/>
          <w:left w:val="nil"/>
        </w:tcBorders>
      </w:tcPr>
    </w:tblStylePr>
    <w:tblStylePr w:type="swCell">
      <w:tblPr/>
      <w:tcPr>
        <w:tcBorders>
          <w:top w:val="double" w:sz="4" w:space="0" w:color="7E97AD" w:themeColor="accent1"/>
          <w:right w:val="nil"/>
        </w:tcBorders>
      </w:tcPr>
    </w:tblStylePr>
  </w:style>
  <w:style w:type="table" w:styleId="ListTable3-Accent4">
    <w:name w:val="List Table 3 Accent 4"/>
    <w:basedOn w:val="TableNormal"/>
    <w:uiPriority w:val="48"/>
    <w:rsid w:val="000E1288"/>
    <w:pPr>
      <w:spacing w:after="0" w:line="240" w:lineRule="auto"/>
    </w:pPr>
    <w:tblPr>
      <w:tblStyleRowBandSize w:val="1"/>
      <w:tblStyleColBandSize w:val="1"/>
      <w:tblBorders>
        <w:top w:val="single" w:sz="4" w:space="0" w:color="B4936D" w:themeColor="accent4"/>
        <w:left w:val="single" w:sz="4" w:space="0" w:color="B4936D" w:themeColor="accent4"/>
        <w:bottom w:val="single" w:sz="4" w:space="0" w:color="B4936D" w:themeColor="accent4"/>
        <w:right w:val="single" w:sz="4" w:space="0" w:color="B4936D" w:themeColor="accent4"/>
      </w:tblBorders>
    </w:tblPr>
    <w:tblStylePr w:type="firstRow">
      <w:rPr>
        <w:b/>
        <w:bCs/>
        <w:color w:val="FFFFFF" w:themeColor="background1"/>
      </w:rPr>
      <w:tblPr/>
      <w:tcPr>
        <w:shd w:val="clear" w:color="auto" w:fill="B4936D" w:themeFill="accent4"/>
      </w:tcPr>
    </w:tblStylePr>
    <w:tblStylePr w:type="lastRow">
      <w:rPr>
        <w:b/>
        <w:bCs/>
      </w:rPr>
      <w:tblPr/>
      <w:tcPr>
        <w:tcBorders>
          <w:top w:val="double" w:sz="4" w:space="0" w:color="B4936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4936D" w:themeColor="accent4"/>
          <w:right w:val="single" w:sz="4" w:space="0" w:color="B4936D" w:themeColor="accent4"/>
        </w:tcBorders>
      </w:tcPr>
    </w:tblStylePr>
    <w:tblStylePr w:type="band1Horz">
      <w:tblPr/>
      <w:tcPr>
        <w:tcBorders>
          <w:top w:val="single" w:sz="4" w:space="0" w:color="B4936D" w:themeColor="accent4"/>
          <w:bottom w:val="single" w:sz="4" w:space="0" w:color="B4936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4936D" w:themeColor="accent4"/>
          <w:left w:val="nil"/>
        </w:tcBorders>
      </w:tcPr>
    </w:tblStylePr>
    <w:tblStylePr w:type="swCell">
      <w:tblPr/>
      <w:tcPr>
        <w:tcBorders>
          <w:top w:val="double" w:sz="4" w:space="0" w:color="B4936D" w:themeColor="accent4"/>
          <w:right w:val="nil"/>
        </w:tcBorders>
      </w:tcPr>
    </w:tblStylePr>
  </w:style>
  <w:style w:type="table" w:styleId="GridTable5Dark-Accent2">
    <w:name w:val="Grid Table 5 Dark Accent 2"/>
    <w:basedOn w:val="TableNormal"/>
    <w:uiPriority w:val="50"/>
    <w:rsid w:val="00F341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E8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8E6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8E6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8E6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8E60" w:themeFill="accent2"/>
      </w:tcPr>
    </w:tblStylePr>
    <w:tblStylePr w:type="band1Vert">
      <w:tblPr/>
      <w:tcPr>
        <w:shd w:val="clear" w:color="auto" w:fill="EAD1BF" w:themeFill="accent2" w:themeFillTint="66"/>
      </w:tcPr>
    </w:tblStylePr>
    <w:tblStylePr w:type="band1Horz">
      <w:tblPr/>
      <w:tcPr>
        <w:shd w:val="clear" w:color="auto" w:fill="EAD1BF" w:themeFill="accent2" w:themeFillTint="66"/>
      </w:tcPr>
    </w:tblStylePr>
  </w:style>
  <w:style w:type="table" w:customStyle="1" w:styleId="ColorfulShading-Accent61">
    <w:name w:val="Colorful Shading - Accent 61"/>
    <w:basedOn w:val="TableNormal"/>
    <w:next w:val="ColorfulShading-Accent6"/>
    <w:uiPriority w:val="71"/>
    <w:rsid w:val="00677F87"/>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table" w:customStyle="1" w:styleId="TableGrid20">
    <w:name w:val="TableGrid2"/>
    <w:rsid w:val="00677F87"/>
    <w:pPr>
      <w:spacing w:before="0" w:after="0" w:line="240" w:lineRule="auto"/>
    </w:pPr>
    <w:rPr>
      <w:rFonts w:eastAsia="Times New Roman"/>
      <w:color w:val="auto"/>
      <w:sz w:val="22"/>
      <w:szCs w:val="22"/>
      <w:lang w:val="sr-Latn-ME" w:eastAsia="sr-Latn-ME"/>
    </w:rPr>
    <w:tblPr>
      <w:tblCellMar>
        <w:top w:w="0" w:type="dxa"/>
        <w:left w:w="0" w:type="dxa"/>
        <w:bottom w:w="0" w:type="dxa"/>
        <w:right w:w="0" w:type="dxa"/>
      </w:tblCellMar>
    </w:tblPr>
  </w:style>
  <w:style w:type="paragraph" w:styleId="Revision">
    <w:name w:val="Revision"/>
    <w:hidden/>
    <w:uiPriority w:val="99"/>
    <w:semiHidden/>
    <w:rsid w:val="00BF6830"/>
    <w:pPr>
      <w:spacing w:before="0" w:after="0" w:line="240" w:lineRule="auto"/>
    </w:pPr>
    <w:rPr>
      <w:kern w:val="20"/>
      <w:lang w:val="sr-Latn-RS"/>
    </w:rPr>
  </w:style>
  <w:style w:type="table" w:customStyle="1" w:styleId="TableGrid21">
    <w:name w:val="Table Grid2"/>
    <w:basedOn w:val="TableNormal"/>
    <w:next w:val="TableGrid"/>
    <w:uiPriority w:val="39"/>
    <w:rsid w:val="00CD75BD"/>
    <w:pPr>
      <w:spacing w:before="0" w:after="0" w:line="240" w:lineRule="auto"/>
    </w:pPr>
    <w:rPr>
      <w:rFonts w:eastAsiaTheme="minorEastAsia"/>
      <w:color w:val="262626" w:themeColor="text1" w:themeTint="D9"/>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F91D66"/>
    <w:pPr>
      <w:spacing w:before="0" w:after="0" w:line="240" w:lineRule="auto"/>
    </w:pPr>
    <w:rPr>
      <w:rFonts w:eastAsiaTheme="minorEastAsia"/>
      <w:color w:val="262626" w:themeColor="text1" w:themeTint="D9"/>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D554DC"/>
    <w:rPr>
      <w:color w:val="605E5C"/>
      <w:shd w:val="clear" w:color="auto" w:fill="E1DFDD"/>
    </w:rPr>
  </w:style>
  <w:style w:type="paragraph" w:customStyle="1" w:styleId="Normalright">
    <w:name w:val="Normal right"/>
    <w:basedOn w:val="Normal"/>
    <w:qFormat/>
    <w:rsid w:val="00042F67"/>
    <w:pPr>
      <w:spacing w:before="60" w:after="20" w:line="312" w:lineRule="auto"/>
    </w:pPr>
    <w:rPr>
      <w:rFonts w:eastAsiaTheme="majorEastAsia" w:cs="Arial"/>
      <w:b/>
      <w:color w:val="0D0D0D" w:themeColor="text1" w:themeTint="F2"/>
      <w:spacing w:val="4"/>
      <w:kern w:val="0"/>
      <w:sz w:val="22"/>
      <w:szCs w:val="18"/>
      <w:lang w:val="en-US" w:eastAsia="en-US"/>
    </w:rPr>
  </w:style>
  <w:style w:type="table" w:customStyle="1" w:styleId="TableGridLight1">
    <w:name w:val="Table Grid Light1"/>
    <w:basedOn w:val="TableNormal"/>
    <w:uiPriority w:val="40"/>
    <w:rsid w:val="00042F67"/>
    <w:pPr>
      <w:spacing w:before="0" w:after="0" w:line="312" w:lineRule="auto"/>
    </w:pPr>
    <w:rPr>
      <w:rFonts w:eastAsiaTheme="minorEastAsia" w:cs="Times New Roman"/>
      <w:color w:val="262626" w:themeColor="text1" w:themeTint="D9"/>
      <w:sz w:val="18"/>
      <w:szCs w:val="18"/>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alesInfo">
    <w:name w:val="Sales Info"/>
    <w:basedOn w:val="TableNormal"/>
    <w:uiPriority w:val="99"/>
    <w:rsid w:val="00042F67"/>
    <w:pPr>
      <w:spacing w:before="60" w:after="20" w:line="312" w:lineRule="auto"/>
    </w:pPr>
    <w:rPr>
      <w:rFonts w:eastAsiaTheme="minorEastAsia"/>
      <w:color w:val="262626" w:themeColor="text1" w:themeTint="D9"/>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eastAsiaTheme="majorEastAsia" w:hAnsiTheme="majorHAnsi"/>
        <w:caps/>
        <w:smallCaps w:val="0"/>
        <w:color w:val="0D0D0D" w:themeColor="text1" w:themeTint="F2"/>
        <w:spacing w:val="4"/>
        <w:sz w:val="1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CBC2BD" w:themeFill="accent3" w:themeFillTint="66"/>
      </w:tcPr>
    </w:tblStylePr>
  </w:style>
  <w:style w:type="table" w:customStyle="1" w:styleId="Contenttable">
    <w:name w:val="Content table"/>
    <w:basedOn w:val="TableNormal"/>
    <w:uiPriority w:val="99"/>
    <w:rsid w:val="00042F67"/>
    <w:pPr>
      <w:spacing w:before="60" w:after="20" w:line="312" w:lineRule="auto"/>
    </w:pPr>
    <w:rPr>
      <w:rFonts w:eastAsiaTheme="minorEastAsia"/>
      <w:color w:val="262626" w:themeColor="text1" w:themeTint="D9"/>
      <w:sz w:val="18"/>
      <w:szCs w:val="18"/>
    </w:rPr>
    <w:tblPr>
      <w:tblStyleRowBandSize w:val="1"/>
    </w:tblPr>
    <w:tcPr>
      <w:shd w:val="clear" w:color="auto" w:fill="FFFFFF" w:themeFill="background1"/>
    </w:tcPr>
    <w:tblStylePr w:type="firstRow">
      <w:rPr>
        <w:rFonts w:asciiTheme="majorHAnsi" w:eastAsiaTheme="majorEastAsia" w:hAnsiTheme="majorHAnsi"/>
        <w:caps/>
        <w:smallCaps w:val="0"/>
        <w:color w:val="0D0D0D" w:themeColor="text1" w:themeTint="F2"/>
        <w:spacing w:val="4"/>
        <w:sz w:val="18"/>
      </w:rPr>
      <w:tblPr/>
      <w:tcPr>
        <w:tcBorders>
          <w:top w:val="nil"/>
          <w:left w:val="nil"/>
          <w:bottom w:val="single" w:sz="4" w:space="0" w:color="000000" w:themeColor="text1"/>
          <w:right w:val="nil"/>
          <w:insideH w:val="nil"/>
          <w:insideV w:val="nil"/>
          <w:tl2br w:val="nil"/>
          <w:tr2bl w:val="nil"/>
        </w:tcBorders>
        <w:shd w:val="clear" w:color="auto" w:fill="FFFFFF" w:themeFill="background1"/>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TotalTable">
    <w:name w:val="Total Table"/>
    <w:basedOn w:val="TableNormal"/>
    <w:uiPriority w:val="99"/>
    <w:rsid w:val="00042F67"/>
    <w:pPr>
      <w:spacing w:before="0" w:after="0" w:line="240" w:lineRule="auto"/>
    </w:pPr>
    <w:rPr>
      <w:rFonts w:eastAsiaTheme="minorEastAsia"/>
      <w:color w:val="262626" w:themeColor="text1" w:themeTint="D9"/>
      <w:sz w:val="18"/>
      <w:szCs w:val="18"/>
    </w:rPr>
    <w:tblPr>
      <w:tblStyleRowBandSize w:val="1"/>
    </w:tblPr>
    <w:tblStylePr w:type="firstCol">
      <w:pPr>
        <w:jc w:val="right"/>
      </w:pPr>
      <w:tblPr/>
      <w:tcPr>
        <w:vAlign w:val="center"/>
      </w:tcPr>
    </w:tblStylePr>
    <w:tblStylePr w:type="lastCol">
      <w:pPr>
        <w:jc w:val="left"/>
      </w:p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vAlign w:val="center"/>
      </w:tcPr>
    </w:tblStylePr>
    <w:tblStylePr w:type="band1Horz">
      <w:tblPr/>
      <w:tcPr>
        <w:shd w:val="clear" w:color="auto" w:fill="E5E0DE" w:themeFill="accent3" w:themeFillTint="33"/>
      </w:tcPr>
    </w:tblStylePr>
  </w:style>
  <w:style w:type="table" w:customStyle="1" w:styleId="PlainTable21">
    <w:name w:val="Plain Table 21"/>
    <w:basedOn w:val="TableNormal"/>
    <w:uiPriority w:val="42"/>
    <w:rsid w:val="00042F67"/>
    <w:pPr>
      <w:spacing w:before="0" w:after="0" w:line="240" w:lineRule="auto"/>
    </w:pPr>
    <w:rPr>
      <w:rFonts w:eastAsiaTheme="minorEastAsia"/>
      <w:color w:val="262626" w:themeColor="text1" w:themeTint="D9"/>
      <w:sz w:val="18"/>
      <w:szCs w:val="1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
    <w:name w:val="Style1"/>
    <w:basedOn w:val="Normal"/>
    <w:link w:val="Style1Char"/>
    <w:qFormat/>
    <w:rsid w:val="00042F67"/>
    <w:pPr>
      <w:framePr w:hSpace="180" w:wrap="around" w:vAnchor="text" w:hAnchor="margin" w:xAlign="center" w:y="5211"/>
      <w:spacing w:before="60" w:after="20" w:line="312" w:lineRule="auto"/>
    </w:pPr>
    <w:rPr>
      <w:rFonts w:asciiTheme="majorHAnsi" w:eastAsiaTheme="majorEastAsia" w:hAnsiTheme="majorHAnsi" w:cs="Microsoft Sans Serif"/>
      <w:color w:val="5B4F47" w:themeColor="accent3" w:themeShade="BF"/>
      <w:spacing w:val="4"/>
      <w:kern w:val="0"/>
      <w:sz w:val="28"/>
      <w:szCs w:val="28"/>
      <w:lang w:val="en-US"/>
    </w:rPr>
  </w:style>
  <w:style w:type="character" w:customStyle="1" w:styleId="Style1Char">
    <w:name w:val="Style1 Char"/>
    <w:basedOn w:val="DefaultParagraphFont"/>
    <w:link w:val="Style1"/>
    <w:rsid w:val="00042F67"/>
    <w:rPr>
      <w:rFonts w:asciiTheme="majorHAnsi" w:eastAsiaTheme="majorEastAsia" w:hAnsiTheme="majorHAnsi" w:cs="Microsoft Sans Serif"/>
      <w:color w:val="5B4F47" w:themeColor="accent3" w:themeShade="BF"/>
      <w:spacing w:val="4"/>
      <w:sz w:val="28"/>
      <w:szCs w:val="28"/>
    </w:rPr>
  </w:style>
  <w:style w:type="character" w:customStyle="1" w:styleId="UnresolvedMention1">
    <w:name w:val="Unresolved Mention1"/>
    <w:basedOn w:val="DefaultParagraphFont"/>
    <w:uiPriority w:val="99"/>
    <w:semiHidden/>
    <w:unhideWhenUsed/>
    <w:rsid w:val="00042F67"/>
    <w:rPr>
      <w:color w:val="595959" w:themeColor="text1" w:themeTint="A6"/>
      <w:shd w:val="clear" w:color="auto" w:fill="E6E6E6"/>
    </w:rPr>
  </w:style>
  <w:style w:type="table" w:customStyle="1" w:styleId="GridTable5Dark-Accent11">
    <w:name w:val="Grid Table 5 Dark - Accent 11"/>
    <w:basedOn w:val="TableNormal"/>
    <w:uiPriority w:val="50"/>
    <w:rsid w:val="00042F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A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97A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97A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97A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97AD" w:themeFill="accent1"/>
      </w:tcPr>
    </w:tblStylePr>
    <w:tblStylePr w:type="band1Vert">
      <w:tblPr/>
      <w:tcPr>
        <w:shd w:val="clear" w:color="auto" w:fill="CBD5DE" w:themeFill="accent1" w:themeFillTint="66"/>
      </w:tcPr>
    </w:tblStylePr>
    <w:tblStylePr w:type="band1Horz">
      <w:tblPr/>
      <w:tcPr>
        <w:shd w:val="clear" w:color="auto" w:fill="CBD5DE" w:themeFill="accent1" w:themeFillTint="66"/>
      </w:tcPr>
    </w:tblStylePr>
  </w:style>
  <w:style w:type="character" w:customStyle="1" w:styleId="su-tooltip">
    <w:name w:val="su-tooltip"/>
    <w:basedOn w:val="DefaultParagraphFont"/>
    <w:rsid w:val="00042F67"/>
  </w:style>
  <w:style w:type="table" w:customStyle="1" w:styleId="GridTable5Dark-Accent61">
    <w:name w:val="Grid Table 5 Dark - Accent 61"/>
    <w:basedOn w:val="TableNormal"/>
    <w:uiPriority w:val="50"/>
    <w:rsid w:val="00042F67"/>
    <w:pPr>
      <w:spacing w:before="0" w:after="0" w:line="240" w:lineRule="auto"/>
    </w:pPr>
    <w:rPr>
      <w:color w:val="auto"/>
      <w:sz w:val="22"/>
      <w:szCs w:val="22"/>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9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36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36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36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36F" w:themeFill="accent6"/>
      </w:tcPr>
    </w:tblStylePr>
    <w:tblStylePr w:type="band1Vert">
      <w:tblPr/>
      <w:tcPr>
        <w:shd w:val="clear" w:color="auto" w:fill="D7D3C5" w:themeFill="accent6" w:themeFillTint="66"/>
      </w:tcPr>
    </w:tblStylePr>
    <w:tblStylePr w:type="band1Horz">
      <w:tblPr/>
      <w:tcPr>
        <w:shd w:val="clear" w:color="auto" w:fill="D7D3C5"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5292">
      <w:bodyDiv w:val="1"/>
      <w:marLeft w:val="0"/>
      <w:marRight w:val="0"/>
      <w:marTop w:val="0"/>
      <w:marBottom w:val="0"/>
      <w:divBdr>
        <w:top w:val="none" w:sz="0" w:space="0" w:color="auto"/>
        <w:left w:val="none" w:sz="0" w:space="0" w:color="auto"/>
        <w:bottom w:val="none" w:sz="0" w:space="0" w:color="auto"/>
        <w:right w:val="none" w:sz="0" w:space="0" w:color="auto"/>
      </w:divBdr>
    </w:div>
    <w:div w:id="123432837">
      <w:bodyDiv w:val="1"/>
      <w:marLeft w:val="0"/>
      <w:marRight w:val="0"/>
      <w:marTop w:val="0"/>
      <w:marBottom w:val="0"/>
      <w:divBdr>
        <w:top w:val="none" w:sz="0" w:space="0" w:color="auto"/>
        <w:left w:val="none" w:sz="0" w:space="0" w:color="auto"/>
        <w:bottom w:val="none" w:sz="0" w:space="0" w:color="auto"/>
        <w:right w:val="none" w:sz="0" w:space="0" w:color="auto"/>
      </w:divBdr>
    </w:div>
    <w:div w:id="150559125">
      <w:bodyDiv w:val="1"/>
      <w:marLeft w:val="0"/>
      <w:marRight w:val="0"/>
      <w:marTop w:val="0"/>
      <w:marBottom w:val="0"/>
      <w:divBdr>
        <w:top w:val="none" w:sz="0" w:space="0" w:color="auto"/>
        <w:left w:val="none" w:sz="0" w:space="0" w:color="auto"/>
        <w:bottom w:val="none" w:sz="0" w:space="0" w:color="auto"/>
        <w:right w:val="none" w:sz="0" w:space="0" w:color="auto"/>
      </w:divBdr>
    </w:div>
    <w:div w:id="172032995">
      <w:bodyDiv w:val="1"/>
      <w:marLeft w:val="0"/>
      <w:marRight w:val="0"/>
      <w:marTop w:val="0"/>
      <w:marBottom w:val="0"/>
      <w:divBdr>
        <w:top w:val="none" w:sz="0" w:space="0" w:color="auto"/>
        <w:left w:val="none" w:sz="0" w:space="0" w:color="auto"/>
        <w:bottom w:val="none" w:sz="0" w:space="0" w:color="auto"/>
        <w:right w:val="none" w:sz="0" w:space="0" w:color="auto"/>
      </w:divBdr>
    </w:div>
    <w:div w:id="191186060">
      <w:bodyDiv w:val="1"/>
      <w:marLeft w:val="0"/>
      <w:marRight w:val="0"/>
      <w:marTop w:val="0"/>
      <w:marBottom w:val="0"/>
      <w:divBdr>
        <w:top w:val="none" w:sz="0" w:space="0" w:color="auto"/>
        <w:left w:val="none" w:sz="0" w:space="0" w:color="auto"/>
        <w:bottom w:val="none" w:sz="0" w:space="0" w:color="auto"/>
        <w:right w:val="none" w:sz="0" w:space="0" w:color="auto"/>
      </w:divBdr>
    </w:div>
    <w:div w:id="438834539">
      <w:bodyDiv w:val="1"/>
      <w:marLeft w:val="0"/>
      <w:marRight w:val="0"/>
      <w:marTop w:val="0"/>
      <w:marBottom w:val="0"/>
      <w:divBdr>
        <w:top w:val="none" w:sz="0" w:space="0" w:color="auto"/>
        <w:left w:val="none" w:sz="0" w:space="0" w:color="auto"/>
        <w:bottom w:val="none" w:sz="0" w:space="0" w:color="auto"/>
        <w:right w:val="none" w:sz="0" w:space="0" w:color="auto"/>
      </w:divBdr>
    </w:div>
    <w:div w:id="468286226">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90939816">
      <w:bodyDiv w:val="1"/>
      <w:marLeft w:val="0"/>
      <w:marRight w:val="0"/>
      <w:marTop w:val="0"/>
      <w:marBottom w:val="0"/>
      <w:divBdr>
        <w:top w:val="none" w:sz="0" w:space="0" w:color="auto"/>
        <w:left w:val="none" w:sz="0" w:space="0" w:color="auto"/>
        <w:bottom w:val="none" w:sz="0" w:space="0" w:color="auto"/>
        <w:right w:val="none" w:sz="0" w:space="0" w:color="auto"/>
      </w:divBdr>
    </w:div>
    <w:div w:id="776754858">
      <w:bodyDiv w:val="1"/>
      <w:marLeft w:val="0"/>
      <w:marRight w:val="0"/>
      <w:marTop w:val="0"/>
      <w:marBottom w:val="0"/>
      <w:divBdr>
        <w:top w:val="none" w:sz="0" w:space="0" w:color="auto"/>
        <w:left w:val="none" w:sz="0" w:space="0" w:color="auto"/>
        <w:bottom w:val="none" w:sz="0" w:space="0" w:color="auto"/>
        <w:right w:val="none" w:sz="0" w:space="0" w:color="auto"/>
      </w:divBdr>
      <w:divsChild>
        <w:div w:id="764496234">
          <w:marLeft w:val="0"/>
          <w:marRight w:val="0"/>
          <w:marTop w:val="0"/>
          <w:marBottom w:val="0"/>
          <w:divBdr>
            <w:top w:val="none" w:sz="0" w:space="0" w:color="auto"/>
            <w:left w:val="none" w:sz="0" w:space="0" w:color="auto"/>
            <w:bottom w:val="none" w:sz="0" w:space="0" w:color="auto"/>
            <w:right w:val="none" w:sz="0" w:space="0" w:color="auto"/>
          </w:divBdr>
          <w:divsChild>
            <w:div w:id="1810325048">
              <w:marLeft w:val="0"/>
              <w:marRight w:val="0"/>
              <w:marTop w:val="0"/>
              <w:marBottom w:val="240"/>
              <w:divBdr>
                <w:top w:val="none" w:sz="0" w:space="0" w:color="auto"/>
                <w:left w:val="none" w:sz="0" w:space="0" w:color="auto"/>
                <w:bottom w:val="none" w:sz="0" w:space="0" w:color="auto"/>
                <w:right w:val="none" w:sz="0" w:space="0" w:color="auto"/>
              </w:divBdr>
            </w:div>
          </w:divsChild>
        </w:div>
        <w:div w:id="950011872">
          <w:marLeft w:val="0"/>
          <w:marRight w:val="0"/>
          <w:marTop w:val="0"/>
          <w:marBottom w:val="0"/>
          <w:divBdr>
            <w:top w:val="none" w:sz="0" w:space="0" w:color="auto"/>
            <w:left w:val="none" w:sz="0" w:space="0" w:color="auto"/>
            <w:bottom w:val="none" w:sz="0" w:space="0" w:color="auto"/>
            <w:right w:val="none" w:sz="0" w:space="0" w:color="auto"/>
          </w:divBdr>
          <w:divsChild>
            <w:div w:id="2113089370">
              <w:marLeft w:val="0"/>
              <w:marRight w:val="0"/>
              <w:marTop w:val="0"/>
              <w:marBottom w:val="240"/>
              <w:divBdr>
                <w:top w:val="none" w:sz="0" w:space="0" w:color="auto"/>
                <w:left w:val="none" w:sz="0" w:space="0" w:color="auto"/>
                <w:bottom w:val="none" w:sz="0" w:space="0" w:color="auto"/>
                <w:right w:val="none" w:sz="0" w:space="0" w:color="auto"/>
              </w:divBdr>
            </w:div>
          </w:divsChild>
        </w:div>
        <w:div w:id="1824926297">
          <w:marLeft w:val="0"/>
          <w:marRight w:val="0"/>
          <w:marTop w:val="0"/>
          <w:marBottom w:val="0"/>
          <w:divBdr>
            <w:top w:val="none" w:sz="0" w:space="0" w:color="auto"/>
            <w:left w:val="none" w:sz="0" w:space="0" w:color="auto"/>
            <w:bottom w:val="none" w:sz="0" w:space="0" w:color="auto"/>
            <w:right w:val="none" w:sz="0" w:space="0" w:color="auto"/>
          </w:divBdr>
          <w:divsChild>
            <w:div w:id="5761316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09462983">
      <w:bodyDiv w:val="1"/>
      <w:marLeft w:val="0"/>
      <w:marRight w:val="0"/>
      <w:marTop w:val="0"/>
      <w:marBottom w:val="0"/>
      <w:divBdr>
        <w:top w:val="none" w:sz="0" w:space="0" w:color="auto"/>
        <w:left w:val="none" w:sz="0" w:space="0" w:color="auto"/>
        <w:bottom w:val="none" w:sz="0" w:space="0" w:color="auto"/>
        <w:right w:val="none" w:sz="0" w:space="0" w:color="auto"/>
      </w:divBdr>
    </w:div>
    <w:div w:id="935556199">
      <w:bodyDiv w:val="1"/>
      <w:marLeft w:val="0"/>
      <w:marRight w:val="0"/>
      <w:marTop w:val="0"/>
      <w:marBottom w:val="0"/>
      <w:divBdr>
        <w:top w:val="none" w:sz="0" w:space="0" w:color="auto"/>
        <w:left w:val="none" w:sz="0" w:space="0" w:color="auto"/>
        <w:bottom w:val="none" w:sz="0" w:space="0" w:color="auto"/>
        <w:right w:val="none" w:sz="0" w:space="0" w:color="auto"/>
      </w:divBdr>
      <w:divsChild>
        <w:div w:id="152917586">
          <w:marLeft w:val="547"/>
          <w:marRight w:val="0"/>
          <w:marTop w:val="0"/>
          <w:marBottom w:val="0"/>
          <w:divBdr>
            <w:top w:val="none" w:sz="0" w:space="0" w:color="auto"/>
            <w:left w:val="none" w:sz="0" w:space="0" w:color="auto"/>
            <w:bottom w:val="none" w:sz="0" w:space="0" w:color="auto"/>
            <w:right w:val="none" w:sz="0" w:space="0" w:color="auto"/>
          </w:divBdr>
        </w:div>
        <w:div w:id="2023120205">
          <w:marLeft w:val="547"/>
          <w:marRight w:val="0"/>
          <w:marTop w:val="0"/>
          <w:marBottom w:val="0"/>
          <w:divBdr>
            <w:top w:val="none" w:sz="0" w:space="0" w:color="auto"/>
            <w:left w:val="none" w:sz="0" w:space="0" w:color="auto"/>
            <w:bottom w:val="none" w:sz="0" w:space="0" w:color="auto"/>
            <w:right w:val="none" w:sz="0" w:space="0" w:color="auto"/>
          </w:divBdr>
        </w:div>
        <w:div w:id="1096173237">
          <w:marLeft w:val="547"/>
          <w:marRight w:val="0"/>
          <w:marTop w:val="0"/>
          <w:marBottom w:val="0"/>
          <w:divBdr>
            <w:top w:val="none" w:sz="0" w:space="0" w:color="auto"/>
            <w:left w:val="none" w:sz="0" w:space="0" w:color="auto"/>
            <w:bottom w:val="none" w:sz="0" w:space="0" w:color="auto"/>
            <w:right w:val="none" w:sz="0" w:space="0" w:color="auto"/>
          </w:divBdr>
        </w:div>
      </w:divsChild>
    </w:div>
    <w:div w:id="949506587">
      <w:bodyDiv w:val="1"/>
      <w:marLeft w:val="0"/>
      <w:marRight w:val="0"/>
      <w:marTop w:val="0"/>
      <w:marBottom w:val="0"/>
      <w:divBdr>
        <w:top w:val="none" w:sz="0" w:space="0" w:color="auto"/>
        <w:left w:val="none" w:sz="0" w:space="0" w:color="auto"/>
        <w:bottom w:val="none" w:sz="0" w:space="0" w:color="auto"/>
        <w:right w:val="none" w:sz="0" w:space="0" w:color="auto"/>
      </w:divBdr>
      <w:divsChild>
        <w:div w:id="574820665">
          <w:marLeft w:val="547"/>
          <w:marRight w:val="0"/>
          <w:marTop w:val="0"/>
          <w:marBottom w:val="0"/>
          <w:divBdr>
            <w:top w:val="none" w:sz="0" w:space="0" w:color="auto"/>
            <w:left w:val="none" w:sz="0" w:space="0" w:color="auto"/>
            <w:bottom w:val="none" w:sz="0" w:space="0" w:color="auto"/>
            <w:right w:val="none" w:sz="0" w:space="0" w:color="auto"/>
          </w:divBdr>
        </w:div>
      </w:divsChild>
    </w:div>
    <w:div w:id="976689230">
      <w:bodyDiv w:val="1"/>
      <w:marLeft w:val="0"/>
      <w:marRight w:val="0"/>
      <w:marTop w:val="0"/>
      <w:marBottom w:val="0"/>
      <w:divBdr>
        <w:top w:val="none" w:sz="0" w:space="0" w:color="auto"/>
        <w:left w:val="none" w:sz="0" w:space="0" w:color="auto"/>
        <w:bottom w:val="none" w:sz="0" w:space="0" w:color="auto"/>
        <w:right w:val="none" w:sz="0" w:space="0" w:color="auto"/>
      </w:divBdr>
    </w:div>
    <w:div w:id="1179273893">
      <w:bodyDiv w:val="1"/>
      <w:marLeft w:val="0"/>
      <w:marRight w:val="0"/>
      <w:marTop w:val="0"/>
      <w:marBottom w:val="0"/>
      <w:divBdr>
        <w:top w:val="none" w:sz="0" w:space="0" w:color="auto"/>
        <w:left w:val="none" w:sz="0" w:space="0" w:color="auto"/>
        <w:bottom w:val="none" w:sz="0" w:space="0" w:color="auto"/>
        <w:right w:val="none" w:sz="0" w:space="0" w:color="auto"/>
      </w:divBdr>
    </w:div>
    <w:div w:id="1287155876">
      <w:bodyDiv w:val="1"/>
      <w:marLeft w:val="0"/>
      <w:marRight w:val="0"/>
      <w:marTop w:val="0"/>
      <w:marBottom w:val="0"/>
      <w:divBdr>
        <w:top w:val="none" w:sz="0" w:space="0" w:color="auto"/>
        <w:left w:val="none" w:sz="0" w:space="0" w:color="auto"/>
        <w:bottom w:val="none" w:sz="0" w:space="0" w:color="auto"/>
        <w:right w:val="none" w:sz="0" w:space="0" w:color="auto"/>
      </w:divBdr>
    </w:div>
    <w:div w:id="1757435801">
      <w:bodyDiv w:val="1"/>
      <w:marLeft w:val="0"/>
      <w:marRight w:val="0"/>
      <w:marTop w:val="0"/>
      <w:marBottom w:val="0"/>
      <w:divBdr>
        <w:top w:val="none" w:sz="0" w:space="0" w:color="auto"/>
        <w:left w:val="none" w:sz="0" w:space="0" w:color="auto"/>
        <w:bottom w:val="none" w:sz="0" w:space="0" w:color="auto"/>
        <w:right w:val="none" w:sz="0" w:space="0" w:color="auto"/>
      </w:divBdr>
    </w:div>
    <w:div w:id="1934969794">
      <w:bodyDiv w:val="1"/>
      <w:marLeft w:val="0"/>
      <w:marRight w:val="0"/>
      <w:marTop w:val="0"/>
      <w:marBottom w:val="0"/>
      <w:divBdr>
        <w:top w:val="none" w:sz="0" w:space="0" w:color="auto"/>
        <w:left w:val="none" w:sz="0" w:space="0" w:color="auto"/>
        <w:bottom w:val="none" w:sz="0" w:space="0" w:color="auto"/>
        <w:right w:val="none" w:sz="0" w:space="0" w:color="auto"/>
      </w:divBdr>
    </w:div>
    <w:div w:id="2048985578">
      <w:bodyDiv w:val="1"/>
      <w:marLeft w:val="0"/>
      <w:marRight w:val="0"/>
      <w:marTop w:val="0"/>
      <w:marBottom w:val="0"/>
      <w:divBdr>
        <w:top w:val="none" w:sz="0" w:space="0" w:color="auto"/>
        <w:left w:val="none" w:sz="0" w:space="0" w:color="auto"/>
        <w:bottom w:val="none" w:sz="0" w:space="0" w:color="auto"/>
        <w:right w:val="none" w:sz="0" w:space="0" w:color="auto"/>
      </w:divBdr>
    </w:div>
    <w:div w:id="2061199987">
      <w:bodyDiv w:val="1"/>
      <w:marLeft w:val="0"/>
      <w:marRight w:val="0"/>
      <w:marTop w:val="0"/>
      <w:marBottom w:val="0"/>
      <w:divBdr>
        <w:top w:val="none" w:sz="0" w:space="0" w:color="auto"/>
        <w:left w:val="none" w:sz="0" w:space="0" w:color="auto"/>
        <w:bottom w:val="none" w:sz="0" w:space="0" w:color="auto"/>
        <w:right w:val="none" w:sz="0" w:space="0" w:color="auto"/>
      </w:divBdr>
      <w:divsChild>
        <w:div w:id="978535369">
          <w:marLeft w:val="547"/>
          <w:marRight w:val="0"/>
          <w:marTop w:val="0"/>
          <w:marBottom w:val="0"/>
          <w:divBdr>
            <w:top w:val="none" w:sz="0" w:space="0" w:color="auto"/>
            <w:left w:val="none" w:sz="0" w:space="0" w:color="auto"/>
            <w:bottom w:val="none" w:sz="0" w:space="0" w:color="auto"/>
            <w:right w:val="none" w:sz="0" w:space="0" w:color="auto"/>
          </w:divBdr>
        </w:div>
        <w:div w:id="1639147185">
          <w:marLeft w:val="1166"/>
          <w:marRight w:val="0"/>
          <w:marTop w:val="0"/>
          <w:marBottom w:val="0"/>
          <w:divBdr>
            <w:top w:val="none" w:sz="0" w:space="0" w:color="auto"/>
            <w:left w:val="none" w:sz="0" w:space="0" w:color="auto"/>
            <w:bottom w:val="none" w:sz="0" w:space="0" w:color="auto"/>
            <w:right w:val="none" w:sz="0" w:space="0" w:color="auto"/>
          </w:divBdr>
        </w:div>
        <w:div w:id="722145105">
          <w:marLeft w:val="1166"/>
          <w:marRight w:val="0"/>
          <w:marTop w:val="0"/>
          <w:marBottom w:val="0"/>
          <w:divBdr>
            <w:top w:val="none" w:sz="0" w:space="0" w:color="auto"/>
            <w:left w:val="none" w:sz="0" w:space="0" w:color="auto"/>
            <w:bottom w:val="none" w:sz="0" w:space="0" w:color="auto"/>
            <w:right w:val="none" w:sz="0" w:space="0" w:color="auto"/>
          </w:divBdr>
        </w:div>
        <w:div w:id="1001547328">
          <w:marLeft w:val="1166"/>
          <w:marRight w:val="0"/>
          <w:marTop w:val="0"/>
          <w:marBottom w:val="0"/>
          <w:divBdr>
            <w:top w:val="none" w:sz="0" w:space="0" w:color="auto"/>
            <w:left w:val="none" w:sz="0" w:space="0" w:color="auto"/>
            <w:bottom w:val="none" w:sz="0" w:space="0" w:color="auto"/>
            <w:right w:val="none" w:sz="0" w:space="0" w:color="auto"/>
          </w:divBdr>
        </w:div>
        <w:div w:id="435828747">
          <w:marLeft w:val="1166"/>
          <w:marRight w:val="0"/>
          <w:marTop w:val="0"/>
          <w:marBottom w:val="0"/>
          <w:divBdr>
            <w:top w:val="none" w:sz="0" w:space="0" w:color="auto"/>
            <w:left w:val="none" w:sz="0" w:space="0" w:color="auto"/>
            <w:bottom w:val="none" w:sz="0" w:space="0" w:color="auto"/>
            <w:right w:val="none" w:sz="0" w:space="0" w:color="auto"/>
          </w:divBdr>
        </w:div>
        <w:div w:id="1664045962">
          <w:marLeft w:val="1166"/>
          <w:marRight w:val="0"/>
          <w:marTop w:val="0"/>
          <w:marBottom w:val="0"/>
          <w:divBdr>
            <w:top w:val="none" w:sz="0" w:space="0" w:color="auto"/>
            <w:left w:val="none" w:sz="0" w:space="0" w:color="auto"/>
            <w:bottom w:val="none" w:sz="0" w:space="0" w:color="auto"/>
            <w:right w:val="none" w:sz="0" w:space="0" w:color="auto"/>
          </w:divBdr>
        </w:div>
      </w:divsChild>
    </w:div>
    <w:div w:id="2114399269">
      <w:bodyDiv w:val="1"/>
      <w:marLeft w:val="0"/>
      <w:marRight w:val="0"/>
      <w:marTop w:val="0"/>
      <w:marBottom w:val="0"/>
      <w:divBdr>
        <w:top w:val="none" w:sz="0" w:space="0" w:color="auto"/>
        <w:left w:val="none" w:sz="0" w:space="0" w:color="auto"/>
        <w:bottom w:val="none" w:sz="0" w:space="0" w:color="auto"/>
        <w:right w:val="none" w:sz="0" w:space="0" w:color="auto"/>
      </w:divBdr>
    </w:div>
    <w:div w:id="2132624130">
      <w:bodyDiv w:val="1"/>
      <w:marLeft w:val="0"/>
      <w:marRight w:val="0"/>
      <w:marTop w:val="0"/>
      <w:marBottom w:val="0"/>
      <w:divBdr>
        <w:top w:val="none" w:sz="0" w:space="0" w:color="auto"/>
        <w:left w:val="none" w:sz="0" w:space="0" w:color="auto"/>
        <w:bottom w:val="none" w:sz="0" w:space="0" w:color="auto"/>
        <w:right w:val="none" w:sz="0" w:space="0" w:color="auto"/>
      </w:divBdr>
      <w:divsChild>
        <w:div w:id="2020497808">
          <w:marLeft w:val="0"/>
          <w:marRight w:val="0"/>
          <w:marTop w:val="0"/>
          <w:marBottom w:val="0"/>
          <w:divBdr>
            <w:top w:val="none" w:sz="0" w:space="0" w:color="auto"/>
            <w:left w:val="none" w:sz="0" w:space="0" w:color="auto"/>
            <w:bottom w:val="none" w:sz="0" w:space="0" w:color="auto"/>
            <w:right w:val="none" w:sz="0" w:space="0" w:color="auto"/>
          </w:divBdr>
          <w:divsChild>
            <w:div w:id="1785809394">
              <w:marLeft w:val="0"/>
              <w:marRight w:val="0"/>
              <w:marTop w:val="0"/>
              <w:marBottom w:val="240"/>
              <w:divBdr>
                <w:top w:val="none" w:sz="0" w:space="0" w:color="auto"/>
                <w:left w:val="none" w:sz="0" w:space="0" w:color="auto"/>
                <w:bottom w:val="none" w:sz="0" w:space="0" w:color="auto"/>
                <w:right w:val="none" w:sz="0" w:space="0" w:color="auto"/>
              </w:divBdr>
            </w:div>
          </w:divsChild>
        </w:div>
        <w:div w:id="333457737">
          <w:marLeft w:val="0"/>
          <w:marRight w:val="0"/>
          <w:marTop w:val="0"/>
          <w:marBottom w:val="0"/>
          <w:divBdr>
            <w:top w:val="none" w:sz="0" w:space="0" w:color="auto"/>
            <w:left w:val="none" w:sz="0" w:space="0" w:color="auto"/>
            <w:bottom w:val="none" w:sz="0" w:space="0" w:color="auto"/>
            <w:right w:val="none" w:sz="0" w:space="0" w:color="auto"/>
          </w:divBdr>
          <w:divsChild>
            <w:div w:id="2033408494">
              <w:marLeft w:val="0"/>
              <w:marRight w:val="0"/>
              <w:marTop w:val="0"/>
              <w:marBottom w:val="240"/>
              <w:divBdr>
                <w:top w:val="none" w:sz="0" w:space="0" w:color="auto"/>
                <w:left w:val="none" w:sz="0" w:space="0" w:color="auto"/>
                <w:bottom w:val="none" w:sz="0" w:space="0" w:color="auto"/>
                <w:right w:val="none" w:sz="0" w:space="0" w:color="auto"/>
              </w:divBdr>
            </w:div>
          </w:divsChild>
        </w:div>
        <w:div w:id="1368875749">
          <w:marLeft w:val="0"/>
          <w:marRight w:val="0"/>
          <w:marTop w:val="0"/>
          <w:marBottom w:val="0"/>
          <w:divBdr>
            <w:top w:val="none" w:sz="0" w:space="0" w:color="auto"/>
            <w:left w:val="none" w:sz="0" w:space="0" w:color="auto"/>
            <w:bottom w:val="none" w:sz="0" w:space="0" w:color="auto"/>
            <w:right w:val="none" w:sz="0" w:space="0" w:color="auto"/>
          </w:divBdr>
          <w:divsChild>
            <w:div w:id="16282685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9.xml"/><Relationship Id="rId21" Type="http://schemas.openxmlformats.org/officeDocument/2006/relationships/diagramColors" Target="diagrams/colors2.xml"/><Relationship Id="rId42" Type="http://schemas.openxmlformats.org/officeDocument/2006/relationships/diagramColors" Target="diagrams/colors6.xml"/><Relationship Id="rId63" Type="http://schemas.microsoft.com/office/2007/relationships/diagramDrawing" Target="diagrams/drawing10.xml"/><Relationship Id="rId84" Type="http://schemas.openxmlformats.org/officeDocument/2006/relationships/diagramLayout" Target="diagrams/layout13.xml"/><Relationship Id="rId138" Type="http://schemas.openxmlformats.org/officeDocument/2006/relationships/header" Target="header3.xml"/><Relationship Id="rId16" Type="http://schemas.openxmlformats.org/officeDocument/2006/relationships/header" Target="header1.xml"/><Relationship Id="rId107" Type="http://schemas.openxmlformats.org/officeDocument/2006/relationships/diagramLayout" Target="diagrams/layout16.xml"/><Relationship Id="rId11" Type="http://schemas.openxmlformats.org/officeDocument/2006/relationships/diagramData" Target="diagrams/data1.xml"/><Relationship Id="rId32" Type="http://schemas.openxmlformats.org/officeDocument/2006/relationships/diagramColors" Target="diagrams/colors4.xml"/><Relationship Id="rId37" Type="http://schemas.openxmlformats.org/officeDocument/2006/relationships/diagramColors" Target="diagrams/colors5.xml"/><Relationship Id="rId53" Type="http://schemas.microsoft.com/office/2007/relationships/diagramDrawing" Target="diagrams/drawing8.xml"/><Relationship Id="rId58" Type="http://schemas.microsoft.com/office/2007/relationships/diagramDrawing" Target="diagrams/drawing9.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hyperlink" Target="http://www.data.gov.me" TargetMode="External"/><Relationship Id="rId123" Type="http://schemas.openxmlformats.org/officeDocument/2006/relationships/diagramLayout" Target="diagrams/layout19.xml"/><Relationship Id="rId128" Type="http://schemas.openxmlformats.org/officeDocument/2006/relationships/diagramLayout" Target="diagrams/layout20.xml"/><Relationship Id="rId5" Type="http://schemas.openxmlformats.org/officeDocument/2006/relationships/numbering" Target="numbering.xml"/><Relationship Id="rId90" Type="http://schemas.openxmlformats.org/officeDocument/2006/relationships/diagramLayout" Target="diagrams/layout14.xml"/><Relationship Id="rId95" Type="http://schemas.openxmlformats.org/officeDocument/2006/relationships/diagramData" Target="diagrams/data16.xml"/><Relationship Id="rId22" Type="http://schemas.microsoft.com/office/2007/relationships/diagramDrawing" Target="diagrams/drawing2.xml"/><Relationship Id="rId27" Type="http://schemas.openxmlformats.org/officeDocument/2006/relationships/diagramColors" Target="diagrams/colors3.xml"/><Relationship Id="rId43" Type="http://schemas.microsoft.com/office/2007/relationships/diagramDrawing" Target="diagrams/drawing6.xml"/><Relationship Id="rId48" Type="http://schemas.microsoft.com/office/2007/relationships/diagramDrawing" Target="diagrams/drawing7.xml"/><Relationship Id="rId64" Type="http://schemas.openxmlformats.org/officeDocument/2006/relationships/hyperlink" Target="https://drzavniorgani.gov.me/" TargetMode="External"/><Relationship Id="rId69" Type="http://schemas.openxmlformats.org/officeDocument/2006/relationships/image" Target="media/image2.png"/><Relationship Id="rId113" Type="http://schemas.openxmlformats.org/officeDocument/2006/relationships/diagramLayout" Target="diagrams/layout17.xml"/><Relationship Id="rId118" Type="http://schemas.openxmlformats.org/officeDocument/2006/relationships/diagramLayout" Target="diagrams/layout18.xml"/><Relationship Id="rId134" Type="http://schemas.openxmlformats.org/officeDocument/2006/relationships/hyperlink" Target="http://www.data.gov.me" TargetMode="External"/><Relationship Id="rId139" Type="http://schemas.openxmlformats.org/officeDocument/2006/relationships/footer" Target="footer3.xml"/><Relationship Id="rId80" Type="http://schemas.openxmlformats.org/officeDocument/2006/relationships/diagramColors" Target="diagrams/colors12.xml"/><Relationship Id="rId85" Type="http://schemas.openxmlformats.org/officeDocument/2006/relationships/diagramQuickStyle" Target="diagrams/quickStyle13.xml"/><Relationship Id="rId12" Type="http://schemas.openxmlformats.org/officeDocument/2006/relationships/diagramLayout" Target="diagrams/layout1.xml"/><Relationship Id="rId17" Type="http://schemas.openxmlformats.org/officeDocument/2006/relationships/footer" Target="footer1.xml"/><Relationship Id="rId33" Type="http://schemas.microsoft.com/office/2007/relationships/diagramDrawing" Target="diagrams/drawing4.xml"/><Relationship Id="rId38" Type="http://schemas.microsoft.com/office/2007/relationships/diagramDrawing" Target="diagrams/drawing5.xml"/><Relationship Id="rId59" Type="http://schemas.openxmlformats.org/officeDocument/2006/relationships/diagramData" Target="diagrams/data11.xml"/><Relationship Id="rId103" Type="http://schemas.openxmlformats.org/officeDocument/2006/relationships/hyperlink" Target="javascript:void(0)" TargetMode="External"/><Relationship Id="rId108" Type="http://schemas.openxmlformats.org/officeDocument/2006/relationships/diagramQuickStyle" Target="diagrams/quickStyle16.xml"/><Relationship Id="rId124" Type="http://schemas.openxmlformats.org/officeDocument/2006/relationships/diagramQuickStyle" Target="diagrams/quickStyle19.xml"/><Relationship Id="rId129" Type="http://schemas.openxmlformats.org/officeDocument/2006/relationships/diagramQuickStyle" Target="diagrams/quickStyle20.xml"/><Relationship Id="rId54" Type="http://schemas.openxmlformats.org/officeDocument/2006/relationships/diagramData" Target="diagrams/data10.xml"/><Relationship Id="rId70" Type="http://schemas.openxmlformats.org/officeDocument/2006/relationships/image" Target="media/image3.png"/><Relationship Id="rId75" Type="http://schemas.openxmlformats.org/officeDocument/2006/relationships/diagramColors" Target="diagrams/colors11.xml"/><Relationship Id="rId91" Type="http://schemas.openxmlformats.org/officeDocument/2006/relationships/diagramQuickStyle" Target="diagrams/quickStyle14.xml"/><Relationship Id="rId96" Type="http://schemas.openxmlformats.org/officeDocument/2006/relationships/diagramLayout" Target="diagrams/layout15.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Data" Target="diagrams/data3.xml"/><Relationship Id="rId28" Type="http://schemas.microsoft.com/office/2007/relationships/diagramDrawing" Target="diagrams/drawing3.xml"/><Relationship Id="rId49" Type="http://schemas.openxmlformats.org/officeDocument/2006/relationships/diagramData" Target="diagrams/data9.xml"/><Relationship Id="rId114" Type="http://schemas.openxmlformats.org/officeDocument/2006/relationships/diagramQuickStyle" Target="diagrams/quickStyle17.xml"/><Relationship Id="rId119" Type="http://schemas.openxmlformats.org/officeDocument/2006/relationships/diagramQuickStyle" Target="diagrams/quickStyle18.xml"/><Relationship Id="rId44" Type="http://schemas.openxmlformats.org/officeDocument/2006/relationships/diagramData" Target="diagrams/data8.xml"/><Relationship Id="rId60" Type="http://schemas.openxmlformats.org/officeDocument/2006/relationships/diagramLayout" Target="diagrams/layout10.xml"/><Relationship Id="rId65" Type="http://schemas.openxmlformats.org/officeDocument/2006/relationships/image" Target="media/image1.png"/><Relationship Id="rId81" Type="http://schemas.microsoft.com/office/2007/relationships/diagramDrawing" Target="diagrams/drawing12.xml"/><Relationship Id="rId86" Type="http://schemas.openxmlformats.org/officeDocument/2006/relationships/diagramColors" Target="diagrams/colors13.xml"/><Relationship Id="rId130" Type="http://schemas.openxmlformats.org/officeDocument/2006/relationships/diagramColors" Target="diagrams/colors20.xml"/><Relationship Id="rId135" Type="http://schemas.openxmlformats.org/officeDocument/2006/relationships/hyperlink" Target="http://www.javnepolitike.me" TargetMode="External"/><Relationship Id="rId13" Type="http://schemas.openxmlformats.org/officeDocument/2006/relationships/diagramQuickStyle" Target="diagrams/quickStyle1.xml"/><Relationship Id="rId18" Type="http://schemas.openxmlformats.org/officeDocument/2006/relationships/diagramData" Target="diagrams/data2.xml"/><Relationship Id="rId39" Type="http://schemas.openxmlformats.org/officeDocument/2006/relationships/diagramData" Target="diagrams/data7.xml"/><Relationship Id="rId109" Type="http://schemas.openxmlformats.org/officeDocument/2006/relationships/diagramColors" Target="diagrams/colors16.xml"/><Relationship Id="rId34" Type="http://schemas.openxmlformats.org/officeDocument/2006/relationships/diagramData" Target="diagrams/data6.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microsoft.com/office/2007/relationships/diagramDrawing" Target="diagrams/drawing11.xml"/><Relationship Id="rId97" Type="http://schemas.openxmlformats.org/officeDocument/2006/relationships/diagramQuickStyle" Target="diagrams/quickStyle15.xml"/><Relationship Id="rId104" Type="http://schemas.openxmlformats.org/officeDocument/2006/relationships/hyperlink" Target="javascript:void(0)" TargetMode="External"/><Relationship Id="rId120" Type="http://schemas.openxmlformats.org/officeDocument/2006/relationships/diagramColors" Target="diagrams/colors18.xml"/><Relationship Id="rId125" Type="http://schemas.openxmlformats.org/officeDocument/2006/relationships/diagramColors" Target="diagrams/colors19.xml"/><Relationship Id="rId141"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lokalnefinansije.me/uporedni-pregled/?t=obaveze" TargetMode="External"/><Relationship Id="rId92" Type="http://schemas.openxmlformats.org/officeDocument/2006/relationships/diagramColors" Target="diagrams/colors14.xml"/><Relationship Id="rId2" Type="http://schemas.openxmlformats.org/officeDocument/2006/relationships/customXml" Target="../customXml/item2.xml"/><Relationship Id="rId29" Type="http://schemas.openxmlformats.org/officeDocument/2006/relationships/diagramData" Target="diagrams/data5.xml"/><Relationship Id="rId24" Type="http://schemas.openxmlformats.org/officeDocument/2006/relationships/diagramData" Target="diagrams/data4.xml"/><Relationship Id="rId40" Type="http://schemas.openxmlformats.org/officeDocument/2006/relationships/diagramLayout" Target="diagrams/layout6.xml"/><Relationship Id="rId45" Type="http://schemas.openxmlformats.org/officeDocument/2006/relationships/diagramLayout" Target="diagrams/layout7.xml"/><Relationship Id="rId87" Type="http://schemas.microsoft.com/office/2007/relationships/diagramDrawing" Target="diagrams/drawing13.xml"/><Relationship Id="rId110" Type="http://schemas.microsoft.com/office/2007/relationships/diagramDrawing" Target="diagrams/drawing16.xml"/><Relationship Id="rId115" Type="http://schemas.openxmlformats.org/officeDocument/2006/relationships/diagramColors" Target="diagrams/colors17.xml"/><Relationship Id="rId131" Type="http://schemas.microsoft.com/office/2007/relationships/diagramDrawing" Target="diagrams/drawing20.xml"/><Relationship Id="rId136" Type="http://schemas.openxmlformats.org/officeDocument/2006/relationships/header" Target="header2.xml"/><Relationship Id="rId61" Type="http://schemas.openxmlformats.org/officeDocument/2006/relationships/diagramQuickStyle" Target="diagrams/quickStyle10.xml"/><Relationship Id="rId82" Type="http://schemas.openxmlformats.org/officeDocument/2006/relationships/hyperlink" Target="https://www.euprava.me/" TargetMode="External"/><Relationship Id="rId19" Type="http://schemas.openxmlformats.org/officeDocument/2006/relationships/diagramLayout" Target="diagrams/layout2.xml"/><Relationship Id="rId14" Type="http://schemas.openxmlformats.org/officeDocument/2006/relationships/diagramColors" Target="diagrams/colors1.xml"/><Relationship Id="rId30" Type="http://schemas.openxmlformats.org/officeDocument/2006/relationships/diagramLayout" Target="diagrams/layout4.xml"/><Relationship Id="rId35" Type="http://schemas.openxmlformats.org/officeDocument/2006/relationships/diagramLayout" Target="diagrams/layout5.xml"/><Relationship Id="rId56" Type="http://schemas.openxmlformats.org/officeDocument/2006/relationships/diagramQuickStyle" Target="diagrams/quickStyle9.xml"/><Relationship Id="rId77" Type="http://schemas.openxmlformats.org/officeDocument/2006/relationships/diagramData" Target="diagrams/data13.xml"/><Relationship Id="rId100" Type="http://schemas.openxmlformats.org/officeDocument/2006/relationships/hyperlink" Target="https://www.opengovpartnership.org/members/montenegro/" TargetMode="External"/><Relationship Id="rId105" Type="http://schemas.openxmlformats.org/officeDocument/2006/relationships/hyperlink" Target="javascript:void(0)" TargetMode="External"/><Relationship Id="rId126" Type="http://schemas.microsoft.com/office/2007/relationships/diagramDrawing" Target="diagrams/drawing19.xml"/><Relationship Id="rId8" Type="http://schemas.openxmlformats.org/officeDocument/2006/relationships/webSettings" Target="webSettings.xml"/><Relationship Id="rId51" Type="http://schemas.openxmlformats.org/officeDocument/2006/relationships/diagramQuickStyle" Target="diagrams/quickStyle8.xml"/><Relationship Id="rId72" Type="http://schemas.openxmlformats.org/officeDocument/2006/relationships/diagramData" Target="diagrams/data12.xml"/><Relationship Id="rId93" Type="http://schemas.microsoft.com/office/2007/relationships/diagramDrawing" Target="diagrams/drawing14.xml"/><Relationship Id="rId98" Type="http://schemas.openxmlformats.org/officeDocument/2006/relationships/diagramColors" Target="diagrams/colors15.xml"/><Relationship Id="rId121" Type="http://schemas.microsoft.com/office/2007/relationships/diagramDrawing" Target="diagrams/drawing18.xml"/><Relationship Id="rId142"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diagramLayout" Target="diagrams/layout3.xml"/><Relationship Id="rId46" Type="http://schemas.openxmlformats.org/officeDocument/2006/relationships/diagramQuickStyle" Target="diagrams/quickStyle7.xml"/><Relationship Id="rId116" Type="http://schemas.microsoft.com/office/2007/relationships/diagramDrawing" Target="diagrams/drawing17.xml"/><Relationship Id="rId137" Type="http://schemas.openxmlformats.org/officeDocument/2006/relationships/footer" Target="footer2.xml"/><Relationship Id="rId20" Type="http://schemas.openxmlformats.org/officeDocument/2006/relationships/diagramQuickStyle" Target="diagrams/quickStyle2.xml"/><Relationship Id="rId41" Type="http://schemas.openxmlformats.org/officeDocument/2006/relationships/diagramQuickStyle" Target="diagrams/quickStyle6.xml"/><Relationship Id="rId62" Type="http://schemas.openxmlformats.org/officeDocument/2006/relationships/diagramColors" Target="diagrams/colors10.xml"/><Relationship Id="rId83" Type="http://schemas.openxmlformats.org/officeDocument/2006/relationships/diagramData" Target="diagrams/data14.xml"/><Relationship Id="rId88" Type="http://schemas.openxmlformats.org/officeDocument/2006/relationships/chart" Target="charts/chart1.xml"/><Relationship Id="rId111" Type="http://schemas.openxmlformats.org/officeDocument/2006/relationships/hyperlink" Target="http://www.data.gov.me" TargetMode="External"/><Relationship Id="rId132" Type="http://schemas.openxmlformats.org/officeDocument/2006/relationships/hyperlink" Target="https://srju.gov.me/direktor" TargetMode="External"/><Relationship Id="rId15" Type="http://schemas.microsoft.com/office/2007/relationships/diagramDrawing" Target="diagrams/drawing1.xml"/><Relationship Id="rId36" Type="http://schemas.openxmlformats.org/officeDocument/2006/relationships/diagramQuickStyle" Target="diagrams/quickStyle5.xml"/><Relationship Id="rId57" Type="http://schemas.openxmlformats.org/officeDocument/2006/relationships/diagramColors" Target="diagrams/colors9.xml"/><Relationship Id="rId106" Type="http://schemas.openxmlformats.org/officeDocument/2006/relationships/diagramData" Target="diagrams/data17.xml"/><Relationship Id="rId127" Type="http://schemas.openxmlformats.org/officeDocument/2006/relationships/diagramData" Target="diagrams/data21.xml"/><Relationship Id="rId10" Type="http://schemas.openxmlformats.org/officeDocument/2006/relationships/endnotes" Target="endnotes.xml"/><Relationship Id="rId31" Type="http://schemas.openxmlformats.org/officeDocument/2006/relationships/diagramQuickStyle" Target="diagrams/quickStyle4.xml"/><Relationship Id="rId52" Type="http://schemas.openxmlformats.org/officeDocument/2006/relationships/diagramColors" Target="diagrams/colors8.xml"/><Relationship Id="rId73" Type="http://schemas.openxmlformats.org/officeDocument/2006/relationships/diagramLayout" Target="diagrams/layout11.xml"/><Relationship Id="rId78" Type="http://schemas.openxmlformats.org/officeDocument/2006/relationships/diagramLayout" Target="diagrams/layout12.xml"/><Relationship Id="rId94" Type="http://schemas.openxmlformats.org/officeDocument/2006/relationships/hyperlink" Target="https://data.gov.me/" TargetMode="External"/><Relationship Id="rId99" Type="http://schemas.microsoft.com/office/2007/relationships/diagramDrawing" Target="diagrams/drawing15.xml"/><Relationship Id="rId101" Type="http://schemas.openxmlformats.org/officeDocument/2006/relationships/hyperlink" Target="https://data.gov.me/" TargetMode="External"/><Relationship Id="rId122" Type="http://schemas.openxmlformats.org/officeDocument/2006/relationships/diagramData" Target="diagrams/data20.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diagramQuickStyle" Target="diagrams/quickStyle3.xml"/><Relationship Id="rId47" Type="http://schemas.openxmlformats.org/officeDocument/2006/relationships/diagramColors" Target="diagrams/colors7.xml"/><Relationship Id="rId89" Type="http://schemas.openxmlformats.org/officeDocument/2006/relationships/diagramData" Target="diagrams/data15.xml"/><Relationship Id="rId112" Type="http://schemas.openxmlformats.org/officeDocument/2006/relationships/diagramData" Target="diagrams/data18.xml"/><Relationship Id="rId133" Type="http://schemas.openxmlformats.org/officeDocument/2006/relationships/hyperlink" Target="http://www.drzavniorgani.me"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dri.co.me/1/doc/Godi%C5%A1nji%20izvje%C5%A1taj%20DRI%20X%202019%20-%20X%202020.pdf" TargetMode="External"/><Relationship Id="rId18" Type="http://schemas.openxmlformats.org/officeDocument/2006/relationships/hyperlink" Target="https://wapi.gov.me/download/5e706afb-cd8e-45f7-86e2-67c1271245e3?version=1.0" TargetMode="External"/><Relationship Id="rId26" Type="http://schemas.openxmlformats.org/officeDocument/2006/relationships/hyperlink" Target="file:///D:/Korisnicki%20podaci/Downloads/Balkan_Barometer_Public_opinon_2021v4.pdf" TargetMode="External"/><Relationship Id="rId39" Type="http://schemas.openxmlformats.org/officeDocument/2006/relationships/hyperlink" Target="https://weber-new.s3.us-west-2.amazonaws.com/wp-content/uploads/2021/06/04102419/MNE_4ACC_P2_I2_summary-1.pdf" TargetMode="External"/><Relationship Id="rId21" Type="http://schemas.openxmlformats.org/officeDocument/2006/relationships/hyperlink" Target="http://www.par-monitor.org/what-do-citizens-tell-us-about-administrative-services-the-second-public-perception-survey-in-the-western-balkans/" TargetMode="External"/><Relationship Id="rId34" Type="http://schemas.openxmlformats.org/officeDocument/2006/relationships/hyperlink" Target="http://www.azlp.me/docs/zajednicka/izvjestaj_o_stanju/IZVJESTAJ%202018.doc" TargetMode="External"/><Relationship Id="rId42" Type="http://schemas.openxmlformats.org/officeDocument/2006/relationships/hyperlink" Target="https://data.gov.me/" TargetMode="External"/><Relationship Id="rId47" Type="http://schemas.openxmlformats.org/officeDocument/2006/relationships/hyperlink" Target="https://mif.gov.me/organizacija/sektor-za-pifc/243366/Uredba-o-prenosenju-poslova-i-zadataka-finansijskog-upravljanja-i-unutrasnjih-kontrola-u-javnom-sektoru.html" TargetMode="External"/><Relationship Id="rId7" Type="http://schemas.openxmlformats.org/officeDocument/2006/relationships/hyperlink" Target="https://www.gov.me/dokumenta/ab4bd6ea-4999-4cb6-a7f6-079fb068b9d9" TargetMode="External"/><Relationship Id="rId2" Type="http://schemas.openxmlformats.org/officeDocument/2006/relationships/hyperlink" Target="https://www.gov.me/en/documents/eb181a14-f291-44be-8603-bfbb75901152" TargetMode="External"/><Relationship Id="rId16" Type="http://schemas.openxmlformats.org/officeDocument/2006/relationships/hyperlink" Target="https://wapi.gov.me/download/9bd7ecd6-1673-4469-8e47-18a88af893db?version=1.0" TargetMode="External"/><Relationship Id="rId29" Type="http://schemas.openxmlformats.org/officeDocument/2006/relationships/hyperlink" Target="http://www.azlp.me/me/o-agenciji" TargetMode="External"/><Relationship Id="rId11" Type="http://schemas.openxmlformats.org/officeDocument/2006/relationships/hyperlink" Target="https://wapi.gov.me/download/9bd7ecd6-1673-4469-8e47-18a88af893db?version=1.0" TargetMode="External"/><Relationship Id="rId24" Type="http://schemas.openxmlformats.org/officeDocument/2006/relationships/hyperlink" Target="https://www.respaweb.eu/download/doc/Comparative+Study+on+Service+Delivery.pdf/2342ffd1fe9e64da16d225f545eef521.pdf" TargetMode="External"/><Relationship Id="rId32" Type="http://schemas.openxmlformats.org/officeDocument/2006/relationships/hyperlink" Target="https://spi.azlp.me/" TargetMode="External"/><Relationship Id="rId37" Type="http://schemas.openxmlformats.org/officeDocument/2006/relationships/hyperlink" Target="https://wapi.gov.me/download/9bd7ecd6-1673-4469-8e47-18a88af893db?version=1.0" TargetMode="External"/><Relationship Id="rId40" Type="http://schemas.openxmlformats.org/officeDocument/2006/relationships/hyperlink" Target="https://www.euprava.me/eparticipacije" TargetMode="External"/><Relationship Id="rId45" Type="http://schemas.openxmlformats.org/officeDocument/2006/relationships/hyperlink" Target="https://wapi.gov.me/download/1f9d04b1-f5e3-4453-af02-7a1a9ac357a1?version=1.0" TargetMode="External"/><Relationship Id="rId5" Type="http://schemas.openxmlformats.org/officeDocument/2006/relationships/hyperlink" Target="https://javnepolitike.me/wp-content/uploads/2020/11/Metodologija-razvijanja-politika-draft3-preview-22SEP20.pdf" TargetMode="External"/><Relationship Id="rId15" Type="http://schemas.openxmlformats.org/officeDocument/2006/relationships/hyperlink" Target="https://wapi.gov.me/download/9bd7ecd6-1673-4469-8e47-18a88af893db?version=1.0" TargetMode="External"/><Relationship Id="rId23" Type="http://schemas.openxmlformats.org/officeDocument/2006/relationships/hyperlink" Target="https://www.rcc.int/balkanbarometer/results/2/public" TargetMode="External"/><Relationship Id="rId28" Type="http://schemas.openxmlformats.org/officeDocument/2006/relationships/hyperlink" Target="https://www.gov.me/dokumenta/f9dcdea6-e2b9-4b1a-a80c-e243a073d7b4" TargetMode="External"/><Relationship Id="rId36" Type="http://schemas.openxmlformats.org/officeDocument/2006/relationships/hyperlink" Target="http://www.azlp.me/docs/zajednicka/izvjestaj_o_stanju/IZVJESTAJ%202020%20final.pdf" TargetMode="External"/><Relationship Id="rId49" Type="http://schemas.openxmlformats.org/officeDocument/2006/relationships/hyperlink" Target="https://www.capgemini.com/resources/egovernment-benchmark-2020/" TargetMode="External"/><Relationship Id="rId10" Type="http://schemas.openxmlformats.org/officeDocument/2006/relationships/hyperlink" Target="https://www.gov.me/dokumenta/8ab85e15-37e7-49ab-9b6a-60d1c67dc721" TargetMode="External"/><Relationship Id="rId19" Type="http://schemas.openxmlformats.org/officeDocument/2006/relationships/hyperlink" Target="https://www.gov.me/dokumenta/be4caf8d-23bb-45bc-83ad-d44ce29920c5" TargetMode="External"/><Relationship Id="rId31" Type="http://schemas.openxmlformats.org/officeDocument/2006/relationships/hyperlink" Target="https://www.rcc.int/balkanbarometer/results/1/business" TargetMode="External"/><Relationship Id="rId44" Type="http://schemas.openxmlformats.org/officeDocument/2006/relationships/hyperlink" Target="https://sigmaweb.org/publications/Monitoring-Report-2017-Montenegro.pdf" TargetMode="External"/><Relationship Id="rId4" Type="http://schemas.openxmlformats.org/officeDocument/2006/relationships/hyperlink" Target="file:///D:/Korisnicki%20podaci/Downloads/Montenegro%202021%20report.PDF" TargetMode="External"/><Relationship Id="rId9" Type="http://schemas.openxmlformats.org/officeDocument/2006/relationships/hyperlink" Target="https://wapi.gov.me/download/9bd7ecd6-1673-4469-8e47-18a88af893db?version=1.0" TargetMode="External"/><Relationship Id="rId14" Type="http://schemas.openxmlformats.org/officeDocument/2006/relationships/hyperlink" Target="https://www.ombudsman.co.me/docs/1619074992_izvjestaj_01042021.pdf" TargetMode="External"/><Relationship Id="rId22" Type="http://schemas.openxmlformats.org/officeDocument/2006/relationships/hyperlink" Target="https://www.respaweb.eu/download/doc/Comparative+Study+on+Service+Delivery.pdf/2342ffd1fe9e64da16d225f545eef521.pdf" TargetMode="External"/><Relationship Id="rId27" Type="http://schemas.openxmlformats.org/officeDocument/2006/relationships/hyperlink" Target="https://www.capgemini.com/resources/egovernment-benchmark-2020/" TargetMode="External"/><Relationship Id="rId30" Type="http://schemas.openxmlformats.org/officeDocument/2006/relationships/hyperlink" Target="https://www.rcc.int/balkanbarometer/results/2/public" TargetMode="External"/><Relationship Id="rId35" Type="http://schemas.openxmlformats.org/officeDocument/2006/relationships/hyperlink" Target="http://www.azlp.me/docs/zajednicka/izvjestaj_o_stanju/IZVJESTAJ%202019%20final.pdf" TargetMode="External"/><Relationship Id="rId43" Type="http://schemas.openxmlformats.org/officeDocument/2006/relationships/hyperlink" Target="https://www.europeandataportal.eu/en" TargetMode="External"/><Relationship Id="rId48" Type="http://schemas.openxmlformats.org/officeDocument/2006/relationships/hyperlink" Target="file:///D:/Korisnicki%20podaci/Downloads/Balkan_Barometer_Public_opinon_2021v4.pdf" TargetMode="External"/><Relationship Id="rId8" Type="http://schemas.openxmlformats.org/officeDocument/2006/relationships/hyperlink" Target="https://wapi.gov.me/download/9bd7ecd6-1673-4469-8e47-18a88af893db?version=1.0" TargetMode="External"/><Relationship Id="rId3" Type="http://schemas.openxmlformats.org/officeDocument/2006/relationships/hyperlink" Target="file:///D:/Korisnicki%20podaci/Downloads/zavrsni-izvjestaj-o-implementaciji-stategije-reforme-javne-uprave-2016-2020-1.pdf" TargetMode="External"/><Relationship Id="rId12" Type="http://schemas.openxmlformats.org/officeDocument/2006/relationships/hyperlink" Target="http://www.dri.co.me/1/doc/Godi%C5%A1nji%20izvje%C5%A1taj%20o%20izvr%C5%A1enim%20revizijama%20i%20aktivnostima%20DRI%20za%20period%20oktobar%202018%20-%20oktobar%202019.%20godine.pdf" TargetMode="External"/><Relationship Id="rId17" Type="http://schemas.openxmlformats.org/officeDocument/2006/relationships/hyperlink" Target="https://www.gov.me/dokumenta/e69b4f81-e111-41ec-b26c-63bc433dda76" TargetMode="External"/><Relationship Id="rId25" Type="http://schemas.openxmlformats.org/officeDocument/2006/relationships/hyperlink" Target="https://www.gov.me/dokumenta/4a61d65e-54db-4ad9-a7c7-626ebe15dfff" TargetMode="External"/><Relationship Id="rId33" Type="http://schemas.openxmlformats.org/officeDocument/2006/relationships/hyperlink" Target="http://www.azlp.me/docs/zajednicka/zakoni/zakon-o-zastiti-podataka-o-licnosti.pdf" TargetMode="External"/><Relationship Id="rId38" Type="http://schemas.openxmlformats.org/officeDocument/2006/relationships/hyperlink" Target="https://wapi.gov.me/download/9bd7ecd6-1673-4469-8e47-18a88af893db?version=1.0" TargetMode="External"/><Relationship Id="rId46" Type="http://schemas.openxmlformats.org/officeDocument/2006/relationships/hyperlink" Target="https://mif.gov.me/organizacija/sektor-za-pifc/243366/Uredba-o-prenosenju-poslova-i-zadataka-finansijskog-upravljanja-i-unutrasnjih-kontrola-u-javnom-sektoru.html" TargetMode="External"/><Relationship Id="rId20" Type="http://schemas.openxmlformats.org/officeDocument/2006/relationships/hyperlink" Target="https://www.gov.me/dokumenta/36e6eebd-1c0c-473a-bf36-44db85771437" TargetMode="External"/><Relationship Id="rId41" Type="http://schemas.openxmlformats.org/officeDocument/2006/relationships/hyperlink" Target="http://epeticije.gov.me/" TargetMode="External"/><Relationship Id="rId1" Type="http://schemas.openxmlformats.org/officeDocument/2006/relationships/hyperlink" Target="http://media.cgo-cce.org/2013/03/Strategija-reforme-javne-uprave-u-Crnoj-Gori-2011-2016-AURUM.pdf" TargetMode="External"/><Relationship Id="rId6" Type="http://schemas.openxmlformats.org/officeDocument/2006/relationships/hyperlink" Target="https://www.gov.me/dokumenta/ec924896-5446-48f7-9551-df6461c6fff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Timeless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x-none"/>
              <a:t>Broj zaposlenih u državnoj upravi</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plotArea>
      <c:layout/>
      <c:barChart>
        <c:barDir val="col"/>
        <c:grouping val="clustered"/>
        <c:varyColors val="0"/>
        <c:ser>
          <c:idx val="0"/>
          <c:order val="0"/>
          <c:tx>
            <c:strRef>
              <c:f>Sheet1!$B$1</c:f>
              <c:strCache>
                <c:ptCount val="1"/>
                <c:pt idx="0">
                  <c:v>2019</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Sheet1!$A$2:$A$13</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Sheet1!$B$2:$B$13</c:f>
              <c:numCache>
                <c:formatCode>General</c:formatCode>
                <c:ptCount val="12"/>
                <c:pt idx="0">
                  <c:v>41757</c:v>
                </c:pt>
                <c:pt idx="1">
                  <c:v>41826</c:v>
                </c:pt>
                <c:pt idx="2">
                  <c:v>41885</c:v>
                </c:pt>
                <c:pt idx="3">
                  <c:v>41892</c:v>
                </c:pt>
                <c:pt idx="4">
                  <c:v>41884</c:v>
                </c:pt>
                <c:pt idx="5">
                  <c:v>42727</c:v>
                </c:pt>
                <c:pt idx="6">
                  <c:v>40868</c:v>
                </c:pt>
                <c:pt idx="7">
                  <c:v>39487</c:v>
                </c:pt>
                <c:pt idx="8">
                  <c:v>41880</c:v>
                </c:pt>
                <c:pt idx="9">
                  <c:v>42730</c:v>
                </c:pt>
                <c:pt idx="10">
                  <c:v>42329</c:v>
                </c:pt>
                <c:pt idx="11">
                  <c:v>42379</c:v>
                </c:pt>
              </c:numCache>
            </c:numRef>
          </c:val>
          <c:extLst>
            <c:ext xmlns:c16="http://schemas.microsoft.com/office/drawing/2014/chart" uri="{C3380CC4-5D6E-409C-BE32-E72D297353CC}">
              <c16:uniqueId val="{00000000-53B5-4FCB-B16B-74161C31AFCE}"/>
            </c:ext>
          </c:extLst>
        </c:ser>
        <c:ser>
          <c:idx val="1"/>
          <c:order val="1"/>
          <c:tx>
            <c:strRef>
              <c:f>Sheet1!$C$1</c:f>
              <c:strCache>
                <c:ptCount val="1"/>
                <c:pt idx="0">
                  <c:v>2020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Sheet1!$A$2:$A$13</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Sheet1!$C$2:$C$13</c:f>
              <c:numCache>
                <c:formatCode>General</c:formatCode>
                <c:ptCount val="12"/>
                <c:pt idx="0">
                  <c:v>41935</c:v>
                </c:pt>
                <c:pt idx="1">
                  <c:v>42348</c:v>
                </c:pt>
                <c:pt idx="2">
                  <c:v>42282</c:v>
                </c:pt>
                <c:pt idx="3">
                  <c:v>42152</c:v>
                </c:pt>
                <c:pt idx="4">
                  <c:v>42198</c:v>
                </c:pt>
                <c:pt idx="5">
                  <c:v>42863</c:v>
                </c:pt>
                <c:pt idx="6">
                  <c:v>41571</c:v>
                </c:pt>
                <c:pt idx="7">
                  <c:v>40501</c:v>
                </c:pt>
                <c:pt idx="8">
                  <c:v>40318</c:v>
                </c:pt>
                <c:pt idx="9">
                  <c:v>43275</c:v>
                </c:pt>
                <c:pt idx="10">
                  <c:v>43679</c:v>
                </c:pt>
                <c:pt idx="11">
                  <c:v>43880</c:v>
                </c:pt>
              </c:numCache>
            </c:numRef>
          </c:val>
          <c:extLst>
            <c:ext xmlns:c16="http://schemas.microsoft.com/office/drawing/2014/chart" uri="{C3380CC4-5D6E-409C-BE32-E72D297353CC}">
              <c16:uniqueId val="{00000001-53B5-4FCB-B16B-74161C31AFCE}"/>
            </c:ext>
          </c:extLst>
        </c:ser>
        <c:ser>
          <c:idx val="2"/>
          <c:order val="2"/>
          <c:tx>
            <c:strRef>
              <c:f>Sheet1!$D$1</c:f>
              <c:strCache>
                <c:ptCount val="1"/>
                <c:pt idx="0">
                  <c:v>2021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Sheet1!$A$2:$A$13</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Sheet1!$D$2:$D$13</c:f>
              <c:numCache>
                <c:formatCode>General</c:formatCode>
                <c:ptCount val="12"/>
                <c:pt idx="0">
                  <c:v>43446</c:v>
                </c:pt>
                <c:pt idx="1">
                  <c:v>43953</c:v>
                </c:pt>
                <c:pt idx="2">
                  <c:v>43875</c:v>
                </c:pt>
                <c:pt idx="3">
                  <c:v>43846</c:v>
                </c:pt>
                <c:pt idx="4">
                  <c:v>43609</c:v>
                </c:pt>
                <c:pt idx="5">
                  <c:v>43941</c:v>
                </c:pt>
                <c:pt idx="6">
                  <c:v>43141</c:v>
                </c:pt>
                <c:pt idx="7">
                  <c:v>42439</c:v>
                </c:pt>
              </c:numCache>
            </c:numRef>
          </c:val>
          <c:extLst>
            <c:ext xmlns:c16="http://schemas.microsoft.com/office/drawing/2014/chart" uri="{C3380CC4-5D6E-409C-BE32-E72D297353CC}">
              <c16:uniqueId val="{00000002-53B5-4FCB-B16B-74161C31AFCE}"/>
            </c:ext>
          </c:extLst>
        </c:ser>
        <c:dLbls>
          <c:showLegendKey val="0"/>
          <c:showVal val="0"/>
          <c:showCatName val="0"/>
          <c:showSerName val="0"/>
          <c:showPercent val="0"/>
          <c:showBubbleSize val="0"/>
        </c:dLbls>
        <c:gapWidth val="100"/>
        <c:overlap val="-24"/>
        <c:axId val="1111188480"/>
        <c:axId val="1111190440"/>
      </c:barChart>
      <c:catAx>
        <c:axId val="1111188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111190440"/>
        <c:crosses val="autoZero"/>
        <c:auto val="1"/>
        <c:lblAlgn val="ctr"/>
        <c:lblOffset val="100"/>
        <c:noMultiLvlLbl val="0"/>
      </c:catAx>
      <c:valAx>
        <c:axId val="111119044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crossAx val="111118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CAE3AC-ED5B-4136-A27B-6397C765BEC2}" type="doc">
      <dgm:prSet loTypeId="urn:microsoft.com/office/officeart/2005/8/layout/equation2" loCatId="process" qsTypeId="urn:microsoft.com/office/officeart/2005/8/quickstyle/simple3" qsCatId="simple" csTypeId="urn:microsoft.com/office/officeart/2005/8/colors/colorful4" csCatId="colorful" phldr="1"/>
      <dgm:spPr/>
    </dgm:pt>
    <dgm:pt modelId="{FC449AC4-2E33-46F1-82F3-A1BB526761B3}">
      <dgm:prSet phldrT="[Text]" custT="1"/>
      <dgm:spPr/>
      <dgm:t>
        <a:bodyPr/>
        <a:lstStyle/>
        <a:p>
          <a:r>
            <a:rPr lang="x-none" sz="2000"/>
            <a:t>JAVNA UPRAVA</a:t>
          </a:r>
          <a:endParaRPr lang="en-US" sz="2000"/>
        </a:p>
      </dgm:t>
    </dgm:pt>
    <dgm:pt modelId="{BCD23B57-0123-484D-9256-230C385014BB}" type="parTrans" cxnId="{16DC0F8C-AFC9-443E-9C3F-501A312C36D6}">
      <dgm:prSet/>
      <dgm:spPr/>
      <dgm:t>
        <a:bodyPr/>
        <a:lstStyle/>
        <a:p>
          <a:endParaRPr lang="en-US"/>
        </a:p>
      </dgm:t>
    </dgm:pt>
    <dgm:pt modelId="{DDCEC879-DCD6-4B63-8686-C1E1D0FC4166}" type="sibTrans" cxnId="{16DC0F8C-AFC9-443E-9C3F-501A312C36D6}">
      <dgm:prSet/>
      <dgm:spPr/>
      <dgm:t>
        <a:bodyPr/>
        <a:lstStyle/>
        <a:p>
          <a:endParaRPr lang="en-US"/>
        </a:p>
      </dgm:t>
    </dgm:pt>
    <dgm:pt modelId="{400EA8E9-6703-401D-A042-522A1373B9B9}">
      <dgm:prSet/>
      <dgm:spPr/>
      <dgm:t>
        <a:bodyPr/>
        <a:lstStyle/>
        <a:p>
          <a:r>
            <a:rPr lang="en-US"/>
            <a:t>CENTRALNI NIV</a:t>
          </a:r>
          <a:r>
            <a:rPr lang="x-none"/>
            <a:t>O</a:t>
          </a:r>
        </a:p>
        <a:p>
          <a:r>
            <a:rPr lang="en-US">
              <a:latin typeface="Calibri" panose="020F0502020204030204" pitchFamily="34" charset="0"/>
              <a:cs typeface="Calibri" panose="020F0502020204030204" pitchFamily="34" charset="0"/>
            </a:rPr>
            <a:t>•</a:t>
          </a:r>
          <a:r>
            <a:rPr lang="sr-Latn-RS">
              <a:latin typeface="Calibri" panose="020F0502020204030204" pitchFamily="34" charset="0"/>
              <a:cs typeface="Calibri" panose="020F0502020204030204" pitchFamily="34" charset="0"/>
            </a:rPr>
            <a:t> </a:t>
          </a:r>
          <a:r>
            <a:rPr lang="en-US"/>
            <a:t>organi državne uprave</a:t>
          </a:r>
          <a:endParaRPr lang="sr-Latn-RS"/>
        </a:p>
        <a:p>
          <a:r>
            <a:rPr lang="en-US">
              <a:latin typeface="Calibri" panose="020F0502020204030204" pitchFamily="34" charset="0"/>
              <a:cs typeface="Calibri" panose="020F0502020204030204" pitchFamily="34" charset="0"/>
            </a:rPr>
            <a:t>•</a:t>
          </a:r>
          <a:r>
            <a:rPr lang="sr-Latn-RS">
              <a:latin typeface="Calibri" panose="020F0502020204030204" pitchFamily="34" charset="0"/>
              <a:cs typeface="Calibri" panose="020F0502020204030204" pitchFamily="34" charset="0"/>
            </a:rPr>
            <a:t>  </a:t>
          </a:r>
          <a:r>
            <a:rPr lang="en-US"/>
            <a:t>pravna lica koja vrše javna ovlašćenja (fondovi, agencije i dr</a:t>
          </a:r>
          <a:r>
            <a:rPr lang="sr-Latn-RS"/>
            <a:t>.</a:t>
          </a:r>
          <a:r>
            <a:rPr lang="en-US"/>
            <a:t>) i </a:t>
          </a:r>
          <a:endParaRPr lang="sr-Latn-RS"/>
        </a:p>
        <a:p>
          <a:r>
            <a:rPr lang="en-US">
              <a:latin typeface="Calibri" panose="020F0502020204030204" pitchFamily="34" charset="0"/>
              <a:cs typeface="Calibri" panose="020F0502020204030204" pitchFamily="34" charset="0"/>
            </a:rPr>
            <a:t>•</a:t>
          </a:r>
          <a:r>
            <a:rPr lang="sr-Latn-RS">
              <a:latin typeface="Calibri" panose="020F0502020204030204" pitchFamily="34" charset="0"/>
              <a:cs typeface="Calibri" panose="020F0502020204030204" pitchFamily="34" charset="0"/>
            </a:rPr>
            <a:t>  </a:t>
          </a:r>
          <a:r>
            <a:rPr lang="en-US"/>
            <a:t>javne ustanove</a:t>
          </a:r>
        </a:p>
      </dgm:t>
    </dgm:pt>
    <dgm:pt modelId="{5178EB3B-FC7B-47B0-AB5B-1445C379657F}" type="parTrans" cxnId="{16A35965-A360-4F89-B4DE-842FCB6CA4B2}">
      <dgm:prSet/>
      <dgm:spPr/>
      <dgm:t>
        <a:bodyPr/>
        <a:lstStyle/>
        <a:p>
          <a:endParaRPr lang="en-US"/>
        </a:p>
      </dgm:t>
    </dgm:pt>
    <dgm:pt modelId="{C86957B2-77BD-4EFD-BACE-C20F2B655857}" type="sibTrans" cxnId="{16A35965-A360-4F89-B4DE-842FCB6CA4B2}">
      <dgm:prSet/>
      <dgm:spPr/>
      <dgm:t>
        <a:bodyPr/>
        <a:lstStyle/>
        <a:p>
          <a:endParaRPr lang="en-US"/>
        </a:p>
      </dgm:t>
    </dgm:pt>
    <dgm:pt modelId="{5FB358BE-10F2-4861-82B1-9C41BB4E19BD}">
      <dgm:prSet/>
      <dgm:spPr/>
      <dgm:t>
        <a:bodyPr/>
        <a:lstStyle/>
        <a:p>
          <a:r>
            <a:rPr lang="en-US"/>
            <a:t>LOKALNI NIVO</a:t>
          </a:r>
          <a:endParaRPr lang="x-none"/>
        </a:p>
        <a:p>
          <a:r>
            <a:rPr lang="en-US">
              <a:latin typeface="Calibri" panose="020F0502020204030204" pitchFamily="34" charset="0"/>
              <a:cs typeface="Calibri" panose="020F0502020204030204" pitchFamily="34" charset="0"/>
            </a:rPr>
            <a:t>•</a:t>
          </a:r>
          <a:r>
            <a:rPr lang="sr-Latn-RS">
              <a:latin typeface="Calibri" panose="020F0502020204030204" pitchFamily="34" charset="0"/>
              <a:cs typeface="Calibri" panose="020F0502020204030204" pitchFamily="34" charset="0"/>
            </a:rPr>
            <a:t> </a:t>
          </a:r>
          <a:r>
            <a:rPr lang="en-US"/>
            <a:t>jedinice lokalne samouprave, </a:t>
          </a:r>
          <a:endParaRPr lang="sr-Latn-RS"/>
        </a:p>
        <a:p>
          <a:r>
            <a:rPr lang="en-US">
              <a:latin typeface="Calibri" panose="020F0502020204030204" pitchFamily="34" charset="0"/>
              <a:cs typeface="Calibri" panose="020F0502020204030204" pitchFamily="34" charset="0"/>
            </a:rPr>
            <a:t>•</a:t>
          </a:r>
          <a:r>
            <a:rPr lang="sr-Latn-RS">
              <a:latin typeface="Calibri" panose="020F0502020204030204" pitchFamily="34" charset="0"/>
              <a:cs typeface="Calibri" panose="020F0502020204030204" pitchFamily="34" charset="0"/>
            </a:rPr>
            <a:t> </a:t>
          </a:r>
          <a:r>
            <a:rPr lang="en-US"/>
            <a:t>organi lokalne uprave i </a:t>
          </a:r>
          <a:endParaRPr lang="sr-Latn-RS"/>
        </a:p>
        <a:p>
          <a:r>
            <a:rPr lang="en-US">
              <a:latin typeface="Calibri" panose="020F0502020204030204" pitchFamily="34" charset="0"/>
              <a:cs typeface="Calibri" panose="020F0502020204030204" pitchFamily="34" charset="0"/>
            </a:rPr>
            <a:t>•</a:t>
          </a:r>
          <a:r>
            <a:rPr lang="sr-Latn-RS">
              <a:latin typeface="Calibri" panose="020F0502020204030204" pitchFamily="34" charset="0"/>
              <a:cs typeface="Calibri" panose="020F0502020204030204" pitchFamily="34" charset="0"/>
            </a:rPr>
            <a:t>  </a:t>
          </a:r>
          <a:r>
            <a:rPr lang="en-US"/>
            <a:t>ustanove</a:t>
          </a:r>
        </a:p>
      </dgm:t>
    </dgm:pt>
    <dgm:pt modelId="{649E9B88-63D5-4EAD-80A6-85C102EA08E2}" type="sibTrans" cxnId="{55C86BA4-B3DC-4EB6-887B-FBE67C747FE2}">
      <dgm:prSet/>
      <dgm:spPr/>
      <dgm:t>
        <a:bodyPr/>
        <a:lstStyle/>
        <a:p>
          <a:endParaRPr lang="en-US"/>
        </a:p>
      </dgm:t>
    </dgm:pt>
    <dgm:pt modelId="{FA97D6D4-9D87-4A91-B8EB-A3514FA80286}" type="parTrans" cxnId="{55C86BA4-B3DC-4EB6-887B-FBE67C747FE2}">
      <dgm:prSet/>
      <dgm:spPr/>
      <dgm:t>
        <a:bodyPr/>
        <a:lstStyle/>
        <a:p>
          <a:endParaRPr lang="en-US"/>
        </a:p>
      </dgm:t>
    </dgm:pt>
    <dgm:pt modelId="{CCDF4C03-249B-4C40-8120-C05046E1E248}" type="pres">
      <dgm:prSet presAssocID="{F3CAE3AC-ED5B-4136-A27B-6397C765BEC2}" presName="Name0" presStyleCnt="0">
        <dgm:presLayoutVars>
          <dgm:dir val="rev"/>
          <dgm:resizeHandles val="exact"/>
        </dgm:presLayoutVars>
      </dgm:prSet>
      <dgm:spPr/>
    </dgm:pt>
    <dgm:pt modelId="{100A06BE-E78D-4E4B-8CE1-883DF3A16BA8}" type="pres">
      <dgm:prSet presAssocID="{F3CAE3AC-ED5B-4136-A27B-6397C765BEC2}" presName="vNodes" presStyleCnt="0"/>
      <dgm:spPr/>
    </dgm:pt>
    <dgm:pt modelId="{63641169-05A4-4D3B-A23D-D4E2F3B686DE}" type="pres">
      <dgm:prSet presAssocID="{400EA8E9-6703-401D-A042-522A1373B9B9}" presName="node" presStyleLbl="node1" presStyleIdx="0" presStyleCnt="3" custScaleX="523963" custScaleY="228434" custLinFactNeighborX="3488" custLinFactNeighborY="51544">
        <dgm:presLayoutVars>
          <dgm:bulletEnabled val="1"/>
        </dgm:presLayoutVars>
      </dgm:prSet>
      <dgm:spPr/>
      <dgm:t>
        <a:bodyPr/>
        <a:lstStyle/>
        <a:p>
          <a:endParaRPr lang="en-US"/>
        </a:p>
      </dgm:t>
    </dgm:pt>
    <dgm:pt modelId="{B991B5F8-CF06-4527-A415-F27CBAE2A3EF}" type="pres">
      <dgm:prSet presAssocID="{C86957B2-77BD-4EFD-BACE-C20F2B655857}" presName="spacerT" presStyleCnt="0"/>
      <dgm:spPr/>
    </dgm:pt>
    <dgm:pt modelId="{36A6EFF5-3967-4313-99B2-10E47275694F}" type="pres">
      <dgm:prSet presAssocID="{C86957B2-77BD-4EFD-BACE-C20F2B655857}" presName="sibTrans" presStyleLbl="sibTrans2D1" presStyleIdx="0" presStyleCnt="2"/>
      <dgm:spPr/>
      <dgm:t>
        <a:bodyPr/>
        <a:lstStyle/>
        <a:p>
          <a:endParaRPr lang="en-US"/>
        </a:p>
      </dgm:t>
    </dgm:pt>
    <dgm:pt modelId="{202072C1-80E9-43C7-AAD3-C7E0964427BD}" type="pres">
      <dgm:prSet presAssocID="{C86957B2-77BD-4EFD-BACE-C20F2B655857}" presName="spacerB" presStyleCnt="0"/>
      <dgm:spPr/>
    </dgm:pt>
    <dgm:pt modelId="{DD0A3457-C39D-4B0A-A161-DF2613DB8F5D}" type="pres">
      <dgm:prSet presAssocID="{5FB358BE-10F2-4861-82B1-9C41BB4E19BD}" presName="node" presStyleLbl="node1" presStyleIdx="1" presStyleCnt="3" custScaleX="521434" custScaleY="189555">
        <dgm:presLayoutVars>
          <dgm:bulletEnabled val="1"/>
        </dgm:presLayoutVars>
      </dgm:prSet>
      <dgm:spPr/>
      <dgm:t>
        <a:bodyPr/>
        <a:lstStyle/>
        <a:p>
          <a:endParaRPr lang="en-US"/>
        </a:p>
      </dgm:t>
    </dgm:pt>
    <dgm:pt modelId="{1226AFF2-AB81-43E0-9621-7215F781BE02}" type="pres">
      <dgm:prSet presAssocID="{F3CAE3AC-ED5B-4136-A27B-6397C765BEC2}" presName="sibTransLast" presStyleLbl="sibTrans2D1" presStyleIdx="1" presStyleCnt="2" custAng="10800000" custScaleX="280830" custScaleY="118822" custLinFactX="20284" custLinFactNeighborX="100000"/>
      <dgm:spPr/>
      <dgm:t>
        <a:bodyPr/>
        <a:lstStyle/>
        <a:p>
          <a:endParaRPr lang="en-US"/>
        </a:p>
      </dgm:t>
    </dgm:pt>
    <dgm:pt modelId="{D7649025-2AB3-4F88-AB3E-E91B027A9843}" type="pres">
      <dgm:prSet presAssocID="{F3CAE3AC-ED5B-4136-A27B-6397C765BEC2}" presName="connectorText" presStyleLbl="sibTrans2D1" presStyleIdx="1" presStyleCnt="2"/>
      <dgm:spPr/>
      <dgm:t>
        <a:bodyPr/>
        <a:lstStyle/>
        <a:p>
          <a:endParaRPr lang="en-US"/>
        </a:p>
      </dgm:t>
    </dgm:pt>
    <dgm:pt modelId="{F9928732-4073-49CF-9CDA-04EAAF5A18D4}" type="pres">
      <dgm:prSet presAssocID="{F3CAE3AC-ED5B-4136-A27B-6397C765BEC2}" presName="lastNode" presStyleLbl="node1" presStyleIdx="2" presStyleCnt="3" custScaleX="243019" custScaleY="132275" custLinFactX="-4516" custLinFactNeighborX="-100000" custLinFactNeighborY="-894">
        <dgm:presLayoutVars>
          <dgm:bulletEnabled val="1"/>
        </dgm:presLayoutVars>
      </dgm:prSet>
      <dgm:spPr/>
      <dgm:t>
        <a:bodyPr/>
        <a:lstStyle/>
        <a:p>
          <a:endParaRPr lang="en-US"/>
        </a:p>
      </dgm:t>
    </dgm:pt>
  </dgm:ptLst>
  <dgm:cxnLst>
    <dgm:cxn modelId="{AD586172-5950-4CAB-9164-BB50D2BE33C7}" type="presOf" srcId="{FC449AC4-2E33-46F1-82F3-A1BB526761B3}" destId="{F9928732-4073-49CF-9CDA-04EAAF5A18D4}" srcOrd="0" destOrd="0" presId="urn:microsoft.com/office/officeart/2005/8/layout/equation2"/>
    <dgm:cxn modelId="{970F2115-9A1D-484F-A04D-644E4B0C6103}" type="presOf" srcId="{400EA8E9-6703-401D-A042-522A1373B9B9}" destId="{63641169-05A4-4D3B-A23D-D4E2F3B686DE}" srcOrd="0" destOrd="0" presId="urn:microsoft.com/office/officeart/2005/8/layout/equation2"/>
    <dgm:cxn modelId="{16A35965-A360-4F89-B4DE-842FCB6CA4B2}" srcId="{F3CAE3AC-ED5B-4136-A27B-6397C765BEC2}" destId="{400EA8E9-6703-401D-A042-522A1373B9B9}" srcOrd="0" destOrd="0" parTransId="{5178EB3B-FC7B-47B0-AB5B-1445C379657F}" sibTransId="{C86957B2-77BD-4EFD-BACE-C20F2B655857}"/>
    <dgm:cxn modelId="{26CA4559-0917-488F-B98E-380D8E728BAB}" type="presOf" srcId="{C86957B2-77BD-4EFD-BACE-C20F2B655857}" destId="{36A6EFF5-3967-4313-99B2-10E47275694F}" srcOrd="0" destOrd="0" presId="urn:microsoft.com/office/officeart/2005/8/layout/equation2"/>
    <dgm:cxn modelId="{651CAF7D-1DDB-4FC1-B0D4-1DD745506F01}" type="presOf" srcId="{649E9B88-63D5-4EAD-80A6-85C102EA08E2}" destId="{1226AFF2-AB81-43E0-9621-7215F781BE02}" srcOrd="0" destOrd="0" presId="urn:microsoft.com/office/officeart/2005/8/layout/equation2"/>
    <dgm:cxn modelId="{55C86BA4-B3DC-4EB6-887B-FBE67C747FE2}" srcId="{F3CAE3AC-ED5B-4136-A27B-6397C765BEC2}" destId="{5FB358BE-10F2-4861-82B1-9C41BB4E19BD}" srcOrd="1" destOrd="0" parTransId="{FA97D6D4-9D87-4A91-B8EB-A3514FA80286}" sibTransId="{649E9B88-63D5-4EAD-80A6-85C102EA08E2}"/>
    <dgm:cxn modelId="{81BBCE26-8C11-4BA1-832A-C4AA9837B222}" type="presOf" srcId="{649E9B88-63D5-4EAD-80A6-85C102EA08E2}" destId="{D7649025-2AB3-4F88-AB3E-E91B027A9843}" srcOrd="1" destOrd="0" presId="urn:microsoft.com/office/officeart/2005/8/layout/equation2"/>
    <dgm:cxn modelId="{7D0B9D36-E332-4C0D-AF81-2414532A7B79}" type="presOf" srcId="{F3CAE3AC-ED5B-4136-A27B-6397C765BEC2}" destId="{CCDF4C03-249B-4C40-8120-C05046E1E248}" srcOrd="0" destOrd="0" presId="urn:microsoft.com/office/officeart/2005/8/layout/equation2"/>
    <dgm:cxn modelId="{FE1A643B-AFE6-45DF-8AD5-2DA478FB7BF5}" type="presOf" srcId="{5FB358BE-10F2-4861-82B1-9C41BB4E19BD}" destId="{DD0A3457-C39D-4B0A-A161-DF2613DB8F5D}" srcOrd="0" destOrd="0" presId="urn:microsoft.com/office/officeart/2005/8/layout/equation2"/>
    <dgm:cxn modelId="{16DC0F8C-AFC9-443E-9C3F-501A312C36D6}" srcId="{F3CAE3AC-ED5B-4136-A27B-6397C765BEC2}" destId="{FC449AC4-2E33-46F1-82F3-A1BB526761B3}" srcOrd="2" destOrd="0" parTransId="{BCD23B57-0123-484D-9256-230C385014BB}" sibTransId="{DDCEC879-DCD6-4B63-8686-C1E1D0FC4166}"/>
    <dgm:cxn modelId="{C67D120D-42EB-465C-A93A-028ED97AAA84}" type="presParOf" srcId="{CCDF4C03-249B-4C40-8120-C05046E1E248}" destId="{100A06BE-E78D-4E4B-8CE1-883DF3A16BA8}" srcOrd="0" destOrd="0" presId="urn:microsoft.com/office/officeart/2005/8/layout/equation2"/>
    <dgm:cxn modelId="{7E7D6C76-9145-460F-AC3F-4D9D187EB62D}" type="presParOf" srcId="{100A06BE-E78D-4E4B-8CE1-883DF3A16BA8}" destId="{63641169-05A4-4D3B-A23D-D4E2F3B686DE}" srcOrd="0" destOrd="0" presId="urn:microsoft.com/office/officeart/2005/8/layout/equation2"/>
    <dgm:cxn modelId="{BBE1DD99-8D25-4081-AAC9-1671B0CEDAA4}" type="presParOf" srcId="{100A06BE-E78D-4E4B-8CE1-883DF3A16BA8}" destId="{B991B5F8-CF06-4527-A415-F27CBAE2A3EF}" srcOrd="1" destOrd="0" presId="urn:microsoft.com/office/officeart/2005/8/layout/equation2"/>
    <dgm:cxn modelId="{0E995FCD-D9AF-44D6-84FF-7DFED92E1B45}" type="presParOf" srcId="{100A06BE-E78D-4E4B-8CE1-883DF3A16BA8}" destId="{36A6EFF5-3967-4313-99B2-10E47275694F}" srcOrd="2" destOrd="0" presId="urn:microsoft.com/office/officeart/2005/8/layout/equation2"/>
    <dgm:cxn modelId="{E525A955-345D-4ACF-BBF7-BA23855CF4F1}" type="presParOf" srcId="{100A06BE-E78D-4E4B-8CE1-883DF3A16BA8}" destId="{202072C1-80E9-43C7-AAD3-C7E0964427BD}" srcOrd="3" destOrd="0" presId="urn:microsoft.com/office/officeart/2005/8/layout/equation2"/>
    <dgm:cxn modelId="{6F90378D-8B58-4DFE-B5B3-D8CC3D659ABA}" type="presParOf" srcId="{100A06BE-E78D-4E4B-8CE1-883DF3A16BA8}" destId="{DD0A3457-C39D-4B0A-A161-DF2613DB8F5D}" srcOrd="4" destOrd="0" presId="urn:microsoft.com/office/officeart/2005/8/layout/equation2"/>
    <dgm:cxn modelId="{CC6639D5-4B8D-4E59-A23C-BA5267EAE894}" type="presParOf" srcId="{CCDF4C03-249B-4C40-8120-C05046E1E248}" destId="{1226AFF2-AB81-43E0-9621-7215F781BE02}" srcOrd="1" destOrd="0" presId="urn:microsoft.com/office/officeart/2005/8/layout/equation2"/>
    <dgm:cxn modelId="{F3FCE972-CA75-4484-8166-2C6CB4B36242}" type="presParOf" srcId="{1226AFF2-AB81-43E0-9621-7215F781BE02}" destId="{D7649025-2AB3-4F88-AB3E-E91B027A9843}" srcOrd="0" destOrd="0" presId="urn:microsoft.com/office/officeart/2005/8/layout/equation2"/>
    <dgm:cxn modelId="{592A78B6-3250-4C19-9A43-774A41E863FB}" type="presParOf" srcId="{CCDF4C03-249B-4C40-8120-C05046E1E248}" destId="{F9928732-4073-49CF-9CDA-04EAAF5A18D4}" srcOrd="2" destOrd="0" presId="urn:microsoft.com/office/officeart/2005/8/layout/equati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654F1BD-7DF0-4895-B850-728D7BF7EEAA}" type="doc">
      <dgm:prSet loTypeId="urn:microsoft.com/office/officeart/2005/8/layout/process3" loCatId="process" qsTypeId="urn:microsoft.com/office/officeart/2005/8/quickstyle/simple1" qsCatId="simple" csTypeId="urn:microsoft.com/office/officeart/2005/8/colors/colorful4" csCatId="colorful" phldr="1"/>
      <dgm:spPr/>
      <dgm:t>
        <a:bodyPr/>
        <a:lstStyle/>
        <a:p>
          <a:endParaRPr lang="en-US"/>
        </a:p>
      </dgm:t>
    </dgm:pt>
    <dgm:pt modelId="{D7CCB026-F38D-4D83-81C5-8A681256F322}">
      <dgm:prSet phldrT="[Text]" custT="1"/>
      <dgm:spPr/>
      <dgm:t>
        <a:bodyPr/>
        <a:lstStyle/>
        <a:p>
          <a:r>
            <a:rPr lang="x-none" sz="1000"/>
            <a:t>ŠTA RADIMO</a:t>
          </a:r>
          <a:endParaRPr lang="en-US" sz="1000"/>
        </a:p>
      </dgm:t>
    </dgm:pt>
    <dgm:pt modelId="{E243B5FE-8230-4B5C-BB87-5649D7EBD4C0}" type="parTrans" cxnId="{789C1EB0-4DAF-4ABE-AE42-F7C5AD209EE8}">
      <dgm:prSet/>
      <dgm:spPr/>
      <dgm:t>
        <a:bodyPr/>
        <a:lstStyle/>
        <a:p>
          <a:endParaRPr lang="en-US"/>
        </a:p>
      </dgm:t>
    </dgm:pt>
    <dgm:pt modelId="{30C382CD-AABB-45A5-A265-3E18A71300F1}" type="sibTrans" cxnId="{789C1EB0-4DAF-4ABE-AE42-F7C5AD209EE8}">
      <dgm:prSet/>
      <dgm:spPr/>
      <dgm:t>
        <a:bodyPr/>
        <a:lstStyle/>
        <a:p>
          <a:endParaRPr lang="en-US"/>
        </a:p>
      </dgm:t>
    </dgm:pt>
    <dgm:pt modelId="{708DB725-467B-4AC5-91DE-C0D836AE284B}">
      <dgm:prSet phldrT="[Text]" custT="1"/>
      <dgm:spPr/>
      <dgm:t>
        <a:bodyPr/>
        <a:lstStyle/>
        <a:p>
          <a:r>
            <a:rPr lang="x-none" sz="1050"/>
            <a:t> </a:t>
          </a:r>
          <a:r>
            <a:rPr lang="en-US" sz="1050"/>
            <a:t>Zajedno gradimo javnu upravu gra</a:t>
          </a:r>
          <a:r>
            <a:rPr lang="x-none" sz="1050"/>
            <a:t>đ</a:t>
          </a:r>
          <a:r>
            <a:rPr lang="en-US" sz="1050"/>
            <a:t>ana i gra</a:t>
          </a:r>
          <a:r>
            <a:rPr lang="x-none" sz="1050"/>
            <a:t>đ</a:t>
          </a:r>
          <a:r>
            <a:rPr lang="en-US" sz="1050"/>
            <a:t>anki - transparetnu, dostupnu, efikasnu, profesionalnu </a:t>
          </a:r>
        </a:p>
      </dgm:t>
    </dgm:pt>
    <dgm:pt modelId="{26A32D20-39A2-42D5-B798-D0A9043A41AA}" type="parTrans" cxnId="{2D3D4A01-88EB-4555-BFEA-4D653E8E9B6E}">
      <dgm:prSet/>
      <dgm:spPr/>
      <dgm:t>
        <a:bodyPr/>
        <a:lstStyle/>
        <a:p>
          <a:endParaRPr lang="en-US"/>
        </a:p>
      </dgm:t>
    </dgm:pt>
    <dgm:pt modelId="{76AA9D32-98C9-440C-93AA-4711BC509070}" type="sibTrans" cxnId="{2D3D4A01-88EB-4555-BFEA-4D653E8E9B6E}">
      <dgm:prSet/>
      <dgm:spPr/>
      <dgm:t>
        <a:bodyPr/>
        <a:lstStyle/>
        <a:p>
          <a:endParaRPr lang="en-US"/>
        </a:p>
      </dgm:t>
    </dgm:pt>
    <dgm:pt modelId="{9AFDC2E9-816C-4316-8728-7E0245F3228E}">
      <dgm:prSet phldrT="[Text]" custT="1"/>
      <dgm:spPr/>
      <dgm:t>
        <a:bodyPr/>
        <a:lstStyle/>
        <a:p>
          <a:r>
            <a:rPr lang="x-none" sz="1000"/>
            <a:t>KAKO RADIMO</a:t>
          </a:r>
          <a:endParaRPr lang="en-US" sz="1000"/>
        </a:p>
      </dgm:t>
    </dgm:pt>
    <dgm:pt modelId="{898E79F5-D469-461A-AE36-516EA69CD4D0}" type="parTrans" cxnId="{C5A363F6-8E13-4068-958A-43805D78D12D}">
      <dgm:prSet/>
      <dgm:spPr/>
      <dgm:t>
        <a:bodyPr/>
        <a:lstStyle/>
        <a:p>
          <a:endParaRPr lang="en-US"/>
        </a:p>
      </dgm:t>
    </dgm:pt>
    <dgm:pt modelId="{E630108D-B0CF-4456-96D2-50A39834C259}" type="sibTrans" cxnId="{C5A363F6-8E13-4068-958A-43805D78D12D}">
      <dgm:prSet/>
      <dgm:spPr/>
      <dgm:t>
        <a:bodyPr/>
        <a:lstStyle/>
        <a:p>
          <a:endParaRPr lang="en-US"/>
        </a:p>
      </dgm:t>
    </dgm:pt>
    <dgm:pt modelId="{D8A232D0-060D-4485-8EBF-F4A7A9A5935D}">
      <dgm:prSet phldrT="[Text]" custT="1"/>
      <dgm:spPr/>
      <dgm:t>
        <a:bodyPr/>
        <a:lstStyle/>
        <a:p>
          <a:r>
            <a:rPr lang="x-none" sz="1000"/>
            <a:t> P</a:t>
          </a:r>
          <a:r>
            <a:rPr lang="en-US" sz="1000"/>
            <a:t>rilagođavanje i mijenjanje načina kreiranja javnih politika i zakona, kao i javnih usluga kako bi se omogućilo da one budu u potpunosti usmjerene na građane i privredu.</a:t>
          </a:r>
        </a:p>
      </dgm:t>
    </dgm:pt>
    <dgm:pt modelId="{32624D46-A2A1-4917-BF2F-098555C1E344}" type="parTrans" cxnId="{1CD57020-A8CD-409C-94E1-A0EE4C6A458B}">
      <dgm:prSet/>
      <dgm:spPr/>
      <dgm:t>
        <a:bodyPr/>
        <a:lstStyle/>
        <a:p>
          <a:endParaRPr lang="en-US"/>
        </a:p>
      </dgm:t>
    </dgm:pt>
    <dgm:pt modelId="{72889B70-D65B-42D8-8536-68F3A3CB106F}" type="sibTrans" cxnId="{1CD57020-A8CD-409C-94E1-A0EE4C6A458B}">
      <dgm:prSet/>
      <dgm:spPr/>
      <dgm:t>
        <a:bodyPr/>
        <a:lstStyle/>
        <a:p>
          <a:endParaRPr lang="en-US"/>
        </a:p>
      </dgm:t>
    </dgm:pt>
    <dgm:pt modelId="{6CDDD4D6-2390-49E3-A7DC-A4270ECD3B92}">
      <dgm:prSet phldrT="[Text]" custT="1"/>
      <dgm:spPr/>
      <dgm:t>
        <a:bodyPr/>
        <a:lstStyle/>
        <a:p>
          <a:r>
            <a:rPr lang="x-none" sz="1000"/>
            <a:t>ZA KOGA RADIMO</a:t>
          </a:r>
          <a:endParaRPr lang="en-US" sz="1000"/>
        </a:p>
      </dgm:t>
    </dgm:pt>
    <dgm:pt modelId="{E6116249-B109-4D7E-BAFE-F13A757A4CFA}" type="parTrans" cxnId="{E2137230-AD7C-4E7D-9A9C-52BC8BAFB15A}">
      <dgm:prSet/>
      <dgm:spPr/>
      <dgm:t>
        <a:bodyPr/>
        <a:lstStyle/>
        <a:p>
          <a:endParaRPr lang="en-US"/>
        </a:p>
      </dgm:t>
    </dgm:pt>
    <dgm:pt modelId="{CDF428E9-15FD-482F-83F8-B12637CD6508}" type="sibTrans" cxnId="{E2137230-AD7C-4E7D-9A9C-52BC8BAFB15A}">
      <dgm:prSet/>
      <dgm:spPr/>
      <dgm:t>
        <a:bodyPr/>
        <a:lstStyle/>
        <a:p>
          <a:endParaRPr lang="en-US"/>
        </a:p>
      </dgm:t>
    </dgm:pt>
    <dgm:pt modelId="{A9B517F1-4720-449F-A13F-9E7C8EFF481E}">
      <dgm:prSet phldrT="[Text]" custT="1"/>
      <dgm:spPr/>
      <dgm:t>
        <a:bodyPr/>
        <a:lstStyle/>
        <a:p>
          <a:r>
            <a:rPr lang="x-none" sz="1050"/>
            <a:t> O</a:t>
          </a:r>
          <a:r>
            <a:rPr lang="en-US" sz="1050"/>
            <a:t>pšta javnost</a:t>
          </a:r>
          <a:r>
            <a:rPr lang="x-none" sz="1050"/>
            <a:t> - građani </a:t>
          </a:r>
          <a:r>
            <a:rPr lang="en-US" sz="1050"/>
            <a:t> </a:t>
          </a:r>
        </a:p>
      </dgm:t>
    </dgm:pt>
    <dgm:pt modelId="{4798883B-A189-4DF7-9B5E-95A5CEA0E818}" type="parTrans" cxnId="{41F8589A-8B81-4C5E-9C40-F68B3E358D49}">
      <dgm:prSet/>
      <dgm:spPr/>
      <dgm:t>
        <a:bodyPr/>
        <a:lstStyle/>
        <a:p>
          <a:endParaRPr lang="en-US"/>
        </a:p>
      </dgm:t>
    </dgm:pt>
    <dgm:pt modelId="{604D2A0D-48B2-4D45-87D2-379D438C0265}" type="sibTrans" cxnId="{41F8589A-8B81-4C5E-9C40-F68B3E358D49}">
      <dgm:prSet/>
      <dgm:spPr/>
      <dgm:t>
        <a:bodyPr/>
        <a:lstStyle/>
        <a:p>
          <a:endParaRPr lang="en-US"/>
        </a:p>
      </dgm:t>
    </dgm:pt>
    <dgm:pt modelId="{0E749F9C-C242-4DCB-820D-DEE4A1BDB801}">
      <dgm:prSet custT="1"/>
      <dgm:spPr/>
      <dgm:t>
        <a:bodyPr/>
        <a:lstStyle/>
        <a:p>
          <a:r>
            <a:rPr lang="x-none" sz="1050"/>
            <a:t> Z</a:t>
          </a:r>
          <a:r>
            <a:rPr lang="en-US" sz="1050"/>
            <a:t>aposleni u državnoj i lokalnoj samoupravi – visokorukovodni kadar, srednje</a:t>
          </a:r>
          <a:r>
            <a:rPr lang="sr-Latn-ME" sz="1050"/>
            <a:t>-</a:t>
          </a:r>
          <a:r>
            <a:rPr lang="en-US" sz="1050"/>
            <a:t>rukovodni kadar, službenici i namještenici</a:t>
          </a:r>
        </a:p>
      </dgm:t>
    </dgm:pt>
    <dgm:pt modelId="{7786A17D-0FFD-466E-9178-75DAD5CED4FD}" type="parTrans" cxnId="{4A8510A1-C28A-4346-A042-DFF803956441}">
      <dgm:prSet/>
      <dgm:spPr/>
      <dgm:t>
        <a:bodyPr/>
        <a:lstStyle/>
        <a:p>
          <a:endParaRPr lang="en-US"/>
        </a:p>
      </dgm:t>
    </dgm:pt>
    <dgm:pt modelId="{7D543AE4-B31D-4B74-9D11-ADBC86B9F0BE}" type="sibTrans" cxnId="{4A8510A1-C28A-4346-A042-DFF803956441}">
      <dgm:prSet/>
      <dgm:spPr/>
      <dgm:t>
        <a:bodyPr/>
        <a:lstStyle/>
        <a:p>
          <a:endParaRPr lang="en-US"/>
        </a:p>
      </dgm:t>
    </dgm:pt>
    <dgm:pt modelId="{C51EB1D4-309D-4D6D-971F-D6BF33C8C0E5}">
      <dgm:prSet phldrT="[Text]" custT="1"/>
      <dgm:spPr/>
      <dgm:t>
        <a:bodyPr/>
        <a:lstStyle/>
        <a:p>
          <a:r>
            <a:rPr lang="x-none" sz="1000"/>
            <a:t> Izmjena p</a:t>
          </a:r>
          <a:r>
            <a:rPr lang="en-US" sz="1000"/>
            <a:t>roces</a:t>
          </a:r>
          <a:r>
            <a:rPr lang="sr-Latn-RS" sz="1000"/>
            <a:t>a</a:t>
          </a:r>
          <a:r>
            <a:rPr lang="en-US" sz="1000"/>
            <a:t>, prakse i</a:t>
          </a:r>
          <a:r>
            <a:rPr lang="sr-Latn-RS" sz="1000"/>
            <a:t> organizacione</a:t>
          </a:r>
          <a:r>
            <a:rPr lang="en-US" sz="1000"/>
            <a:t> kultur</a:t>
          </a:r>
          <a:r>
            <a:rPr lang="x-none" sz="1000"/>
            <a:t>e</a:t>
          </a:r>
          <a:r>
            <a:rPr lang="en-US" sz="1000"/>
            <a:t> – obezbijediti modernizaciju javne uprave kroz optimizaciju unutrašnjih procesa i podsticajnih praksi, uvođenje pristupa koji u fokusu ima identifikovanje problema, dizajniranje rješenja za potrebe građana, a koji istovremenu utiču na promjenu svijesti i kulture u javnoj upravi.</a:t>
          </a:r>
        </a:p>
      </dgm:t>
    </dgm:pt>
    <dgm:pt modelId="{B8FD09C1-71FC-493A-9A4E-2C6FC5DB37E8}" type="parTrans" cxnId="{7C4138DC-9C6F-4CB9-B54E-C18159938751}">
      <dgm:prSet/>
      <dgm:spPr/>
      <dgm:t>
        <a:bodyPr/>
        <a:lstStyle/>
        <a:p>
          <a:endParaRPr lang="en-US"/>
        </a:p>
      </dgm:t>
    </dgm:pt>
    <dgm:pt modelId="{BEC48233-DC7B-4CF8-AE79-D3CB511B6345}" type="sibTrans" cxnId="{7C4138DC-9C6F-4CB9-B54E-C18159938751}">
      <dgm:prSet/>
      <dgm:spPr/>
      <dgm:t>
        <a:bodyPr/>
        <a:lstStyle/>
        <a:p>
          <a:endParaRPr lang="en-US"/>
        </a:p>
      </dgm:t>
    </dgm:pt>
    <dgm:pt modelId="{D2220743-0F3F-4BB5-A3CF-2219A494D2AE}">
      <dgm:prSet phldrT="[Text]" custT="1"/>
      <dgm:spPr/>
      <dgm:t>
        <a:bodyPr/>
        <a:lstStyle/>
        <a:p>
          <a:r>
            <a:rPr lang="x-none" sz="1000"/>
            <a:t> T</a:t>
          </a:r>
          <a:r>
            <a:rPr lang="en-US" sz="1000"/>
            <a:t>ransformacija proizvoda i usluga kako bi oni bili brži, jednostavniji, pristupačniji i funkcionalniji za građane i privredu.</a:t>
          </a:r>
        </a:p>
      </dgm:t>
    </dgm:pt>
    <dgm:pt modelId="{D20798F3-B4D3-4CBA-90AB-FDBF2580ABCF}" type="parTrans" cxnId="{B3D8BCED-8ED1-4D59-A33F-600BD783BE12}">
      <dgm:prSet/>
      <dgm:spPr/>
      <dgm:t>
        <a:bodyPr/>
        <a:lstStyle/>
        <a:p>
          <a:endParaRPr lang="en-US"/>
        </a:p>
      </dgm:t>
    </dgm:pt>
    <dgm:pt modelId="{C9E689AF-6F4F-4241-B75A-0DF3CF810E62}" type="sibTrans" cxnId="{B3D8BCED-8ED1-4D59-A33F-600BD783BE12}">
      <dgm:prSet/>
      <dgm:spPr/>
      <dgm:t>
        <a:bodyPr/>
        <a:lstStyle/>
        <a:p>
          <a:endParaRPr lang="en-US"/>
        </a:p>
      </dgm:t>
    </dgm:pt>
    <dgm:pt modelId="{651B424E-C65B-464D-BD3D-3129B35596E9}">
      <dgm:prSet custT="1"/>
      <dgm:spPr/>
      <dgm:t>
        <a:bodyPr/>
        <a:lstStyle/>
        <a:p>
          <a:r>
            <a:rPr lang="x-none" sz="1050"/>
            <a:t> M</a:t>
          </a:r>
          <a:r>
            <a:rPr lang="en-US" sz="1050"/>
            <a:t>ediji</a:t>
          </a:r>
        </a:p>
      </dgm:t>
    </dgm:pt>
    <dgm:pt modelId="{3A353787-8A45-4F2A-976C-FA7BC0C291C6}" type="parTrans" cxnId="{11337109-A284-4D2F-B29D-E6B06E46DAFF}">
      <dgm:prSet/>
      <dgm:spPr/>
      <dgm:t>
        <a:bodyPr/>
        <a:lstStyle/>
        <a:p>
          <a:endParaRPr lang="en-US"/>
        </a:p>
      </dgm:t>
    </dgm:pt>
    <dgm:pt modelId="{06CB84DA-404D-4AA5-8C1F-1BF917584B94}" type="sibTrans" cxnId="{11337109-A284-4D2F-B29D-E6B06E46DAFF}">
      <dgm:prSet/>
      <dgm:spPr/>
      <dgm:t>
        <a:bodyPr/>
        <a:lstStyle/>
        <a:p>
          <a:endParaRPr lang="en-US"/>
        </a:p>
      </dgm:t>
    </dgm:pt>
    <dgm:pt modelId="{C8FDB4AC-E223-438A-816A-DADD301B4F1B}">
      <dgm:prSet custT="1"/>
      <dgm:spPr/>
      <dgm:t>
        <a:bodyPr/>
        <a:lstStyle/>
        <a:p>
          <a:r>
            <a:rPr lang="x-none" sz="1050"/>
            <a:t> </a:t>
          </a:r>
          <a:r>
            <a:rPr lang="en-US" sz="1050"/>
            <a:t>NVO</a:t>
          </a:r>
        </a:p>
      </dgm:t>
    </dgm:pt>
    <dgm:pt modelId="{94EFD2B2-B130-4730-931A-BA8E1F2783BF}" type="parTrans" cxnId="{3E8ADC07-7F6F-46B0-8AB8-73BF9C966334}">
      <dgm:prSet/>
      <dgm:spPr/>
      <dgm:t>
        <a:bodyPr/>
        <a:lstStyle/>
        <a:p>
          <a:endParaRPr lang="en-US"/>
        </a:p>
      </dgm:t>
    </dgm:pt>
    <dgm:pt modelId="{A0BFD0B1-FA12-4BC1-A8DB-86FEE763DDA5}" type="sibTrans" cxnId="{3E8ADC07-7F6F-46B0-8AB8-73BF9C966334}">
      <dgm:prSet/>
      <dgm:spPr/>
      <dgm:t>
        <a:bodyPr/>
        <a:lstStyle/>
        <a:p>
          <a:endParaRPr lang="en-US"/>
        </a:p>
      </dgm:t>
    </dgm:pt>
    <dgm:pt modelId="{2446372A-2591-4801-8DB2-CC82B38D1AB8}">
      <dgm:prSet custT="1"/>
      <dgm:spPr/>
      <dgm:t>
        <a:bodyPr/>
        <a:lstStyle/>
        <a:p>
          <a:r>
            <a:rPr lang="x-none" sz="1050"/>
            <a:t> P</a:t>
          </a:r>
          <a:r>
            <a:rPr lang="en-US" sz="1050"/>
            <a:t>rivredna i druga strukovna udruženja</a:t>
          </a:r>
        </a:p>
      </dgm:t>
    </dgm:pt>
    <dgm:pt modelId="{853023D2-E490-48E8-9FCC-65B2BC943B00}" type="parTrans" cxnId="{DD8ACDBE-2475-4E79-8048-D7A18A281172}">
      <dgm:prSet/>
      <dgm:spPr/>
      <dgm:t>
        <a:bodyPr/>
        <a:lstStyle/>
        <a:p>
          <a:endParaRPr lang="en-US"/>
        </a:p>
      </dgm:t>
    </dgm:pt>
    <dgm:pt modelId="{6A146B53-31BB-4E9A-8FFD-3F76B3B07245}" type="sibTrans" cxnId="{DD8ACDBE-2475-4E79-8048-D7A18A281172}">
      <dgm:prSet/>
      <dgm:spPr/>
      <dgm:t>
        <a:bodyPr/>
        <a:lstStyle/>
        <a:p>
          <a:endParaRPr lang="en-US"/>
        </a:p>
      </dgm:t>
    </dgm:pt>
    <dgm:pt modelId="{9A98EE12-6ADD-4730-A0BD-CF35D2C82199}">
      <dgm:prSet custT="1"/>
      <dgm:spPr/>
      <dgm:t>
        <a:bodyPr/>
        <a:lstStyle/>
        <a:p>
          <a:r>
            <a:rPr lang="x-none" sz="1050"/>
            <a:t> S</a:t>
          </a:r>
          <a:r>
            <a:rPr lang="en-US" sz="1050"/>
            <a:t>indikalne organizacije</a:t>
          </a:r>
        </a:p>
      </dgm:t>
    </dgm:pt>
    <dgm:pt modelId="{9F8DC7BC-798D-4DCC-AB97-5546AE3297C8}" type="parTrans" cxnId="{D0EBB4E4-6151-4BED-8C9F-CA0FBC0CF8EE}">
      <dgm:prSet/>
      <dgm:spPr/>
      <dgm:t>
        <a:bodyPr/>
        <a:lstStyle/>
        <a:p>
          <a:endParaRPr lang="en-US"/>
        </a:p>
      </dgm:t>
    </dgm:pt>
    <dgm:pt modelId="{B602EF0D-EDF1-4CC1-A0B5-32D7402F55FB}" type="sibTrans" cxnId="{D0EBB4E4-6151-4BED-8C9F-CA0FBC0CF8EE}">
      <dgm:prSet/>
      <dgm:spPr/>
      <dgm:t>
        <a:bodyPr/>
        <a:lstStyle/>
        <a:p>
          <a:endParaRPr lang="en-US"/>
        </a:p>
      </dgm:t>
    </dgm:pt>
    <dgm:pt modelId="{BE647B75-1828-4D6A-AF40-F7A1EEEB12CE}">
      <dgm:prSet custT="1"/>
      <dgm:spPr/>
      <dgm:t>
        <a:bodyPr/>
        <a:lstStyle/>
        <a:p>
          <a:r>
            <a:rPr lang="x-none" sz="1050"/>
            <a:t> A</a:t>
          </a:r>
          <a:r>
            <a:rPr lang="en-US" sz="1050"/>
            <a:t>kademska zajednica</a:t>
          </a:r>
        </a:p>
      </dgm:t>
    </dgm:pt>
    <dgm:pt modelId="{2B4614F4-F2AD-45FA-AE03-8A7E5EE730D2}" type="parTrans" cxnId="{E07BC45F-D174-41B0-82F9-F19B54CB752B}">
      <dgm:prSet/>
      <dgm:spPr/>
      <dgm:t>
        <a:bodyPr/>
        <a:lstStyle/>
        <a:p>
          <a:endParaRPr lang="en-US"/>
        </a:p>
      </dgm:t>
    </dgm:pt>
    <dgm:pt modelId="{3233A706-1C2A-4023-8CA6-3FB619A2877F}" type="sibTrans" cxnId="{E07BC45F-D174-41B0-82F9-F19B54CB752B}">
      <dgm:prSet/>
      <dgm:spPr/>
      <dgm:t>
        <a:bodyPr/>
        <a:lstStyle/>
        <a:p>
          <a:endParaRPr lang="en-US"/>
        </a:p>
      </dgm:t>
    </dgm:pt>
    <dgm:pt modelId="{EF8A7FDB-8F0E-459E-AF00-55D0D4276B78}">
      <dgm:prSet custT="1"/>
      <dgm:spPr/>
      <dgm:t>
        <a:bodyPr/>
        <a:lstStyle/>
        <a:p>
          <a:r>
            <a:rPr lang="x-none" sz="1050"/>
            <a:t> M</a:t>
          </a:r>
          <a:r>
            <a:rPr lang="en-US" sz="1050"/>
            <a:t>eđunarodna javnost – EK i </a:t>
          </a:r>
          <a:r>
            <a:rPr lang="x-none" sz="1050"/>
            <a:t>druge </a:t>
          </a:r>
          <a:r>
            <a:rPr lang="en-US" sz="1050"/>
            <a:t>međunarodne organizacije</a:t>
          </a:r>
        </a:p>
      </dgm:t>
    </dgm:pt>
    <dgm:pt modelId="{3215CA31-BEA1-48AA-B0AB-22E941723DD3}" type="parTrans" cxnId="{34A930B4-56F5-4324-99D2-E4DB96B4CBAE}">
      <dgm:prSet/>
      <dgm:spPr/>
      <dgm:t>
        <a:bodyPr/>
        <a:lstStyle/>
        <a:p>
          <a:endParaRPr lang="en-US"/>
        </a:p>
      </dgm:t>
    </dgm:pt>
    <dgm:pt modelId="{10116264-27F5-4271-B463-368D2D4B11CB}" type="sibTrans" cxnId="{34A930B4-56F5-4324-99D2-E4DB96B4CBAE}">
      <dgm:prSet/>
      <dgm:spPr/>
      <dgm:t>
        <a:bodyPr/>
        <a:lstStyle/>
        <a:p>
          <a:endParaRPr lang="en-US"/>
        </a:p>
      </dgm:t>
    </dgm:pt>
    <dgm:pt modelId="{F0BD9F25-CE02-45BE-925B-719381DD350C}" type="pres">
      <dgm:prSet presAssocID="{D654F1BD-7DF0-4895-B850-728D7BF7EEAA}" presName="linearFlow" presStyleCnt="0">
        <dgm:presLayoutVars>
          <dgm:dir/>
          <dgm:animLvl val="lvl"/>
          <dgm:resizeHandles val="exact"/>
        </dgm:presLayoutVars>
      </dgm:prSet>
      <dgm:spPr/>
      <dgm:t>
        <a:bodyPr/>
        <a:lstStyle/>
        <a:p>
          <a:endParaRPr lang="en-US"/>
        </a:p>
      </dgm:t>
    </dgm:pt>
    <dgm:pt modelId="{33234327-4A33-4F21-96B5-C3C869688BC1}" type="pres">
      <dgm:prSet presAssocID="{D7CCB026-F38D-4D83-81C5-8A681256F322}" presName="composite" presStyleCnt="0"/>
      <dgm:spPr/>
    </dgm:pt>
    <dgm:pt modelId="{DCAEF857-FBAE-4BDB-B41C-6C2A2C2990AD}" type="pres">
      <dgm:prSet presAssocID="{D7CCB026-F38D-4D83-81C5-8A681256F322}" presName="parTx" presStyleLbl="node1" presStyleIdx="0" presStyleCnt="3">
        <dgm:presLayoutVars>
          <dgm:chMax val="0"/>
          <dgm:chPref val="0"/>
          <dgm:bulletEnabled val="1"/>
        </dgm:presLayoutVars>
      </dgm:prSet>
      <dgm:spPr/>
      <dgm:t>
        <a:bodyPr/>
        <a:lstStyle/>
        <a:p>
          <a:endParaRPr lang="en-US"/>
        </a:p>
      </dgm:t>
    </dgm:pt>
    <dgm:pt modelId="{AD11FE0F-D4CB-489E-BC76-82C8AFC426EA}" type="pres">
      <dgm:prSet presAssocID="{D7CCB026-F38D-4D83-81C5-8A681256F322}" presName="parSh" presStyleLbl="node1" presStyleIdx="0" presStyleCnt="3" custLinFactY="-51081" custLinFactNeighborY="-100000"/>
      <dgm:spPr/>
      <dgm:t>
        <a:bodyPr/>
        <a:lstStyle/>
        <a:p>
          <a:endParaRPr lang="en-US"/>
        </a:p>
      </dgm:t>
    </dgm:pt>
    <dgm:pt modelId="{D74CBA0B-2DF5-4F7F-97EC-6EF52FB26594}" type="pres">
      <dgm:prSet presAssocID="{D7CCB026-F38D-4D83-81C5-8A681256F322}" presName="desTx" presStyleLbl="fgAcc1" presStyleIdx="0" presStyleCnt="3" custScaleX="153791" custScaleY="95978" custLinFactNeighborY="-8242">
        <dgm:presLayoutVars>
          <dgm:bulletEnabled val="1"/>
        </dgm:presLayoutVars>
      </dgm:prSet>
      <dgm:spPr/>
      <dgm:t>
        <a:bodyPr/>
        <a:lstStyle/>
        <a:p>
          <a:endParaRPr lang="en-US"/>
        </a:p>
      </dgm:t>
    </dgm:pt>
    <dgm:pt modelId="{5AD82761-EEA1-4174-A381-36EE93141383}" type="pres">
      <dgm:prSet presAssocID="{30C382CD-AABB-45A5-A265-3E18A71300F1}" presName="sibTrans" presStyleLbl="sibTrans2D1" presStyleIdx="0" presStyleCnt="2" custLinFactNeighborY="14620"/>
      <dgm:spPr/>
      <dgm:t>
        <a:bodyPr/>
        <a:lstStyle/>
        <a:p>
          <a:endParaRPr lang="en-US"/>
        </a:p>
      </dgm:t>
    </dgm:pt>
    <dgm:pt modelId="{B567206B-A53C-44D8-9C4F-D1E8A3B8C15B}" type="pres">
      <dgm:prSet presAssocID="{30C382CD-AABB-45A5-A265-3E18A71300F1}" presName="connTx" presStyleLbl="sibTrans2D1" presStyleIdx="0" presStyleCnt="2"/>
      <dgm:spPr/>
      <dgm:t>
        <a:bodyPr/>
        <a:lstStyle/>
        <a:p>
          <a:endParaRPr lang="en-US"/>
        </a:p>
      </dgm:t>
    </dgm:pt>
    <dgm:pt modelId="{46939B24-8685-4526-A413-F9E975E0D624}" type="pres">
      <dgm:prSet presAssocID="{9AFDC2E9-816C-4316-8728-7E0245F3228E}" presName="composite" presStyleCnt="0"/>
      <dgm:spPr/>
    </dgm:pt>
    <dgm:pt modelId="{7B55751D-9B45-4D53-997A-03E526E4FEFA}" type="pres">
      <dgm:prSet presAssocID="{9AFDC2E9-816C-4316-8728-7E0245F3228E}" presName="parTx" presStyleLbl="node1" presStyleIdx="0" presStyleCnt="3">
        <dgm:presLayoutVars>
          <dgm:chMax val="0"/>
          <dgm:chPref val="0"/>
          <dgm:bulletEnabled val="1"/>
        </dgm:presLayoutVars>
      </dgm:prSet>
      <dgm:spPr/>
      <dgm:t>
        <a:bodyPr/>
        <a:lstStyle/>
        <a:p>
          <a:endParaRPr lang="en-US"/>
        </a:p>
      </dgm:t>
    </dgm:pt>
    <dgm:pt modelId="{A1BA4A36-98AE-40C3-9EAE-7BED2DD1E976}" type="pres">
      <dgm:prSet presAssocID="{9AFDC2E9-816C-4316-8728-7E0245F3228E}" presName="parSh" presStyleLbl="node1" presStyleIdx="1" presStyleCnt="3" custLinFactY="-51081" custLinFactNeighborY="-100000"/>
      <dgm:spPr/>
      <dgm:t>
        <a:bodyPr/>
        <a:lstStyle/>
        <a:p>
          <a:endParaRPr lang="en-US"/>
        </a:p>
      </dgm:t>
    </dgm:pt>
    <dgm:pt modelId="{B03A8296-1AFD-4155-8979-628BFFDD7B2E}" type="pres">
      <dgm:prSet presAssocID="{9AFDC2E9-816C-4316-8728-7E0245F3228E}" presName="desTx" presStyleLbl="fgAcc1" presStyleIdx="1" presStyleCnt="3" custScaleX="198820" custScaleY="97312" custLinFactNeighborY="-4202">
        <dgm:presLayoutVars>
          <dgm:bulletEnabled val="1"/>
        </dgm:presLayoutVars>
      </dgm:prSet>
      <dgm:spPr/>
      <dgm:t>
        <a:bodyPr/>
        <a:lstStyle/>
        <a:p>
          <a:endParaRPr lang="en-US"/>
        </a:p>
      </dgm:t>
    </dgm:pt>
    <dgm:pt modelId="{C565133D-A4AC-440F-B679-26D12655981E}" type="pres">
      <dgm:prSet presAssocID="{E630108D-B0CF-4456-96D2-50A39834C259}" presName="sibTrans" presStyleLbl="sibTrans2D1" presStyleIdx="1" presStyleCnt="2" custLinFactNeighborY="14620"/>
      <dgm:spPr/>
      <dgm:t>
        <a:bodyPr/>
        <a:lstStyle/>
        <a:p>
          <a:endParaRPr lang="en-US"/>
        </a:p>
      </dgm:t>
    </dgm:pt>
    <dgm:pt modelId="{2DABACE0-1D0A-4F73-BDF6-4354A9AA8864}" type="pres">
      <dgm:prSet presAssocID="{E630108D-B0CF-4456-96D2-50A39834C259}" presName="connTx" presStyleLbl="sibTrans2D1" presStyleIdx="1" presStyleCnt="2"/>
      <dgm:spPr/>
      <dgm:t>
        <a:bodyPr/>
        <a:lstStyle/>
        <a:p>
          <a:endParaRPr lang="en-US"/>
        </a:p>
      </dgm:t>
    </dgm:pt>
    <dgm:pt modelId="{3FA8EC8D-8494-4558-9632-1985494AEC63}" type="pres">
      <dgm:prSet presAssocID="{6CDDD4D6-2390-49E3-A7DC-A4270ECD3B92}" presName="composite" presStyleCnt="0"/>
      <dgm:spPr/>
    </dgm:pt>
    <dgm:pt modelId="{D6286E62-77A1-416E-BC4C-EBB0E36DB928}" type="pres">
      <dgm:prSet presAssocID="{6CDDD4D6-2390-49E3-A7DC-A4270ECD3B92}" presName="parTx" presStyleLbl="node1" presStyleIdx="1" presStyleCnt="3">
        <dgm:presLayoutVars>
          <dgm:chMax val="0"/>
          <dgm:chPref val="0"/>
          <dgm:bulletEnabled val="1"/>
        </dgm:presLayoutVars>
      </dgm:prSet>
      <dgm:spPr/>
      <dgm:t>
        <a:bodyPr/>
        <a:lstStyle/>
        <a:p>
          <a:endParaRPr lang="en-US"/>
        </a:p>
      </dgm:t>
    </dgm:pt>
    <dgm:pt modelId="{29E7EC1B-4BA3-4487-8F91-782E43872A96}" type="pres">
      <dgm:prSet presAssocID="{6CDDD4D6-2390-49E3-A7DC-A4270ECD3B92}" presName="parSh" presStyleLbl="node1" presStyleIdx="2" presStyleCnt="3" custLinFactY="-51081" custLinFactNeighborY="-100000"/>
      <dgm:spPr/>
      <dgm:t>
        <a:bodyPr/>
        <a:lstStyle/>
        <a:p>
          <a:endParaRPr lang="en-US"/>
        </a:p>
      </dgm:t>
    </dgm:pt>
    <dgm:pt modelId="{6503F3E1-D528-4C5A-BBD3-64FF6142295C}" type="pres">
      <dgm:prSet presAssocID="{6CDDD4D6-2390-49E3-A7DC-A4270ECD3B92}" presName="desTx" presStyleLbl="fgAcc1" presStyleIdx="2" presStyleCnt="3" custScaleX="153791" custLinFactNeighborY="-4335">
        <dgm:presLayoutVars>
          <dgm:bulletEnabled val="1"/>
        </dgm:presLayoutVars>
      </dgm:prSet>
      <dgm:spPr/>
      <dgm:t>
        <a:bodyPr/>
        <a:lstStyle/>
        <a:p>
          <a:endParaRPr lang="en-US"/>
        </a:p>
      </dgm:t>
    </dgm:pt>
  </dgm:ptLst>
  <dgm:cxnLst>
    <dgm:cxn modelId="{4A8510A1-C28A-4346-A042-DFF803956441}" srcId="{6CDDD4D6-2390-49E3-A7DC-A4270ECD3B92}" destId="{0E749F9C-C242-4DCB-820D-DEE4A1BDB801}" srcOrd="7" destOrd="0" parTransId="{7786A17D-0FFD-466E-9178-75DAD5CED4FD}" sibTransId="{7D543AE4-B31D-4B74-9D11-ADBC86B9F0BE}"/>
    <dgm:cxn modelId="{41F8589A-8B81-4C5E-9C40-F68B3E358D49}" srcId="{6CDDD4D6-2390-49E3-A7DC-A4270ECD3B92}" destId="{A9B517F1-4720-449F-A13F-9E7C8EFF481E}" srcOrd="0" destOrd="0" parTransId="{4798883B-A189-4DF7-9B5E-95A5CEA0E818}" sibTransId="{604D2A0D-48B2-4D45-87D2-379D438C0265}"/>
    <dgm:cxn modelId="{7C4138DC-9C6F-4CB9-B54E-C18159938751}" srcId="{9AFDC2E9-816C-4316-8728-7E0245F3228E}" destId="{C51EB1D4-309D-4D6D-971F-D6BF33C8C0E5}" srcOrd="1" destOrd="0" parTransId="{B8FD09C1-71FC-493A-9A4E-2C6FC5DB37E8}" sibTransId="{BEC48233-DC7B-4CF8-AE79-D3CB511B6345}"/>
    <dgm:cxn modelId="{D0EBB4E4-6151-4BED-8C9F-CA0FBC0CF8EE}" srcId="{6CDDD4D6-2390-49E3-A7DC-A4270ECD3B92}" destId="{9A98EE12-6ADD-4730-A0BD-CF35D2C82199}" srcOrd="4" destOrd="0" parTransId="{9F8DC7BC-798D-4DCC-AB97-5546AE3297C8}" sibTransId="{B602EF0D-EDF1-4CC1-A0B5-32D7402F55FB}"/>
    <dgm:cxn modelId="{F5BB03E8-95E6-4203-BC66-2D44568C73E6}" type="presOf" srcId="{BE647B75-1828-4D6A-AF40-F7A1EEEB12CE}" destId="{6503F3E1-D528-4C5A-BBD3-64FF6142295C}" srcOrd="0" destOrd="5" presId="urn:microsoft.com/office/officeart/2005/8/layout/process3"/>
    <dgm:cxn modelId="{F61C31EC-3DC1-46D6-812A-064F90CD1CA0}" type="presOf" srcId="{D7CCB026-F38D-4D83-81C5-8A681256F322}" destId="{DCAEF857-FBAE-4BDB-B41C-6C2A2C2990AD}" srcOrd="0" destOrd="0" presId="urn:microsoft.com/office/officeart/2005/8/layout/process3"/>
    <dgm:cxn modelId="{E2137230-AD7C-4E7D-9A9C-52BC8BAFB15A}" srcId="{D654F1BD-7DF0-4895-B850-728D7BF7EEAA}" destId="{6CDDD4D6-2390-49E3-A7DC-A4270ECD3B92}" srcOrd="2" destOrd="0" parTransId="{E6116249-B109-4D7E-BAFE-F13A757A4CFA}" sibTransId="{CDF428E9-15FD-482F-83F8-B12637CD6508}"/>
    <dgm:cxn modelId="{1CD57020-A8CD-409C-94E1-A0EE4C6A458B}" srcId="{9AFDC2E9-816C-4316-8728-7E0245F3228E}" destId="{D8A232D0-060D-4485-8EBF-F4A7A9A5935D}" srcOrd="0" destOrd="0" parTransId="{32624D46-A2A1-4917-BF2F-098555C1E344}" sibTransId="{72889B70-D65B-42D8-8536-68F3A3CB106F}"/>
    <dgm:cxn modelId="{2D3D4A01-88EB-4555-BFEA-4D653E8E9B6E}" srcId="{D7CCB026-F38D-4D83-81C5-8A681256F322}" destId="{708DB725-467B-4AC5-91DE-C0D836AE284B}" srcOrd="0" destOrd="0" parTransId="{26A32D20-39A2-42D5-B798-D0A9043A41AA}" sibTransId="{76AA9D32-98C9-440C-93AA-4711BC509070}"/>
    <dgm:cxn modelId="{B32917A3-289D-499D-A7A7-93C20CCF6CAE}" type="presOf" srcId="{C8FDB4AC-E223-438A-816A-DADD301B4F1B}" destId="{6503F3E1-D528-4C5A-BBD3-64FF6142295C}" srcOrd="0" destOrd="2" presId="urn:microsoft.com/office/officeart/2005/8/layout/process3"/>
    <dgm:cxn modelId="{DD8ACDBE-2475-4E79-8048-D7A18A281172}" srcId="{6CDDD4D6-2390-49E3-A7DC-A4270ECD3B92}" destId="{2446372A-2591-4801-8DB2-CC82B38D1AB8}" srcOrd="3" destOrd="0" parTransId="{853023D2-E490-48E8-9FCC-65B2BC943B00}" sibTransId="{6A146B53-31BB-4E9A-8FFD-3F76B3B07245}"/>
    <dgm:cxn modelId="{34A930B4-56F5-4324-99D2-E4DB96B4CBAE}" srcId="{6CDDD4D6-2390-49E3-A7DC-A4270ECD3B92}" destId="{EF8A7FDB-8F0E-459E-AF00-55D0D4276B78}" srcOrd="6" destOrd="0" parTransId="{3215CA31-BEA1-48AA-B0AB-22E941723DD3}" sibTransId="{10116264-27F5-4271-B463-368D2D4B11CB}"/>
    <dgm:cxn modelId="{E07BC45F-D174-41B0-82F9-F19B54CB752B}" srcId="{6CDDD4D6-2390-49E3-A7DC-A4270ECD3B92}" destId="{BE647B75-1828-4D6A-AF40-F7A1EEEB12CE}" srcOrd="5" destOrd="0" parTransId="{2B4614F4-F2AD-45FA-AE03-8A7E5EE730D2}" sibTransId="{3233A706-1C2A-4023-8CA6-3FB619A2877F}"/>
    <dgm:cxn modelId="{C5A363F6-8E13-4068-958A-43805D78D12D}" srcId="{D654F1BD-7DF0-4895-B850-728D7BF7EEAA}" destId="{9AFDC2E9-816C-4316-8728-7E0245F3228E}" srcOrd="1" destOrd="0" parTransId="{898E79F5-D469-461A-AE36-516EA69CD4D0}" sibTransId="{E630108D-B0CF-4456-96D2-50A39834C259}"/>
    <dgm:cxn modelId="{1904B004-3AF6-4DD9-B65B-5C9A5D49FF81}" type="presOf" srcId="{D2220743-0F3F-4BB5-A3CF-2219A494D2AE}" destId="{B03A8296-1AFD-4155-8979-628BFFDD7B2E}" srcOrd="0" destOrd="2" presId="urn:microsoft.com/office/officeart/2005/8/layout/process3"/>
    <dgm:cxn modelId="{789C1EB0-4DAF-4ABE-AE42-F7C5AD209EE8}" srcId="{D654F1BD-7DF0-4895-B850-728D7BF7EEAA}" destId="{D7CCB026-F38D-4D83-81C5-8A681256F322}" srcOrd="0" destOrd="0" parTransId="{E243B5FE-8230-4B5C-BB87-5649D7EBD4C0}" sibTransId="{30C382CD-AABB-45A5-A265-3E18A71300F1}"/>
    <dgm:cxn modelId="{30E2C5A1-81AE-49CF-82C6-63FD52687818}" type="presOf" srcId="{EF8A7FDB-8F0E-459E-AF00-55D0D4276B78}" destId="{6503F3E1-D528-4C5A-BBD3-64FF6142295C}" srcOrd="0" destOrd="6" presId="urn:microsoft.com/office/officeart/2005/8/layout/process3"/>
    <dgm:cxn modelId="{529452AF-29A4-46C8-BD99-FBE56FBB447C}" type="presOf" srcId="{D654F1BD-7DF0-4895-B850-728D7BF7EEAA}" destId="{F0BD9F25-CE02-45BE-925B-719381DD350C}" srcOrd="0" destOrd="0" presId="urn:microsoft.com/office/officeart/2005/8/layout/process3"/>
    <dgm:cxn modelId="{43E8BDF1-9C2D-4E40-9BC6-0AB7BD5C7E3D}" type="presOf" srcId="{708DB725-467B-4AC5-91DE-C0D836AE284B}" destId="{D74CBA0B-2DF5-4F7F-97EC-6EF52FB26594}" srcOrd="0" destOrd="0" presId="urn:microsoft.com/office/officeart/2005/8/layout/process3"/>
    <dgm:cxn modelId="{8967F462-C4DD-4695-900E-372C9A05825B}" type="presOf" srcId="{2446372A-2591-4801-8DB2-CC82B38D1AB8}" destId="{6503F3E1-D528-4C5A-BBD3-64FF6142295C}" srcOrd="0" destOrd="3" presId="urn:microsoft.com/office/officeart/2005/8/layout/process3"/>
    <dgm:cxn modelId="{B3D8BCED-8ED1-4D59-A33F-600BD783BE12}" srcId="{9AFDC2E9-816C-4316-8728-7E0245F3228E}" destId="{D2220743-0F3F-4BB5-A3CF-2219A494D2AE}" srcOrd="2" destOrd="0" parTransId="{D20798F3-B4D3-4CBA-90AB-FDBF2580ABCF}" sibTransId="{C9E689AF-6F4F-4241-B75A-0DF3CF810E62}"/>
    <dgm:cxn modelId="{4D33D87B-AB0A-42FD-B332-6B44902EBEE2}" type="presOf" srcId="{9AFDC2E9-816C-4316-8728-7E0245F3228E}" destId="{7B55751D-9B45-4D53-997A-03E526E4FEFA}" srcOrd="0" destOrd="0" presId="urn:microsoft.com/office/officeart/2005/8/layout/process3"/>
    <dgm:cxn modelId="{14B3C256-2CF9-46C7-84CF-0C947AF44D31}" type="presOf" srcId="{E630108D-B0CF-4456-96D2-50A39834C259}" destId="{2DABACE0-1D0A-4F73-BDF6-4354A9AA8864}" srcOrd="1" destOrd="0" presId="urn:microsoft.com/office/officeart/2005/8/layout/process3"/>
    <dgm:cxn modelId="{11337109-A284-4D2F-B29D-E6B06E46DAFF}" srcId="{6CDDD4D6-2390-49E3-A7DC-A4270ECD3B92}" destId="{651B424E-C65B-464D-BD3D-3129B35596E9}" srcOrd="1" destOrd="0" parTransId="{3A353787-8A45-4F2A-976C-FA7BC0C291C6}" sibTransId="{06CB84DA-404D-4AA5-8C1F-1BF917584B94}"/>
    <dgm:cxn modelId="{7C039D9B-74BB-4CC3-8B44-EFAB17FA9ED9}" type="presOf" srcId="{6CDDD4D6-2390-49E3-A7DC-A4270ECD3B92}" destId="{D6286E62-77A1-416E-BC4C-EBB0E36DB928}" srcOrd="0" destOrd="0" presId="urn:microsoft.com/office/officeart/2005/8/layout/process3"/>
    <dgm:cxn modelId="{8ACA21AE-D86B-40ED-BD79-339F6B004A74}" type="presOf" srcId="{A9B517F1-4720-449F-A13F-9E7C8EFF481E}" destId="{6503F3E1-D528-4C5A-BBD3-64FF6142295C}" srcOrd="0" destOrd="0" presId="urn:microsoft.com/office/officeart/2005/8/layout/process3"/>
    <dgm:cxn modelId="{69D50733-562E-4FE2-9F3C-5ED55ABF1534}" type="presOf" srcId="{D8A232D0-060D-4485-8EBF-F4A7A9A5935D}" destId="{B03A8296-1AFD-4155-8979-628BFFDD7B2E}" srcOrd="0" destOrd="0" presId="urn:microsoft.com/office/officeart/2005/8/layout/process3"/>
    <dgm:cxn modelId="{DB34C0F0-DDD8-40F6-94D1-090D55AE994E}" type="presOf" srcId="{651B424E-C65B-464D-BD3D-3129B35596E9}" destId="{6503F3E1-D528-4C5A-BBD3-64FF6142295C}" srcOrd="0" destOrd="1" presId="urn:microsoft.com/office/officeart/2005/8/layout/process3"/>
    <dgm:cxn modelId="{283525AE-4E43-41A4-B587-EF9E3207A3F6}" type="presOf" srcId="{6CDDD4D6-2390-49E3-A7DC-A4270ECD3B92}" destId="{29E7EC1B-4BA3-4487-8F91-782E43872A96}" srcOrd="1" destOrd="0" presId="urn:microsoft.com/office/officeart/2005/8/layout/process3"/>
    <dgm:cxn modelId="{078AFDD7-8200-47B8-906C-A0BEC70188D8}" type="presOf" srcId="{E630108D-B0CF-4456-96D2-50A39834C259}" destId="{C565133D-A4AC-440F-B679-26D12655981E}" srcOrd="0" destOrd="0" presId="urn:microsoft.com/office/officeart/2005/8/layout/process3"/>
    <dgm:cxn modelId="{74388B23-433E-4AF7-AFF4-CDFCF5C2F6F6}" type="presOf" srcId="{30C382CD-AABB-45A5-A265-3E18A71300F1}" destId="{B567206B-A53C-44D8-9C4F-D1E8A3B8C15B}" srcOrd="1" destOrd="0" presId="urn:microsoft.com/office/officeart/2005/8/layout/process3"/>
    <dgm:cxn modelId="{3E8ADC07-7F6F-46B0-8AB8-73BF9C966334}" srcId="{6CDDD4D6-2390-49E3-A7DC-A4270ECD3B92}" destId="{C8FDB4AC-E223-438A-816A-DADD301B4F1B}" srcOrd="2" destOrd="0" parTransId="{94EFD2B2-B130-4730-931A-BA8E1F2783BF}" sibTransId="{A0BFD0B1-FA12-4BC1-A8DB-86FEE763DDA5}"/>
    <dgm:cxn modelId="{751C7980-02BC-4FF2-8A28-ACA5FA309984}" type="presOf" srcId="{C51EB1D4-309D-4D6D-971F-D6BF33C8C0E5}" destId="{B03A8296-1AFD-4155-8979-628BFFDD7B2E}" srcOrd="0" destOrd="1" presId="urn:microsoft.com/office/officeart/2005/8/layout/process3"/>
    <dgm:cxn modelId="{B7CA9E54-C4F9-4F93-9EEF-0ED2C69F2741}" type="presOf" srcId="{0E749F9C-C242-4DCB-820D-DEE4A1BDB801}" destId="{6503F3E1-D528-4C5A-BBD3-64FF6142295C}" srcOrd="0" destOrd="7" presId="urn:microsoft.com/office/officeart/2005/8/layout/process3"/>
    <dgm:cxn modelId="{DC57F6B3-0EE8-44B5-BCAB-6454DC2C7C9F}" type="presOf" srcId="{30C382CD-AABB-45A5-A265-3E18A71300F1}" destId="{5AD82761-EEA1-4174-A381-36EE93141383}" srcOrd="0" destOrd="0" presId="urn:microsoft.com/office/officeart/2005/8/layout/process3"/>
    <dgm:cxn modelId="{32465FFF-853B-4E93-BA92-5A02C1B0A5E5}" type="presOf" srcId="{D7CCB026-F38D-4D83-81C5-8A681256F322}" destId="{AD11FE0F-D4CB-489E-BC76-82C8AFC426EA}" srcOrd="1" destOrd="0" presId="urn:microsoft.com/office/officeart/2005/8/layout/process3"/>
    <dgm:cxn modelId="{9600CBF6-29FA-420C-929D-359F7DF66518}" type="presOf" srcId="{9A98EE12-6ADD-4730-A0BD-CF35D2C82199}" destId="{6503F3E1-D528-4C5A-BBD3-64FF6142295C}" srcOrd="0" destOrd="4" presId="urn:microsoft.com/office/officeart/2005/8/layout/process3"/>
    <dgm:cxn modelId="{E57BB288-3E50-48BC-9B9E-434B9759EA33}" type="presOf" srcId="{9AFDC2E9-816C-4316-8728-7E0245F3228E}" destId="{A1BA4A36-98AE-40C3-9EAE-7BED2DD1E976}" srcOrd="1" destOrd="0" presId="urn:microsoft.com/office/officeart/2005/8/layout/process3"/>
    <dgm:cxn modelId="{3FC4A050-2105-46D0-B622-00F9CC303982}" type="presParOf" srcId="{F0BD9F25-CE02-45BE-925B-719381DD350C}" destId="{33234327-4A33-4F21-96B5-C3C869688BC1}" srcOrd="0" destOrd="0" presId="urn:microsoft.com/office/officeart/2005/8/layout/process3"/>
    <dgm:cxn modelId="{7A39AE6D-A989-4025-9D2F-28074EF95070}" type="presParOf" srcId="{33234327-4A33-4F21-96B5-C3C869688BC1}" destId="{DCAEF857-FBAE-4BDB-B41C-6C2A2C2990AD}" srcOrd="0" destOrd="0" presId="urn:microsoft.com/office/officeart/2005/8/layout/process3"/>
    <dgm:cxn modelId="{6DAAE839-D620-4BC3-AA0C-90E4B127C4F1}" type="presParOf" srcId="{33234327-4A33-4F21-96B5-C3C869688BC1}" destId="{AD11FE0F-D4CB-489E-BC76-82C8AFC426EA}" srcOrd="1" destOrd="0" presId="urn:microsoft.com/office/officeart/2005/8/layout/process3"/>
    <dgm:cxn modelId="{B65C1F95-14FA-40A6-B959-AEE226309052}" type="presParOf" srcId="{33234327-4A33-4F21-96B5-C3C869688BC1}" destId="{D74CBA0B-2DF5-4F7F-97EC-6EF52FB26594}" srcOrd="2" destOrd="0" presId="urn:microsoft.com/office/officeart/2005/8/layout/process3"/>
    <dgm:cxn modelId="{047432AB-B4D8-4F6B-8876-D969C4E51EF7}" type="presParOf" srcId="{F0BD9F25-CE02-45BE-925B-719381DD350C}" destId="{5AD82761-EEA1-4174-A381-36EE93141383}" srcOrd="1" destOrd="0" presId="urn:microsoft.com/office/officeart/2005/8/layout/process3"/>
    <dgm:cxn modelId="{6A381750-13C7-4427-85A8-38A3C1F4E82C}" type="presParOf" srcId="{5AD82761-EEA1-4174-A381-36EE93141383}" destId="{B567206B-A53C-44D8-9C4F-D1E8A3B8C15B}" srcOrd="0" destOrd="0" presId="urn:microsoft.com/office/officeart/2005/8/layout/process3"/>
    <dgm:cxn modelId="{BEA98F13-C7E4-4473-B38F-B2A147A0F641}" type="presParOf" srcId="{F0BD9F25-CE02-45BE-925B-719381DD350C}" destId="{46939B24-8685-4526-A413-F9E975E0D624}" srcOrd="2" destOrd="0" presId="urn:microsoft.com/office/officeart/2005/8/layout/process3"/>
    <dgm:cxn modelId="{177B097C-E4F3-4FC6-B39F-E27DD151F652}" type="presParOf" srcId="{46939B24-8685-4526-A413-F9E975E0D624}" destId="{7B55751D-9B45-4D53-997A-03E526E4FEFA}" srcOrd="0" destOrd="0" presId="urn:microsoft.com/office/officeart/2005/8/layout/process3"/>
    <dgm:cxn modelId="{55381A1C-6CD0-4E8E-9680-C4E90A090FA3}" type="presParOf" srcId="{46939B24-8685-4526-A413-F9E975E0D624}" destId="{A1BA4A36-98AE-40C3-9EAE-7BED2DD1E976}" srcOrd="1" destOrd="0" presId="urn:microsoft.com/office/officeart/2005/8/layout/process3"/>
    <dgm:cxn modelId="{A0FCEBD6-9DCD-4BD2-8850-1843E62DC789}" type="presParOf" srcId="{46939B24-8685-4526-A413-F9E975E0D624}" destId="{B03A8296-1AFD-4155-8979-628BFFDD7B2E}" srcOrd="2" destOrd="0" presId="urn:microsoft.com/office/officeart/2005/8/layout/process3"/>
    <dgm:cxn modelId="{07C3B21A-F78D-449E-92D7-32E2BA687D7C}" type="presParOf" srcId="{F0BD9F25-CE02-45BE-925B-719381DD350C}" destId="{C565133D-A4AC-440F-B679-26D12655981E}" srcOrd="3" destOrd="0" presId="urn:microsoft.com/office/officeart/2005/8/layout/process3"/>
    <dgm:cxn modelId="{E351B23B-1371-4DA0-BC52-2133B9D0772C}" type="presParOf" srcId="{C565133D-A4AC-440F-B679-26D12655981E}" destId="{2DABACE0-1D0A-4F73-BDF6-4354A9AA8864}" srcOrd="0" destOrd="0" presId="urn:microsoft.com/office/officeart/2005/8/layout/process3"/>
    <dgm:cxn modelId="{80B47183-E000-4E37-9D3D-14D6957874AA}" type="presParOf" srcId="{F0BD9F25-CE02-45BE-925B-719381DD350C}" destId="{3FA8EC8D-8494-4558-9632-1985494AEC63}" srcOrd="4" destOrd="0" presId="urn:microsoft.com/office/officeart/2005/8/layout/process3"/>
    <dgm:cxn modelId="{A5A000CA-BD40-4884-A48E-2A2105183326}" type="presParOf" srcId="{3FA8EC8D-8494-4558-9632-1985494AEC63}" destId="{D6286E62-77A1-416E-BC4C-EBB0E36DB928}" srcOrd="0" destOrd="0" presId="urn:microsoft.com/office/officeart/2005/8/layout/process3"/>
    <dgm:cxn modelId="{E4347B49-CBB7-4255-BC6C-5F94BA1D13B0}" type="presParOf" srcId="{3FA8EC8D-8494-4558-9632-1985494AEC63}" destId="{29E7EC1B-4BA3-4487-8F91-782E43872A96}" srcOrd="1" destOrd="0" presId="urn:microsoft.com/office/officeart/2005/8/layout/process3"/>
    <dgm:cxn modelId="{3D6D1958-063A-42D3-B057-9125C7C4A241}" type="presParOf" srcId="{3FA8EC8D-8494-4558-9632-1985494AEC63}" destId="{6503F3E1-D528-4C5A-BBD3-64FF6142295C}" srcOrd="2" destOrd="0" presId="urn:microsoft.com/office/officeart/2005/8/layout/process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3203976-60AA-4AE8-9EC7-11DC47F35134}" type="doc">
      <dgm:prSet loTypeId="urn:microsoft.com/office/officeart/2005/8/layout/hList6" loCatId="list" qsTypeId="urn:microsoft.com/office/officeart/2005/8/quickstyle/simple1" qsCatId="simple" csTypeId="urn:microsoft.com/office/officeart/2005/8/colors/colorful4" csCatId="colorful" phldr="1"/>
      <dgm:spPr/>
      <dgm:t>
        <a:bodyPr/>
        <a:lstStyle/>
        <a:p>
          <a:endParaRPr lang="en-US"/>
        </a:p>
      </dgm:t>
    </dgm:pt>
    <dgm:pt modelId="{3F96D11D-CDE3-4DF5-8309-145D67C023EB}">
      <dgm:prSet phldrT="[Text]"/>
      <dgm:spPr/>
      <dgm:t>
        <a:bodyPr/>
        <a:lstStyle/>
        <a:p>
          <a:r>
            <a:rPr lang="en-US"/>
            <a:t>ORGANIZACIJA I RAD JAVNE UPRAVE U FUNKCIJI POTREBA GRAĐANA</a:t>
          </a:r>
        </a:p>
      </dgm:t>
    </dgm:pt>
    <dgm:pt modelId="{E8A843C0-A085-4117-AF7C-797BE156D62E}" type="parTrans" cxnId="{6AF6DE9A-2FCA-4D82-AD2B-D807C9CC5AFD}">
      <dgm:prSet/>
      <dgm:spPr/>
      <dgm:t>
        <a:bodyPr/>
        <a:lstStyle/>
        <a:p>
          <a:endParaRPr lang="en-US"/>
        </a:p>
      </dgm:t>
    </dgm:pt>
    <dgm:pt modelId="{696FDD59-9791-4C88-9DC4-593E7D1A928E}" type="sibTrans" cxnId="{6AF6DE9A-2FCA-4D82-AD2B-D807C9CC5AFD}">
      <dgm:prSet/>
      <dgm:spPr/>
      <dgm:t>
        <a:bodyPr/>
        <a:lstStyle/>
        <a:p>
          <a:endParaRPr lang="en-US"/>
        </a:p>
      </dgm:t>
    </dgm:pt>
    <dgm:pt modelId="{1F88C872-ABB0-44EA-8EF8-B4BB500FB672}">
      <dgm:prSet/>
      <dgm:spPr/>
      <dgm:t>
        <a:bodyPr/>
        <a:lstStyle/>
        <a:p>
          <a:r>
            <a:rPr lang="en-US"/>
            <a:t>PROFESIONALNA JAVNA ADMINISTRACIJA</a:t>
          </a:r>
        </a:p>
      </dgm:t>
    </dgm:pt>
    <dgm:pt modelId="{85170D7B-E05B-47EC-BA01-9634DCDFF3C1}" type="parTrans" cxnId="{5241E6B9-78D1-4D88-954B-C6E02055BD91}">
      <dgm:prSet/>
      <dgm:spPr/>
      <dgm:t>
        <a:bodyPr/>
        <a:lstStyle/>
        <a:p>
          <a:endParaRPr lang="en-US"/>
        </a:p>
      </dgm:t>
    </dgm:pt>
    <dgm:pt modelId="{9CEC9A27-A64D-485A-AF73-21847ACB42CC}" type="sibTrans" cxnId="{5241E6B9-78D1-4D88-954B-C6E02055BD91}">
      <dgm:prSet/>
      <dgm:spPr/>
      <dgm:t>
        <a:bodyPr/>
        <a:lstStyle/>
        <a:p>
          <a:endParaRPr lang="en-US"/>
        </a:p>
      </dgm:t>
    </dgm:pt>
    <dgm:pt modelId="{514E777E-1A0D-43F7-BAA7-E1850759F343}">
      <dgm:prSet/>
      <dgm:spPr/>
      <dgm:t>
        <a:bodyPr/>
        <a:lstStyle/>
        <a:p>
          <a:r>
            <a:rPr lang="en-US"/>
            <a:t>TRANSPARENTNA I OTVORENA JAVNA UPRAVA</a:t>
          </a:r>
        </a:p>
      </dgm:t>
    </dgm:pt>
    <dgm:pt modelId="{0368FA7D-1F68-415D-9EA1-60263BAC96C7}" type="parTrans" cxnId="{5C4193FB-7B1F-44D7-8D76-4B7D92B594C4}">
      <dgm:prSet/>
      <dgm:spPr/>
      <dgm:t>
        <a:bodyPr/>
        <a:lstStyle/>
        <a:p>
          <a:endParaRPr lang="en-US"/>
        </a:p>
      </dgm:t>
    </dgm:pt>
    <dgm:pt modelId="{CF370D5A-2787-497F-A7EA-B74C0AE3EB3C}" type="sibTrans" cxnId="{5C4193FB-7B1F-44D7-8D76-4B7D92B594C4}">
      <dgm:prSet/>
      <dgm:spPr/>
      <dgm:t>
        <a:bodyPr/>
        <a:lstStyle/>
        <a:p>
          <a:endParaRPr lang="en-US"/>
        </a:p>
      </dgm:t>
    </dgm:pt>
    <dgm:pt modelId="{2348FA3F-3CCE-4469-BE92-FE0C0867E85C}">
      <dgm:prSet/>
      <dgm:spPr/>
      <dgm:t>
        <a:bodyPr/>
        <a:lstStyle/>
        <a:p>
          <a:r>
            <a:rPr lang="en-US"/>
            <a:t>PLANIRANJE POLITIKA SA GRAĐANIMA I ZA GRAĐANE</a:t>
          </a:r>
        </a:p>
      </dgm:t>
    </dgm:pt>
    <dgm:pt modelId="{C711A5B8-3B27-4477-AD86-4485C7CF72DD}" type="parTrans" cxnId="{469F9843-3574-4A5C-A461-EFDD0952AD9F}">
      <dgm:prSet/>
      <dgm:spPr/>
      <dgm:t>
        <a:bodyPr/>
        <a:lstStyle/>
        <a:p>
          <a:endParaRPr lang="en-US"/>
        </a:p>
      </dgm:t>
    </dgm:pt>
    <dgm:pt modelId="{DB4B1765-93B7-4288-9272-F60634D7C066}" type="sibTrans" cxnId="{469F9843-3574-4A5C-A461-EFDD0952AD9F}">
      <dgm:prSet/>
      <dgm:spPr/>
      <dgm:t>
        <a:bodyPr/>
        <a:lstStyle/>
        <a:p>
          <a:endParaRPr lang="en-US"/>
        </a:p>
      </dgm:t>
    </dgm:pt>
    <dgm:pt modelId="{EA369D5E-9A16-4E7E-82DD-45A76F23E15E}">
      <dgm:prSet/>
      <dgm:spPr/>
      <dgm:t>
        <a:bodyPr/>
        <a:lstStyle/>
        <a:p>
          <a:r>
            <a:rPr lang="en-US"/>
            <a:t>GRAĐANI I PRIVREDA KORISTE KVALITET</a:t>
          </a:r>
          <a:r>
            <a:rPr lang="sr-Latn-ME"/>
            <a:t>N</a:t>
          </a:r>
          <a:r>
            <a:rPr lang="en-US"/>
            <a:t>E USLUGE JAVNE UPRAVE</a:t>
          </a:r>
        </a:p>
      </dgm:t>
    </dgm:pt>
    <dgm:pt modelId="{8427463B-170F-47A5-977E-600680397D43}" type="sibTrans" cxnId="{CB447E94-20D3-42C5-97D5-DF815730B444}">
      <dgm:prSet/>
      <dgm:spPr/>
      <dgm:t>
        <a:bodyPr/>
        <a:lstStyle/>
        <a:p>
          <a:endParaRPr lang="en-US"/>
        </a:p>
      </dgm:t>
    </dgm:pt>
    <dgm:pt modelId="{4DE46D01-3B7C-427E-B4EC-87B4FD5CCC34}" type="parTrans" cxnId="{CB447E94-20D3-42C5-97D5-DF815730B444}">
      <dgm:prSet/>
      <dgm:spPr/>
      <dgm:t>
        <a:bodyPr/>
        <a:lstStyle/>
        <a:p>
          <a:endParaRPr lang="en-US"/>
        </a:p>
      </dgm:t>
    </dgm:pt>
    <dgm:pt modelId="{4EE20CF0-4224-4CCD-94CE-2BBD3EF481FE}" type="pres">
      <dgm:prSet presAssocID="{93203976-60AA-4AE8-9EC7-11DC47F35134}" presName="Name0" presStyleCnt="0">
        <dgm:presLayoutVars>
          <dgm:dir/>
          <dgm:resizeHandles val="exact"/>
        </dgm:presLayoutVars>
      </dgm:prSet>
      <dgm:spPr/>
      <dgm:t>
        <a:bodyPr/>
        <a:lstStyle/>
        <a:p>
          <a:endParaRPr lang="en-US"/>
        </a:p>
      </dgm:t>
    </dgm:pt>
    <dgm:pt modelId="{3B787E04-C33E-47A7-AE92-F4B5BE63278B}" type="pres">
      <dgm:prSet presAssocID="{3F96D11D-CDE3-4DF5-8309-145D67C023EB}" presName="node" presStyleLbl="node1" presStyleIdx="0" presStyleCnt="5">
        <dgm:presLayoutVars>
          <dgm:bulletEnabled val="1"/>
        </dgm:presLayoutVars>
      </dgm:prSet>
      <dgm:spPr/>
      <dgm:t>
        <a:bodyPr/>
        <a:lstStyle/>
        <a:p>
          <a:endParaRPr lang="en-US"/>
        </a:p>
      </dgm:t>
    </dgm:pt>
    <dgm:pt modelId="{5DE00FBA-F5FD-4DA3-8DA5-BE2051ED7AA0}" type="pres">
      <dgm:prSet presAssocID="{696FDD59-9791-4C88-9DC4-593E7D1A928E}" presName="sibTrans" presStyleCnt="0"/>
      <dgm:spPr/>
    </dgm:pt>
    <dgm:pt modelId="{386D8FF8-AB7A-48E0-8199-56B0DA6859F9}" type="pres">
      <dgm:prSet presAssocID="{EA369D5E-9A16-4E7E-82DD-45A76F23E15E}" presName="node" presStyleLbl="node1" presStyleIdx="1" presStyleCnt="5">
        <dgm:presLayoutVars>
          <dgm:bulletEnabled val="1"/>
        </dgm:presLayoutVars>
      </dgm:prSet>
      <dgm:spPr/>
      <dgm:t>
        <a:bodyPr/>
        <a:lstStyle/>
        <a:p>
          <a:endParaRPr lang="en-US"/>
        </a:p>
      </dgm:t>
    </dgm:pt>
    <dgm:pt modelId="{74E259C0-C4B9-470E-92A3-8C9B9BF22488}" type="pres">
      <dgm:prSet presAssocID="{8427463B-170F-47A5-977E-600680397D43}" presName="sibTrans" presStyleCnt="0"/>
      <dgm:spPr/>
    </dgm:pt>
    <dgm:pt modelId="{D28CA791-62F7-49D3-A21D-4A09E866FDBF}" type="pres">
      <dgm:prSet presAssocID="{1F88C872-ABB0-44EA-8EF8-B4BB500FB672}" presName="node" presStyleLbl="node1" presStyleIdx="2" presStyleCnt="5">
        <dgm:presLayoutVars>
          <dgm:bulletEnabled val="1"/>
        </dgm:presLayoutVars>
      </dgm:prSet>
      <dgm:spPr/>
      <dgm:t>
        <a:bodyPr/>
        <a:lstStyle/>
        <a:p>
          <a:endParaRPr lang="en-US"/>
        </a:p>
      </dgm:t>
    </dgm:pt>
    <dgm:pt modelId="{94E0E7DC-C474-4DC6-ABAC-FE6C5437E8BF}" type="pres">
      <dgm:prSet presAssocID="{9CEC9A27-A64D-485A-AF73-21847ACB42CC}" presName="sibTrans" presStyleCnt="0"/>
      <dgm:spPr/>
    </dgm:pt>
    <dgm:pt modelId="{BA726E4F-3B31-4D83-9AE0-332DC8F21BA0}" type="pres">
      <dgm:prSet presAssocID="{514E777E-1A0D-43F7-BAA7-E1850759F343}" presName="node" presStyleLbl="node1" presStyleIdx="3" presStyleCnt="5">
        <dgm:presLayoutVars>
          <dgm:bulletEnabled val="1"/>
        </dgm:presLayoutVars>
      </dgm:prSet>
      <dgm:spPr/>
      <dgm:t>
        <a:bodyPr/>
        <a:lstStyle/>
        <a:p>
          <a:endParaRPr lang="en-US"/>
        </a:p>
      </dgm:t>
    </dgm:pt>
    <dgm:pt modelId="{360BE674-976A-4961-8DAA-F77469988DBD}" type="pres">
      <dgm:prSet presAssocID="{CF370D5A-2787-497F-A7EA-B74C0AE3EB3C}" presName="sibTrans" presStyleCnt="0"/>
      <dgm:spPr/>
    </dgm:pt>
    <dgm:pt modelId="{FB892113-B57E-49BB-A541-6ADA78611B0C}" type="pres">
      <dgm:prSet presAssocID="{2348FA3F-3CCE-4469-BE92-FE0C0867E85C}" presName="node" presStyleLbl="node1" presStyleIdx="4" presStyleCnt="5">
        <dgm:presLayoutVars>
          <dgm:bulletEnabled val="1"/>
        </dgm:presLayoutVars>
      </dgm:prSet>
      <dgm:spPr/>
      <dgm:t>
        <a:bodyPr/>
        <a:lstStyle/>
        <a:p>
          <a:endParaRPr lang="en-US"/>
        </a:p>
      </dgm:t>
    </dgm:pt>
  </dgm:ptLst>
  <dgm:cxnLst>
    <dgm:cxn modelId="{CB447E94-20D3-42C5-97D5-DF815730B444}" srcId="{93203976-60AA-4AE8-9EC7-11DC47F35134}" destId="{EA369D5E-9A16-4E7E-82DD-45A76F23E15E}" srcOrd="1" destOrd="0" parTransId="{4DE46D01-3B7C-427E-B4EC-87B4FD5CCC34}" sibTransId="{8427463B-170F-47A5-977E-600680397D43}"/>
    <dgm:cxn modelId="{62D1B390-AA3C-4FC1-BDAF-00A9D0961292}" type="presOf" srcId="{93203976-60AA-4AE8-9EC7-11DC47F35134}" destId="{4EE20CF0-4224-4CCD-94CE-2BBD3EF481FE}" srcOrd="0" destOrd="0" presId="urn:microsoft.com/office/officeart/2005/8/layout/hList6"/>
    <dgm:cxn modelId="{469F9843-3574-4A5C-A461-EFDD0952AD9F}" srcId="{93203976-60AA-4AE8-9EC7-11DC47F35134}" destId="{2348FA3F-3CCE-4469-BE92-FE0C0867E85C}" srcOrd="4" destOrd="0" parTransId="{C711A5B8-3B27-4477-AD86-4485C7CF72DD}" sibTransId="{DB4B1765-93B7-4288-9272-F60634D7C066}"/>
    <dgm:cxn modelId="{5241E6B9-78D1-4D88-954B-C6E02055BD91}" srcId="{93203976-60AA-4AE8-9EC7-11DC47F35134}" destId="{1F88C872-ABB0-44EA-8EF8-B4BB500FB672}" srcOrd="2" destOrd="0" parTransId="{85170D7B-E05B-47EC-BA01-9634DCDFF3C1}" sibTransId="{9CEC9A27-A64D-485A-AF73-21847ACB42CC}"/>
    <dgm:cxn modelId="{6AF6DE9A-2FCA-4D82-AD2B-D807C9CC5AFD}" srcId="{93203976-60AA-4AE8-9EC7-11DC47F35134}" destId="{3F96D11D-CDE3-4DF5-8309-145D67C023EB}" srcOrd="0" destOrd="0" parTransId="{E8A843C0-A085-4117-AF7C-797BE156D62E}" sibTransId="{696FDD59-9791-4C88-9DC4-593E7D1A928E}"/>
    <dgm:cxn modelId="{B37487E3-6F5B-4FC5-8D4E-AD922DF71873}" type="presOf" srcId="{EA369D5E-9A16-4E7E-82DD-45A76F23E15E}" destId="{386D8FF8-AB7A-48E0-8199-56B0DA6859F9}" srcOrd="0" destOrd="0" presId="urn:microsoft.com/office/officeart/2005/8/layout/hList6"/>
    <dgm:cxn modelId="{2634C326-A12B-4796-AEF6-C4FE0784A675}" type="presOf" srcId="{514E777E-1A0D-43F7-BAA7-E1850759F343}" destId="{BA726E4F-3B31-4D83-9AE0-332DC8F21BA0}" srcOrd="0" destOrd="0" presId="urn:microsoft.com/office/officeart/2005/8/layout/hList6"/>
    <dgm:cxn modelId="{8C2FE52C-1FDD-4AF9-B3A7-6546A581EABE}" type="presOf" srcId="{1F88C872-ABB0-44EA-8EF8-B4BB500FB672}" destId="{D28CA791-62F7-49D3-A21D-4A09E866FDBF}" srcOrd="0" destOrd="0" presId="urn:microsoft.com/office/officeart/2005/8/layout/hList6"/>
    <dgm:cxn modelId="{EF379DBD-7F11-42D5-AA96-26040782E6C7}" type="presOf" srcId="{2348FA3F-3CCE-4469-BE92-FE0C0867E85C}" destId="{FB892113-B57E-49BB-A541-6ADA78611B0C}" srcOrd="0" destOrd="0" presId="urn:microsoft.com/office/officeart/2005/8/layout/hList6"/>
    <dgm:cxn modelId="{B3FE9369-ED28-4A38-A628-22FFCF97DE74}" type="presOf" srcId="{3F96D11D-CDE3-4DF5-8309-145D67C023EB}" destId="{3B787E04-C33E-47A7-AE92-F4B5BE63278B}" srcOrd="0" destOrd="0" presId="urn:microsoft.com/office/officeart/2005/8/layout/hList6"/>
    <dgm:cxn modelId="{5C4193FB-7B1F-44D7-8D76-4B7D92B594C4}" srcId="{93203976-60AA-4AE8-9EC7-11DC47F35134}" destId="{514E777E-1A0D-43F7-BAA7-E1850759F343}" srcOrd="3" destOrd="0" parTransId="{0368FA7D-1F68-415D-9EA1-60263BAC96C7}" sibTransId="{CF370D5A-2787-497F-A7EA-B74C0AE3EB3C}"/>
    <dgm:cxn modelId="{24AC409F-FBE2-4C64-918C-DE593D30E643}" type="presParOf" srcId="{4EE20CF0-4224-4CCD-94CE-2BBD3EF481FE}" destId="{3B787E04-C33E-47A7-AE92-F4B5BE63278B}" srcOrd="0" destOrd="0" presId="urn:microsoft.com/office/officeart/2005/8/layout/hList6"/>
    <dgm:cxn modelId="{2895E29F-C566-4E05-8FC7-01660EA00AB1}" type="presParOf" srcId="{4EE20CF0-4224-4CCD-94CE-2BBD3EF481FE}" destId="{5DE00FBA-F5FD-4DA3-8DA5-BE2051ED7AA0}" srcOrd="1" destOrd="0" presId="urn:microsoft.com/office/officeart/2005/8/layout/hList6"/>
    <dgm:cxn modelId="{7997B396-6030-4691-AE5B-528FF4D6FF6C}" type="presParOf" srcId="{4EE20CF0-4224-4CCD-94CE-2BBD3EF481FE}" destId="{386D8FF8-AB7A-48E0-8199-56B0DA6859F9}" srcOrd="2" destOrd="0" presId="urn:microsoft.com/office/officeart/2005/8/layout/hList6"/>
    <dgm:cxn modelId="{CAF749F3-0697-4BA4-962E-7ADA078FBDFB}" type="presParOf" srcId="{4EE20CF0-4224-4CCD-94CE-2BBD3EF481FE}" destId="{74E259C0-C4B9-470E-92A3-8C9B9BF22488}" srcOrd="3" destOrd="0" presId="urn:microsoft.com/office/officeart/2005/8/layout/hList6"/>
    <dgm:cxn modelId="{02614BF1-43D4-4AD1-B3F8-6D1C8C91E003}" type="presParOf" srcId="{4EE20CF0-4224-4CCD-94CE-2BBD3EF481FE}" destId="{D28CA791-62F7-49D3-A21D-4A09E866FDBF}" srcOrd="4" destOrd="0" presId="urn:microsoft.com/office/officeart/2005/8/layout/hList6"/>
    <dgm:cxn modelId="{501EBECC-9A6B-46DF-A71C-3DE2BBE7A637}" type="presParOf" srcId="{4EE20CF0-4224-4CCD-94CE-2BBD3EF481FE}" destId="{94E0E7DC-C474-4DC6-ABAC-FE6C5437E8BF}" srcOrd="5" destOrd="0" presId="urn:microsoft.com/office/officeart/2005/8/layout/hList6"/>
    <dgm:cxn modelId="{4560E148-36F1-4657-B809-5FDDE9F67752}" type="presParOf" srcId="{4EE20CF0-4224-4CCD-94CE-2BBD3EF481FE}" destId="{BA726E4F-3B31-4D83-9AE0-332DC8F21BA0}" srcOrd="6" destOrd="0" presId="urn:microsoft.com/office/officeart/2005/8/layout/hList6"/>
    <dgm:cxn modelId="{E69E6730-F1EC-4F27-AD70-974A300AEAFC}" type="presParOf" srcId="{4EE20CF0-4224-4CCD-94CE-2BBD3EF481FE}" destId="{360BE674-976A-4961-8DAA-F77469988DBD}" srcOrd="7" destOrd="0" presId="urn:microsoft.com/office/officeart/2005/8/layout/hList6"/>
    <dgm:cxn modelId="{E1BEF47A-C8E6-41F6-A362-E1201551579C}" type="presParOf" srcId="{4EE20CF0-4224-4CCD-94CE-2BBD3EF481FE}" destId="{FB892113-B57E-49BB-A541-6ADA78611B0C}" srcOrd="8" destOrd="0" presId="urn:microsoft.com/office/officeart/2005/8/layout/hList6"/>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2D02C3F-55D9-4031-977E-945AC436F609}" type="doc">
      <dgm:prSet loTypeId="urn:microsoft.com/office/officeart/2005/8/layout/matrix2" loCatId="matrix" qsTypeId="urn:microsoft.com/office/officeart/2005/8/quickstyle/simple2" qsCatId="simple" csTypeId="urn:microsoft.com/office/officeart/2005/8/colors/colorful4" csCatId="colorful" phldr="1"/>
      <dgm:spPr/>
      <dgm:t>
        <a:bodyPr/>
        <a:lstStyle/>
        <a:p>
          <a:endParaRPr lang="en-US"/>
        </a:p>
      </dgm:t>
    </dgm:pt>
    <dgm:pt modelId="{3F92533C-0EDB-40E8-80AB-FE65424991D0}">
      <dgm:prSet phldrT="[Text]" custT="1"/>
      <dgm:spPr>
        <a:xfrm>
          <a:off x="321408" y="90350"/>
          <a:ext cx="1858746" cy="1758152"/>
        </a:xfrm>
        <a:solidFill>
          <a:srgbClr val="DC9E1F">
            <a:lumMod val="60000"/>
            <a:lumOff val="40000"/>
          </a:srgbClr>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n-US" sz="1200">
            <a:solidFill>
              <a:srgbClr val="FFFFFF"/>
            </a:solidFill>
            <a:latin typeface="Cambria"/>
            <a:ea typeface="+mn-ea"/>
            <a:cs typeface="+mn-cs"/>
          </a:endParaRPr>
        </a:p>
        <a:p>
          <a:r>
            <a:rPr lang="en-US" sz="1200">
              <a:solidFill>
                <a:srgbClr val="FFFFFF"/>
              </a:solidFill>
              <a:latin typeface="Cambria"/>
              <a:ea typeface="+mn-ea"/>
              <a:cs typeface="+mn-cs"/>
            </a:rPr>
            <a:t>Građani</a:t>
          </a:r>
          <a:endParaRPr lang="sr-Latn-ME" sz="1200">
            <a:solidFill>
              <a:srgbClr val="FFFFFF"/>
            </a:solidFill>
            <a:latin typeface="Cambria"/>
            <a:ea typeface="+mn-ea"/>
            <a:cs typeface="+mn-cs"/>
          </a:endParaRPr>
        </a:p>
        <a:p>
          <a:r>
            <a:rPr lang="sr-Latn-ME" sz="1200">
              <a:solidFill>
                <a:srgbClr val="FFFFFF"/>
              </a:solidFill>
              <a:latin typeface="Cambria"/>
              <a:ea typeface="+mn-ea"/>
              <a:cs typeface="+mn-cs"/>
            </a:rPr>
            <a:t>Privreda</a:t>
          </a:r>
          <a:r>
            <a:rPr lang="x-none" sz="1200">
              <a:solidFill>
                <a:srgbClr val="FFFFFF"/>
              </a:solidFill>
              <a:latin typeface="Cambria"/>
              <a:ea typeface="+mn-ea"/>
              <a:cs typeface="+mn-cs"/>
            </a:rPr>
            <a:t>                                  Sindikati</a:t>
          </a:r>
          <a:endParaRPr lang="en-US" sz="1200">
            <a:solidFill>
              <a:srgbClr val="FFFFFF"/>
            </a:solidFill>
            <a:latin typeface="Cambria"/>
            <a:ea typeface="+mn-ea"/>
            <a:cs typeface="+mn-cs"/>
          </a:endParaRPr>
        </a:p>
        <a:p>
          <a:r>
            <a:rPr lang="en-US" sz="1200">
              <a:solidFill>
                <a:srgbClr val="FFFFFF"/>
              </a:solidFill>
              <a:latin typeface="Cambria"/>
              <a:ea typeface="+mn-ea"/>
              <a:cs typeface="+mn-cs"/>
            </a:rPr>
            <a:t>Organi uprave</a:t>
          </a:r>
          <a:endParaRPr lang="x-none" sz="1200">
            <a:solidFill>
              <a:srgbClr val="FFFFFF"/>
            </a:solidFill>
            <a:latin typeface="Cambria"/>
            <a:ea typeface="+mn-ea"/>
            <a:cs typeface="+mn-cs"/>
          </a:endParaRPr>
        </a:p>
        <a:p>
          <a:r>
            <a:rPr lang="x-none" sz="1200">
              <a:solidFill>
                <a:srgbClr val="FFFFFF"/>
              </a:solidFill>
              <a:latin typeface="Cambria"/>
              <a:ea typeface="+mn-ea"/>
              <a:cs typeface="+mn-cs"/>
            </a:rPr>
            <a:t>Javne institucije</a:t>
          </a:r>
          <a:endParaRPr lang="en-US" sz="1200">
            <a:solidFill>
              <a:srgbClr val="FFFFFF"/>
            </a:solidFill>
            <a:latin typeface="Cambria"/>
            <a:ea typeface="+mn-ea"/>
            <a:cs typeface="+mn-cs"/>
          </a:endParaRPr>
        </a:p>
      </dgm:t>
    </dgm:pt>
    <dgm:pt modelId="{F1F64519-8ABD-43D9-B630-7C33A204953A}" type="parTrans" cxnId="{D0E99BF3-7BD7-4E33-AC4D-32C13CF9F04B}">
      <dgm:prSet/>
      <dgm:spPr/>
      <dgm:t>
        <a:bodyPr/>
        <a:lstStyle/>
        <a:p>
          <a:endParaRPr lang="en-US"/>
        </a:p>
      </dgm:t>
    </dgm:pt>
    <dgm:pt modelId="{90861B06-91BA-4555-B50D-CA9BA3C03200}" type="sibTrans" cxnId="{D0E99BF3-7BD7-4E33-AC4D-32C13CF9F04B}">
      <dgm:prSet/>
      <dgm:spPr/>
      <dgm:t>
        <a:bodyPr/>
        <a:lstStyle/>
        <a:p>
          <a:endParaRPr lang="en-US"/>
        </a:p>
      </dgm:t>
    </dgm:pt>
    <dgm:pt modelId="{CE10B973-8C9B-4742-A446-6BEB8132AE68}">
      <dgm:prSet phldrT="[Text]" custT="1"/>
      <dgm:spPr>
        <a:xfrm>
          <a:off x="2509548" y="2118362"/>
          <a:ext cx="1727178" cy="1640395"/>
        </a:xfrm>
        <a:solidFill>
          <a:srgbClr val="FB9DB1"/>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pPr>
            <a:spcAft>
              <a:spcPts val="0"/>
            </a:spcAft>
          </a:pPr>
          <a:r>
            <a:rPr lang="x-none" sz="1100">
              <a:solidFill>
                <a:srgbClr val="FFFFFF"/>
              </a:solidFill>
              <a:latin typeface="Cambria"/>
              <a:ea typeface="+mn-ea"/>
              <a:cs typeface="+mn-cs"/>
            </a:rPr>
            <a:t>Mediji</a:t>
          </a:r>
          <a:endParaRPr lang="en-US" sz="1100">
            <a:solidFill>
              <a:srgbClr val="FFFFFF"/>
            </a:solidFill>
            <a:latin typeface="Cambria"/>
            <a:ea typeface="+mn-ea"/>
            <a:cs typeface="+mn-cs"/>
          </a:endParaRPr>
        </a:p>
      </dgm:t>
    </dgm:pt>
    <dgm:pt modelId="{E717C905-B1A0-4458-B56C-B3B807271361}" type="parTrans" cxnId="{8A1DA27F-CCD9-452C-9B84-230126EE04BA}">
      <dgm:prSet/>
      <dgm:spPr/>
      <dgm:t>
        <a:bodyPr/>
        <a:lstStyle/>
        <a:p>
          <a:endParaRPr lang="en-US"/>
        </a:p>
      </dgm:t>
    </dgm:pt>
    <dgm:pt modelId="{DBE1735C-BD60-4FD8-922E-24017C0AC19C}" type="sibTrans" cxnId="{8A1DA27F-CCD9-452C-9B84-230126EE04BA}">
      <dgm:prSet/>
      <dgm:spPr/>
      <dgm:t>
        <a:bodyPr/>
        <a:lstStyle/>
        <a:p>
          <a:endParaRPr lang="en-US"/>
        </a:p>
      </dgm:t>
    </dgm:pt>
    <dgm:pt modelId="{F90CB3E9-AC63-4A30-AB88-2ED862FA3561}">
      <dgm:prSet custT="1"/>
      <dgm:spPr>
        <a:xfrm>
          <a:off x="339164" y="2120473"/>
          <a:ext cx="1779192" cy="1605703"/>
        </a:xfrm>
        <a:solidFill>
          <a:srgbClr val="46E88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x-none" sz="1200">
              <a:solidFill>
                <a:srgbClr val="FFFFFF"/>
              </a:solidFill>
              <a:latin typeface="Cambria"/>
              <a:ea typeface="+mn-ea"/>
              <a:cs typeface="+mn-cs"/>
            </a:rPr>
            <a:t>Preduzetnici</a:t>
          </a:r>
          <a:endParaRPr lang="en-US" sz="1200">
            <a:solidFill>
              <a:srgbClr val="FFFFFF"/>
            </a:solidFill>
            <a:latin typeface="Cambria"/>
            <a:ea typeface="+mn-ea"/>
            <a:cs typeface="+mn-cs"/>
          </a:endParaRPr>
        </a:p>
      </dgm:t>
    </dgm:pt>
    <dgm:pt modelId="{660F0E83-7F69-4BF4-B8D1-9921AE2EFD65}" type="parTrans" cxnId="{3FD5FA1B-A136-4A98-A58E-788362CA53F7}">
      <dgm:prSet/>
      <dgm:spPr/>
      <dgm:t>
        <a:bodyPr/>
        <a:lstStyle/>
        <a:p>
          <a:endParaRPr lang="en-US"/>
        </a:p>
      </dgm:t>
    </dgm:pt>
    <dgm:pt modelId="{A902C528-BD2C-485D-B07E-D4879485973F}" type="sibTrans" cxnId="{3FD5FA1B-A136-4A98-A58E-788362CA53F7}">
      <dgm:prSet/>
      <dgm:spPr/>
      <dgm:t>
        <a:bodyPr/>
        <a:lstStyle/>
        <a:p>
          <a:endParaRPr lang="en-US"/>
        </a:p>
      </dgm:t>
    </dgm:pt>
    <dgm:pt modelId="{D3EAC1EC-E763-4B42-B1C4-F9E7E8CAF88D}">
      <dgm:prSet phldrT="[Text]"/>
      <dgm:spPr>
        <a:xfrm>
          <a:off x="2503141" y="182876"/>
          <a:ext cx="1786911" cy="1649285"/>
        </a:xfrm>
        <a:solidFill>
          <a:srgbClr val="67BAF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x-none">
              <a:solidFill>
                <a:srgbClr val="FFFFFF"/>
              </a:solidFill>
              <a:latin typeface="Cambria"/>
              <a:ea typeface="+mn-ea"/>
              <a:cs typeface="+mn-cs"/>
            </a:rPr>
            <a:t>Vlada                                   </a:t>
          </a:r>
          <a:r>
            <a:rPr lang="en-US">
              <a:solidFill>
                <a:srgbClr val="FFFFFF"/>
              </a:solidFill>
              <a:latin typeface="Cambria"/>
              <a:ea typeface="+mn-ea"/>
              <a:cs typeface="+mn-cs"/>
            </a:rPr>
            <a:t>                          </a:t>
          </a:r>
          <a:r>
            <a:rPr lang="x-none">
              <a:solidFill>
                <a:srgbClr val="FFFFFF"/>
              </a:solidFill>
              <a:latin typeface="Cambria"/>
              <a:ea typeface="+mn-ea"/>
              <a:cs typeface="+mn-cs"/>
            </a:rPr>
            <a:t>MJUDDM                                        </a:t>
          </a:r>
          <a:r>
            <a:rPr lang="en-US">
              <a:solidFill>
                <a:srgbClr val="FFFFFF"/>
              </a:solidFill>
              <a:latin typeface="Cambria"/>
              <a:ea typeface="+mn-ea"/>
              <a:cs typeface="+mn-cs"/>
            </a:rPr>
            <a:t>               </a:t>
          </a:r>
          <a:r>
            <a:rPr lang="x-none">
              <a:solidFill>
                <a:srgbClr val="FFFFFF"/>
              </a:solidFill>
              <a:latin typeface="Cambria"/>
              <a:ea typeface="+mn-ea"/>
              <a:cs typeface="+mn-cs"/>
            </a:rPr>
            <a:t>   MFSS                                            </a:t>
          </a:r>
          <a:r>
            <a:rPr lang="en-US">
              <a:solidFill>
                <a:srgbClr val="FFFFFF"/>
              </a:solidFill>
              <a:latin typeface="Cambria"/>
              <a:ea typeface="+mn-ea"/>
              <a:cs typeface="+mn-cs"/>
            </a:rPr>
            <a:t>                      </a:t>
          </a:r>
          <a:r>
            <a:rPr lang="x-none">
              <a:solidFill>
                <a:srgbClr val="FFFFFF"/>
              </a:solidFill>
              <a:latin typeface="Cambria"/>
              <a:ea typeface="+mn-ea"/>
              <a:cs typeface="+mn-cs"/>
            </a:rPr>
            <a:t>   MER    </a:t>
          </a:r>
        </a:p>
        <a:p>
          <a:r>
            <a:rPr lang="x-none">
              <a:solidFill>
                <a:srgbClr val="FFFFFF"/>
              </a:solidFill>
              <a:latin typeface="Cambria"/>
              <a:ea typeface="+mn-ea"/>
              <a:cs typeface="+mn-cs"/>
            </a:rPr>
            <a:t>UzK                                </a:t>
          </a:r>
          <a:r>
            <a:rPr lang="en-US">
              <a:solidFill>
                <a:srgbClr val="FFFFFF"/>
              </a:solidFill>
              <a:latin typeface="Cambria"/>
              <a:ea typeface="+mn-ea"/>
              <a:cs typeface="+mn-cs"/>
            </a:rPr>
            <a:t>                         </a:t>
          </a:r>
          <a:r>
            <a:rPr lang="x-none">
              <a:solidFill>
                <a:srgbClr val="FFFFFF"/>
              </a:solidFill>
              <a:latin typeface="Cambria"/>
              <a:ea typeface="+mn-ea"/>
              <a:cs typeface="+mn-cs"/>
            </a:rPr>
            <a:t>  Upravna inspekcija                              </a:t>
          </a:r>
          <a:r>
            <a:rPr lang="en-US">
              <a:solidFill>
                <a:srgbClr val="FFFFFF"/>
              </a:solidFill>
              <a:latin typeface="Cambria"/>
              <a:ea typeface="+mn-ea"/>
              <a:cs typeface="+mn-cs"/>
            </a:rPr>
            <a:t>                  </a:t>
          </a:r>
          <a:r>
            <a:rPr lang="x-none">
              <a:solidFill>
                <a:srgbClr val="FFFFFF"/>
              </a:solidFill>
              <a:latin typeface="Cambria"/>
              <a:ea typeface="+mn-ea"/>
              <a:cs typeface="+mn-cs"/>
            </a:rPr>
            <a:t>Upravni sud                                </a:t>
          </a:r>
          <a:r>
            <a:rPr lang="en-US">
              <a:solidFill>
                <a:srgbClr val="FFFFFF"/>
              </a:solidFill>
              <a:latin typeface="Cambria"/>
              <a:ea typeface="+mn-ea"/>
              <a:cs typeface="+mn-cs"/>
            </a:rPr>
            <a:t>                          </a:t>
          </a:r>
          <a:r>
            <a:rPr lang="x-none">
              <a:solidFill>
                <a:srgbClr val="FFFFFF"/>
              </a:solidFill>
              <a:latin typeface="Cambria"/>
              <a:ea typeface="+mn-ea"/>
              <a:cs typeface="+mn-cs"/>
            </a:rPr>
            <a:t>  DRI                                      </a:t>
          </a:r>
          <a:r>
            <a:rPr lang="en-US">
              <a:solidFill>
                <a:srgbClr val="FFFFFF"/>
              </a:solidFill>
              <a:latin typeface="Cambria"/>
              <a:ea typeface="+mn-ea"/>
              <a:cs typeface="+mn-cs"/>
            </a:rPr>
            <a:t>                    </a:t>
          </a:r>
          <a:r>
            <a:rPr lang="x-none">
              <a:solidFill>
                <a:srgbClr val="FFFFFF"/>
              </a:solidFill>
              <a:latin typeface="Cambria"/>
              <a:ea typeface="+mn-ea"/>
              <a:cs typeface="+mn-cs"/>
            </a:rPr>
            <a:t>   Zaštitnik imovinsko pravnih odnosa                                              JLS i ZOCG                               </a:t>
          </a:r>
          <a:r>
            <a:rPr lang="en-US">
              <a:solidFill>
                <a:srgbClr val="FFFFFF"/>
              </a:solidFill>
              <a:latin typeface="Cambria"/>
              <a:ea typeface="+mn-ea"/>
              <a:cs typeface="+mn-cs"/>
            </a:rPr>
            <a:t>             </a:t>
          </a:r>
          <a:r>
            <a:rPr lang="x-none">
              <a:solidFill>
                <a:srgbClr val="FFFFFF"/>
              </a:solidFill>
              <a:latin typeface="Cambria"/>
              <a:ea typeface="+mn-ea"/>
              <a:cs typeface="+mn-cs"/>
            </a:rPr>
            <a:t>    Zaposleni u javnoj upravi</a:t>
          </a:r>
          <a:endParaRPr lang="en-US">
            <a:solidFill>
              <a:srgbClr val="FFFFFF"/>
            </a:solidFill>
            <a:latin typeface="Cambria"/>
            <a:ea typeface="+mn-ea"/>
            <a:cs typeface="+mn-cs"/>
          </a:endParaRPr>
        </a:p>
        <a:p>
          <a:r>
            <a:rPr lang="en-US">
              <a:solidFill>
                <a:srgbClr val="FFFFFF"/>
              </a:solidFill>
              <a:latin typeface="Cambria"/>
              <a:ea typeface="+mn-ea"/>
              <a:cs typeface="+mn-cs"/>
            </a:rPr>
            <a:t>ICT zajednica</a:t>
          </a:r>
        </a:p>
        <a:p>
          <a:r>
            <a:rPr lang="en-US">
              <a:solidFill>
                <a:srgbClr val="FFFFFF"/>
              </a:solidFill>
              <a:latin typeface="Cambria"/>
              <a:ea typeface="+mn-ea"/>
              <a:cs typeface="+mn-cs"/>
            </a:rPr>
            <a:t>EK, DEU, SIGMA, OECD, UN, WB</a:t>
          </a:r>
        </a:p>
      </dgm:t>
    </dgm:pt>
    <dgm:pt modelId="{0755FBE2-CF2F-466B-B10B-D7CD3C1BBD4F}" type="parTrans" cxnId="{E2303990-8CB9-4536-8762-F5AFF75ED02A}">
      <dgm:prSet/>
      <dgm:spPr/>
      <dgm:t>
        <a:bodyPr/>
        <a:lstStyle/>
        <a:p>
          <a:endParaRPr lang="en-US"/>
        </a:p>
      </dgm:t>
    </dgm:pt>
    <dgm:pt modelId="{65D98D41-526E-4180-A008-210AB81426C1}" type="sibTrans" cxnId="{E2303990-8CB9-4536-8762-F5AFF75ED02A}">
      <dgm:prSet/>
      <dgm:spPr/>
      <dgm:t>
        <a:bodyPr/>
        <a:lstStyle/>
        <a:p>
          <a:endParaRPr lang="en-US"/>
        </a:p>
      </dgm:t>
    </dgm:pt>
    <dgm:pt modelId="{3BF0349E-0E0B-4B51-B0EF-43924B242B8C}" type="pres">
      <dgm:prSet presAssocID="{E2D02C3F-55D9-4031-977E-945AC436F609}" presName="matrix" presStyleCnt="0">
        <dgm:presLayoutVars>
          <dgm:chMax val="1"/>
          <dgm:dir/>
          <dgm:resizeHandles val="exact"/>
        </dgm:presLayoutVars>
      </dgm:prSet>
      <dgm:spPr/>
      <dgm:t>
        <a:bodyPr/>
        <a:lstStyle/>
        <a:p>
          <a:endParaRPr lang="en-US"/>
        </a:p>
      </dgm:t>
    </dgm:pt>
    <dgm:pt modelId="{45AE29DA-CEBA-4413-B832-44D566F323F2}" type="pres">
      <dgm:prSet presAssocID="{E2D02C3F-55D9-4031-977E-945AC436F609}" presName="axisShape" presStyleLbl="bgShp" presStyleIdx="0" presStyleCnt="1" custScaleX="113503"/>
      <dgm:spPr>
        <a:xfrm>
          <a:off x="91133" y="0"/>
          <a:ext cx="4488793" cy="3954780"/>
        </a:xfrm>
        <a:prstGeom prst="quadArrow">
          <a:avLst>
            <a:gd name="adj1" fmla="val 2000"/>
            <a:gd name="adj2" fmla="val 4000"/>
            <a:gd name="adj3" fmla="val 5000"/>
          </a:avLst>
        </a:prstGeom>
        <a:solidFill>
          <a:srgbClr val="B4936D">
            <a:tint val="40000"/>
            <a:hueOff val="0"/>
            <a:satOff val="0"/>
            <a:lumOff val="0"/>
            <a:alphaOff val="0"/>
          </a:srgbClr>
        </a:solidFill>
        <a:ln>
          <a:noFill/>
        </a:ln>
        <a:effectLst/>
      </dgm:spPr>
    </dgm:pt>
    <dgm:pt modelId="{BACB74F3-7544-48C4-B3E4-16ECB83E2651}" type="pres">
      <dgm:prSet presAssocID="{E2D02C3F-55D9-4031-977E-945AC436F609}" presName="rect1" presStyleLbl="node1" presStyleIdx="0" presStyleCnt="4" custScaleX="117500" custScaleY="111141" custLinFactNeighborX="-14175" custLinFactNeighborY="-4968">
        <dgm:presLayoutVars>
          <dgm:chMax val="0"/>
          <dgm:chPref val="0"/>
          <dgm:bulletEnabled val="1"/>
        </dgm:presLayoutVars>
      </dgm:prSet>
      <dgm:spPr>
        <a:prstGeom prst="roundRect">
          <a:avLst/>
        </a:prstGeom>
      </dgm:spPr>
      <dgm:t>
        <a:bodyPr/>
        <a:lstStyle/>
        <a:p>
          <a:endParaRPr lang="en-US"/>
        </a:p>
      </dgm:t>
    </dgm:pt>
    <dgm:pt modelId="{1B4914EA-63DB-475D-9E50-3BFC0718B9DD}" type="pres">
      <dgm:prSet presAssocID="{E2D02C3F-55D9-4031-977E-945AC436F609}" presName="rect2" presStyleLbl="node1" presStyleIdx="1" presStyleCnt="4" custScaleX="117291" custScaleY="111930" custLinFactNeighborX="10548" custLinFactNeighborY="-3672">
        <dgm:presLayoutVars>
          <dgm:chMax val="0"/>
          <dgm:chPref val="0"/>
          <dgm:bulletEnabled val="1"/>
        </dgm:presLayoutVars>
      </dgm:prSet>
      <dgm:spPr>
        <a:prstGeom prst="roundRect">
          <a:avLst/>
        </a:prstGeom>
      </dgm:spPr>
      <dgm:t>
        <a:bodyPr/>
        <a:lstStyle/>
        <a:p>
          <a:endParaRPr lang="en-US"/>
        </a:p>
      </dgm:t>
    </dgm:pt>
    <dgm:pt modelId="{BA0188D3-BDA5-4CAB-9BF0-E90EF2930321}" type="pres">
      <dgm:prSet presAssocID="{E2D02C3F-55D9-4031-977E-945AC436F609}" presName="rect3" presStyleLbl="node1" presStyleIdx="2" presStyleCnt="4" custScaleX="112471" custScaleY="101504" custLinFactNeighborX="-11214" custLinFactNeighborY="1047">
        <dgm:presLayoutVars>
          <dgm:chMax val="0"/>
          <dgm:chPref val="0"/>
          <dgm:bulletEnabled val="1"/>
        </dgm:presLayoutVars>
      </dgm:prSet>
      <dgm:spPr>
        <a:prstGeom prst="roundRect">
          <a:avLst/>
        </a:prstGeom>
      </dgm:spPr>
      <dgm:t>
        <a:bodyPr/>
        <a:lstStyle/>
        <a:p>
          <a:endParaRPr lang="en-US"/>
        </a:p>
      </dgm:t>
    </dgm:pt>
    <dgm:pt modelId="{A0C4A0DE-A96A-4B36-8D28-DEDC80D98084}" type="pres">
      <dgm:prSet presAssocID="{E2D02C3F-55D9-4031-977E-945AC436F609}" presName="rect4" presStyleLbl="node1" presStyleIdx="3" presStyleCnt="4" custScaleX="109183" custScaleY="103697" custLinFactNeighborX="6842" custLinFactNeighborY="2010">
        <dgm:presLayoutVars>
          <dgm:chMax val="0"/>
          <dgm:chPref val="0"/>
          <dgm:bulletEnabled val="1"/>
        </dgm:presLayoutVars>
      </dgm:prSet>
      <dgm:spPr>
        <a:prstGeom prst="roundRect">
          <a:avLst/>
        </a:prstGeom>
      </dgm:spPr>
      <dgm:t>
        <a:bodyPr/>
        <a:lstStyle/>
        <a:p>
          <a:endParaRPr lang="en-US"/>
        </a:p>
      </dgm:t>
    </dgm:pt>
  </dgm:ptLst>
  <dgm:cxnLst>
    <dgm:cxn modelId="{22518C76-3BA3-4DFF-BFC2-B0D38AFCE3C0}" type="presOf" srcId="{3F92533C-0EDB-40E8-80AB-FE65424991D0}" destId="{BACB74F3-7544-48C4-B3E4-16ECB83E2651}" srcOrd="0" destOrd="0" presId="urn:microsoft.com/office/officeart/2005/8/layout/matrix2"/>
    <dgm:cxn modelId="{2C2B7F6C-CDC7-42CD-B461-8DA74FD81661}" type="presOf" srcId="{CE10B973-8C9B-4742-A446-6BEB8132AE68}" destId="{A0C4A0DE-A96A-4B36-8D28-DEDC80D98084}" srcOrd="0" destOrd="0" presId="urn:microsoft.com/office/officeart/2005/8/layout/matrix2"/>
    <dgm:cxn modelId="{6270A06E-251B-451D-AC44-EBF5F9992CF0}" type="presOf" srcId="{F90CB3E9-AC63-4A30-AB88-2ED862FA3561}" destId="{BA0188D3-BDA5-4CAB-9BF0-E90EF2930321}" srcOrd="0" destOrd="0" presId="urn:microsoft.com/office/officeart/2005/8/layout/matrix2"/>
    <dgm:cxn modelId="{E2303990-8CB9-4536-8762-F5AFF75ED02A}" srcId="{E2D02C3F-55D9-4031-977E-945AC436F609}" destId="{D3EAC1EC-E763-4B42-B1C4-F9E7E8CAF88D}" srcOrd="1" destOrd="0" parTransId="{0755FBE2-CF2F-466B-B10B-D7CD3C1BBD4F}" sibTransId="{65D98D41-526E-4180-A008-210AB81426C1}"/>
    <dgm:cxn modelId="{7BF5909A-8A88-48BB-A4F5-36D7F72471A3}" type="presOf" srcId="{E2D02C3F-55D9-4031-977E-945AC436F609}" destId="{3BF0349E-0E0B-4B51-B0EF-43924B242B8C}" srcOrd="0" destOrd="0" presId="urn:microsoft.com/office/officeart/2005/8/layout/matrix2"/>
    <dgm:cxn modelId="{8A1DA27F-CCD9-452C-9B84-230126EE04BA}" srcId="{E2D02C3F-55D9-4031-977E-945AC436F609}" destId="{CE10B973-8C9B-4742-A446-6BEB8132AE68}" srcOrd="3" destOrd="0" parTransId="{E717C905-B1A0-4458-B56C-B3B807271361}" sibTransId="{DBE1735C-BD60-4FD8-922E-24017C0AC19C}"/>
    <dgm:cxn modelId="{4BE6B607-D302-44AC-BEB5-B942EFCCD58F}" type="presOf" srcId="{D3EAC1EC-E763-4B42-B1C4-F9E7E8CAF88D}" destId="{1B4914EA-63DB-475D-9E50-3BFC0718B9DD}" srcOrd="0" destOrd="0" presId="urn:microsoft.com/office/officeart/2005/8/layout/matrix2"/>
    <dgm:cxn modelId="{3FD5FA1B-A136-4A98-A58E-788362CA53F7}" srcId="{E2D02C3F-55D9-4031-977E-945AC436F609}" destId="{F90CB3E9-AC63-4A30-AB88-2ED862FA3561}" srcOrd="2" destOrd="0" parTransId="{660F0E83-7F69-4BF4-B8D1-9921AE2EFD65}" sibTransId="{A902C528-BD2C-485D-B07E-D4879485973F}"/>
    <dgm:cxn modelId="{D0E99BF3-7BD7-4E33-AC4D-32C13CF9F04B}" srcId="{E2D02C3F-55D9-4031-977E-945AC436F609}" destId="{3F92533C-0EDB-40E8-80AB-FE65424991D0}" srcOrd="0" destOrd="0" parTransId="{F1F64519-8ABD-43D9-B630-7C33A204953A}" sibTransId="{90861B06-91BA-4555-B50D-CA9BA3C03200}"/>
    <dgm:cxn modelId="{D051AE6B-3C6F-4E97-A9AE-0DD323B9ECE2}" type="presParOf" srcId="{3BF0349E-0E0B-4B51-B0EF-43924B242B8C}" destId="{45AE29DA-CEBA-4413-B832-44D566F323F2}" srcOrd="0" destOrd="0" presId="urn:microsoft.com/office/officeart/2005/8/layout/matrix2"/>
    <dgm:cxn modelId="{919113DD-24F9-4423-83FE-273D35045615}" type="presParOf" srcId="{3BF0349E-0E0B-4B51-B0EF-43924B242B8C}" destId="{BACB74F3-7544-48C4-B3E4-16ECB83E2651}" srcOrd="1" destOrd="0" presId="urn:microsoft.com/office/officeart/2005/8/layout/matrix2"/>
    <dgm:cxn modelId="{265C1204-5833-4F3F-A0B5-0584C0AFBE68}" type="presParOf" srcId="{3BF0349E-0E0B-4B51-B0EF-43924B242B8C}" destId="{1B4914EA-63DB-475D-9E50-3BFC0718B9DD}" srcOrd="2" destOrd="0" presId="urn:microsoft.com/office/officeart/2005/8/layout/matrix2"/>
    <dgm:cxn modelId="{0498CDED-66CC-4370-BD53-2E8FFB9565C2}" type="presParOf" srcId="{3BF0349E-0E0B-4B51-B0EF-43924B242B8C}" destId="{BA0188D3-BDA5-4CAB-9BF0-E90EF2930321}" srcOrd="3" destOrd="0" presId="urn:microsoft.com/office/officeart/2005/8/layout/matrix2"/>
    <dgm:cxn modelId="{273A6802-54E0-4A1C-9EE0-7D7E994A3D9C}" type="presParOf" srcId="{3BF0349E-0E0B-4B51-B0EF-43924B242B8C}" destId="{A0C4A0DE-A96A-4B36-8D28-DEDC80D98084}" srcOrd="4" destOrd="0" presId="urn:microsoft.com/office/officeart/2005/8/layout/matrix2"/>
  </dgm:cxnLst>
  <dgm:bg/>
  <dgm:whole/>
  <dgm:extLst>
    <a:ext uri="http://schemas.microsoft.com/office/drawing/2008/diagram">
      <dsp:dataModelExt xmlns:dsp="http://schemas.microsoft.com/office/drawing/2008/diagram" relId="rId76"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9FDF8AB8-B9AB-4D1F-9988-78B5D02CAC10}" type="doc">
      <dgm:prSet loTypeId="urn:microsoft.com/office/officeart/2008/layout/RadialCluster" loCatId="cycle" qsTypeId="urn:microsoft.com/office/officeart/2005/8/quickstyle/simple3" qsCatId="simple" csTypeId="urn:microsoft.com/office/officeart/2005/8/colors/colorful5" csCatId="colorful" phldr="1"/>
      <dgm:spPr/>
      <dgm:t>
        <a:bodyPr/>
        <a:lstStyle/>
        <a:p>
          <a:endParaRPr lang="en-US"/>
        </a:p>
      </dgm:t>
    </dgm:pt>
    <dgm:pt modelId="{E6EFAB4F-3ABB-4C24-AEEA-960880523BED}">
      <dgm:prSet phldrT="[Text]" custT="1"/>
      <dgm:spPr>
        <a:solidFill>
          <a:srgbClr val="FACEC2"/>
        </a:solidFill>
      </dgm:spPr>
      <dgm:t>
        <a:bodyPr/>
        <a:lstStyle/>
        <a:p>
          <a:r>
            <a:rPr lang="en-US" sz="1050"/>
            <a:t>EFIKASNA I ODGOVORNA JAVNA UPRAV</a:t>
          </a:r>
          <a:r>
            <a:rPr lang="x-none" sz="1050"/>
            <a:t>A</a:t>
          </a:r>
          <a:endParaRPr lang="en-US" sz="1050"/>
        </a:p>
      </dgm:t>
    </dgm:pt>
    <dgm:pt modelId="{B00F99A3-0DA0-4F5E-A2A0-901DACB84276}" type="parTrans" cxnId="{89923595-2102-4C5F-B73D-4869175F5BD8}">
      <dgm:prSet/>
      <dgm:spPr/>
      <dgm:t>
        <a:bodyPr/>
        <a:lstStyle/>
        <a:p>
          <a:endParaRPr lang="en-US"/>
        </a:p>
      </dgm:t>
    </dgm:pt>
    <dgm:pt modelId="{64346B56-F8F3-49E4-A5C4-D2833002924D}" type="sibTrans" cxnId="{89923595-2102-4C5F-B73D-4869175F5BD8}">
      <dgm:prSet/>
      <dgm:spPr/>
      <dgm:t>
        <a:bodyPr/>
        <a:lstStyle/>
        <a:p>
          <a:endParaRPr lang="en-US"/>
        </a:p>
      </dgm:t>
    </dgm:pt>
    <dgm:pt modelId="{1DA8B704-8ED7-4D33-B96E-26693F27A616}">
      <dgm:prSet phldrT="[Text]" custT="1"/>
      <dgm:spPr>
        <a:solidFill>
          <a:srgbClr val="C4E5EA"/>
        </a:solidFill>
      </dgm:spPr>
      <dgm:t>
        <a:bodyPr/>
        <a:lstStyle/>
        <a:p>
          <a:pPr algn="l"/>
          <a:r>
            <a:rPr lang="sr-Latn-ME" sz="1050"/>
            <a:t>- Reforma javne uprave obuhvata </a:t>
          </a:r>
          <a:r>
            <a:rPr lang="en-US" sz="1050"/>
            <a:t>462 instiucije na centalnom nivou i </a:t>
          </a:r>
          <a:r>
            <a:rPr lang="sr-Latn-ME" sz="1050"/>
            <a:t>332</a:t>
          </a:r>
          <a:r>
            <a:rPr lang="en-US" sz="1050"/>
            <a:t> na lokalnom nivou</a:t>
          </a:r>
          <a:endParaRPr lang="x-none" sz="1050"/>
        </a:p>
        <a:p>
          <a:pPr algn="l"/>
          <a:r>
            <a:rPr lang="sr-Latn-ME" sz="1050"/>
            <a:t>- </a:t>
          </a:r>
          <a:r>
            <a:rPr lang="en-US" sz="1050"/>
            <a:t>Uspostavljen efikasan sistem nadzora</a:t>
          </a:r>
          <a:r>
            <a:rPr lang="sr-Latn-ME" sz="1050"/>
            <a:t> i odgovornosti</a:t>
          </a:r>
          <a:endParaRPr lang="en-US" sz="1050"/>
        </a:p>
      </dgm:t>
    </dgm:pt>
    <dgm:pt modelId="{2B761186-44F0-487B-BF9C-4D8CCA2CB61D}" type="parTrans" cxnId="{AF51D924-D5B2-45BC-B6EA-C0E5B3BD852F}">
      <dgm:prSet/>
      <dgm:spPr/>
      <dgm:t>
        <a:bodyPr/>
        <a:lstStyle/>
        <a:p>
          <a:endParaRPr lang="en-US"/>
        </a:p>
      </dgm:t>
    </dgm:pt>
    <dgm:pt modelId="{7AA61F83-B7F3-4D1E-AA1B-3F6DC2CBFE1D}" type="sibTrans" cxnId="{AF51D924-D5B2-45BC-B6EA-C0E5B3BD852F}">
      <dgm:prSet/>
      <dgm:spPr/>
      <dgm:t>
        <a:bodyPr/>
        <a:lstStyle/>
        <a:p>
          <a:endParaRPr lang="en-US"/>
        </a:p>
      </dgm:t>
    </dgm:pt>
    <dgm:pt modelId="{A5FF4677-E759-4731-AC64-B2AEC38DD565}">
      <dgm:prSet phldrT="[Text]" custT="1"/>
      <dgm:spPr>
        <a:solidFill>
          <a:srgbClr val="F0EFB3"/>
        </a:solidFill>
      </dgm:spPr>
      <dgm:t>
        <a:bodyPr/>
        <a:lstStyle/>
        <a:p>
          <a:pPr algn="l"/>
          <a:r>
            <a:rPr lang="en-US" sz="1050"/>
            <a:t> Brza i efikasnija komunikacija, unutar i između organa, u cilju poboljšanja usluge za</a:t>
          </a:r>
          <a:r>
            <a:rPr lang="x-none" sz="1050"/>
            <a:t> e</a:t>
          </a:r>
          <a:r>
            <a:rPr lang="en-US" sz="1050"/>
            <a:t>lektronsko praćenje zahtjeva, od trenutka podnošenja zahtjeva do dobijanja rješenja</a:t>
          </a:r>
        </a:p>
      </dgm:t>
    </dgm:pt>
    <dgm:pt modelId="{5C492CC3-4675-4550-8C0B-EC5B52D6FD45}" type="parTrans" cxnId="{CDE7B311-A6C7-4D35-A203-5E4A22276891}">
      <dgm:prSet/>
      <dgm:spPr/>
      <dgm:t>
        <a:bodyPr/>
        <a:lstStyle/>
        <a:p>
          <a:endParaRPr lang="en-US"/>
        </a:p>
      </dgm:t>
    </dgm:pt>
    <dgm:pt modelId="{3E31DC0F-FB52-4BEE-9299-711404C58F79}" type="sibTrans" cxnId="{CDE7B311-A6C7-4D35-A203-5E4A22276891}">
      <dgm:prSet/>
      <dgm:spPr/>
      <dgm:t>
        <a:bodyPr/>
        <a:lstStyle/>
        <a:p>
          <a:endParaRPr lang="en-US"/>
        </a:p>
      </dgm:t>
    </dgm:pt>
    <dgm:pt modelId="{0A5368AD-732E-4621-9E71-39D80E5360DA}">
      <dgm:prSet phldrT="[Text]" custT="1"/>
      <dgm:spPr>
        <a:solidFill>
          <a:srgbClr val="E8D0DF"/>
        </a:solidFill>
      </dgm:spPr>
      <dgm:t>
        <a:bodyPr/>
        <a:lstStyle/>
        <a:p>
          <a:r>
            <a:rPr lang="x-none" sz="1050"/>
            <a:t>U</a:t>
          </a:r>
          <a:r>
            <a:rPr lang="en-US" sz="1050"/>
            <a:t> cilju unaprijeđenja učinka neophodno je da rukovodioci u javnoj upravi delegiraju ovlašćenja i omoguće </a:t>
          </a:r>
          <a:r>
            <a:rPr lang="x-none" sz="1050"/>
            <a:t>visoko-rukovodnom kadru </a:t>
          </a:r>
          <a:r>
            <a:rPr lang="en-US" sz="1050"/>
            <a:t>u organizaciji da donose odluke</a:t>
          </a:r>
          <a:r>
            <a:rPr lang="sr-Latn-ME" sz="1050"/>
            <a:t> i</a:t>
          </a:r>
          <a:r>
            <a:rPr lang="en-US" sz="1050"/>
            <a:t> upravljaju finansijama</a:t>
          </a:r>
          <a:endParaRPr lang="en-US" sz="1050">
            <a:solidFill>
              <a:srgbClr val="FF0000"/>
            </a:solidFill>
          </a:endParaRPr>
        </a:p>
      </dgm:t>
    </dgm:pt>
    <dgm:pt modelId="{00538CC7-881D-4C06-BDBC-ACA1C4578249}" type="parTrans" cxnId="{E4B8BC95-6328-4395-9C0D-449ADF513DBB}">
      <dgm:prSet/>
      <dgm:spPr/>
      <dgm:t>
        <a:bodyPr/>
        <a:lstStyle/>
        <a:p>
          <a:endParaRPr lang="en-US"/>
        </a:p>
      </dgm:t>
    </dgm:pt>
    <dgm:pt modelId="{FF0C213B-3749-4D44-84A8-A7E6F72F5072}" type="sibTrans" cxnId="{E4B8BC95-6328-4395-9C0D-449ADF513DBB}">
      <dgm:prSet/>
      <dgm:spPr/>
      <dgm:t>
        <a:bodyPr/>
        <a:lstStyle/>
        <a:p>
          <a:endParaRPr lang="en-US"/>
        </a:p>
      </dgm:t>
    </dgm:pt>
    <dgm:pt modelId="{A1B387CB-D50A-4CC0-B230-FA82B69D0EA6}">
      <dgm:prSet phldrT="[Text]" custT="1"/>
      <dgm:spPr>
        <a:solidFill>
          <a:srgbClr val="D0DDFC"/>
        </a:solidFill>
      </dgm:spPr>
      <dgm:t>
        <a:bodyPr/>
        <a:lstStyle/>
        <a:p>
          <a:pPr algn="l"/>
          <a:r>
            <a:rPr lang="sr-Latn-ME" sz="1050">
              <a:solidFill>
                <a:sysClr val="windowText" lastClr="000000"/>
              </a:solidFill>
            </a:rPr>
            <a:t>- </a:t>
          </a:r>
          <a:r>
            <a:rPr lang="en-US" sz="1050">
              <a:solidFill>
                <a:sysClr val="windowText" lastClr="000000"/>
              </a:solidFill>
            </a:rPr>
            <a:t>Ravnomjeran razvoj </a:t>
          </a:r>
          <a:r>
            <a:rPr lang="x-none" sz="1050">
              <a:solidFill>
                <a:sysClr val="windowText" lastClr="000000"/>
              </a:solidFill>
            </a:rPr>
            <a:t> JLS </a:t>
          </a:r>
          <a:r>
            <a:rPr lang="en-US" sz="1050">
              <a:solidFill>
                <a:sysClr val="windowText" lastClr="000000"/>
              </a:solidFill>
            </a:rPr>
            <a:t>uz jačanje funkcionalne i finasijske održivosti</a:t>
          </a:r>
          <a:r>
            <a:rPr lang="x-none" sz="1050">
              <a:solidFill>
                <a:sysClr val="windowText" lastClr="000000"/>
              </a:solidFill>
            </a:rPr>
            <a:t> </a:t>
          </a:r>
        </a:p>
        <a:p>
          <a:pPr algn="l"/>
          <a:r>
            <a:rPr lang="sr-Latn-ME" sz="1050">
              <a:solidFill>
                <a:sysClr val="windowText" lastClr="000000"/>
              </a:solidFill>
            </a:rPr>
            <a:t>- </a:t>
          </a:r>
          <a:r>
            <a:rPr lang="en-US" sz="1050">
              <a:solidFill>
                <a:sysClr val="windowText" lastClr="000000"/>
              </a:solidFill>
            </a:rPr>
            <a:t>Efikasnije naplate sopstvenih prihoda</a:t>
          </a:r>
          <a:r>
            <a:rPr lang="x-none" sz="1050">
              <a:solidFill>
                <a:sysClr val="windowText" lastClr="000000"/>
              </a:solidFill>
            </a:rPr>
            <a:t> </a:t>
          </a:r>
        </a:p>
        <a:p>
          <a:pPr algn="l"/>
          <a:r>
            <a:rPr lang="sr-Latn-ME" sz="1050">
              <a:solidFill>
                <a:sysClr val="windowText" lastClr="000000"/>
              </a:solidFill>
            </a:rPr>
            <a:t>- </a:t>
          </a:r>
          <a:r>
            <a:rPr lang="en-US" sz="1050">
              <a:solidFill>
                <a:sysClr val="windowText" lastClr="000000"/>
              </a:solidFill>
            </a:rPr>
            <a:t>Jačanje mehanizma međuopštinske saradnje </a:t>
          </a:r>
          <a:r>
            <a:rPr lang="x-none" sz="1050">
              <a:solidFill>
                <a:sysClr val="windowText" lastClr="000000"/>
              </a:solidFill>
            </a:rPr>
            <a:t> </a:t>
          </a:r>
        </a:p>
        <a:p>
          <a:pPr algn="l"/>
          <a:r>
            <a:rPr lang="sr-Latn-ME" sz="1050">
              <a:solidFill>
                <a:sysClr val="windowText" lastClr="000000"/>
              </a:solidFill>
            </a:rPr>
            <a:t>- </a:t>
          </a:r>
          <a:r>
            <a:rPr lang="en-US" sz="1050">
              <a:solidFill>
                <a:sysClr val="windowText" lastClr="000000"/>
              </a:solidFill>
            </a:rPr>
            <a:t>Jačanj</a:t>
          </a:r>
          <a:r>
            <a:rPr lang="x-none" sz="1050">
              <a:solidFill>
                <a:sysClr val="windowText" lastClr="000000"/>
              </a:solidFill>
            </a:rPr>
            <a:t>e</a:t>
          </a:r>
          <a:r>
            <a:rPr lang="en-US" sz="1050">
              <a:solidFill>
                <a:sysClr val="windowText" lastClr="000000"/>
              </a:solidFill>
            </a:rPr>
            <a:t> budžetske i fiskalne discipline, intenzivira</a:t>
          </a:r>
          <a:r>
            <a:rPr lang="x-none" sz="1050">
              <a:solidFill>
                <a:sysClr val="windowText" lastClr="000000"/>
              </a:solidFill>
            </a:rPr>
            <a:t>nje</a:t>
          </a:r>
          <a:r>
            <a:rPr lang="en-US" sz="1050">
              <a:solidFill>
                <a:sysClr val="windowText" lastClr="000000"/>
              </a:solidFill>
            </a:rPr>
            <a:t> naplate sopstvenih prihoda </a:t>
          </a:r>
          <a:r>
            <a:rPr lang="sr-Latn-RS" sz="1050">
              <a:solidFill>
                <a:sysClr val="windowText" lastClr="000000"/>
              </a:solidFill>
            </a:rPr>
            <a:t>i</a:t>
          </a:r>
          <a:r>
            <a:rPr lang="en-US" sz="1050">
              <a:solidFill>
                <a:sysClr val="windowText" lastClr="000000"/>
              </a:solidFill>
            </a:rPr>
            <a:t> smanjenju neizmirenih obaveza</a:t>
          </a:r>
        </a:p>
      </dgm:t>
    </dgm:pt>
    <dgm:pt modelId="{A69627A0-25E1-40FC-8B33-B4D4C1E7B2E0}" type="parTrans" cxnId="{9EC8D2F2-6FE8-4714-917F-2C5A6142D3A4}">
      <dgm:prSet/>
      <dgm:spPr/>
      <dgm:t>
        <a:bodyPr/>
        <a:lstStyle/>
        <a:p>
          <a:endParaRPr lang="en-US"/>
        </a:p>
      </dgm:t>
    </dgm:pt>
    <dgm:pt modelId="{593301D6-D376-4335-8573-764B08DF2C13}" type="sibTrans" cxnId="{9EC8D2F2-6FE8-4714-917F-2C5A6142D3A4}">
      <dgm:prSet/>
      <dgm:spPr/>
      <dgm:t>
        <a:bodyPr/>
        <a:lstStyle/>
        <a:p>
          <a:endParaRPr lang="en-US"/>
        </a:p>
      </dgm:t>
    </dgm:pt>
    <dgm:pt modelId="{43C3FA63-7F6D-42A3-8E79-BF4F0ACF074B}" type="pres">
      <dgm:prSet presAssocID="{9FDF8AB8-B9AB-4D1F-9988-78B5D02CAC10}" presName="Name0" presStyleCnt="0">
        <dgm:presLayoutVars>
          <dgm:chMax val="1"/>
          <dgm:chPref val="1"/>
          <dgm:dir/>
          <dgm:animOne val="branch"/>
          <dgm:animLvl val="lvl"/>
        </dgm:presLayoutVars>
      </dgm:prSet>
      <dgm:spPr/>
      <dgm:t>
        <a:bodyPr/>
        <a:lstStyle/>
        <a:p>
          <a:endParaRPr lang="en-US"/>
        </a:p>
      </dgm:t>
    </dgm:pt>
    <dgm:pt modelId="{23BE9E0F-02C1-458F-8367-F7F4F80B6171}" type="pres">
      <dgm:prSet presAssocID="{E6EFAB4F-3ABB-4C24-AEEA-960880523BED}" presName="singleCycle" presStyleCnt="0"/>
      <dgm:spPr/>
    </dgm:pt>
    <dgm:pt modelId="{75286AA1-B54E-4738-BEDA-A1281D5D6126}" type="pres">
      <dgm:prSet presAssocID="{E6EFAB4F-3ABB-4C24-AEEA-960880523BED}" presName="singleCenter" presStyleLbl="node1" presStyleIdx="0" presStyleCnt="5" custLinFactNeighborX="3598" custLinFactNeighborY="-1141">
        <dgm:presLayoutVars>
          <dgm:chMax val="7"/>
          <dgm:chPref val="7"/>
        </dgm:presLayoutVars>
      </dgm:prSet>
      <dgm:spPr/>
      <dgm:t>
        <a:bodyPr/>
        <a:lstStyle/>
        <a:p>
          <a:endParaRPr lang="en-US"/>
        </a:p>
      </dgm:t>
    </dgm:pt>
    <dgm:pt modelId="{F1137C53-D9B9-480D-AA6F-93ECED0910D8}" type="pres">
      <dgm:prSet presAssocID="{2B761186-44F0-487B-BF9C-4D8CCA2CB61D}" presName="Name56" presStyleLbl="parChTrans1D2" presStyleIdx="0" presStyleCnt="4"/>
      <dgm:spPr/>
      <dgm:t>
        <a:bodyPr/>
        <a:lstStyle/>
        <a:p>
          <a:endParaRPr lang="en-US"/>
        </a:p>
      </dgm:t>
    </dgm:pt>
    <dgm:pt modelId="{1979F12A-AD30-4A35-8B79-FE505109F985}" type="pres">
      <dgm:prSet presAssocID="{1DA8B704-8ED7-4D33-B96E-26693F27A616}" presName="text0" presStyleLbl="node1" presStyleIdx="1" presStyleCnt="5" custScaleX="382572" custScaleY="137567" custRadScaleRad="96278" custRadScaleInc="7312">
        <dgm:presLayoutVars>
          <dgm:bulletEnabled val="1"/>
        </dgm:presLayoutVars>
      </dgm:prSet>
      <dgm:spPr/>
      <dgm:t>
        <a:bodyPr/>
        <a:lstStyle/>
        <a:p>
          <a:endParaRPr lang="en-US"/>
        </a:p>
      </dgm:t>
    </dgm:pt>
    <dgm:pt modelId="{B51CBCDD-6280-4095-BE61-E48470F64C6F}" type="pres">
      <dgm:prSet presAssocID="{5C492CC3-4675-4550-8C0B-EC5B52D6FD45}" presName="Name56" presStyleLbl="parChTrans1D2" presStyleIdx="1" presStyleCnt="4"/>
      <dgm:spPr/>
      <dgm:t>
        <a:bodyPr/>
        <a:lstStyle/>
        <a:p>
          <a:endParaRPr lang="en-US"/>
        </a:p>
      </dgm:t>
    </dgm:pt>
    <dgm:pt modelId="{27419579-FE59-4C0E-A387-4F738FF06675}" type="pres">
      <dgm:prSet presAssocID="{A5FF4677-E759-4731-AC64-B2AEC38DD565}" presName="text0" presStyleLbl="node1" presStyleIdx="2" presStyleCnt="5" custScaleX="283647" custScaleY="159257" custRadScaleRad="129523">
        <dgm:presLayoutVars>
          <dgm:bulletEnabled val="1"/>
        </dgm:presLayoutVars>
      </dgm:prSet>
      <dgm:spPr/>
      <dgm:t>
        <a:bodyPr/>
        <a:lstStyle/>
        <a:p>
          <a:endParaRPr lang="en-US"/>
        </a:p>
      </dgm:t>
    </dgm:pt>
    <dgm:pt modelId="{B7132642-82AF-44E0-BE36-AEC666B94715}" type="pres">
      <dgm:prSet presAssocID="{00538CC7-881D-4C06-BDBC-ACA1C4578249}" presName="Name56" presStyleLbl="parChTrans1D2" presStyleIdx="2" presStyleCnt="4"/>
      <dgm:spPr/>
      <dgm:t>
        <a:bodyPr/>
        <a:lstStyle/>
        <a:p>
          <a:endParaRPr lang="en-US"/>
        </a:p>
      </dgm:t>
    </dgm:pt>
    <dgm:pt modelId="{E893DFEA-4549-45C0-9984-9239D03EADF0}" type="pres">
      <dgm:prSet presAssocID="{0A5368AD-732E-4621-9E71-39D80E5360DA}" presName="text0" presStyleLbl="node1" presStyleIdx="3" presStyleCnt="5" custScaleX="388615" custScaleY="145245" custRadScaleRad="100901" custRadScaleInc="-11977">
        <dgm:presLayoutVars>
          <dgm:bulletEnabled val="1"/>
        </dgm:presLayoutVars>
      </dgm:prSet>
      <dgm:spPr/>
      <dgm:t>
        <a:bodyPr/>
        <a:lstStyle/>
        <a:p>
          <a:endParaRPr lang="en-US"/>
        </a:p>
      </dgm:t>
    </dgm:pt>
    <dgm:pt modelId="{79F83151-B2F6-4DA6-B6E1-A311A248DFBD}" type="pres">
      <dgm:prSet presAssocID="{A69627A0-25E1-40FC-8B33-B4D4C1E7B2E0}" presName="Name56" presStyleLbl="parChTrans1D2" presStyleIdx="3" presStyleCnt="4"/>
      <dgm:spPr/>
      <dgm:t>
        <a:bodyPr/>
        <a:lstStyle/>
        <a:p>
          <a:endParaRPr lang="en-US"/>
        </a:p>
      </dgm:t>
    </dgm:pt>
    <dgm:pt modelId="{FD740132-F4FB-4071-95FE-E1D414EA9A74}" type="pres">
      <dgm:prSet presAssocID="{A1B387CB-D50A-4CC0-B230-FA82B69D0EA6}" presName="text0" presStyleLbl="node1" presStyleIdx="4" presStyleCnt="5" custScaleX="318520" custScaleY="175157" custRadScaleRad="123829">
        <dgm:presLayoutVars>
          <dgm:bulletEnabled val="1"/>
        </dgm:presLayoutVars>
      </dgm:prSet>
      <dgm:spPr/>
      <dgm:t>
        <a:bodyPr/>
        <a:lstStyle/>
        <a:p>
          <a:endParaRPr lang="en-US"/>
        </a:p>
      </dgm:t>
    </dgm:pt>
  </dgm:ptLst>
  <dgm:cxnLst>
    <dgm:cxn modelId="{9EC8D2F2-6FE8-4714-917F-2C5A6142D3A4}" srcId="{E6EFAB4F-3ABB-4C24-AEEA-960880523BED}" destId="{A1B387CB-D50A-4CC0-B230-FA82B69D0EA6}" srcOrd="3" destOrd="0" parTransId="{A69627A0-25E1-40FC-8B33-B4D4C1E7B2E0}" sibTransId="{593301D6-D376-4335-8573-764B08DF2C13}"/>
    <dgm:cxn modelId="{CFB9D6BA-263D-4E38-8E2B-A9F2B9AA724C}" type="presOf" srcId="{A5FF4677-E759-4731-AC64-B2AEC38DD565}" destId="{27419579-FE59-4C0E-A387-4F738FF06675}" srcOrd="0" destOrd="0" presId="urn:microsoft.com/office/officeart/2008/layout/RadialCluster"/>
    <dgm:cxn modelId="{89923595-2102-4C5F-B73D-4869175F5BD8}" srcId="{9FDF8AB8-B9AB-4D1F-9988-78B5D02CAC10}" destId="{E6EFAB4F-3ABB-4C24-AEEA-960880523BED}" srcOrd="0" destOrd="0" parTransId="{B00F99A3-0DA0-4F5E-A2A0-901DACB84276}" sibTransId="{64346B56-F8F3-49E4-A5C4-D2833002924D}"/>
    <dgm:cxn modelId="{1F907429-F4FF-4B41-9B5A-7C12F3FB53A5}" type="presOf" srcId="{E6EFAB4F-3ABB-4C24-AEEA-960880523BED}" destId="{75286AA1-B54E-4738-BEDA-A1281D5D6126}" srcOrd="0" destOrd="0" presId="urn:microsoft.com/office/officeart/2008/layout/RadialCluster"/>
    <dgm:cxn modelId="{BE2A53EF-B9EC-4F22-83B3-464DC37F0C80}" type="presOf" srcId="{1DA8B704-8ED7-4D33-B96E-26693F27A616}" destId="{1979F12A-AD30-4A35-8B79-FE505109F985}" srcOrd="0" destOrd="0" presId="urn:microsoft.com/office/officeart/2008/layout/RadialCluster"/>
    <dgm:cxn modelId="{DA30B856-FD6F-4813-A5FC-6B0A6B745B2E}" type="presOf" srcId="{5C492CC3-4675-4550-8C0B-EC5B52D6FD45}" destId="{B51CBCDD-6280-4095-BE61-E48470F64C6F}" srcOrd="0" destOrd="0" presId="urn:microsoft.com/office/officeart/2008/layout/RadialCluster"/>
    <dgm:cxn modelId="{CDE7B311-A6C7-4D35-A203-5E4A22276891}" srcId="{E6EFAB4F-3ABB-4C24-AEEA-960880523BED}" destId="{A5FF4677-E759-4731-AC64-B2AEC38DD565}" srcOrd="1" destOrd="0" parTransId="{5C492CC3-4675-4550-8C0B-EC5B52D6FD45}" sibTransId="{3E31DC0F-FB52-4BEE-9299-711404C58F79}"/>
    <dgm:cxn modelId="{E4B8BC95-6328-4395-9C0D-449ADF513DBB}" srcId="{E6EFAB4F-3ABB-4C24-AEEA-960880523BED}" destId="{0A5368AD-732E-4621-9E71-39D80E5360DA}" srcOrd="2" destOrd="0" parTransId="{00538CC7-881D-4C06-BDBC-ACA1C4578249}" sibTransId="{FF0C213B-3749-4D44-84A8-A7E6F72F5072}"/>
    <dgm:cxn modelId="{CA91325B-583F-4C3A-929F-76A9259AB497}" type="presOf" srcId="{A69627A0-25E1-40FC-8B33-B4D4C1E7B2E0}" destId="{79F83151-B2F6-4DA6-B6E1-A311A248DFBD}" srcOrd="0" destOrd="0" presId="urn:microsoft.com/office/officeart/2008/layout/RadialCluster"/>
    <dgm:cxn modelId="{AF51D924-D5B2-45BC-B6EA-C0E5B3BD852F}" srcId="{E6EFAB4F-3ABB-4C24-AEEA-960880523BED}" destId="{1DA8B704-8ED7-4D33-B96E-26693F27A616}" srcOrd="0" destOrd="0" parTransId="{2B761186-44F0-487B-BF9C-4D8CCA2CB61D}" sibTransId="{7AA61F83-B7F3-4D1E-AA1B-3F6DC2CBFE1D}"/>
    <dgm:cxn modelId="{CB991538-0AF1-4738-A973-365A8025DAD3}" type="presOf" srcId="{00538CC7-881D-4C06-BDBC-ACA1C4578249}" destId="{B7132642-82AF-44E0-BE36-AEC666B94715}" srcOrd="0" destOrd="0" presId="urn:microsoft.com/office/officeart/2008/layout/RadialCluster"/>
    <dgm:cxn modelId="{1A81DC51-F62C-478E-B64D-524F863121F2}" type="presOf" srcId="{A1B387CB-D50A-4CC0-B230-FA82B69D0EA6}" destId="{FD740132-F4FB-4071-95FE-E1D414EA9A74}" srcOrd="0" destOrd="0" presId="urn:microsoft.com/office/officeart/2008/layout/RadialCluster"/>
    <dgm:cxn modelId="{ABFD7065-FE7C-4276-96E2-0D4ED3DA1D96}" type="presOf" srcId="{0A5368AD-732E-4621-9E71-39D80E5360DA}" destId="{E893DFEA-4549-45C0-9984-9239D03EADF0}" srcOrd="0" destOrd="0" presId="urn:microsoft.com/office/officeart/2008/layout/RadialCluster"/>
    <dgm:cxn modelId="{377C02C9-0195-44D8-A6F3-1866169066CC}" type="presOf" srcId="{9FDF8AB8-B9AB-4D1F-9988-78B5D02CAC10}" destId="{43C3FA63-7F6D-42A3-8E79-BF4F0ACF074B}" srcOrd="0" destOrd="0" presId="urn:microsoft.com/office/officeart/2008/layout/RadialCluster"/>
    <dgm:cxn modelId="{E245C927-59FE-4BD4-A787-1698006A3240}" type="presOf" srcId="{2B761186-44F0-487B-BF9C-4D8CCA2CB61D}" destId="{F1137C53-D9B9-480D-AA6F-93ECED0910D8}" srcOrd="0" destOrd="0" presId="urn:microsoft.com/office/officeart/2008/layout/RadialCluster"/>
    <dgm:cxn modelId="{40B79B0A-5214-49EA-A0BE-C7C8698CA5E6}" type="presParOf" srcId="{43C3FA63-7F6D-42A3-8E79-BF4F0ACF074B}" destId="{23BE9E0F-02C1-458F-8367-F7F4F80B6171}" srcOrd="0" destOrd="0" presId="urn:microsoft.com/office/officeart/2008/layout/RadialCluster"/>
    <dgm:cxn modelId="{B437E226-DEEB-4107-9684-4C55A7DF0404}" type="presParOf" srcId="{23BE9E0F-02C1-458F-8367-F7F4F80B6171}" destId="{75286AA1-B54E-4738-BEDA-A1281D5D6126}" srcOrd="0" destOrd="0" presId="urn:microsoft.com/office/officeart/2008/layout/RadialCluster"/>
    <dgm:cxn modelId="{E7D8CFB1-99F0-419C-ABBF-AE05B79CD8E9}" type="presParOf" srcId="{23BE9E0F-02C1-458F-8367-F7F4F80B6171}" destId="{F1137C53-D9B9-480D-AA6F-93ECED0910D8}" srcOrd="1" destOrd="0" presId="urn:microsoft.com/office/officeart/2008/layout/RadialCluster"/>
    <dgm:cxn modelId="{010532F5-37AD-4EC3-9BB8-BCAC77BD949A}" type="presParOf" srcId="{23BE9E0F-02C1-458F-8367-F7F4F80B6171}" destId="{1979F12A-AD30-4A35-8B79-FE505109F985}" srcOrd="2" destOrd="0" presId="urn:microsoft.com/office/officeart/2008/layout/RadialCluster"/>
    <dgm:cxn modelId="{FEBE244E-E01D-48CC-9186-3FAE3607AB13}" type="presParOf" srcId="{23BE9E0F-02C1-458F-8367-F7F4F80B6171}" destId="{B51CBCDD-6280-4095-BE61-E48470F64C6F}" srcOrd="3" destOrd="0" presId="urn:microsoft.com/office/officeart/2008/layout/RadialCluster"/>
    <dgm:cxn modelId="{CA0E0D55-DB83-438C-AA27-522DC5269452}" type="presParOf" srcId="{23BE9E0F-02C1-458F-8367-F7F4F80B6171}" destId="{27419579-FE59-4C0E-A387-4F738FF06675}" srcOrd="4" destOrd="0" presId="urn:microsoft.com/office/officeart/2008/layout/RadialCluster"/>
    <dgm:cxn modelId="{56166345-0EA5-4A5F-B6CC-DEFC382B96BC}" type="presParOf" srcId="{23BE9E0F-02C1-458F-8367-F7F4F80B6171}" destId="{B7132642-82AF-44E0-BE36-AEC666B94715}" srcOrd="5" destOrd="0" presId="urn:microsoft.com/office/officeart/2008/layout/RadialCluster"/>
    <dgm:cxn modelId="{05F2AAB9-F59D-4F8E-B2D2-85E1C978ACBA}" type="presParOf" srcId="{23BE9E0F-02C1-458F-8367-F7F4F80B6171}" destId="{E893DFEA-4549-45C0-9984-9239D03EADF0}" srcOrd="6" destOrd="0" presId="urn:microsoft.com/office/officeart/2008/layout/RadialCluster"/>
    <dgm:cxn modelId="{8A57FB96-8E2A-4C0F-97C3-5DA84119EE9E}" type="presParOf" srcId="{23BE9E0F-02C1-458F-8367-F7F4F80B6171}" destId="{79F83151-B2F6-4DA6-B6E1-A311A248DFBD}" srcOrd="7" destOrd="0" presId="urn:microsoft.com/office/officeart/2008/layout/RadialCluster"/>
    <dgm:cxn modelId="{FFD73182-4A7A-4764-B843-124451428048}" type="presParOf" srcId="{23BE9E0F-02C1-458F-8367-F7F4F80B6171}" destId="{FD740132-F4FB-4071-95FE-E1D414EA9A74}" srcOrd="8" destOrd="0" presId="urn:microsoft.com/office/officeart/2008/layout/RadialCluster"/>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2D02C3F-55D9-4031-977E-945AC436F609}" type="doc">
      <dgm:prSet loTypeId="urn:microsoft.com/office/officeart/2005/8/layout/matrix2" loCatId="matrix" qsTypeId="urn:microsoft.com/office/officeart/2005/8/quickstyle/simple2" qsCatId="simple" csTypeId="urn:microsoft.com/office/officeart/2005/8/colors/colorful4" csCatId="colorful" phldr="1"/>
      <dgm:spPr/>
      <dgm:t>
        <a:bodyPr/>
        <a:lstStyle/>
        <a:p>
          <a:endParaRPr lang="en-US"/>
        </a:p>
      </dgm:t>
    </dgm:pt>
    <dgm:pt modelId="{3F92533C-0EDB-40E8-80AB-FE65424991D0}">
      <dgm:prSet phldrT="[Text]" custT="1"/>
      <dgm:spPr>
        <a:xfrm>
          <a:off x="246930" y="67371"/>
          <a:ext cx="1386001" cy="1310992"/>
        </a:xfrm>
        <a:solidFill>
          <a:srgbClr val="DC9E1F">
            <a:lumMod val="60000"/>
            <a:lumOff val="40000"/>
          </a:srgbClr>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850">
              <a:solidFill>
                <a:srgbClr val="FFFFFF"/>
              </a:solidFill>
              <a:latin typeface="Cambria"/>
              <a:ea typeface="+mn-ea"/>
              <a:cs typeface="+mn-cs"/>
            </a:rPr>
            <a:t>Akademska zajednica, </a:t>
          </a:r>
        </a:p>
        <a:p>
          <a:r>
            <a:rPr lang="en-US" sz="850">
              <a:solidFill>
                <a:srgbClr val="FFFFFF"/>
              </a:solidFill>
              <a:latin typeface="Cambria"/>
              <a:ea typeface="+mn-ea"/>
              <a:cs typeface="+mn-cs"/>
            </a:rPr>
            <a:t>Lokalne samouprave Zajednica opština</a:t>
          </a:r>
        </a:p>
        <a:p>
          <a:r>
            <a:rPr lang="en-US" sz="850">
              <a:solidFill>
                <a:srgbClr val="FFFFFF"/>
              </a:solidFill>
              <a:latin typeface="Cambria"/>
              <a:ea typeface="+mn-ea"/>
              <a:cs typeface="+mn-cs"/>
            </a:rPr>
            <a:t>Građani</a:t>
          </a:r>
        </a:p>
      </dgm:t>
    </dgm:pt>
    <dgm:pt modelId="{F1F64519-8ABD-43D9-B630-7C33A204953A}" type="parTrans" cxnId="{D0E99BF3-7BD7-4E33-AC4D-32C13CF9F04B}">
      <dgm:prSet/>
      <dgm:spPr/>
      <dgm:t>
        <a:bodyPr/>
        <a:lstStyle/>
        <a:p>
          <a:endParaRPr lang="en-US"/>
        </a:p>
      </dgm:t>
    </dgm:pt>
    <dgm:pt modelId="{90861B06-91BA-4555-B50D-CA9BA3C03200}" type="sibTrans" cxnId="{D0E99BF3-7BD7-4E33-AC4D-32C13CF9F04B}">
      <dgm:prSet/>
      <dgm:spPr/>
      <dgm:t>
        <a:bodyPr/>
        <a:lstStyle/>
        <a:p>
          <a:endParaRPr lang="en-US"/>
        </a:p>
      </dgm:t>
    </dgm:pt>
    <dgm:pt modelId="{CE10B973-8C9B-4742-A446-6BEB8132AE68}">
      <dgm:prSet phldrT="[Text]" custT="1"/>
      <dgm:spPr>
        <a:xfrm>
          <a:off x="1878549" y="1579587"/>
          <a:ext cx="1287896" cy="1223184"/>
        </a:xfrm>
        <a:solidFill>
          <a:srgbClr val="FB9DB1"/>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x-none" sz="1100">
              <a:solidFill>
                <a:srgbClr val="FFFFFF"/>
              </a:solidFill>
              <a:latin typeface="Cambria"/>
              <a:ea typeface="+mn-ea"/>
              <a:cs typeface="+mn-cs"/>
            </a:rPr>
            <a:t>Mediji</a:t>
          </a:r>
          <a:endParaRPr lang="en-US" sz="1100">
            <a:solidFill>
              <a:srgbClr val="FFFFFF"/>
            </a:solidFill>
            <a:latin typeface="Cambria"/>
            <a:ea typeface="+mn-ea"/>
            <a:cs typeface="+mn-cs"/>
          </a:endParaRPr>
        </a:p>
      </dgm:t>
    </dgm:pt>
    <dgm:pt modelId="{E717C905-B1A0-4458-B56C-B3B807271361}" type="parTrans" cxnId="{8A1DA27F-CCD9-452C-9B84-230126EE04BA}">
      <dgm:prSet/>
      <dgm:spPr/>
      <dgm:t>
        <a:bodyPr/>
        <a:lstStyle/>
        <a:p>
          <a:endParaRPr lang="en-US"/>
        </a:p>
      </dgm:t>
    </dgm:pt>
    <dgm:pt modelId="{DBE1735C-BD60-4FD8-922E-24017C0AC19C}" type="sibTrans" cxnId="{8A1DA27F-CCD9-452C-9B84-230126EE04BA}">
      <dgm:prSet/>
      <dgm:spPr/>
      <dgm:t>
        <a:bodyPr/>
        <a:lstStyle/>
        <a:p>
          <a:endParaRPr lang="en-US"/>
        </a:p>
      </dgm:t>
    </dgm:pt>
    <dgm:pt modelId="{F90CB3E9-AC63-4A30-AB88-2ED862FA3561}">
      <dgm:prSet custT="1"/>
      <dgm:spPr>
        <a:xfrm>
          <a:off x="260170" y="1581162"/>
          <a:ext cx="1326680" cy="1197316"/>
        </a:xfrm>
        <a:solidFill>
          <a:srgbClr val="46E88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1200">
              <a:solidFill>
                <a:srgbClr val="FFFFFF"/>
              </a:solidFill>
              <a:latin typeface="Cambria"/>
              <a:ea typeface="+mn-ea"/>
              <a:cs typeface="+mn-cs"/>
            </a:rPr>
            <a:t>Istraživači i istraživačke institucije</a:t>
          </a:r>
        </a:p>
      </dgm:t>
    </dgm:pt>
    <dgm:pt modelId="{660F0E83-7F69-4BF4-B8D1-9921AE2EFD65}" type="parTrans" cxnId="{3FD5FA1B-A136-4A98-A58E-788362CA53F7}">
      <dgm:prSet/>
      <dgm:spPr/>
      <dgm:t>
        <a:bodyPr/>
        <a:lstStyle/>
        <a:p>
          <a:endParaRPr lang="en-US"/>
        </a:p>
      </dgm:t>
    </dgm:pt>
    <dgm:pt modelId="{A902C528-BD2C-485D-B07E-D4879485973F}" type="sibTrans" cxnId="{3FD5FA1B-A136-4A98-A58E-788362CA53F7}">
      <dgm:prSet/>
      <dgm:spPr/>
      <dgm:t>
        <a:bodyPr/>
        <a:lstStyle/>
        <a:p>
          <a:endParaRPr lang="en-US"/>
        </a:p>
      </dgm:t>
    </dgm:pt>
    <dgm:pt modelId="{D3EAC1EC-E763-4B42-B1C4-F9E7E8CAF88D}">
      <dgm:prSet phldrT="[Text]" custT="1"/>
      <dgm:spPr>
        <a:xfrm>
          <a:off x="1873771" y="136364"/>
          <a:ext cx="1332437" cy="1229814"/>
        </a:xfrm>
        <a:solidFill>
          <a:srgbClr val="67BAF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sz="850">
              <a:solidFill>
                <a:srgbClr val="FFFFFF"/>
              </a:solidFill>
              <a:latin typeface="Cambria"/>
              <a:ea typeface="+mn-ea"/>
              <a:cs typeface="+mn-cs"/>
            </a:rPr>
            <a:t>Vlada CG, GSV</a:t>
          </a:r>
        </a:p>
        <a:p>
          <a:r>
            <a:rPr lang="en-US" sz="850">
              <a:solidFill>
                <a:srgbClr val="FFFFFF"/>
              </a:solidFill>
              <a:latin typeface="Cambria"/>
              <a:ea typeface="+mn-ea"/>
              <a:cs typeface="+mn-cs"/>
            </a:rPr>
            <a:t>Sva ministarstva</a:t>
          </a:r>
        </a:p>
        <a:p>
          <a:r>
            <a:rPr lang="en-US" sz="850">
              <a:solidFill>
                <a:srgbClr val="FFFFFF"/>
              </a:solidFill>
              <a:latin typeface="Cambria"/>
              <a:ea typeface="+mn-ea"/>
              <a:cs typeface="+mn-cs"/>
            </a:rPr>
            <a:t> MONSTAT</a:t>
          </a:r>
        </a:p>
        <a:p>
          <a:r>
            <a:rPr lang="en-US" sz="850">
              <a:solidFill>
                <a:srgbClr val="FFFFFF"/>
              </a:solidFill>
              <a:latin typeface="Cambria"/>
              <a:ea typeface="+mn-ea"/>
              <a:cs typeface="+mn-cs"/>
            </a:rPr>
            <a:t>UzK</a:t>
          </a:r>
        </a:p>
        <a:p>
          <a:r>
            <a:rPr lang="en-US" sz="850">
              <a:solidFill>
                <a:srgbClr val="FFFFFF"/>
              </a:solidFill>
              <a:latin typeface="Cambria"/>
              <a:ea typeface="+mn-ea"/>
              <a:cs typeface="+mn-cs"/>
            </a:rPr>
            <a:t>EK, DEU, SIGMA, OECD, UNDP</a:t>
          </a:r>
        </a:p>
        <a:p>
          <a:r>
            <a:rPr lang="en-US" sz="850">
              <a:solidFill>
                <a:srgbClr val="FFFFFF"/>
              </a:solidFill>
              <a:latin typeface="Cambria"/>
              <a:ea typeface="+mn-ea"/>
              <a:cs typeface="+mn-cs"/>
            </a:rPr>
            <a:t>Poslovna zajedniica</a:t>
          </a:r>
        </a:p>
      </dgm:t>
    </dgm:pt>
    <dgm:pt modelId="{0755FBE2-CF2F-466B-B10B-D7CD3C1BBD4F}" type="parTrans" cxnId="{E2303990-8CB9-4536-8762-F5AFF75ED02A}">
      <dgm:prSet/>
      <dgm:spPr/>
      <dgm:t>
        <a:bodyPr/>
        <a:lstStyle/>
        <a:p>
          <a:endParaRPr lang="en-US"/>
        </a:p>
      </dgm:t>
    </dgm:pt>
    <dgm:pt modelId="{65D98D41-526E-4180-A008-210AB81426C1}" type="sibTrans" cxnId="{E2303990-8CB9-4536-8762-F5AFF75ED02A}">
      <dgm:prSet/>
      <dgm:spPr/>
      <dgm:t>
        <a:bodyPr/>
        <a:lstStyle/>
        <a:p>
          <a:endParaRPr lang="en-US"/>
        </a:p>
      </dgm:t>
    </dgm:pt>
    <dgm:pt modelId="{3BF0349E-0E0B-4B51-B0EF-43924B242B8C}" type="pres">
      <dgm:prSet presAssocID="{E2D02C3F-55D9-4031-977E-945AC436F609}" presName="matrix" presStyleCnt="0">
        <dgm:presLayoutVars>
          <dgm:chMax val="1"/>
          <dgm:dir/>
          <dgm:resizeHandles val="exact"/>
        </dgm:presLayoutVars>
      </dgm:prSet>
      <dgm:spPr/>
      <dgm:t>
        <a:bodyPr/>
        <a:lstStyle/>
        <a:p>
          <a:endParaRPr lang="en-US"/>
        </a:p>
      </dgm:t>
    </dgm:pt>
    <dgm:pt modelId="{45AE29DA-CEBA-4413-B832-44D566F323F2}" type="pres">
      <dgm:prSet presAssocID="{E2D02C3F-55D9-4031-977E-945AC436F609}" presName="axisShape" presStyleLbl="bgShp" presStyleIdx="0" presStyleCnt="1" custScaleX="113503"/>
      <dgm:spPr>
        <a:xfrm>
          <a:off x="75222" y="0"/>
          <a:ext cx="3347135" cy="2948940"/>
        </a:xfrm>
        <a:prstGeom prst="quadArrow">
          <a:avLst>
            <a:gd name="adj1" fmla="val 2000"/>
            <a:gd name="adj2" fmla="val 4000"/>
            <a:gd name="adj3" fmla="val 5000"/>
          </a:avLst>
        </a:prstGeom>
        <a:solidFill>
          <a:srgbClr val="B4936D">
            <a:tint val="40000"/>
            <a:hueOff val="0"/>
            <a:satOff val="0"/>
            <a:lumOff val="0"/>
            <a:alphaOff val="0"/>
          </a:srgbClr>
        </a:solidFill>
        <a:ln>
          <a:noFill/>
        </a:ln>
        <a:effectLst/>
      </dgm:spPr>
    </dgm:pt>
    <dgm:pt modelId="{BACB74F3-7544-48C4-B3E4-16ECB83E2651}" type="pres">
      <dgm:prSet presAssocID="{E2D02C3F-55D9-4031-977E-945AC436F609}" presName="rect1" presStyleLbl="node1" presStyleIdx="0" presStyleCnt="4" custScaleX="117500" custScaleY="111141" custLinFactNeighborX="-9822" custLinFactNeighborY="-4968">
        <dgm:presLayoutVars>
          <dgm:chMax val="0"/>
          <dgm:chPref val="0"/>
          <dgm:bulletEnabled val="1"/>
        </dgm:presLayoutVars>
      </dgm:prSet>
      <dgm:spPr>
        <a:prstGeom prst="roundRect">
          <a:avLst/>
        </a:prstGeom>
      </dgm:spPr>
      <dgm:t>
        <a:bodyPr/>
        <a:lstStyle/>
        <a:p>
          <a:endParaRPr lang="en-US"/>
        </a:p>
      </dgm:t>
    </dgm:pt>
    <dgm:pt modelId="{1B4914EA-63DB-475D-9E50-3BFC0718B9DD}" type="pres">
      <dgm:prSet presAssocID="{E2D02C3F-55D9-4031-977E-945AC436F609}" presName="rect2" presStyleLbl="node1" presStyleIdx="1" presStyleCnt="4" custScaleX="112959" custScaleY="104259" custLinFactNeighborX="8325" custLinFactNeighborY="-2560">
        <dgm:presLayoutVars>
          <dgm:chMax val="0"/>
          <dgm:chPref val="0"/>
          <dgm:bulletEnabled val="1"/>
        </dgm:presLayoutVars>
      </dgm:prSet>
      <dgm:spPr>
        <a:prstGeom prst="roundRect">
          <a:avLst/>
        </a:prstGeom>
      </dgm:spPr>
      <dgm:t>
        <a:bodyPr/>
        <a:lstStyle/>
        <a:p>
          <a:endParaRPr lang="en-US"/>
        </a:p>
      </dgm:t>
    </dgm:pt>
    <dgm:pt modelId="{BA0188D3-BDA5-4CAB-9BF0-E90EF2930321}" type="pres">
      <dgm:prSet presAssocID="{E2D02C3F-55D9-4031-977E-945AC436F609}" presName="rect3" presStyleLbl="node1" presStyleIdx="2" presStyleCnt="4" custScaleX="112471" custScaleY="101504" custLinFactNeighborX="-11214" custLinFactNeighborY="1047">
        <dgm:presLayoutVars>
          <dgm:chMax val="0"/>
          <dgm:chPref val="0"/>
          <dgm:bulletEnabled val="1"/>
        </dgm:presLayoutVars>
      </dgm:prSet>
      <dgm:spPr>
        <a:prstGeom prst="roundRect">
          <a:avLst/>
        </a:prstGeom>
      </dgm:spPr>
      <dgm:t>
        <a:bodyPr/>
        <a:lstStyle/>
        <a:p>
          <a:endParaRPr lang="en-US"/>
        </a:p>
      </dgm:t>
    </dgm:pt>
    <dgm:pt modelId="{A0C4A0DE-A96A-4B36-8D28-DEDC80D98084}" type="pres">
      <dgm:prSet presAssocID="{E2D02C3F-55D9-4031-977E-945AC436F609}" presName="rect4" presStyleLbl="node1" presStyleIdx="3" presStyleCnt="4" custScaleX="109183" custScaleY="103697" custLinFactNeighborX="6842" custLinFactNeighborY="2010">
        <dgm:presLayoutVars>
          <dgm:chMax val="0"/>
          <dgm:chPref val="0"/>
          <dgm:bulletEnabled val="1"/>
        </dgm:presLayoutVars>
      </dgm:prSet>
      <dgm:spPr>
        <a:prstGeom prst="roundRect">
          <a:avLst/>
        </a:prstGeom>
      </dgm:spPr>
      <dgm:t>
        <a:bodyPr/>
        <a:lstStyle/>
        <a:p>
          <a:endParaRPr lang="en-US"/>
        </a:p>
      </dgm:t>
    </dgm:pt>
  </dgm:ptLst>
  <dgm:cxnLst>
    <dgm:cxn modelId="{0A89C6D5-4E9E-403B-9FCB-AF24C5337FF5}" type="presOf" srcId="{CE10B973-8C9B-4742-A446-6BEB8132AE68}" destId="{A0C4A0DE-A96A-4B36-8D28-DEDC80D98084}" srcOrd="0" destOrd="0" presId="urn:microsoft.com/office/officeart/2005/8/layout/matrix2"/>
    <dgm:cxn modelId="{38D2560D-1D59-447B-8227-8E02F777FA16}" type="presOf" srcId="{E2D02C3F-55D9-4031-977E-945AC436F609}" destId="{3BF0349E-0E0B-4B51-B0EF-43924B242B8C}" srcOrd="0" destOrd="0" presId="urn:microsoft.com/office/officeart/2005/8/layout/matrix2"/>
    <dgm:cxn modelId="{E2303990-8CB9-4536-8762-F5AFF75ED02A}" srcId="{E2D02C3F-55D9-4031-977E-945AC436F609}" destId="{D3EAC1EC-E763-4B42-B1C4-F9E7E8CAF88D}" srcOrd="1" destOrd="0" parTransId="{0755FBE2-CF2F-466B-B10B-D7CD3C1BBD4F}" sibTransId="{65D98D41-526E-4180-A008-210AB81426C1}"/>
    <dgm:cxn modelId="{CDE49D85-91B4-4183-B554-04E4904DCBD9}" type="presOf" srcId="{D3EAC1EC-E763-4B42-B1C4-F9E7E8CAF88D}" destId="{1B4914EA-63DB-475D-9E50-3BFC0718B9DD}" srcOrd="0" destOrd="0" presId="urn:microsoft.com/office/officeart/2005/8/layout/matrix2"/>
    <dgm:cxn modelId="{03D884CB-47A6-4807-B0C7-4903E8B47999}" type="presOf" srcId="{3F92533C-0EDB-40E8-80AB-FE65424991D0}" destId="{BACB74F3-7544-48C4-B3E4-16ECB83E2651}" srcOrd="0" destOrd="0" presId="urn:microsoft.com/office/officeart/2005/8/layout/matrix2"/>
    <dgm:cxn modelId="{8A1DA27F-CCD9-452C-9B84-230126EE04BA}" srcId="{E2D02C3F-55D9-4031-977E-945AC436F609}" destId="{CE10B973-8C9B-4742-A446-6BEB8132AE68}" srcOrd="3" destOrd="0" parTransId="{E717C905-B1A0-4458-B56C-B3B807271361}" sibTransId="{DBE1735C-BD60-4FD8-922E-24017C0AC19C}"/>
    <dgm:cxn modelId="{68F03A5B-6623-481A-A70C-1ABF42FC0666}" type="presOf" srcId="{F90CB3E9-AC63-4A30-AB88-2ED862FA3561}" destId="{BA0188D3-BDA5-4CAB-9BF0-E90EF2930321}" srcOrd="0" destOrd="0" presId="urn:microsoft.com/office/officeart/2005/8/layout/matrix2"/>
    <dgm:cxn modelId="{3FD5FA1B-A136-4A98-A58E-788362CA53F7}" srcId="{E2D02C3F-55D9-4031-977E-945AC436F609}" destId="{F90CB3E9-AC63-4A30-AB88-2ED862FA3561}" srcOrd="2" destOrd="0" parTransId="{660F0E83-7F69-4BF4-B8D1-9921AE2EFD65}" sibTransId="{A902C528-BD2C-485D-B07E-D4879485973F}"/>
    <dgm:cxn modelId="{D0E99BF3-7BD7-4E33-AC4D-32C13CF9F04B}" srcId="{E2D02C3F-55D9-4031-977E-945AC436F609}" destId="{3F92533C-0EDB-40E8-80AB-FE65424991D0}" srcOrd="0" destOrd="0" parTransId="{F1F64519-8ABD-43D9-B630-7C33A204953A}" sibTransId="{90861B06-91BA-4555-B50D-CA9BA3C03200}"/>
    <dgm:cxn modelId="{FBD9C415-79BD-463F-BFD2-2847345CD868}" type="presParOf" srcId="{3BF0349E-0E0B-4B51-B0EF-43924B242B8C}" destId="{45AE29DA-CEBA-4413-B832-44D566F323F2}" srcOrd="0" destOrd="0" presId="urn:microsoft.com/office/officeart/2005/8/layout/matrix2"/>
    <dgm:cxn modelId="{54AE103B-8F75-4D4C-9A11-1D4814EF0A9B}" type="presParOf" srcId="{3BF0349E-0E0B-4B51-B0EF-43924B242B8C}" destId="{BACB74F3-7544-48C4-B3E4-16ECB83E2651}" srcOrd="1" destOrd="0" presId="urn:microsoft.com/office/officeart/2005/8/layout/matrix2"/>
    <dgm:cxn modelId="{55A37DD9-DD33-4348-9499-48B79355D3BD}" type="presParOf" srcId="{3BF0349E-0E0B-4B51-B0EF-43924B242B8C}" destId="{1B4914EA-63DB-475D-9E50-3BFC0718B9DD}" srcOrd="2" destOrd="0" presId="urn:microsoft.com/office/officeart/2005/8/layout/matrix2"/>
    <dgm:cxn modelId="{CC1466B7-DB50-4D76-8699-E4D3327D6286}" type="presParOf" srcId="{3BF0349E-0E0B-4B51-B0EF-43924B242B8C}" destId="{BA0188D3-BDA5-4CAB-9BF0-E90EF2930321}" srcOrd="3" destOrd="0" presId="urn:microsoft.com/office/officeart/2005/8/layout/matrix2"/>
    <dgm:cxn modelId="{B35EC6BC-68FA-47A5-88DE-56E41E721D07}" type="presParOf" srcId="{3BF0349E-0E0B-4B51-B0EF-43924B242B8C}" destId="{A0C4A0DE-A96A-4B36-8D28-DEDC80D98084}" srcOrd="4" destOrd="0" presId="urn:microsoft.com/office/officeart/2005/8/layout/matrix2"/>
  </dgm:cxnLst>
  <dgm:bg/>
  <dgm:whole/>
  <dgm:extLst>
    <a:ext uri="http://schemas.microsoft.com/office/drawing/2008/diagram">
      <dsp:dataModelExt xmlns:dsp="http://schemas.microsoft.com/office/drawing/2008/diagram" relId="rId87"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E2D02C3F-55D9-4031-977E-945AC436F609}" type="doc">
      <dgm:prSet loTypeId="urn:microsoft.com/office/officeart/2005/8/layout/matrix2" loCatId="matrix" qsTypeId="urn:microsoft.com/office/officeart/2005/8/quickstyle/simple2" qsCatId="simple" csTypeId="urn:microsoft.com/office/officeart/2005/8/colors/colorful4" csCatId="colorful" phldr="1"/>
      <dgm:spPr/>
      <dgm:t>
        <a:bodyPr/>
        <a:lstStyle/>
        <a:p>
          <a:endParaRPr lang="en-US"/>
        </a:p>
      </dgm:t>
    </dgm:pt>
    <dgm:pt modelId="{3F92533C-0EDB-40E8-80AB-FE65424991D0}">
      <dgm:prSet phldrT="[Text]" custT="1"/>
      <dgm:spPr>
        <a:xfrm>
          <a:off x="246930" y="67371"/>
          <a:ext cx="1386001" cy="1310992"/>
        </a:xfrm>
        <a:solidFill>
          <a:srgbClr val="DC9E1F">
            <a:lumMod val="60000"/>
            <a:lumOff val="40000"/>
          </a:srgbClr>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pPr>
            <a:lnSpc>
              <a:spcPct val="100000"/>
            </a:lnSpc>
            <a:spcAft>
              <a:spcPts val="0"/>
            </a:spcAft>
          </a:pPr>
          <a:r>
            <a:rPr lang="x-none" sz="850">
              <a:solidFill>
                <a:srgbClr val="FFFFFF"/>
              </a:solidFill>
              <a:latin typeface="Cambria"/>
              <a:ea typeface="+mn-ea"/>
              <a:cs typeface="+mn-cs"/>
            </a:rPr>
            <a:t>Lokalna samouprava</a:t>
          </a:r>
          <a:endParaRPr lang="en-US" sz="850">
            <a:solidFill>
              <a:srgbClr val="FFFFFF"/>
            </a:solidFill>
            <a:latin typeface="Cambria"/>
            <a:ea typeface="+mn-ea"/>
            <a:cs typeface="+mn-cs"/>
          </a:endParaRPr>
        </a:p>
        <a:p>
          <a:pPr>
            <a:lnSpc>
              <a:spcPct val="100000"/>
            </a:lnSpc>
            <a:spcAft>
              <a:spcPts val="0"/>
            </a:spcAft>
          </a:pPr>
          <a:r>
            <a:rPr lang="x-none" sz="850">
              <a:solidFill>
                <a:srgbClr val="FFFFFF"/>
              </a:solidFill>
              <a:latin typeface="Cambria"/>
              <a:ea typeface="+mn-ea"/>
              <a:cs typeface="+mn-cs"/>
            </a:rPr>
            <a:t>ZOCG</a:t>
          </a:r>
          <a:endParaRPr lang="en-US" sz="850">
            <a:solidFill>
              <a:srgbClr val="FFFFFF"/>
            </a:solidFill>
            <a:latin typeface="Cambria"/>
            <a:ea typeface="+mn-ea"/>
            <a:cs typeface="+mn-cs"/>
          </a:endParaRPr>
        </a:p>
        <a:p>
          <a:pPr>
            <a:lnSpc>
              <a:spcPct val="100000"/>
            </a:lnSpc>
            <a:spcAft>
              <a:spcPts val="0"/>
            </a:spcAft>
          </a:pPr>
          <a:r>
            <a:rPr lang="x-none" sz="850">
              <a:solidFill>
                <a:srgbClr val="FFFFFF"/>
              </a:solidFill>
              <a:latin typeface="Cambria"/>
              <a:ea typeface="+mn-ea"/>
              <a:cs typeface="+mn-cs"/>
            </a:rPr>
            <a:t>Građani</a:t>
          </a:r>
          <a:endParaRPr lang="en-US" sz="850">
            <a:solidFill>
              <a:srgbClr val="FFFFFF"/>
            </a:solidFill>
            <a:latin typeface="Cambria"/>
            <a:ea typeface="+mn-ea"/>
            <a:cs typeface="+mn-cs"/>
          </a:endParaRPr>
        </a:p>
        <a:p>
          <a:pPr>
            <a:lnSpc>
              <a:spcPct val="100000"/>
            </a:lnSpc>
            <a:spcAft>
              <a:spcPts val="0"/>
            </a:spcAft>
          </a:pPr>
          <a:r>
            <a:rPr lang="x-none" sz="850">
              <a:solidFill>
                <a:srgbClr val="FFFFFF"/>
              </a:solidFill>
              <a:latin typeface="Cambria"/>
              <a:ea typeface="+mn-ea"/>
              <a:cs typeface="+mn-cs"/>
            </a:rPr>
            <a:t>NVO</a:t>
          </a:r>
          <a:endParaRPr lang="en-US" sz="850">
            <a:solidFill>
              <a:srgbClr val="FFFFFF"/>
            </a:solidFill>
            <a:latin typeface="Cambria"/>
            <a:ea typeface="+mn-ea"/>
            <a:cs typeface="+mn-cs"/>
          </a:endParaRPr>
        </a:p>
        <a:p>
          <a:pPr>
            <a:lnSpc>
              <a:spcPct val="100000"/>
            </a:lnSpc>
            <a:spcAft>
              <a:spcPts val="0"/>
            </a:spcAft>
          </a:pPr>
          <a:r>
            <a:rPr lang="x-none" sz="850">
              <a:solidFill>
                <a:srgbClr val="FFFFFF"/>
              </a:solidFill>
              <a:latin typeface="Cambria"/>
              <a:ea typeface="+mn-ea"/>
              <a:cs typeface="+mn-cs"/>
            </a:rPr>
            <a:t>Kandidati za posao</a:t>
          </a:r>
          <a:endParaRPr lang="en-US" sz="850">
            <a:solidFill>
              <a:srgbClr val="FFFFFF"/>
            </a:solidFill>
            <a:latin typeface="Cambria"/>
            <a:ea typeface="+mn-ea"/>
            <a:cs typeface="+mn-cs"/>
          </a:endParaRPr>
        </a:p>
        <a:p>
          <a:pPr>
            <a:lnSpc>
              <a:spcPct val="100000"/>
            </a:lnSpc>
            <a:spcAft>
              <a:spcPts val="0"/>
            </a:spcAft>
          </a:pPr>
          <a:r>
            <a:rPr lang="x-none" sz="850">
              <a:solidFill>
                <a:srgbClr val="FFFFFF"/>
              </a:solidFill>
              <a:latin typeface="Cambria"/>
              <a:ea typeface="+mn-ea"/>
              <a:cs typeface="+mn-cs"/>
            </a:rPr>
            <a:t>Državni službenici i namještenici</a:t>
          </a:r>
          <a:endParaRPr lang="en-US" sz="850">
            <a:solidFill>
              <a:srgbClr val="FFFFFF"/>
            </a:solidFill>
            <a:latin typeface="Cambria"/>
            <a:ea typeface="+mn-ea"/>
            <a:cs typeface="+mn-cs"/>
          </a:endParaRPr>
        </a:p>
        <a:p>
          <a:pPr>
            <a:lnSpc>
              <a:spcPct val="100000"/>
            </a:lnSpc>
            <a:spcAft>
              <a:spcPts val="0"/>
            </a:spcAft>
          </a:pPr>
          <a:r>
            <a:rPr lang="x-none" sz="850">
              <a:solidFill>
                <a:srgbClr val="FFFFFF"/>
              </a:solidFill>
              <a:latin typeface="Cambria"/>
              <a:ea typeface="+mn-ea"/>
              <a:cs typeface="+mn-cs"/>
            </a:rPr>
            <a:t>Akademska zajednica</a:t>
          </a:r>
          <a:endParaRPr lang="en-US" sz="850">
            <a:solidFill>
              <a:srgbClr val="FFFFFF"/>
            </a:solidFill>
            <a:latin typeface="Cambria"/>
            <a:ea typeface="+mn-ea"/>
            <a:cs typeface="+mn-cs"/>
          </a:endParaRPr>
        </a:p>
        <a:p>
          <a:pPr>
            <a:lnSpc>
              <a:spcPct val="100000"/>
            </a:lnSpc>
            <a:spcAft>
              <a:spcPts val="0"/>
            </a:spcAft>
          </a:pPr>
          <a:r>
            <a:rPr lang="x-none" sz="850">
              <a:solidFill>
                <a:srgbClr val="FFFFFF"/>
              </a:solidFill>
              <a:latin typeface="Cambria"/>
              <a:ea typeface="+mn-ea"/>
              <a:cs typeface="+mn-cs"/>
            </a:rPr>
            <a:t>Asocijacije, udruženja i sindikati</a:t>
          </a:r>
          <a:endParaRPr lang="en-US" sz="850">
            <a:solidFill>
              <a:srgbClr val="FFFFFF"/>
            </a:solidFill>
            <a:latin typeface="Cambria"/>
            <a:ea typeface="+mn-ea"/>
            <a:cs typeface="+mn-cs"/>
          </a:endParaRPr>
        </a:p>
      </dgm:t>
    </dgm:pt>
    <dgm:pt modelId="{F1F64519-8ABD-43D9-B630-7C33A204953A}" type="parTrans" cxnId="{D0E99BF3-7BD7-4E33-AC4D-32C13CF9F04B}">
      <dgm:prSet/>
      <dgm:spPr/>
      <dgm:t>
        <a:bodyPr/>
        <a:lstStyle/>
        <a:p>
          <a:endParaRPr lang="en-US"/>
        </a:p>
      </dgm:t>
    </dgm:pt>
    <dgm:pt modelId="{90861B06-91BA-4555-B50D-CA9BA3C03200}" type="sibTrans" cxnId="{D0E99BF3-7BD7-4E33-AC4D-32C13CF9F04B}">
      <dgm:prSet/>
      <dgm:spPr/>
      <dgm:t>
        <a:bodyPr/>
        <a:lstStyle/>
        <a:p>
          <a:endParaRPr lang="en-US"/>
        </a:p>
      </dgm:t>
    </dgm:pt>
    <dgm:pt modelId="{CE10B973-8C9B-4742-A446-6BEB8132AE68}">
      <dgm:prSet phldrT="[Text]" custT="1"/>
      <dgm:spPr>
        <a:xfrm>
          <a:off x="1878549" y="1579587"/>
          <a:ext cx="1287896" cy="1223184"/>
        </a:xfrm>
        <a:solidFill>
          <a:srgbClr val="FB9DB1"/>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x-none" sz="1100">
              <a:solidFill>
                <a:srgbClr val="FFFFFF"/>
              </a:solidFill>
              <a:latin typeface="Cambria"/>
              <a:ea typeface="+mn-ea"/>
              <a:cs typeface="+mn-cs"/>
            </a:rPr>
            <a:t>Mediji</a:t>
          </a:r>
          <a:endParaRPr lang="en-US" sz="1100">
            <a:solidFill>
              <a:srgbClr val="FFFFFF"/>
            </a:solidFill>
            <a:latin typeface="Cambria"/>
            <a:ea typeface="+mn-ea"/>
            <a:cs typeface="+mn-cs"/>
          </a:endParaRPr>
        </a:p>
      </dgm:t>
    </dgm:pt>
    <dgm:pt modelId="{E717C905-B1A0-4458-B56C-B3B807271361}" type="parTrans" cxnId="{8A1DA27F-CCD9-452C-9B84-230126EE04BA}">
      <dgm:prSet/>
      <dgm:spPr/>
      <dgm:t>
        <a:bodyPr/>
        <a:lstStyle/>
        <a:p>
          <a:endParaRPr lang="en-US"/>
        </a:p>
      </dgm:t>
    </dgm:pt>
    <dgm:pt modelId="{DBE1735C-BD60-4FD8-922E-24017C0AC19C}" type="sibTrans" cxnId="{8A1DA27F-CCD9-452C-9B84-230126EE04BA}">
      <dgm:prSet/>
      <dgm:spPr/>
      <dgm:t>
        <a:bodyPr/>
        <a:lstStyle/>
        <a:p>
          <a:endParaRPr lang="en-US"/>
        </a:p>
      </dgm:t>
    </dgm:pt>
    <dgm:pt modelId="{F90CB3E9-AC63-4A30-AB88-2ED862FA3561}">
      <dgm:prSet custT="1"/>
      <dgm:spPr>
        <a:xfrm>
          <a:off x="260170" y="1581162"/>
          <a:ext cx="1326680" cy="1197316"/>
        </a:xfrm>
        <a:solidFill>
          <a:srgbClr val="46E88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x-none" sz="1200">
              <a:solidFill>
                <a:srgbClr val="FFFFFF"/>
              </a:solidFill>
              <a:latin typeface="Cambria"/>
              <a:ea typeface="+mn-ea"/>
              <a:cs typeface="+mn-cs"/>
            </a:rPr>
            <a:t>ReSPA</a:t>
          </a:r>
          <a:endParaRPr lang="en-US" sz="1200">
            <a:solidFill>
              <a:srgbClr val="FFFFFF"/>
            </a:solidFill>
            <a:latin typeface="Cambria"/>
            <a:ea typeface="+mn-ea"/>
            <a:cs typeface="+mn-cs"/>
          </a:endParaRPr>
        </a:p>
      </dgm:t>
    </dgm:pt>
    <dgm:pt modelId="{660F0E83-7F69-4BF4-B8D1-9921AE2EFD65}" type="parTrans" cxnId="{3FD5FA1B-A136-4A98-A58E-788362CA53F7}">
      <dgm:prSet/>
      <dgm:spPr/>
      <dgm:t>
        <a:bodyPr/>
        <a:lstStyle/>
        <a:p>
          <a:endParaRPr lang="en-US"/>
        </a:p>
      </dgm:t>
    </dgm:pt>
    <dgm:pt modelId="{A902C528-BD2C-485D-B07E-D4879485973F}" type="sibTrans" cxnId="{3FD5FA1B-A136-4A98-A58E-788362CA53F7}">
      <dgm:prSet/>
      <dgm:spPr/>
      <dgm:t>
        <a:bodyPr/>
        <a:lstStyle/>
        <a:p>
          <a:endParaRPr lang="en-US"/>
        </a:p>
      </dgm:t>
    </dgm:pt>
    <dgm:pt modelId="{D3EAC1EC-E763-4B42-B1C4-F9E7E8CAF88D}">
      <dgm:prSet phldrT="[Text]" custT="1"/>
      <dgm:spPr>
        <a:xfrm>
          <a:off x="1873771" y="136364"/>
          <a:ext cx="1332437" cy="1229814"/>
        </a:xfrm>
        <a:solidFill>
          <a:srgbClr val="67BAF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x-none" sz="850">
              <a:solidFill>
                <a:srgbClr val="FFFFFF"/>
              </a:solidFill>
              <a:latin typeface="Cambria"/>
              <a:ea typeface="+mn-ea"/>
              <a:cs typeface="+mn-cs"/>
            </a:rPr>
            <a:t>Svi državni organi</a:t>
          </a:r>
          <a:endParaRPr lang="en-US" sz="850">
            <a:solidFill>
              <a:srgbClr val="FFFFFF"/>
            </a:solidFill>
            <a:latin typeface="Cambria"/>
            <a:ea typeface="+mn-ea"/>
            <a:cs typeface="+mn-cs"/>
          </a:endParaRPr>
        </a:p>
        <a:p>
          <a:r>
            <a:rPr lang="x-none" sz="850">
              <a:solidFill>
                <a:srgbClr val="FFFFFF"/>
              </a:solidFill>
              <a:latin typeface="Cambria"/>
              <a:ea typeface="+mn-ea"/>
              <a:cs typeface="+mn-cs"/>
            </a:rPr>
            <a:t>MJUDDM</a:t>
          </a:r>
          <a:endParaRPr lang="en-US" sz="850">
            <a:solidFill>
              <a:srgbClr val="FFFFFF"/>
            </a:solidFill>
            <a:latin typeface="Cambria"/>
            <a:ea typeface="+mn-ea"/>
            <a:cs typeface="+mn-cs"/>
          </a:endParaRPr>
        </a:p>
        <a:p>
          <a:r>
            <a:rPr lang="x-none" sz="850">
              <a:solidFill>
                <a:srgbClr val="FFFFFF"/>
              </a:solidFill>
              <a:latin typeface="Cambria"/>
              <a:ea typeface="+mn-ea"/>
              <a:cs typeface="+mn-cs"/>
            </a:rPr>
            <a:t>MFSS</a:t>
          </a:r>
          <a:endParaRPr lang="en-US" sz="850">
            <a:solidFill>
              <a:srgbClr val="FFFFFF"/>
            </a:solidFill>
            <a:latin typeface="Cambria"/>
            <a:ea typeface="+mn-ea"/>
            <a:cs typeface="+mn-cs"/>
          </a:endParaRPr>
        </a:p>
        <a:p>
          <a:r>
            <a:rPr lang="x-none" sz="850">
              <a:solidFill>
                <a:srgbClr val="FFFFFF"/>
              </a:solidFill>
              <a:latin typeface="Cambria"/>
              <a:ea typeface="+mn-ea"/>
              <a:cs typeface="+mn-cs"/>
            </a:rPr>
            <a:t>Upravna inspekcija, Komisija za žalbe, Upravni sud</a:t>
          </a:r>
          <a:endParaRPr lang="en-US" sz="850">
            <a:solidFill>
              <a:srgbClr val="FFFFFF"/>
            </a:solidFill>
            <a:latin typeface="Cambria"/>
            <a:ea typeface="+mn-ea"/>
            <a:cs typeface="+mn-cs"/>
          </a:endParaRPr>
        </a:p>
        <a:p>
          <a:r>
            <a:rPr lang="x-none" sz="850">
              <a:solidFill>
                <a:srgbClr val="FFFFFF"/>
              </a:solidFill>
              <a:latin typeface="Cambria"/>
              <a:ea typeface="+mn-ea"/>
              <a:cs typeface="+mn-cs"/>
            </a:rPr>
            <a:t>EK, DEU,  OECD, SIGMA, UNDP, WB, Ambasade</a:t>
          </a:r>
          <a:endParaRPr lang="en-US" sz="850">
            <a:solidFill>
              <a:srgbClr val="FFFFFF"/>
            </a:solidFill>
            <a:latin typeface="Cambria"/>
            <a:ea typeface="+mn-ea"/>
            <a:cs typeface="+mn-cs"/>
          </a:endParaRPr>
        </a:p>
      </dgm:t>
    </dgm:pt>
    <dgm:pt modelId="{0755FBE2-CF2F-466B-B10B-D7CD3C1BBD4F}" type="parTrans" cxnId="{E2303990-8CB9-4536-8762-F5AFF75ED02A}">
      <dgm:prSet/>
      <dgm:spPr/>
      <dgm:t>
        <a:bodyPr/>
        <a:lstStyle/>
        <a:p>
          <a:endParaRPr lang="en-US"/>
        </a:p>
      </dgm:t>
    </dgm:pt>
    <dgm:pt modelId="{65D98D41-526E-4180-A008-210AB81426C1}" type="sibTrans" cxnId="{E2303990-8CB9-4536-8762-F5AFF75ED02A}">
      <dgm:prSet/>
      <dgm:spPr/>
      <dgm:t>
        <a:bodyPr/>
        <a:lstStyle/>
        <a:p>
          <a:endParaRPr lang="en-US"/>
        </a:p>
      </dgm:t>
    </dgm:pt>
    <dgm:pt modelId="{3BF0349E-0E0B-4B51-B0EF-43924B242B8C}" type="pres">
      <dgm:prSet presAssocID="{E2D02C3F-55D9-4031-977E-945AC436F609}" presName="matrix" presStyleCnt="0">
        <dgm:presLayoutVars>
          <dgm:chMax val="1"/>
          <dgm:dir/>
          <dgm:resizeHandles val="exact"/>
        </dgm:presLayoutVars>
      </dgm:prSet>
      <dgm:spPr/>
      <dgm:t>
        <a:bodyPr/>
        <a:lstStyle/>
        <a:p>
          <a:endParaRPr lang="en-US"/>
        </a:p>
      </dgm:t>
    </dgm:pt>
    <dgm:pt modelId="{45AE29DA-CEBA-4413-B832-44D566F323F2}" type="pres">
      <dgm:prSet presAssocID="{E2D02C3F-55D9-4031-977E-945AC436F609}" presName="axisShape" presStyleLbl="bgShp" presStyleIdx="0" presStyleCnt="1" custScaleX="113503"/>
      <dgm:spPr>
        <a:xfrm>
          <a:off x="75222" y="0"/>
          <a:ext cx="3347135" cy="2948940"/>
        </a:xfrm>
        <a:prstGeom prst="quadArrow">
          <a:avLst>
            <a:gd name="adj1" fmla="val 2000"/>
            <a:gd name="adj2" fmla="val 4000"/>
            <a:gd name="adj3" fmla="val 5000"/>
          </a:avLst>
        </a:prstGeom>
        <a:solidFill>
          <a:srgbClr val="B4936D">
            <a:tint val="40000"/>
            <a:hueOff val="0"/>
            <a:satOff val="0"/>
            <a:lumOff val="0"/>
            <a:alphaOff val="0"/>
          </a:srgbClr>
        </a:solidFill>
        <a:ln>
          <a:noFill/>
        </a:ln>
        <a:effectLst/>
      </dgm:spPr>
    </dgm:pt>
    <dgm:pt modelId="{BACB74F3-7544-48C4-B3E4-16ECB83E2651}" type="pres">
      <dgm:prSet presAssocID="{E2D02C3F-55D9-4031-977E-945AC436F609}" presName="rect1" presStyleLbl="node1" presStyleIdx="0" presStyleCnt="4" custScaleX="117500" custScaleY="111141" custLinFactNeighborX="-9822" custLinFactNeighborY="-4968">
        <dgm:presLayoutVars>
          <dgm:chMax val="0"/>
          <dgm:chPref val="0"/>
          <dgm:bulletEnabled val="1"/>
        </dgm:presLayoutVars>
      </dgm:prSet>
      <dgm:spPr>
        <a:prstGeom prst="roundRect">
          <a:avLst/>
        </a:prstGeom>
      </dgm:spPr>
      <dgm:t>
        <a:bodyPr/>
        <a:lstStyle/>
        <a:p>
          <a:endParaRPr lang="en-US"/>
        </a:p>
      </dgm:t>
    </dgm:pt>
    <dgm:pt modelId="{1B4914EA-63DB-475D-9E50-3BFC0718B9DD}" type="pres">
      <dgm:prSet presAssocID="{E2D02C3F-55D9-4031-977E-945AC436F609}" presName="rect2" presStyleLbl="node1" presStyleIdx="1" presStyleCnt="4" custScaleX="112959" custScaleY="104259" custLinFactNeighborX="8325" custLinFactNeighborY="-2560">
        <dgm:presLayoutVars>
          <dgm:chMax val="0"/>
          <dgm:chPref val="0"/>
          <dgm:bulletEnabled val="1"/>
        </dgm:presLayoutVars>
      </dgm:prSet>
      <dgm:spPr>
        <a:prstGeom prst="roundRect">
          <a:avLst/>
        </a:prstGeom>
      </dgm:spPr>
      <dgm:t>
        <a:bodyPr/>
        <a:lstStyle/>
        <a:p>
          <a:endParaRPr lang="en-US"/>
        </a:p>
      </dgm:t>
    </dgm:pt>
    <dgm:pt modelId="{BA0188D3-BDA5-4CAB-9BF0-E90EF2930321}" type="pres">
      <dgm:prSet presAssocID="{E2D02C3F-55D9-4031-977E-945AC436F609}" presName="rect3" presStyleLbl="node1" presStyleIdx="2" presStyleCnt="4" custScaleX="112471" custScaleY="101504" custLinFactNeighborX="-11214" custLinFactNeighborY="1047">
        <dgm:presLayoutVars>
          <dgm:chMax val="0"/>
          <dgm:chPref val="0"/>
          <dgm:bulletEnabled val="1"/>
        </dgm:presLayoutVars>
      </dgm:prSet>
      <dgm:spPr>
        <a:prstGeom prst="roundRect">
          <a:avLst/>
        </a:prstGeom>
      </dgm:spPr>
      <dgm:t>
        <a:bodyPr/>
        <a:lstStyle/>
        <a:p>
          <a:endParaRPr lang="en-US"/>
        </a:p>
      </dgm:t>
    </dgm:pt>
    <dgm:pt modelId="{A0C4A0DE-A96A-4B36-8D28-DEDC80D98084}" type="pres">
      <dgm:prSet presAssocID="{E2D02C3F-55D9-4031-977E-945AC436F609}" presName="rect4" presStyleLbl="node1" presStyleIdx="3" presStyleCnt="4" custScaleX="109183" custScaleY="103697" custLinFactNeighborX="6842" custLinFactNeighborY="2010">
        <dgm:presLayoutVars>
          <dgm:chMax val="0"/>
          <dgm:chPref val="0"/>
          <dgm:bulletEnabled val="1"/>
        </dgm:presLayoutVars>
      </dgm:prSet>
      <dgm:spPr>
        <a:prstGeom prst="roundRect">
          <a:avLst/>
        </a:prstGeom>
      </dgm:spPr>
      <dgm:t>
        <a:bodyPr/>
        <a:lstStyle/>
        <a:p>
          <a:endParaRPr lang="en-US"/>
        </a:p>
      </dgm:t>
    </dgm:pt>
  </dgm:ptLst>
  <dgm:cxnLst>
    <dgm:cxn modelId="{74A41ECF-8EE4-4F86-ABE6-5E910F17F298}" type="presOf" srcId="{D3EAC1EC-E763-4B42-B1C4-F9E7E8CAF88D}" destId="{1B4914EA-63DB-475D-9E50-3BFC0718B9DD}" srcOrd="0" destOrd="0" presId="urn:microsoft.com/office/officeart/2005/8/layout/matrix2"/>
    <dgm:cxn modelId="{E2303990-8CB9-4536-8762-F5AFF75ED02A}" srcId="{E2D02C3F-55D9-4031-977E-945AC436F609}" destId="{D3EAC1EC-E763-4B42-B1C4-F9E7E8CAF88D}" srcOrd="1" destOrd="0" parTransId="{0755FBE2-CF2F-466B-B10B-D7CD3C1BBD4F}" sibTransId="{65D98D41-526E-4180-A008-210AB81426C1}"/>
    <dgm:cxn modelId="{C043D934-16BA-47A3-B886-8BFA4782BFAE}" type="presOf" srcId="{3F92533C-0EDB-40E8-80AB-FE65424991D0}" destId="{BACB74F3-7544-48C4-B3E4-16ECB83E2651}" srcOrd="0" destOrd="0" presId="urn:microsoft.com/office/officeart/2005/8/layout/matrix2"/>
    <dgm:cxn modelId="{8A1DA27F-CCD9-452C-9B84-230126EE04BA}" srcId="{E2D02C3F-55D9-4031-977E-945AC436F609}" destId="{CE10B973-8C9B-4742-A446-6BEB8132AE68}" srcOrd="3" destOrd="0" parTransId="{E717C905-B1A0-4458-B56C-B3B807271361}" sibTransId="{DBE1735C-BD60-4FD8-922E-24017C0AC19C}"/>
    <dgm:cxn modelId="{2897D466-CC98-40A9-81C7-6E20BF780916}" type="presOf" srcId="{CE10B973-8C9B-4742-A446-6BEB8132AE68}" destId="{A0C4A0DE-A96A-4B36-8D28-DEDC80D98084}" srcOrd="0" destOrd="0" presId="urn:microsoft.com/office/officeart/2005/8/layout/matrix2"/>
    <dgm:cxn modelId="{EFFBFD22-07C3-4BE0-BD22-C5B57C266300}" type="presOf" srcId="{E2D02C3F-55D9-4031-977E-945AC436F609}" destId="{3BF0349E-0E0B-4B51-B0EF-43924B242B8C}" srcOrd="0" destOrd="0" presId="urn:microsoft.com/office/officeart/2005/8/layout/matrix2"/>
    <dgm:cxn modelId="{3FD5FA1B-A136-4A98-A58E-788362CA53F7}" srcId="{E2D02C3F-55D9-4031-977E-945AC436F609}" destId="{F90CB3E9-AC63-4A30-AB88-2ED862FA3561}" srcOrd="2" destOrd="0" parTransId="{660F0E83-7F69-4BF4-B8D1-9921AE2EFD65}" sibTransId="{A902C528-BD2C-485D-B07E-D4879485973F}"/>
    <dgm:cxn modelId="{84BC64EA-3219-4C89-8B83-44F240AABE23}" type="presOf" srcId="{F90CB3E9-AC63-4A30-AB88-2ED862FA3561}" destId="{BA0188D3-BDA5-4CAB-9BF0-E90EF2930321}" srcOrd="0" destOrd="0" presId="urn:microsoft.com/office/officeart/2005/8/layout/matrix2"/>
    <dgm:cxn modelId="{D0E99BF3-7BD7-4E33-AC4D-32C13CF9F04B}" srcId="{E2D02C3F-55D9-4031-977E-945AC436F609}" destId="{3F92533C-0EDB-40E8-80AB-FE65424991D0}" srcOrd="0" destOrd="0" parTransId="{F1F64519-8ABD-43D9-B630-7C33A204953A}" sibTransId="{90861B06-91BA-4555-B50D-CA9BA3C03200}"/>
    <dgm:cxn modelId="{5B9A1C3E-569E-4FC7-B997-E208C89259AE}" type="presParOf" srcId="{3BF0349E-0E0B-4B51-B0EF-43924B242B8C}" destId="{45AE29DA-CEBA-4413-B832-44D566F323F2}" srcOrd="0" destOrd="0" presId="urn:microsoft.com/office/officeart/2005/8/layout/matrix2"/>
    <dgm:cxn modelId="{ED3AA942-8B50-4D60-8089-077D692B3F8A}" type="presParOf" srcId="{3BF0349E-0E0B-4B51-B0EF-43924B242B8C}" destId="{BACB74F3-7544-48C4-B3E4-16ECB83E2651}" srcOrd="1" destOrd="0" presId="urn:microsoft.com/office/officeart/2005/8/layout/matrix2"/>
    <dgm:cxn modelId="{DAD23A70-B4A1-4014-80B4-BB5F16BF4AD6}" type="presParOf" srcId="{3BF0349E-0E0B-4B51-B0EF-43924B242B8C}" destId="{1B4914EA-63DB-475D-9E50-3BFC0718B9DD}" srcOrd="2" destOrd="0" presId="urn:microsoft.com/office/officeart/2005/8/layout/matrix2"/>
    <dgm:cxn modelId="{696CDB86-7F5E-4DC8-8193-1253BA50E01F}" type="presParOf" srcId="{3BF0349E-0E0B-4B51-B0EF-43924B242B8C}" destId="{BA0188D3-BDA5-4CAB-9BF0-E90EF2930321}" srcOrd="3" destOrd="0" presId="urn:microsoft.com/office/officeart/2005/8/layout/matrix2"/>
    <dgm:cxn modelId="{2F8B732A-952D-4B61-BE44-334C3D778265}" type="presParOf" srcId="{3BF0349E-0E0B-4B51-B0EF-43924B242B8C}" destId="{A0C4A0DE-A96A-4B36-8D28-DEDC80D98084}" srcOrd="4" destOrd="0" presId="urn:microsoft.com/office/officeart/2005/8/layout/matrix2"/>
  </dgm:cxnLst>
  <dgm:bg/>
  <dgm:whole/>
  <dgm:extLst>
    <a:ext uri="http://schemas.microsoft.com/office/drawing/2008/diagram">
      <dsp:dataModelExt xmlns:dsp="http://schemas.microsoft.com/office/drawing/2008/diagram" relId="rId93" minVer="http://schemas.openxmlformats.org/drawingml/2006/diagram"/>
    </a:ext>
    <a:ext uri="{C62137D5-CB1D-491B-B009-E17868A290BF}">
      <dgm14:recolorImg xmlns:dgm14="http://schemas.microsoft.com/office/drawing/2010/diagram" val="1"/>
    </a:ext>
  </dgm:extLst>
</dgm:dataModel>
</file>

<file path=word/diagrams/data16.xml><?xml version="1.0" encoding="utf-8"?>
<dgm:dataModel xmlns:dgm="http://schemas.openxmlformats.org/drawingml/2006/diagram" xmlns:a="http://schemas.openxmlformats.org/drawingml/2006/main">
  <dgm:ptLst>
    <dgm:pt modelId="{E2D02C3F-55D9-4031-977E-945AC436F609}" type="doc">
      <dgm:prSet loTypeId="urn:microsoft.com/office/officeart/2005/8/layout/matrix2" loCatId="matrix" qsTypeId="urn:microsoft.com/office/officeart/2005/8/quickstyle/simple2" qsCatId="simple" csTypeId="urn:microsoft.com/office/officeart/2005/8/colors/colorful4" csCatId="colorful" phldr="1"/>
      <dgm:spPr/>
      <dgm:t>
        <a:bodyPr/>
        <a:lstStyle/>
        <a:p>
          <a:endParaRPr lang="en-US"/>
        </a:p>
      </dgm:t>
    </dgm:pt>
    <dgm:pt modelId="{3F92533C-0EDB-40E8-80AB-FE65424991D0}">
      <dgm:prSet phldrT="[Text]" custT="1"/>
      <dgm:spPr>
        <a:xfrm>
          <a:off x="0" y="69982"/>
          <a:ext cx="1439722" cy="1361806"/>
        </a:xfrm>
        <a:solidFill>
          <a:srgbClr val="DC9E1F">
            <a:lumMod val="60000"/>
            <a:lumOff val="40000"/>
          </a:srgbClr>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pPr>
            <a:lnSpc>
              <a:spcPct val="100000"/>
            </a:lnSpc>
            <a:spcAft>
              <a:spcPts val="300"/>
            </a:spcAft>
          </a:pPr>
          <a:r>
            <a:rPr lang="en-US" sz="1200">
              <a:solidFill>
                <a:srgbClr val="FFFFFF"/>
              </a:solidFill>
              <a:latin typeface="Cambria"/>
              <a:ea typeface="+mn-ea"/>
              <a:cs typeface="+mn-cs"/>
            </a:rPr>
            <a:t>OCD</a:t>
          </a:r>
        </a:p>
        <a:p>
          <a:pPr>
            <a:lnSpc>
              <a:spcPct val="100000"/>
            </a:lnSpc>
            <a:spcAft>
              <a:spcPts val="300"/>
            </a:spcAft>
          </a:pPr>
          <a:r>
            <a:rPr lang="en-US" sz="1200">
              <a:solidFill>
                <a:srgbClr val="FFFFFF"/>
              </a:solidFill>
              <a:latin typeface="Cambria"/>
              <a:ea typeface="+mn-ea"/>
              <a:cs typeface="+mn-cs"/>
            </a:rPr>
            <a:t>Građani</a:t>
          </a:r>
          <a:r>
            <a:rPr lang="x-none" sz="1200">
              <a:solidFill>
                <a:srgbClr val="FFFFFF"/>
              </a:solidFill>
              <a:latin typeface="Cambria"/>
              <a:ea typeface="+mn-ea"/>
              <a:cs typeface="+mn-cs"/>
            </a:rPr>
            <a:t> </a:t>
          </a:r>
        </a:p>
        <a:p>
          <a:pPr>
            <a:lnSpc>
              <a:spcPct val="100000"/>
            </a:lnSpc>
            <a:spcAft>
              <a:spcPts val="300"/>
            </a:spcAft>
          </a:pPr>
          <a:r>
            <a:rPr lang="x-none" sz="1200">
              <a:solidFill>
                <a:srgbClr val="FFFFFF"/>
              </a:solidFill>
              <a:latin typeface="Cambria"/>
              <a:ea typeface="+mn-ea"/>
              <a:cs typeface="+mn-cs"/>
            </a:rPr>
            <a:t>Privrednici</a:t>
          </a:r>
          <a:endParaRPr lang="en-US" sz="1200">
            <a:solidFill>
              <a:srgbClr val="FFFFFF"/>
            </a:solidFill>
            <a:latin typeface="Cambria"/>
            <a:ea typeface="+mn-ea"/>
            <a:cs typeface="+mn-cs"/>
          </a:endParaRPr>
        </a:p>
      </dgm:t>
    </dgm:pt>
    <dgm:pt modelId="{F1F64519-8ABD-43D9-B630-7C33A204953A}" type="parTrans" cxnId="{D0E99BF3-7BD7-4E33-AC4D-32C13CF9F04B}">
      <dgm:prSet/>
      <dgm:spPr/>
      <dgm:t>
        <a:bodyPr/>
        <a:lstStyle/>
        <a:p>
          <a:endParaRPr lang="en-US"/>
        </a:p>
      </dgm:t>
    </dgm:pt>
    <dgm:pt modelId="{90861B06-91BA-4555-B50D-CA9BA3C03200}" type="sibTrans" cxnId="{D0E99BF3-7BD7-4E33-AC4D-32C13CF9F04B}">
      <dgm:prSet/>
      <dgm:spPr/>
      <dgm:t>
        <a:bodyPr/>
        <a:lstStyle/>
        <a:p>
          <a:endParaRPr lang="en-US"/>
        </a:p>
      </dgm:t>
    </dgm:pt>
    <dgm:pt modelId="{CE10B973-8C9B-4742-A446-6BEB8132AE68}">
      <dgm:prSet phldrT="[Text]" custT="1"/>
      <dgm:spPr>
        <a:xfrm>
          <a:off x="1696888" y="1640812"/>
          <a:ext cx="1337814" cy="1270595"/>
        </a:xfrm>
        <a:solidFill>
          <a:srgbClr val="FB9DB1"/>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pPr>
            <a:spcAft>
              <a:spcPts val="0"/>
            </a:spcAft>
          </a:pPr>
          <a:r>
            <a:rPr lang="x-none" sz="1100">
              <a:solidFill>
                <a:srgbClr val="FFFFFF"/>
              </a:solidFill>
              <a:latin typeface="Cambria"/>
              <a:ea typeface="+mn-ea"/>
              <a:cs typeface="+mn-cs"/>
            </a:rPr>
            <a:t>Prvostepeni organi uprave</a:t>
          </a:r>
        </a:p>
        <a:p>
          <a:pPr>
            <a:spcAft>
              <a:spcPts val="0"/>
            </a:spcAft>
          </a:pPr>
          <a:r>
            <a:rPr lang="x-none" sz="1100">
              <a:solidFill>
                <a:srgbClr val="FFFFFF"/>
              </a:solidFill>
              <a:latin typeface="Cambria"/>
              <a:ea typeface="+mn-ea"/>
              <a:cs typeface="+mn-cs"/>
            </a:rPr>
            <a:t>Mediji</a:t>
          </a:r>
          <a:endParaRPr lang="en-US" sz="1100">
            <a:solidFill>
              <a:srgbClr val="FFFFFF"/>
            </a:solidFill>
            <a:latin typeface="Cambria"/>
            <a:ea typeface="+mn-ea"/>
            <a:cs typeface="+mn-cs"/>
          </a:endParaRPr>
        </a:p>
      </dgm:t>
    </dgm:pt>
    <dgm:pt modelId="{E717C905-B1A0-4458-B56C-B3B807271361}" type="parTrans" cxnId="{8A1DA27F-CCD9-452C-9B84-230126EE04BA}">
      <dgm:prSet/>
      <dgm:spPr/>
      <dgm:t>
        <a:bodyPr/>
        <a:lstStyle/>
        <a:p>
          <a:endParaRPr lang="en-US"/>
        </a:p>
      </dgm:t>
    </dgm:pt>
    <dgm:pt modelId="{DBE1735C-BD60-4FD8-922E-24017C0AC19C}" type="sibTrans" cxnId="{8A1DA27F-CCD9-452C-9B84-230126EE04BA}">
      <dgm:prSet/>
      <dgm:spPr/>
      <dgm:t>
        <a:bodyPr/>
        <a:lstStyle/>
        <a:p>
          <a:endParaRPr lang="en-US"/>
        </a:p>
      </dgm:t>
    </dgm:pt>
    <dgm:pt modelId="{F90CB3E9-AC63-4A30-AB88-2ED862FA3561}">
      <dgm:prSet custT="1"/>
      <dgm:spPr>
        <a:xfrm>
          <a:off x="15782" y="1642448"/>
          <a:ext cx="1378102" cy="1243724"/>
        </a:xfrm>
        <a:solidFill>
          <a:srgbClr val="46E88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n-US" sz="1200">
            <a:solidFill>
              <a:srgbClr val="FFFFFF"/>
            </a:solidFill>
            <a:latin typeface="Cambria"/>
            <a:ea typeface="+mn-ea"/>
            <a:cs typeface="+mn-cs"/>
          </a:endParaRPr>
        </a:p>
      </dgm:t>
    </dgm:pt>
    <dgm:pt modelId="{660F0E83-7F69-4BF4-B8D1-9921AE2EFD65}" type="parTrans" cxnId="{3FD5FA1B-A136-4A98-A58E-788362CA53F7}">
      <dgm:prSet/>
      <dgm:spPr/>
      <dgm:t>
        <a:bodyPr/>
        <a:lstStyle/>
        <a:p>
          <a:endParaRPr lang="en-US"/>
        </a:p>
      </dgm:t>
    </dgm:pt>
    <dgm:pt modelId="{A902C528-BD2C-485D-B07E-D4879485973F}" type="sibTrans" cxnId="{3FD5FA1B-A136-4A98-A58E-788362CA53F7}">
      <dgm:prSet/>
      <dgm:spPr/>
      <dgm:t>
        <a:bodyPr/>
        <a:lstStyle/>
        <a:p>
          <a:endParaRPr lang="en-US"/>
        </a:p>
      </dgm:t>
    </dgm:pt>
    <dgm:pt modelId="{D3EAC1EC-E763-4B42-B1C4-F9E7E8CAF88D}">
      <dgm:prSet phldrT="[Text]"/>
      <dgm:spPr>
        <a:xfrm>
          <a:off x="1612074" y="128025"/>
          <a:ext cx="1512125" cy="1277481"/>
        </a:xfrm>
        <a:solidFill>
          <a:srgbClr val="67BAF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a:solidFill>
                <a:srgbClr val="FFFFFF"/>
              </a:solidFill>
              <a:latin typeface="Cambria"/>
              <a:ea typeface="+mn-ea"/>
              <a:cs typeface="+mn-cs"/>
            </a:rPr>
            <a:t>Agencija za zaštitu ličnih podataka i slobodan pristup informacijama</a:t>
          </a:r>
          <a:endParaRPr lang="x-none">
            <a:solidFill>
              <a:srgbClr val="FFFFFF"/>
            </a:solidFill>
            <a:latin typeface="Cambria"/>
            <a:ea typeface="+mn-ea"/>
            <a:cs typeface="+mn-cs"/>
          </a:endParaRPr>
        </a:p>
        <a:p>
          <a:r>
            <a:rPr lang="x-none">
              <a:solidFill>
                <a:srgbClr val="FFFFFF"/>
              </a:solidFill>
              <a:latin typeface="Cambria"/>
              <a:ea typeface="+mn-ea"/>
              <a:cs typeface="+mn-cs"/>
            </a:rPr>
            <a:t>Upravni sud</a:t>
          </a:r>
        </a:p>
        <a:p>
          <a:r>
            <a:rPr lang="x-none">
              <a:solidFill>
                <a:srgbClr val="FFFFFF"/>
              </a:solidFill>
              <a:latin typeface="Cambria"/>
              <a:ea typeface="+mn-ea"/>
              <a:cs typeface="+mn-cs"/>
            </a:rPr>
            <a:t>Upravna inspekcija</a:t>
          </a:r>
        </a:p>
        <a:p>
          <a:r>
            <a:rPr lang="x-none">
              <a:solidFill>
                <a:srgbClr val="FFFFFF"/>
              </a:solidFill>
              <a:latin typeface="Cambria"/>
              <a:ea typeface="+mn-ea"/>
              <a:cs typeface="+mn-cs"/>
            </a:rPr>
            <a:t>Obveznici SPI</a:t>
          </a:r>
        </a:p>
      </dgm:t>
    </dgm:pt>
    <dgm:pt modelId="{0755FBE2-CF2F-466B-B10B-D7CD3C1BBD4F}" type="parTrans" cxnId="{E2303990-8CB9-4536-8762-F5AFF75ED02A}">
      <dgm:prSet/>
      <dgm:spPr/>
      <dgm:t>
        <a:bodyPr/>
        <a:lstStyle/>
        <a:p>
          <a:endParaRPr lang="en-US"/>
        </a:p>
      </dgm:t>
    </dgm:pt>
    <dgm:pt modelId="{65D98D41-526E-4180-A008-210AB81426C1}" type="sibTrans" cxnId="{E2303990-8CB9-4536-8762-F5AFF75ED02A}">
      <dgm:prSet/>
      <dgm:spPr/>
      <dgm:t>
        <a:bodyPr/>
        <a:lstStyle/>
        <a:p>
          <a:endParaRPr lang="en-US"/>
        </a:p>
      </dgm:t>
    </dgm:pt>
    <dgm:pt modelId="{3BF0349E-0E0B-4B51-B0EF-43924B242B8C}" type="pres">
      <dgm:prSet presAssocID="{E2D02C3F-55D9-4031-977E-945AC436F609}" presName="matrix" presStyleCnt="0">
        <dgm:presLayoutVars>
          <dgm:chMax val="1"/>
          <dgm:dir/>
          <dgm:resizeHandles val="exact"/>
        </dgm:presLayoutVars>
      </dgm:prSet>
      <dgm:spPr/>
      <dgm:t>
        <a:bodyPr/>
        <a:lstStyle/>
        <a:p>
          <a:endParaRPr lang="en-US"/>
        </a:p>
      </dgm:t>
    </dgm:pt>
    <dgm:pt modelId="{45AE29DA-CEBA-4413-B832-44D566F323F2}" type="pres">
      <dgm:prSet presAssocID="{E2D02C3F-55D9-4031-977E-945AC436F609}" presName="axisShape" presStyleLbl="bgShp" presStyleIdx="0" presStyleCnt="1" custScaleX="113503"/>
      <dgm:spPr>
        <a:xfrm>
          <a:off x="-176334" y="0"/>
          <a:ext cx="3476869" cy="3063240"/>
        </a:xfrm>
        <a:prstGeom prst="quadArrow">
          <a:avLst>
            <a:gd name="adj1" fmla="val 2000"/>
            <a:gd name="adj2" fmla="val 4000"/>
            <a:gd name="adj3" fmla="val 5000"/>
          </a:avLst>
        </a:prstGeom>
        <a:solidFill>
          <a:srgbClr val="B4936D">
            <a:tint val="40000"/>
            <a:hueOff val="0"/>
            <a:satOff val="0"/>
            <a:lumOff val="0"/>
            <a:alphaOff val="0"/>
          </a:srgbClr>
        </a:solidFill>
        <a:ln>
          <a:noFill/>
        </a:ln>
        <a:effectLst/>
      </dgm:spPr>
    </dgm:pt>
    <dgm:pt modelId="{BACB74F3-7544-48C4-B3E4-16ECB83E2651}" type="pres">
      <dgm:prSet presAssocID="{E2D02C3F-55D9-4031-977E-945AC436F609}" presName="rect1" presStyleLbl="node1" presStyleIdx="0" presStyleCnt="4" custScaleX="117500" custScaleY="111141" custLinFactNeighborX="-14175" custLinFactNeighborY="-4968">
        <dgm:presLayoutVars>
          <dgm:chMax val="0"/>
          <dgm:chPref val="0"/>
          <dgm:bulletEnabled val="1"/>
        </dgm:presLayoutVars>
      </dgm:prSet>
      <dgm:spPr>
        <a:prstGeom prst="roundRect">
          <a:avLst/>
        </a:prstGeom>
      </dgm:spPr>
      <dgm:t>
        <a:bodyPr/>
        <a:lstStyle/>
        <a:p>
          <a:endParaRPr lang="en-US"/>
        </a:p>
      </dgm:t>
    </dgm:pt>
    <dgm:pt modelId="{1B4914EA-63DB-475D-9E50-3BFC0718B9DD}" type="pres">
      <dgm:prSet presAssocID="{E2D02C3F-55D9-4031-977E-945AC436F609}" presName="rect2" presStyleLbl="node1" presStyleIdx="1" presStyleCnt="4" custScaleX="123409" custScaleY="104259" custLinFactNeighborX="10548" custLinFactNeighborY="-3672">
        <dgm:presLayoutVars>
          <dgm:chMax val="0"/>
          <dgm:chPref val="0"/>
          <dgm:bulletEnabled val="1"/>
        </dgm:presLayoutVars>
      </dgm:prSet>
      <dgm:spPr>
        <a:prstGeom prst="roundRect">
          <a:avLst/>
        </a:prstGeom>
      </dgm:spPr>
      <dgm:t>
        <a:bodyPr/>
        <a:lstStyle/>
        <a:p>
          <a:endParaRPr lang="en-US"/>
        </a:p>
      </dgm:t>
    </dgm:pt>
    <dgm:pt modelId="{BA0188D3-BDA5-4CAB-9BF0-E90EF2930321}" type="pres">
      <dgm:prSet presAssocID="{E2D02C3F-55D9-4031-977E-945AC436F609}" presName="rect3" presStyleLbl="node1" presStyleIdx="2" presStyleCnt="4" custScaleX="112471" custScaleY="101504" custLinFactNeighborX="-11214" custLinFactNeighborY="1047">
        <dgm:presLayoutVars>
          <dgm:chMax val="0"/>
          <dgm:chPref val="0"/>
          <dgm:bulletEnabled val="1"/>
        </dgm:presLayoutVars>
      </dgm:prSet>
      <dgm:spPr>
        <a:prstGeom prst="roundRect">
          <a:avLst/>
        </a:prstGeom>
      </dgm:spPr>
      <dgm:t>
        <a:bodyPr/>
        <a:lstStyle/>
        <a:p>
          <a:endParaRPr lang="en-US"/>
        </a:p>
      </dgm:t>
    </dgm:pt>
    <dgm:pt modelId="{A0C4A0DE-A96A-4B36-8D28-DEDC80D98084}" type="pres">
      <dgm:prSet presAssocID="{E2D02C3F-55D9-4031-977E-945AC436F609}" presName="rect4" presStyleLbl="node1" presStyleIdx="3" presStyleCnt="4" custScaleX="109183" custScaleY="103697" custLinFactNeighborX="7430" custLinFactNeighborY="2010">
        <dgm:presLayoutVars>
          <dgm:chMax val="0"/>
          <dgm:chPref val="0"/>
          <dgm:bulletEnabled val="1"/>
        </dgm:presLayoutVars>
      </dgm:prSet>
      <dgm:spPr>
        <a:prstGeom prst="roundRect">
          <a:avLst/>
        </a:prstGeom>
      </dgm:spPr>
      <dgm:t>
        <a:bodyPr/>
        <a:lstStyle/>
        <a:p>
          <a:endParaRPr lang="en-US"/>
        </a:p>
      </dgm:t>
    </dgm:pt>
  </dgm:ptLst>
  <dgm:cxnLst>
    <dgm:cxn modelId="{FD52F374-85A4-4B64-82CC-E0DE702D36AD}" type="presOf" srcId="{D3EAC1EC-E763-4B42-B1C4-F9E7E8CAF88D}" destId="{1B4914EA-63DB-475D-9E50-3BFC0718B9DD}" srcOrd="0" destOrd="0" presId="urn:microsoft.com/office/officeart/2005/8/layout/matrix2"/>
    <dgm:cxn modelId="{E2303990-8CB9-4536-8762-F5AFF75ED02A}" srcId="{E2D02C3F-55D9-4031-977E-945AC436F609}" destId="{D3EAC1EC-E763-4B42-B1C4-F9E7E8CAF88D}" srcOrd="1" destOrd="0" parTransId="{0755FBE2-CF2F-466B-B10B-D7CD3C1BBD4F}" sibTransId="{65D98D41-526E-4180-A008-210AB81426C1}"/>
    <dgm:cxn modelId="{E41CF610-F982-4444-962D-546B6E37F02C}" type="presOf" srcId="{E2D02C3F-55D9-4031-977E-945AC436F609}" destId="{3BF0349E-0E0B-4B51-B0EF-43924B242B8C}" srcOrd="0" destOrd="0" presId="urn:microsoft.com/office/officeart/2005/8/layout/matrix2"/>
    <dgm:cxn modelId="{8A1DA27F-CCD9-452C-9B84-230126EE04BA}" srcId="{E2D02C3F-55D9-4031-977E-945AC436F609}" destId="{CE10B973-8C9B-4742-A446-6BEB8132AE68}" srcOrd="3" destOrd="0" parTransId="{E717C905-B1A0-4458-B56C-B3B807271361}" sibTransId="{DBE1735C-BD60-4FD8-922E-24017C0AC19C}"/>
    <dgm:cxn modelId="{87F8653F-E943-4663-9F3D-83BB65B38D03}" type="presOf" srcId="{3F92533C-0EDB-40E8-80AB-FE65424991D0}" destId="{BACB74F3-7544-48C4-B3E4-16ECB83E2651}" srcOrd="0" destOrd="0" presId="urn:microsoft.com/office/officeart/2005/8/layout/matrix2"/>
    <dgm:cxn modelId="{7406C0FF-458D-4BC5-A9A3-0E32541D08E1}" type="presOf" srcId="{F90CB3E9-AC63-4A30-AB88-2ED862FA3561}" destId="{BA0188D3-BDA5-4CAB-9BF0-E90EF2930321}" srcOrd="0" destOrd="0" presId="urn:microsoft.com/office/officeart/2005/8/layout/matrix2"/>
    <dgm:cxn modelId="{26032150-28A0-4ABB-9101-99C42612F8A0}" type="presOf" srcId="{CE10B973-8C9B-4742-A446-6BEB8132AE68}" destId="{A0C4A0DE-A96A-4B36-8D28-DEDC80D98084}" srcOrd="0" destOrd="0" presId="urn:microsoft.com/office/officeart/2005/8/layout/matrix2"/>
    <dgm:cxn modelId="{3FD5FA1B-A136-4A98-A58E-788362CA53F7}" srcId="{E2D02C3F-55D9-4031-977E-945AC436F609}" destId="{F90CB3E9-AC63-4A30-AB88-2ED862FA3561}" srcOrd="2" destOrd="0" parTransId="{660F0E83-7F69-4BF4-B8D1-9921AE2EFD65}" sibTransId="{A902C528-BD2C-485D-B07E-D4879485973F}"/>
    <dgm:cxn modelId="{D0E99BF3-7BD7-4E33-AC4D-32C13CF9F04B}" srcId="{E2D02C3F-55D9-4031-977E-945AC436F609}" destId="{3F92533C-0EDB-40E8-80AB-FE65424991D0}" srcOrd="0" destOrd="0" parTransId="{F1F64519-8ABD-43D9-B630-7C33A204953A}" sibTransId="{90861B06-91BA-4555-B50D-CA9BA3C03200}"/>
    <dgm:cxn modelId="{88B93E51-7DFA-4E70-8B64-439DBB4A8793}" type="presParOf" srcId="{3BF0349E-0E0B-4B51-B0EF-43924B242B8C}" destId="{45AE29DA-CEBA-4413-B832-44D566F323F2}" srcOrd="0" destOrd="0" presId="urn:microsoft.com/office/officeart/2005/8/layout/matrix2"/>
    <dgm:cxn modelId="{21BFD880-DD9F-4632-97A7-6C21108BF155}" type="presParOf" srcId="{3BF0349E-0E0B-4B51-B0EF-43924B242B8C}" destId="{BACB74F3-7544-48C4-B3E4-16ECB83E2651}" srcOrd="1" destOrd="0" presId="urn:microsoft.com/office/officeart/2005/8/layout/matrix2"/>
    <dgm:cxn modelId="{994BDEB7-F27A-4635-88EA-78F00076D7C2}" type="presParOf" srcId="{3BF0349E-0E0B-4B51-B0EF-43924B242B8C}" destId="{1B4914EA-63DB-475D-9E50-3BFC0718B9DD}" srcOrd="2" destOrd="0" presId="urn:microsoft.com/office/officeart/2005/8/layout/matrix2"/>
    <dgm:cxn modelId="{BEF873C4-8EDC-4C24-ACC1-ECF968BD2EB8}" type="presParOf" srcId="{3BF0349E-0E0B-4B51-B0EF-43924B242B8C}" destId="{BA0188D3-BDA5-4CAB-9BF0-E90EF2930321}" srcOrd="3" destOrd="0" presId="urn:microsoft.com/office/officeart/2005/8/layout/matrix2"/>
    <dgm:cxn modelId="{49E93FB5-8575-496B-8C23-4885AD466068}" type="presParOf" srcId="{3BF0349E-0E0B-4B51-B0EF-43924B242B8C}" destId="{A0C4A0DE-A96A-4B36-8D28-DEDC80D98084}" srcOrd="4" destOrd="0" presId="urn:microsoft.com/office/officeart/2005/8/layout/matrix2"/>
  </dgm:cxnLst>
  <dgm:bg/>
  <dgm:whole/>
  <dgm:extLst>
    <a:ext uri="http://schemas.microsoft.com/office/drawing/2008/diagram">
      <dsp:dataModelExt xmlns:dsp="http://schemas.microsoft.com/office/drawing/2008/diagram" relId="rId99" minVer="http://schemas.openxmlformats.org/drawingml/2006/diagram"/>
    </a:ext>
    <a:ext uri="{C62137D5-CB1D-491B-B009-E17868A290BF}">
      <dgm14:recolorImg xmlns:dgm14="http://schemas.microsoft.com/office/drawing/2010/diagram" val="1"/>
    </a:ext>
  </dgm:extLst>
</dgm:dataModel>
</file>

<file path=word/diagrams/data17.xml><?xml version="1.0" encoding="utf-8"?>
<dgm:dataModel xmlns:dgm="http://schemas.openxmlformats.org/drawingml/2006/diagram" xmlns:a="http://schemas.openxmlformats.org/drawingml/2006/main">
  <dgm:ptLst>
    <dgm:pt modelId="{E2D02C3F-55D9-4031-977E-945AC436F609}" type="doc">
      <dgm:prSet loTypeId="urn:microsoft.com/office/officeart/2005/8/layout/matrix2" loCatId="matrix" qsTypeId="urn:microsoft.com/office/officeart/2005/8/quickstyle/simple2" qsCatId="simple" csTypeId="urn:microsoft.com/office/officeart/2005/8/colors/colorful4" csCatId="colorful" phldr="1"/>
      <dgm:spPr/>
      <dgm:t>
        <a:bodyPr/>
        <a:lstStyle/>
        <a:p>
          <a:endParaRPr lang="en-US"/>
        </a:p>
      </dgm:t>
    </dgm:pt>
    <dgm:pt modelId="{3F92533C-0EDB-40E8-80AB-FE65424991D0}">
      <dgm:prSet phldrT="[Text]"/>
      <dgm:spPr>
        <a:xfrm>
          <a:off x="332366" y="72768"/>
          <a:ext cx="1497025" cy="1416007"/>
        </a:xfrm>
        <a:solidFill>
          <a:srgbClr val="DC9E1F">
            <a:lumMod val="60000"/>
            <a:lumOff val="40000"/>
          </a:srgbClr>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a:solidFill>
                <a:srgbClr val="FFFFFF"/>
              </a:solidFill>
              <a:latin typeface="Cambria"/>
              <a:ea typeface="+mn-ea"/>
              <a:cs typeface="+mn-cs"/>
            </a:rPr>
            <a:t>Akademska zajednica, OCD, istraživači i istraživačke institucije</a:t>
          </a:r>
          <a:r>
            <a:rPr lang="x-none">
              <a:solidFill>
                <a:srgbClr val="FFFFFF"/>
              </a:solidFill>
              <a:latin typeface="Cambria"/>
              <a:ea typeface="+mn-ea"/>
              <a:cs typeface="+mn-cs"/>
            </a:rPr>
            <a:t>                                      </a:t>
          </a:r>
          <a:r>
            <a:rPr lang="en-US">
              <a:solidFill>
                <a:srgbClr val="FFFFFF"/>
              </a:solidFill>
              <a:latin typeface="Cambria"/>
              <a:ea typeface="+mn-ea"/>
              <a:cs typeface="+mn-cs"/>
            </a:rPr>
            <a:t>Mreža, polaznici programa obrazovanja za strateško planiranje</a:t>
          </a:r>
          <a:r>
            <a:rPr lang="x-none">
              <a:solidFill>
                <a:srgbClr val="FFFFFF"/>
              </a:solidFill>
              <a:latin typeface="Cambria"/>
              <a:ea typeface="+mn-ea"/>
              <a:cs typeface="+mn-cs"/>
            </a:rPr>
            <a:t>                            </a:t>
          </a:r>
          <a:r>
            <a:rPr lang="en-US">
              <a:solidFill>
                <a:srgbClr val="FFFFFF"/>
              </a:solidFill>
              <a:latin typeface="Cambria"/>
              <a:ea typeface="+mn-ea"/>
              <a:cs typeface="+mn-cs"/>
            </a:rPr>
            <a:t>Lokalne samouprave, Zajednica opština</a:t>
          </a:r>
          <a:r>
            <a:rPr lang="x-none">
              <a:solidFill>
                <a:srgbClr val="FFFFFF"/>
              </a:solidFill>
              <a:latin typeface="Cambria"/>
              <a:ea typeface="+mn-ea"/>
              <a:cs typeface="+mn-cs"/>
            </a:rPr>
            <a:t>                                  </a:t>
          </a:r>
          <a:r>
            <a:rPr lang="en-US">
              <a:solidFill>
                <a:srgbClr val="FFFFFF"/>
              </a:solidFill>
              <a:latin typeface="Cambria"/>
              <a:ea typeface="+mn-ea"/>
              <a:cs typeface="+mn-cs"/>
            </a:rPr>
            <a:t>Građani</a:t>
          </a:r>
          <a:r>
            <a:rPr lang="x-none">
              <a:solidFill>
                <a:srgbClr val="FFFFFF"/>
              </a:solidFill>
              <a:latin typeface="Cambria"/>
              <a:ea typeface="+mn-ea"/>
              <a:cs typeface="+mn-cs"/>
            </a:rPr>
            <a:t>                                    </a:t>
          </a:r>
          <a:r>
            <a:rPr lang="en-US">
              <a:solidFill>
                <a:srgbClr val="FFFFFF"/>
              </a:solidFill>
              <a:latin typeface="Cambria"/>
              <a:ea typeface="+mn-ea"/>
              <a:cs typeface="+mn-cs"/>
            </a:rPr>
            <a:t>Poslovna zajedniica/preduzetnici</a:t>
          </a:r>
        </a:p>
      </dgm:t>
    </dgm:pt>
    <dgm:pt modelId="{F1F64519-8ABD-43D9-B630-7C33A204953A}" type="parTrans" cxnId="{D0E99BF3-7BD7-4E33-AC4D-32C13CF9F04B}">
      <dgm:prSet/>
      <dgm:spPr/>
      <dgm:t>
        <a:bodyPr/>
        <a:lstStyle/>
        <a:p>
          <a:endParaRPr lang="en-US"/>
        </a:p>
      </dgm:t>
    </dgm:pt>
    <dgm:pt modelId="{90861B06-91BA-4555-B50D-CA9BA3C03200}" type="sibTrans" cxnId="{D0E99BF3-7BD7-4E33-AC4D-32C13CF9F04B}">
      <dgm:prSet/>
      <dgm:spPr/>
      <dgm:t>
        <a:bodyPr/>
        <a:lstStyle/>
        <a:p>
          <a:endParaRPr lang="en-US"/>
        </a:p>
      </dgm:t>
    </dgm:pt>
    <dgm:pt modelId="{CE10B973-8C9B-4742-A446-6BEB8132AE68}">
      <dgm:prSet phldrT="[Text]"/>
      <dgm:spPr>
        <a:xfrm>
          <a:off x="2094683" y="1706118"/>
          <a:ext cx="1391061" cy="1321166"/>
        </a:xfrm>
        <a:solidFill>
          <a:srgbClr val="FB9DB1"/>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x-none">
              <a:solidFill>
                <a:srgbClr val="FFFFFF"/>
              </a:solidFill>
              <a:latin typeface="Cambria"/>
              <a:ea typeface="+mn-ea"/>
              <a:cs typeface="+mn-cs"/>
            </a:rPr>
            <a:t>Mediji</a:t>
          </a:r>
          <a:endParaRPr lang="en-US">
            <a:solidFill>
              <a:srgbClr val="FFFFFF"/>
            </a:solidFill>
            <a:latin typeface="Cambria"/>
            <a:ea typeface="+mn-ea"/>
            <a:cs typeface="+mn-cs"/>
          </a:endParaRPr>
        </a:p>
      </dgm:t>
    </dgm:pt>
    <dgm:pt modelId="{E717C905-B1A0-4458-B56C-B3B807271361}" type="parTrans" cxnId="{8A1DA27F-CCD9-452C-9B84-230126EE04BA}">
      <dgm:prSet/>
      <dgm:spPr/>
      <dgm:t>
        <a:bodyPr/>
        <a:lstStyle/>
        <a:p>
          <a:endParaRPr lang="en-US"/>
        </a:p>
      </dgm:t>
    </dgm:pt>
    <dgm:pt modelId="{DBE1735C-BD60-4FD8-922E-24017C0AC19C}" type="sibTrans" cxnId="{8A1DA27F-CCD9-452C-9B84-230126EE04BA}">
      <dgm:prSet/>
      <dgm:spPr/>
      <dgm:t>
        <a:bodyPr/>
        <a:lstStyle/>
        <a:p>
          <a:endParaRPr lang="en-US"/>
        </a:p>
      </dgm:t>
    </dgm:pt>
    <dgm:pt modelId="{F90CB3E9-AC63-4A30-AB88-2ED862FA3561}">
      <dgm:prSet/>
      <dgm:spPr>
        <a:xfrm>
          <a:off x="346667" y="1707819"/>
          <a:ext cx="1432952" cy="1293225"/>
        </a:xfrm>
        <a:solidFill>
          <a:srgbClr val="46E88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endParaRPr lang="en-US">
            <a:solidFill>
              <a:srgbClr val="FFFFFF"/>
            </a:solidFill>
            <a:latin typeface="Cambria"/>
            <a:ea typeface="+mn-ea"/>
            <a:cs typeface="+mn-cs"/>
          </a:endParaRPr>
        </a:p>
      </dgm:t>
    </dgm:pt>
    <dgm:pt modelId="{660F0E83-7F69-4BF4-B8D1-9921AE2EFD65}" type="parTrans" cxnId="{3FD5FA1B-A136-4A98-A58E-788362CA53F7}">
      <dgm:prSet/>
      <dgm:spPr/>
      <dgm:t>
        <a:bodyPr/>
        <a:lstStyle/>
        <a:p>
          <a:endParaRPr lang="en-US"/>
        </a:p>
      </dgm:t>
    </dgm:pt>
    <dgm:pt modelId="{A902C528-BD2C-485D-B07E-D4879485973F}" type="sibTrans" cxnId="{3FD5FA1B-A136-4A98-A58E-788362CA53F7}">
      <dgm:prSet/>
      <dgm:spPr/>
      <dgm:t>
        <a:bodyPr/>
        <a:lstStyle/>
        <a:p>
          <a:endParaRPr lang="en-US"/>
        </a:p>
      </dgm:t>
    </dgm:pt>
    <dgm:pt modelId="{D3EAC1EC-E763-4B42-B1C4-F9E7E8CAF88D}">
      <dgm:prSet phldrT="[Text]"/>
      <dgm:spPr>
        <a:xfrm>
          <a:off x="2089523" y="147288"/>
          <a:ext cx="1439169" cy="1328326"/>
        </a:xfrm>
        <a:solidFill>
          <a:srgbClr val="67BAF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en-US">
              <a:solidFill>
                <a:srgbClr val="FFFFFF"/>
              </a:solidFill>
              <a:latin typeface="Cambria"/>
              <a:ea typeface="+mn-ea"/>
              <a:cs typeface="+mn-cs"/>
            </a:rPr>
            <a:t>Vlada CG, GSV, MFSS, KEI, SZ</a:t>
          </a:r>
          <a:r>
            <a:rPr lang="x-none">
              <a:solidFill>
                <a:srgbClr val="FFFFFF"/>
              </a:solidFill>
              <a:latin typeface="Cambria"/>
              <a:ea typeface="+mn-ea"/>
              <a:cs typeface="+mn-cs"/>
            </a:rPr>
            <a:t>                   </a:t>
          </a:r>
          <a:r>
            <a:rPr lang="en-US">
              <a:solidFill>
                <a:srgbClr val="FFFFFF"/>
              </a:solidFill>
              <a:latin typeface="Cambria"/>
              <a:ea typeface="+mn-ea"/>
              <a:cs typeface="+mn-cs"/>
            </a:rPr>
            <a:t>MJUDDM, MONSTAT, UzK</a:t>
          </a:r>
          <a:r>
            <a:rPr lang="x-none">
              <a:solidFill>
                <a:srgbClr val="FFFFFF"/>
              </a:solidFill>
              <a:latin typeface="Cambria"/>
              <a:ea typeface="+mn-ea"/>
              <a:cs typeface="+mn-cs"/>
            </a:rPr>
            <a:t>            </a:t>
          </a:r>
          <a:r>
            <a:rPr lang="en-US">
              <a:solidFill>
                <a:srgbClr val="FFFFFF"/>
              </a:solidFill>
              <a:latin typeface="Cambria"/>
              <a:ea typeface="+mn-ea"/>
              <a:cs typeface="+mn-cs"/>
            </a:rPr>
            <a:t>Sva ministarstva</a:t>
          </a:r>
          <a:r>
            <a:rPr lang="x-none">
              <a:solidFill>
                <a:srgbClr val="FFFFFF"/>
              </a:solidFill>
              <a:latin typeface="Cambria"/>
              <a:ea typeface="+mn-ea"/>
              <a:cs typeface="+mn-cs"/>
            </a:rPr>
            <a:t>                                                                                                                       </a:t>
          </a:r>
          <a:r>
            <a:rPr lang="en-US">
              <a:solidFill>
                <a:srgbClr val="FFFFFF"/>
              </a:solidFill>
              <a:latin typeface="Cambria"/>
              <a:ea typeface="+mn-ea"/>
              <a:cs typeface="+mn-cs"/>
            </a:rPr>
            <a:t>EK, DEU,</a:t>
          </a:r>
          <a:r>
            <a:rPr lang="x-none">
              <a:solidFill>
                <a:srgbClr val="FFFFFF"/>
              </a:solidFill>
              <a:latin typeface="Cambria"/>
              <a:ea typeface="+mn-ea"/>
              <a:cs typeface="+mn-cs"/>
            </a:rPr>
            <a:t> OECD,</a:t>
          </a:r>
          <a:r>
            <a:rPr lang="en-US">
              <a:solidFill>
                <a:srgbClr val="FFFFFF"/>
              </a:solidFill>
              <a:latin typeface="Cambria"/>
              <a:ea typeface="+mn-ea"/>
              <a:cs typeface="+mn-cs"/>
            </a:rPr>
            <a:t> SIGMA, UNDP</a:t>
          </a:r>
        </a:p>
      </dgm:t>
    </dgm:pt>
    <dgm:pt modelId="{0755FBE2-CF2F-466B-B10B-D7CD3C1BBD4F}" type="parTrans" cxnId="{E2303990-8CB9-4536-8762-F5AFF75ED02A}">
      <dgm:prSet/>
      <dgm:spPr/>
      <dgm:t>
        <a:bodyPr/>
        <a:lstStyle/>
        <a:p>
          <a:endParaRPr lang="en-US"/>
        </a:p>
      </dgm:t>
    </dgm:pt>
    <dgm:pt modelId="{65D98D41-526E-4180-A008-210AB81426C1}" type="sibTrans" cxnId="{E2303990-8CB9-4536-8762-F5AFF75ED02A}">
      <dgm:prSet/>
      <dgm:spPr/>
      <dgm:t>
        <a:bodyPr/>
        <a:lstStyle/>
        <a:p>
          <a:endParaRPr lang="en-US"/>
        </a:p>
      </dgm:t>
    </dgm:pt>
    <dgm:pt modelId="{3BF0349E-0E0B-4B51-B0EF-43924B242B8C}" type="pres">
      <dgm:prSet presAssocID="{E2D02C3F-55D9-4031-977E-945AC436F609}" presName="matrix" presStyleCnt="0">
        <dgm:presLayoutVars>
          <dgm:chMax val="1"/>
          <dgm:dir/>
          <dgm:resizeHandles val="exact"/>
        </dgm:presLayoutVars>
      </dgm:prSet>
      <dgm:spPr/>
      <dgm:t>
        <a:bodyPr/>
        <a:lstStyle/>
        <a:p>
          <a:endParaRPr lang="en-US"/>
        </a:p>
      </dgm:t>
    </dgm:pt>
    <dgm:pt modelId="{45AE29DA-CEBA-4413-B832-44D566F323F2}" type="pres">
      <dgm:prSet presAssocID="{E2D02C3F-55D9-4031-977E-945AC436F609}" presName="axisShape" presStyleLbl="bgShp" presStyleIdx="0" presStyleCnt="1" custScaleX="113503"/>
      <dgm:spPr>
        <a:xfrm>
          <a:off x="146903" y="0"/>
          <a:ext cx="3615252" cy="3185160"/>
        </a:xfrm>
        <a:prstGeom prst="quadArrow">
          <a:avLst>
            <a:gd name="adj1" fmla="val 2000"/>
            <a:gd name="adj2" fmla="val 4000"/>
            <a:gd name="adj3" fmla="val 5000"/>
          </a:avLst>
        </a:prstGeom>
        <a:solidFill>
          <a:srgbClr val="B4936D">
            <a:tint val="40000"/>
            <a:hueOff val="0"/>
            <a:satOff val="0"/>
            <a:lumOff val="0"/>
            <a:alphaOff val="0"/>
          </a:srgbClr>
        </a:solidFill>
        <a:ln>
          <a:noFill/>
        </a:ln>
        <a:effectLst/>
      </dgm:spPr>
    </dgm:pt>
    <dgm:pt modelId="{BACB74F3-7544-48C4-B3E4-16ECB83E2651}" type="pres">
      <dgm:prSet presAssocID="{E2D02C3F-55D9-4031-977E-945AC436F609}" presName="rect1" presStyleLbl="node1" presStyleIdx="0" presStyleCnt="4" custScaleX="117500" custScaleY="111141" custLinFactNeighborX="-9822" custLinFactNeighborY="-4968">
        <dgm:presLayoutVars>
          <dgm:chMax val="0"/>
          <dgm:chPref val="0"/>
          <dgm:bulletEnabled val="1"/>
        </dgm:presLayoutVars>
      </dgm:prSet>
      <dgm:spPr>
        <a:prstGeom prst="roundRect">
          <a:avLst/>
        </a:prstGeom>
      </dgm:spPr>
      <dgm:t>
        <a:bodyPr/>
        <a:lstStyle/>
        <a:p>
          <a:endParaRPr lang="en-US"/>
        </a:p>
      </dgm:t>
    </dgm:pt>
    <dgm:pt modelId="{1B4914EA-63DB-475D-9E50-3BFC0718B9DD}" type="pres">
      <dgm:prSet presAssocID="{E2D02C3F-55D9-4031-977E-945AC436F609}" presName="rect2" presStyleLbl="node1" presStyleIdx="1" presStyleCnt="4" custScaleX="112959" custScaleY="104259" custLinFactNeighborX="8325" custLinFactNeighborY="-2560">
        <dgm:presLayoutVars>
          <dgm:chMax val="0"/>
          <dgm:chPref val="0"/>
          <dgm:bulletEnabled val="1"/>
        </dgm:presLayoutVars>
      </dgm:prSet>
      <dgm:spPr>
        <a:prstGeom prst="roundRect">
          <a:avLst/>
        </a:prstGeom>
      </dgm:spPr>
      <dgm:t>
        <a:bodyPr/>
        <a:lstStyle/>
        <a:p>
          <a:endParaRPr lang="en-US"/>
        </a:p>
      </dgm:t>
    </dgm:pt>
    <dgm:pt modelId="{BA0188D3-BDA5-4CAB-9BF0-E90EF2930321}" type="pres">
      <dgm:prSet presAssocID="{E2D02C3F-55D9-4031-977E-945AC436F609}" presName="rect3" presStyleLbl="node1" presStyleIdx="2" presStyleCnt="4" custScaleX="112471" custScaleY="101504" custLinFactNeighborX="-11214" custLinFactNeighborY="1047">
        <dgm:presLayoutVars>
          <dgm:chMax val="0"/>
          <dgm:chPref val="0"/>
          <dgm:bulletEnabled val="1"/>
        </dgm:presLayoutVars>
      </dgm:prSet>
      <dgm:spPr>
        <a:prstGeom prst="roundRect">
          <a:avLst/>
        </a:prstGeom>
      </dgm:spPr>
      <dgm:t>
        <a:bodyPr/>
        <a:lstStyle/>
        <a:p>
          <a:endParaRPr lang="en-US"/>
        </a:p>
      </dgm:t>
    </dgm:pt>
    <dgm:pt modelId="{A0C4A0DE-A96A-4B36-8D28-DEDC80D98084}" type="pres">
      <dgm:prSet presAssocID="{E2D02C3F-55D9-4031-977E-945AC436F609}" presName="rect4" presStyleLbl="node1" presStyleIdx="3" presStyleCnt="4" custScaleX="109183" custScaleY="103697" custLinFactNeighborX="6842" custLinFactNeighborY="2010">
        <dgm:presLayoutVars>
          <dgm:chMax val="0"/>
          <dgm:chPref val="0"/>
          <dgm:bulletEnabled val="1"/>
        </dgm:presLayoutVars>
      </dgm:prSet>
      <dgm:spPr>
        <a:prstGeom prst="roundRect">
          <a:avLst/>
        </a:prstGeom>
      </dgm:spPr>
      <dgm:t>
        <a:bodyPr/>
        <a:lstStyle/>
        <a:p>
          <a:endParaRPr lang="en-US"/>
        </a:p>
      </dgm:t>
    </dgm:pt>
  </dgm:ptLst>
  <dgm:cxnLst>
    <dgm:cxn modelId="{1D3B022D-ED1E-42B7-95D2-7F496BBCF5E8}" type="presOf" srcId="{CE10B973-8C9B-4742-A446-6BEB8132AE68}" destId="{A0C4A0DE-A96A-4B36-8D28-DEDC80D98084}" srcOrd="0" destOrd="0" presId="urn:microsoft.com/office/officeart/2005/8/layout/matrix2"/>
    <dgm:cxn modelId="{E2303990-8CB9-4536-8762-F5AFF75ED02A}" srcId="{E2D02C3F-55D9-4031-977E-945AC436F609}" destId="{D3EAC1EC-E763-4B42-B1C4-F9E7E8CAF88D}" srcOrd="1" destOrd="0" parTransId="{0755FBE2-CF2F-466B-B10B-D7CD3C1BBD4F}" sibTransId="{65D98D41-526E-4180-A008-210AB81426C1}"/>
    <dgm:cxn modelId="{A47BA90D-99AA-4F51-A57C-43175C6DA4E1}" type="presOf" srcId="{E2D02C3F-55D9-4031-977E-945AC436F609}" destId="{3BF0349E-0E0B-4B51-B0EF-43924B242B8C}" srcOrd="0" destOrd="0" presId="urn:microsoft.com/office/officeart/2005/8/layout/matrix2"/>
    <dgm:cxn modelId="{5155DC08-E988-4312-B85F-613F5B0BB858}" type="presOf" srcId="{F90CB3E9-AC63-4A30-AB88-2ED862FA3561}" destId="{BA0188D3-BDA5-4CAB-9BF0-E90EF2930321}" srcOrd="0" destOrd="0" presId="urn:microsoft.com/office/officeart/2005/8/layout/matrix2"/>
    <dgm:cxn modelId="{8A1DA27F-CCD9-452C-9B84-230126EE04BA}" srcId="{E2D02C3F-55D9-4031-977E-945AC436F609}" destId="{CE10B973-8C9B-4742-A446-6BEB8132AE68}" srcOrd="3" destOrd="0" parTransId="{E717C905-B1A0-4458-B56C-B3B807271361}" sibTransId="{DBE1735C-BD60-4FD8-922E-24017C0AC19C}"/>
    <dgm:cxn modelId="{8C4EAB7F-5C50-4870-9793-A40C20855819}" type="presOf" srcId="{3F92533C-0EDB-40E8-80AB-FE65424991D0}" destId="{BACB74F3-7544-48C4-B3E4-16ECB83E2651}" srcOrd="0" destOrd="0" presId="urn:microsoft.com/office/officeart/2005/8/layout/matrix2"/>
    <dgm:cxn modelId="{3FD5FA1B-A136-4A98-A58E-788362CA53F7}" srcId="{E2D02C3F-55D9-4031-977E-945AC436F609}" destId="{F90CB3E9-AC63-4A30-AB88-2ED862FA3561}" srcOrd="2" destOrd="0" parTransId="{660F0E83-7F69-4BF4-B8D1-9921AE2EFD65}" sibTransId="{A902C528-BD2C-485D-B07E-D4879485973F}"/>
    <dgm:cxn modelId="{778D148B-6719-46F1-836D-AEC131F5BCF9}" type="presOf" srcId="{D3EAC1EC-E763-4B42-B1C4-F9E7E8CAF88D}" destId="{1B4914EA-63DB-475D-9E50-3BFC0718B9DD}" srcOrd="0" destOrd="0" presId="urn:microsoft.com/office/officeart/2005/8/layout/matrix2"/>
    <dgm:cxn modelId="{D0E99BF3-7BD7-4E33-AC4D-32C13CF9F04B}" srcId="{E2D02C3F-55D9-4031-977E-945AC436F609}" destId="{3F92533C-0EDB-40E8-80AB-FE65424991D0}" srcOrd="0" destOrd="0" parTransId="{F1F64519-8ABD-43D9-B630-7C33A204953A}" sibTransId="{90861B06-91BA-4555-B50D-CA9BA3C03200}"/>
    <dgm:cxn modelId="{C18ED1C8-9E22-4887-B7B7-6677F9740A14}" type="presParOf" srcId="{3BF0349E-0E0B-4B51-B0EF-43924B242B8C}" destId="{45AE29DA-CEBA-4413-B832-44D566F323F2}" srcOrd="0" destOrd="0" presId="urn:microsoft.com/office/officeart/2005/8/layout/matrix2"/>
    <dgm:cxn modelId="{3B3ACA60-6B99-48DC-BCF4-8EBEF325A224}" type="presParOf" srcId="{3BF0349E-0E0B-4B51-B0EF-43924B242B8C}" destId="{BACB74F3-7544-48C4-B3E4-16ECB83E2651}" srcOrd="1" destOrd="0" presId="urn:microsoft.com/office/officeart/2005/8/layout/matrix2"/>
    <dgm:cxn modelId="{FBA90ADA-11DE-48D7-A78A-1BE6691C0CBE}" type="presParOf" srcId="{3BF0349E-0E0B-4B51-B0EF-43924B242B8C}" destId="{1B4914EA-63DB-475D-9E50-3BFC0718B9DD}" srcOrd="2" destOrd="0" presId="urn:microsoft.com/office/officeart/2005/8/layout/matrix2"/>
    <dgm:cxn modelId="{584B85C7-106B-40F7-82EA-459E2D065D5F}" type="presParOf" srcId="{3BF0349E-0E0B-4B51-B0EF-43924B242B8C}" destId="{BA0188D3-BDA5-4CAB-9BF0-E90EF2930321}" srcOrd="3" destOrd="0" presId="urn:microsoft.com/office/officeart/2005/8/layout/matrix2"/>
    <dgm:cxn modelId="{FD83EFF1-92DB-4663-B42C-1262FBF3F115}" type="presParOf" srcId="{3BF0349E-0E0B-4B51-B0EF-43924B242B8C}" destId="{A0C4A0DE-A96A-4B36-8D28-DEDC80D98084}" srcOrd="4" destOrd="0" presId="urn:microsoft.com/office/officeart/2005/8/layout/matrix2"/>
  </dgm:cxnLst>
  <dgm:bg/>
  <dgm:whole/>
  <dgm:extLst>
    <a:ext uri="http://schemas.microsoft.com/office/drawing/2008/diagram">
      <dsp:dataModelExt xmlns:dsp="http://schemas.microsoft.com/office/drawing/2008/diagram" relId="rId110" minVer="http://schemas.openxmlformats.org/drawingml/2006/diagram"/>
    </a:ext>
    <a:ext uri="{C62137D5-CB1D-491B-B009-E17868A290BF}">
      <dgm14:recolorImg xmlns:dgm14="http://schemas.microsoft.com/office/drawing/2010/diagram" val="1"/>
    </a:ext>
  </dgm:extLst>
</dgm:dataModel>
</file>

<file path=word/diagrams/data18.xml><?xml version="1.0" encoding="utf-8"?>
<dgm:dataModel xmlns:dgm="http://schemas.openxmlformats.org/drawingml/2006/diagram" xmlns:a="http://schemas.openxmlformats.org/drawingml/2006/main">
  <dgm:ptLst>
    <dgm:pt modelId="{308C6D33-2588-4A74-806C-24BB6C7BD258}" type="doc">
      <dgm:prSet loTypeId="urn:microsoft.com/office/officeart/2005/8/layout/default" loCatId="list" qsTypeId="urn:microsoft.com/office/officeart/2005/8/quickstyle/simple1" qsCatId="simple" csTypeId="urn:microsoft.com/office/officeart/2005/8/colors/colorful4" csCatId="colorful" phldr="1"/>
      <dgm:spPr/>
      <dgm:t>
        <a:bodyPr/>
        <a:lstStyle/>
        <a:p>
          <a:endParaRPr lang="en-US"/>
        </a:p>
      </dgm:t>
    </dgm:pt>
    <dgm:pt modelId="{9897C7EA-42B4-446D-BAEE-A1B68F38509B}">
      <dgm:prSet phldrT="[Text]"/>
      <dgm:spPr/>
      <dgm:t>
        <a:bodyPr/>
        <a:lstStyle/>
        <a:p>
          <a:r>
            <a:rPr lang="en-US" b="0"/>
            <a:t>+ pružena politička podrška procesu promjena i reforme</a:t>
          </a:r>
        </a:p>
      </dgm:t>
    </dgm:pt>
    <dgm:pt modelId="{056D23F6-9BA5-43C3-8EE9-BA513AB8CED3}" type="parTrans" cxnId="{546FDDB7-CA2F-4262-A450-1E313027DB34}">
      <dgm:prSet/>
      <dgm:spPr/>
      <dgm:t>
        <a:bodyPr/>
        <a:lstStyle/>
        <a:p>
          <a:endParaRPr lang="en-US"/>
        </a:p>
      </dgm:t>
    </dgm:pt>
    <dgm:pt modelId="{423425C0-E5C7-47E5-B0D2-E1434F4EF83D}" type="sibTrans" cxnId="{546FDDB7-CA2F-4262-A450-1E313027DB34}">
      <dgm:prSet/>
      <dgm:spPr/>
      <dgm:t>
        <a:bodyPr/>
        <a:lstStyle/>
        <a:p>
          <a:endParaRPr lang="en-US"/>
        </a:p>
      </dgm:t>
    </dgm:pt>
    <dgm:pt modelId="{6AC5657C-8AA1-4F4C-8771-B7B75DF66244}">
      <dgm:prSet phldrT="[Text]"/>
      <dgm:spPr/>
      <dgm:t>
        <a:bodyPr/>
        <a:lstStyle/>
        <a:p>
          <a:r>
            <a:rPr lang="en-US"/>
            <a:t>+ funkcionalan i nije imao veliki broj članova</a:t>
          </a:r>
        </a:p>
      </dgm:t>
    </dgm:pt>
    <dgm:pt modelId="{5658DD59-87B2-4EA0-A80B-C8CED34D2A3E}" type="parTrans" cxnId="{4EC45DC9-8A54-44A5-B40E-89F76A87C383}">
      <dgm:prSet/>
      <dgm:spPr/>
      <dgm:t>
        <a:bodyPr/>
        <a:lstStyle/>
        <a:p>
          <a:endParaRPr lang="en-US"/>
        </a:p>
      </dgm:t>
    </dgm:pt>
    <dgm:pt modelId="{BFA0589B-AFDC-46EF-B4AA-87D6604C3328}" type="sibTrans" cxnId="{4EC45DC9-8A54-44A5-B40E-89F76A87C383}">
      <dgm:prSet/>
      <dgm:spPr/>
      <dgm:t>
        <a:bodyPr/>
        <a:lstStyle/>
        <a:p>
          <a:endParaRPr lang="en-US"/>
        </a:p>
      </dgm:t>
    </dgm:pt>
    <dgm:pt modelId="{FFBBAB87-5411-4822-AF41-D2CE5A6A43CF}">
      <dgm:prSet phldrT="[Text]"/>
      <dgm:spPr/>
      <dgm:t>
        <a:bodyPr/>
        <a:lstStyle/>
        <a:p>
          <a:r>
            <a:rPr lang="en-US"/>
            <a:t>+uključena dva predstavnika nevladinih organizacija</a:t>
          </a:r>
        </a:p>
      </dgm:t>
    </dgm:pt>
    <dgm:pt modelId="{1D16869B-33D2-425F-BF6C-C60922795450}" type="parTrans" cxnId="{A128B5BB-2B9C-4AA1-9BB7-90986F48579E}">
      <dgm:prSet/>
      <dgm:spPr/>
      <dgm:t>
        <a:bodyPr/>
        <a:lstStyle/>
        <a:p>
          <a:endParaRPr lang="en-US"/>
        </a:p>
      </dgm:t>
    </dgm:pt>
    <dgm:pt modelId="{F5D5035E-6A93-4880-8652-35D46063F792}" type="sibTrans" cxnId="{A128B5BB-2B9C-4AA1-9BB7-90986F48579E}">
      <dgm:prSet/>
      <dgm:spPr/>
      <dgm:t>
        <a:bodyPr/>
        <a:lstStyle/>
        <a:p>
          <a:endParaRPr lang="en-US"/>
        </a:p>
      </dgm:t>
    </dgm:pt>
    <dgm:pt modelId="{62E6599C-A823-4DF1-B474-24791D8F6471}">
      <dgm:prSet phldrT="[Text]"/>
      <dgm:spPr/>
      <dgm:t>
        <a:bodyPr/>
        <a:lstStyle/>
        <a:p>
          <a:r>
            <a:rPr lang="en-US" b="1"/>
            <a:t>- </a:t>
          </a:r>
          <a:r>
            <a:rPr lang="en-US" b="0"/>
            <a:t>nije bio proaktivan u svom radu</a:t>
          </a:r>
        </a:p>
      </dgm:t>
    </dgm:pt>
    <dgm:pt modelId="{E105096F-844A-4A24-A77E-F405AA93F0E5}" type="parTrans" cxnId="{7B935B05-1D6E-4F7E-8DC6-87B687EDD0D6}">
      <dgm:prSet/>
      <dgm:spPr/>
      <dgm:t>
        <a:bodyPr/>
        <a:lstStyle/>
        <a:p>
          <a:endParaRPr lang="en-US"/>
        </a:p>
      </dgm:t>
    </dgm:pt>
    <dgm:pt modelId="{CF5720B0-EAFB-466F-B5BB-D96884C8E457}" type="sibTrans" cxnId="{7B935B05-1D6E-4F7E-8DC6-87B687EDD0D6}">
      <dgm:prSet/>
      <dgm:spPr/>
      <dgm:t>
        <a:bodyPr/>
        <a:lstStyle/>
        <a:p>
          <a:endParaRPr lang="en-US"/>
        </a:p>
      </dgm:t>
    </dgm:pt>
    <dgm:pt modelId="{AE4EDA21-7D1A-4CE9-827D-A3555E556E73}">
      <dgm:prSet phldrT="[Text]"/>
      <dgm:spPr/>
      <dgm:t>
        <a:bodyPr/>
        <a:lstStyle/>
        <a:p>
          <a:r>
            <a:rPr lang="en-US" b="0"/>
            <a:t>- nijesu preduzimane mjere intervencije u implementaciji strategije</a:t>
          </a:r>
        </a:p>
      </dgm:t>
    </dgm:pt>
    <dgm:pt modelId="{60FED930-5F0B-47DA-8387-2554959179A5}" type="parTrans" cxnId="{FFB75D48-F5E2-4181-8BE9-1C8CAEF874BC}">
      <dgm:prSet/>
      <dgm:spPr/>
      <dgm:t>
        <a:bodyPr/>
        <a:lstStyle/>
        <a:p>
          <a:endParaRPr lang="en-US"/>
        </a:p>
      </dgm:t>
    </dgm:pt>
    <dgm:pt modelId="{C0EE9C24-DCD8-47ED-899D-5CE985DD5DC3}" type="sibTrans" cxnId="{FFB75D48-F5E2-4181-8BE9-1C8CAEF874BC}">
      <dgm:prSet/>
      <dgm:spPr/>
      <dgm:t>
        <a:bodyPr/>
        <a:lstStyle/>
        <a:p>
          <a:endParaRPr lang="en-US"/>
        </a:p>
      </dgm:t>
    </dgm:pt>
    <dgm:pt modelId="{C3B9B92E-C5E6-473B-8C27-4ABC9636BBA4}">
      <dgm:prSet phldrT="[Text]"/>
      <dgm:spPr/>
      <dgm:t>
        <a:bodyPr/>
        <a:lstStyle/>
        <a:p>
          <a:r>
            <a:rPr lang="fr-FR" b="0"/>
            <a:t>- ključni dokumenti koji su se odnosili na reformu javne uprave nijesu razmatrani na savjetu</a:t>
          </a:r>
          <a:endParaRPr lang="en-US" b="0"/>
        </a:p>
      </dgm:t>
    </dgm:pt>
    <dgm:pt modelId="{60BA7F47-64E1-4EC2-80CA-5B6E9EB1CB46}" type="parTrans" cxnId="{9D33FFCD-5379-421C-97B4-D01E3B496D38}">
      <dgm:prSet/>
      <dgm:spPr/>
      <dgm:t>
        <a:bodyPr/>
        <a:lstStyle/>
        <a:p>
          <a:endParaRPr lang="en-US"/>
        </a:p>
      </dgm:t>
    </dgm:pt>
    <dgm:pt modelId="{9B1BAA86-EA7C-4792-AAA8-ED1543E3F5A5}" type="sibTrans" cxnId="{9D33FFCD-5379-421C-97B4-D01E3B496D38}">
      <dgm:prSet/>
      <dgm:spPr/>
      <dgm:t>
        <a:bodyPr/>
        <a:lstStyle/>
        <a:p>
          <a:endParaRPr lang="en-US"/>
        </a:p>
      </dgm:t>
    </dgm:pt>
    <dgm:pt modelId="{AD624EDC-DB5A-4EF6-996C-B4CEE0A8E1B2}" type="pres">
      <dgm:prSet presAssocID="{308C6D33-2588-4A74-806C-24BB6C7BD258}" presName="diagram" presStyleCnt="0">
        <dgm:presLayoutVars>
          <dgm:dir/>
          <dgm:resizeHandles val="exact"/>
        </dgm:presLayoutVars>
      </dgm:prSet>
      <dgm:spPr/>
      <dgm:t>
        <a:bodyPr/>
        <a:lstStyle/>
        <a:p>
          <a:endParaRPr lang="en-US"/>
        </a:p>
      </dgm:t>
    </dgm:pt>
    <dgm:pt modelId="{5CEE6F22-8B86-4265-85C0-FAF5F51ADBEA}" type="pres">
      <dgm:prSet presAssocID="{9897C7EA-42B4-446D-BAEE-A1B68F38509B}" presName="node" presStyleLbl="node1" presStyleIdx="0" presStyleCnt="6">
        <dgm:presLayoutVars>
          <dgm:bulletEnabled val="1"/>
        </dgm:presLayoutVars>
      </dgm:prSet>
      <dgm:spPr/>
      <dgm:t>
        <a:bodyPr/>
        <a:lstStyle/>
        <a:p>
          <a:endParaRPr lang="en-US"/>
        </a:p>
      </dgm:t>
    </dgm:pt>
    <dgm:pt modelId="{63B4275D-CAEC-4540-A127-35E44F8EACF2}" type="pres">
      <dgm:prSet presAssocID="{423425C0-E5C7-47E5-B0D2-E1434F4EF83D}" presName="sibTrans" presStyleCnt="0"/>
      <dgm:spPr/>
    </dgm:pt>
    <dgm:pt modelId="{5076790E-1339-4862-B891-1ED45259B7D6}" type="pres">
      <dgm:prSet presAssocID="{6AC5657C-8AA1-4F4C-8771-B7B75DF66244}" presName="node" presStyleLbl="node1" presStyleIdx="1" presStyleCnt="6">
        <dgm:presLayoutVars>
          <dgm:bulletEnabled val="1"/>
        </dgm:presLayoutVars>
      </dgm:prSet>
      <dgm:spPr/>
      <dgm:t>
        <a:bodyPr/>
        <a:lstStyle/>
        <a:p>
          <a:endParaRPr lang="en-US"/>
        </a:p>
      </dgm:t>
    </dgm:pt>
    <dgm:pt modelId="{974A8FF0-42DC-4F94-9E42-D95356D23D50}" type="pres">
      <dgm:prSet presAssocID="{BFA0589B-AFDC-46EF-B4AA-87D6604C3328}" presName="sibTrans" presStyleCnt="0"/>
      <dgm:spPr/>
    </dgm:pt>
    <dgm:pt modelId="{47DCBB25-FD45-4A57-8D42-24E37D1D8553}" type="pres">
      <dgm:prSet presAssocID="{FFBBAB87-5411-4822-AF41-D2CE5A6A43CF}" presName="node" presStyleLbl="node1" presStyleIdx="2" presStyleCnt="6">
        <dgm:presLayoutVars>
          <dgm:bulletEnabled val="1"/>
        </dgm:presLayoutVars>
      </dgm:prSet>
      <dgm:spPr/>
      <dgm:t>
        <a:bodyPr/>
        <a:lstStyle/>
        <a:p>
          <a:endParaRPr lang="en-US"/>
        </a:p>
      </dgm:t>
    </dgm:pt>
    <dgm:pt modelId="{3B8C6EBD-7C8C-495B-9D8A-11E72AF89530}" type="pres">
      <dgm:prSet presAssocID="{F5D5035E-6A93-4880-8652-35D46063F792}" presName="sibTrans" presStyleCnt="0"/>
      <dgm:spPr/>
    </dgm:pt>
    <dgm:pt modelId="{9C85919B-481B-48FC-A540-B7B2C0B019D5}" type="pres">
      <dgm:prSet presAssocID="{62E6599C-A823-4DF1-B474-24791D8F6471}" presName="node" presStyleLbl="node1" presStyleIdx="3" presStyleCnt="6">
        <dgm:presLayoutVars>
          <dgm:bulletEnabled val="1"/>
        </dgm:presLayoutVars>
      </dgm:prSet>
      <dgm:spPr/>
      <dgm:t>
        <a:bodyPr/>
        <a:lstStyle/>
        <a:p>
          <a:endParaRPr lang="en-US"/>
        </a:p>
      </dgm:t>
    </dgm:pt>
    <dgm:pt modelId="{F19F72A3-18B0-4A86-B170-C03BFF0DD1D0}" type="pres">
      <dgm:prSet presAssocID="{CF5720B0-EAFB-466F-B5BB-D96884C8E457}" presName="sibTrans" presStyleCnt="0"/>
      <dgm:spPr/>
    </dgm:pt>
    <dgm:pt modelId="{AE5BA7B4-42C7-4D44-ABFA-8DC3F7377FC9}" type="pres">
      <dgm:prSet presAssocID="{AE4EDA21-7D1A-4CE9-827D-A3555E556E73}" presName="node" presStyleLbl="node1" presStyleIdx="4" presStyleCnt="6">
        <dgm:presLayoutVars>
          <dgm:bulletEnabled val="1"/>
        </dgm:presLayoutVars>
      </dgm:prSet>
      <dgm:spPr/>
      <dgm:t>
        <a:bodyPr/>
        <a:lstStyle/>
        <a:p>
          <a:endParaRPr lang="en-US"/>
        </a:p>
      </dgm:t>
    </dgm:pt>
    <dgm:pt modelId="{EE21D250-1210-45F8-83CB-AECA71B0E93E}" type="pres">
      <dgm:prSet presAssocID="{C0EE9C24-DCD8-47ED-899D-5CE985DD5DC3}" presName="sibTrans" presStyleCnt="0"/>
      <dgm:spPr/>
    </dgm:pt>
    <dgm:pt modelId="{551C8732-3B41-42CC-BAAA-424BE1681D5D}" type="pres">
      <dgm:prSet presAssocID="{C3B9B92E-C5E6-473B-8C27-4ABC9636BBA4}" presName="node" presStyleLbl="node1" presStyleIdx="5" presStyleCnt="6">
        <dgm:presLayoutVars>
          <dgm:bulletEnabled val="1"/>
        </dgm:presLayoutVars>
      </dgm:prSet>
      <dgm:spPr/>
      <dgm:t>
        <a:bodyPr/>
        <a:lstStyle/>
        <a:p>
          <a:endParaRPr lang="en-US"/>
        </a:p>
      </dgm:t>
    </dgm:pt>
  </dgm:ptLst>
  <dgm:cxnLst>
    <dgm:cxn modelId="{EE94A508-0D2A-4A16-9D97-CF450E657596}" type="presOf" srcId="{C3B9B92E-C5E6-473B-8C27-4ABC9636BBA4}" destId="{551C8732-3B41-42CC-BAAA-424BE1681D5D}" srcOrd="0" destOrd="0" presId="urn:microsoft.com/office/officeart/2005/8/layout/default"/>
    <dgm:cxn modelId="{4EC45DC9-8A54-44A5-B40E-89F76A87C383}" srcId="{308C6D33-2588-4A74-806C-24BB6C7BD258}" destId="{6AC5657C-8AA1-4F4C-8771-B7B75DF66244}" srcOrd="1" destOrd="0" parTransId="{5658DD59-87B2-4EA0-A80B-C8CED34D2A3E}" sibTransId="{BFA0589B-AFDC-46EF-B4AA-87D6604C3328}"/>
    <dgm:cxn modelId="{D6D994F3-859B-449A-92E0-CA36F6C13EDC}" type="presOf" srcId="{9897C7EA-42B4-446D-BAEE-A1B68F38509B}" destId="{5CEE6F22-8B86-4265-85C0-FAF5F51ADBEA}" srcOrd="0" destOrd="0" presId="urn:microsoft.com/office/officeart/2005/8/layout/default"/>
    <dgm:cxn modelId="{6A20B897-97DB-4B88-B97D-EF7905DD383B}" type="presOf" srcId="{62E6599C-A823-4DF1-B474-24791D8F6471}" destId="{9C85919B-481B-48FC-A540-B7B2C0B019D5}" srcOrd="0" destOrd="0" presId="urn:microsoft.com/office/officeart/2005/8/layout/default"/>
    <dgm:cxn modelId="{549542D9-F533-4AF3-ABB3-87364F9D72B0}" type="presOf" srcId="{FFBBAB87-5411-4822-AF41-D2CE5A6A43CF}" destId="{47DCBB25-FD45-4A57-8D42-24E37D1D8553}" srcOrd="0" destOrd="0" presId="urn:microsoft.com/office/officeart/2005/8/layout/default"/>
    <dgm:cxn modelId="{ED5E7EC7-8846-4C5D-B4D7-8D9579DC42D4}" type="presOf" srcId="{6AC5657C-8AA1-4F4C-8771-B7B75DF66244}" destId="{5076790E-1339-4862-B891-1ED45259B7D6}" srcOrd="0" destOrd="0" presId="urn:microsoft.com/office/officeart/2005/8/layout/default"/>
    <dgm:cxn modelId="{9D33FFCD-5379-421C-97B4-D01E3B496D38}" srcId="{308C6D33-2588-4A74-806C-24BB6C7BD258}" destId="{C3B9B92E-C5E6-473B-8C27-4ABC9636BBA4}" srcOrd="5" destOrd="0" parTransId="{60BA7F47-64E1-4EC2-80CA-5B6E9EB1CB46}" sibTransId="{9B1BAA86-EA7C-4792-AAA8-ED1543E3F5A5}"/>
    <dgm:cxn modelId="{2FBC890A-B15F-4AB5-974A-7AA0F3A246AA}" type="presOf" srcId="{308C6D33-2588-4A74-806C-24BB6C7BD258}" destId="{AD624EDC-DB5A-4EF6-996C-B4CEE0A8E1B2}" srcOrd="0" destOrd="0" presId="urn:microsoft.com/office/officeart/2005/8/layout/default"/>
    <dgm:cxn modelId="{7B935B05-1D6E-4F7E-8DC6-87B687EDD0D6}" srcId="{308C6D33-2588-4A74-806C-24BB6C7BD258}" destId="{62E6599C-A823-4DF1-B474-24791D8F6471}" srcOrd="3" destOrd="0" parTransId="{E105096F-844A-4A24-A77E-F405AA93F0E5}" sibTransId="{CF5720B0-EAFB-466F-B5BB-D96884C8E457}"/>
    <dgm:cxn modelId="{546FDDB7-CA2F-4262-A450-1E313027DB34}" srcId="{308C6D33-2588-4A74-806C-24BB6C7BD258}" destId="{9897C7EA-42B4-446D-BAEE-A1B68F38509B}" srcOrd="0" destOrd="0" parTransId="{056D23F6-9BA5-43C3-8EE9-BA513AB8CED3}" sibTransId="{423425C0-E5C7-47E5-B0D2-E1434F4EF83D}"/>
    <dgm:cxn modelId="{A128B5BB-2B9C-4AA1-9BB7-90986F48579E}" srcId="{308C6D33-2588-4A74-806C-24BB6C7BD258}" destId="{FFBBAB87-5411-4822-AF41-D2CE5A6A43CF}" srcOrd="2" destOrd="0" parTransId="{1D16869B-33D2-425F-BF6C-C60922795450}" sibTransId="{F5D5035E-6A93-4880-8652-35D46063F792}"/>
    <dgm:cxn modelId="{FFB75D48-F5E2-4181-8BE9-1C8CAEF874BC}" srcId="{308C6D33-2588-4A74-806C-24BB6C7BD258}" destId="{AE4EDA21-7D1A-4CE9-827D-A3555E556E73}" srcOrd="4" destOrd="0" parTransId="{60FED930-5F0B-47DA-8387-2554959179A5}" sibTransId="{C0EE9C24-DCD8-47ED-899D-5CE985DD5DC3}"/>
    <dgm:cxn modelId="{E2E21428-3C4A-4A00-A7D2-7DE880D34C9D}" type="presOf" srcId="{AE4EDA21-7D1A-4CE9-827D-A3555E556E73}" destId="{AE5BA7B4-42C7-4D44-ABFA-8DC3F7377FC9}" srcOrd="0" destOrd="0" presId="urn:microsoft.com/office/officeart/2005/8/layout/default"/>
    <dgm:cxn modelId="{640F9923-6D79-48E9-86D8-0116990C85D4}" type="presParOf" srcId="{AD624EDC-DB5A-4EF6-996C-B4CEE0A8E1B2}" destId="{5CEE6F22-8B86-4265-85C0-FAF5F51ADBEA}" srcOrd="0" destOrd="0" presId="urn:microsoft.com/office/officeart/2005/8/layout/default"/>
    <dgm:cxn modelId="{53F45C79-245F-4DAD-883B-06ADA441AF6D}" type="presParOf" srcId="{AD624EDC-DB5A-4EF6-996C-B4CEE0A8E1B2}" destId="{63B4275D-CAEC-4540-A127-35E44F8EACF2}" srcOrd="1" destOrd="0" presId="urn:microsoft.com/office/officeart/2005/8/layout/default"/>
    <dgm:cxn modelId="{26006CE1-EF09-4AC3-AA38-8D514E49B6AE}" type="presParOf" srcId="{AD624EDC-DB5A-4EF6-996C-B4CEE0A8E1B2}" destId="{5076790E-1339-4862-B891-1ED45259B7D6}" srcOrd="2" destOrd="0" presId="urn:microsoft.com/office/officeart/2005/8/layout/default"/>
    <dgm:cxn modelId="{BF320218-088D-40A1-9D2E-D0DC6B036108}" type="presParOf" srcId="{AD624EDC-DB5A-4EF6-996C-B4CEE0A8E1B2}" destId="{974A8FF0-42DC-4F94-9E42-D95356D23D50}" srcOrd="3" destOrd="0" presId="urn:microsoft.com/office/officeart/2005/8/layout/default"/>
    <dgm:cxn modelId="{195029EE-82DF-42DE-8A09-809256CDB5FC}" type="presParOf" srcId="{AD624EDC-DB5A-4EF6-996C-B4CEE0A8E1B2}" destId="{47DCBB25-FD45-4A57-8D42-24E37D1D8553}" srcOrd="4" destOrd="0" presId="urn:microsoft.com/office/officeart/2005/8/layout/default"/>
    <dgm:cxn modelId="{1D139141-0E8F-4655-85B0-116D0E0C0B8C}" type="presParOf" srcId="{AD624EDC-DB5A-4EF6-996C-B4CEE0A8E1B2}" destId="{3B8C6EBD-7C8C-495B-9D8A-11E72AF89530}" srcOrd="5" destOrd="0" presId="urn:microsoft.com/office/officeart/2005/8/layout/default"/>
    <dgm:cxn modelId="{44AA5D21-1C6A-4757-836C-65C7B43D7C0E}" type="presParOf" srcId="{AD624EDC-DB5A-4EF6-996C-B4CEE0A8E1B2}" destId="{9C85919B-481B-48FC-A540-B7B2C0B019D5}" srcOrd="6" destOrd="0" presId="urn:microsoft.com/office/officeart/2005/8/layout/default"/>
    <dgm:cxn modelId="{A1ED4227-E9C3-4B7A-8DEE-DC912A899537}" type="presParOf" srcId="{AD624EDC-DB5A-4EF6-996C-B4CEE0A8E1B2}" destId="{F19F72A3-18B0-4A86-B170-C03BFF0DD1D0}" srcOrd="7" destOrd="0" presId="urn:microsoft.com/office/officeart/2005/8/layout/default"/>
    <dgm:cxn modelId="{9D4B8921-973E-4AB4-BF65-A47F4E681CE2}" type="presParOf" srcId="{AD624EDC-DB5A-4EF6-996C-B4CEE0A8E1B2}" destId="{AE5BA7B4-42C7-4D44-ABFA-8DC3F7377FC9}" srcOrd="8" destOrd="0" presId="urn:microsoft.com/office/officeart/2005/8/layout/default"/>
    <dgm:cxn modelId="{66D335B5-59B1-4CAE-AC94-AD0F4205624B}" type="presParOf" srcId="{AD624EDC-DB5A-4EF6-996C-B4CEE0A8E1B2}" destId="{EE21D250-1210-45F8-83CB-AECA71B0E93E}" srcOrd="9" destOrd="0" presId="urn:microsoft.com/office/officeart/2005/8/layout/default"/>
    <dgm:cxn modelId="{33C6BC87-B7DA-4BFE-A52A-27763B5BC979}" type="presParOf" srcId="{AD624EDC-DB5A-4EF6-996C-B4CEE0A8E1B2}" destId="{551C8732-3B41-42CC-BAAA-424BE1681D5D}" srcOrd="10" destOrd="0" presId="urn:microsoft.com/office/officeart/2005/8/layout/default"/>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2C21EF8-13A2-4568-BAE7-8B4D324524BE}" type="doc">
      <dgm:prSet loTypeId="urn:microsoft.com/office/officeart/2005/8/layout/cycle4" loCatId="cycle" qsTypeId="urn:microsoft.com/office/officeart/2005/8/quickstyle/simple2" qsCatId="simple" csTypeId="urn:microsoft.com/office/officeart/2005/8/colors/colorful4" csCatId="colorful" phldr="1"/>
      <dgm:spPr/>
      <dgm:t>
        <a:bodyPr/>
        <a:lstStyle/>
        <a:p>
          <a:endParaRPr lang="en-US"/>
        </a:p>
      </dgm:t>
    </dgm:pt>
    <dgm:pt modelId="{5D3D3D5C-F40D-48B6-94FA-89B03C7E0C86}">
      <dgm:prSet phldrT="[Text]"/>
      <dgm:spPr/>
      <dgm:t>
        <a:bodyPr/>
        <a:lstStyle/>
        <a:p>
          <a:r>
            <a:rPr lang="x-none"/>
            <a:t>SNAGE</a:t>
          </a:r>
          <a:endParaRPr lang="en-US"/>
        </a:p>
      </dgm:t>
    </dgm:pt>
    <dgm:pt modelId="{BC6F8EE9-BEE0-4C46-B91E-02330C0A9462}" type="parTrans" cxnId="{CFE52476-0419-4468-A659-42F2548B906E}">
      <dgm:prSet/>
      <dgm:spPr/>
      <dgm:t>
        <a:bodyPr/>
        <a:lstStyle/>
        <a:p>
          <a:endParaRPr lang="en-US"/>
        </a:p>
      </dgm:t>
    </dgm:pt>
    <dgm:pt modelId="{D39953DA-ABE6-4C72-B22B-9844A406F87A}" type="sibTrans" cxnId="{CFE52476-0419-4468-A659-42F2548B906E}">
      <dgm:prSet/>
      <dgm:spPr/>
      <dgm:t>
        <a:bodyPr/>
        <a:lstStyle/>
        <a:p>
          <a:endParaRPr lang="en-US"/>
        </a:p>
      </dgm:t>
    </dgm:pt>
    <dgm:pt modelId="{8E22CFA6-8ADA-4762-AB42-26C8E01DD0C5}">
      <dgm:prSet phldrT="[Text]" custT="1"/>
      <dgm:spPr/>
      <dgm:t>
        <a:bodyPr/>
        <a:lstStyle/>
        <a:p>
          <a:r>
            <a:rPr lang="x-none" sz="1100"/>
            <a:t> stečeno iskustvo i naučene lekcije</a:t>
          </a:r>
          <a:endParaRPr lang="en-US" sz="1100"/>
        </a:p>
      </dgm:t>
    </dgm:pt>
    <dgm:pt modelId="{5EE845B3-19E3-412F-86F4-144A9CF396D4}" type="parTrans" cxnId="{94CF3774-470E-4899-BDF7-67A2D7BB3D8C}">
      <dgm:prSet/>
      <dgm:spPr/>
      <dgm:t>
        <a:bodyPr/>
        <a:lstStyle/>
        <a:p>
          <a:endParaRPr lang="en-US"/>
        </a:p>
      </dgm:t>
    </dgm:pt>
    <dgm:pt modelId="{268E289C-D024-4075-A24E-DF33332DD816}" type="sibTrans" cxnId="{94CF3774-470E-4899-BDF7-67A2D7BB3D8C}">
      <dgm:prSet/>
      <dgm:spPr/>
      <dgm:t>
        <a:bodyPr/>
        <a:lstStyle/>
        <a:p>
          <a:endParaRPr lang="en-US"/>
        </a:p>
      </dgm:t>
    </dgm:pt>
    <dgm:pt modelId="{C1112947-363E-40B8-A2B2-CF3B2D0CFE12}">
      <dgm:prSet phldrT="[Text]"/>
      <dgm:spPr/>
      <dgm:t>
        <a:bodyPr/>
        <a:lstStyle/>
        <a:p>
          <a:r>
            <a:rPr lang="x-none"/>
            <a:t>SLABOSTI</a:t>
          </a:r>
          <a:endParaRPr lang="en-US"/>
        </a:p>
      </dgm:t>
    </dgm:pt>
    <dgm:pt modelId="{91D46F8B-07C2-4DB9-A250-BB732EDA0EAB}" type="parTrans" cxnId="{C13EC8B8-4992-425E-BF6C-AE698C3F9D9A}">
      <dgm:prSet/>
      <dgm:spPr/>
      <dgm:t>
        <a:bodyPr/>
        <a:lstStyle/>
        <a:p>
          <a:endParaRPr lang="en-US"/>
        </a:p>
      </dgm:t>
    </dgm:pt>
    <dgm:pt modelId="{B2E82B95-6BF6-47E3-B09C-6919B96E1691}" type="sibTrans" cxnId="{C13EC8B8-4992-425E-BF6C-AE698C3F9D9A}">
      <dgm:prSet/>
      <dgm:spPr/>
      <dgm:t>
        <a:bodyPr/>
        <a:lstStyle/>
        <a:p>
          <a:endParaRPr lang="en-US"/>
        </a:p>
      </dgm:t>
    </dgm:pt>
    <dgm:pt modelId="{1AA4A1FF-3A89-4EE5-AE1A-13C81FDE7322}">
      <dgm:prSet phldrT="[Text]" custT="1"/>
      <dgm:spPr/>
      <dgm:t>
        <a:bodyPr/>
        <a:lstStyle/>
        <a:p>
          <a:r>
            <a:rPr lang="x-none" sz="800"/>
            <a:t>dugotrajan i kompleksan proces reforme javne uprave</a:t>
          </a:r>
          <a:endParaRPr lang="en-US" sz="800"/>
        </a:p>
      </dgm:t>
    </dgm:pt>
    <dgm:pt modelId="{329F68BC-2DBC-40FF-A6AF-B97D80ACD948}" type="parTrans" cxnId="{A9A4E1C4-AE74-4D26-8B67-CB915C6E8E5E}">
      <dgm:prSet/>
      <dgm:spPr/>
      <dgm:t>
        <a:bodyPr/>
        <a:lstStyle/>
        <a:p>
          <a:endParaRPr lang="en-US"/>
        </a:p>
      </dgm:t>
    </dgm:pt>
    <dgm:pt modelId="{B6D85B49-E52A-4CA2-AF28-0DD20553A949}" type="sibTrans" cxnId="{A9A4E1C4-AE74-4D26-8B67-CB915C6E8E5E}">
      <dgm:prSet/>
      <dgm:spPr/>
      <dgm:t>
        <a:bodyPr/>
        <a:lstStyle/>
        <a:p>
          <a:endParaRPr lang="en-US"/>
        </a:p>
      </dgm:t>
    </dgm:pt>
    <dgm:pt modelId="{DBFD6417-63E1-429C-BD3F-84F0ED0B47E9}">
      <dgm:prSet phldrT="[Text]"/>
      <dgm:spPr/>
      <dgm:t>
        <a:bodyPr/>
        <a:lstStyle/>
        <a:p>
          <a:r>
            <a:rPr lang="x-none"/>
            <a:t>PRIJETNJE</a:t>
          </a:r>
          <a:endParaRPr lang="en-US"/>
        </a:p>
      </dgm:t>
    </dgm:pt>
    <dgm:pt modelId="{BECF80D0-183A-4A5E-8913-44359B5CD6C7}" type="parTrans" cxnId="{544A4219-37ED-4D93-9C37-66F998D5B627}">
      <dgm:prSet/>
      <dgm:spPr/>
      <dgm:t>
        <a:bodyPr/>
        <a:lstStyle/>
        <a:p>
          <a:endParaRPr lang="en-US"/>
        </a:p>
      </dgm:t>
    </dgm:pt>
    <dgm:pt modelId="{FA849153-864B-44A8-884C-2CAE3CDA86E1}" type="sibTrans" cxnId="{544A4219-37ED-4D93-9C37-66F998D5B627}">
      <dgm:prSet/>
      <dgm:spPr/>
      <dgm:t>
        <a:bodyPr/>
        <a:lstStyle/>
        <a:p>
          <a:endParaRPr lang="en-US"/>
        </a:p>
      </dgm:t>
    </dgm:pt>
    <dgm:pt modelId="{85D8C8CF-12D6-4CF2-B287-391C9F1FC9B5}">
      <dgm:prSet phldrT="[Text]"/>
      <dgm:spPr/>
      <dgm:t>
        <a:bodyPr/>
        <a:lstStyle/>
        <a:p>
          <a:r>
            <a:rPr lang="x-none"/>
            <a:t>motivisanost zaposlenih u insitucijama</a:t>
          </a:r>
          <a:endParaRPr lang="en-US"/>
        </a:p>
      </dgm:t>
    </dgm:pt>
    <dgm:pt modelId="{A8A083D2-CC58-4907-87C9-454C233BE90A}" type="parTrans" cxnId="{531850BD-4FE3-443D-A864-D06860909151}">
      <dgm:prSet/>
      <dgm:spPr/>
      <dgm:t>
        <a:bodyPr/>
        <a:lstStyle/>
        <a:p>
          <a:endParaRPr lang="en-US"/>
        </a:p>
      </dgm:t>
    </dgm:pt>
    <dgm:pt modelId="{C592559C-2850-44A5-9F83-A43B71A4BB7B}" type="sibTrans" cxnId="{531850BD-4FE3-443D-A864-D06860909151}">
      <dgm:prSet/>
      <dgm:spPr/>
      <dgm:t>
        <a:bodyPr/>
        <a:lstStyle/>
        <a:p>
          <a:endParaRPr lang="en-US"/>
        </a:p>
      </dgm:t>
    </dgm:pt>
    <dgm:pt modelId="{4B7481E0-AED2-49AC-9EC5-62FAFC14E5EF}">
      <dgm:prSet phldrT="[Text]"/>
      <dgm:spPr/>
      <dgm:t>
        <a:bodyPr/>
        <a:lstStyle/>
        <a:p>
          <a:r>
            <a:rPr lang="x-none"/>
            <a:t>ŠANSE</a:t>
          </a:r>
          <a:endParaRPr lang="en-US"/>
        </a:p>
      </dgm:t>
    </dgm:pt>
    <dgm:pt modelId="{C99609D3-F8E9-43EB-BEA1-A8F353DEB8A4}" type="parTrans" cxnId="{B9E56768-0C8B-4B2D-B34B-2C36F983B5BB}">
      <dgm:prSet/>
      <dgm:spPr/>
      <dgm:t>
        <a:bodyPr/>
        <a:lstStyle/>
        <a:p>
          <a:endParaRPr lang="en-US"/>
        </a:p>
      </dgm:t>
    </dgm:pt>
    <dgm:pt modelId="{C8E6F799-8AFD-470A-956D-B4D091204487}" type="sibTrans" cxnId="{B9E56768-0C8B-4B2D-B34B-2C36F983B5BB}">
      <dgm:prSet/>
      <dgm:spPr/>
      <dgm:t>
        <a:bodyPr/>
        <a:lstStyle/>
        <a:p>
          <a:endParaRPr lang="en-US"/>
        </a:p>
      </dgm:t>
    </dgm:pt>
    <dgm:pt modelId="{E429036B-4357-4870-9743-43332B475A6F}">
      <dgm:prSet phldrT="[Text]" custT="1"/>
      <dgm:spPr/>
      <dgm:t>
        <a:bodyPr/>
        <a:lstStyle/>
        <a:p>
          <a:r>
            <a:rPr lang="x-none" sz="800"/>
            <a:t>veliki značaj reforme javne uprave u javnosti i političkoj agendi Valde i EK</a:t>
          </a:r>
          <a:endParaRPr lang="en-US" sz="800"/>
        </a:p>
      </dgm:t>
    </dgm:pt>
    <dgm:pt modelId="{76B99FCC-3B45-4230-A372-5970CC69F387}" type="parTrans" cxnId="{ADAA2C38-41CF-4571-BAF6-E514144DCB64}">
      <dgm:prSet/>
      <dgm:spPr/>
      <dgm:t>
        <a:bodyPr/>
        <a:lstStyle/>
        <a:p>
          <a:endParaRPr lang="en-US"/>
        </a:p>
      </dgm:t>
    </dgm:pt>
    <dgm:pt modelId="{22B7570A-F6EA-4C22-ABDD-56297ACDB9E7}" type="sibTrans" cxnId="{ADAA2C38-41CF-4571-BAF6-E514144DCB64}">
      <dgm:prSet/>
      <dgm:spPr/>
      <dgm:t>
        <a:bodyPr/>
        <a:lstStyle/>
        <a:p>
          <a:endParaRPr lang="en-US"/>
        </a:p>
      </dgm:t>
    </dgm:pt>
    <dgm:pt modelId="{42F4549A-AC06-4416-8F2E-083794B0378D}">
      <dgm:prSet phldrT="[Text]" custT="1"/>
      <dgm:spPr/>
      <dgm:t>
        <a:bodyPr/>
        <a:lstStyle/>
        <a:p>
          <a:r>
            <a:rPr lang="x-none" sz="1100"/>
            <a:t> sprovedene edukacije</a:t>
          </a:r>
          <a:endParaRPr lang="en-US" sz="1100"/>
        </a:p>
      </dgm:t>
    </dgm:pt>
    <dgm:pt modelId="{1569C64D-FB47-4F06-9DF7-CF3FD1E53A67}" type="parTrans" cxnId="{AF416BFA-B9DF-41D6-9B9E-C95DFA7C1AA0}">
      <dgm:prSet/>
      <dgm:spPr/>
      <dgm:t>
        <a:bodyPr/>
        <a:lstStyle/>
        <a:p>
          <a:endParaRPr lang="en-US"/>
        </a:p>
      </dgm:t>
    </dgm:pt>
    <dgm:pt modelId="{FCF5C537-C9C5-487A-ABD0-895C2CACAD6F}" type="sibTrans" cxnId="{AF416BFA-B9DF-41D6-9B9E-C95DFA7C1AA0}">
      <dgm:prSet/>
      <dgm:spPr/>
      <dgm:t>
        <a:bodyPr/>
        <a:lstStyle/>
        <a:p>
          <a:endParaRPr lang="en-US"/>
        </a:p>
      </dgm:t>
    </dgm:pt>
    <dgm:pt modelId="{CC5DBD54-B0AC-45E7-B389-B6ADD61E6C63}">
      <dgm:prSet phldrT="[Text]" custT="1"/>
      <dgm:spPr/>
      <dgm:t>
        <a:bodyPr/>
        <a:lstStyle/>
        <a:p>
          <a:r>
            <a:rPr lang="x-none" sz="1100"/>
            <a:t> timski rad</a:t>
          </a:r>
          <a:endParaRPr lang="en-US" sz="1100"/>
        </a:p>
      </dgm:t>
    </dgm:pt>
    <dgm:pt modelId="{2AA013BF-78E0-4A4D-9F76-436C489649ED}" type="parTrans" cxnId="{51192F94-749F-403F-A2F3-B41814295BC7}">
      <dgm:prSet/>
      <dgm:spPr/>
      <dgm:t>
        <a:bodyPr/>
        <a:lstStyle/>
        <a:p>
          <a:endParaRPr lang="en-US"/>
        </a:p>
      </dgm:t>
    </dgm:pt>
    <dgm:pt modelId="{F53EA4C7-04A1-4CC3-9C87-32670E6DE5C9}" type="sibTrans" cxnId="{51192F94-749F-403F-A2F3-B41814295BC7}">
      <dgm:prSet/>
      <dgm:spPr/>
      <dgm:t>
        <a:bodyPr/>
        <a:lstStyle/>
        <a:p>
          <a:endParaRPr lang="en-US"/>
        </a:p>
      </dgm:t>
    </dgm:pt>
    <dgm:pt modelId="{9A8D9CC1-9982-494D-A239-59E7B9BF04C8}">
      <dgm:prSet phldrT="[Text]" custT="1"/>
      <dgm:spPr/>
      <dgm:t>
        <a:bodyPr/>
        <a:lstStyle/>
        <a:p>
          <a:r>
            <a:rPr lang="x-none" sz="800"/>
            <a:t>nedovoljna vidjljivost rezultata reforme na životn građana</a:t>
          </a:r>
          <a:endParaRPr lang="en-US" sz="800"/>
        </a:p>
      </dgm:t>
    </dgm:pt>
    <dgm:pt modelId="{E31527F4-0DEF-4884-9160-9789D25B8C4C}" type="parTrans" cxnId="{9C1C1A5A-8D68-41A8-A77E-26884DEC7E87}">
      <dgm:prSet/>
      <dgm:spPr/>
      <dgm:t>
        <a:bodyPr/>
        <a:lstStyle/>
        <a:p>
          <a:endParaRPr lang="en-US"/>
        </a:p>
      </dgm:t>
    </dgm:pt>
    <dgm:pt modelId="{8CF0E43C-5313-436E-ACAD-48A22D2B3D7B}" type="sibTrans" cxnId="{9C1C1A5A-8D68-41A8-A77E-26884DEC7E87}">
      <dgm:prSet/>
      <dgm:spPr/>
      <dgm:t>
        <a:bodyPr/>
        <a:lstStyle/>
        <a:p>
          <a:endParaRPr lang="en-US"/>
        </a:p>
      </dgm:t>
    </dgm:pt>
    <dgm:pt modelId="{63138D59-4B4D-42FA-814A-04E8259ECC8E}">
      <dgm:prSet phldrT="[Text]" custT="1"/>
      <dgm:spPr/>
      <dgm:t>
        <a:bodyPr/>
        <a:lstStyle/>
        <a:p>
          <a:r>
            <a:rPr lang="x-none" sz="800"/>
            <a:t>nedovoljno razvijenih vještina službenika za proces transformacije</a:t>
          </a:r>
          <a:endParaRPr lang="en-US" sz="800"/>
        </a:p>
      </dgm:t>
    </dgm:pt>
    <dgm:pt modelId="{E5B2B214-3B8E-4631-9C5B-540CB89B4790}" type="parTrans" cxnId="{A19EC224-8762-4E0B-83F0-F72468804E62}">
      <dgm:prSet/>
      <dgm:spPr/>
      <dgm:t>
        <a:bodyPr/>
        <a:lstStyle/>
        <a:p>
          <a:endParaRPr lang="en-US"/>
        </a:p>
      </dgm:t>
    </dgm:pt>
    <dgm:pt modelId="{D2B0DC58-9B2A-4818-99E9-E6A8DFDF2772}" type="sibTrans" cxnId="{A19EC224-8762-4E0B-83F0-F72468804E62}">
      <dgm:prSet/>
      <dgm:spPr/>
      <dgm:t>
        <a:bodyPr/>
        <a:lstStyle/>
        <a:p>
          <a:endParaRPr lang="en-US"/>
        </a:p>
      </dgm:t>
    </dgm:pt>
    <dgm:pt modelId="{E2AF91B4-9347-4242-87C1-D41F9556F665}">
      <dgm:prSet phldrT="[Text]" custT="1"/>
      <dgm:spPr/>
      <dgm:t>
        <a:bodyPr/>
        <a:lstStyle/>
        <a:p>
          <a:r>
            <a:rPr lang="x-none" sz="800"/>
            <a:t>otpor prema novinama u organizaciji</a:t>
          </a:r>
          <a:endParaRPr lang="en-US" sz="800"/>
        </a:p>
      </dgm:t>
    </dgm:pt>
    <dgm:pt modelId="{8BCEABC2-30F0-4F52-A027-A33561A57B07}" type="parTrans" cxnId="{A38F0398-743C-4D08-B4F4-2808C05DD679}">
      <dgm:prSet/>
      <dgm:spPr/>
      <dgm:t>
        <a:bodyPr/>
        <a:lstStyle/>
        <a:p>
          <a:endParaRPr lang="en-US"/>
        </a:p>
      </dgm:t>
    </dgm:pt>
    <dgm:pt modelId="{88081417-6166-4632-ACD9-77B7A2B02AA2}" type="sibTrans" cxnId="{A38F0398-743C-4D08-B4F4-2808C05DD679}">
      <dgm:prSet/>
      <dgm:spPr/>
      <dgm:t>
        <a:bodyPr/>
        <a:lstStyle/>
        <a:p>
          <a:endParaRPr lang="en-US"/>
        </a:p>
      </dgm:t>
    </dgm:pt>
    <dgm:pt modelId="{B7188C01-0A04-4AD2-8EFB-B183EAFEEE71}">
      <dgm:prSet phldrT="[Text]" custT="1"/>
      <dgm:spPr/>
      <dgm:t>
        <a:bodyPr/>
        <a:lstStyle/>
        <a:p>
          <a:r>
            <a:rPr lang="x-none" sz="800"/>
            <a:t>neadekvatna finansijska satisfakcija zaposlenih koji učestvuju u procesu spovođenja reforme</a:t>
          </a:r>
          <a:endParaRPr lang="en-US" sz="800"/>
        </a:p>
      </dgm:t>
    </dgm:pt>
    <dgm:pt modelId="{B739CC54-40E7-41CF-9FA5-DB37C3119ABE}" type="parTrans" cxnId="{9A0BFF4E-D8CD-4623-BACE-9CAFC3727FE2}">
      <dgm:prSet/>
      <dgm:spPr/>
      <dgm:t>
        <a:bodyPr/>
        <a:lstStyle/>
        <a:p>
          <a:endParaRPr lang="en-US"/>
        </a:p>
      </dgm:t>
    </dgm:pt>
    <dgm:pt modelId="{E42EFC5D-9B36-4FF8-BB72-DBCC3D9FAB73}" type="sibTrans" cxnId="{9A0BFF4E-D8CD-4623-BACE-9CAFC3727FE2}">
      <dgm:prSet/>
      <dgm:spPr/>
      <dgm:t>
        <a:bodyPr/>
        <a:lstStyle/>
        <a:p>
          <a:endParaRPr lang="en-US"/>
        </a:p>
      </dgm:t>
    </dgm:pt>
    <dgm:pt modelId="{FD909DAC-A3E2-4684-A567-387EAF4BCEBE}">
      <dgm:prSet phldrT="[Text]" custT="1"/>
      <dgm:spPr/>
      <dgm:t>
        <a:bodyPr/>
        <a:lstStyle/>
        <a:p>
          <a:r>
            <a:rPr lang="x-none" sz="800"/>
            <a:t>značajna podrška mešunarodnih partnera</a:t>
          </a:r>
          <a:endParaRPr lang="en-US" sz="800"/>
        </a:p>
      </dgm:t>
    </dgm:pt>
    <dgm:pt modelId="{CEE7A878-53EB-41AA-A692-CCD2FED25915}" type="parTrans" cxnId="{268728FF-5C1F-4774-B6A1-A58FD5F532C0}">
      <dgm:prSet/>
      <dgm:spPr/>
      <dgm:t>
        <a:bodyPr/>
        <a:lstStyle/>
        <a:p>
          <a:endParaRPr lang="en-US"/>
        </a:p>
      </dgm:t>
    </dgm:pt>
    <dgm:pt modelId="{9DAB255C-4484-4D8E-95F7-2245577C3ECB}" type="sibTrans" cxnId="{268728FF-5C1F-4774-B6A1-A58FD5F532C0}">
      <dgm:prSet/>
      <dgm:spPr/>
      <dgm:t>
        <a:bodyPr/>
        <a:lstStyle/>
        <a:p>
          <a:endParaRPr lang="en-US"/>
        </a:p>
      </dgm:t>
    </dgm:pt>
    <dgm:pt modelId="{30440C24-273C-4FB9-BBF1-6C514EFD3FF8}">
      <dgm:prSet phldrT="[Text]" custT="1"/>
      <dgm:spPr/>
      <dgm:t>
        <a:bodyPr/>
        <a:lstStyle/>
        <a:p>
          <a:r>
            <a:rPr lang="x-none" sz="800"/>
            <a:t>komuniciranje dobrih primjera reforme</a:t>
          </a:r>
          <a:endParaRPr lang="en-US" sz="800"/>
        </a:p>
      </dgm:t>
    </dgm:pt>
    <dgm:pt modelId="{56414CE7-4211-4415-A5BF-FAE400FCA62E}" type="parTrans" cxnId="{1B59F104-670A-4B74-9A34-CFE936BF5E12}">
      <dgm:prSet/>
      <dgm:spPr/>
      <dgm:t>
        <a:bodyPr/>
        <a:lstStyle/>
        <a:p>
          <a:endParaRPr lang="en-US"/>
        </a:p>
      </dgm:t>
    </dgm:pt>
    <dgm:pt modelId="{A10124B8-4CD2-4D20-BCE5-81ED2FC22531}" type="sibTrans" cxnId="{1B59F104-670A-4B74-9A34-CFE936BF5E12}">
      <dgm:prSet/>
      <dgm:spPr/>
      <dgm:t>
        <a:bodyPr/>
        <a:lstStyle/>
        <a:p>
          <a:endParaRPr lang="en-US"/>
        </a:p>
      </dgm:t>
    </dgm:pt>
    <dgm:pt modelId="{FD38B92D-4F68-46B3-8EE4-C6DDC341481D}">
      <dgm:prSet phldrT="[Text]" custT="1"/>
      <dgm:spPr/>
      <dgm:t>
        <a:bodyPr/>
        <a:lstStyle/>
        <a:p>
          <a:r>
            <a:rPr lang="x-none" sz="800"/>
            <a:t>politička podrška odnosno jasan politički stav kada je u pitanju RJU</a:t>
          </a:r>
          <a:endParaRPr lang="en-US" sz="800"/>
        </a:p>
      </dgm:t>
    </dgm:pt>
    <dgm:pt modelId="{8F1C37DA-41C8-4C6E-A7E8-2EBC16536882}" type="parTrans" cxnId="{7DDD8481-1429-482E-B07E-BF33D4EE2358}">
      <dgm:prSet/>
      <dgm:spPr/>
      <dgm:t>
        <a:bodyPr/>
        <a:lstStyle/>
        <a:p>
          <a:endParaRPr lang="en-US"/>
        </a:p>
      </dgm:t>
    </dgm:pt>
    <dgm:pt modelId="{C824F2F7-E2CB-4912-BD1F-4183AFE3342B}" type="sibTrans" cxnId="{7DDD8481-1429-482E-B07E-BF33D4EE2358}">
      <dgm:prSet/>
      <dgm:spPr/>
      <dgm:t>
        <a:bodyPr/>
        <a:lstStyle/>
        <a:p>
          <a:endParaRPr lang="en-US"/>
        </a:p>
      </dgm:t>
    </dgm:pt>
    <dgm:pt modelId="{3655B3CC-5BB0-415B-BBEE-19C7549FB833}">
      <dgm:prSet phldrT="[Text]"/>
      <dgm:spPr/>
      <dgm:t>
        <a:bodyPr/>
        <a:lstStyle/>
        <a:p>
          <a:r>
            <a:rPr lang="x-none"/>
            <a:t>pandemija COVID19</a:t>
          </a:r>
          <a:endParaRPr lang="en-US"/>
        </a:p>
      </dgm:t>
    </dgm:pt>
    <dgm:pt modelId="{A31B4BE2-125F-4B6F-9828-91E673BEDA30}" type="parTrans" cxnId="{5AFE1500-F578-442F-98F5-15F52D25305A}">
      <dgm:prSet/>
      <dgm:spPr/>
      <dgm:t>
        <a:bodyPr/>
        <a:lstStyle/>
        <a:p>
          <a:endParaRPr lang="en-US"/>
        </a:p>
      </dgm:t>
    </dgm:pt>
    <dgm:pt modelId="{71046349-2770-468A-A5A3-30001DC43349}" type="sibTrans" cxnId="{5AFE1500-F578-442F-98F5-15F52D25305A}">
      <dgm:prSet/>
      <dgm:spPr/>
      <dgm:t>
        <a:bodyPr/>
        <a:lstStyle/>
        <a:p>
          <a:endParaRPr lang="en-US"/>
        </a:p>
      </dgm:t>
    </dgm:pt>
    <dgm:pt modelId="{4674696C-28F7-43D7-8148-60C536559D72}">
      <dgm:prSet phldrT="[Text]"/>
      <dgm:spPr/>
      <dgm:t>
        <a:bodyPr/>
        <a:lstStyle/>
        <a:p>
          <a:r>
            <a:rPr lang="x-none"/>
            <a:t>finansijska neodrživost procesa reforme odnosno zavisnosti od evropskih fondova</a:t>
          </a:r>
          <a:endParaRPr lang="en-US"/>
        </a:p>
      </dgm:t>
    </dgm:pt>
    <dgm:pt modelId="{6B6EBB3E-7159-4385-A38F-FF06DDC1F3E7}" type="parTrans" cxnId="{F5165125-BD0E-4F97-A22B-8D6A74D4F319}">
      <dgm:prSet/>
      <dgm:spPr/>
      <dgm:t>
        <a:bodyPr/>
        <a:lstStyle/>
        <a:p>
          <a:endParaRPr lang="en-US"/>
        </a:p>
      </dgm:t>
    </dgm:pt>
    <dgm:pt modelId="{DA9CC6F0-E6F7-4844-BCB3-1145BE32B186}" type="sibTrans" cxnId="{F5165125-BD0E-4F97-A22B-8D6A74D4F319}">
      <dgm:prSet/>
      <dgm:spPr/>
      <dgm:t>
        <a:bodyPr/>
        <a:lstStyle/>
        <a:p>
          <a:endParaRPr lang="en-US"/>
        </a:p>
      </dgm:t>
    </dgm:pt>
    <dgm:pt modelId="{424E70FD-DF20-4FDD-BC52-468632CF3CAB}" type="pres">
      <dgm:prSet presAssocID="{72C21EF8-13A2-4568-BAE7-8B4D324524BE}" presName="cycleMatrixDiagram" presStyleCnt="0">
        <dgm:presLayoutVars>
          <dgm:chMax val="1"/>
          <dgm:dir/>
          <dgm:animLvl val="lvl"/>
          <dgm:resizeHandles val="exact"/>
        </dgm:presLayoutVars>
      </dgm:prSet>
      <dgm:spPr/>
      <dgm:t>
        <a:bodyPr/>
        <a:lstStyle/>
        <a:p>
          <a:endParaRPr lang="en-US"/>
        </a:p>
      </dgm:t>
    </dgm:pt>
    <dgm:pt modelId="{A8AB722B-D38E-4F97-917B-900981B98A25}" type="pres">
      <dgm:prSet presAssocID="{72C21EF8-13A2-4568-BAE7-8B4D324524BE}" presName="children" presStyleCnt="0"/>
      <dgm:spPr/>
    </dgm:pt>
    <dgm:pt modelId="{7206D22E-17A2-4F34-9210-DBFEACAC40D7}" type="pres">
      <dgm:prSet presAssocID="{72C21EF8-13A2-4568-BAE7-8B4D324524BE}" presName="child1group" presStyleCnt="0"/>
      <dgm:spPr/>
    </dgm:pt>
    <dgm:pt modelId="{A586AAF6-95F9-4057-8350-E284C72FD465}" type="pres">
      <dgm:prSet presAssocID="{72C21EF8-13A2-4568-BAE7-8B4D324524BE}" presName="child1" presStyleLbl="bgAcc1" presStyleIdx="0" presStyleCnt="4" custScaleX="164264" custScaleY="119120" custLinFactNeighborX="-11331" custLinFactNeighborY="39657"/>
      <dgm:spPr/>
      <dgm:t>
        <a:bodyPr/>
        <a:lstStyle/>
        <a:p>
          <a:endParaRPr lang="en-US"/>
        </a:p>
      </dgm:t>
    </dgm:pt>
    <dgm:pt modelId="{B648A445-2AFB-4B39-8CA2-8275862C8BA2}" type="pres">
      <dgm:prSet presAssocID="{72C21EF8-13A2-4568-BAE7-8B4D324524BE}" presName="child1Text" presStyleLbl="bgAcc1" presStyleIdx="0" presStyleCnt="4">
        <dgm:presLayoutVars>
          <dgm:bulletEnabled val="1"/>
        </dgm:presLayoutVars>
      </dgm:prSet>
      <dgm:spPr/>
      <dgm:t>
        <a:bodyPr/>
        <a:lstStyle/>
        <a:p>
          <a:endParaRPr lang="en-US"/>
        </a:p>
      </dgm:t>
    </dgm:pt>
    <dgm:pt modelId="{BE75CD99-ADCB-4F66-AB19-317196393EA8}" type="pres">
      <dgm:prSet presAssocID="{72C21EF8-13A2-4568-BAE7-8B4D324524BE}" presName="child2group" presStyleCnt="0"/>
      <dgm:spPr/>
    </dgm:pt>
    <dgm:pt modelId="{252205ED-7A84-45D3-AA7C-740C0C8C77EE}" type="pres">
      <dgm:prSet presAssocID="{72C21EF8-13A2-4568-BAE7-8B4D324524BE}" presName="child2" presStyleLbl="bgAcc1" presStyleIdx="1" presStyleCnt="4" custScaleX="165558" custScaleY="116267" custLinFactNeighborX="23347" custLinFactNeighborY="38749"/>
      <dgm:spPr/>
      <dgm:t>
        <a:bodyPr/>
        <a:lstStyle/>
        <a:p>
          <a:endParaRPr lang="en-US"/>
        </a:p>
      </dgm:t>
    </dgm:pt>
    <dgm:pt modelId="{8906B292-0082-439D-8E79-16CD34B52071}" type="pres">
      <dgm:prSet presAssocID="{72C21EF8-13A2-4568-BAE7-8B4D324524BE}" presName="child2Text" presStyleLbl="bgAcc1" presStyleIdx="1" presStyleCnt="4">
        <dgm:presLayoutVars>
          <dgm:bulletEnabled val="1"/>
        </dgm:presLayoutVars>
      </dgm:prSet>
      <dgm:spPr/>
      <dgm:t>
        <a:bodyPr/>
        <a:lstStyle/>
        <a:p>
          <a:endParaRPr lang="en-US"/>
        </a:p>
      </dgm:t>
    </dgm:pt>
    <dgm:pt modelId="{9733161B-8110-4515-9C58-A39264939781}" type="pres">
      <dgm:prSet presAssocID="{72C21EF8-13A2-4568-BAE7-8B4D324524BE}" presName="child3group" presStyleCnt="0"/>
      <dgm:spPr/>
    </dgm:pt>
    <dgm:pt modelId="{3A21F0F2-660F-4D93-9D98-4C7E3395FEE2}" type="pres">
      <dgm:prSet presAssocID="{72C21EF8-13A2-4568-BAE7-8B4D324524BE}" presName="child3" presStyleLbl="bgAcc1" presStyleIdx="2" presStyleCnt="4" custScaleX="173167" custScaleY="107243" custLinFactNeighborX="22881" custLinFactNeighborY="-38473"/>
      <dgm:spPr/>
      <dgm:t>
        <a:bodyPr/>
        <a:lstStyle/>
        <a:p>
          <a:endParaRPr lang="en-US"/>
        </a:p>
      </dgm:t>
    </dgm:pt>
    <dgm:pt modelId="{E80602CB-A02E-4843-9CE5-A9CA5825661B}" type="pres">
      <dgm:prSet presAssocID="{72C21EF8-13A2-4568-BAE7-8B4D324524BE}" presName="child3Text" presStyleLbl="bgAcc1" presStyleIdx="2" presStyleCnt="4">
        <dgm:presLayoutVars>
          <dgm:bulletEnabled val="1"/>
        </dgm:presLayoutVars>
      </dgm:prSet>
      <dgm:spPr/>
      <dgm:t>
        <a:bodyPr/>
        <a:lstStyle/>
        <a:p>
          <a:endParaRPr lang="en-US"/>
        </a:p>
      </dgm:t>
    </dgm:pt>
    <dgm:pt modelId="{CAFAB8C1-DE58-4FFB-9318-A875B7F01D39}" type="pres">
      <dgm:prSet presAssocID="{72C21EF8-13A2-4568-BAE7-8B4D324524BE}" presName="child4group" presStyleCnt="0"/>
      <dgm:spPr/>
    </dgm:pt>
    <dgm:pt modelId="{07D25394-ABC5-41E9-B5BC-BE23AEE263CB}" type="pres">
      <dgm:prSet presAssocID="{72C21EF8-13A2-4568-BAE7-8B4D324524BE}" presName="child4" presStyleLbl="bgAcc1" presStyleIdx="3" presStyleCnt="4" custScaleX="175031" custScaleY="116241" custLinFactNeighborX="-6727" custLinFactNeighborY="-31782"/>
      <dgm:spPr/>
      <dgm:t>
        <a:bodyPr/>
        <a:lstStyle/>
        <a:p>
          <a:endParaRPr lang="en-US"/>
        </a:p>
      </dgm:t>
    </dgm:pt>
    <dgm:pt modelId="{C01BD796-37C5-45D8-A1FE-4D048F5030D2}" type="pres">
      <dgm:prSet presAssocID="{72C21EF8-13A2-4568-BAE7-8B4D324524BE}" presName="child4Text" presStyleLbl="bgAcc1" presStyleIdx="3" presStyleCnt="4">
        <dgm:presLayoutVars>
          <dgm:bulletEnabled val="1"/>
        </dgm:presLayoutVars>
      </dgm:prSet>
      <dgm:spPr/>
      <dgm:t>
        <a:bodyPr/>
        <a:lstStyle/>
        <a:p>
          <a:endParaRPr lang="en-US"/>
        </a:p>
      </dgm:t>
    </dgm:pt>
    <dgm:pt modelId="{14379FD5-1CF0-47F0-93C4-DC5C08E490D5}" type="pres">
      <dgm:prSet presAssocID="{72C21EF8-13A2-4568-BAE7-8B4D324524BE}" presName="childPlaceholder" presStyleCnt="0"/>
      <dgm:spPr/>
    </dgm:pt>
    <dgm:pt modelId="{64900A35-7C7E-4BB0-92B8-E8CFA64CB80E}" type="pres">
      <dgm:prSet presAssocID="{72C21EF8-13A2-4568-BAE7-8B4D324524BE}" presName="circle" presStyleCnt="0"/>
      <dgm:spPr/>
    </dgm:pt>
    <dgm:pt modelId="{D6A7EC5D-AFA5-4876-9C76-2DA96CE74D3D}" type="pres">
      <dgm:prSet presAssocID="{72C21EF8-13A2-4568-BAE7-8B4D324524BE}" presName="quadrant1" presStyleLbl="node1" presStyleIdx="0" presStyleCnt="4" custScaleX="68983" custScaleY="71196" custLinFactNeighborX="25844" custLinFactNeighborY="15314">
        <dgm:presLayoutVars>
          <dgm:chMax val="1"/>
          <dgm:bulletEnabled val="1"/>
        </dgm:presLayoutVars>
      </dgm:prSet>
      <dgm:spPr/>
      <dgm:t>
        <a:bodyPr/>
        <a:lstStyle/>
        <a:p>
          <a:endParaRPr lang="en-US"/>
        </a:p>
      </dgm:t>
    </dgm:pt>
    <dgm:pt modelId="{28A7B9A7-A797-49BC-B2DB-6F4C4B49169E}" type="pres">
      <dgm:prSet presAssocID="{72C21EF8-13A2-4568-BAE7-8B4D324524BE}" presName="quadrant2" presStyleLbl="node1" presStyleIdx="1" presStyleCnt="4" custScaleX="65741" custScaleY="67841" custLinFactNeighborX="-7598" custLinFactNeighborY="15299">
        <dgm:presLayoutVars>
          <dgm:chMax val="1"/>
          <dgm:bulletEnabled val="1"/>
        </dgm:presLayoutVars>
      </dgm:prSet>
      <dgm:spPr/>
      <dgm:t>
        <a:bodyPr/>
        <a:lstStyle/>
        <a:p>
          <a:endParaRPr lang="en-US"/>
        </a:p>
      </dgm:t>
    </dgm:pt>
    <dgm:pt modelId="{037702EA-C0EF-4EC7-8CE3-2332BE5322E3}" type="pres">
      <dgm:prSet presAssocID="{72C21EF8-13A2-4568-BAE7-8B4D324524BE}" presName="quadrant3" presStyleLbl="node1" presStyleIdx="2" presStyleCnt="4" custScaleX="64627" custScaleY="67996" custLinFactNeighborX="-4271" custLinFactNeighborY="-14268">
        <dgm:presLayoutVars>
          <dgm:chMax val="1"/>
          <dgm:bulletEnabled val="1"/>
        </dgm:presLayoutVars>
      </dgm:prSet>
      <dgm:spPr/>
      <dgm:t>
        <a:bodyPr/>
        <a:lstStyle/>
        <a:p>
          <a:endParaRPr lang="en-US"/>
        </a:p>
      </dgm:t>
    </dgm:pt>
    <dgm:pt modelId="{104F1CBB-F8FC-4B62-972E-1E2F1AACF879}" type="pres">
      <dgm:prSet presAssocID="{72C21EF8-13A2-4568-BAE7-8B4D324524BE}" presName="quadrant4" presStyleLbl="node1" presStyleIdx="3" presStyleCnt="4" custScaleX="69024" custScaleY="71309" custLinFactNeighborX="26973" custLinFactNeighborY="-14261">
        <dgm:presLayoutVars>
          <dgm:chMax val="1"/>
          <dgm:bulletEnabled val="1"/>
        </dgm:presLayoutVars>
      </dgm:prSet>
      <dgm:spPr/>
      <dgm:t>
        <a:bodyPr/>
        <a:lstStyle/>
        <a:p>
          <a:endParaRPr lang="en-US"/>
        </a:p>
      </dgm:t>
    </dgm:pt>
    <dgm:pt modelId="{91EC75B9-F8BF-48C0-B2D0-678EA9B95828}" type="pres">
      <dgm:prSet presAssocID="{72C21EF8-13A2-4568-BAE7-8B4D324524BE}" presName="quadrantPlaceholder" presStyleCnt="0"/>
      <dgm:spPr/>
    </dgm:pt>
    <dgm:pt modelId="{4753C80D-B522-40BC-83A6-D9C66F421FDA}" type="pres">
      <dgm:prSet presAssocID="{72C21EF8-13A2-4568-BAE7-8B4D324524BE}" presName="center1" presStyleLbl="fgShp" presStyleIdx="0" presStyleCnt="2" custScaleX="28667" custScaleY="12821" custLinFactNeighborX="12741" custLinFactNeighborY="34799"/>
      <dgm:spPr/>
    </dgm:pt>
    <dgm:pt modelId="{22058EC3-4968-4110-AC12-D7C6CE68C3C2}" type="pres">
      <dgm:prSet presAssocID="{72C21EF8-13A2-4568-BAE7-8B4D324524BE}" presName="center2" presStyleLbl="fgShp" presStyleIdx="1" presStyleCnt="2" custScaleX="9556" custScaleY="10989"/>
      <dgm:spPr/>
    </dgm:pt>
  </dgm:ptLst>
  <dgm:cxnLst>
    <dgm:cxn modelId="{5674436D-A793-4801-90BB-363AEE6F09B4}" type="presOf" srcId="{63138D59-4B4D-42FA-814A-04E8259ECC8E}" destId="{8906B292-0082-439D-8E79-16CD34B52071}" srcOrd="1" destOrd="2" presId="urn:microsoft.com/office/officeart/2005/8/layout/cycle4"/>
    <dgm:cxn modelId="{D1A55A43-3293-43C4-A286-252BC34414B7}" type="presOf" srcId="{3655B3CC-5BB0-415B-BBEE-19C7549FB833}" destId="{E80602CB-A02E-4843-9CE5-A9CA5825661B}" srcOrd="1" destOrd="1" presId="urn:microsoft.com/office/officeart/2005/8/layout/cycle4"/>
    <dgm:cxn modelId="{31EC904F-737E-4595-AD05-131B11688A10}" type="presOf" srcId="{9A8D9CC1-9982-494D-A239-59E7B9BF04C8}" destId="{252205ED-7A84-45D3-AA7C-740C0C8C77EE}" srcOrd="0" destOrd="1" presId="urn:microsoft.com/office/officeart/2005/8/layout/cycle4"/>
    <dgm:cxn modelId="{A38F0398-743C-4D08-B4F4-2808C05DD679}" srcId="{C1112947-363E-40B8-A2B2-CF3B2D0CFE12}" destId="{E2AF91B4-9347-4242-87C1-D41F9556F665}" srcOrd="3" destOrd="0" parTransId="{8BCEABC2-30F0-4F52-A027-A33561A57B07}" sibTransId="{88081417-6166-4632-ACD9-77B7A2B02AA2}"/>
    <dgm:cxn modelId="{017E56B8-CA84-4976-9D55-9266EBD0A99C}" type="presOf" srcId="{8E22CFA6-8ADA-4762-AB42-26C8E01DD0C5}" destId="{B648A445-2AFB-4B39-8CA2-8275862C8BA2}" srcOrd="1" destOrd="0" presId="urn:microsoft.com/office/officeart/2005/8/layout/cycle4"/>
    <dgm:cxn modelId="{9AD9611D-3AED-49F7-838D-5EE6D89D0DBF}" type="presOf" srcId="{1AA4A1FF-3A89-4EE5-AE1A-13C81FDE7322}" destId="{8906B292-0082-439D-8E79-16CD34B52071}" srcOrd="1" destOrd="0" presId="urn:microsoft.com/office/officeart/2005/8/layout/cycle4"/>
    <dgm:cxn modelId="{94CF3774-470E-4899-BDF7-67A2D7BB3D8C}" srcId="{5D3D3D5C-F40D-48B6-94FA-89B03C7E0C86}" destId="{8E22CFA6-8ADA-4762-AB42-26C8E01DD0C5}" srcOrd="0" destOrd="0" parTransId="{5EE845B3-19E3-412F-86F4-144A9CF396D4}" sibTransId="{268E289C-D024-4075-A24E-DF33332DD816}"/>
    <dgm:cxn modelId="{E495D8EB-7BC8-4B40-A08C-DB8DDF9A1409}" type="presOf" srcId="{63138D59-4B4D-42FA-814A-04E8259ECC8E}" destId="{252205ED-7A84-45D3-AA7C-740C0C8C77EE}" srcOrd="0" destOrd="2" presId="urn:microsoft.com/office/officeart/2005/8/layout/cycle4"/>
    <dgm:cxn modelId="{E4B8E8D5-DAD2-4276-9873-B7FB1EBE321F}" type="presOf" srcId="{85D8C8CF-12D6-4CF2-B287-391C9F1FC9B5}" destId="{E80602CB-A02E-4843-9CE5-A9CA5825661B}" srcOrd="1" destOrd="0" presId="urn:microsoft.com/office/officeart/2005/8/layout/cycle4"/>
    <dgm:cxn modelId="{51192F94-749F-403F-A2F3-B41814295BC7}" srcId="{5D3D3D5C-F40D-48B6-94FA-89B03C7E0C86}" destId="{CC5DBD54-B0AC-45E7-B389-B6ADD61E6C63}" srcOrd="2" destOrd="0" parTransId="{2AA013BF-78E0-4A4D-9F76-436C489649ED}" sibTransId="{F53EA4C7-04A1-4CC3-9C87-32670E6DE5C9}"/>
    <dgm:cxn modelId="{268728FF-5C1F-4774-B6A1-A58FD5F532C0}" srcId="{4B7481E0-AED2-49AC-9EC5-62FAFC14E5EF}" destId="{FD909DAC-A3E2-4684-A567-387EAF4BCEBE}" srcOrd="1" destOrd="0" parTransId="{CEE7A878-53EB-41AA-A692-CCD2FED25915}" sibTransId="{9DAB255C-4484-4D8E-95F7-2245577C3ECB}"/>
    <dgm:cxn modelId="{A9A4E1C4-AE74-4D26-8B67-CB915C6E8E5E}" srcId="{C1112947-363E-40B8-A2B2-CF3B2D0CFE12}" destId="{1AA4A1FF-3A89-4EE5-AE1A-13C81FDE7322}" srcOrd="0" destOrd="0" parTransId="{329F68BC-2DBC-40FF-A6AF-B97D80ACD948}" sibTransId="{B6D85B49-E52A-4CA2-AF28-0DD20553A949}"/>
    <dgm:cxn modelId="{61F3BD13-DE86-4AC5-8D7B-65ED07A807D6}" type="presOf" srcId="{B7188C01-0A04-4AD2-8EFB-B183EAFEEE71}" destId="{8906B292-0082-439D-8E79-16CD34B52071}" srcOrd="1" destOrd="4" presId="urn:microsoft.com/office/officeart/2005/8/layout/cycle4"/>
    <dgm:cxn modelId="{143B8BCC-08EC-40E1-920B-28A4575EF9BD}" type="presOf" srcId="{DBFD6417-63E1-429C-BD3F-84F0ED0B47E9}" destId="{037702EA-C0EF-4EC7-8CE3-2332BE5322E3}" srcOrd="0" destOrd="0" presId="urn:microsoft.com/office/officeart/2005/8/layout/cycle4"/>
    <dgm:cxn modelId="{853E1DEB-6DEF-41F6-9A21-EC1D2812E374}" type="presOf" srcId="{9A8D9CC1-9982-494D-A239-59E7B9BF04C8}" destId="{8906B292-0082-439D-8E79-16CD34B52071}" srcOrd="1" destOrd="1" presId="urn:microsoft.com/office/officeart/2005/8/layout/cycle4"/>
    <dgm:cxn modelId="{B71F8206-F7AF-41F5-B5C7-767EAC275EDB}" type="presOf" srcId="{CC5DBD54-B0AC-45E7-B389-B6ADD61E6C63}" destId="{A586AAF6-95F9-4057-8350-E284C72FD465}" srcOrd="0" destOrd="2" presId="urn:microsoft.com/office/officeart/2005/8/layout/cycle4"/>
    <dgm:cxn modelId="{90DC8A7B-E171-4FF0-A19B-0F057F1F7AD4}" type="presOf" srcId="{C1112947-363E-40B8-A2B2-CF3B2D0CFE12}" destId="{28A7B9A7-A797-49BC-B2DB-6F4C4B49169E}" srcOrd="0" destOrd="0" presId="urn:microsoft.com/office/officeart/2005/8/layout/cycle4"/>
    <dgm:cxn modelId="{3A3B9101-1298-44AC-8488-71A0681553F2}" type="presOf" srcId="{85D8C8CF-12D6-4CF2-B287-391C9F1FC9B5}" destId="{3A21F0F2-660F-4D93-9D98-4C7E3395FEE2}" srcOrd="0" destOrd="0" presId="urn:microsoft.com/office/officeart/2005/8/layout/cycle4"/>
    <dgm:cxn modelId="{A19EC224-8762-4E0B-83F0-F72468804E62}" srcId="{C1112947-363E-40B8-A2B2-CF3B2D0CFE12}" destId="{63138D59-4B4D-42FA-814A-04E8259ECC8E}" srcOrd="2" destOrd="0" parTransId="{E5B2B214-3B8E-4631-9C5B-540CB89B4790}" sibTransId="{D2B0DC58-9B2A-4818-99E9-E6A8DFDF2772}"/>
    <dgm:cxn modelId="{C99814E1-E235-43CC-B3B3-36493E79EE60}" type="presOf" srcId="{FD909DAC-A3E2-4684-A567-387EAF4BCEBE}" destId="{07D25394-ABC5-41E9-B5BC-BE23AEE263CB}" srcOrd="0" destOrd="1" presId="urn:microsoft.com/office/officeart/2005/8/layout/cycle4"/>
    <dgm:cxn modelId="{D822DCBE-ABD3-44DA-8421-4EEF19DEA1F0}" type="presOf" srcId="{E429036B-4357-4870-9743-43332B475A6F}" destId="{07D25394-ABC5-41E9-B5BC-BE23AEE263CB}" srcOrd="0" destOrd="0" presId="urn:microsoft.com/office/officeart/2005/8/layout/cycle4"/>
    <dgm:cxn modelId="{DFC04CAF-7A97-4B91-8464-92B14226DF1F}" type="presOf" srcId="{3655B3CC-5BB0-415B-BBEE-19C7549FB833}" destId="{3A21F0F2-660F-4D93-9D98-4C7E3395FEE2}" srcOrd="0" destOrd="1" presId="urn:microsoft.com/office/officeart/2005/8/layout/cycle4"/>
    <dgm:cxn modelId="{C8C5880D-B963-479B-B4D6-762036921319}" type="presOf" srcId="{1AA4A1FF-3A89-4EE5-AE1A-13C81FDE7322}" destId="{252205ED-7A84-45D3-AA7C-740C0C8C77EE}" srcOrd="0" destOrd="0" presId="urn:microsoft.com/office/officeart/2005/8/layout/cycle4"/>
    <dgm:cxn modelId="{9A0BFF4E-D8CD-4623-BACE-9CAFC3727FE2}" srcId="{C1112947-363E-40B8-A2B2-CF3B2D0CFE12}" destId="{B7188C01-0A04-4AD2-8EFB-B183EAFEEE71}" srcOrd="4" destOrd="0" parTransId="{B739CC54-40E7-41CF-9FA5-DB37C3119ABE}" sibTransId="{E42EFC5D-9B36-4FF8-BB72-DBCC3D9FAB73}"/>
    <dgm:cxn modelId="{FB4D36B3-1ED3-4BD3-BAD8-2A202CF25F6A}" type="presOf" srcId="{30440C24-273C-4FB9-BBF1-6C514EFD3FF8}" destId="{C01BD796-37C5-45D8-A1FE-4D048F5030D2}" srcOrd="1" destOrd="2" presId="urn:microsoft.com/office/officeart/2005/8/layout/cycle4"/>
    <dgm:cxn modelId="{8B327437-0535-4D13-8507-D4DCAEBDD80F}" type="presOf" srcId="{72C21EF8-13A2-4568-BAE7-8B4D324524BE}" destId="{424E70FD-DF20-4FDD-BC52-468632CF3CAB}" srcOrd="0" destOrd="0" presId="urn:microsoft.com/office/officeart/2005/8/layout/cycle4"/>
    <dgm:cxn modelId="{FBF0D142-156D-4BB7-9EDF-B1B2A8C59144}" type="presOf" srcId="{FD38B92D-4F68-46B3-8EE4-C6DDC341481D}" destId="{C01BD796-37C5-45D8-A1FE-4D048F5030D2}" srcOrd="1" destOrd="3" presId="urn:microsoft.com/office/officeart/2005/8/layout/cycle4"/>
    <dgm:cxn modelId="{44390D53-2F25-496F-88DC-6293B167361A}" type="presOf" srcId="{8E22CFA6-8ADA-4762-AB42-26C8E01DD0C5}" destId="{A586AAF6-95F9-4057-8350-E284C72FD465}" srcOrd="0" destOrd="0" presId="urn:microsoft.com/office/officeart/2005/8/layout/cycle4"/>
    <dgm:cxn modelId="{4F8A59DC-D698-49C0-8566-3B09985867AB}" type="presOf" srcId="{B7188C01-0A04-4AD2-8EFB-B183EAFEEE71}" destId="{252205ED-7A84-45D3-AA7C-740C0C8C77EE}" srcOrd="0" destOrd="4" presId="urn:microsoft.com/office/officeart/2005/8/layout/cycle4"/>
    <dgm:cxn modelId="{ADAA2C38-41CF-4571-BAF6-E514144DCB64}" srcId="{4B7481E0-AED2-49AC-9EC5-62FAFC14E5EF}" destId="{E429036B-4357-4870-9743-43332B475A6F}" srcOrd="0" destOrd="0" parTransId="{76B99FCC-3B45-4230-A372-5970CC69F387}" sibTransId="{22B7570A-F6EA-4C22-ABDD-56297ACDB9E7}"/>
    <dgm:cxn modelId="{001A0E9A-CE6C-436F-9691-6AE3C2474A59}" type="presOf" srcId="{FD38B92D-4F68-46B3-8EE4-C6DDC341481D}" destId="{07D25394-ABC5-41E9-B5BC-BE23AEE263CB}" srcOrd="0" destOrd="3" presId="urn:microsoft.com/office/officeart/2005/8/layout/cycle4"/>
    <dgm:cxn modelId="{9A7F5A81-7978-4BC2-B68C-6D8D29C1FD9B}" type="presOf" srcId="{4B7481E0-AED2-49AC-9EC5-62FAFC14E5EF}" destId="{104F1CBB-F8FC-4B62-972E-1E2F1AACF879}" srcOrd="0" destOrd="0" presId="urn:microsoft.com/office/officeart/2005/8/layout/cycle4"/>
    <dgm:cxn modelId="{F5165125-BD0E-4F97-A22B-8D6A74D4F319}" srcId="{DBFD6417-63E1-429C-BD3F-84F0ED0B47E9}" destId="{4674696C-28F7-43D7-8148-60C536559D72}" srcOrd="2" destOrd="0" parTransId="{6B6EBB3E-7159-4385-A38F-FF06DDC1F3E7}" sibTransId="{DA9CC6F0-E6F7-4844-BCB3-1145BE32B186}"/>
    <dgm:cxn modelId="{D8B8C783-EA0F-4486-BF8C-CB35EEEBE1E0}" type="presOf" srcId="{42F4549A-AC06-4416-8F2E-083794B0378D}" destId="{A586AAF6-95F9-4057-8350-E284C72FD465}" srcOrd="0" destOrd="1" presId="urn:microsoft.com/office/officeart/2005/8/layout/cycle4"/>
    <dgm:cxn modelId="{60B4B897-EC65-4FA5-AEE9-7B55A5B73C31}" type="presOf" srcId="{42F4549A-AC06-4416-8F2E-083794B0378D}" destId="{B648A445-2AFB-4B39-8CA2-8275862C8BA2}" srcOrd="1" destOrd="1" presId="urn:microsoft.com/office/officeart/2005/8/layout/cycle4"/>
    <dgm:cxn modelId="{A2A872AC-E722-4C79-8396-9321C31C81BC}" type="presOf" srcId="{E2AF91B4-9347-4242-87C1-D41F9556F665}" destId="{252205ED-7A84-45D3-AA7C-740C0C8C77EE}" srcOrd="0" destOrd="3" presId="urn:microsoft.com/office/officeart/2005/8/layout/cycle4"/>
    <dgm:cxn modelId="{12A595A7-6D29-4524-AC51-5EC30B6934D0}" type="presOf" srcId="{E429036B-4357-4870-9743-43332B475A6F}" destId="{C01BD796-37C5-45D8-A1FE-4D048F5030D2}" srcOrd="1" destOrd="0" presId="urn:microsoft.com/office/officeart/2005/8/layout/cycle4"/>
    <dgm:cxn modelId="{544A4219-37ED-4D93-9C37-66F998D5B627}" srcId="{72C21EF8-13A2-4568-BAE7-8B4D324524BE}" destId="{DBFD6417-63E1-429C-BD3F-84F0ED0B47E9}" srcOrd="2" destOrd="0" parTransId="{BECF80D0-183A-4A5E-8913-44359B5CD6C7}" sibTransId="{FA849153-864B-44A8-884C-2CAE3CDA86E1}"/>
    <dgm:cxn modelId="{CFE52476-0419-4468-A659-42F2548B906E}" srcId="{72C21EF8-13A2-4568-BAE7-8B4D324524BE}" destId="{5D3D3D5C-F40D-48B6-94FA-89B03C7E0C86}" srcOrd="0" destOrd="0" parTransId="{BC6F8EE9-BEE0-4C46-B91E-02330C0A9462}" sibTransId="{D39953DA-ABE6-4C72-B22B-9844A406F87A}"/>
    <dgm:cxn modelId="{5AFE1500-F578-442F-98F5-15F52D25305A}" srcId="{DBFD6417-63E1-429C-BD3F-84F0ED0B47E9}" destId="{3655B3CC-5BB0-415B-BBEE-19C7549FB833}" srcOrd="1" destOrd="0" parTransId="{A31B4BE2-125F-4B6F-9828-91E673BEDA30}" sibTransId="{71046349-2770-468A-A5A3-30001DC43349}"/>
    <dgm:cxn modelId="{C13EC8B8-4992-425E-BF6C-AE698C3F9D9A}" srcId="{72C21EF8-13A2-4568-BAE7-8B4D324524BE}" destId="{C1112947-363E-40B8-A2B2-CF3B2D0CFE12}" srcOrd="1" destOrd="0" parTransId="{91D46F8B-07C2-4DB9-A250-BB732EDA0EAB}" sibTransId="{B2E82B95-6BF6-47E3-B09C-6919B96E1691}"/>
    <dgm:cxn modelId="{0FAC9D25-9227-4EDB-921B-FEF39DB94784}" type="presOf" srcId="{5D3D3D5C-F40D-48B6-94FA-89B03C7E0C86}" destId="{D6A7EC5D-AFA5-4876-9C76-2DA96CE74D3D}" srcOrd="0" destOrd="0" presId="urn:microsoft.com/office/officeart/2005/8/layout/cycle4"/>
    <dgm:cxn modelId="{EFEC5D1B-DAB9-459E-BB2F-0E04A068622C}" type="presOf" srcId="{CC5DBD54-B0AC-45E7-B389-B6ADD61E6C63}" destId="{B648A445-2AFB-4B39-8CA2-8275862C8BA2}" srcOrd="1" destOrd="2" presId="urn:microsoft.com/office/officeart/2005/8/layout/cycle4"/>
    <dgm:cxn modelId="{125BCA5B-1961-4B5A-8DC3-9A0074A12BA7}" type="presOf" srcId="{4674696C-28F7-43D7-8148-60C536559D72}" destId="{3A21F0F2-660F-4D93-9D98-4C7E3395FEE2}" srcOrd="0" destOrd="2" presId="urn:microsoft.com/office/officeart/2005/8/layout/cycle4"/>
    <dgm:cxn modelId="{B9E56768-0C8B-4B2D-B34B-2C36F983B5BB}" srcId="{72C21EF8-13A2-4568-BAE7-8B4D324524BE}" destId="{4B7481E0-AED2-49AC-9EC5-62FAFC14E5EF}" srcOrd="3" destOrd="0" parTransId="{C99609D3-F8E9-43EB-BEA1-A8F353DEB8A4}" sibTransId="{C8E6F799-8AFD-470A-956D-B4D091204487}"/>
    <dgm:cxn modelId="{4767B09B-8491-448D-8242-BF3DB32030E7}" type="presOf" srcId="{4674696C-28F7-43D7-8148-60C536559D72}" destId="{E80602CB-A02E-4843-9CE5-A9CA5825661B}" srcOrd="1" destOrd="2" presId="urn:microsoft.com/office/officeart/2005/8/layout/cycle4"/>
    <dgm:cxn modelId="{9C1C1A5A-8D68-41A8-A77E-26884DEC7E87}" srcId="{C1112947-363E-40B8-A2B2-CF3B2D0CFE12}" destId="{9A8D9CC1-9982-494D-A239-59E7B9BF04C8}" srcOrd="1" destOrd="0" parTransId="{E31527F4-0DEF-4884-9160-9789D25B8C4C}" sibTransId="{8CF0E43C-5313-436E-ACAD-48A22D2B3D7B}"/>
    <dgm:cxn modelId="{7DDD8481-1429-482E-B07E-BF33D4EE2358}" srcId="{4B7481E0-AED2-49AC-9EC5-62FAFC14E5EF}" destId="{FD38B92D-4F68-46B3-8EE4-C6DDC341481D}" srcOrd="3" destOrd="0" parTransId="{8F1C37DA-41C8-4C6E-A7E8-2EBC16536882}" sibTransId="{C824F2F7-E2CB-4912-BD1F-4183AFE3342B}"/>
    <dgm:cxn modelId="{AF416BFA-B9DF-41D6-9B9E-C95DFA7C1AA0}" srcId="{5D3D3D5C-F40D-48B6-94FA-89B03C7E0C86}" destId="{42F4549A-AC06-4416-8F2E-083794B0378D}" srcOrd="1" destOrd="0" parTransId="{1569C64D-FB47-4F06-9DF7-CF3FD1E53A67}" sibTransId="{FCF5C537-C9C5-487A-ABD0-895C2CACAD6F}"/>
    <dgm:cxn modelId="{829554DD-16FA-4158-A8FA-B9A61A86AA19}" type="presOf" srcId="{FD909DAC-A3E2-4684-A567-387EAF4BCEBE}" destId="{C01BD796-37C5-45D8-A1FE-4D048F5030D2}" srcOrd="1" destOrd="1" presId="urn:microsoft.com/office/officeart/2005/8/layout/cycle4"/>
    <dgm:cxn modelId="{DA37C22A-2213-4C7C-9C52-C0B1AFC8A625}" type="presOf" srcId="{E2AF91B4-9347-4242-87C1-D41F9556F665}" destId="{8906B292-0082-439D-8E79-16CD34B52071}" srcOrd="1" destOrd="3" presId="urn:microsoft.com/office/officeart/2005/8/layout/cycle4"/>
    <dgm:cxn modelId="{531850BD-4FE3-443D-A864-D06860909151}" srcId="{DBFD6417-63E1-429C-BD3F-84F0ED0B47E9}" destId="{85D8C8CF-12D6-4CF2-B287-391C9F1FC9B5}" srcOrd="0" destOrd="0" parTransId="{A8A083D2-CC58-4907-87C9-454C233BE90A}" sibTransId="{C592559C-2850-44A5-9F83-A43B71A4BB7B}"/>
    <dgm:cxn modelId="{C4E3F84C-9CBD-486D-AA4A-04F495B700D7}" type="presOf" srcId="{30440C24-273C-4FB9-BBF1-6C514EFD3FF8}" destId="{07D25394-ABC5-41E9-B5BC-BE23AEE263CB}" srcOrd="0" destOrd="2" presId="urn:microsoft.com/office/officeart/2005/8/layout/cycle4"/>
    <dgm:cxn modelId="{1B59F104-670A-4B74-9A34-CFE936BF5E12}" srcId="{4B7481E0-AED2-49AC-9EC5-62FAFC14E5EF}" destId="{30440C24-273C-4FB9-BBF1-6C514EFD3FF8}" srcOrd="2" destOrd="0" parTransId="{56414CE7-4211-4415-A5BF-FAE400FCA62E}" sibTransId="{A10124B8-4CD2-4D20-BCE5-81ED2FC22531}"/>
    <dgm:cxn modelId="{27D3633D-7EE1-409B-B23A-9BE9EA751779}" type="presParOf" srcId="{424E70FD-DF20-4FDD-BC52-468632CF3CAB}" destId="{A8AB722B-D38E-4F97-917B-900981B98A25}" srcOrd="0" destOrd="0" presId="urn:microsoft.com/office/officeart/2005/8/layout/cycle4"/>
    <dgm:cxn modelId="{2BEF5D44-E4E1-4E2B-9CA0-A924E5E1486E}" type="presParOf" srcId="{A8AB722B-D38E-4F97-917B-900981B98A25}" destId="{7206D22E-17A2-4F34-9210-DBFEACAC40D7}" srcOrd="0" destOrd="0" presId="urn:microsoft.com/office/officeart/2005/8/layout/cycle4"/>
    <dgm:cxn modelId="{BC503499-887F-4C86-9991-58AFC4BE185F}" type="presParOf" srcId="{7206D22E-17A2-4F34-9210-DBFEACAC40D7}" destId="{A586AAF6-95F9-4057-8350-E284C72FD465}" srcOrd="0" destOrd="0" presId="urn:microsoft.com/office/officeart/2005/8/layout/cycle4"/>
    <dgm:cxn modelId="{1AE8360B-7859-485B-AA85-4281AD241F60}" type="presParOf" srcId="{7206D22E-17A2-4F34-9210-DBFEACAC40D7}" destId="{B648A445-2AFB-4B39-8CA2-8275862C8BA2}" srcOrd="1" destOrd="0" presId="urn:microsoft.com/office/officeart/2005/8/layout/cycle4"/>
    <dgm:cxn modelId="{C34363F1-3F68-4B0B-A8AF-739FD1A34072}" type="presParOf" srcId="{A8AB722B-D38E-4F97-917B-900981B98A25}" destId="{BE75CD99-ADCB-4F66-AB19-317196393EA8}" srcOrd="1" destOrd="0" presId="urn:microsoft.com/office/officeart/2005/8/layout/cycle4"/>
    <dgm:cxn modelId="{E8937D13-29CF-4F65-973E-5DA80212735E}" type="presParOf" srcId="{BE75CD99-ADCB-4F66-AB19-317196393EA8}" destId="{252205ED-7A84-45D3-AA7C-740C0C8C77EE}" srcOrd="0" destOrd="0" presId="urn:microsoft.com/office/officeart/2005/8/layout/cycle4"/>
    <dgm:cxn modelId="{9AC45BC7-82B5-4BEA-BF1D-19EC288263B5}" type="presParOf" srcId="{BE75CD99-ADCB-4F66-AB19-317196393EA8}" destId="{8906B292-0082-439D-8E79-16CD34B52071}" srcOrd="1" destOrd="0" presId="urn:microsoft.com/office/officeart/2005/8/layout/cycle4"/>
    <dgm:cxn modelId="{E6A22F19-7799-400B-83E1-A9035C274942}" type="presParOf" srcId="{A8AB722B-D38E-4F97-917B-900981B98A25}" destId="{9733161B-8110-4515-9C58-A39264939781}" srcOrd="2" destOrd="0" presId="urn:microsoft.com/office/officeart/2005/8/layout/cycle4"/>
    <dgm:cxn modelId="{24C17A09-3D0A-4BC8-B518-F9932758D388}" type="presParOf" srcId="{9733161B-8110-4515-9C58-A39264939781}" destId="{3A21F0F2-660F-4D93-9D98-4C7E3395FEE2}" srcOrd="0" destOrd="0" presId="urn:microsoft.com/office/officeart/2005/8/layout/cycle4"/>
    <dgm:cxn modelId="{676550B1-1103-46C0-AE39-F353DF5C83BC}" type="presParOf" srcId="{9733161B-8110-4515-9C58-A39264939781}" destId="{E80602CB-A02E-4843-9CE5-A9CA5825661B}" srcOrd="1" destOrd="0" presId="urn:microsoft.com/office/officeart/2005/8/layout/cycle4"/>
    <dgm:cxn modelId="{0D5872D9-3D56-40D3-878E-A755D619FD19}" type="presParOf" srcId="{A8AB722B-D38E-4F97-917B-900981B98A25}" destId="{CAFAB8C1-DE58-4FFB-9318-A875B7F01D39}" srcOrd="3" destOrd="0" presId="urn:microsoft.com/office/officeart/2005/8/layout/cycle4"/>
    <dgm:cxn modelId="{9BD29350-A325-423E-8166-AF6068CD7DBD}" type="presParOf" srcId="{CAFAB8C1-DE58-4FFB-9318-A875B7F01D39}" destId="{07D25394-ABC5-41E9-B5BC-BE23AEE263CB}" srcOrd="0" destOrd="0" presId="urn:microsoft.com/office/officeart/2005/8/layout/cycle4"/>
    <dgm:cxn modelId="{2A2EB62A-A125-411E-B690-937F70B1EA0E}" type="presParOf" srcId="{CAFAB8C1-DE58-4FFB-9318-A875B7F01D39}" destId="{C01BD796-37C5-45D8-A1FE-4D048F5030D2}" srcOrd="1" destOrd="0" presId="urn:microsoft.com/office/officeart/2005/8/layout/cycle4"/>
    <dgm:cxn modelId="{9DBD41CC-CF1B-49FA-9E13-161BA056EC8E}" type="presParOf" srcId="{A8AB722B-D38E-4F97-917B-900981B98A25}" destId="{14379FD5-1CF0-47F0-93C4-DC5C08E490D5}" srcOrd="4" destOrd="0" presId="urn:microsoft.com/office/officeart/2005/8/layout/cycle4"/>
    <dgm:cxn modelId="{3FF10318-3606-4C62-872E-68C12B82853C}" type="presParOf" srcId="{424E70FD-DF20-4FDD-BC52-468632CF3CAB}" destId="{64900A35-7C7E-4BB0-92B8-E8CFA64CB80E}" srcOrd="1" destOrd="0" presId="urn:microsoft.com/office/officeart/2005/8/layout/cycle4"/>
    <dgm:cxn modelId="{A4C51A3F-1E40-437F-AC19-61B6751C452A}" type="presParOf" srcId="{64900A35-7C7E-4BB0-92B8-E8CFA64CB80E}" destId="{D6A7EC5D-AFA5-4876-9C76-2DA96CE74D3D}" srcOrd="0" destOrd="0" presId="urn:microsoft.com/office/officeart/2005/8/layout/cycle4"/>
    <dgm:cxn modelId="{BF340A4B-586A-4DFA-B279-888F74B78604}" type="presParOf" srcId="{64900A35-7C7E-4BB0-92B8-E8CFA64CB80E}" destId="{28A7B9A7-A797-49BC-B2DB-6F4C4B49169E}" srcOrd="1" destOrd="0" presId="urn:microsoft.com/office/officeart/2005/8/layout/cycle4"/>
    <dgm:cxn modelId="{578C8FE3-3417-4C42-B5A6-897148ADAFB9}" type="presParOf" srcId="{64900A35-7C7E-4BB0-92B8-E8CFA64CB80E}" destId="{037702EA-C0EF-4EC7-8CE3-2332BE5322E3}" srcOrd="2" destOrd="0" presId="urn:microsoft.com/office/officeart/2005/8/layout/cycle4"/>
    <dgm:cxn modelId="{45A6E47F-CA23-4132-882D-DC729B3AAAE3}" type="presParOf" srcId="{64900A35-7C7E-4BB0-92B8-E8CFA64CB80E}" destId="{104F1CBB-F8FC-4B62-972E-1E2F1AACF879}" srcOrd="3" destOrd="0" presId="urn:microsoft.com/office/officeart/2005/8/layout/cycle4"/>
    <dgm:cxn modelId="{015DEF92-0C4A-43F2-990A-A95669E28146}" type="presParOf" srcId="{64900A35-7C7E-4BB0-92B8-E8CFA64CB80E}" destId="{91EC75B9-F8BF-48C0-B2D0-678EA9B95828}" srcOrd="4" destOrd="0" presId="urn:microsoft.com/office/officeart/2005/8/layout/cycle4"/>
    <dgm:cxn modelId="{DC210A2F-8D88-4704-8873-1675F4B6E964}" type="presParOf" srcId="{424E70FD-DF20-4FDD-BC52-468632CF3CAB}" destId="{4753C80D-B522-40BC-83A6-D9C66F421FDA}" srcOrd="2" destOrd="0" presId="urn:microsoft.com/office/officeart/2005/8/layout/cycle4"/>
    <dgm:cxn modelId="{BBE3CC52-91A5-4186-A74C-D27A69D4042E}" type="presParOf" srcId="{424E70FD-DF20-4FDD-BC52-468632CF3CAB}" destId="{22058EC3-4968-4110-AC12-D7C6CE68C3C2}" srcOrd="3" destOrd="0" presId="urn:microsoft.com/office/officeart/2005/8/layout/cycle4"/>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2B1ABE-09D8-4DA8-883D-3EEB7AE9A2E5}"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n-US"/>
        </a:p>
      </dgm:t>
    </dgm:pt>
    <dgm:pt modelId="{0B11AC2C-48BC-4244-B121-6E1D3D698053}">
      <dgm:prSet phldrT="[Text]" custT="1"/>
      <dgm:spPr/>
      <dgm:t>
        <a:bodyPr/>
        <a:lstStyle/>
        <a:p>
          <a:r>
            <a:rPr lang="sr-Latn-RS" sz="800" b="0"/>
            <a:t>ORGANIZACIJA I RAD JAVNE UPRAVE U FUNKCIJI POTREBA GRAĐANA</a:t>
          </a:r>
          <a:endParaRPr lang="en-US" sz="800" b="0"/>
        </a:p>
      </dgm:t>
    </dgm:pt>
    <dgm:pt modelId="{AB321436-ADC4-4AEF-8E69-610650204C34}" type="parTrans" cxnId="{C5B24143-D9AF-4945-81BB-1AA2FF55117B}">
      <dgm:prSet/>
      <dgm:spPr/>
      <dgm:t>
        <a:bodyPr/>
        <a:lstStyle/>
        <a:p>
          <a:endParaRPr lang="en-US"/>
        </a:p>
      </dgm:t>
    </dgm:pt>
    <dgm:pt modelId="{569B2A2B-F73A-4048-A9DE-BF501F61744E}" type="sibTrans" cxnId="{C5B24143-D9AF-4945-81BB-1AA2FF55117B}">
      <dgm:prSet/>
      <dgm:spPr/>
      <dgm:t>
        <a:bodyPr/>
        <a:lstStyle/>
        <a:p>
          <a:endParaRPr lang="en-US"/>
        </a:p>
      </dgm:t>
    </dgm:pt>
    <dgm:pt modelId="{01D90C7E-716E-42CE-96D8-3164F308E88B}">
      <dgm:prSet phldrT="[Text]" custT="1"/>
      <dgm:spPr/>
      <dgm:t>
        <a:bodyPr/>
        <a:lstStyle/>
        <a:p>
          <a:r>
            <a:rPr lang="sr-Latn-RS" sz="800" b="0"/>
            <a:t>TRANSPARENTNA I OTVORENA JAVNA UPRAVA</a:t>
          </a:r>
          <a:endParaRPr lang="en-US" sz="800" b="0"/>
        </a:p>
      </dgm:t>
    </dgm:pt>
    <dgm:pt modelId="{EACBC68A-D191-4B78-A9E2-F245F14BBF2B}" type="parTrans" cxnId="{4FA63BB3-015B-4479-A9FE-D2211D9D25A8}">
      <dgm:prSet/>
      <dgm:spPr/>
      <dgm:t>
        <a:bodyPr/>
        <a:lstStyle/>
        <a:p>
          <a:endParaRPr lang="en-US"/>
        </a:p>
      </dgm:t>
    </dgm:pt>
    <dgm:pt modelId="{29256EB3-E230-42C2-A7B1-F92EF6E3EA53}" type="sibTrans" cxnId="{4FA63BB3-015B-4479-A9FE-D2211D9D25A8}">
      <dgm:prSet/>
      <dgm:spPr/>
      <dgm:t>
        <a:bodyPr/>
        <a:lstStyle/>
        <a:p>
          <a:endParaRPr lang="en-US"/>
        </a:p>
      </dgm:t>
    </dgm:pt>
    <dgm:pt modelId="{CDA4AB95-0996-4B60-850C-FEF1D9F2C040}">
      <dgm:prSet custT="1"/>
      <dgm:spPr/>
      <dgm:t>
        <a:bodyPr/>
        <a:lstStyle/>
        <a:p>
          <a:r>
            <a:rPr lang="sr-Latn-RS" sz="800" b="0"/>
            <a:t>GRAĐANI I PRIVREDA KORISTE KVALITETE USLUGE JAVNE UPRAVE</a:t>
          </a:r>
          <a:endParaRPr lang="en-US" sz="800" b="0"/>
        </a:p>
      </dgm:t>
    </dgm:pt>
    <dgm:pt modelId="{2363EA01-74B7-4AE7-B7C1-54156CC30C30}" type="parTrans" cxnId="{0EE65EDF-97C8-4650-8FD6-82B08A45BBCE}">
      <dgm:prSet/>
      <dgm:spPr/>
      <dgm:t>
        <a:bodyPr/>
        <a:lstStyle/>
        <a:p>
          <a:endParaRPr lang="en-US"/>
        </a:p>
      </dgm:t>
    </dgm:pt>
    <dgm:pt modelId="{82A85DB3-DC0A-4DDF-8787-860FD8D70D3B}" type="sibTrans" cxnId="{0EE65EDF-97C8-4650-8FD6-82B08A45BBCE}">
      <dgm:prSet/>
      <dgm:spPr/>
      <dgm:t>
        <a:bodyPr/>
        <a:lstStyle/>
        <a:p>
          <a:endParaRPr lang="en-US"/>
        </a:p>
      </dgm:t>
    </dgm:pt>
    <dgm:pt modelId="{6C042A91-C941-4D06-A028-FB2649449CEC}">
      <dgm:prSet custT="1"/>
      <dgm:spPr/>
      <dgm:t>
        <a:bodyPr/>
        <a:lstStyle/>
        <a:p>
          <a:r>
            <a:rPr lang="sr-Latn-RS" sz="800" b="0"/>
            <a:t>PROFESIONALNA JAVNA ADMINISTRACIJA</a:t>
          </a:r>
          <a:endParaRPr lang="en-US" sz="800" b="0"/>
        </a:p>
      </dgm:t>
    </dgm:pt>
    <dgm:pt modelId="{E7070E0D-2098-46D4-BA75-ED166CE6602A}" type="parTrans" cxnId="{8FFB872D-DA50-4DF6-9E96-D40465C85044}">
      <dgm:prSet/>
      <dgm:spPr/>
      <dgm:t>
        <a:bodyPr/>
        <a:lstStyle/>
        <a:p>
          <a:endParaRPr lang="en-US"/>
        </a:p>
      </dgm:t>
    </dgm:pt>
    <dgm:pt modelId="{BC01F3B8-A59A-409D-B34C-D0A1EE703333}" type="sibTrans" cxnId="{8FFB872D-DA50-4DF6-9E96-D40465C85044}">
      <dgm:prSet/>
      <dgm:spPr/>
      <dgm:t>
        <a:bodyPr/>
        <a:lstStyle/>
        <a:p>
          <a:endParaRPr lang="en-US"/>
        </a:p>
      </dgm:t>
    </dgm:pt>
    <dgm:pt modelId="{CA91E042-3C5F-4726-8421-38B19533A8BA}">
      <dgm:prSet custT="1"/>
      <dgm:spPr/>
      <dgm:t>
        <a:bodyPr/>
        <a:lstStyle/>
        <a:p>
          <a:r>
            <a:rPr lang="sr-Latn-RS" sz="800" b="0"/>
            <a:t>PLANIRANJE POLITIKA SA GRAĐANIMA I ZA GRAĐANE</a:t>
          </a:r>
          <a:endParaRPr lang="en-US" sz="800" b="0"/>
        </a:p>
      </dgm:t>
    </dgm:pt>
    <dgm:pt modelId="{8618B5D6-1A68-49EB-916D-865D9673CE49}" type="parTrans" cxnId="{10CE1A8C-0060-4A79-87D5-613BD3E02549}">
      <dgm:prSet/>
      <dgm:spPr/>
      <dgm:t>
        <a:bodyPr/>
        <a:lstStyle/>
        <a:p>
          <a:endParaRPr lang="en-US"/>
        </a:p>
      </dgm:t>
    </dgm:pt>
    <dgm:pt modelId="{2B666CD8-D3D0-4A95-A96F-3B1C3CC84C2B}" type="sibTrans" cxnId="{10CE1A8C-0060-4A79-87D5-613BD3E02549}">
      <dgm:prSet/>
      <dgm:spPr/>
      <dgm:t>
        <a:bodyPr/>
        <a:lstStyle/>
        <a:p>
          <a:endParaRPr lang="en-US"/>
        </a:p>
      </dgm:t>
    </dgm:pt>
    <dgm:pt modelId="{81E7ADF3-B631-4662-AE5B-0236CEADCFBA}">
      <dgm:prSet phldrT="[Text]" custT="1"/>
      <dgm:spPr/>
      <dgm:t>
        <a:bodyPr/>
        <a:lstStyle/>
        <a:p>
          <a:r>
            <a:rPr lang="en-US" sz="800" b="1"/>
            <a:t>STRATEGIJA REFORME JAVNE UPRAVE 2022-2026.</a:t>
          </a:r>
        </a:p>
      </dgm:t>
    </dgm:pt>
    <dgm:pt modelId="{1C4F4937-1407-43BA-BB04-609EB5729E41}" type="sibTrans" cxnId="{5968FA94-4253-4061-B075-B7D59AE24D63}">
      <dgm:prSet/>
      <dgm:spPr/>
      <dgm:t>
        <a:bodyPr/>
        <a:lstStyle/>
        <a:p>
          <a:endParaRPr lang="en-US"/>
        </a:p>
      </dgm:t>
    </dgm:pt>
    <dgm:pt modelId="{F97A253F-AA3B-42EE-87EF-8C9074EB29F6}" type="parTrans" cxnId="{5968FA94-4253-4061-B075-B7D59AE24D63}">
      <dgm:prSet/>
      <dgm:spPr/>
      <dgm:t>
        <a:bodyPr/>
        <a:lstStyle/>
        <a:p>
          <a:endParaRPr lang="en-US"/>
        </a:p>
      </dgm:t>
    </dgm:pt>
    <dgm:pt modelId="{B74C465F-9AD9-43FD-864A-C5359E94E370}" type="pres">
      <dgm:prSet presAssocID="{3D2B1ABE-09D8-4DA8-883D-3EEB7AE9A2E5}" presName="hierChild1" presStyleCnt="0">
        <dgm:presLayoutVars>
          <dgm:orgChart val="1"/>
          <dgm:chPref val="1"/>
          <dgm:dir/>
          <dgm:animOne val="branch"/>
          <dgm:animLvl val="lvl"/>
          <dgm:resizeHandles/>
        </dgm:presLayoutVars>
      </dgm:prSet>
      <dgm:spPr/>
      <dgm:t>
        <a:bodyPr/>
        <a:lstStyle/>
        <a:p>
          <a:endParaRPr lang="en-US"/>
        </a:p>
      </dgm:t>
    </dgm:pt>
    <dgm:pt modelId="{5C438408-12B7-4ED1-8033-1A123660501F}" type="pres">
      <dgm:prSet presAssocID="{81E7ADF3-B631-4662-AE5B-0236CEADCFBA}" presName="hierRoot1" presStyleCnt="0">
        <dgm:presLayoutVars>
          <dgm:hierBranch val="init"/>
        </dgm:presLayoutVars>
      </dgm:prSet>
      <dgm:spPr/>
    </dgm:pt>
    <dgm:pt modelId="{EC9CE7C7-8CF1-4A24-9BB4-BCA9946131D9}" type="pres">
      <dgm:prSet presAssocID="{81E7ADF3-B631-4662-AE5B-0236CEADCFBA}" presName="rootComposite1" presStyleCnt="0"/>
      <dgm:spPr/>
    </dgm:pt>
    <dgm:pt modelId="{CD5D1FC1-31B1-4E97-872F-00E96C77CFA8}" type="pres">
      <dgm:prSet presAssocID="{81E7ADF3-B631-4662-AE5B-0236CEADCFBA}" presName="rootText1" presStyleLbl="node0" presStyleIdx="0" presStyleCnt="1" custScaleX="273751" custScaleY="64087">
        <dgm:presLayoutVars>
          <dgm:chPref val="3"/>
        </dgm:presLayoutVars>
      </dgm:prSet>
      <dgm:spPr/>
      <dgm:t>
        <a:bodyPr/>
        <a:lstStyle/>
        <a:p>
          <a:endParaRPr lang="en-US"/>
        </a:p>
      </dgm:t>
    </dgm:pt>
    <dgm:pt modelId="{8666FA59-509F-4079-B118-E856DC4C2F34}" type="pres">
      <dgm:prSet presAssocID="{81E7ADF3-B631-4662-AE5B-0236CEADCFBA}" presName="rootConnector1" presStyleLbl="node1" presStyleIdx="0" presStyleCnt="0"/>
      <dgm:spPr/>
      <dgm:t>
        <a:bodyPr/>
        <a:lstStyle/>
        <a:p>
          <a:endParaRPr lang="en-US"/>
        </a:p>
      </dgm:t>
    </dgm:pt>
    <dgm:pt modelId="{4FAE3D0E-87D2-4F47-AB17-76D837403558}" type="pres">
      <dgm:prSet presAssocID="{81E7ADF3-B631-4662-AE5B-0236CEADCFBA}" presName="hierChild2" presStyleCnt="0"/>
      <dgm:spPr/>
    </dgm:pt>
    <dgm:pt modelId="{CFC1C018-7769-40C7-BDB4-F090ED1B978B}" type="pres">
      <dgm:prSet presAssocID="{AB321436-ADC4-4AEF-8E69-610650204C34}" presName="Name37" presStyleLbl="parChTrans1D2" presStyleIdx="0" presStyleCnt="5"/>
      <dgm:spPr/>
      <dgm:t>
        <a:bodyPr/>
        <a:lstStyle/>
        <a:p>
          <a:endParaRPr lang="en-US"/>
        </a:p>
      </dgm:t>
    </dgm:pt>
    <dgm:pt modelId="{B4FBD908-02EF-4CF8-809E-5AF3F64CFF76}" type="pres">
      <dgm:prSet presAssocID="{0B11AC2C-48BC-4244-B121-6E1D3D698053}" presName="hierRoot2" presStyleCnt="0">
        <dgm:presLayoutVars>
          <dgm:hierBranch val="init"/>
        </dgm:presLayoutVars>
      </dgm:prSet>
      <dgm:spPr/>
    </dgm:pt>
    <dgm:pt modelId="{C1F9220E-591B-4678-91DE-C6AE2CF9BAEB}" type="pres">
      <dgm:prSet presAssocID="{0B11AC2C-48BC-4244-B121-6E1D3D698053}" presName="rootComposite" presStyleCnt="0"/>
      <dgm:spPr/>
    </dgm:pt>
    <dgm:pt modelId="{5F803A4A-7C8E-4811-9E64-6B1AF3521261}" type="pres">
      <dgm:prSet presAssocID="{0B11AC2C-48BC-4244-B121-6E1D3D698053}" presName="rootText" presStyleLbl="node2" presStyleIdx="0" presStyleCnt="5" custScaleX="172617">
        <dgm:presLayoutVars>
          <dgm:chPref val="3"/>
        </dgm:presLayoutVars>
      </dgm:prSet>
      <dgm:spPr/>
      <dgm:t>
        <a:bodyPr/>
        <a:lstStyle/>
        <a:p>
          <a:endParaRPr lang="en-US"/>
        </a:p>
      </dgm:t>
    </dgm:pt>
    <dgm:pt modelId="{C0674768-05C5-499C-AEFD-374D5011328E}" type="pres">
      <dgm:prSet presAssocID="{0B11AC2C-48BC-4244-B121-6E1D3D698053}" presName="rootConnector" presStyleLbl="node2" presStyleIdx="0" presStyleCnt="5"/>
      <dgm:spPr/>
      <dgm:t>
        <a:bodyPr/>
        <a:lstStyle/>
        <a:p>
          <a:endParaRPr lang="en-US"/>
        </a:p>
      </dgm:t>
    </dgm:pt>
    <dgm:pt modelId="{FD9DC2AD-C654-4A12-8EF0-DD5473CD4DB2}" type="pres">
      <dgm:prSet presAssocID="{0B11AC2C-48BC-4244-B121-6E1D3D698053}" presName="hierChild4" presStyleCnt="0"/>
      <dgm:spPr/>
    </dgm:pt>
    <dgm:pt modelId="{6FE72A0F-0DB3-4CA6-B80D-F46424854644}" type="pres">
      <dgm:prSet presAssocID="{0B11AC2C-48BC-4244-B121-6E1D3D698053}" presName="hierChild5" presStyleCnt="0"/>
      <dgm:spPr/>
    </dgm:pt>
    <dgm:pt modelId="{6A315489-94FF-4C4D-AB03-7174F206BB89}" type="pres">
      <dgm:prSet presAssocID="{2363EA01-74B7-4AE7-B7C1-54156CC30C30}" presName="Name37" presStyleLbl="parChTrans1D2" presStyleIdx="1" presStyleCnt="5"/>
      <dgm:spPr/>
      <dgm:t>
        <a:bodyPr/>
        <a:lstStyle/>
        <a:p>
          <a:endParaRPr lang="en-US"/>
        </a:p>
      </dgm:t>
    </dgm:pt>
    <dgm:pt modelId="{487344D5-B85F-4420-BE94-E1A0BE0E8254}" type="pres">
      <dgm:prSet presAssocID="{CDA4AB95-0996-4B60-850C-FEF1D9F2C040}" presName="hierRoot2" presStyleCnt="0">
        <dgm:presLayoutVars>
          <dgm:hierBranch val="init"/>
        </dgm:presLayoutVars>
      </dgm:prSet>
      <dgm:spPr/>
    </dgm:pt>
    <dgm:pt modelId="{718590FC-B137-48C7-B26B-8984F733E5C9}" type="pres">
      <dgm:prSet presAssocID="{CDA4AB95-0996-4B60-850C-FEF1D9F2C040}" presName="rootComposite" presStyleCnt="0"/>
      <dgm:spPr/>
    </dgm:pt>
    <dgm:pt modelId="{FEBC9E9F-B886-449E-BB73-AE73BE761479}" type="pres">
      <dgm:prSet presAssocID="{CDA4AB95-0996-4B60-850C-FEF1D9F2C040}" presName="rootText" presStyleLbl="node2" presStyleIdx="1" presStyleCnt="5" custScaleX="137957" custLinFactNeighborX="6850" custLinFactNeighborY="6598">
        <dgm:presLayoutVars>
          <dgm:chPref val="3"/>
        </dgm:presLayoutVars>
      </dgm:prSet>
      <dgm:spPr/>
      <dgm:t>
        <a:bodyPr/>
        <a:lstStyle/>
        <a:p>
          <a:endParaRPr lang="en-US"/>
        </a:p>
      </dgm:t>
    </dgm:pt>
    <dgm:pt modelId="{4957DF74-0B4B-43F3-A9A0-19531DF18E0C}" type="pres">
      <dgm:prSet presAssocID="{CDA4AB95-0996-4B60-850C-FEF1D9F2C040}" presName="rootConnector" presStyleLbl="node2" presStyleIdx="1" presStyleCnt="5"/>
      <dgm:spPr/>
      <dgm:t>
        <a:bodyPr/>
        <a:lstStyle/>
        <a:p>
          <a:endParaRPr lang="en-US"/>
        </a:p>
      </dgm:t>
    </dgm:pt>
    <dgm:pt modelId="{8BB78946-98EA-4517-84FE-3E920CC40D0B}" type="pres">
      <dgm:prSet presAssocID="{CDA4AB95-0996-4B60-850C-FEF1D9F2C040}" presName="hierChild4" presStyleCnt="0"/>
      <dgm:spPr/>
    </dgm:pt>
    <dgm:pt modelId="{3750CCB2-F35C-4A05-BDB1-B2360F9BCFD4}" type="pres">
      <dgm:prSet presAssocID="{CDA4AB95-0996-4B60-850C-FEF1D9F2C040}" presName="hierChild5" presStyleCnt="0"/>
      <dgm:spPr/>
    </dgm:pt>
    <dgm:pt modelId="{5C3CCCCE-3D20-4B15-84E8-1382F53ED691}" type="pres">
      <dgm:prSet presAssocID="{E7070E0D-2098-46D4-BA75-ED166CE6602A}" presName="Name37" presStyleLbl="parChTrans1D2" presStyleIdx="2" presStyleCnt="5"/>
      <dgm:spPr/>
      <dgm:t>
        <a:bodyPr/>
        <a:lstStyle/>
        <a:p>
          <a:endParaRPr lang="en-US"/>
        </a:p>
      </dgm:t>
    </dgm:pt>
    <dgm:pt modelId="{62411DED-D7DE-459A-A0B3-3D667EF3D954}" type="pres">
      <dgm:prSet presAssocID="{6C042A91-C941-4D06-A028-FB2649449CEC}" presName="hierRoot2" presStyleCnt="0">
        <dgm:presLayoutVars>
          <dgm:hierBranch val="init"/>
        </dgm:presLayoutVars>
      </dgm:prSet>
      <dgm:spPr/>
    </dgm:pt>
    <dgm:pt modelId="{EC1CA61C-34AD-4A49-9CEB-9884F4EAC295}" type="pres">
      <dgm:prSet presAssocID="{6C042A91-C941-4D06-A028-FB2649449CEC}" presName="rootComposite" presStyleCnt="0"/>
      <dgm:spPr/>
    </dgm:pt>
    <dgm:pt modelId="{2B5DE013-4671-4467-BD66-7E5DBDFDE698}" type="pres">
      <dgm:prSet presAssocID="{6C042A91-C941-4D06-A028-FB2649449CEC}" presName="rootText" presStyleLbl="node2" presStyleIdx="2" presStyleCnt="5" custScaleX="136660">
        <dgm:presLayoutVars>
          <dgm:chPref val="3"/>
        </dgm:presLayoutVars>
      </dgm:prSet>
      <dgm:spPr/>
      <dgm:t>
        <a:bodyPr/>
        <a:lstStyle/>
        <a:p>
          <a:endParaRPr lang="en-US"/>
        </a:p>
      </dgm:t>
    </dgm:pt>
    <dgm:pt modelId="{2CBA3BFC-6F4C-4561-88A6-5934FC410119}" type="pres">
      <dgm:prSet presAssocID="{6C042A91-C941-4D06-A028-FB2649449CEC}" presName="rootConnector" presStyleLbl="node2" presStyleIdx="2" presStyleCnt="5"/>
      <dgm:spPr/>
      <dgm:t>
        <a:bodyPr/>
        <a:lstStyle/>
        <a:p>
          <a:endParaRPr lang="en-US"/>
        </a:p>
      </dgm:t>
    </dgm:pt>
    <dgm:pt modelId="{8F6D40C6-B803-4FC0-AC4A-88B551FF5697}" type="pres">
      <dgm:prSet presAssocID="{6C042A91-C941-4D06-A028-FB2649449CEC}" presName="hierChild4" presStyleCnt="0"/>
      <dgm:spPr/>
    </dgm:pt>
    <dgm:pt modelId="{18B76CB8-4373-4732-B10F-77059A261EC7}" type="pres">
      <dgm:prSet presAssocID="{6C042A91-C941-4D06-A028-FB2649449CEC}" presName="hierChild5" presStyleCnt="0"/>
      <dgm:spPr/>
    </dgm:pt>
    <dgm:pt modelId="{A52BA2AF-6D87-4226-886D-1A7F839271ED}" type="pres">
      <dgm:prSet presAssocID="{EACBC68A-D191-4B78-A9E2-F245F14BBF2B}" presName="Name37" presStyleLbl="parChTrans1D2" presStyleIdx="3" presStyleCnt="5"/>
      <dgm:spPr/>
      <dgm:t>
        <a:bodyPr/>
        <a:lstStyle/>
        <a:p>
          <a:endParaRPr lang="en-US"/>
        </a:p>
      </dgm:t>
    </dgm:pt>
    <dgm:pt modelId="{9D255C92-403B-41FD-8EEC-A67BC6C1EDCE}" type="pres">
      <dgm:prSet presAssocID="{01D90C7E-716E-42CE-96D8-3164F308E88B}" presName="hierRoot2" presStyleCnt="0">
        <dgm:presLayoutVars>
          <dgm:hierBranch val="init"/>
        </dgm:presLayoutVars>
      </dgm:prSet>
      <dgm:spPr/>
    </dgm:pt>
    <dgm:pt modelId="{0732D98B-9D30-4BA3-B544-4B221E2F58E6}" type="pres">
      <dgm:prSet presAssocID="{01D90C7E-716E-42CE-96D8-3164F308E88B}" presName="rootComposite" presStyleCnt="0"/>
      <dgm:spPr/>
    </dgm:pt>
    <dgm:pt modelId="{FA8B1481-A35D-482F-87BE-E7D74A475B8F}" type="pres">
      <dgm:prSet presAssocID="{01D90C7E-716E-42CE-96D8-3164F308E88B}" presName="rootText" presStyleLbl="node2" presStyleIdx="3" presStyleCnt="5" custScaleX="155777">
        <dgm:presLayoutVars>
          <dgm:chPref val="3"/>
        </dgm:presLayoutVars>
      </dgm:prSet>
      <dgm:spPr/>
      <dgm:t>
        <a:bodyPr/>
        <a:lstStyle/>
        <a:p>
          <a:endParaRPr lang="en-US"/>
        </a:p>
      </dgm:t>
    </dgm:pt>
    <dgm:pt modelId="{EA949145-E5F4-4603-AF18-1E15A2E89EDA}" type="pres">
      <dgm:prSet presAssocID="{01D90C7E-716E-42CE-96D8-3164F308E88B}" presName="rootConnector" presStyleLbl="node2" presStyleIdx="3" presStyleCnt="5"/>
      <dgm:spPr/>
      <dgm:t>
        <a:bodyPr/>
        <a:lstStyle/>
        <a:p>
          <a:endParaRPr lang="en-US"/>
        </a:p>
      </dgm:t>
    </dgm:pt>
    <dgm:pt modelId="{E7E4D7CB-05CD-4FB5-8C77-5C2648CB7D0F}" type="pres">
      <dgm:prSet presAssocID="{01D90C7E-716E-42CE-96D8-3164F308E88B}" presName="hierChild4" presStyleCnt="0"/>
      <dgm:spPr/>
    </dgm:pt>
    <dgm:pt modelId="{01DDA4AE-5EEF-4E92-B3FC-4C4C56EB613B}" type="pres">
      <dgm:prSet presAssocID="{01D90C7E-716E-42CE-96D8-3164F308E88B}" presName="hierChild5" presStyleCnt="0"/>
      <dgm:spPr/>
    </dgm:pt>
    <dgm:pt modelId="{FC31F196-BA51-432A-AD71-17C5434FB0F2}" type="pres">
      <dgm:prSet presAssocID="{8618B5D6-1A68-49EB-916D-865D9673CE49}" presName="Name37" presStyleLbl="parChTrans1D2" presStyleIdx="4" presStyleCnt="5"/>
      <dgm:spPr/>
      <dgm:t>
        <a:bodyPr/>
        <a:lstStyle/>
        <a:p>
          <a:endParaRPr lang="en-US"/>
        </a:p>
      </dgm:t>
    </dgm:pt>
    <dgm:pt modelId="{556AFEE3-5F12-4A12-953C-4BF6AEC218CD}" type="pres">
      <dgm:prSet presAssocID="{CA91E042-3C5F-4726-8421-38B19533A8BA}" presName="hierRoot2" presStyleCnt="0">
        <dgm:presLayoutVars>
          <dgm:hierBranch val="init"/>
        </dgm:presLayoutVars>
      </dgm:prSet>
      <dgm:spPr/>
    </dgm:pt>
    <dgm:pt modelId="{22B54F46-9E41-4381-8F5E-E8FE4703D6FD}" type="pres">
      <dgm:prSet presAssocID="{CA91E042-3C5F-4726-8421-38B19533A8BA}" presName="rootComposite" presStyleCnt="0"/>
      <dgm:spPr/>
    </dgm:pt>
    <dgm:pt modelId="{80EFF353-5F78-410B-ADB9-6E9EECE4414B}" type="pres">
      <dgm:prSet presAssocID="{CA91E042-3C5F-4726-8421-38B19533A8BA}" presName="rootText" presStyleLbl="node2" presStyleIdx="4" presStyleCnt="5" custScaleX="173702">
        <dgm:presLayoutVars>
          <dgm:chPref val="3"/>
        </dgm:presLayoutVars>
      </dgm:prSet>
      <dgm:spPr/>
      <dgm:t>
        <a:bodyPr/>
        <a:lstStyle/>
        <a:p>
          <a:endParaRPr lang="en-US"/>
        </a:p>
      </dgm:t>
    </dgm:pt>
    <dgm:pt modelId="{EAB4C60B-0241-4E0A-BFC7-7DD1ACEA7B22}" type="pres">
      <dgm:prSet presAssocID="{CA91E042-3C5F-4726-8421-38B19533A8BA}" presName="rootConnector" presStyleLbl="node2" presStyleIdx="4" presStyleCnt="5"/>
      <dgm:spPr/>
      <dgm:t>
        <a:bodyPr/>
        <a:lstStyle/>
        <a:p>
          <a:endParaRPr lang="en-US"/>
        </a:p>
      </dgm:t>
    </dgm:pt>
    <dgm:pt modelId="{F0F83606-6774-4BCA-A634-CBEFE98B556D}" type="pres">
      <dgm:prSet presAssocID="{CA91E042-3C5F-4726-8421-38B19533A8BA}" presName="hierChild4" presStyleCnt="0"/>
      <dgm:spPr/>
    </dgm:pt>
    <dgm:pt modelId="{0A9F8B4B-84E9-4F32-B182-E8CE282989AB}" type="pres">
      <dgm:prSet presAssocID="{CA91E042-3C5F-4726-8421-38B19533A8BA}" presName="hierChild5" presStyleCnt="0"/>
      <dgm:spPr/>
    </dgm:pt>
    <dgm:pt modelId="{03944FA2-6503-4849-ABC7-53A23301E644}" type="pres">
      <dgm:prSet presAssocID="{81E7ADF3-B631-4662-AE5B-0236CEADCFBA}" presName="hierChild3" presStyleCnt="0"/>
      <dgm:spPr/>
    </dgm:pt>
  </dgm:ptLst>
  <dgm:cxnLst>
    <dgm:cxn modelId="{DD4197F6-15D1-46E9-9CE1-5F02522FB786}" type="presOf" srcId="{CA91E042-3C5F-4726-8421-38B19533A8BA}" destId="{EAB4C60B-0241-4E0A-BFC7-7DD1ACEA7B22}" srcOrd="1" destOrd="0" presId="urn:microsoft.com/office/officeart/2005/8/layout/orgChart1"/>
    <dgm:cxn modelId="{99EE89B5-28F2-49C2-9AF7-04816D33564B}" type="presOf" srcId="{0B11AC2C-48BC-4244-B121-6E1D3D698053}" destId="{C0674768-05C5-499C-AEFD-374D5011328E}" srcOrd="1" destOrd="0" presId="urn:microsoft.com/office/officeart/2005/8/layout/orgChart1"/>
    <dgm:cxn modelId="{C58AB279-C32B-45EE-A0D1-40A59357029E}" type="presOf" srcId="{81E7ADF3-B631-4662-AE5B-0236CEADCFBA}" destId="{8666FA59-509F-4079-B118-E856DC4C2F34}" srcOrd="1" destOrd="0" presId="urn:microsoft.com/office/officeart/2005/8/layout/orgChart1"/>
    <dgm:cxn modelId="{13EF576A-7BC3-46A7-B624-2863A16BEF55}" type="presOf" srcId="{CA91E042-3C5F-4726-8421-38B19533A8BA}" destId="{80EFF353-5F78-410B-ADB9-6E9EECE4414B}" srcOrd="0" destOrd="0" presId="urn:microsoft.com/office/officeart/2005/8/layout/orgChart1"/>
    <dgm:cxn modelId="{6A5A89DF-27A6-47F1-B027-9F6093F24D79}" type="presOf" srcId="{0B11AC2C-48BC-4244-B121-6E1D3D698053}" destId="{5F803A4A-7C8E-4811-9E64-6B1AF3521261}" srcOrd="0" destOrd="0" presId="urn:microsoft.com/office/officeart/2005/8/layout/orgChart1"/>
    <dgm:cxn modelId="{8FFB872D-DA50-4DF6-9E96-D40465C85044}" srcId="{81E7ADF3-B631-4662-AE5B-0236CEADCFBA}" destId="{6C042A91-C941-4D06-A028-FB2649449CEC}" srcOrd="2" destOrd="0" parTransId="{E7070E0D-2098-46D4-BA75-ED166CE6602A}" sibTransId="{BC01F3B8-A59A-409D-B34C-D0A1EE703333}"/>
    <dgm:cxn modelId="{10CE1A8C-0060-4A79-87D5-613BD3E02549}" srcId="{81E7ADF3-B631-4662-AE5B-0236CEADCFBA}" destId="{CA91E042-3C5F-4726-8421-38B19533A8BA}" srcOrd="4" destOrd="0" parTransId="{8618B5D6-1A68-49EB-916D-865D9673CE49}" sibTransId="{2B666CD8-D3D0-4A95-A96F-3B1C3CC84C2B}"/>
    <dgm:cxn modelId="{2601B1B1-06D7-4E0A-90F6-D741E6764120}" type="presOf" srcId="{6C042A91-C941-4D06-A028-FB2649449CEC}" destId="{2B5DE013-4671-4467-BD66-7E5DBDFDE698}" srcOrd="0" destOrd="0" presId="urn:microsoft.com/office/officeart/2005/8/layout/orgChart1"/>
    <dgm:cxn modelId="{266FAE94-8DFE-4096-9425-98DFC263BA75}" type="presOf" srcId="{6C042A91-C941-4D06-A028-FB2649449CEC}" destId="{2CBA3BFC-6F4C-4561-88A6-5934FC410119}" srcOrd="1" destOrd="0" presId="urn:microsoft.com/office/officeart/2005/8/layout/orgChart1"/>
    <dgm:cxn modelId="{5091B84A-27CD-437F-9CD4-E8A270827567}" type="presOf" srcId="{3D2B1ABE-09D8-4DA8-883D-3EEB7AE9A2E5}" destId="{B74C465F-9AD9-43FD-864A-C5359E94E370}" srcOrd="0" destOrd="0" presId="urn:microsoft.com/office/officeart/2005/8/layout/orgChart1"/>
    <dgm:cxn modelId="{21DFB01C-EA76-4CF0-8D61-40EB0D0E5F77}" type="presOf" srcId="{8618B5D6-1A68-49EB-916D-865D9673CE49}" destId="{FC31F196-BA51-432A-AD71-17C5434FB0F2}" srcOrd="0" destOrd="0" presId="urn:microsoft.com/office/officeart/2005/8/layout/orgChart1"/>
    <dgm:cxn modelId="{0EE65EDF-97C8-4650-8FD6-82B08A45BBCE}" srcId="{81E7ADF3-B631-4662-AE5B-0236CEADCFBA}" destId="{CDA4AB95-0996-4B60-850C-FEF1D9F2C040}" srcOrd="1" destOrd="0" parTransId="{2363EA01-74B7-4AE7-B7C1-54156CC30C30}" sibTransId="{82A85DB3-DC0A-4DDF-8787-860FD8D70D3B}"/>
    <dgm:cxn modelId="{DD87253A-F601-47CD-844C-AAEC1A77371F}" type="presOf" srcId="{01D90C7E-716E-42CE-96D8-3164F308E88B}" destId="{EA949145-E5F4-4603-AF18-1E15A2E89EDA}" srcOrd="1" destOrd="0" presId="urn:microsoft.com/office/officeart/2005/8/layout/orgChart1"/>
    <dgm:cxn modelId="{4A59567B-E9C6-433D-AB7E-5D2F5435B7E0}" type="presOf" srcId="{81E7ADF3-B631-4662-AE5B-0236CEADCFBA}" destId="{CD5D1FC1-31B1-4E97-872F-00E96C77CFA8}" srcOrd="0" destOrd="0" presId="urn:microsoft.com/office/officeart/2005/8/layout/orgChart1"/>
    <dgm:cxn modelId="{C7A263EE-74B7-4C02-BD0E-DB65601A17FC}" type="presOf" srcId="{EACBC68A-D191-4B78-A9E2-F245F14BBF2B}" destId="{A52BA2AF-6D87-4226-886D-1A7F839271ED}" srcOrd="0" destOrd="0" presId="urn:microsoft.com/office/officeart/2005/8/layout/orgChart1"/>
    <dgm:cxn modelId="{5968FA94-4253-4061-B075-B7D59AE24D63}" srcId="{3D2B1ABE-09D8-4DA8-883D-3EEB7AE9A2E5}" destId="{81E7ADF3-B631-4662-AE5B-0236CEADCFBA}" srcOrd="0" destOrd="0" parTransId="{F97A253F-AA3B-42EE-87EF-8C9074EB29F6}" sibTransId="{1C4F4937-1407-43BA-BB04-609EB5729E41}"/>
    <dgm:cxn modelId="{C5B24143-D9AF-4945-81BB-1AA2FF55117B}" srcId="{81E7ADF3-B631-4662-AE5B-0236CEADCFBA}" destId="{0B11AC2C-48BC-4244-B121-6E1D3D698053}" srcOrd="0" destOrd="0" parTransId="{AB321436-ADC4-4AEF-8E69-610650204C34}" sibTransId="{569B2A2B-F73A-4048-A9DE-BF501F61744E}"/>
    <dgm:cxn modelId="{D8A9C37E-DE4B-4A50-9A9E-4447D995D197}" type="presOf" srcId="{CDA4AB95-0996-4B60-850C-FEF1D9F2C040}" destId="{FEBC9E9F-B886-449E-BB73-AE73BE761479}" srcOrd="0" destOrd="0" presId="urn:microsoft.com/office/officeart/2005/8/layout/orgChart1"/>
    <dgm:cxn modelId="{7492DFAA-B2C8-4AF5-B475-ED540067C016}" type="presOf" srcId="{CDA4AB95-0996-4B60-850C-FEF1D9F2C040}" destId="{4957DF74-0B4B-43F3-A9A0-19531DF18E0C}" srcOrd="1" destOrd="0" presId="urn:microsoft.com/office/officeart/2005/8/layout/orgChart1"/>
    <dgm:cxn modelId="{039842BD-AAE1-4539-9180-EED8A751DE0F}" type="presOf" srcId="{01D90C7E-716E-42CE-96D8-3164F308E88B}" destId="{FA8B1481-A35D-482F-87BE-E7D74A475B8F}" srcOrd="0" destOrd="0" presId="urn:microsoft.com/office/officeart/2005/8/layout/orgChart1"/>
    <dgm:cxn modelId="{E7ED537B-84D6-4518-8E3C-BB93F2B7622A}" type="presOf" srcId="{2363EA01-74B7-4AE7-B7C1-54156CC30C30}" destId="{6A315489-94FF-4C4D-AB03-7174F206BB89}" srcOrd="0" destOrd="0" presId="urn:microsoft.com/office/officeart/2005/8/layout/orgChart1"/>
    <dgm:cxn modelId="{AB072C67-EF7D-4B32-8BEB-BF41E97B4F8D}" type="presOf" srcId="{E7070E0D-2098-46D4-BA75-ED166CE6602A}" destId="{5C3CCCCE-3D20-4B15-84E8-1382F53ED691}" srcOrd="0" destOrd="0" presId="urn:microsoft.com/office/officeart/2005/8/layout/orgChart1"/>
    <dgm:cxn modelId="{22705C2F-C0B4-49BC-A0CA-D9F73A94BECB}" type="presOf" srcId="{AB321436-ADC4-4AEF-8E69-610650204C34}" destId="{CFC1C018-7769-40C7-BDB4-F090ED1B978B}" srcOrd="0" destOrd="0" presId="urn:microsoft.com/office/officeart/2005/8/layout/orgChart1"/>
    <dgm:cxn modelId="{4FA63BB3-015B-4479-A9FE-D2211D9D25A8}" srcId="{81E7ADF3-B631-4662-AE5B-0236CEADCFBA}" destId="{01D90C7E-716E-42CE-96D8-3164F308E88B}" srcOrd="3" destOrd="0" parTransId="{EACBC68A-D191-4B78-A9E2-F245F14BBF2B}" sibTransId="{29256EB3-E230-42C2-A7B1-F92EF6E3EA53}"/>
    <dgm:cxn modelId="{2EFB560B-9BD5-4A8D-9EC6-3116D014F354}" type="presParOf" srcId="{B74C465F-9AD9-43FD-864A-C5359E94E370}" destId="{5C438408-12B7-4ED1-8033-1A123660501F}" srcOrd="0" destOrd="0" presId="urn:microsoft.com/office/officeart/2005/8/layout/orgChart1"/>
    <dgm:cxn modelId="{9E7382BB-5838-401C-BD4D-7354876B91C5}" type="presParOf" srcId="{5C438408-12B7-4ED1-8033-1A123660501F}" destId="{EC9CE7C7-8CF1-4A24-9BB4-BCA9946131D9}" srcOrd="0" destOrd="0" presId="urn:microsoft.com/office/officeart/2005/8/layout/orgChart1"/>
    <dgm:cxn modelId="{8B96D8B6-3B08-4856-8DF9-9563DC399E24}" type="presParOf" srcId="{EC9CE7C7-8CF1-4A24-9BB4-BCA9946131D9}" destId="{CD5D1FC1-31B1-4E97-872F-00E96C77CFA8}" srcOrd="0" destOrd="0" presId="urn:microsoft.com/office/officeart/2005/8/layout/orgChart1"/>
    <dgm:cxn modelId="{661EBC34-282D-4DC3-AA25-2EB4343982E5}" type="presParOf" srcId="{EC9CE7C7-8CF1-4A24-9BB4-BCA9946131D9}" destId="{8666FA59-509F-4079-B118-E856DC4C2F34}" srcOrd="1" destOrd="0" presId="urn:microsoft.com/office/officeart/2005/8/layout/orgChart1"/>
    <dgm:cxn modelId="{39E8285F-D262-44E3-967D-BD903FE75B13}" type="presParOf" srcId="{5C438408-12B7-4ED1-8033-1A123660501F}" destId="{4FAE3D0E-87D2-4F47-AB17-76D837403558}" srcOrd="1" destOrd="0" presId="urn:microsoft.com/office/officeart/2005/8/layout/orgChart1"/>
    <dgm:cxn modelId="{6010285E-F4DF-4F64-8C71-644D8BC047E5}" type="presParOf" srcId="{4FAE3D0E-87D2-4F47-AB17-76D837403558}" destId="{CFC1C018-7769-40C7-BDB4-F090ED1B978B}" srcOrd="0" destOrd="0" presId="urn:microsoft.com/office/officeart/2005/8/layout/orgChart1"/>
    <dgm:cxn modelId="{510C6F31-2ECF-4C68-BD63-570685635F79}" type="presParOf" srcId="{4FAE3D0E-87D2-4F47-AB17-76D837403558}" destId="{B4FBD908-02EF-4CF8-809E-5AF3F64CFF76}" srcOrd="1" destOrd="0" presId="urn:microsoft.com/office/officeart/2005/8/layout/orgChart1"/>
    <dgm:cxn modelId="{6B73AEAF-94E4-495D-8C85-8CFB54AD5AC9}" type="presParOf" srcId="{B4FBD908-02EF-4CF8-809E-5AF3F64CFF76}" destId="{C1F9220E-591B-4678-91DE-C6AE2CF9BAEB}" srcOrd="0" destOrd="0" presId="urn:microsoft.com/office/officeart/2005/8/layout/orgChart1"/>
    <dgm:cxn modelId="{337C5AEC-B82E-4940-B660-29C4AFA08DBF}" type="presParOf" srcId="{C1F9220E-591B-4678-91DE-C6AE2CF9BAEB}" destId="{5F803A4A-7C8E-4811-9E64-6B1AF3521261}" srcOrd="0" destOrd="0" presId="urn:microsoft.com/office/officeart/2005/8/layout/orgChart1"/>
    <dgm:cxn modelId="{D945C823-A156-4263-85E4-D4B83213113E}" type="presParOf" srcId="{C1F9220E-591B-4678-91DE-C6AE2CF9BAEB}" destId="{C0674768-05C5-499C-AEFD-374D5011328E}" srcOrd="1" destOrd="0" presId="urn:microsoft.com/office/officeart/2005/8/layout/orgChart1"/>
    <dgm:cxn modelId="{57E39AED-18AC-45E0-87BC-4D7FFCF8D5B8}" type="presParOf" srcId="{B4FBD908-02EF-4CF8-809E-5AF3F64CFF76}" destId="{FD9DC2AD-C654-4A12-8EF0-DD5473CD4DB2}" srcOrd="1" destOrd="0" presId="urn:microsoft.com/office/officeart/2005/8/layout/orgChart1"/>
    <dgm:cxn modelId="{D6373C25-F4A8-470D-A300-641BE8F58BAA}" type="presParOf" srcId="{B4FBD908-02EF-4CF8-809E-5AF3F64CFF76}" destId="{6FE72A0F-0DB3-4CA6-B80D-F46424854644}" srcOrd="2" destOrd="0" presId="urn:microsoft.com/office/officeart/2005/8/layout/orgChart1"/>
    <dgm:cxn modelId="{FEE05FDA-500E-4E9B-8D9F-3B41DC08032A}" type="presParOf" srcId="{4FAE3D0E-87D2-4F47-AB17-76D837403558}" destId="{6A315489-94FF-4C4D-AB03-7174F206BB89}" srcOrd="2" destOrd="0" presId="urn:microsoft.com/office/officeart/2005/8/layout/orgChart1"/>
    <dgm:cxn modelId="{AA8E3E9A-6CED-415F-8208-FC86B3AD1935}" type="presParOf" srcId="{4FAE3D0E-87D2-4F47-AB17-76D837403558}" destId="{487344D5-B85F-4420-BE94-E1A0BE0E8254}" srcOrd="3" destOrd="0" presId="urn:microsoft.com/office/officeart/2005/8/layout/orgChart1"/>
    <dgm:cxn modelId="{D0679145-443C-4BA3-9AD2-01AFC45970F9}" type="presParOf" srcId="{487344D5-B85F-4420-BE94-E1A0BE0E8254}" destId="{718590FC-B137-48C7-B26B-8984F733E5C9}" srcOrd="0" destOrd="0" presId="urn:microsoft.com/office/officeart/2005/8/layout/orgChart1"/>
    <dgm:cxn modelId="{B8B975EC-6E60-4B17-B75B-10934E862C1C}" type="presParOf" srcId="{718590FC-B137-48C7-B26B-8984F733E5C9}" destId="{FEBC9E9F-B886-449E-BB73-AE73BE761479}" srcOrd="0" destOrd="0" presId="urn:microsoft.com/office/officeart/2005/8/layout/orgChart1"/>
    <dgm:cxn modelId="{7970C38E-36D2-4C5E-A7DA-55F0AB5D297A}" type="presParOf" srcId="{718590FC-B137-48C7-B26B-8984F733E5C9}" destId="{4957DF74-0B4B-43F3-A9A0-19531DF18E0C}" srcOrd="1" destOrd="0" presId="urn:microsoft.com/office/officeart/2005/8/layout/orgChart1"/>
    <dgm:cxn modelId="{D22DBB2F-A2DB-4906-A39A-2519348AC722}" type="presParOf" srcId="{487344D5-B85F-4420-BE94-E1A0BE0E8254}" destId="{8BB78946-98EA-4517-84FE-3E920CC40D0B}" srcOrd="1" destOrd="0" presId="urn:microsoft.com/office/officeart/2005/8/layout/orgChart1"/>
    <dgm:cxn modelId="{2CCCB068-AA18-4EDD-83BE-10C52AB8D4DE}" type="presParOf" srcId="{487344D5-B85F-4420-BE94-E1A0BE0E8254}" destId="{3750CCB2-F35C-4A05-BDB1-B2360F9BCFD4}" srcOrd="2" destOrd="0" presId="urn:microsoft.com/office/officeart/2005/8/layout/orgChart1"/>
    <dgm:cxn modelId="{7D2E8F44-7351-46E6-BB88-4A830263257A}" type="presParOf" srcId="{4FAE3D0E-87D2-4F47-AB17-76D837403558}" destId="{5C3CCCCE-3D20-4B15-84E8-1382F53ED691}" srcOrd="4" destOrd="0" presId="urn:microsoft.com/office/officeart/2005/8/layout/orgChart1"/>
    <dgm:cxn modelId="{FA1E11FF-05D0-4696-85D1-D076C9FCA172}" type="presParOf" srcId="{4FAE3D0E-87D2-4F47-AB17-76D837403558}" destId="{62411DED-D7DE-459A-A0B3-3D667EF3D954}" srcOrd="5" destOrd="0" presId="urn:microsoft.com/office/officeart/2005/8/layout/orgChart1"/>
    <dgm:cxn modelId="{FBE286A5-D22E-4E8A-ACAB-0B036B7969D0}" type="presParOf" srcId="{62411DED-D7DE-459A-A0B3-3D667EF3D954}" destId="{EC1CA61C-34AD-4A49-9CEB-9884F4EAC295}" srcOrd="0" destOrd="0" presId="urn:microsoft.com/office/officeart/2005/8/layout/orgChart1"/>
    <dgm:cxn modelId="{106DB8B5-1A73-49D8-B80E-61B778A1D588}" type="presParOf" srcId="{EC1CA61C-34AD-4A49-9CEB-9884F4EAC295}" destId="{2B5DE013-4671-4467-BD66-7E5DBDFDE698}" srcOrd="0" destOrd="0" presId="urn:microsoft.com/office/officeart/2005/8/layout/orgChart1"/>
    <dgm:cxn modelId="{5C0E4EE8-3A6E-4CD2-A0AD-2200C8068E8C}" type="presParOf" srcId="{EC1CA61C-34AD-4A49-9CEB-9884F4EAC295}" destId="{2CBA3BFC-6F4C-4561-88A6-5934FC410119}" srcOrd="1" destOrd="0" presId="urn:microsoft.com/office/officeart/2005/8/layout/orgChart1"/>
    <dgm:cxn modelId="{70991E97-FF5F-45BE-9276-C57038A97737}" type="presParOf" srcId="{62411DED-D7DE-459A-A0B3-3D667EF3D954}" destId="{8F6D40C6-B803-4FC0-AC4A-88B551FF5697}" srcOrd="1" destOrd="0" presId="urn:microsoft.com/office/officeart/2005/8/layout/orgChart1"/>
    <dgm:cxn modelId="{C24A50D0-D205-41F7-968C-74DDC2F1237A}" type="presParOf" srcId="{62411DED-D7DE-459A-A0B3-3D667EF3D954}" destId="{18B76CB8-4373-4732-B10F-77059A261EC7}" srcOrd="2" destOrd="0" presId="urn:microsoft.com/office/officeart/2005/8/layout/orgChart1"/>
    <dgm:cxn modelId="{4EF505FF-96BB-4528-8351-2EC516913F9B}" type="presParOf" srcId="{4FAE3D0E-87D2-4F47-AB17-76D837403558}" destId="{A52BA2AF-6D87-4226-886D-1A7F839271ED}" srcOrd="6" destOrd="0" presId="urn:microsoft.com/office/officeart/2005/8/layout/orgChart1"/>
    <dgm:cxn modelId="{404F0423-B950-45C1-A7FA-263CBC449A37}" type="presParOf" srcId="{4FAE3D0E-87D2-4F47-AB17-76D837403558}" destId="{9D255C92-403B-41FD-8EEC-A67BC6C1EDCE}" srcOrd="7" destOrd="0" presId="urn:microsoft.com/office/officeart/2005/8/layout/orgChart1"/>
    <dgm:cxn modelId="{36E26E13-A0A3-4E34-A69D-AB682031BDBC}" type="presParOf" srcId="{9D255C92-403B-41FD-8EEC-A67BC6C1EDCE}" destId="{0732D98B-9D30-4BA3-B544-4B221E2F58E6}" srcOrd="0" destOrd="0" presId="urn:microsoft.com/office/officeart/2005/8/layout/orgChart1"/>
    <dgm:cxn modelId="{BD29B9B9-4941-4A98-B457-71D67E9E06C8}" type="presParOf" srcId="{0732D98B-9D30-4BA3-B544-4B221E2F58E6}" destId="{FA8B1481-A35D-482F-87BE-E7D74A475B8F}" srcOrd="0" destOrd="0" presId="urn:microsoft.com/office/officeart/2005/8/layout/orgChart1"/>
    <dgm:cxn modelId="{BFB28F42-3500-4E2F-AB5E-0475C4D6A5B1}" type="presParOf" srcId="{0732D98B-9D30-4BA3-B544-4B221E2F58E6}" destId="{EA949145-E5F4-4603-AF18-1E15A2E89EDA}" srcOrd="1" destOrd="0" presId="urn:microsoft.com/office/officeart/2005/8/layout/orgChart1"/>
    <dgm:cxn modelId="{546B8369-704E-41D0-BB69-B2ED65281FF4}" type="presParOf" srcId="{9D255C92-403B-41FD-8EEC-A67BC6C1EDCE}" destId="{E7E4D7CB-05CD-4FB5-8C77-5C2648CB7D0F}" srcOrd="1" destOrd="0" presId="urn:microsoft.com/office/officeart/2005/8/layout/orgChart1"/>
    <dgm:cxn modelId="{A1F95DB8-66DA-49B5-A164-D58AA072F056}" type="presParOf" srcId="{9D255C92-403B-41FD-8EEC-A67BC6C1EDCE}" destId="{01DDA4AE-5EEF-4E92-B3FC-4C4C56EB613B}" srcOrd="2" destOrd="0" presId="urn:microsoft.com/office/officeart/2005/8/layout/orgChart1"/>
    <dgm:cxn modelId="{46B049E4-F23D-4D77-99D0-48D888471B80}" type="presParOf" srcId="{4FAE3D0E-87D2-4F47-AB17-76D837403558}" destId="{FC31F196-BA51-432A-AD71-17C5434FB0F2}" srcOrd="8" destOrd="0" presId="urn:microsoft.com/office/officeart/2005/8/layout/orgChart1"/>
    <dgm:cxn modelId="{918304B8-1388-4269-AA16-09BAE6B5F392}" type="presParOf" srcId="{4FAE3D0E-87D2-4F47-AB17-76D837403558}" destId="{556AFEE3-5F12-4A12-953C-4BF6AEC218CD}" srcOrd="9" destOrd="0" presId="urn:microsoft.com/office/officeart/2005/8/layout/orgChart1"/>
    <dgm:cxn modelId="{AB21D73A-D17D-4DD7-A5D5-E7AC811E8243}" type="presParOf" srcId="{556AFEE3-5F12-4A12-953C-4BF6AEC218CD}" destId="{22B54F46-9E41-4381-8F5E-E8FE4703D6FD}" srcOrd="0" destOrd="0" presId="urn:microsoft.com/office/officeart/2005/8/layout/orgChart1"/>
    <dgm:cxn modelId="{B724B777-A353-489A-AEC1-314175722112}" type="presParOf" srcId="{22B54F46-9E41-4381-8F5E-E8FE4703D6FD}" destId="{80EFF353-5F78-410B-ADB9-6E9EECE4414B}" srcOrd="0" destOrd="0" presId="urn:microsoft.com/office/officeart/2005/8/layout/orgChart1"/>
    <dgm:cxn modelId="{59663113-1D35-42AB-9A30-45905A0DECA0}" type="presParOf" srcId="{22B54F46-9E41-4381-8F5E-E8FE4703D6FD}" destId="{EAB4C60B-0241-4E0A-BFC7-7DD1ACEA7B22}" srcOrd="1" destOrd="0" presId="urn:microsoft.com/office/officeart/2005/8/layout/orgChart1"/>
    <dgm:cxn modelId="{D140DFFC-882A-4341-AFAB-72129EABA1BB}" type="presParOf" srcId="{556AFEE3-5F12-4A12-953C-4BF6AEC218CD}" destId="{F0F83606-6774-4BCA-A634-CBEFE98B556D}" srcOrd="1" destOrd="0" presId="urn:microsoft.com/office/officeart/2005/8/layout/orgChart1"/>
    <dgm:cxn modelId="{B110D12F-FA6C-44E4-A19E-6DF4C161CEEE}" type="presParOf" srcId="{556AFEE3-5F12-4A12-953C-4BF6AEC218CD}" destId="{0A9F8B4B-84E9-4F32-B182-E8CE282989AB}" srcOrd="2" destOrd="0" presId="urn:microsoft.com/office/officeart/2005/8/layout/orgChart1"/>
    <dgm:cxn modelId="{9FBCDFBE-4C4C-4896-B084-6F01B7256E57}" type="presParOf" srcId="{5C438408-12B7-4ED1-8033-1A123660501F}" destId="{03944FA2-6503-4849-ABC7-53A23301E644}"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98D524C4-D87E-413A-BCFA-E64410DB9B86}" type="doc">
      <dgm:prSet loTypeId="urn:microsoft.com/office/officeart/2005/8/layout/hierarchy4" loCatId="hierarchy" qsTypeId="urn:microsoft.com/office/officeart/2005/8/quickstyle/simple1" qsCatId="simple" csTypeId="urn:microsoft.com/office/officeart/2005/8/colors/colorful3" csCatId="colorful" phldr="1"/>
      <dgm:spPr/>
      <dgm:t>
        <a:bodyPr/>
        <a:lstStyle/>
        <a:p>
          <a:endParaRPr lang="en-US"/>
        </a:p>
      </dgm:t>
    </dgm:pt>
    <dgm:pt modelId="{6558CDD8-0042-42AA-BC93-15371B2D020C}">
      <dgm:prSet phldrT="[Text]" custT="1"/>
      <dgm:spPr>
        <a:xfrm>
          <a:off x="703" y="2394"/>
          <a:ext cx="6132692" cy="1158515"/>
        </a:xfrm>
        <a:prstGeom prst="roundRect">
          <a:avLst>
            <a:gd name="adj" fmla="val 10000"/>
          </a:avLst>
        </a:prstGeom>
        <a:solidFill>
          <a:srgbClr val="CC8E60">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sz="2000">
              <a:solidFill>
                <a:srgbClr val="FFFFFF"/>
              </a:solidFill>
              <a:latin typeface="Cambria"/>
              <a:ea typeface="+mn-ea"/>
              <a:cs typeface="+mn-cs"/>
            </a:rPr>
            <a:t>SAVJET ZA REFORMU JAVNE UPRAVE</a:t>
          </a:r>
        </a:p>
      </dgm:t>
    </dgm:pt>
    <dgm:pt modelId="{F958532D-84F8-456A-A671-E411DA3D44EC}" type="parTrans" cxnId="{A53051BD-8F6E-4836-89BD-D3CFA1A9443A}">
      <dgm:prSet/>
      <dgm:spPr/>
      <dgm:t>
        <a:bodyPr/>
        <a:lstStyle/>
        <a:p>
          <a:endParaRPr lang="en-US"/>
        </a:p>
      </dgm:t>
    </dgm:pt>
    <dgm:pt modelId="{76CC01BC-C010-4BDB-A806-8E2EB7E9F028}" type="sibTrans" cxnId="{A53051BD-8F6E-4836-89BD-D3CFA1A9443A}">
      <dgm:prSet/>
      <dgm:spPr/>
      <dgm:t>
        <a:bodyPr/>
        <a:lstStyle/>
        <a:p>
          <a:endParaRPr lang="en-US"/>
        </a:p>
      </dgm:t>
    </dgm:pt>
    <dgm:pt modelId="{54A39210-DFA5-4B57-A7A2-1AFF4F91247B}">
      <dgm:prSet phldrT="[Text]" custT="1"/>
      <dgm:spPr>
        <a:xfrm>
          <a:off x="703" y="1268592"/>
          <a:ext cx="5069378" cy="1158515"/>
        </a:xfrm>
        <a:prstGeom prst="roundRect">
          <a:avLst>
            <a:gd name="adj" fmla="val 10000"/>
          </a:avLst>
        </a:prstGeom>
        <a:solidFill>
          <a:srgbClr val="B4936D">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sz="2000">
              <a:solidFill>
                <a:srgbClr val="FFFFFF"/>
              </a:solidFill>
              <a:latin typeface="Cambria"/>
              <a:ea typeface="+mn-ea"/>
              <a:cs typeface="+mn-cs"/>
            </a:rPr>
            <a:t>Sekreterijat </a:t>
          </a:r>
          <a:r>
            <a:rPr lang="sr-Latn-ME" sz="2000">
              <a:solidFill>
                <a:srgbClr val="FFFFFF"/>
              </a:solidFill>
              <a:latin typeface="Cambria"/>
              <a:ea typeface="+mn-ea"/>
              <a:cs typeface="+mn-cs"/>
            </a:rPr>
            <a:t>S</a:t>
          </a:r>
          <a:r>
            <a:rPr lang="en-US" sz="2000">
              <a:solidFill>
                <a:srgbClr val="FFFFFF"/>
              </a:solidFill>
              <a:latin typeface="Cambria"/>
              <a:ea typeface="+mn-ea"/>
              <a:cs typeface="+mn-cs"/>
            </a:rPr>
            <a:t>avjeta za reformu javne uprave</a:t>
          </a:r>
        </a:p>
      </dgm:t>
    </dgm:pt>
    <dgm:pt modelId="{42E914EB-242A-487F-952C-67467C9EF733}" type="parTrans" cxnId="{2BDB5110-30C8-4A2E-B665-404ADE706C7A}">
      <dgm:prSet/>
      <dgm:spPr/>
      <dgm:t>
        <a:bodyPr/>
        <a:lstStyle/>
        <a:p>
          <a:endParaRPr lang="en-US"/>
        </a:p>
      </dgm:t>
    </dgm:pt>
    <dgm:pt modelId="{FB3CF18C-D35E-472B-B613-0D0654C2B40A}" type="sibTrans" cxnId="{2BDB5110-30C8-4A2E-B665-404ADE706C7A}">
      <dgm:prSet/>
      <dgm:spPr/>
      <dgm:t>
        <a:bodyPr/>
        <a:lstStyle/>
        <a:p>
          <a:endParaRPr lang="en-US"/>
        </a:p>
      </dgm:t>
    </dgm:pt>
    <dgm:pt modelId="{EC14C9CC-BE45-44BB-A78B-4EE9C3B2B3E7}">
      <dgm:prSet phldrT="[Text]"/>
      <dgm:spPr>
        <a:xfrm>
          <a:off x="703"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Cambria"/>
              <a:ea typeface="+mn-ea"/>
              <a:cs typeface="+mn-cs"/>
            </a:rPr>
            <a:t>I</a:t>
          </a:r>
          <a:br>
            <a:rPr lang="en-US">
              <a:solidFill>
                <a:srgbClr val="FFFFFF"/>
              </a:solidFill>
              <a:latin typeface="Cambria"/>
              <a:ea typeface="+mn-ea"/>
              <a:cs typeface="+mn-cs"/>
            </a:rPr>
          </a:br>
          <a:r>
            <a:rPr lang="en-US">
              <a:solidFill>
                <a:srgbClr val="FFFFFF"/>
              </a:solidFill>
              <a:latin typeface="Cambria"/>
              <a:ea typeface="+mn-ea"/>
              <a:cs typeface="+mn-cs"/>
            </a:rPr>
            <a:t/>
          </a:r>
          <a:br>
            <a:rPr lang="en-US">
              <a:solidFill>
                <a:srgbClr val="FFFFFF"/>
              </a:solidFill>
              <a:latin typeface="Cambria"/>
              <a:ea typeface="+mn-ea"/>
              <a:cs typeface="+mn-cs"/>
            </a:rPr>
          </a:br>
          <a:r>
            <a:rPr lang="en-US">
              <a:solidFill>
                <a:srgbClr val="FFFFFF"/>
              </a:solidFill>
              <a:latin typeface="Cambria"/>
              <a:ea typeface="+mn-ea"/>
              <a:cs typeface="+mn-cs"/>
            </a:rPr>
            <a:t>KOORDINACIONI TIM:</a:t>
          </a:r>
        </a:p>
        <a:p>
          <a:r>
            <a:rPr lang="en-US">
              <a:solidFill>
                <a:srgbClr val="FFFFFF"/>
              </a:solidFill>
              <a:latin typeface="Cambria"/>
              <a:ea typeface="+mn-ea"/>
              <a:cs typeface="+mn-cs"/>
            </a:rPr>
            <a:t>OPTIMIZACIJA</a:t>
          </a:r>
        </a:p>
      </dgm:t>
    </dgm:pt>
    <dgm:pt modelId="{80BE2F3E-D9B8-4699-8A21-474B613D7D9A}" type="parTrans" cxnId="{BC35DC34-525D-4330-B34A-75D5D8D966E5}">
      <dgm:prSet/>
      <dgm:spPr/>
      <dgm:t>
        <a:bodyPr/>
        <a:lstStyle/>
        <a:p>
          <a:endParaRPr lang="en-US"/>
        </a:p>
      </dgm:t>
    </dgm:pt>
    <dgm:pt modelId="{D1DCFC22-B635-4F1B-B683-13E6A178B495}" type="sibTrans" cxnId="{BC35DC34-525D-4330-B34A-75D5D8D966E5}">
      <dgm:prSet/>
      <dgm:spPr/>
      <dgm:t>
        <a:bodyPr/>
        <a:lstStyle/>
        <a:p>
          <a:endParaRPr lang="en-US"/>
        </a:p>
      </dgm:t>
    </dgm:pt>
    <dgm:pt modelId="{2CEC3E33-FF80-4C88-9DAE-047343576FF3}">
      <dgm:prSet phldrT="[Text]"/>
      <dgm:spPr>
        <a:xfrm>
          <a:off x="4089165"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Cambria"/>
              <a:ea typeface="+mn-ea"/>
              <a:cs typeface="+mn-cs"/>
            </a:rPr>
            <a:t>V</a:t>
          </a:r>
          <a:br>
            <a:rPr lang="en-US">
              <a:solidFill>
                <a:srgbClr val="FFFFFF"/>
              </a:solidFill>
              <a:latin typeface="Cambria"/>
              <a:ea typeface="+mn-ea"/>
              <a:cs typeface="+mn-cs"/>
            </a:rPr>
          </a:br>
          <a:r>
            <a:rPr lang="en-US">
              <a:solidFill>
                <a:srgbClr val="FFFFFF"/>
              </a:solidFill>
              <a:latin typeface="Cambria"/>
              <a:ea typeface="+mn-ea"/>
              <a:cs typeface="+mn-cs"/>
            </a:rPr>
            <a:t/>
          </a:r>
          <a:br>
            <a:rPr lang="en-US">
              <a:solidFill>
                <a:srgbClr val="FFFFFF"/>
              </a:solidFill>
              <a:latin typeface="Cambria"/>
              <a:ea typeface="+mn-ea"/>
              <a:cs typeface="+mn-cs"/>
            </a:rPr>
          </a:br>
          <a:r>
            <a:rPr lang="en-US">
              <a:solidFill>
                <a:srgbClr val="FFFFFF"/>
              </a:solidFill>
              <a:latin typeface="Cambria"/>
              <a:ea typeface="+mn-ea"/>
              <a:cs typeface="+mn-cs"/>
            </a:rPr>
            <a:t>KOORDINACIONI TIM:</a:t>
          </a:r>
        </a:p>
        <a:p>
          <a:r>
            <a:rPr lang="sr-Latn-RS">
              <a:solidFill>
                <a:srgbClr val="FFFFFF"/>
              </a:solidFill>
              <a:latin typeface="Cambria"/>
              <a:ea typeface="+mn-ea"/>
              <a:cs typeface="+mn-cs"/>
            </a:rPr>
            <a:t>PLANIRANJE POLITIKA</a:t>
          </a:r>
          <a:endParaRPr lang="en-US">
            <a:solidFill>
              <a:srgbClr val="FFFFFF"/>
            </a:solidFill>
            <a:latin typeface="Cambria"/>
            <a:ea typeface="+mn-ea"/>
            <a:cs typeface="+mn-cs"/>
          </a:endParaRPr>
        </a:p>
      </dgm:t>
    </dgm:pt>
    <dgm:pt modelId="{B605B04D-D7F6-4762-AB66-28C42E66F839}" type="parTrans" cxnId="{54BC36F1-74FF-4A2E-B5F0-0C50C61153AD}">
      <dgm:prSet/>
      <dgm:spPr/>
      <dgm:t>
        <a:bodyPr/>
        <a:lstStyle/>
        <a:p>
          <a:endParaRPr lang="en-US"/>
        </a:p>
      </dgm:t>
    </dgm:pt>
    <dgm:pt modelId="{CE18303C-83CD-4EA3-98A6-E43D32AC3ECD}" type="sibTrans" cxnId="{54BC36F1-74FF-4A2E-B5F0-0C50C61153AD}">
      <dgm:prSet/>
      <dgm:spPr/>
      <dgm:t>
        <a:bodyPr/>
        <a:lstStyle/>
        <a:p>
          <a:endParaRPr lang="en-US"/>
        </a:p>
      </dgm:t>
    </dgm:pt>
    <dgm:pt modelId="{CC2198DC-584B-4577-BA57-718ADCD191C4}">
      <dgm:prSet phldrT="[Text]"/>
      <dgm:spPr>
        <a:xfrm>
          <a:off x="5152479" y="1268592"/>
          <a:ext cx="980916" cy="1158515"/>
        </a:xfrm>
        <a:prstGeom prst="roundRect">
          <a:avLst>
            <a:gd name="adj" fmla="val 10000"/>
          </a:avLst>
        </a:prstGeom>
        <a:solidFill>
          <a:srgbClr val="B4936D">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Cambria"/>
              <a:ea typeface="+mn-ea"/>
              <a:cs typeface="+mn-cs"/>
            </a:rPr>
            <a:t>Ministarstvo javne uprave, digitalnog društva i medija(Posebna radna grupa)</a:t>
          </a:r>
        </a:p>
      </dgm:t>
    </dgm:pt>
    <dgm:pt modelId="{D88D1711-DCC8-408F-A863-C9FA78478EEB}" type="parTrans" cxnId="{C1B6861F-1995-40E1-B2F7-71DD345E4F46}">
      <dgm:prSet/>
      <dgm:spPr/>
      <dgm:t>
        <a:bodyPr/>
        <a:lstStyle/>
        <a:p>
          <a:endParaRPr lang="en-US"/>
        </a:p>
      </dgm:t>
    </dgm:pt>
    <dgm:pt modelId="{5CCD68E4-9978-49B0-8B72-D28B97114DB9}" type="sibTrans" cxnId="{C1B6861F-1995-40E1-B2F7-71DD345E4F46}">
      <dgm:prSet/>
      <dgm:spPr/>
      <dgm:t>
        <a:bodyPr/>
        <a:lstStyle/>
        <a:p>
          <a:endParaRPr lang="en-US"/>
        </a:p>
      </dgm:t>
    </dgm:pt>
    <dgm:pt modelId="{C45E1975-C243-4868-B526-E932A7F7CBC1}">
      <dgm:prSet phldrT="[Text]"/>
      <dgm:spPr>
        <a:xfrm>
          <a:off x="5152479"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Cambria"/>
              <a:ea typeface="+mn-ea"/>
              <a:cs typeface="+mn-cs"/>
            </a:rPr>
            <a:t>VI</a:t>
          </a:r>
          <a:br>
            <a:rPr lang="en-US">
              <a:solidFill>
                <a:srgbClr val="FFFFFF"/>
              </a:solidFill>
              <a:latin typeface="Cambria"/>
              <a:ea typeface="+mn-ea"/>
              <a:cs typeface="+mn-cs"/>
            </a:rPr>
          </a:br>
          <a:r>
            <a:rPr lang="en-US">
              <a:solidFill>
                <a:srgbClr val="FFFFFF"/>
              </a:solidFill>
              <a:latin typeface="Cambria"/>
              <a:ea typeface="+mn-ea"/>
              <a:cs typeface="+mn-cs"/>
            </a:rPr>
            <a:t/>
          </a:r>
          <a:br>
            <a:rPr lang="en-US">
              <a:solidFill>
                <a:srgbClr val="FFFFFF"/>
              </a:solidFill>
              <a:latin typeface="Cambria"/>
              <a:ea typeface="+mn-ea"/>
              <a:cs typeface="+mn-cs"/>
            </a:rPr>
          </a:br>
          <a:r>
            <a:rPr lang="en-US">
              <a:solidFill>
                <a:srgbClr val="FFFFFF"/>
              </a:solidFill>
              <a:latin typeface="Cambria"/>
              <a:ea typeface="+mn-ea"/>
              <a:cs typeface="+mn-cs"/>
            </a:rPr>
            <a:t>KOORDINACIONI TIM:</a:t>
          </a:r>
        </a:p>
        <a:p>
          <a:r>
            <a:rPr lang="sr-Latn-RS">
              <a:solidFill>
                <a:srgbClr val="FFFFFF"/>
              </a:solidFill>
              <a:latin typeface="Cambria"/>
              <a:ea typeface="+mn-ea"/>
              <a:cs typeface="+mn-cs"/>
            </a:rPr>
            <a:t>USLUGE JAVNE UPRAVE</a:t>
          </a:r>
          <a:endParaRPr lang="en-US">
            <a:solidFill>
              <a:srgbClr val="FFFFFF"/>
            </a:solidFill>
            <a:latin typeface="Cambria"/>
            <a:ea typeface="+mn-ea"/>
            <a:cs typeface="+mn-cs"/>
          </a:endParaRPr>
        </a:p>
      </dgm:t>
    </dgm:pt>
    <dgm:pt modelId="{7B5ED66B-2CE3-4F43-BFAC-311635C34115}" type="parTrans" cxnId="{68831D29-3C30-4342-A863-A5861072BC41}">
      <dgm:prSet/>
      <dgm:spPr/>
      <dgm:t>
        <a:bodyPr/>
        <a:lstStyle/>
        <a:p>
          <a:endParaRPr lang="en-US"/>
        </a:p>
      </dgm:t>
    </dgm:pt>
    <dgm:pt modelId="{D7559B92-4883-478F-B257-E3C9C743B442}" type="sibTrans" cxnId="{68831D29-3C30-4342-A863-A5861072BC41}">
      <dgm:prSet/>
      <dgm:spPr/>
      <dgm:t>
        <a:bodyPr/>
        <a:lstStyle/>
        <a:p>
          <a:endParaRPr lang="en-US"/>
        </a:p>
      </dgm:t>
    </dgm:pt>
    <dgm:pt modelId="{9010E850-2151-4528-8CD3-8544687B6194}">
      <dgm:prSet phldrT="[Text]"/>
      <dgm:spPr>
        <a:xfrm>
          <a:off x="1022819"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Cambria"/>
              <a:ea typeface="+mn-ea"/>
              <a:cs typeface="+mn-cs"/>
            </a:rPr>
            <a:t>II</a:t>
          </a:r>
          <a:br>
            <a:rPr lang="en-US">
              <a:solidFill>
                <a:srgbClr val="FFFFFF"/>
              </a:solidFill>
              <a:latin typeface="Cambria"/>
              <a:ea typeface="+mn-ea"/>
              <a:cs typeface="+mn-cs"/>
            </a:rPr>
          </a:br>
          <a:r>
            <a:rPr lang="en-US">
              <a:solidFill>
                <a:srgbClr val="FFFFFF"/>
              </a:solidFill>
              <a:latin typeface="Cambria"/>
              <a:ea typeface="+mn-ea"/>
              <a:cs typeface="+mn-cs"/>
            </a:rPr>
            <a:t/>
          </a:r>
          <a:br>
            <a:rPr lang="en-US">
              <a:solidFill>
                <a:srgbClr val="FFFFFF"/>
              </a:solidFill>
              <a:latin typeface="Cambria"/>
              <a:ea typeface="+mn-ea"/>
              <a:cs typeface="+mn-cs"/>
            </a:rPr>
          </a:br>
          <a:r>
            <a:rPr lang="en-US">
              <a:solidFill>
                <a:srgbClr val="FFFFFF"/>
              </a:solidFill>
              <a:latin typeface="Cambria"/>
              <a:ea typeface="+mn-ea"/>
              <a:cs typeface="+mn-cs"/>
            </a:rPr>
            <a:t>KOORDINACIONI TIM:</a:t>
          </a:r>
        </a:p>
        <a:p>
          <a:r>
            <a:rPr lang="sr-Latn-RS">
              <a:solidFill>
                <a:srgbClr val="FFFFFF"/>
              </a:solidFill>
              <a:latin typeface="Cambria"/>
              <a:ea typeface="+mn-ea"/>
              <a:cs typeface="+mn-cs"/>
            </a:rPr>
            <a:t>ORGANIZACIJA I RAD JAVNE UPRAVE </a:t>
          </a:r>
          <a:endParaRPr lang="en-US">
            <a:solidFill>
              <a:srgbClr val="FFFFFF"/>
            </a:solidFill>
            <a:latin typeface="Cambria"/>
            <a:ea typeface="+mn-ea"/>
            <a:cs typeface="+mn-cs"/>
          </a:endParaRPr>
        </a:p>
      </dgm:t>
    </dgm:pt>
    <dgm:pt modelId="{78FB8DAC-E5C9-4C94-BB96-84350639201C}" type="parTrans" cxnId="{EDA70E62-9D23-4385-892C-0EC0DD0A9F9F}">
      <dgm:prSet/>
      <dgm:spPr/>
      <dgm:t>
        <a:bodyPr/>
        <a:lstStyle/>
        <a:p>
          <a:endParaRPr lang="en-US"/>
        </a:p>
      </dgm:t>
    </dgm:pt>
    <dgm:pt modelId="{92142064-1382-4053-A17C-0008E42C4CA3}" type="sibTrans" cxnId="{EDA70E62-9D23-4385-892C-0EC0DD0A9F9F}">
      <dgm:prSet/>
      <dgm:spPr/>
      <dgm:t>
        <a:bodyPr/>
        <a:lstStyle/>
        <a:p>
          <a:endParaRPr lang="en-US"/>
        </a:p>
      </dgm:t>
    </dgm:pt>
    <dgm:pt modelId="{87D07E9F-21D3-4779-872D-B3BC6FE1342A}">
      <dgm:prSet phldrT="[Text]"/>
      <dgm:spPr>
        <a:xfrm>
          <a:off x="2044934"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Cambria"/>
              <a:ea typeface="+mn-ea"/>
              <a:cs typeface="+mn-cs"/>
            </a:rPr>
            <a:t>III</a:t>
          </a:r>
          <a:br>
            <a:rPr lang="en-US">
              <a:solidFill>
                <a:srgbClr val="FFFFFF"/>
              </a:solidFill>
              <a:latin typeface="Cambria"/>
              <a:ea typeface="+mn-ea"/>
              <a:cs typeface="+mn-cs"/>
            </a:rPr>
          </a:br>
          <a:r>
            <a:rPr lang="en-US">
              <a:solidFill>
                <a:srgbClr val="FFFFFF"/>
              </a:solidFill>
              <a:latin typeface="Cambria"/>
              <a:ea typeface="+mn-ea"/>
              <a:cs typeface="+mn-cs"/>
            </a:rPr>
            <a:t/>
          </a:r>
          <a:br>
            <a:rPr lang="en-US">
              <a:solidFill>
                <a:srgbClr val="FFFFFF"/>
              </a:solidFill>
              <a:latin typeface="Cambria"/>
              <a:ea typeface="+mn-ea"/>
              <a:cs typeface="+mn-cs"/>
            </a:rPr>
          </a:br>
          <a:r>
            <a:rPr lang="en-US">
              <a:solidFill>
                <a:srgbClr val="FFFFFF"/>
              </a:solidFill>
              <a:latin typeface="Cambria"/>
              <a:ea typeface="+mn-ea"/>
              <a:cs typeface="+mn-cs"/>
            </a:rPr>
            <a:t>KOORDINACIONI TIM:</a:t>
          </a:r>
        </a:p>
        <a:p>
          <a:r>
            <a:rPr lang="sr-Latn-RS">
              <a:solidFill>
                <a:srgbClr val="FFFFFF"/>
              </a:solidFill>
              <a:latin typeface="Cambria"/>
              <a:ea typeface="+mn-ea"/>
              <a:cs typeface="+mn-cs"/>
            </a:rPr>
            <a:t>PROFESIONALNA JAVNA ADMINISTRACIJA</a:t>
          </a:r>
          <a:endParaRPr lang="en-US">
            <a:solidFill>
              <a:srgbClr val="FFFFFF"/>
            </a:solidFill>
            <a:latin typeface="Cambria"/>
            <a:ea typeface="+mn-ea"/>
            <a:cs typeface="+mn-cs"/>
          </a:endParaRPr>
        </a:p>
      </dgm:t>
    </dgm:pt>
    <dgm:pt modelId="{239851E0-288F-4CE1-9AA3-03710E5DA862}" type="parTrans" cxnId="{F975A984-C2BC-446A-A25C-C85C3B1B7574}">
      <dgm:prSet/>
      <dgm:spPr/>
      <dgm:t>
        <a:bodyPr/>
        <a:lstStyle/>
        <a:p>
          <a:endParaRPr lang="en-US"/>
        </a:p>
      </dgm:t>
    </dgm:pt>
    <dgm:pt modelId="{E2926749-BCBC-44C6-BA58-569EBC74084D}" type="sibTrans" cxnId="{F975A984-C2BC-446A-A25C-C85C3B1B7574}">
      <dgm:prSet/>
      <dgm:spPr/>
      <dgm:t>
        <a:bodyPr/>
        <a:lstStyle/>
        <a:p>
          <a:endParaRPr lang="en-US"/>
        </a:p>
      </dgm:t>
    </dgm:pt>
    <dgm:pt modelId="{7AF83E32-17D2-4CFC-B789-76D13D2D136A}">
      <dgm:prSet phldrT="[Text]"/>
      <dgm:spPr>
        <a:xfrm>
          <a:off x="3067049"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r>
            <a:rPr lang="en-US">
              <a:solidFill>
                <a:srgbClr val="FFFFFF"/>
              </a:solidFill>
              <a:latin typeface="Cambria"/>
              <a:ea typeface="+mn-ea"/>
              <a:cs typeface="+mn-cs"/>
            </a:rPr>
            <a:t>IV</a:t>
          </a:r>
          <a:br>
            <a:rPr lang="en-US">
              <a:solidFill>
                <a:srgbClr val="FFFFFF"/>
              </a:solidFill>
              <a:latin typeface="Cambria"/>
              <a:ea typeface="+mn-ea"/>
              <a:cs typeface="+mn-cs"/>
            </a:rPr>
          </a:br>
          <a:r>
            <a:rPr lang="en-US">
              <a:solidFill>
                <a:srgbClr val="FFFFFF"/>
              </a:solidFill>
              <a:latin typeface="Cambria"/>
              <a:ea typeface="+mn-ea"/>
              <a:cs typeface="+mn-cs"/>
            </a:rPr>
            <a:t/>
          </a:r>
          <a:br>
            <a:rPr lang="en-US">
              <a:solidFill>
                <a:srgbClr val="FFFFFF"/>
              </a:solidFill>
              <a:latin typeface="Cambria"/>
              <a:ea typeface="+mn-ea"/>
              <a:cs typeface="+mn-cs"/>
            </a:rPr>
          </a:br>
          <a:r>
            <a:rPr lang="en-US">
              <a:solidFill>
                <a:srgbClr val="FFFFFF"/>
              </a:solidFill>
              <a:latin typeface="Cambria"/>
              <a:ea typeface="+mn-ea"/>
              <a:cs typeface="+mn-cs"/>
            </a:rPr>
            <a:t>KOORDINACIONI TIM:</a:t>
          </a:r>
        </a:p>
        <a:p>
          <a:r>
            <a:rPr lang="sr-Latn-RS">
              <a:solidFill>
                <a:srgbClr val="FFFFFF"/>
              </a:solidFill>
              <a:latin typeface="Cambria"/>
              <a:ea typeface="+mn-ea"/>
              <a:cs typeface="+mn-cs"/>
            </a:rPr>
            <a:t>TRANSPARENTA I OTVORENA JAVNA UPRAVA </a:t>
          </a:r>
          <a:endParaRPr lang="en-US">
            <a:solidFill>
              <a:srgbClr val="FFFFFF"/>
            </a:solidFill>
            <a:latin typeface="Cambria"/>
            <a:ea typeface="+mn-ea"/>
            <a:cs typeface="+mn-cs"/>
          </a:endParaRPr>
        </a:p>
      </dgm:t>
    </dgm:pt>
    <dgm:pt modelId="{C73ADB53-6995-4EFE-858F-7DB8666F46B3}" type="parTrans" cxnId="{A8C0B4E4-AB8C-4ACD-ADDA-3C8A8BE53B68}">
      <dgm:prSet/>
      <dgm:spPr/>
      <dgm:t>
        <a:bodyPr/>
        <a:lstStyle/>
        <a:p>
          <a:endParaRPr lang="en-US"/>
        </a:p>
      </dgm:t>
    </dgm:pt>
    <dgm:pt modelId="{AD292F4A-E1E3-424F-ADF6-B885C7A27805}" type="sibTrans" cxnId="{A8C0B4E4-AB8C-4ACD-ADDA-3C8A8BE53B68}">
      <dgm:prSet/>
      <dgm:spPr/>
      <dgm:t>
        <a:bodyPr/>
        <a:lstStyle/>
        <a:p>
          <a:endParaRPr lang="en-US"/>
        </a:p>
      </dgm:t>
    </dgm:pt>
    <dgm:pt modelId="{34228535-7A2E-4DF6-83A3-CA89DA76E78F}" type="pres">
      <dgm:prSet presAssocID="{98D524C4-D87E-413A-BCFA-E64410DB9B86}" presName="Name0" presStyleCnt="0">
        <dgm:presLayoutVars>
          <dgm:chPref val="1"/>
          <dgm:dir/>
          <dgm:animOne val="branch"/>
          <dgm:animLvl val="lvl"/>
          <dgm:resizeHandles/>
        </dgm:presLayoutVars>
      </dgm:prSet>
      <dgm:spPr/>
      <dgm:t>
        <a:bodyPr/>
        <a:lstStyle/>
        <a:p>
          <a:endParaRPr lang="en-US"/>
        </a:p>
      </dgm:t>
    </dgm:pt>
    <dgm:pt modelId="{2205DE2C-1F27-4ACF-AB08-BDD18D76E4B7}" type="pres">
      <dgm:prSet presAssocID="{6558CDD8-0042-42AA-BC93-15371B2D020C}" presName="vertOne" presStyleCnt="0"/>
      <dgm:spPr/>
    </dgm:pt>
    <dgm:pt modelId="{DBA042E7-D5F9-4C3B-BB0E-B7D117A96F9E}" type="pres">
      <dgm:prSet presAssocID="{6558CDD8-0042-42AA-BC93-15371B2D020C}" presName="txOne" presStyleLbl="node0" presStyleIdx="0" presStyleCnt="1">
        <dgm:presLayoutVars>
          <dgm:chPref val="3"/>
        </dgm:presLayoutVars>
      </dgm:prSet>
      <dgm:spPr/>
      <dgm:t>
        <a:bodyPr/>
        <a:lstStyle/>
        <a:p>
          <a:endParaRPr lang="en-US"/>
        </a:p>
      </dgm:t>
    </dgm:pt>
    <dgm:pt modelId="{9E86D5D0-DB58-4086-ACD5-50E90C13B5E3}" type="pres">
      <dgm:prSet presAssocID="{6558CDD8-0042-42AA-BC93-15371B2D020C}" presName="parTransOne" presStyleCnt="0"/>
      <dgm:spPr/>
    </dgm:pt>
    <dgm:pt modelId="{898AA294-C91B-4F71-835C-82F85BAB137A}" type="pres">
      <dgm:prSet presAssocID="{6558CDD8-0042-42AA-BC93-15371B2D020C}" presName="horzOne" presStyleCnt="0"/>
      <dgm:spPr/>
    </dgm:pt>
    <dgm:pt modelId="{942CBBA1-1637-48E9-9263-9622ADC4696F}" type="pres">
      <dgm:prSet presAssocID="{54A39210-DFA5-4B57-A7A2-1AFF4F91247B}" presName="vertTwo" presStyleCnt="0"/>
      <dgm:spPr/>
    </dgm:pt>
    <dgm:pt modelId="{128273B4-9389-4EAA-A33D-BAAF43979BF6}" type="pres">
      <dgm:prSet presAssocID="{54A39210-DFA5-4B57-A7A2-1AFF4F91247B}" presName="txTwo" presStyleLbl="node2" presStyleIdx="0" presStyleCnt="2">
        <dgm:presLayoutVars>
          <dgm:chPref val="3"/>
        </dgm:presLayoutVars>
      </dgm:prSet>
      <dgm:spPr/>
      <dgm:t>
        <a:bodyPr/>
        <a:lstStyle/>
        <a:p>
          <a:endParaRPr lang="en-US"/>
        </a:p>
      </dgm:t>
    </dgm:pt>
    <dgm:pt modelId="{76A039B8-AF4A-469D-823D-F71D891FEB8C}" type="pres">
      <dgm:prSet presAssocID="{54A39210-DFA5-4B57-A7A2-1AFF4F91247B}" presName="parTransTwo" presStyleCnt="0"/>
      <dgm:spPr/>
    </dgm:pt>
    <dgm:pt modelId="{12474BF8-51BE-4189-B6F7-62593F9CA4E3}" type="pres">
      <dgm:prSet presAssocID="{54A39210-DFA5-4B57-A7A2-1AFF4F91247B}" presName="horzTwo" presStyleCnt="0"/>
      <dgm:spPr/>
    </dgm:pt>
    <dgm:pt modelId="{D3A1830C-32C3-4651-AE45-E5FA8314D53B}" type="pres">
      <dgm:prSet presAssocID="{EC14C9CC-BE45-44BB-A78B-4EE9C3B2B3E7}" presName="vertThree" presStyleCnt="0"/>
      <dgm:spPr/>
    </dgm:pt>
    <dgm:pt modelId="{671903E7-1CB9-4B6F-BDCB-73E9297373CC}" type="pres">
      <dgm:prSet presAssocID="{EC14C9CC-BE45-44BB-A78B-4EE9C3B2B3E7}" presName="txThree" presStyleLbl="node3" presStyleIdx="0" presStyleCnt="6">
        <dgm:presLayoutVars>
          <dgm:chPref val="3"/>
        </dgm:presLayoutVars>
      </dgm:prSet>
      <dgm:spPr/>
      <dgm:t>
        <a:bodyPr/>
        <a:lstStyle/>
        <a:p>
          <a:endParaRPr lang="en-US"/>
        </a:p>
      </dgm:t>
    </dgm:pt>
    <dgm:pt modelId="{B498118F-BD5E-43BB-AA14-3FA973AD777E}" type="pres">
      <dgm:prSet presAssocID="{EC14C9CC-BE45-44BB-A78B-4EE9C3B2B3E7}" presName="horzThree" presStyleCnt="0"/>
      <dgm:spPr/>
    </dgm:pt>
    <dgm:pt modelId="{48C04EEF-1398-4B0C-A24C-F047F80F9F69}" type="pres">
      <dgm:prSet presAssocID="{D1DCFC22-B635-4F1B-B683-13E6A178B495}" presName="sibSpaceThree" presStyleCnt="0"/>
      <dgm:spPr/>
    </dgm:pt>
    <dgm:pt modelId="{94CCD8BB-7F2A-4A93-A8AC-82B96244DEC4}" type="pres">
      <dgm:prSet presAssocID="{9010E850-2151-4528-8CD3-8544687B6194}" presName="vertThree" presStyleCnt="0"/>
      <dgm:spPr/>
    </dgm:pt>
    <dgm:pt modelId="{8667100B-6FD7-4A73-A4A6-572F5E8343B9}" type="pres">
      <dgm:prSet presAssocID="{9010E850-2151-4528-8CD3-8544687B6194}" presName="txThree" presStyleLbl="node3" presStyleIdx="1" presStyleCnt="6">
        <dgm:presLayoutVars>
          <dgm:chPref val="3"/>
        </dgm:presLayoutVars>
      </dgm:prSet>
      <dgm:spPr/>
      <dgm:t>
        <a:bodyPr/>
        <a:lstStyle/>
        <a:p>
          <a:endParaRPr lang="en-US"/>
        </a:p>
      </dgm:t>
    </dgm:pt>
    <dgm:pt modelId="{530E29A5-C85A-4251-ABC4-D27CFE7BC42C}" type="pres">
      <dgm:prSet presAssocID="{9010E850-2151-4528-8CD3-8544687B6194}" presName="horzThree" presStyleCnt="0"/>
      <dgm:spPr/>
    </dgm:pt>
    <dgm:pt modelId="{F50647A2-939F-4E69-9C44-B85A39773463}" type="pres">
      <dgm:prSet presAssocID="{92142064-1382-4053-A17C-0008E42C4CA3}" presName="sibSpaceThree" presStyleCnt="0"/>
      <dgm:spPr/>
    </dgm:pt>
    <dgm:pt modelId="{ED153895-631A-4687-A3FA-A4AD6D541AE9}" type="pres">
      <dgm:prSet presAssocID="{87D07E9F-21D3-4779-872D-B3BC6FE1342A}" presName="vertThree" presStyleCnt="0"/>
      <dgm:spPr/>
    </dgm:pt>
    <dgm:pt modelId="{1BCFC623-1CE7-4838-8BD3-4BA32161B801}" type="pres">
      <dgm:prSet presAssocID="{87D07E9F-21D3-4779-872D-B3BC6FE1342A}" presName="txThree" presStyleLbl="node3" presStyleIdx="2" presStyleCnt="6">
        <dgm:presLayoutVars>
          <dgm:chPref val="3"/>
        </dgm:presLayoutVars>
      </dgm:prSet>
      <dgm:spPr/>
      <dgm:t>
        <a:bodyPr/>
        <a:lstStyle/>
        <a:p>
          <a:endParaRPr lang="en-US"/>
        </a:p>
      </dgm:t>
    </dgm:pt>
    <dgm:pt modelId="{8CFCE32F-82A6-44E9-B54C-59EC6B5BE040}" type="pres">
      <dgm:prSet presAssocID="{87D07E9F-21D3-4779-872D-B3BC6FE1342A}" presName="horzThree" presStyleCnt="0"/>
      <dgm:spPr/>
    </dgm:pt>
    <dgm:pt modelId="{62544FAF-3C4C-4388-B1F4-5525B79DFCEC}" type="pres">
      <dgm:prSet presAssocID="{E2926749-BCBC-44C6-BA58-569EBC74084D}" presName="sibSpaceThree" presStyleCnt="0"/>
      <dgm:spPr/>
    </dgm:pt>
    <dgm:pt modelId="{F1364CFC-B684-41EF-9486-7272FB3245AD}" type="pres">
      <dgm:prSet presAssocID="{7AF83E32-17D2-4CFC-B789-76D13D2D136A}" presName="vertThree" presStyleCnt="0"/>
      <dgm:spPr/>
    </dgm:pt>
    <dgm:pt modelId="{33296F9A-ABB8-48D1-8848-8151CF0A8B55}" type="pres">
      <dgm:prSet presAssocID="{7AF83E32-17D2-4CFC-B789-76D13D2D136A}" presName="txThree" presStyleLbl="node3" presStyleIdx="3" presStyleCnt="6">
        <dgm:presLayoutVars>
          <dgm:chPref val="3"/>
        </dgm:presLayoutVars>
      </dgm:prSet>
      <dgm:spPr/>
      <dgm:t>
        <a:bodyPr/>
        <a:lstStyle/>
        <a:p>
          <a:endParaRPr lang="en-US"/>
        </a:p>
      </dgm:t>
    </dgm:pt>
    <dgm:pt modelId="{59F2D8F5-B763-4D49-A9D6-D9AEE315953C}" type="pres">
      <dgm:prSet presAssocID="{7AF83E32-17D2-4CFC-B789-76D13D2D136A}" presName="horzThree" presStyleCnt="0"/>
      <dgm:spPr/>
    </dgm:pt>
    <dgm:pt modelId="{9A09068F-A667-442C-8722-D847FD048402}" type="pres">
      <dgm:prSet presAssocID="{AD292F4A-E1E3-424F-ADF6-B885C7A27805}" presName="sibSpaceThree" presStyleCnt="0"/>
      <dgm:spPr/>
    </dgm:pt>
    <dgm:pt modelId="{7DED9883-249E-468F-9DBC-BFBD5FF91D08}" type="pres">
      <dgm:prSet presAssocID="{2CEC3E33-FF80-4C88-9DAE-047343576FF3}" presName="vertThree" presStyleCnt="0"/>
      <dgm:spPr/>
    </dgm:pt>
    <dgm:pt modelId="{47B06116-7347-4A13-8F9C-7F7AE433BD6F}" type="pres">
      <dgm:prSet presAssocID="{2CEC3E33-FF80-4C88-9DAE-047343576FF3}" presName="txThree" presStyleLbl="node3" presStyleIdx="4" presStyleCnt="6">
        <dgm:presLayoutVars>
          <dgm:chPref val="3"/>
        </dgm:presLayoutVars>
      </dgm:prSet>
      <dgm:spPr/>
      <dgm:t>
        <a:bodyPr/>
        <a:lstStyle/>
        <a:p>
          <a:endParaRPr lang="en-US"/>
        </a:p>
      </dgm:t>
    </dgm:pt>
    <dgm:pt modelId="{4167B623-C825-447E-BC72-8182FFCEF79C}" type="pres">
      <dgm:prSet presAssocID="{2CEC3E33-FF80-4C88-9DAE-047343576FF3}" presName="horzThree" presStyleCnt="0"/>
      <dgm:spPr/>
    </dgm:pt>
    <dgm:pt modelId="{E7937E1F-BC7A-4FE1-A50E-634978988032}" type="pres">
      <dgm:prSet presAssocID="{FB3CF18C-D35E-472B-B613-0D0654C2B40A}" presName="sibSpaceTwo" presStyleCnt="0"/>
      <dgm:spPr/>
    </dgm:pt>
    <dgm:pt modelId="{75C92CCD-6B53-4683-976F-719526FD885C}" type="pres">
      <dgm:prSet presAssocID="{CC2198DC-584B-4577-BA57-718ADCD191C4}" presName="vertTwo" presStyleCnt="0"/>
      <dgm:spPr/>
    </dgm:pt>
    <dgm:pt modelId="{C862A4FC-399F-4309-9A5D-BB2CD141FBDB}" type="pres">
      <dgm:prSet presAssocID="{CC2198DC-584B-4577-BA57-718ADCD191C4}" presName="txTwo" presStyleLbl="node2" presStyleIdx="1" presStyleCnt="2">
        <dgm:presLayoutVars>
          <dgm:chPref val="3"/>
        </dgm:presLayoutVars>
      </dgm:prSet>
      <dgm:spPr/>
      <dgm:t>
        <a:bodyPr/>
        <a:lstStyle/>
        <a:p>
          <a:endParaRPr lang="en-US"/>
        </a:p>
      </dgm:t>
    </dgm:pt>
    <dgm:pt modelId="{73519D1C-DD61-435F-A796-F9DE0817C82E}" type="pres">
      <dgm:prSet presAssocID="{CC2198DC-584B-4577-BA57-718ADCD191C4}" presName="parTransTwo" presStyleCnt="0"/>
      <dgm:spPr/>
    </dgm:pt>
    <dgm:pt modelId="{2002C35A-67D4-4B78-BBBB-59ACA92E5888}" type="pres">
      <dgm:prSet presAssocID="{CC2198DC-584B-4577-BA57-718ADCD191C4}" presName="horzTwo" presStyleCnt="0"/>
      <dgm:spPr/>
    </dgm:pt>
    <dgm:pt modelId="{6F0F0576-C04D-4506-BB24-F3A80F926015}" type="pres">
      <dgm:prSet presAssocID="{C45E1975-C243-4868-B526-E932A7F7CBC1}" presName="vertThree" presStyleCnt="0"/>
      <dgm:spPr/>
    </dgm:pt>
    <dgm:pt modelId="{21D719BC-364C-4B63-98AD-80E8321AE9AF}" type="pres">
      <dgm:prSet presAssocID="{C45E1975-C243-4868-B526-E932A7F7CBC1}" presName="txThree" presStyleLbl="node3" presStyleIdx="5" presStyleCnt="6">
        <dgm:presLayoutVars>
          <dgm:chPref val="3"/>
        </dgm:presLayoutVars>
      </dgm:prSet>
      <dgm:spPr/>
      <dgm:t>
        <a:bodyPr/>
        <a:lstStyle/>
        <a:p>
          <a:endParaRPr lang="en-US"/>
        </a:p>
      </dgm:t>
    </dgm:pt>
    <dgm:pt modelId="{59634202-EA36-45A3-A0BD-0A65B9DE0528}" type="pres">
      <dgm:prSet presAssocID="{C45E1975-C243-4868-B526-E932A7F7CBC1}" presName="horzThree" presStyleCnt="0"/>
      <dgm:spPr/>
    </dgm:pt>
  </dgm:ptLst>
  <dgm:cxnLst>
    <dgm:cxn modelId="{D5725E15-ECC4-4AA1-9297-F72E88660B39}" type="presOf" srcId="{54A39210-DFA5-4B57-A7A2-1AFF4F91247B}" destId="{128273B4-9389-4EAA-A33D-BAAF43979BF6}" srcOrd="0" destOrd="0" presId="urn:microsoft.com/office/officeart/2005/8/layout/hierarchy4"/>
    <dgm:cxn modelId="{866FD1FC-440A-42C5-BD8F-39C374CD4965}" type="presOf" srcId="{9010E850-2151-4528-8CD3-8544687B6194}" destId="{8667100B-6FD7-4A73-A4A6-572F5E8343B9}" srcOrd="0" destOrd="0" presId="urn:microsoft.com/office/officeart/2005/8/layout/hierarchy4"/>
    <dgm:cxn modelId="{61EC673A-B034-4AA4-BBCF-34432F265493}" type="presOf" srcId="{CC2198DC-584B-4577-BA57-718ADCD191C4}" destId="{C862A4FC-399F-4309-9A5D-BB2CD141FBDB}" srcOrd="0" destOrd="0" presId="urn:microsoft.com/office/officeart/2005/8/layout/hierarchy4"/>
    <dgm:cxn modelId="{EDA70E62-9D23-4385-892C-0EC0DD0A9F9F}" srcId="{54A39210-DFA5-4B57-A7A2-1AFF4F91247B}" destId="{9010E850-2151-4528-8CD3-8544687B6194}" srcOrd="1" destOrd="0" parTransId="{78FB8DAC-E5C9-4C94-BB96-84350639201C}" sibTransId="{92142064-1382-4053-A17C-0008E42C4CA3}"/>
    <dgm:cxn modelId="{D3E18978-12EE-4625-B381-01A7555099D4}" type="presOf" srcId="{87D07E9F-21D3-4779-872D-B3BC6FE1342A}" destId="{1BCFC623-1CE7-4838-8BD3-4BA32161B801}" srcOrd="0" destOrd="0" presId="urn:microsoft.com/office/officeart/2005/8/layout/hierarchy4"/>
    <dgm:cxn modelId="{A53051BD-8F6E-4836-89BD-D3CFA1A9443A}" srcId="{98D524C4-D87E-413A-BCFA-E64410DB9B86}" destId="{6558CDD8-0042-42AA-BC93-15371B2D020C}" srcOrd="0" destOrd="0" parTransId="{F958532D-84F8-456A-A671-E411DA3D44EC}" sibTransId="{76CC01BC-C010-4BDB-A806-8E2EB7E9F028}"/>
    <dgm:cxn modelId="{F975A984-C2BC-446A-A25C-C85C3B1B7574}" srcId="{54A39210-DFA5-4B57-A7A2-1AFF4F91247B}" destId="{87D07E9F-21D3-4779-872D-B3BC6FE1342A}" srcOrd="2" destOrd="0" parTransId="{239851E0-288F-4CE1-9AA3-03710E5DA862}" sibTransId="{E2926749-BCBC-44C6-BA58-569EBC74084D}"/>
    <dgm:cxn modelId="{A8C0B4E4-AB8C-4ACD-ADDA-3C8A8BE53B68}" srcId="{54A39210-DFA5-4B57-A7A2-1AFF4F91247B}" destId="{7AF83E32-17D2-4CFC-B789-76D13D2D136A}" srcOrd="3" destOrd="0" parTransId="{C73ADB53-6995-4EFE-858F-7DB8666F46B3}" sibTransId="{AD292F4A-E1E3-424F-ADF6-B885C7A27805}"/>
    <dgm:cxn modelId="{0A5EDED8-BA91-4420-AA9F-4C57C521EBA0}" type="presOf" srcId="{98D524C4-D87E-413A-BCFA-E64410DB9B86}" destId="{34228535-7A2E-4DF6-83A3-CA89DA76E78F}" srcOrd="0" destOrd="0" presId="urn:microsoft.com/office/officeart/2005/8/layout/hierarchy4"/>
    <dgm:cxn modelId="{68831D29-3C30-4342-A863-A5861072BC41}" srcId="{CC2198DC-584B-4577-BA57-718ADCD191C4}" destId="{C45E1975-C243-4868-B526-E932A7F7CBC1}" srcOrd="0" destOrd="0" parTransId="{7B5ED66B-2CE3-4F43-BFAC-311635C34115}" sibTransId="{D7559B92-4883-478F-B257-E3C9C743B442}"/>
    <dgm:cxn modelId="{54BC36F1-74FF-4A2E-B5F0-0C50C61153AD}" srcId="{54A39210-DFA5-4B57-A7A2-1AFF4F91247B}" destId="{2CEC3E33-FF80-4C88-9DAE-047343576FF3}" srcOrd="4" destOrd="0" parTransId="{B605B04D-D7F6-4762-AB66-28C42E66F839}" sibTransId="{CE18303C-83CD-4EA3-98A6-E43D32AC3ECD}"/>
    <dgm:cxn modelId="{2BDB5110-30C8-4A2E-B665-404ADE706C7A}" srcId="{6558CDD8-0042-42AA-BC93-15371B2D020C}" destId="{54A39210-DFA5-4B57-A7A2-1AFF4F91247B}" srcOrd="0" destOrd="0" parTransId="{42E914EB-242A-487F-952C-67467C9EF733}" sibTransId="{FB3CF18C-D35E-472B-B613-0D0654C2B40A}"/>
    <dgm:cxn modelId="{D2FF8800-2DA3-4510-A53A-EF9E2BAED773}" type="presOf" srcId="{EC14C9CC-BE45-44BB-A78B-4EE9C3B2B3E7}" destId="{671903E7-1CB9-4B6F-BDCB-73E9297373CC}" srcOrd="0" destOrd="0" presId="urn:microsoft.com/office/officeart/2005/8/layout/hierarchy4"/>
    <dgm:cxn modelId="{1A1AEB06-2F69-4400-85BF-3FD7225EA223}" type="presOf" srcId="{6558CDD8-0042-42AA-BC93-15371B2D020C}" destId="{DBA042E7-D5F9-4C3B-BB0E-B7D117A96F9E}" srcOrd="0" destOrd="0" presId="urn:microsoft.com/office/officeart/2005/8/layout/hierarchy4"/>
    <dgm:cxn modelId="{BC35DC34-525D-4330-B34A-75D5D8D966E5}" srcId="{54A39210-DFA5-4B57-A7A2-1AFF4F91247B}" destId="{EC14C9CC-BE45-44BB-A78B-4EE9C3B2B3E7}" srcOrd="0" destOrd="0" parTransId="{80BE2F3E-D9B8-4699-8A21-474B613D7D9A}" sibTransId="{D1DCFC22-B635-4F1B-B683-13E6A178B495}"/>
    <dgm:cxn modelId="{13184D2D-48E4-431B-9295-7D2643C2DE53}" type="presOf" srcId="{7AF83E32-17D2-4CFC-B789-76D13D2D136A}" destId="{33296F9A-ABB8-48D1-8848-8151CF0A8B55}" srcOrd="0" destOrd="0" presId="urn:microsoft.com/office/officeart/2005/8/layout/hierarchy4"/>
    <dgm:cxn modelId="{815DE581-FF99-463E-A01B-DDE0DB226641}" type="presOf" srcId="{2CEC3E33-FF80-4C88-9DAE-047343576FF3}" destId="{47B06116-7347-4A13-8F9C-7F7AE433BD6F}" srcOrd="0" destOrd="0" presId="urn:microsoft.com/office/officeart/2005/8/layout/hierarchy4"/>
    <dgm:cxn modelId="{C1B6861F-1995-40E1-B2F7-71DD345E4F46}" srcId="{6558CDD8-0042-42AA-BC93-15371B2D020C}" destId="{CC2198DC-584B-4577-BA57-718ADCD191C4}" srcOrd="1" destOrd="0" parTransId="{D88D1711-DCC8-408F-A863-C9FA78478EEB}" sibTransId="{5CCD68E4-9978-49B0-8B72-D28B97114DB9}"/>
    <dgm:cxn modelId="{3E8994CF-FC4A-41EE-B9A7-03C4F1AFAAC6}" type="presOf" srcId="{C45E1975-C243-4868-B526-E932A7F7CBC1}" destId="{21D719BC-364C-4B63-98AD-80E8321AE9AF}" srcOrd="0" destOrd="0" presId="urn:microsoft.com/office/officeart/2005/8/layout/hierarchy4"/>
    <dgm:cxn modelId="{2239D89A-DB9C-45A7-B56B-A3FA02EDE692}" type="presParOf" srcId="{34228535-7A2E-4DF6-83A3-CA89DA76E78F}" destId="{2205DE2C-1F27-4ACF-AB08-BDD18D76E4B7}" srcOrd="0" destOrd="0" presId="urn:microsoft.com/office/officeart/2005/8/layout/hierarchy4"/>
    <dgm:cxn modelId="{F5981145-8D46-43CF-BE08-58C19C33BBA2}" type="presParOf" srcId="{2205DE2C-1F27-4ACF-AB08-BDD18D76E4B7}" destId="{DBA042E7-D5F9-4C3B-BB0E-B7D117A96F9E}" srcOrd="0" destOrd="0" presId="urn:microsoft.com/office/officeart/2005/8/layout/hierarchy4"/>
    <dgm:cxn modelId="{0930D1F8-6FDE-4A97-AD15-C30C1EFC9A01}" type="presParOf" srcId="{2205DE2C-1F27-4ACF-AB08-BDD18D76E4B7}" destId="{9E86D5D0-DB58-4086-ACD5-50E90C13B5E3}" srcOrd="1" destOrd="0" presId="urn:microsoft.com/office/officeart/2005/8/layout/hierarchy4"/>
    <dgm:cxn modelId="{A6B8333B-0F32-4B3C-AF6E-84F22D785E7F}" type="presParOf" srcId="{2205DE2C-1F27-4ACF-AB08-BDD18D76E4B7}" destId="{898AA294-C91B-4F71-835C-82F85BAB137A}" srcOrd="2" destOrd="0" presId="urn:microsoft.com/office/officeart/2005/8/layout/hierarchy4"/>
    <dgm:cxn modelId="{31A93C76-4D2B-4CBE-A743-D6CAB9AAAD70}" type="presParOf" srcId="{898AA294-C91B-4F71-835C-82F85BAB137A}" destId="{942CBBA1-1637-48E9-9263-9622ADC4696F}" srcOrd="0" destOrd="0" presId="urn:microsoft.com/office/officeart/2005/8/layout/hierarchy4"/>
    <dgm:cxn modelId="{C63AD578-8B50-45F7-A49C-53681D9AF822}" type="presParOf" srcId="{942CBBA1-1637-48E9-9263-9622ADC4696F}" destId="{128273B4-9389-4EAA-A33D-BAAF43979BF6}" srcOrd="0" destOrd="0" presId="urn:microsoft.com/office/officeart/2005/8/layout/hierarchy4"/>
    <dgm:cxn modelId="{AB95FE81-4316-4DFF-98A5-CC7F2B05BCDF}" type="presParOf" srcId="{942CBBA1-1637-48E9-9263-9622ADC4696F}" destId="{76A039B8-AF4A-469D-823D-F71D891FEB8C}" srcOrd="1" destOrd="0" presId="urn:microsoft.com/office/officeart/2005/8/layout/hierarchy4"/>
    <dgm:cxn modelId="{F03247B5-BF31-4F57-9803-B0EA4E3F7678}" type="presParOf" srcId="{942CBBA1-1637-48E9-9263-9622ADC4696F}" destId="{12474BF8-51BE-4189-B6F7-62593F9CA4E3}" srcOrd="2" destOrd="0" presId="urn:microsoft.com/office/officeart/2005/8/layout/hierarchy4"/>
    <dgm:cxn modelId="{E40ABB7E-F717-4C96-B653-8E56AF3FC596}" type="presParOf" srcId="{12474BF8-51BE-4189-B6F7-62593F9CA4E3}" destId="{D3A1830C-32C3-4651-AE45-E5FA8314D53B}" srcOrd="0" destOrd="0" presId="urn:microsoft.com/office/officeart/2005/8/layout/hierarchy4"/>
    <dgm:cxn modelId="{E5E55E33-1ADA-4119-B1E5-4E802A3178DD}" type="presParOf" srcId="{D3A1830C-32C3-4651-AE45-E5FA8314D53B}" destId="{671903E7-1CB9-4B6F-BDCB-73E9297373CC}" srcOrd="0" destOrd="0" presId="urn:microsoft.com/office/officeart/2005/8/layout/hierarchy4"/>
    <dgm:cxn modelId="{8E20BD05-9162-4A4A-B102-2A6A8981A6FA}" type="presParOf" srcId="{D3A1830C-32C3-4651-AE45-E5FA8314D53B}" destId="{B498118F-BD5E-43BB-AA14-3FA973AD777E}" srcOrd="1" destOrd="0" presId="urn:microsoft.com/office/officeart/2005/8/layout/hierarchy4"/>
    <dgm:cxn modelId="{A4E8F637-CFCA-4BF5-BBCC-64DDF2302620}" type="presParOf" srcId="{12474BF8-51BE-4189-B6F7-62593F9CA4E3}" destId="{48C04EEF-1398-4B0C-A24C-F047F80F9F69}" srcOrd="1" destOrd="0" presId="urn:microsoft.com/office/officeart/2005/8/layout/hierarchy4"/>
    <dgm:cxn modelId="{702687B3-5F02-408F-9F47-16B1C4B7A55D}" type="presParOf" srcId="{12474BF8-51BE-4189-B6F7-62593F9CA4E3}" destId="{94CCD8BB-7F2A-4A93-A8AC-82B96244DEC4}" srcOrd="2" destOrd="0" presId="urn:microsoft.com/office/officeart/2005/8/layout/hierarchy4"/>
    <dgm:cxn modelId="{13904782-46CC-4C55-A243-42EFB0DD6636}" type="presParOf" srcId="{94CCD8BB-7F2A-4A93-A8AC-82B96244DEC4}" destId="{8667100B-6FD7-4A73-A4A6-572F5E8343B9}" srcOrd="0" destOrd="0" presId="urn:microsoft.com/office/officeart/2005/8/layout/hierarchy4"/>
    <dgm:cxn modelId="{844C7972-F0E6-4CDF-8187-D24ADF7D592B}" type="presParOf" srcId="{94CCD8BB-7F2A-4A93-A8AC-82B96244DEC4}" destId="{530E29A5-C85A-4251-ABC4-D27CFE7BC42C}" srcOrd="1" destOrd="0" presId="urn:microsoft.com/office/officeart/2005/8/layout/hierarchy4"/>
    <dgm:cxn modelId="{0FDB2FF0-F983-4750-B68A-01C86765919B}" type="presParOf" srcId="{12474BF8-51BE-4189-B6F7-62593F9CA4E3}" destId="{F50647A2-939F-4E69-9C44-B85A39773463}" srcOrd="3" destOrd="0" presId="urn:microsoft.com/office/officeart/2005/8/layout/hierarchy4"/>
    <dgm:cxn modelId="{A9F1FDB5-A25B-44EE-9935-2532CBE6044D}" type="presParOf" srcId="{12474BF8-51BE-4189-B6F7-62593F9CA4E3}" destId="{ED153895-631A-4687-A3FA-A4AD6D541AE9}" srcOrd="4" destOrd="0" presId="urn:microsoft.com/office/officeart/2005/8/layout/hierarchy4"/>
    <dgm:cxn modelId="{243B83D0-39F1-4995-B166-152E384CB548}" type="presParOf" srcId="{ED153895-631A-4687-A3FA-A4AD6D541AE9}" destId="{1BCFC623-1CE7-4838-8BD3-4BA32161B801}" srcOrd="0" destOrd="0" presId="urn:microsoft.com/office/officeart/2005/8/layout/hierarchy4"/>
    <dgm:cxn modelId="{3A016A1E-2EB4-4E55-AA1C-4B5760AB32F6}" type="presParOf" srcId="{ED153895-631A-4687-A3FA-A4AD6D541AE9}" destId="{8CFCE32F-82A6-44E9-B54C-59EC6B5BE040}" srcOrd="1" destOrd="0" presId="urn:microsoft.com/office/officeart/2005/8/layout/hierarchy4"/>
    <dgm:cxn modelId="{94162CFA-DC2B-433E-9872-BF6604CBBC73}" type="presParOf" srcId="{12474BF8-51BE-4189-B6F7-62593F9CA4E3}" destId="{62544FAF-3C4C-4388-B1F4-5525B79DFCEC}" srcOrd="5" destOrd="0" presId="urn:microsoft.com/office/officeart/2005/8/layout/hierarchy4"/>
    <dgm:cxn modelId="{5437D09A-748A-4320-AC3A-7719246BF0DD}" type="presParOf" srcId="{12474BF8-51BE-4189-B6F7-62593F9CA4E3}" destId="{F1364CFC-B684-41EF-9486-7272FB3245AD}" srcOrd="6" destOrd="0" presId="urn:microsoft.com/office/officeart/2005/8/layout/hierarchy4"/>
    <dgm:cxn modelId="{9C9E5A4B-0C25-4F11-8D1F-33FC5CC8E9F9}" type="presParOf" srcId="{F1364CFC-B684-41EF-9486-7272FB3245AD}" destId="{33296F9A-ABB8-48D1-8848-8151CF0A8B55}" srcOrd="0" destOrd="0" presId="urn:microsoft.com/office/officeart/2005/8/layout/hierarchy4"/>
    <dgm:cxn modelId="{850E6774-AAF8-4B7B-A460-EB91B16D8EAE}" type="presParOf" srcId="{F1364CFC-B684-41EF-9486-7272FB3245AD}" destId="{59F2D8F5-B763-4D49-A9D6-D9AEE315953C}" srcOrd="1" destOrd="0" presId="urn:microsoft.com/office/officeart/2005/8/layout/hierarchy4"/>
    <dgm:cxn modelId="{9A605A88-FA59-499E-A360-4949F5A8D0DA}" type="presParOf" srcId="{12474BF8-51BE-4189-B6F7-62593F9CA4E3}" destId="{9A09068F-A667-442C-8722-D847FD048402}" srcOrd="7" destOrd="0" presId="urn:microsoft.com/office/officeart/2005/8/layout/hierarchy4"/>
    <dgm:cxn modelId="{CF14FC8C-359D-4FA8-AD31-83D058FB5E48}" type="presParOf" srcId="{12474BF8-51BE-4189-B6F7-62593F9CA4E3}" destId="{7DED9883-249E-468F-9DBC-BFBD5FF91D08}" srcOrd="8" destOrd="0" presId="urn:microsoft.com/office/officeart/2005/8/layout/hierarchy4"/>
    <dgm:cxn modelId="{D1AE720A-B1CB-4DC1-8E08-67AFB72D3724}" type="presParOf" srcId="{7DED9883-249E-468F-9DBC-BFBD5FF91D08}" destId="{47B06116-7347-4A13-8F9C-7F7AE433BD6F}" srcOrd="0" destOrd="0" presId="urn:microsoft.com/office/officeart/2005/8/layout/hierarchy4"/>
    <dgm:cxn modelId="{128F9C02-D342-42E3-BB4D-9858ADC583B9}" type="presParOf" srcId="{7DED9883-249E-468F-9DBC-BFBD5FF91D08}" destId="{4167B623-C825-447E-BC72-8182FFCEF79C}" srcOrd="1" destOrd="0" presId="urn:microsoft.com/office/officeart/2005/8/layout/hierarchy4"/>
    <dgm:cxn modelId="{08DE2135-C150-4A2B-BE9D-50B15D10637D}" type="presParOf" srcId="{898AA294-C91B-4F71-835C-82F85BAB137A}" destId="{E7937E1F-BC7A-4FE1-A50E-634978988032}" srcOrd="1" destOrd="0" presId="urn:microsoft.com/office/officeart/2005/8/layout/hierarchy4"/>
    <dgm:cxn modelId="{CDAB40FE-41F5-4A2B-A150-A864BE9CE585}" type="presParOf" srcId="{898AA294-C91B-4F71-835C-82F85BAB137A}" destId="{75C92CCD-6B53-4683-976F-719526FD885C}" srcOrd="2" destOrd="0" presId="urn:microsoft.com/office/officeart/2005/8/layout/hierarchy4"/>
    <dgm:cxn modelId="{1AB2E412-1FFF-40C8-BE62-513B8ABC4CAB}" type="presParOf" srcId="{75C92CCD-6B53-4683-976F-719526FD885C}" destId="{C862A4FC-399F-4309-9A5D-BB2CD141FBDB}" srcOrd="0" destOrd="0" presId="urn:microsoft.com/office/officeart/2005/8/layout/hierarchy4"/>
    <dgm:cxn modelId="{2EC1AE9B-5EF5-4CCC-AA86-26005031038A}" type="presParOf" srcId="{75C92CCD-6B53-4683-976F-719526FD885C}" destId="{73519D1C-DD61-435F-A796-F9DE0817C82E}" srcOrd="1" destOrd="0" presId="urn:microsoft.com/office/officeart/2005/8/layout/hierarchy4"/>
    <dgm:cxn modelId="{024A089F-5E25-4732-8567-C8067A0FC9A4}" type="presParOf" srcId="{75C92CCD-6B53-4683-976F-719526FD885C}" destId="{2002C35A-67D4-4B78-BBBB-59ACA92E5888}" srcOrd="2" destOrd="0" presId="urn:microsoft.com/office/officeart/2005/8/layout/hierarchy4"/>
    <dgm:cxn modelId="{BE7ABD64-C8C7-4E83-A5F6-3BDBBDAAEC92}" type="presParOf" srcId="{2002C35A-67D4-4B78-BBBB-59ACA92E5888}" destId="{6F0F0576-C04D-4506-BB24-F3A80F926015}" srcOrd="0" destOrd="0" presId="urn:microsoft.com/office/officeart/2005/8/layout/hierarchy4"/>
    <dgm:cxn modelId="{49E3328E-C9A4-4BE9-A94E-846BF3AE5CD2}" type="presParOf" srcId="{6F0F0576-C04D-4506-BB24-F3A80F926015}" destId="{21D719BC-364C-4B63-98AD-80E8321AE9AF}" srcOrd="0" destOrd="0" presId="urn:microsoft.com/office/officeart/2005/8/layout/hierarchy4"/>
    <dgm:cxn modelId="{A3CB779D-9664-46A7-BE5A-7A872D8982DE}" type="presParOf" srcId="{6F0F0576-C04D-4506-BB24-F3A80F926015}" destId="{59634202-EA36-45A3-A0BD-0A65B9DE0528}" srcOrd="1" destOrd="0" presId="urn:microsoft.com/office/officeart/2005/8/layout/hierarchy4"/>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98AD4817-29AC-4348-929D-800FAF6B66AD}" type="doc">
      <dgm:prSet loTypeId="urn:microsoft.com/office/officeart/2005/8/layout/hList6" loCatId="list" qsTypeId="urn:microsoft.com/office/officeart/2005/8/quickstyle/simple1" qsCatId="simple" csTypeId="urn:microsoft.com/office/officeart/2005/8/colors/colorful4" csCatId="colorful" phldr="1"/>
      <dgm:spPr/>
      <dgm:t>
        <a:bodyPr/>
        <a:lstStyle/>
        <a:p>
          <a:endParaRPr lang="en-US"/>
        </a:p>
      </dgm:t>
    </dgm:pt>
    <dgm:pt modelId="{D8445BC1-5BB6-4E8B-923B-6F8E4D819E27}">
      <dgm:prSet phldrT="[Text]" custT="1"/>
      <dgm:spPr/>
      <dgm:t>
        <a:bodyPr/>
        <a:lstStyle/>
        <a:p>
          <a:r>
            <a:rPr lang="x-none" sz="1000"/>
            <a:t>Institucije </a:t>
          </a:r>
          <a:r>
            <a:rPr lang="en-US" sz="1000"/>
            <a:t>zadužene za monitoring i prikupljanje informacija </a:t>
          </a:r>
          <a:endParaRPr lang="x-none" sz="1000"/>
        </a:p>
        <a:p>
          <a:r>
            <a:rPr lang="x-none" sz="900"/>
            <a:t> </a:t>
          </a:r>
          <a:endParaRPr lang="en-US" sz="900"/>
        </a:p>
      </dgm:t>
    </dgm:pt>
    <dgm:pt modelId="{B4F348B0-D24E-4C13-BD67-078871C12F2A}" type="parTrans" cxnId="{14AA141C-2232-43D3-BDD3-B8BE56499356}">
      <dgm:prSet/>
      <dgm:spPr/>
      <dgm:t>
        <a:bodyPr/>
        <a:lstStyle/>
        <a:p>
          <a:endParaRPr lang="en-US"/>
        </a:p>
      </dgm:t>
    </dgm:pt>
    <dgm:pt modelId="{FC14E7BB-97C2-4C26-B7C0-690268C9D524}" type="sibTrans" cxnId="{14AA141C-2232-43D3-BDD3-B8BE56499356}">
      <dgm:prSet/>
      <dgm:spPr/>
      <dgm:t>
        <a:bodyPr/>
        <a:lstStyle/>
        <a:p>
          <a:endParaRPr lang="en-US"/>
        </a:p>
      </dgm:t>
    </dgm:pt>
    <dgm:pt modelId="{6703F35A-2A30-4D87-A7A5-6A5451EE8704}">
      <dgm:prSet phldrT="[Text]" custT="1"/>
      <dgm:spPr/>
      <dgm:t>
        <a:bodyPr/>
        <a:lstStyle/>
        <a:p>
          <a:r>
            <a:rPr lang="x-none" sz="900"/>
            <a:t>MJUDDM</a:t>
          </a:r>
          <a:endParaRPr lang="en-US" sz="900"/>
        </a:p>
      </dgm:t>
    </dgm:pt>
    <dgm:pt modelId="{234E9FCD-519E-45A7-A4DE-2791BB9CF19F}" type="parTrans" cxnId="{A0858493-346D-4ACE-99D4-DB31BA4873C1}">
      <dgm:prSet/>
      <dgm:spPr/>
      <dgm:t>
        <a:bodyPr/>
        <a:lstStyle/>
        <a:p>
          <a:endParaRPr lang="en-US"/>
        </a:p>
      </dgm:t>
    </dgm:pt>
    <dgm:pt modelId="{D3ACE477-5A28-4403-A1C0-011DEDECEBC5}" type="sibTrans" cxnId="{A0858493-346D-4ACE-99D4-DB31BA4873C1}">
      <dgm:prSet/>
      <dgm:spPr/>
      <dgm:t>
        <a:bodyPr/>
        <a:lstStyle/>
        <a:p>
          <a:endParaRPr lang="en-US"/>
        </a:p>
      </dgm:t>
    </dgm:pt>
    <dgm:pt modelId="{A941DA1B-2CC2-4A68-8911-B8D33E835410}">
      <dgm:prSet phldrT="[Text]" custT="1"/>
      <dgm:spPr/>
      <dgm:t>
        <a:bodyPr/>
        <a:lstStyle/>
        <a:p>
          <a:r>
            <a:rPr lang="x-none" sz="900"/>
            <a:t>Upravni sud</a:t>
          </a:r>
          <a:endParaRPr lang="en-US" sz="900"/>
        </a:p>
      </dgm:t>
    </dgm:pt>
    <dgm:pt modelId="{4190020B-4E88-4D60-8924-2FCFCA931131}" type="parTrans" cxnId="{3C998BB0-1F98-4482-A2BC-50D379321E54}">
      <dgm:prSet/>
      <dgm:spPr/>
      <dgm:t>
        <a:bodyPr/>
        <a:lstStyle/>
        <a:p>
          <a:endParaRPr lang="en-US"/>
        </a:p>
      </dgm:t>
    </dgm:pt>
    <dgm:pt modelId="{86D73808-CF14-4596-BF16-D84D1392F7AC}" type="sibTrans" cxnId="{3C998BB0-1F98-4482-A2BC-50D379321E54}">
      <dgm:prSet/>
      <dgm:spPr/>
      <dgm:t>
        <a:bodyPr/>
        <a:lstStyle/>
        <a:p>
          <a:endParaRPr lang="en-US"/>
        </a:p>
      </dgm:t>
    </dgm:pt>
    <dgm:pt modelId="{FCC78F11-6392-4F97-B640-A0B37E2C54F8}">
      <dgm:prSet phldrT="[Text]" custT="1"/>
      <dgm:spPr/>
      <dgm:t>
        <a:bodyPr/>
        <a:lstStyle/>
        <a:p>
          <a:r>
            <a:rPr lang="en-US" sz="1000"/>
            <a:t>Institucije zadužene za objedinjavanje podataka</a:t>
          </a:r>
          <a:r>
            <a:rPr lang="x-none" sz="1000"/>
            <a:t> i pisanje izvještaja</a:t>
          </a:r>
        </a:p>
        <a:p>
          <a:endParaRPr lang="x-none" sz="1100"/>
        </a:p>
        <a:p>
          <a:endParaRPr lang="en-US" sz="1100"/>
        </a:p>
      </dgm:t>
    </dgm:pt>
    <dgm:pt modelId="{C98AD0FE-B58B-4C72-B19C-CFA1531C0A61}" type="parTrans" cxnId="{B19F8059-D144-4EA6-A1A2-39F4326D00B0}">
      <dgm:prSet/>
      <dgm:spPr/>
      <dgm:t>
        <a:bodyPr/>
        <a:lstStyle/>
        <a:p>
          <a:endParaRPr lang="en-US"/>
        </a:p>
      </dgm:t>
    </dgm:pt>
    <dgm:pt modelId="{7F8D8BFD-36B8-47F8-98DA-A8AE7D363660}" type="sibTrans" cxnId="{B19F8059-D144-4EA6-A1A2-39F4326D00B0}">
      <dgm:prSet/>
      <dgm:spPr/>
      <dgm:t>
        <a:bodyPr/>
        <a:lstStyle/>
        <a:p>
          <a:endParaRPr lang="en-US"/>
        </a:p>
      </dgm:t>
    </dgm:pt>
    <dgm:pt modelId="{DFAE2942-7FA6-45EB-B31A-391512255881}">
      <dgm:prSet phldrT="[Text]" custT="1"/>
      <dgm:spPr/>
      <dgm:t>
        <a:bodyPr/>
        <a:lstStyle/>
        <a:p>
          <a:r>
            <a:rPr lang="x-none" sz="1100"/>
            <a:t>MJUDDM</a:t>
          </a:r>
          <a:endParaRPr lang="en-US" sz="1100"/>
        </a:p>
      </dgm:t>
    </dgm:pt>
    <dgm:pt modelId="{0238809C-F2CC-4913-860A-B187EFFEBCA5}" type="parTrans" cxnId="{A6BE104C-BB27-482F-9FF8-347A3F5C0C98}">
      <dgm:prSet/>
      <dgm:spPr/>
      <dgm:t>
        <a:bodyPr/>
        <a:lstStyle/>
        <a:p>
          <a:endParaRPr lang="en-US"/>
        </a:p>
      </dgm:t>
    </dgm:pt>
    <dgm:pt modelId="{E1264631-D0A9-48B2-A684-DD6C58DC89C8}" type="sibTrans" cxnId="{A6BE104C-BB27-482F-9FF8-347A3F5C0C98}">
      <dgm:prSet/>
      <dgm:spPr/>
      <dgm:t>
        <a:bodyPr/>
        <a:lstStyle/>
        <a:p>
          <a:endParaRPr lang="en-US"/>
        </a:p>
      </dgm:t>
    </dgm:pt>
    <dgm:pt modelId="{DCBA30F4-CE8C-495D-9AFD-53811070FB73}">
      <dgm:prSet phldrT="[Text]" custT="1"/>
      <dgm:spPr/>
      <dgm:t>
        <a:bodyPr/>
        <a:lstStyle/>
        <a:p>
          <a:r>
            <a:rPr lang="x-none" sz="1000"/>
            <a:t>Tijelo zaduženo za razmatranje izvještaja</a:t>
          </a:r>
        </a:p>
        <a:p>
          <a:endParaRPr lang="x-none" sz="1000"/>
        </a:p>
        <a:p>
          <a:endParaRPr lang="x-none" sz="1000"/>
        </a:p>
        <a:p>
          <a:endParaRPr lang="x-none" sz="1000"/>
        </a:p>
        <a:p>
          <a:endParaRPr lang="en-US" sz="1000"/>
        </a:p>
      </dgm:t>
    </dgm:pt>
    <dgm:pt modelId="{FF70E1C7-1582-414D-B913-656D472FD676}" type="parTrans" cxnId="{3351DC2E-EAA6-4510-B66C-5BE72DA5EFB8}">
      <dgm:prSet/>
      <dgm:spPr/>
      <dgm:t>
        <a:bodyPr/>
        <a:lstStyle/>
        <a:p>
          <a:endParaRPr lang="en-US"/>
        </a:p>
      </dgm:t>
    </dgm:pt>
    <dgm:pt modelId="{6DB90822-8215-4542-B53E-8F8DC7E0FDC3}" type="sibTrans" cxnId="{3351DC2E-EAA6-4510-B66C-5BE72DA5EFB8}">
      <dgm:prSet/>
      <dgm:spPr/>
      <dgm:t>
        <a:bodyPr/>
        <a:lstStyle/>
        <a:p>
          <a:endParaRPr lang="en-US"/>
        </a:p>
      </dgm:t>
    </dgm:pt>
    <dgm:pt modelId="{100652E1-CD5E-463A-862B-929FB6FB1FD6}">
      <dgm:prSet phldrT="[Text]" custT="1"/>
      <dgm:spPr/>
      <dgm:t>
        <a:bodyPr/>
        <a:lstStyle/>
        <a:p>
          <a:r>
            <a:rPr lang="x-none" sz="1000"/>
            <a:t>Savjet RJU</a:t>
          </a:r>
          <a:endParaRPr lang="en-US" sz="1000"/>
        </a:p>
      </dgm:t>
    </dgm:pt>
    <dgm:pt modelId="{9A500B6B-8FF6-4F2A-B469-079BC199CA49}" type="parTrans" cxnId="{433A3CE4-39F6-4D81-A099-76C61B1F7CE3}">
      <dgm:prSet/>
      <dgm:spPr/>
      <dgm:t>
        <a:bodyPr/>
        <a:lstStyle/>
        <a:p>
          <a:endParaRPr lang="en-US"/>
        </a:p>
      </dgm:t>
    </dgm:pt>
    <dgm:pt modelId="{B417089D-A50A-42D6-B2DF-D6E54B747DDE}" type="sibTrans" cxnId="{433A3CE4-39F6-4D81-A099-76C61B1F7CE3}">
      <dgm:prSet/>
      <dgm:spPr/>
      <dgm:t>
        <a:bodyPr/>
        <a:lstStyle/>
        <a:p>
          <a:endParaRPr lang="en-US"/>
        </a:p>
      </dgm:t>
    </dgm:pt>
    <dgm:pt modelId="{1C346AB8-2FED-458E-92CA-713DB74946BD}">
      <dgm:prSet phldrT="[Text]" custT="1"/>
      <dgm:spPr/>
      <dgm:t>
        <a:bodyPr/>
        <a:lstStyle/>
        <a:p>
          <a:r>
            <a:rPr lang="x-none" sz="1000"/>
            <a:t>Dinamika izvještavanja</a:t>
          </a:r>
        </a:p>
        <a:p>
          <a:endParaRPr lang="x-none" sz="1000"/>
        </a:p>
        <a:p>
          <a:endParaRPr lang="x-none" sz="1000"/>
        </a:p>
        <a:p>
          <a:endParaRPr lang="x-none" sz="1000"/>
        </a:p>
        <a:p>
          <a:endParaRPr lang="x-none" sz="1000"/>
        </a:p>
        <a:p>
          <a:r>
            <a:rPr lang="x-none" sz="1000"/>
            <a:t>Jednom u dvije godine, u skladu sa postavljenim vremenskim rokovima indikatora</a:t>
          </a:r>
          <a:endParaRPr lang="en-US" sz="1000"/>
        </a:p>
      </dgm:t>
    </dgm:pt>
    <dgm:pt modelId="{D8F33239-A4B6-47E4-B845-8F822FC9F13A}" type="parTrans" cxnId="{60F50927-8336-4AEA-A392-7B4D5FFDEAB3}">
      <dgm:prSet/>
      <dgm:spPr/>
      <dgm:t>
        <a:bodyPr/>
        <a:lstStyle/>
        <a:p>
          <a:endParaRPr lang="en-US"/>
        </a:p>
      </dgm:t>
    </dgm:pt>
    <dgm:pt modelId="{ACB32109-DF6E-41EA-9D8A-A83A9DD8F0EE}" type="sibTrans" cxnId="{60F50927-8336-4AEA-A392-7B4D5FFDEAB3}">
      <dgm:prSet/>
      <dgm:spPr/>
      <dgm:t>
        <a:bodyPr/>
        <a:lstStyle/>
        <a:p>
          <a:endParaRPr lang="en-US"/>
        </a:p>
      </dgm:t>
    </dgm:pt>
    <dgm:pt modelId="{8730FEA5-4F24-4B54-812D-73B95EBB3899}">
      <dgm:prSet custT="1"/>
      <dgm:spPr/>
      <dgm:t>
        <a:bodyPr/>
        <a:lstStyle/>
        <a:p>
          <a:r>
            <a:rPr lang="x-none" sz="1000"/>
            <a:t>MJUDDM</a:t>
          </a:r>
          <a:endParaRPr lang="en-US" sz="1000"/>
        </a:p>
      </dgm:t>
    </dgm:pt>
    <dgm:pt modelId="{C3E84447-BF4F-43C2-B626-F6E65293DFFE}" type="parTrans" cxnId="{CB9CB559-AA5B-42D3-B271-A43105F4D445}">
      <dgm:prSet/>
      <dgm:spPr/>
      <dgm:t>
        <a:bodyPr/>
        <a:lstStyle/>
        <a:p>
          <a:endParaRPr lang="en-US"/>
        </a:p>
      </dgm:t>
    </dgm:pt>
    <dgm:pt modelId="{5EE9E07A-719D-4FBE-AB55-E723FBEA33DE}" type="sibTrans" cxnId="{CB9CB559-AA5B-42D3-B271-A43105F4D445}">
      <dgm:prSet/>
      <dgm:spPr/>
      <dgm:t>
        <a:bodyPr/>
        <a:lstStyle/>
        <a:p>
          <a:endParaRPr lang="en-US"/>
        </a:p>
      </dgm:t>
    </dgm:pt>
    <dgm:pt modelId="{1F42983A-A533-4A2F-B68F-7FF1AC65A572}">
      <dgm:prSet phldrT="[Text]"/>
      <dgm:spPr/>
      <dgm:t>
        <a:bodyPr/>
        <a:lstStyle/>
        <a:p>
          <a:endParaRPr lang="en-US" sz="500"/>
        </a:p>
      </dgm:t>
    </dgm:pt>
    <dgm:pt modelId="{F6A19FAA-F03F-402D-94F4-40721C2ACF2C}" type="parTrans" cxnId="{125C4A33-496D-42C3-A22C-843FA827A196}">
      <dgm:prSet/>
      <dgm:spPr/>
      <dgm:t>
        <a:bodyPr/>
        <a:lstStyle/>
        <a:p>
          <a:endParaRPr lang="en-US"/>
        </a:p>
      </dgm:t>
    </dgm:pt>
    <dgm:pt modelId="{0EEDAA11-02D8-4406-916E-07B62871ACD7}" type="sibTrans" cxnId="{125C4A33-496D-42C3-A22C-843FA827A196}">
      <dgm:prSet/>
      <dgm:spPr/>
      <dgm:t>
        <a:bodyPr/>
        <a:lstStyle/>
        <a:p>
          <a:endParaRPr lang="en-US"/>
        </a:p>
      </dgm:t>
    </dgm:pt>
    <dgm:pt modelId="{71FD6886-12F5-4C4B-A707-29C170466EA1}">
      <dgm:prSet phldrT="[Text]" custT="1"/>
      <dgm:spPr/>
      <dgm:t>
        <a:bodyPr/>
        <a:lstStyle/>
        <a:p>
          <a:r>
            <a:rPr lang="x-none" sz="1000"/>
            <a:t>Izrada završnog izvještaja o sprovođenju strategije</a:t>
          </a:r>
        </a:p>
        <a:p>
          <a:endParaRPr lang="x-none" sz="1000"/>
        </a:p>
        <a:p>
          <a:endParaRPr lang="x-none" sz="1000"/>
        </a:p>
        <a:p>
          <a:endParaRPr lang="x-none" sz="1000"/>
        </a:p>
        <a:p>
          <a:endParaRPr lang="en-US" sz="1000"/>
        </a:p>
      </dgm:t>
    </dgm:pt>
    <dgm:pt modelId="{2FD762E1-2D97-46F0-A581-5A23F47FC8FA}" type="parTrans" cxnId="{9EA24E2C-9BAD-401F-A22B-73C3C36D43DD}">
      <dgm:prSet/>
      <dgm:spPr/>
      <dgm:t>
        <a:bodyPr/>
        <a:lstStyle/>
        <a:p>
          <a:endParaRPr lang="en-US"/>
        </a:p>
      </dgm:t>
    </dgm:pt>
    <dgm:pt modelId="{A1381B6D-5B82-4333-9C46-BA0191278970}" type="sibTrans" cxnId="{9EA24E2C-9BAD-401F-A22B-73C3C36D43DD}">
      <dgm:prSet/>
      <dgm:spPr/>
      <dgm:t>
        <a:bodyPr/>
        <a:lstStyle/>
        <a:p>
          <a:endParaRPr lang="en-US"/>
        </a:p>
      </dgm:t>
    </dgm:pt>
    <dgm:pt modelId="{5EDCA5DB-1624-4295-9844-CA12C6EFA832}">
      <dgm:prSet phldrT="[Text]"/>
      <dgm:spPr/>
      <dgm:t>
        <a:bodyPr/>
        <a:lstStyle/>
        <a:p>
          <a:endParaRPr lang="en-US" sz="500"/>
        </a:p>
      </dgm:t>
    </dgm:pt>
    <dgm:pt modelId="{B5D66F32-F6DB-4530-BEDD-9F7ADAC2F546}" type="parTrans" cxnId="{1024207C-4228-4820-B255-0360E1404367}">
      <dgm:prSet/>
      <dgm:spPr/>
      <dgm:t>
        <a:bodyPr/>
        <a:lstStyle/>
        <a:p>
          <a:endParaRPr lang="en-US"/>
        </a:p>
      </dgm:t>
    </dgm:pt>
    <dgm:pt modelId="{E559ADAC-62A2-4D72-A1F8-A72AFF28888D}" type="sibTrans" cxnId="{1024207C-4228-4820-B255-0360E1404367}">
      <dgm:prSet/>
      <dgm:spPr/>
      <dgm:t>
        <a:bodyPr/>
        <a:lstStyle/>
        <a:p>
          <a:endParaRPr lang="en-US"/>
        </a:p>
      </dgm:t>
    </dgm:pt>
    <dgm:pt modelId="{C7753EA5-B611-451A-A80F-768A1383964B}">
      <dgm:prSet phldrT="[Text]"/>
      <dgm:spPr/>
      <dgm:t>
        <a:bodyPr/>
        <a:lstStyle/>
        <a:p>
          <a:endParaRPr lang="en-US" sz="500"/>
        </a:p>
      </dgm:t>
    </dgm:pt>
    <dgm:pt modelId="{DDE29689-8D2B-42EC-AE58-B27804594C03}" type="parTrans" cxnId="{1C326FBB-BCFF-4F42-8C5B-52ABD02E570D}">
      <dgm:prSet/>
      <dgm:spPr/>
      <dgm:t>
        <a:bodyPr/>
        <a:lstStyle/>
        <a:p>
          <a:endParaRPr lang="en-US"/>
        </a:p>
      </dgm:t>
    </dgm:pt>
    <dgm:pt modelId="{97A0970D-294F-40F2-B1D7-C94EB6A18925}" type="sibTrans" cxnId="{1C326FBB-BCFF-4F42-8C5B-52ABD02E570D}">
      <dgm:prSet/>
      <dgm:spPr/>
      <dgm:t>
        <a:bodyPr/>
        <a:lstStyle/>
        <a:p>
          <a:endParaRPr lang="en-US"/>
        </a:p>
      </dgm:t>
    </dgm:pt>
    <dgm:pt modelId="{055982F1-10F3-4E3D-AE63-B3FD79959303}">
      <dgm:prSet/>
      <dgm:spPr/>
      <dgm:t>
        <a:bodyPr/>
        <a:lstStyle/>
        <a:p>
          <a:endParaRPr lang="en-US" sz="500"/>
        </a:p>
      </dgm:t>
    </dgm:pt>
    <dgm:pt modelId="{18F3213D-52C9-4FB6-8BAF-82F887B55032}" type="parTrans" cxnId="{2AD9B568-59B3-417B-913C-20314A1BD913}">
      <dgm:prSet/>
      <dgm:spPr/>
      <dgm:t>
        <a:bodyPr/>
        <a:lstStyle/>
        <a:p>
          <a:endParaRPr lang="en-US"/>
        </a:p>
      </dgm:t>
    </dgm:pt>
    <dgm:pt modelId="{B17EE204-0BF6-4A0B-B6B9-C9E55DACC595}" type="sibTrans" cxnId="{2AD9B568-59B3-417B-913C-20314A1BD913}">
      <dgm:prSet/>
      <dgm:spPr/>
      <dgm:t>
        <a:bodyPr/>
        <a:lstStyle/>
        <a:p>
          <a:endParaRPr lang="en-US"/>
        </a:p>
      </dgm:t>
    </dgm:pt>
    <dgm:pt modelId="{73691412-2C69-462E-852B-756C39F75684}">
      <dgm:prSet custT="1"/>
      <dgm:spPr/>
      <dgm:t>
        <a:bodyPr/>
        <a:lstStyle/>
        <a:p>
          <a:r>
            <a:rPr lang="x-none" sz="1000"/>
            <a:t>Dostupnost izvještaja</a:t>
          </a:r>
        </a:p>
        <a:p>
          <a:endParaRPr lang="x-none" sz="1000"/>
        </a:p>
        <a:p>
          <a:endParaRPr lang="x-none" sz="1000"/>
        </a:p>
        <a:p>
          <a:endParaRPr lang="x-none" sz="1000"/>
        </a:p>
        <a:p>
          <a:endParaRPr lang="x-none" sz="1000"/>
        </a:p>
        <a:p>
          <a:r>
            <a:rPr lang="x-none" sz="1000"/>
            <a:t>Na web-stranici MJUDDM</a:t>
          </a:r>
        </a:p>
        <a:p>
          <a:r>
            <a:rPr lang="en-US" sz="1000"/>
            <a:t>https://www.gov.me/mju</a:t>
          </a:r>
          <a:endParaRPr lang="x-none" sz="1000"/>
        </a:p>
      </dgm:t>
    </dgm:pt>
    <dgm:pt modelId="{39B20F0C-6BEE-480E-83F4-00F87FC3EB5C}" type="parTrans" cxnId="{4CB2D9DB-EDD0-409B-AC96-FD99FA3ED16E}">
      <dgm:prSet/>
      <dgm:spPr/>
      <dgm:t>
        <a:bodyPr/>
        <a:lstStyle/>
        <a:p>
          <a:endParaRPr lang="en-US"/>
        </a:p>
      </dgm:t>
    </dgm:pt>
    <dgm:pt modelId="{88256077-418A-4569-877F-957481A2298F}" type="sibTrans" cxnId="{4CB2D9DB-EDD0-409B-AC96-FD99FA3ED16E}">
      <dgm:prSet/>
      <dgm:spPr/>
      <dgm:t>
        <a:bodyPr/>
        <a:lstStyle/>
        <a:p>
          <a:endParaRPr lang="en-US"/>
        </a:p>
      </dgm:t>
    </dgm:pt>
    <dgm:pt modelId="{13491BDE-DEE8-4E5B-B824-C87A0F7C6BB3}">
      <dgm:prSet phldrT="[Text]" custT="1"/>
      <dgm:spPr/>
      <dgm:t>
        <a:bodyPr/>
        <a:lstStyle/>
        <a:p>
          <a:r>
            <a:rPr lang="x-none" sz="900"/>
            <a:t>MFSS</a:t>
          </a:r>
          <a:endParaRPr lang="en-US" sz="900"/>
        </a:p>
      </dgm:t>
    </dgm:pt>
    <dgm:pt modelId="{C0CD1CA2-F2E7-4629-BF2D-DB66F27FCAEC}" type="parTrans" cxnId="{F74DEBAA-70E3-4263-8FAE-15B28FD9415F}">
      <dgm:prSet/>
      <dgm:spPr/>
      <dgm:t>
        <a:bodyPr/>
        <a:lstStyle/>
        <a:p>
          <a:endParaRPr lang="en-US"/>
        </a:p>
      </dgm:t>
    </dgm:pt>
    <dgm:pt modelId="{3CF718E1-D949-4511-884D-0D40646C18D1}" type="sibTrans" cxnId="{F74DEBAA-70E3-4263-8FAE-15B28FD9415F}">
      <dgm:prSet/>
      <dgm:spPr/>
      <dgm:t>
        <a:bodyPr/>
        <a:lstStyle/>
        <a:p>
          <a:endParaRPr lang="en-US"/>
        </a:p>
      </dgm:t>
    </dgm:pt>
    <dgm:pt modelId="{46F8DD82-23F7-498E-91B5-0605608B7373}">
      <dgm:prSet phldrT="[Text]" custT="1"/>
      <dgm:spPr/>
      <dgm:t>
        <a:bodyPr/>
        <a:lstStyle/>
        <a:p>
          <a:r>
            <a:rPr lang="x-none" sz="900"/>
            <a:t>Agencija za slobodan pristup informacijama</a:t>
          </a:r>
          <a:endParaRPr lang="en-US" sz="900"/>
        </a:p>
      </dgm:t>
    </dgm:pt>
    <dgm:pt modelId="{C9C8B0DC-14A8-43E8-9A46-28A1A4D83756}" type="parTrans" cxnId="{50754B9F-C2FC-441B-94F5-943FCAA41862}">
      <dgm:prSet/>
      <dgm:spPr/>
      <dgm:t>
        <a:bodyPr/>
        <a:lstStyle/>
        <a:p>
          <a:endParaRPr lang="en-US"/>
        </a:p>
      </dgm:t>
    </dgm:pt>
    <dgm:pt modelId="{4C987179-4816-46C4-AFF2-7877E35CC317}" type="sibTrans" cxnId="{50754B9F-C2FC-441B-94F5-943FCAA41862}">
      <dgm:prSet/>
      <dgm:spPr/>
      <dgm:t>
        <a:bodyPr/>
        <a:lstStyle/>
        <a:p>
          <a:endParaRPr lang="en-US"/>
        </a:p>
      </dgm:t>
    </dgm:pt>
    <dgm:pt modelId="{92F817BC-1F21-4C5F-90E2-85857EF82940}">
      <dgm:prSet phldrT="[Text]" custT="1"/>
      <dgm:spPr/>
      <dgm:t>
        <a:bodyPr/>
        <a:lstStyle/>
        <a:p>
          <a:r>
            <a:rPr lang="x-none" sz="900"/>
            <a:t>Zaštitnik imovinsko-pravnih odnosa</a:t>
          </a:r>
          <a:endParaRPr lang="en-US" sz="900"/>
        </a:p>
      </dgm:t>
    </dgm:pt>
    <dgm:pt modelId="{F0705265-A4BC-4D7A-8C59-CC6877589569}" type="parTrans" cxnId="{6F70B544-3654-4357-9232-02F5F70292CF}">
      <dgm:prSet/>
      <dgm:spPr/>
      <dgm:t>
        <a:bodyPr/>
        <a:lstStyle/>
        <a:p>
          <a:endParaRPr lang="en-US"/>
        </a:p>
      </dgm:t>
    </dgm:pt>
    <dgm:pt modelId="{B698C8B4-9B22-4D9F-BF6F-FA67CA2C496F}" type="sibTrans" cxnId="{6F70B544-3654-4357-9232-02F5F70292CF}">
      <dgm:prSet/>
      <dgm:spPr/>
      <dgm:t>
        <a:bodyPr/>
        <a:lstStyle/>
        <a:p>
          <a:endParaRPr lang="en-US"/>
        </a:p>
      </dgm:t>
    </dgm:pt>
    <dgm:pt modelId="{4A87B697-4D04-4335-9D4B-0A185B2438E6}">
      <dgm:prSet phldrT="[Text]" custT="1"/>
      <dgm:spPr/>
      <dgm:t>
        <a:bodyPr/>
        <a:lstStyle/>
        <a:p>
          <a:r>
            <a:rPr lang="x-none" sz="900"/>
            <a:t>Upravna inspekcija</a:t>
          </a:r>
          <a:endParaRPr lang="en-US" sz="900"/>
        </a:p>
      </dgm:t>
    </dgm:pt>
    <dgm:pt modelId="{60CE0CC8-80A4-4747-ABFE-071BEF308701}" type="parTrans" cxnId="{DC568AD9-CC90-4F91-8677-B8A1196A993E}">
      <dgm:prSet/>
      <dgm:spPr/>
      <dgm:t>
        <a:bodyPr/>
        <a:lstStyle/>
        <a:p>
          <a:endParaRPr lang="en-US"/>
        </a:p>
      </dgm:t>
    </dgm:pt>
    <dgm:pt modelId="{CA4EAAEE-8878-4950-9622-32222881FD31}" type="sibTrans" cxnId="{DC568AD9-CC90-4F91-8677-B8A1196A993E}">
      <dgm:prSet/>
      <dgm:spPr/>
      <dgm:t>
        <a:bodyPr/>
        <a:lstStyle/>
        <a:p>
          <a:endParaRPr lang="en-US"/>
        </a:p>
      </dgm:t>
    </dgm:pt>
    <dgm:pt modelId="{87B283F7-7C8E-4B22-969D-B1332FCA2099}">
      <dgm:prSet phldrT="[Text]" custT="1"/>
      <dgm:spPr/>
      <dgm:t>
        <a:bodyPr/>
        <a:lstStyle/>
        <a:p>
          <a:r>
            <a:rPr lang="x-none" sz="900"/>
            <a:t>MER</a:t>
          </a:r>
          <a:endParaRPr lang="en-US" sz="900"/>
        </a:p>
      </dgm:t>
    </dgm:pt>
    <dgm:pt modelId="{630E72D1-7EC1-4743-AE81-2EBDDC1BFF3C}" type="parTrans" cxnId="{33536CAD-0EF4-40E5-98C6-314F4F75A8C7}">
      <dgm:prSet/>
      <dgm:spPr/>
      <dgm:t>
        <a:bodyPr/>
        <a:lstStyle/>
        <a:p>
          <a:endParaRPr lang="en-US"/>
        </a:p>
      </dgm:t>
    </dgm:pt>
    <dgm:pt modelId="{B7177875-C1EA-4F43-B3C5-B01DDB0CF657}" type="sibTrans" cxnId="{33536CAD-0EF4-40E5-98C6-314F4F75A8C7}">
      <dgm:prSet/>
      <dgm:spPr/>
      <dgm:t>
        <a:bodyPr/>
        <a:lstStyle/>
        <a:p>
          <a:endParaRPr lang="en-US"/>
        </a:p>
      </dgm:t>
    </dgm:pt>
    <dgm:pt modelId="{2EBE9491-6980-4A00-826D-E851567C5FF6}">
      <dgm:prSet phldrT="[Text]" custT="1"/>
      <dgm:spPr/>
      <dgm:t>
        <a:bodyPr/>
        <a:lstStyle/>
        <a:p>
          <a:r>
            <a:rPr lang="x-none" sz="900"/>
            <a:t>Ombudsman</a:t>
          </a:r>
          <a:endParaRPr lang="en-US" sz="900"/>
        </a:p>
      </dgm:t>
    </dgm:pt>
    <dgm:pt modelId="{CB3DC94D-F256-471F-84DB-3B6775BA3578}" type="parTrans" cxnId="{5ABFEFB3-BFBC-4418-B902-E28817B7C456}">
      <dgm:prSet/>
      <dgm:spPr/>
      <dgm:t>
        <a:bodyPr/>
        <a:lstStyle/>
        <a:p>
          <a:endParaRPr lang="en-US"/>
        </a:p>
      </dgm:t>
    </dgm:pt>
    <dgm:pt modelId="{7515A8EA-4F52-4506-94E8-28A7C1F5F8F3}" type="sibTrans" cxnId="{5ABFEFB3-BFBC-4418-B902-E28817B7C456}">
      <dgm:prSet/>
      <dgm:spPr/>
      <dgm:t>
        <a:bodyPr/>
        <a:lstStyle/>
        <a:p>
          <a:endParaRPr lang="en-US"/>
        </a:p>
      </dgm:t>
    </dgm:pt>
    <dgm:pt modelId="{09AD5CB6-0108-483F-B632-F78379FB4972}">
      <dgm:prSet phldrT="[Text]"/>
      <dgm:spPr/>
      <dgm:t>
        <a:bodyPr/>
        <a:lstStyle/>
        <a:p>
          <a:endParaRPr lang="en-US" sz="500"/>
        </a:p>
      </dgm:t>
    </dgm:pt>
    <dgm:pt modelId="{A2A176BE-4A70-4E31-A2E7-5E8D2D4A7D25}" type="parTrans" cxnId="{4EA8F006-5E22-4F8E-BC11-A2757F80516A}">
      <dgm:prSet/>
      <dgm:spPr/>
      <dgm:t>
        <a:bodyPr/>
        <a:lstStyle/>
        <a:p>
          <a:endParaRPr lang="en-US"/>
        </a:p>
      </dgm:t>
    </dgm:pt>
    <dgm:pt modelId="{A484F1E9-D1A1-4369-BAB8-983D21E6AA2C}" type="sibTrans" cxnId="{4EA8F006-5E22-4F8E-BC11-A2757F80516A}">
      <dgm:prSet/>
      <dgm:spPr/>
      <dgm:t>
        <a:bodyPr/>
        <a:lstStyle/>
        <a:p>
          <a:endParaRPr lang="en-US"/>
        </a:p>
      </dgm:t>
    </dgm:pt>
    <dgm:pt modelId="{73288CCD-CE9D-4938-9825-85C1AC30E45D}">
      <dgm:prSet phldrT="[Text]"/>
      <dgm:spPr/>
      <dgm:t>
        <a:bodyPr/>
        <a:lstStyle/>
        <a:p>
          <a:endParaRPr lang="en-US" sz="500"/>
        </a:p>
      </dgm:t>
    </dgm:pt>
    <dgm:pt modelId="{F288095E-A921-428E-BF5C-BD1F621191D0}" type="parTrans" cxnId="{41D3D8FD-3D29-4E76-B67E-DDB5271934C9}">
      <dgm:prSet/>
      <dgm:spPr/>
      <dgm:t>
        <a:bodyPr/>
        <a:lstStyle/>
        <a:p>
          <a:endParaRPr lang="en-US"/>
        </a:p>
      </dgm:t>
    </dgm:pt>
    <dgm:pt modelId="{07816E79-A55E-4A83-BA75-882D33E08419}" type="sibTrans" cxnId="{41D3D8FD-3D29-4E76-B67E-DDB5271934C9}">
      <dgm:prSet/>
      <dgm:spPr/>
      <dgm:t>
        <a:bodyPr/>
        <a:lstStyle/>
        <a:p>
          <a:endParaRPr lang="en-US"/>
        </a:p>
      </dgm:t>
    </dgm:pt>
    <dgm:pt modelId="{A8DEB0D7-C178-4215-AC66-0785FC518314}">
      <dgm:prSet phldrT="[Text]" custT="1"/>
      <dgm:spPr/>
      <dgm:t>
        <a:bodyPr/>
        <a:lstStyle/>
        <a:p>
          <a:r>
            <a:rPr lang="x-none" sz="1000"/>
            <a:t>Vlada CG</a:t>
          </a:r>
          <a:endParaRPr lang="en-US" sz="1000"/>
        </a:p>
      </dgm:t>
    </dgm:pt>
    <dgm:pt modelId="{A4F535A9-CC6B-4A98-B22F-CE3DEE64A9CB}" type="parTrans" cxnId="{E496E6E6-3C0F-437B-89DF-C136441E19E2}">
      <dgm:prSet/>
      <dgm:spPr/>
      <dgm:t>
        <a:bodyPr/>
        <a:lstStyle/>
        <a:p>
          <a:endParaRPr lang="en-US"/>
        </a:p>
      </dgm:t>
    </dgm:pt>
    <dgm:pt modelId="{C3C92832-3B32-456D-959C-C4E66404CD11}" type="sibTrans" cxnId="{E496E6E6-3C0F-437B-89DF-C136441E19E2}">
      <dgm:prSet/>
      <dgm:spPr/>
      <dgm:t>
        <a:bodyPr/>
        <a:lstStyle/>
        <a:p>
          <a:endParaRPr lang="en-US"/>
        </a:p>
      </dgm:t>
    </dgm:pt>
    <dgm:pt modelId="{DDA1E5A8-E668-44EC-9873-6C41F6C2CEEC}">
      <dgm:prSet phldrT="[Text]" custT="1"/>
      <dgm:spPr/>
      <dgm:t>
        <a:bodyPr/>
        <a:lstStyle/>
        <a:p>
          <a:r>
            <a:rPr lang="x-none" sz="1000"/>
            <a:t>GSV</a:t>
          </a:r>
          <a:endParaRPr lang="en-US" sz="1000"/>
        </a:p>
      </dgm:t>
    </dgm:pt>
    <dgm:pt modelId="{4F9F4C71-2632-4C28-A291-BB23E2757DD5}" type="parTrans" cxnId="{5737D3F0-EC38-4B96-98AE-B3C919320B7A}">
      <dgm:prSet/>
      <dgm:spPr/>
      <dgm:t>
        <a:bodyPr/>
        <a:lstStyle/>
        <a:p>
          <a:endParaRPr lang="en-US"/>
        </a:p>
      </dgm:t>
    </dgm:pt>
    <dgm:pt modelId="{727476BB-9E8B-45A1-9E6A-8C9EF92D69F9}" type="sibTrans" cxnId="{5737D3F0-EC38-4B96-98AE-B3C919320B7A}">
      <dgm:prSet/>
      <dgm:spPr/>
      <dgm:t>
        <a:bodyPr/>
        <a:lstStyle/>
        <a:p>
          <a:endParaRPr lang="en-US"/>
        </a:p>
      </dgm:t>
    </dgm:pt>
    <dgm:pt modelId="{8F01B863-8ECB-40B1-A50F-5089F7F7DD4F}">
      <dgm:prSet/>
      <dgm:spPr/>
      <dgm:t>
        <a:bodyPr/>
        <a:lstStyle/>
        <a:p>
          <a:endParaRPr lang="en-US" sz="500"/>
        </a:p>
      </dgm:t>
    </dgm:pt>
    <dgm:pt modelId="{110AC259-34B9-4199-AF6F-D68033A498DB}" type="parTrans" cxnId="{99B67418-B408-4C52-855F-B85085178814}">
      <dgm:prSet/>
      <dgm:spPr/>
      <dgm:t>
        <a:bodyPr/>
        <a:lstStyle/>
        <a:p>
          <a:endParaRPr lang="en-US"/>
        </a:p>
      </dgm:t>
    </dgm:pt>
    <dgm:pt modelId="{2390DBEA-0683-4198-BE3E-A09AD4ADB2A1}" type="sibTrans" cxnId="{99B67418-B408-4C52-855F-B85085178814}">
      <dgm:prSet/>
      <dgm:spPr/>
      <dgm:t>
        <a:bodyPr/>
        <a:lstStyle/>
        <a:p>
          <a:endParaRPr lang="en-US"/>
        </a:p>
      </dgm:t>
    </dgm:pt>
    <dgm:pt modelId="{4DBBA70A-80B8-490A-8942-6F20A70E87B0}">
      <dgm:prSet custT="1"/>
      <dgm:spPr/>
      <dgm:t>
        <a:bodyPr/>
        <a:lstStyle/>
        <a:p>
          <a:endParaRPr lang="en-US" sz="1000"/>
        </a:p>
      </dgm:t>
    </dgm:pt>
    <dgm:pt modelId="{1E163201-128C-4DA5-A469-26E1E0B1839E}" type="sibTrans" cxnId="{F4B8BABD-9A4F-4A1D-BD0F-25E3F3154F9F}">
      <dgm:prSet/>
      <dgm:spPr/>
      <dgm:t>
        <a:bodyPr/>
        <a:lstStyle/>
        <a:p>
          <a:endParaRPr lang="en-US"/>
        </a:p>
      </dgm:t>
    </dgm:pt>
    <dgm:pt modelId="{76CFB691-D61D-47CB-81FA-FB2894E2283D}" type="parTrans" cxnId="{F4B8BABD-9A4F-4A1D-BD0F-25E3F3154F9F}">
      <dgm:prSet/>
      <dgm:spPr/>
      <dgm:t>
        <a:bodyPr/>
        <a:lstStyle/>
        <a:p>
          <a:endParaRPr lang="en-US"/>
        </a:p>
      </dgm:t>
    </dgm:pt>
    <dgm:pt modelId="{34C25903-4E6B-429F-81C0-8942F318A1E5}" type="pres">
      <dgm:prSet presAssocID="{98AD4817-29AC-4348-929D-800FAF6B66AD}" presName="Name0" presStyleCnt="0">
        <dgm:presLayoutVars>
          <dgm:dir/>
          <dgm:resizeHandles val="exact"/>
        </dgm:presLayoutVars>
      </dgm:prSet>
      <dgm:spPr/>
      <dgm:t>
        <a:bodyPr/>
        <a:lstStyle/>
        <a:p>
          <a:endParaRPr lang="en-US"/>
        </a:p>
      </dgm:t>
    </dgm:pt>
    <dgm:pt modelId="{D318ADA2-81CF-4600-8496-33F0D6B30508}" type="pres">
      <dgm:prSet presAssocID="{D8445BC1-5BB6-4E8B-923B-6F8E4D819E27}" presName="node" presStyleLbl="node1" presStyleIdx="0" presStyleCnt="6">
        <dgm:presLayoutVars>
          <dgm:bulletEnabled val="1"/>
        </dgm:presLayoutVars>
      </dgm:prSet>
      <dgm:spPr/>
      <dgm:t>
        <a:bodyPr/>
        <a:lstStyle/>
        <a:p>
          <a:endParaRPr lang="en-US"/>
        </a:p>
      </dgm:t>
    </dgm:pt>
    <dgm:pt modelId="{92F7E52D-5224-4CD7-A91A-4201F317D9C2}" type="pres">
      <dgm:prSet presAssocID="{FC14E7BB-97C2-4C26-B7C0-690268C9D524}" presName="sibTrans" presStyleCnt="0"/>
      <dgm:spPr/>
    </dgm:pt>
    <dgm:pt modelId="{72EF4295-9955-4B84-84D7-CFEBBFECDA78}" type="pres">
      <dgm:prSet presAssocID="{FCC78F11-6392-4F97-B640-A0B37E2C54F8}" presName="node" presStyleLbl="node1" presStyleIdx="1" presStyleCnt="6">
        <dgm:presLayoutVars>
          <dgm:bulletEnabled val="1"/>
        </dgm:presLayoutVars>
      </dgm:prSet>
      <dgm:spPr/>
      <dgm:t>
        <a:bodyPr/>
        <a:lstStyle/>
        <a:p>
          <a:endParaRPr lang="en-US"/>
        </a:p>
      </dgm:t>
    </dgm:pt>
    <dgm:pt modelId="{898579D0-BD40-4361-BC55-D2FC47CFA63C}" type="pres">
      <dgm:prSet presAssocID="{7F8D8BFD-36B8-47F8-98DA-A8AE7D363660}" presName="sibTrans" presStyleCnt="0"/>
      <dgm:spPr/>
    </dgm:pt>
    <dgm:pt modelId="{7FB708D1-EECF-4B9B-BBA6-2F82314C235A}" type="pres">
      <dgm:prSet presAssocID="{DCBA30F4-CE8C-495D-9AFD-53811070FB73}" presName="node" presStyleLbl="node1" presStyleIdx="2" presStyleCnt="6">
        <dgm:presLayoutVars>
          <dgm:bulletEnabled val="1"/>
        </dgm:presLayoutVars>
      </dgm:prSet>
      <dgm:spPr/>
      <dgm:t>
        <a:bodyPr/>
        <a:lstStyle/>
        <a:p>
          <a:endParaRPr lang="en-US"/>
        </a:p>
      </dgm:t>
    </dgm:pt>
    <dgm:pt modelId="{D1B3E274-99D7-4FC7-A727-FCC5827134EB}" type="pres">
      <dgm:prSet presAssocID="{6DB90822-8215-4542-B53E-8F8DC7E0FDC3}" presName="sibTrans" presStyleCnt="0"/>
      <dgm:spPr/>
    </dgm:pt>
    <dgm:pt modelId="{23B8DF21-9C9C-4549-85EE-E0D258A6F231}" type="pres">
      <dgm:prSet presAssocID="{1C346AB8-2FED-458E-92CA-713DB74946BD}" presName="node" presStyleLbl="node1" presStyleIdx="3" presStyleCnt="6">
        <dgm:presLayoutVars>
          <dgm:bulletEnabled val="1"/>
        </dgm:presLayoutVars>
      </dgm:prSet>
      <dgm:spPr/>
      <dgm:t>
        <a:bodyPr/>
        <a:lstStyle/>
        <a:p>
          <a:endParaRPr lang="en-US"/>
        </a:p>
      </dgm:t>
    </dgm:pt>
    <dgm:pt modelId="{EA9AC70E-F8CA-46CB-AF0E-11374F7CFE80}" type="pres">
      <dgm:prSet presAssocID="{ACB32109-DF6E-41EA-9D8A-A83A9DD8F0EE}" presName="sibTrans" presStyleCnt="0"/>
      <dgm:spPr/>
    </dgm:pt>
    <dgm:pt modelId="{53618CBF-0FAD-4FB8-9D4E-68364A07C895}" type="pres">
      <dgm:prSet presAssocID="{71FD6886-12F5-4C4B-A707-29C170466EA1}" presName="node" presStyleLbl="node1" presStyleIdx="4" presStyleCnt="6">
        <dgm:presLayoutVars>
          <dgm:bulletEnabled val="1"/>
        </dgm:presLayoutVars>
      </dgm:prSet>
      <dgm:spPr/>
      <dgm:t>
        <a:bodyPr/>
        <a:lstStyle/>
        <a:p>
          <a:endParaRPr lang="en-US"/>
        </a:p>
      </dgm:t>
    </dgm:pt>
    <dgm:pt modelId="{87D73BFC-7D91-4BEF-9EC8-2201878005EF}" type="pres">
      <dgm:prSet presAssocID="{A1381B6D-5B82-4333-9C46-BA0191278970}" presName="sibTrans" presStyleCnt="0"/>
      <dgm:spPr/>
    </dgm:pt>
    <dgm:pt modelId="{FC880364-AA15-4185-879E-7C52614F0155}" type="pres">
      <dgm:prSet presAssocID="{73691412-2C69-462E-852B-756C39F75684}" presName="node" presStyleLbl="node1" presStyleIdx="5" presStyleCnt="6">
        <dgm:presLayoutVars>
          <dgm:bulletEnabled val="1"/>
        </dgm:presLayoutVars>
      </dgm:prSet>
      <dgm:spPr/>
      <dgm:t>
        <a:bodyPr/>
        <a:lstStyle/>
        <a:p>
          <a:endParaRPr lang="en-US"/>
        </a:p>
      </dgm:t>
    </dgm:pt>
  </dgm:ptLst>
  <dgm:cxnLst>
    <dgm:cxn modelId="{56C743B6-7ECF-4EC0-93D0-7FFA77D5109A}" type="presOf" srcId="{2EBE9491-6980-4A00-826D-E851567C5FF6}" destId="{D318ADA2-81CF-4600-8496-33F0D6B30508}" srcOrd="0" destOrd="8" presId="urn:microsoft.com/office/officeart/2005/8/layout/hList6"/>
    <dgm:cxn modelId="{DFE46850-A530-40A4-B3BB-E5F4B1F1EF5D}" type="presOf" srcId="{09AD5CB6-0108-483F-B632-F78379FB4972}" destId="{D318ADA2-81CF-4600-8496-33F0D6B30508}" srcOrd="0" destOrd="10" presId="urn:microsoft.com/office/officeart/2005/8/layout/hList6"/>
    <dgm:cxn modelId="{E496E6E6-3C0F-437B-89DF-C136441E19E2}" srcId="{DCBA30F4-CE8C-495D-9AFD-53811070FB73}" destId="{A8DEB0D7-C178-4215-AC66-0785FC518314}" srcOrd="1" destOrd="0" parTransId="{A4F535A9-CC6B-4A98-B22F-CE3DEE64A9CB}" sibTransId="{C3C92832-3B32-456D-959C-C4E66404CD11}"/>
    <dgm:cxn modelId="{A4B0CA58-0C40-4C76-9D59-EDA420882245}" type="presOf" srcId="{4A87B697-4D04-4335-9D4B-0A185B2438E6}" destId="{D318ADA2-81CF-4600-8496-33F0D6B30508}" srcOrd="0" destOrd="4" presId="urn:microsoft.com/office/officeart/2005/8/layout/hList6"/>
    <dgm:cxn modelId="{DAD1EE32-4063-48AE-9DF4-934F7A8925AB}" type="presOf" srcId="{4DBBA70A-80B8-490A-8942-6F20A70E87B0}" destId="{FC880364-AA15-4185-879E-7C52614F0155}" srcOrd="0" destOrd="1" presId="urn:microsoft.com/office/officeart/2005/8/layout/hList6"/>
    <dgm:cxn modelId="{99B67418-B408-4C52-855F-B85085178814}" srcId="{71FD6886-12F5-4C4B-A707-29C170466EA1}" destId="{8F01B863-8ECB-40B1-A50F-5089F7F7DD4F}" srcOrd="1" destOrd="0" parTransId="{110AC259-34B9-4199-AF6F-D68033A498DB}" sibTransId="{2390DBEA-0683-4198-BE3E-A09AD4ADB2A1}"/>
    <dgm:cxn modelId="{3351DC2E-EAA6-4510-B66C-5BE72DA5EFB8}" srcId="{98AD4817-29AC-4348-929D-800FAF6B66AD}" destId="{DCBA30F4-CE8C-495D-9AFD-53811070FB73}" srcOrd="2" destOrd="0" parTransId="{FF70E1C7-1582-414D-B913-656D472FD676}" sibTransId="{6DB90822-8215-4542-B53E-8F8DC7E0FDC3}"/>
    <dgm:cxn modelId="{B19F8059-D144-4EA6-A1A2-39F4326D00B0}" srcId="{98AD4817-29AC-4348-929D-800FAF6B66AD}" destId="{FCC78F11-6392-4F97-B640-A0B37E2C54F8}" srcOrd="1" destOrd="0" parTransId="{C98AD0FE-B58B-4C72-B19C-CFA1531C0A61}" sibTransId="{7F8D8BFD-36B8-47F8-98DA-A8AE7D363660}"/>
    <dgm:cxn modelId="{1C326FBB-BCFF-4F42-8C5B-52ABD02E570D}" srcId="{1C346AB8-2FED-458E-92CA-713DB74946BD}" destId="{C7753EA5-B611-451A-A80F-768A1383964B}" srcOrd="0" destOrd="0" parTransId="{DDE29689-8D2B-42EC-AE58-B27804594C03}" sibTransId="{97A0970D-294F-40F2-B1D7-C94EB6A18925}"/>
    <dgm:cxn modelId="{CB9CB559-AA5B-42D3-B271-A43105F4D445}" srcId="{71FD6886-12F5-4C4B-A707-29C170466EA1}" destId="{8730FEA5-4F24-4B54-812D-73B95EBB3899}" srcOrd="0" destOrd="0" parTransId="{C3E84447-BF4F-43C2-B626-F6E65293DFFE}" sibTransId="{5EE9E07A-719D-4FBE-AB55-E723FBEA33DE}"/>
    <dgm:cxn modelId="{E9B58BC5-D661-4E1A-B97B-D51D7A2FC7C3}" type="presOf" srcId="{C7753EA5-B611-451A-A80F-768A1383964B}" destId="{23B8DF21-9C9C-4549-85EE-E0D258A6F231}" srcOrd="0" destOrd="1" presId="urn:microsoft.com/office/officeart/2005/8/layout/hList6"/>
    <dgm:cxn modelId="{33E0D264-A022-4C00-970B-BE740B5FB6B9}" type="presOf" srcId="{A941DA1B-2CC2-4A68-8911-B8D33E835410}" destId="{D318ADA2-81CF-4600-8496-33F0D6B30508}" srcOrd="0" destOrd="6" presId="urn:microsoft.com/office/officeart/2005/8/layout/hList6"/>
    <dgm:cxn modelId="{3C998BB0-1F98-4482-A2BC-50D379321E54}" srcId="{D8445BC1-5BB6-4E8B-923B-6F8E4D819E27}" destId="{A941DA1B-2CC2-4A68-8911-B8D33E835410}" srcOrd="5" destOrd="0" parTransId="{4190020B-4E88-4D60-8924-2FCFCA931131}" sibTransId="{86D73808-CF14-4596-BF16-D84D1392F7AC}"/>
    <dgm:cxn modelId="{2863DA11-D32C-4BC5-8E90-F75DAAA3F330}" type="presOf" srcId="{DDA1E5A8-E668-44EC-9873-6C41F6C2CEEC}" destId="{7FB708D1-EECF-4B9B-BBA6-2F82314C235A}" srcOrd="0" destOrd="3" presId="urn:microsoft.com/office/officeart/2005/8/layout/hList6"/>
    <dgm:cxn modelId="{C7B3F01C-78B5-4758-845E-6E24ED0A98F6}" type="presOf" srcId="{13491BDE-DEE8-4E5B-B824-C87A0F7C6BB3}" destId="{D318ADA2-81CF-4600-8496-33F0D6B30508}" srcOrd="0" destOrd="2" presId="urn:microsoft.com/office/officeart/2005/8/layout/hList6"/>
    <dgm:cxn modelId="{626CCDDC-EEB3-455E-8CBE-29FD34EFE591}" type="presOf" srcId="{73288CCD-CE9D-4938-9825-85C1AC30E45D}" destId="{D318ADA2-81CF-4600-8496-33F0D6B30508}" srcOrd="0" destOrd="9" presId="urn:microsoft.com/office/officeart/2005/8/layout/hList6"/>
    <dgm:cxn modelId="{33536CAD-0EF4-40E5-98C6-314F4F75A8C7}" srcId="{D8445BC1-5BB6-4E8B-923B-6F8E4D819E27}" destId="{87B283F7-7C8E-4B22-969D-B1332FCA2099}" srcOrd="2" destOrd="0" parTransId="{630E72D1-7EC1-4743-AE81-2EBDDC1BFF3C}" sibTransId="{B7177875-C1EA-4F43-B3C5-B01DDB0CF657}"/>
    <dgm:cxn modelId="{5ABFEFB3-BFBC-4418-B902-E28817B7C456}" srcId="{D8445BC1-5BB6-4E8B-923B-6F8E4D819E27}" destId="{2EBE9491-6980-4A00-826D-E851567C5FF6}" srcOrd="7" destOrd="0" parTransId="{CB3DC94D-F256-471F-84DB-3B6775BA3578}" sibTransId="{7515A8EA-4F52-4506-94E8-28A7C1F5F8F3}"/>
    <dgm:cxn modelId="{2320B818-EE19-4695-AB9E-74A791CECE40}" type="presOf" srcId="{73691412-2C69-462E-852B-756C39F75684}" destId="{FC880364-AA15-4185-879E-7C52614F0155}" srcOrd="0" destOrd="0" presId="urn:microsoft.com/office/officeart/2005/8/layout/hList6"/>
    <dgm:cxn modelId="{DDFD1EC0-131E-4AB3-90C1-D3C1A41D3126}" type="presOf" srcId="{6703F35A-2A30-4D87-A7A5-6A5451EE8704}" destId="{D318ADA2-81CF-4600-8496-33F0D6B30508}" srcOrd="0" destOrd="1" presId="urn:microsoft.com/office/officeart/2005/8/layout/hList6"/>
    <dgm:cxn modelId="{8E1A7672-9794-433F-BAB8-E2C19FE0AEDB}" type="presOf" srcId="{DCBA30F4-CE8C-495D-9AFD-53811070FB73}" destId="{7FB708D1-EECF-4B9B-BBA6-2F82314C235A}" srcOrd="0" destOrd="0" presId="urn:microsoft.com/office/officeart/2005/8/layout/hList6"/>
    <dgm:cxn modelId="{3347DC3E-AE8A-401D-AA66-E0F08D5DD1D8}" type="presOf" srcId="{055982F1-10F3-4E3D-AE63-B3FD79959303}" destId="{53618CBF-0FAD-4FB8-9D4E-68364A07C895}" srcOrd="0" destOrd="3" presId="urn:microsoft.com/office/officeart/2005/8/layout/hList6"/>
    <dgm:cxn modelId="{41D3D8FD-3D29-4E76-B67E-DDB5271934C9}" srcId="{D8445BC1-5BB6-4E8B-923B-6F8E4D819E27}" destId="{73288CCD-CE9D-4938-9825-85C1AC30E45D}" srcOrd="8" destOrd="0" parTransId="{F288095E-A921-428E-BF5C-BD1F621191D0}" sibTransId="{07816E79-A55E-4A83-BA75-882D33E08419}"/>
    <dgm:cxn modelId="{433A3CE4-39F6-4D81-A099-76C61B1F7CE3}" srcId="{DCBA30F4-CE8C-495D-9AFD-53811070FB73}" destId="{100652E1-CD5E-463A-862B-929FB6FB1FD6}" srcOrd="0" destOrd="0" parTransId="{9A500B6B-8FF6-4F2A-B469-079BC199CA49}" sibTransId="{B417089D-A50A-42D6-B2DF-D6E54B747DDE}"/>
    <dgm:cxn modelId="{60F50927-8336-4AEA-A392-7B4D5FFDEAB3}" srcId="{98AD4817-29AC-4348-929D-800FAF6B66AD}" destId="{1C346AB8-2FED-458E-92CA-713DB74946BD}" srcOrd="3" destOrd="0" parTransId="{D8F33239-A4B6-47E4-B845-8F822FC9F13A}" sibTransId="{ACB32109-DF6E-41EA-9D8A-A83A9DD8F0EE}"/>
    <dgm:cxn modelId="{DC568AD9-CC90-4F91-8677-B8A1196A993E}" srcId="{D8445BC1-5BB6-4E8B-923B-6F8E4D819E27}" destId="{4A87B697-4D04-4335-9D4B-0A185B2438E6}" srcOrd="3" destOrd="0" parTransId="{60CE0CC8-80A4-4747-ABFE-071BEF308701}" sibTransId="{CA4EAAEE-8878-4950-9622-32222881FD31}"/>
    <dgm:cxn modelId="{5BABB136-C440-4D73-BC36-475CC827213E}" type="presOf" srcId="{1C346AB8-2FED-458E-92CA-713DB74946BD}" destId="{23B8DF21-9C9C-4549-85EE-E0D258A6F231}" srcOrd="0" destOrd="0" presId="urn:microsoft.com/office/officeart/2005/8/layout/hList6"/>
    <dgm:cxn modelId="{B1341156-A6C4-4DD7-93A6-6734B30A51D3}" type="presOf" srcId="{8F01B863-8ECB-40B1-A50F-5089F7F7DD4F}" destId="{53618CBF-0FAD-4FB8-9D4E-68364A07C895}" srcOrd="0" destOrd="2" presId="urn:microsoft.com/office/officeart/2005/8/layout/hList6"/>
    <dgm:cxn modelId="{F4B8BABD-9A4F-4A1D-BD0F-25E3F3154F9F}" srcId="{73691412-2C69-462E-852B-756C39F75684}" destId="{4DBBA70A-80B8-490A-8942-6F20A70E87B0}" srcOrd="0" destOrd="0" parTransId="{76CFB691-D61D-47CB-81FA-FB2894E2283D}" sibTransId="{1E163201-128C-4DA5-A469-26E1E0B1839E}"/>
    <dgm:cxn modelId="{5737D3F0-EC38-4B96-98AE-B3C919320B7A}" srcId="{DCBA30F4-CE8C-495D-9AFD-53811070FB73}" destId="{DDA1E5A8-E668-44EC-9873-6C41F6C2CEEC}" srcOrd="2" destOrd="0" parTransId="{4F9F4C71-2632-4C28-A291-BB23E2757DD5}" sibTransId="{727476BB-9E8B-45A1-9E6A-8C9EF92D69F9}"/>
    <dgm:cxn modelId="{54CB3897-3BC3-49DD-BE3A-FB90A403D965}" type="presOf" srcId="{DFAE2942-7FA6-45EB-B31A-391512255881}" destId="{72EF4295-9955-4B84-84D7-CFEBBFECDA78}" srcOrd="0" destOrd="1" presId="urn:microsoft.com/office/officeart/2005/8/layout/hList6"/>
    <dgm:cxn modelId="{A6BE104C-BB27-482F-9FF8-347A3F5C0C98}" srcId="{FCC78F11-6392-4F97-B640-A0B37E2C54F8}" destId="{DFAE2942-7FA6-45EB-B31A-391512255881}" srcOrd="0" destOrd="0" parTransId="{0238809C-F2CC-4913-860A-B187EFFEBCA5}" sibTransId="{E1264631-D0A9-48B2-A684-DD6C58DC89C8}"/>
    <dgm:cxn modelId="{A104AAB9-3CA4-4CDE-9205-F19B6AB5F238}" type="presOf" srcId="{87B283F7-7C8E-4B22-969D-B1332FCA2099}" destId="{D318ADA2-81CF-4600-8496-33F0D6B30508}" srcOrd="0" destOrd="3" presId="urn:microsoft.com/office/officeart/2005/8/layout/hList6"/>
    <dgm:cxn modelId="{A0858493-346D-4ACE-99D4-DB31BA4873C1}" srcId="{D8445BC1-5BB6-4E8B-923B-6F8E4D819E27}" destId="{6703F35A-2A30-4D87-A7A5-6A5451EE8704}" srcOrd="0" destOrd="0" parTransId="{234E9FCD-519E-45A7-A4DE-2791BB9CF19F}" sibTransId="{D3ACE477-5A28-4403-A1C0-011DEDECEBC5}"/>
    <dgm:cxn modelId="{125C4A33-496D-42C3-A22C-843FA827A196}" srcId="{DCBA30F4-CE8C-495D-9AFD-53811070FB73}" destId="{1F42983A-A533-4A2F-B68F-7FF1AC65A572}" srcOrd="3" destOrd="0" parTransId="{F6A19FAA-F03F-402D-94F4-40721C2ACF2C}" sibTransId="{0EEDAA11-02D8-4406-916E-07B62871ACD7}"/>
    <dgm:cxn modelId="{50754B9F-C2FC-441B-94F5-943FCAA41862}" srcId="{D8445BC1-5BB6-4E8B-923B-6F8E4D819E27}" destId="{46F8DD82-23F7-498E-91B5-0605608B7373}" srcOrd="4" destOrd="0" parTransId="{C9C8B0DC-14A8-43E8-9A46-28A1A4D83756}" sibTransId="{4C987179-4816-46C4-AFF2-7877E35CC317}"/>
    <dgm:cxn modelId="{88844F43-1875-40DD-A5FA-16F4266C8EEF}" type="presOf" srcId="{5EDCA5DB-1624-4295-9844-CA12C6EFA832}" destId="{23B8DF21-9C9C-4549-85EE-E0D258A6F231}" srcOrd="0" destOrd="2" presId="urn:microsoft.com/office/officeart/2005/8/layout/hList6"/>
    <dgm:cxn modelId="{9EA24E2C-9BAD-401F-A22B-73C3C36D43DD}" srcId="{98AD4817-29AC-4348-929D-800FAF6B66AD}" destId="{71FD6886-12F5-4C4B-A707-29C170466EA1}" srcOrd="4" destOrd="0" parTransId="{2FD762E1-2D97-46F0-A581-5A23F47FC8FA}" sibTransId="{A1381B6D-5B82-4333-9C46-BA0191278970}"/>
    <dgm:cxn modelId="{2AD9B568-59B3-417B-913C-20314A1BD913}" srcId="{71FD6886-12F5-4C4B-A707-29C170466EA1}" destId="{055982F1-10F3-4E3D-AE63-B3FD79959303}" srcOrd="2" destOrd="0" parTransId="{18F3213D-52C9-4FB6-8BAF-82F887B55032}" sibTransId="{B17EE204-0BF6-4A0B-B6B9-C9E55DACC595}"/>
    <dgm:cxn modelId="{105BDDEC-97C6-44CF-BA6F-F154C12CB1EA}" type="presOf" srcId="{FCC78F11-6392-4F97-B640-A0B37E2C54F8}" destId="{72EF4295-9955-4B84-84D7-CFEBBFECDA78}" srcOrd="0" destOrd="0" presId="urn:microsoft.com/office/officeart/2005/8/layout/hList6"/>
    <dgm:cxn modelId="{6F70B544-3654-4357-9232-02F5F70292CF}" srcId="{D8445BC1-5BB6-4E8B-923B-6F8E4D819E27}" destId="{92F817BC-1F21-4C5F-90E2-85857EF82940}" srcOrd="6" destOrd="0" parTransId="{F0705265-A4BC-4D7A-8C59-CC6877589569}" sibTransId="{B698C8B4-9B22-4D9F-BF6F-FA67CA2C496F}"/>
    <dgm:cxn modelId="{D06E1751-8220-47F7-AE8E-4B2714B272DF}" type="presOf" srcId="{46F8DD82-23F7-498E-91B5-0605608B7373}" destId="{D318ADA2-81CF-4600-8496-33F0D6B30508}" srcOrd="0" destOrd="5" presId="urn:microsoft.com/office/officeart/2005/8/layout/hList6"/>
    <dgm:cxn modelId="{C2D0FF58-8033-4AF8-94B3-A1B4308171CC}" type="presOf" srcId="{1F42983A-A533-4A2F-B68F-7FF1AC65A572}" destId="{7FB708D1-EECF-4B9B-BBA6-2F82314C235A}" srcOrd="0" destOrd="4" presId="urn:microsoft.com/office/officeart/2005/8/layout/hList6"/>
    <dgm:cxn modelId="{AB25277F-37C7-4EC5-9B09-3325A18C79F0}" type="presOf" srcId="{8730FEA5-4F24-4B54-812D-73B95EBB3899}" destId="{53618CBF-0FAD-4FB8-9D4E-68364A07C895}" srcOrd="0" destOrd="1" presId="urn:microsoft.com/office/officeart/2005/8/layout/hList6"/>
    <dgm:cxn modelId="{1024207C-4228-4820-B255-0360E1404367}" srcId="{1C346AB8-2FED-458E-92CA-713DB74946BD}" destId="{5EDCA5DB-1624-4295-9844-CA12C6EFA832}" srcOrd="1" destOrd="0" parTransId="{B5D66F32-F6DB-4530-BEDD-9F7ADAC2F546}" sibTransId="{E559ADAC-62A2-4D72-A1F8-A72AFF28888D}"/>
    <dgm:cxn modelId="{5C90C044-2926-4F31-9DB4-3B14158C02BE}" type="presOf" srcId="{A8DEB0D7-C178-4215-AC66-0785FC518314}" destId="{7FB708D1-EECF-4B9B-BBA6-2F82314C235A}" srcOrd="0" destOrd="2" presId="urn:microsoft.com/office/officeart/2005/8/layout/hList6"/>
    <dgm:cxn modelId="{F74DEBAA-70E3-4263-8FAE-15B28FD9415F}" srcId="{D8445BC1-5BB6-4E8B-923B-6F8E4D819E27}" destId="{13491BDE-DEE8-4E5B-B824-C87A0F7C6BB3}" srcOrd="1" destOrd="0" parTransId="{C0CD1CA2-F2E7-4629-BF2D-DB66F27FCAEC}" sibTransId="{3CF718E1-D949-4511-884D-0D40646C18D1}"/>
    <dgm:cxn modelId="{578DF023-FBBF-49A1-B745-C9E8CC10B045}" type="presOf" srcId="{D8445BC1-5BB6-4E8B-923B-6F8E4D819E27}" destId="{D318ADA2-81CF-4600-8496-33F0D6B30508}" srcOrd="0" destOrd="0" presId="urn:microsoft.com/office/officeart/2005/8/layout/hList6"/>
    <dgm:cxn modelId="{5D88F528-3EE3-4D51-A628-0A64C7AB62D0}" type="presOf" srcId="{98AD4817-29AC-4348-929D-800FAF6B66AD}" destId="{34C25903-4E6B-429F-81C0-8942F318A1E5}" srcOrd="0" destOrd="0" presId="urn:microsoft.com/office/officeart/2005/8/layout/hList6"/>
    <dgm:cxn modelId="{016E05DE-847C-463A-B03E-70BA3113BEC8}" type="presOf" srcId="{71FD6886-12F5-4C4B-A707-29C170466EA1}" destId="{53618CBF-0FAD-4FB8-9D4E-68364A07C895}" srcOrd="0" destOrd="0" presId="urn:microsoft.com/office/officeart/2005/8/layout/hList6"/>
    <dgm:cxn modelId="{6232DDAA-4990-460D-9EB6-BEACFF4AE852}" type="presOf" srcId="{92F817BC-1F21-4C5F-90E2-85857EF82940}" destId="{D318ADA2-81CF-4600-8496-33F0D6B30508}" srcOrd="0" destOrd="7" presId="urn:microsoft.com/office/officeart/2005/8/layout/hList6"/>
    <dgm:cxn modelId="{AFF52740-7C0D-4D4E-8448-8F14E2F33F8E}" type="presOf" srcId="{100652E1-CD5E-463A-862B-929FB6FB1FD6}" destId="{7FB708D1-EECF-4B9B-BBA6-2F82314C235A}" srcOrd="0" destOrd="1" presId="urn:microsoft.com/office/officeart/2005/8/layout/hList6"/>
    <dgm:cxn modelId="{14AA141C-2232-43D3-BDD3-B8BE56499356}" srcId="{98AD4817-29AC-4348-929D-800FAF6B66AD}" destId="{D8445BC1-5BB6-4E8B-923B-6F8E4D819E27}" srcOrd="0" destOrd="0" parTransId="{B4F348B0-D24E-4C13-BD67-078871C12F2A}" sibTransId="{FC14E7BB-97C2-4C26-B7C0-690268C9D524}"/>
    <dgm:cxn modelId="{4CB2D9DB-EDD0-409B-AC96-FD99FA3ED16E}" srcId="{98AD4817-29AC-4348-929D-800FAF6B66AD}" destId="{73691412-2C69-462E-852B-756C39F75684}" srcOrd="5" destOrd="0" parTransId="{39B20F0C-6BEE-480E-83F4-00F87FC3EB5C}" sibTransId="{88256077-418A-4569-877F-957481A2298F}"/>
    <dgm:cxn modelId="{4EA8F006-5E22-4F8E-BC11-A2757F80516A}" srcId="{D8445BC1-5BB6-4E8B-923B-6F8E4D819E27}" destId="{09AD5CB6-0108-483F-B632-F78379FB4972}" srcOrd="9" destOrd="0" parTransId="{A2A176BE-4A70-4E31-A2E7-5E8D2D4A7D25}" sibTransId="{A484F1E9-D1A1-4369-BAB8-983D21E6AA2C}"/>
    <dgm:cxn modelId="{C8A47959-F02F-4C86-8218-C97B69AEE54E}" type="presParOf" srcId="{34C25903-4E6B-429F-81C0-8942F318A1E5}" destId="{D318ADA2-81CF-4600-8496-33F0D6B30508}" srcOrd="0" destOrd="0" presId="urn:microsoft.com/office/officeart/2005/8/layout/hList6"/>
    <dgm:cxn modelId="{C88842F3-32AE-46EC-84B0-12288CD86BD3}" type="presParOf" srcId="{34C25903-4E6B-429F-81C0-8942F318A1E5}" destId="{92F7E52D-5224-4CD7-A91A-4201F317D9C2}" srcOrd="1" destOrd="0" presId="urn:microsoft.com/office/officeart/2005/8/layout/hList6"/>
    <dgm:cxn modelId="{3147DC78-E6D8-46C6-9422-FE8BB0D427DB}" type="presParOf" srcId="{34C25903-4E6B-429F-81C0-8942F318A1E5}" destId="{72EF4295-9955-4B84-84D7-CFEBBFECDA78}" srcOrd="2" destOrd="0" presId="urn:microsoft.com/office/officeart/2005/8/layout/hList6"/>
    <dgm:cxn modelId="{CAAE6D9A-41CA-4FC5-AFC8-12D5C0CB61F5}" type="presParOf" srcId="{34C25903-4E6B-429F-81C0-8942F318A1E5}" destId="{898579D0-BD40-4361-BC55-D2FC47CFA63C}" srcOrd="3" destOrd="0" presId="urn:microsoft.com/office/officeart/2005/8/layout/hList6"/>
    <dgm:cxn modelId="{509B6C4D-7A74-4CB2-8A95-FBE062FA8403}" type="presParOf" srcId="{34C25903-4E6B-429F-81C0-8942F318A1E5}" destId="{7FB708D1-EECF-4B9B-BBA6-2F82314C235A}" srcOrd="4" destOrd="0" presId="urn:microsoft.com/office/officeart/2005/8/layout/hList6"/>
    <dgm:cxn modelId="{ADB00A67-ED49-4B8E-B415-F6577B1B7B1F}" type="presParOf" srcId="{34C25903-4E6B-429F-81C0-8942F318A1E5}" destId="{D1B3E274-99D7-4FC7-A727-FCC5827134EB}" srcOrd="5" destOrd="0" presId="urn:microsoft.com/office/officeart/2005/8/layout/hList6"/>
    <dgm:cxn modelId="{0A374124-8614-4B23-BA8F-D3C15033BD21}" type="presParOf" srcId="{34C25903-4E6B-429F-81C0-8942F318A1E5}" destId="{23B8DF21-9C9C-4549-85EE-E0D258A6F231}" srcOrd="6" destOrd="0" presId="urn:microsoft.com/office/officeart/2005/8/layout/hList6"/>
    <dgm:cxn modelId="{7C992B3D-F423-4DC9-9F91-2F9F23CFB1BC}" type="presParOf" srcId="{34C25903-4E6B-429F-81C0-8942F318A1E5}" destId="{EA9AC70E-F8CA-46CB-AF0E-11374F7CFE80}" srcOrd="7" destOrd="0" presId="urn:microsoft.com/office/officeart/2005/8/layout/hList6"/>
    <dgm:cxn modelId="{49634791-089A-4E67-B692-20E373C503FF}" type="presParOf" srcId="{34C25903-4E6B-429F-81C0-8942F318A1E5}" destId="{53618CBF-0FAD-4FB8-9D4E-68364A07C895}" srcOrd="8" destOrd="0" presId="urn:microsoft.com/office/officeart/2005/8/layout/hList6"/>
    <dgm:cxn modelId="{0FB53925-9A62-430B-9145-AC6DED8D4F3B}" type="presParOf" srcId="{34C25903-4E6B-429F-81C0-8942F318A1E5}" destId="{87D73BFC-7D91-4BEF-9EC8-2201878005EF}" srcOrd="9" destOrd="0" presId="urn:microsoft.com/office/officeart/2005/8/layout/hList6"/>
    <dgm:cxn modelId="{07D1A185-23F0-43B2-A50D-6557E968EA41}" type="presParOf" srcId="{34C25903-4E6B-429F-81C0-8942F318A1E5}" destId="{FC880364-AA15-4185-879E-7C52614F0155}" srcOrd="10" destOrd="0" presId="urn:microsoft.com/office/officeart/2005/8/layout/hList6"/>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D2B1ABE-09D8-4DA8-883D-3EEB7AE9A2E5}"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n-US"/>
        </a:p>
      </dgm:t>
    </dgm:pt>
    <dgm:pt modelId="{0B11AC2C-48BC-4244-B121-6E1D3D698053}">
      <dgm:prSet phldrT="[Text]" custT="1"/>
      <dgm:spPr/>
      <dgm:t>
        <a:bodyPr/>
        <a:lstStyle/>
        <a:p>
          <a:r>
            <a:rPr lang="sr-Latn-RS" sz="800" b="0"/>
            <a:t>ORGANIZACIJA I RAD JAVNE UPRAVE U FUNKCIJI POTREBA GRAĐANA</a:t>
          </a:r>
          <a:endParaRPr lang="en-US" sz="800" b="0"/>
        </a:p>
      </dgm:t>
    </dgm:pt>
    <dgm:pt modelId="{AB321436-ADC4-4AEF-8E69-610650204C34}" type="parTrans" cxnId="{C5B24143-D9AF-4945-81BB-1AA2FF55117B}">
      <dgm:prSet/>
      <dgm:spPr/>
      <dgm:t>
        <a:bodyPr/>
        <a:lstStyle/>
        <a:p>
          <a:endParaRPr lang="en-US"/>
        </a:p>
      </dgm:t>
    </dgm:pt>
    <dgm:pt modelId="{569B2A2B-F73A-4048-A9DE-BF501F61744E}" type="sibTrans" cxnId="{C5B24143-D9AF-4945-81BB-1AA2FF55117B}">
      <dgm:prSet/>
      <dgm:spPr/>
      <dgm:t>
        <a:bodyPr/>
        <a:lstStyle/>
        <a:p>
          <a:endParaRPr lang="en-US"/>
        </a:p>
      </dgm:t>
    </dgm:pt>
    <dgm:pt modelId="{01D90C7E-716E-42CE-96D8-3164F308E88B}">
      <dgm:prSet phldrT="[Text]" custT="1"/>
      <dgm:spPr/>
      <dgm:t>
        <a:bodyPr/>
        <a:lstStyle/>
        <a:p>
          <a:r>
            <a:rPr lang="sr-Latn-RS" sz="800" b="0"/>
            <a:t>TRANSPARENTNA I OTVORENA JAVNA UPRAVA</a:t>
          </a:r>
          <a:endParaRPr lang="en-US" sz="800" b="0"/>
        </a:p>
      </dgm:t>
    </dgm:pt>
    <dgm:pt modelId="{EACBC68A-D191-4B78-A9E2-F245F14BBF2B}" type="parTrans" cxnId="{4FA63BB3-015B-4479-A9FE-D2211D9D25A8}">
      <dgm:prSet/>
      <dgm:spPr/>
      <dgm:t>
        <a:bodyPr/>
        <a:lstStyle/>
        <a:p>
          <a:endParaRPr lang="en-US"/>
        </a:p>
      </dgm:t>
    </dgm:pt>
    <dgm:pt modelId="{29256EB3-E230-42C2-A7B1-F92EF6E3EA53}" type="sibTrans" cxnId="{4FA63BB3-015B-4479-A9FE-D2211D9D25A8}">
      <dgm:prSet/>
      <dgm:spPr/>
      <dgm:t>
        <a:bodyPr/>
        <a:lstStyle/>
        <a:p>
          <a:endParaRPr lang="en-US"/>
        </a:p>
      </dgm:t>
    </dgm:pt>
    <dgm:pt modelId="{CDA4AB95-0996-4B60-850C-FEF1D9F2C040}">
      <dgm:prSet custT="1"/>
      <dgm:spPr/>
      <dgm:t>
        <a:bodyPr/>
        <a:lstStyle/>
        <a:p>
          <a:r>
            <a:rPr lang="sr-Latn-RS" sz="800" b="0"/>
            <a:t>GRAĐANI I PRIVREDA KORISTE KVALITETE USLUGE JAVNE UPRAVE</a:t>
          </a:r>
          <a:endParaRPr lang="en-US" sz="800" b="0"/>
        </a:p>
      </dgm:t>
    </dgm:pt>
    <dgm:pt modelId="{2363EA01-74B7-4AE7-B7C1-54156CC30C30}" type="parTrans" cxnId="{0EE65EDF-97C8-4650-8FD6-82B08A45BBCE}">
      <dgm:prSet/>
      <dgm:spPr/>
      <dgm:t>
        <a:bodyPr/>
        <a:lstStyle/>
        <a:p>
          <a:endParaRPr lang="en-US"/>
        </a:p>
      </dgm:t>
    </dgm:pt>
    <dgm:pt modelId="{82A85DB3-DC0A-4DDF-8787-860FD8D70D3B}" type="sibTrans" cxnId="{0EE65EDF-97C8-4650-8FD6-82B08A45BBCE}">
      <dgm:prSet/>
      <dgm:spPr/>
      <dgm:t>
        <a:bodyPr/>
        <a:lstStyle/>
        <a:p>
          <a:endParaRPr lang="en-US"/>
        </a:p>
      </dgm:t>
    </dgm:pt>
    <dgm:pt modelId="{6C042A91-C941-4D06-A028-FB2649449CEC}">
      <dgm:prSet custT="1"/>
      <dgm:spPr/>
      <dgm:t>
        <a:bodyPr/>
        <a:lstStyle/>
        <a:p>
          <a:r>
            <a:rPr lang="sr-Latn-RS" sz="800" b="0"/>
            <a:t>PROFESIONALNA JAVNA ADMINISTRACIJA</a:t>
          </a:r>
          <a:endParaRPr lang="en-US" sz="800" b="0"/>
        </a:p>
      </dgm:t>
    </dgm:pt>
    <dgm:pt modelId="{E7070E0D-2098-46D4-BA75-ED166CE6602A}" type="parTrans" cxnId="{8FFB872D-DA50-4DF6-9E96-D40465C85044}">
      <dgm:prSet/>
      <dgm:spPr/>
      <dgm:t>
        <a:bodyPr/>
        <a:lstStyle/>
        <a:p>
          <a:endParaRPr lang="en-US"/>
        </a:p>
      </dgm:t>
    </dgm:pt>
    <dgm:pt modelId="{BC01F3B8-A59A-409D-B34C-D0A1EE703333}" type="sibTrans" cxnId="{8FFB872D-DA50-4DF6-9E96-D40465C85044}">
      <dgm:prSet/>
      <dgm:spPr/>
      <dgm:t>
        <a:bodyPr/>
        <a:lstStyle/>
        <a:p>
          <a:endParaRPr lang="en-US"/>
        </a:p>
      </dgm:t>
    </dgm:pt>
    <dgm:pt modelId="{CA91E042-3C5F-4726-8421-38B19533A8BA}">
      <dgm:prSet custT="1"/>
      <dgm:spPr/>
      <dgm:t>
        <a:bodyPr/>
        <a:lstStyle/>
        <a:p>
          <a:r>
            <a:rPr lang="sr-Latn-RS" sz="800" b="0"/>
            <a:t>PLANIRANJE POLITIKA SA GRAĐANIMA I ZA GRAĐANE</a:t>
          </a:r>
          <a:endParaRPr lang="en-US" sz="800" b="0"/>
        </a:p>
      </dgm:t>
    </dgm:pt>
    <dgm:pt modelId="{8618B5D6-1A68-49EB-916D-865D9673CE49}" type="parTrans" cxnId="{10CE1A8C-0060-4A79-87D5-613BD3E02549}">
      <dgm:prSet/>
      <dgm:spPr/>
      <dgm:t>
        <a:bodyPr/>
        <a:lstStyle/>
        <a:p>
          <a:endParaRPr lang="en-US"/>
        </a:p>
      </dgm:t>
    </dgm:pt>
    <dgm:pt modelId="{2B666CD8-D3D0-4A95-A96F-3B1C3CC84C2B}" type="sibTrans" cxnId="{10CE1A8C-0060-4A79-87D5-613BD3E02549}">
      <dgm:prSet/>
      <dgm:spPr/>
      <dgm:t>
        <a:bodyPr/>
        <a:lstStyle/>
        <a:p>
          <a:endParaRPr lang="en-US"/>
        </a:p>
      </dgm:t>
    </dgm:pt>
    <dgm:pt modelId="{81E7ADF3-B631-4662-AE5B-0236CEADCFBA}">
      <dgm:prSet phldrT="[Text]" custT="1"/>
      <dgm:spPr/>
      <dgm:t>
        <a:bodyPr/>
        <a:lstStyle/>
        <a:p>
          <a:r>
            <a:rPr lang="en-US" sz="800" b="1"/>
            <a:t>STRATEGIJA REFORME JAVNE UPRAVE 2022-2026.</a:t>
          </a:r>
        </a:p>
      </dgm:t>
    </dgm:pt>
    <dgm:pt modelId="{1C4F4937-1407-43BA-BB04-609EB5729E41}" type="sibTrans" cxnId="{5968FA94-4253-4061-B075-B7D59AE24D63}">
      <dgm:prSet/>
      <dgm:spPr/>
      <dgm:t>
        <a:bodyPr/>
        <a:lstStyle/>
        <a:p>
          <a:endParaRPr lang="en-US"/>
        </a:p>
      </dgm:t>
    </dgm:pt>
    <dgm:pt modelId="{F97A253F-AA3B-42EE-87EF-8C9074EB29F6}" type="parTrans" cxnId="{5968FA94-4253-4061-B075-B7D59AE24D63}">
      <dgm:prSet/>
      <dgm:spPr/>
      <dgm:t>
        <a:bodyPr/>
        <a:lstStyle/>
        <a:p>
          <a:endParaRPr lang="en-US"/>
        </a:p>
      </dgm:t>
    </dgm:pt>
    <dgm:pt modelId="{B74C465F-9AD9-43FD-864A-C5359E94E370}" type="pres">
      <dgm:prSet presAssocID="{3D2B1ABE-09D8-4DA8-883D-3EEB7AE9A2E5}" presName="hierChild1" presStyleCnt="0">
        <dgm:presLayoutVars>
          <dgm:orgChart val="1"/>
          <dgm:chPref val="1"/>
          <dgm:dir/>
          <dgm:animOne val="branch"/>
          <dgm:animLvl val="lvl"/>
          <dgm:resizeHandles/>
        </dgm:presLayoutVars>
      </dgm:prSet>
      <dgm:spPr/>
      <dgm:t>
        <a:bodyPr/>
        <a:lstStyle/>
        <a:p>
          <a:endParaRPr lang="en-US"/>
        </a:p>
      </dgm:t>
    </dgm:pt>
    <dgm:pt modelId="{5C438408-12B7-4ED1-8033-1A123660501F}" type="pres">
      <dgm:prSet presAssocID="{81E7ADF3-B631-4662-AE5B-0236CEADCFBA}" presName="hierRoot1" presStyleCnt="0">
        <dgm:presLayoutVars>
          <dgm:hierBranch val="init"/>
        </dgm:presLayoutVars>
      </dgm:prSet>
      <dgm:spPr/>
    </dgm:pt>
    <dgm:pt modelId="{EC9CE7C7-8CF1-4A24-9BB4-BCA9946131D9}" type="pres">
      <dgm:prSet presAssocID="{81E7ADF3-B631-4662-AE5B-0236CEADCFBA}" presName="rootComposite1" presStyleCnt="0"/>
      <dgm:spPr/>
    </dgm:pt>
    <dgm:pt modelId="{CD5D1FC1-31B1-4E97-872F-00E96C77CFA8}" type="pres">
      <dgm:prSet presAssocID="{81E7ADF3-B631-4662-AE5B-0236CEADCFBA}" presName="rootText1" presStyleLbl="node0" presStyleIdx="0" presStyleCnt="1" custScaleX="273751" custScaleY="64087">
        <dgm:presLayoutVars>
          <dgm:chPref val="3"/>
        </dgm:presLayoutVars>
      </dgm:prSet>
      <dgm:spPr/>
      <dgm:t>
        <a:bodyPr/>
        <a:lstStyle/>
        <a:p>
          <a:endParaRPr lang="en-US"/>
        </a:p>
      </dgm:t>
    </dgm:pt>
    <dgm:pt modelId="{8666FA59-509F-4079-B118-E856DC4C2F34}" type="pres">
      <dgm:prSet presAssocID="{81E7ADF3-B631-4662-AE5B-0236CEADCFBA}" presName="rootConnector1" presStyleLbl="node1" presStyleIdx="0" presStyleCnt="0"/>
      <dgm:spPr/>
      <dgm:t>
        <a:bodyPr/>
        <a:lstStyle/>
        <a:p>
          <a:endParaRPr lang="en-US"/>
        </a:p>
      </dgm:t>
    </dgm:pt>
    <dgm:pt modelId="{4FAE3D0E-87D2-4F47-AB17-76D837403558}" type="pres">
      <dgm:prSet presAssocID="{81E7ADF3-B631-4662-AE5B-0236CEADCFBA}" presName="hierChild2" presStyleCnt="0"/>
      <dgm:spPr/>
    </dgm:pt>
    <dgm:pt modelId="{CFC1C018-7769-40C7-BDB4-F090ED1B978B}" type="pres">
      <dgm:prSet presAssocID="{AB321436-ADC4-4AEF-8E69-610650204C34}" presName="Name37" presStyleLbl="parChTrans1D2" presStyleIdx="0" presStyleCnt="5"/>
      <dgm:spPr/>
      <dgm:t>
        <a:bodyPr/>
        <a:lstStyle/>
        <a:p>
          <a:endParaRPr lang="en-US"/>
        </a:p>
      </dgm:t>
    </dgm:pt>
    <dgm:pt modelId="{B4FBD908-02EF-4CF8-809E-5AF3F64CFF76}" type="pres">
      <dgm:prSet presAssocID="{0B11AC2C-48BC-4244-B121-6E1D3D698053}" presName="hierRoot2" presStyleCnt="0">
        <dgm:presLayoutVars>
          <dgm:hierBranch val="init"/>
        </dgm:presLayoutVars>
      </dgm:prSet>
      <dgm:spPr/>
    </dgm:pt>
    <dgm:pt modelId="{C1F9220E-591B-4678-91DE-C6AE2CF9BAEB}" type="pres">
      <dgm:prSet presAssocID="{0B11AC2C-48BC-4244-B121-6E1D3D698053}" presName="rootComposite" presStyleCnt="0"/>
      <dgm:spPr/>
    </dgm:pt>
    <dgm:pt modelId="{5F803A4A-7C8E-4811-9E64-6B1AF3521261}" type="pres">
      <dgm:prSet presAssocID="{0B11AC2C-48BC-4244-B121-6E1D3D698053}" presName="rootText" presStyleLbl="node2" presStyleIdx="0" presStyleCnt="5" custScaleX="172617">
        <dgm:presLayoutVars>
          <dgm:chPref val="3"/>
        </dgm:presLayoutVars>
      </dgm:prSet>
      <dgm:spPr/>
      <dgm:t>
        <a:bodyPr/>
        <a:lstStyle/>
        <a:p>
          <a:endParaRPr lang="en-US"/>
        </a:p>
      </dgm:t>
    </dgm:pt>
    <dgm:pt modelId="{C0674768-05C5-499C-AEFD-374D5011328E}" type="pres">
      <dgm:prSet presAssocID="{0B11AC2C-48BC-4244-B121-6E1D3D698053}" presName="rootConnector" presStyleLbl="node2" presStyleIdx="0" presStyleCnt="5"/>
      <dgm:spPr/>
      <dgm:t>
        <a:bodyPr/>
        <a:lstStyle/>
        <a:p>
          <a:endParaRPr lang="en-US"/>
        </a:p>
      </dgm:t>
    </dgm:pt>
    <dgm:pt modelId="{FD9DC2AD-C654-4A12-8EF0-DD5473CD4DB2}" type="pres">
      <dgm:prSet presAssocID="{0B11AC2C-48BC-4244-B121-6E1D3D698053}" presName="hierChild4" presStyleCnt="0"/>
      <dgm:spPr/>
    </dgm:pt>
    <dgm:pt modelId="{6FE72A0F-0DB3-4CA6-B80D-F46424854644}" type="pres">
      <dgm:prSet presAssocID="{0B11AC2C-48BC-4244-B121-6E1D3D698053}" presName="hierChild5" presStyleCnt="0"/>
      <dgm:spPr/>
    </dgm:pt>
    <dgm:pt modelId="{6A315489-94FF-4C4D-AB03-7174F206BB89}" type="pres">
      <dgm:prSet presAssocID="{2363EA01-74B7-4AE7-B7C1-54156CC30C30}" presName="Name37" presStyleLbl="parChTrans1D2" presStyleIdx="1" presStyleCnt="5"/>
      <dgm:spPr/>
      <dgm:t>
        <a:bodyPr/>
        <a:lstStyle/>
        <a:p>
          <a:endParaRPr lang="en-US"/>
        </a:p>
      </dgm:t>
    </dgm:pt>
    <dgm:pt modelId="{487344D5-B85F-4420-BE94-E1A0BE0E8254}" type="pres">
      <dgm:prSet presAssocID="{CDA4AB95-0996-4B60-850C-FEF1D9F2C040}" presName="hierRoot2" presStyleCnt="0">
        <dgm:presLayoutVars>
          <dgm:hierBranch val="init"/>
        </dgm:presLayoutVars>
      </dgm:prSet>
      <dgm:spPr/>
    </dgm:pt>
    <dgm:pt modelId="{718590FC-B137-48C7-B26B-8984F733E5C9}" type="pres">
      <dgm:prSet presAssocID="{CDA4AB95-0996-4B60-850C-FEF1D9F2C040}" presName="rootComposite" presStyleCnt="0"/>
      <dgm:spPr/>
    </dgm:pt>
    <dgm:pt modelId="{FEBC9E9F-B886-449E-BB73-AE73BE761479}" type="pres">
      <dgm:prSet presAssocID="{CDA4AB95-0996-4B60-850C-FEF1D9F2C040}" presName="rootText" presStyleLbl="node2" presStyleIdx="1" presStyleCnt="5" custScaleX="137957" custLinFactNeighborX="6850" custLinFactNeighborY="6598">
        <dgm:presLayoutVars>
          <dgm:chPref val="3"/>
        </dgm:presLayoutVars>
      </dgm:prSet>
      <dgm:spPr/>
      <dgm:t>
        <a:bodyPr/>
        <a:lstStyle/>
        <a:p>
          <a:endParaRPr lang="en-US"/>
        </a:p>
      </dgm:t>
    </dgm:pt>
    <dgm:pt modelId="{4957DF74-0B4B-43F3-A9A0-19531DF18E0C}" type="pres">
      <dgm:prSet presAssocID="{CDA4AB95-0996-4B60-850C-FEF1D9F2C040}" presName="rootConnector" presStyleLbl="node2" presStyleIdx="1" presStyleCnt="5"/>
      <dgm:spPr/>
      <dgm:t>
        <a:bodyPr/>
        <a:lstStyle/>
        <a:p>
          <a:endParaRPr lang="en-US"/>
        </a:p>
      </dgm:t>
    </dgm:pt>
    <dgm:pt modelId="{8BB78946-98EA-4517-84FE-3E920CC40D0B}" type="pres">
      <dgm:prSet presAssocID="{CDA4AB95-0996-4B60-850C-FEF1D9F2C040}" presName="hierChild4" presStyleCnt="0"/>
      <dgm:spPr/>
    </dgm:pt>
    <dgm:pt modelId="{3750CCB2-F35C-4A05-BDB1-B2360F9BCFD4}" type="pres">
      <dgm:prSet presAssocID="{CDA4AB95-0996-4B60-850C-FEF1D9F2C040}" presName="hierChild5" presStyleCnt="0"/>
      <dgm:spPr/>
    </dgm:pt>
    <dgm:pt modelId="{5C3CCCCE-3D20-4B15-84E8-1382F53ED691}" type="pres">
      <dgm:prSet presAssocID="{E7070E0D-2098-46D4-BA75-ED166CE6602A}" presName="Name37" presStyleLbl="parChTrans1D2" presStyleIdx="2" presStyleCnt="5"/>
      <dgm:spPr/>
      <dgm:t>
        <a:bodyPr/>
        <a:lstStyle/>
        <a:p>
          <a:endParaRPr lang="en-US"/>
        </a:p>
      </dgm:t>
    </dgm:pt>
    <dgm:pt modelId="{62411DED-D7DE-459A-A0B3-3D667EF3D954}" type="pres">
      <dgm:prSet presAssocID="{6C042A91-C941-4D06-A028-FB2649449CEC}" presName="hierRoot2" presStyleCnt="0">
        <dgm:presLayoutVars>
          <dgm:hierBranch val="init"/>
        </dgm:presLayoutVars>
      </dgm:prSet>
      <dgm:spPr/>
    </dgm:pt>
    <dgm:pt modelId="{EC1CA61C-34AD-4A49-9CEB-9884F4EAC295}" type="pres">
      <dgm:prSet presAssocID="{6C042A91-C941-4D06-A028-FB2649449CEC}" presName="rootComposite" presStyleCnt="0"/>
      <dgm:spPr/>
    </dgm:pt>
    <dgm:pt modelId="{2B5DE013-4671-4467-BD66-7E5DBDFDE698}" type="pres">
      <dgm:prSet presAssocID="{6C042A91-C941-4D06-A028-FB2649449CEC}" presName="rootText" presStyleLbl="node2" presStyleIdx="2" presStyleCnt="5" custScaleX="136660">
        <dgm:presLayoutVars>
          <dgm:chPref val="3"/>
        </dgm:presLayoutVars>
      </dgm:prSet>
      <dgm:spPr/>
      <dgm:t>
        <a:bodyPr/>
        <a:lstStyle/>
        <a:p>
          <a:endParaRPr lang="en-US"/>
        </a:p>
      </dgm:t>
    </dgm:pt>
    <dgm:pt modelId="{2CBA3BFC-6F4C-4561-88A6-5934FC410119}" type="pres">
      <dgm:prSet presAssocID="{6C042A91-C941-4D06-A028-FB2649449CEC}" presName="rootConnector" presStyleLbl="node2" presStyleIdx="2" presStyleCnt="5"/>
      <dgm:spPr/>
      <dgm:t>
        <a:bodyPr/>
        <a:lstStyle/>
        <a:p>
          <a:endParaRPr lang="en-US"/>
        </a:p>
      </dgm:t>
    </dgm:pt>
    <dgm:pt modelId="{8F6D40C6-B803-4FC0-AC4A-88B551FF5697}" type="pres">
      <dgm:prSet presAssocID="{6C042A91-C941-4D06-A028-FB2649449CEC}" presName="hierChild4" presStyleCnt="0"/>
      <dgm:spPr/>
    </dgm:pt>
    <dgm:pt modelId="{18B76CB8-4373-4732-B10F-77059A261EC7}" type="pres">
      <dgm:prSet presAssocID="{6C042A91-C941-4D06-A028-FB2649449CEC}" presName="hierChild5" presStyleCnt="0"/>
      <dgm:spPr/>
    </dgm:pt>
    <dgm:pt modelId="{A52BA2AF-6D87-4226-886D-1A7F839271ED}" type="pres">
      <dgm:prSet presAssocID="{EACBC68A-D191-4B78-A9E2-F245F14BBF2B}" presName="Name37" presStyleLbl="parChTrans1D2" presStyleIdx="3" presStyleCnt="5"/>
      <dgm:spPr/>
      <dgm:t>
        <a:bodyPr/>
        <a:lstStyle/>
        <a:p>
          <a:endParaRPr lang="en-US"/>
        </a:p>
      </dgm:t>
    </dgm:pt>
    <dgm:pt modelId="{9D255C92-403B-41FD-8EEC-A67BC6C1EDCE}" type="pres">
      <dgm:prSet presAssocID="{01D90C7E-716E-42CE-96D8-3164F308E88B}" presName="hierRoot2" presStyleCnt="0">
        <dgm:presLayoutVars>
          <dgm:hierBranch val="init"/>
        </dgm:presLayoutVars>
      </dgm:prSet>
      <dgm:spPr/>
    </dgm:pt>
    <dgm:pt modelId="{0732D98B-9D30-4BA3-B544-4B221E2F58E6}" type="pres">
      <dgm:prSet presAssocID="{01D90C7E-716E-42CE-96D8-3164F308E88B}" presName="rootComposite" presStyleCnt="0"/>
      <dgm:spPr/>
    </dgm:pt>
    <dgm:pt modelId="{FA8B1481-A35D-482F-87BE-E7D74A475B8F}" type="pres">
      <dgm:prSet presAssocID="{01D90C7E-716E-42CE-96D8-3164F308E88B}" presName="rootText" presStyleLbl="node2" presStyleIdx="3" presStyleCnt="5" custScaleX="155777">
        <dgm:presLayoutVars>
          <dgm:chPref val="3"/>
        </dgm:presLayoutVars>
      </dgm:prSet>
      <dgm:spPr/>
      <dgm:t>
        <a:bodyPr/>
        <a:lstStyle/>
        <a:p>
          <a:endParaRPr lang="en-US"/>
        </a:p>
      </dgm:t>
    </dgm:pt>
    <dgm:pt modelId="{EA949145-E5F4-4603-AF18-1E15A2E89EDA}" type="pres">
      <dgm:prSet presAssocID="{01D90C7E-716E-42CE-96D8-3164F308E88B}" presName="rootConnector" presStyleLbl="node2" presStyleIdx="3" presStyleCnt="5"/>
      <dgm:spPr/>
      <dgm:t>
        <a:bodyPr/>
        <a:lstStyle/>
        <a:p>
          <a:endParaRPr lang="en-US"/>
        </a:p>
      </dgm:t>
    </dgm:pt>
    <dgm:pt modelId="{E7E4D7CB-05CD-4FB5-8C77-5C2648CB7D0F}" type="pres">
      <dgm:prSet presAssocID="{01D90C7E-716E-42CE-96D8-3164F308E88B}" presName="hierChild4" presStyleCnt="0"/>
      <dgm:spPr/>
    </dgm:pt>
    <dgm:pt modelId="{01DDA4AE-5EEF-4E92-B3FC-4C4C56EB613B}" type="pres">
      <dgm:prSet presAssocID="{01D90C7E-716E-42CE-96D8-3164F308E88B}" presName="hierChild5" presStyleCnt="0"/>
      <dgm:spPr/>
    </dgm:pt>
    <dgm:pt modelId="{FC31F196-BA51-432A-AD71-17C5434FB0F2}" type="pres">
      <dgm:prSet presAssocID="{8618B5D6-1A68-49EB-916D-865D9673CE49}" presName="Name37" presStyleLbl="parChTrans1D2" presStyleIdx="4" presStyleCnt="5"/>
      <dgm:spPr/>
      <dgm:t>
        <a:bodyPr/>
        <a:lstStyle/>
        <a:p>
          <a:endParaRPr lang="en-US"/>
        </a:p>
      </dgm:t>
    </dgm:pt>
    <dgm:pt modelId="{556AFEE3-5F12-4A12-953C-4BF6AEC218CD}" type="pres">
      <dgm:prSet presAssocID="{CA91E042-3C5F-4726-8421-38B19533A8BA}" presName="hierRoot2" presStyleCnt="0">
        <dgm:presLayoutVars>
          <dgm:hierBranch val="init"/>
        </dgm:presLayoutVars>
      </dgm:prSet>
      <dgm:spPr/>
    </dgm:pt>
    <dgm:pt modelId="{22B54F46-9E41-4381-8F5E-E8FE4703D6FD}" type="pres">
      <dgm:prSet presAssocID="{CA91E042-3C5F-4726-8421-38B19533A8BA}" presName="rootComposite" presStyleCnt="0"/>
      <dgm:spPr/>
    </dgm:pt>
    <dgm:pt modelId="{80EFF353-5F78-410B-ADB9-6E9EECE4414B}" type="pres">
      <dgm:prSet presAssocID="{CA91E042-3C5F-4726-8421-38B19533A8BA}" presName="rootText" presStyleLbl="node2" presStyleIdx="4" presStyleCnt="5" custScaleX="173702">
        <dgm:presLayoutVars>
          <dgm:chPref val="3"/>
        </dgm:presLayoutVars>
      </dgm:prSet>
      <dgm:spPr/>
      <dgm:t>
        <a:bodyPr/>
        <a:lstStyle/>
        <a:p>
          <a:endParaRPr lang="en-US"/>
        </a:p>
      </dgm:t>
    </dgm:pt>
    <dgm:pt modelId="{EAB4C60B-0241-4E0A-BFC7-7DD1ACEA7B22}" type="pres">
      <dgm:prSet presAssocID="{CA91E042-3C5F-4726-8421-38B19533A8BA}" presName="rootConnector" presStyleLbl="node2" presStyleIdx="4" presStyleCnt="5"/>
      <dgm:spPr/>
      <dgm:t>
        <a:bodyPr/>
        <a:lstStyle/>
        <a:p>
          <a:endParaRPr lang="en-US"/>
        </a:p>
      </dgm:t>
    </dgm:pt>
    <dgm:pt modelId="{F0F83606-6774-4BCA-A634-CBEFE98B556D}" type="pres">
      <dgm:prSet presAssocID="{CA91E042-3C5F-4726-8421-38B19533A8BA}" presName="hierChild4" presStyleCnt="0"/>
      <dgm:spPr/>
    </dgm:pt>
    <dgm:pt modelId="{0A9F8B4B-84E9-4F32-B182-E8CE282989AB}" type="pres">
      <dgm:prSet presAssocID="{CA91E042-3C5F-4726-8421-38B19533A8BA}" presName="hierChild5" presStyleCnt="0"/>
      <dgm:spPr/>
    </dgm:pt>
    <dgm:pt modelId="{03944FA2-6503-4849-ABC7-53A23301E644}" type="pres">
      <dgm:prSet presAssocID="{81E7ADF3-B631-4662-AE5B-0236CEADCFBA}" presName="hierChild3" presStyleCnt="0"/>
      <dgm:spPr/>
    </dgm:pt>
  </dgm:ptLst>
  <dgm:cxnLst>
    <dgm:cxn modelId="{DD4197F6-15D1-46E9-9CE1-5F02522FB786}" type="presOf" srcId="{CA91E042-3C5F-4726-8421-38B19533A8BA}" destId="{EAB4C60B-0241-4E0A-BFC7-7DD1ACEA7B22}" srcOrd="1" destOrd="0" presId="urn:microsoft.com/office/officeart/2005/8/layout/orgChart1"/>
    <dgm:cxn modelId="{99EE89B5-28F2-49C2-9AF7-04816D33564B}" type="presOf" srcId="{0B11AC2C-48BC-4244-B121-6E1D3D698053}" destId="{C0674768-05C5-499C-AEFD-374D5011328E}" srcOrd="1" destOrd="0" presId="urn:microsoft.com/office/officeart/2005/8/layout/orgChart1"/>
    <dgm:cxn modelId="{C58AB279-C32B-45EE-A0D1-40A59357029E}" type="presOf" srcId="{81E7ADF3-B631-4662-AE5B-0236CEADCFBA}" destId="{8666FA59-509F-4079-B118-E856DC4C2F34}" srcOrd="1" destOrd="0" presId="urn:microsoft.com/office/officeart/2005/8/layout/orgChart1"/>
    <dgm:cxn modelId="{13EF576A-7BC3-46A7-B624-2863A16BEF55}" type="presOf" srcId="{CA91E042-3C5F-4726-8421-38B19533A8BA}" destId="{80EFF353-5F78-410B-ADB9-6E9EECE4414B}" srcOrd="0" destOrd="0" presId="urn:microsoft.com/office/officeart/2005/8/layout/orgChart1"/>
    <dgm:cxn modelId="{6A5A89DF-27A6-47F1-B027-9F6093F24D79}" type="presOf" srcId="{0B11AC2C-48BC-4244-B121-6E1D3D698053}" destId="{5F803A4A-7C8E-4811-9E64-6B1AF3521261}" srcOrd="0" destOrd="0" presId="urn:microsoft.com/office/officeart/2005/8/layout/orgChart1"/>
    <dgm:cxn modelId="{8FFB872D-DA50-4DF6-9E96-D40465C85044}" srcId="{81E7ADF3-B631-4662-AE5B-0236CEADCFBA}" destId="{6C042A91-C941-4D06-A028-FB2649449CEC}" srcOrd="2" destOrd="0" parTransId="{E7070E0D-2098-46D4-BA75-ED166CE6602A}" sibTransId="{BC01F3B8-A59A-409D-B34C-D0A1EE703333}"/>
    <dgm:cxn modelId="{10CE1A8C-0060-4A79-87D5-613BD3E02549}" srcId="{81E7ADF3-B631-4662-AE5B-0236CEADCFBA}" destId="{CA91E042-3C5F-4726-8421-38B19533A8BA}" srcOrd="4" destOrd="0" parTransId="{8618B5D6-1A68-49EB-916D-865D9673CE49}" sibTransId="{2B666CD8-D3D0-4A95-A96F-3B1C3CC84C2B}"/>
    <dgm:cxn modelId="{2601B1B1-06D7-4E0A-90F6-D741E6764120}" type="presOf" srcId="{6C042A91-C941-4D06-A028-FB2649449CEC}" destId="{2B5DE013-4671-4467-BD66-7E5DBDFDE698}" srcOrd="0" destOrd="0" presId="urn:microsoft.com/office/officeart/2005/8/layout/orgChart1"/>
    <dgm:cxn modelId="{266FAE94-8DFE-4096-9425-98DFC263BA75}" type="presOf" srcId="{6C042A91-C941-4D06-A028-FB2649449CEC}" destId="{2CBA3BFC-6F4C-4561-88A6-5934FC410119}" srcOrd="1" destOrd="0" presId="urn:microsoft.com/office/officeart/2005/8/layout/orgChart1"/>
    <dgm:cxn modelId="{5091B84A-27CD-437F-9CD4-E8A270827567}" type="presOf" srcId="{3D2B1ABE-09D8-4DA8-883D-3EEB7AE9A2E5}" destId="{B74C465F-9AD9-43FD-864A-C5359E94E370}" srcOrd="0" destOrd="0" presId="urn:microsoft.com/office/officeart/2005/8/layout/orgChart1"/>
    <dgm:cxn modelId="{21DFB01C-EA76-4CF0-8D61-40EB0D0E5F77}" type="presOf" srcId="{8618B5D6-1A68-49EB-916D-865D9673CE49}" destId="{FC31F196-BA51-432A-AD71-17C5434FB0F2}" srcOrd="0" destOrd="0" presId="urn:microsoft.com/office/officeart/2005/8/layout/orgChart1"/>
    <dgm:cxn modelId="{0EE65EDF-97C8-4650-8FD6-82B08A45BBCE}" srcId="{81E7ADF3-B631-4662-AE5B-0236CEADCFBA}" destId="{CDA4AB95-0996-4B60-850C-FEF1D9F2C040}" srcOrd="1" destOrd="0" parTransId="{2363EA01-74B7-4AE7-B7C1-54156CC30C30}" sibTransId="{82A85DB3-DC0A-4DDF-8787-860FD8D70D3B}"/>
    <dgm:cxn modelId="{DD87253A-F601-47CD-844C-AAEC1A77371F}" type="presOf" srcId="{01D90C7E-716E-42CE-96D8-3164F308E88B}" destId="{EA949145-E5F4-4603-AF18-1E15A2E89EDA}" srcOrd="1" destOrd="0" presId="urn:microsoft.com/office/officeart/2005/8/layout/orgChart1"/>
    <dgm:cxn modelId="{4A59567B-E9C6-433D-AB7E-5D2F5435B7E0}" type="presOf" srcId="{81E7ADF3-B631-4662-AE5B-0236CEADCFBA}" destId="{CD5D1FC1-31B1-4E97-872F-00E96C77CFA8}" srcOrd="0" destOrd="0" presId="urn:microsoft.com/office/officeart/2005/8/layout/orgChart1"/>
    <dgm:cxn modelId="{C7A263EE-74B7-4C02-BD0E-DB65601A17FC}" type="presOf" srcId="{EACBC68A-D191-4B78-A9E2-F245F14BBF2B}" destId="{A52BA2AF-6D87-4226-886D-1A7F839271ED}" srcOrd="0" destOrd="0" presId="urn:microsoft.com/office/officeart/2005/8/layout/orgChart1"/>
    <dgm:cxn modelId="{5968FA94-4253-4061-B075-B7D59AE24D63}" srcId="{3D2B1ABE-09D8-4DA8-883D-3EEB7AE9A2E5}" destId="{81E7ADF3-B631-4662-AE5B-0236CEADCFBA}" srcOrd="0" destOrd="0" parTransId="{F97A253F-AA3B-42EE-87EF-8C9074EB29F6}" sibTransId="{1C4F4937-1407-43BA-BB04-609EB5729E41}"/>
    <dgm:cxn modelId="{C5B24143-D9AF-4945-81BB-1AA2FF55117B}" srcId="{81E7ADF3-B631-4662-AE5B-0236CEADCFBA}" destId="{0B11AC2C-48BC-4244-B121-6E1D3D698053}" srcOrd="0" destOrd="0" parTransId="{AB321436-ADC4-4AEF-8E69-610650204C34}" sibTransId="{569B2A2B-F73A-4048-A9DE-BF501F61744E}"/>
    <dgm:cxn modelId="{D8A9C37E-DE4B-4A50-9A9E-4447D995D197}" type="presOf" srcId="{CDA4AB95-0996-4B60-850C-FEF1D9F2C040}" destId="{FEBC9E9F-B886-449E-BB73-AE73BE761479}" srcOrd="0" destOrd="0" presId="urn:microsoft.com/office/officeart/2005/8/layout/orgChart1"/>
    <dgm:cxn modelId="{7492DFAA-B2C8-4AF5-B475-ED540067C016}" type="presOf" srcId="{CDA4AB95-0996-4B60-850C-FEF1D9F2C040}" destId="{4957DF74-0B4B-43F3-A9A0-19531DF18E0C}" srcOrd="1" destOrd="0" presId="urn:microsoft.com/office/officeart/2005/8/layout/orgChart1"/>
    <dgm:cxn modelId="{039842BD-AAE1-4539-9180-EED8A751DE0F}" type="presOf" srcId="{01D90C7E-716E-42CE-96D8-3164F308E88B}" destId="{FA8B1481-A35D-482F-87BE-E7D74A475B8F}" srcOrd="0" destOrd="0" presId="urn:microsoft.com/office/officeart/2005/8/layout/orgChart1"/>
    <dgm:cxn modelId="{E7ED537B-84D6-4518-8E3C-BB93F2B7622A}" type="presOf" srcId="{2363EA01-74B7-4AE7-B7C1-54156CC30C30}" destId="{6A315489-94FF-4C4D-AB03-7174F206BB89}" srcOrd="0" destOrd="0" presId="urn:microsoft.com/office/officeart/2005/8/layout/orgChart1"/>
    <dgm:cxn modelId="{AB072C67-EF7D-4B32-8BEB-BF41E97B4F8D}" type="presOf" srcId="{E7070E0D-2098-46D4-BA75-ED166CE6602A}" destId="{5C3CCCCE-3D20-4B15-84E8-1382F53ED691}" srcOrd="0" destOrd="0" presId="urn:microsoft.com/office/officeart/2005/8/layout/orgChart1"/>
    <dgm:cxn modelId="{22705C2F-C0B4-49BC-A0CA-D9F73A94BECB}" type="presOf" srcId="{AB321436-ADC4-4AEF-8E69-610650204C34}" destId="{CFC1C018-7769-40C7-BDB4-F090ED1B978B}" srcOrd="0" destOrd="0" presId="urn:microsoft.com/office/officeart/2005/8/layout/orgChart1"/>
    <dgm:cxn modelId="{4FA63BB3-015B-4479-A9FE-D2211D9D25A8}" srcId="{81E7ADF3-B631-4662-AE5B-0236CEADCFBA}" destId="{01D90C7E-716E-42CE-96D8-3164F308E88B}" srcOrd="3" destOrd="0" parTransId="{EACBC68A-D191-4B78-A9E2-F245F14BBF2B}" sibTransId="{29256EB3-E230-42C2-A7B1-F92EF6E3EA53}"/>
    <dgm:cxn modelId="{2EFB560B-9BD5-4A8D-9EC6-3116D014F354}" type="presParOf" srcId="{B74C465F-9AD9-43FD-864A-C5359E94E370}" destId="{5C438408-12B7-4ED1-8033-1A123660501F}" srcOrd="0" destOrd="0" presId="urn:microsoft.com/office/officeart/2005/8/layout/orgChart1"/>
    <dgm:cxn modelId="{9E7382BB-5838-401C-BD4D-7354876B91C5}" type="presParOf" srcId="{5C438408-12B7-4ED1-8033-1A123660501F}" destId="{EC9CE7C7-8CF1-4A24-9BB4-BCA9946131D9}" srcOrd="0" destOrd="0" presId="urn:microsoft.com/office/officeart/2005/8/layout/orgChart1"/>
    <dgm:cxn modelId="{8B96D8B6-3B08-4856-8DF9-9563DC399E24}" type="presParOf" srcId="{EC9CE7C7-8CF1-4A24-9BB4-BCA9946131D9}" destId="{CD5D1FC1-31B1-4E97-872F-00E96C77CFA8}" srcOrd="0" destOrd="0" presId="urn:microsoft.com/office/officeart/2005/8/layout/orgChart1"/>
    <dgm:cxn modelId="{661EBC34-282D-4DC3-AA25-2EB4343982E5}" type="presParOf" srcId="{EC9CE7C7-8CF1-4A24-9BB4-BCA9946131D9}" destId="{8666FA59-509F-4079-B118-E856DC4C2F34}" srcOrd="1" destOrd="0" presId="urn:microsoft.com/office/officeart/2005/8/layout/orgChart1"/>
    <dgm:cxn modelId="{39E8285F-D262-44E3-967D-BD903FE75B13}" type="presParOf" srcId="{5C438408-12B7-4ED1-8033-1A123660501F}" destId="{4FAE3D0E-87D2-4F47-AB17-76D837403558}" srcOrd="1" destOrd="0" presId="urn:microsoft.com/office/officeart/2005/8/layout/orgChart1"/>
    <dgm:cxn modelId="{6010285E-F4DF-4F64-8C71-644D8BC047E5}" type="presParOf" srcId="{4FAE3D0E-87D2-4F47-AB17-76D837403558}" destId="{CFC1C018-7769-40C7-BDB4-F090ED1B978B}" srcOrd="0" destOrd="0" presId="urn:microsoft.com/office/officeart/2005/8/layout/orgChart1"/>
    <dgm:cxn modelId="{510C6F31-2ECF-4C68-BD63-570685635F79}" type="presParOf" srcId="{4FAE3D0E-87D2-4F47-AB17-76D837403558}" destId="{B4FBD908-02EF-4CF8-809E-5AF3F64CFF76}" srcOrd="1" destOrd="0" presId="urn:microsoft.com/office/officeart/2005/8/layout/orgChart1"/>
    <dgm:cxn modelId="{6B73AEAF-94E4-495D-8C85-8CFB54AD5AC9}" type="presParOf" srcId="{B4FBD908-02EF-4CF8-809E-5AF3F64CFF76}" destId="{C1F9220E-591B-4678-91DE-C6AE2CF9BAEB}" srcOrd="0" destOrd="0" presId="urn:microsoft.com/office/officeart/2005/8/layout/orgChart1"/>
    <dgm:cxn modelId="{337C5AEC-B82E-4940-B660-29C4AFA08DBF}" type="presParOf" srcId="{C1F9220E-591B-4678-91DE-C6AE2CF9BAEB}" destId="{5F803A4A-7C8E-4811-9E64-6B1AF3521261}" srcOrd="0" destOrd="0" presId="urn:microsoft.com/office/officeart/2005/8/layout/orgChart1"/>
    <dgm:cxn modelId="{D945C823-A156-4263-85E4-D4B83213113E}" type="presParOf" srcId="{C1F9220E-591B-4678-91DE-C6AE2CF9BAEB}" destId="{C0674768-05C5-499C-AEFD-374D5011328E}" srcOrd="1" destOrd="0" presId="urn:microsoft.com/office/officeart/2005/8/layout/orgChart1"/>
    <dgm:cxn modelId="{57E39AED-18AC-45E0-87BC-4D7FFCF8D5B8}" type="presParOf" srcId="{B4FBD908-02EF-4CF8-809E-5AF3F64CFF76}" destId="{FD9DC2AD-C654-4A12-8EF0-DD5473CD4DB2}" srcOrd="1" destOrd="0" presId="urn:microsoft.com/office/officeart/2005/8/layout/orgChart1"/>
    <dgm:cxn modelId="{D6373C25-F4A8-470D-A300-641BE8F58BAA}" type="presParOf" srcId="{B4FBD908-02EF-4CF8-809E-5AF3F64CFF76}" destId="{6FE72A0F-0DB3-4CA6-B80D-F46424854644}" srcOrd="2" destOrd="0" presId="urn:microsoft.com/office/officeart/2005/8/layout/orgChart1"/>
    <dgm:cxn modelId="{FEE05FDA-500E-4E9B-8D9F-3B41DC08032A}" type="presParOf" srcId="{4FAE3D0E-87D2-4F47-AB17-76D837403558}" destId="{6A315489-94FF-4C4D-AB03-7174F206BB89}" srcOrd="2" destOrd="0" presId="urn:microsoft.com/office/officeart/2005/8/layout/orgChart1"/>
    <dgm:cxn modelId="{AA8E3E9A-6CED-415F-8208-FC86B3AD1935}" type="presParOf" srcId="{4FAE3D0E-87D2-4F47-AB17-76D837403558}" destId="{487344D5-B85F-4420-BE94-E1A0BE0E8254}" srcOrd="3" destOrd="0" presId="urn:microsoft.com/office/officeart/2005/8/layout/orgChart1"/>
    <dgm:cxn modelId="{D0679145-443C-4BA3-9AD2-01AFC45970F9}" type="presParOf" srcId="{487344D5-B85F-4420-BE94-E1A0BE0E8254}" destId="{718590FC-B137-48C7-B26B-8984F733E5C9}" srcOrd="0" destOrd="0" presId="urn:microsoft.com/office/officeart/2005/8/layout/orgChart1"/>
    <dgm:cxn modelId="{B8B975EC-6E60-4B17-B75B-10934E862C1C}" type="presParOf" srcId="{718590FC-B137-48C7-B26B-8984F733E5C9}" destId="{FEBC9E9F-B886-449E-BB73-AE73BE761479}" srcOrd="0" destOrd="0" presId="urn:microsoft.com/office/officeart/2005/8/layout/orgChart1"/>
    <dgm:cxn modelId="{7970C38E-36D2-4C5E-A7DA-55F0AB5D297A}" type="presParOf" srcId="{718590FC-B137-48C7-B26B-8984F733E5C9}" destId="{4957DF74-0B4B-43F3-A9A0-19531DF18E0C}" srcOrd="1" destOrd="0" presId="urn:microsoft.com/office/officeart/2005/8/layout/orgChart1"/>
    <dgm:cxn modelId="{D22DBB2F-A2DB-4906-A39A-2519348AC722}" type="presParOf" srcId="{487344D5-B85F-4420-BE94-E1A0BE0E8254}" destId="{8BB78946-98EA-4517-84FE-3E920CC40D0B}" srcOrd="1" destOrd="0" presId="urn:microsoft.com/office/officeart/2005/8/layout/orgChart1"/>
    <dgm:cxn modelId="{2CCCB068-AA18-4EDD-83BE-10C52AB8D4DE}" type="presParOf" srcId="{487344D5-B85F-4420-BE94-E1A0BE0E8254}" destId="{3750CCB2-F35C-4A05-BDB1-B2360F9BCFD4}" srcOrd="2" destOrd="0" presId="urn:microsoft.com/office/officeart/2005/8/layout/orgChart1"/>
    <dgm:cxn modelId="{7D2E8F44-7351-46E6-BB88-4A830263257A}" type="presParOf" srcId="{4FAE3D0E-87D2-4F47-AB17-76D837403558}" destId="{5C3CCCCE-3D20-4B15-84E8-1382F53ED691}" srcOrd="4" destOrd="0" presId="urn:microsoft.com/office/officeart/2005/8/layout/orgChart1"/>
    <dgm:cxn modelId="{FA1E11FF-05D0-4696-85D1-D076C9FCA172}" type="presParOf" srcId="{4FAE3D0E-87D2-4F47-AB17-76D837403558}" destId="{62411DED-D7DE-459A-A0B3-3D667EF3D954}" srcOrd="5" destOrd="0" presId="urn:microsoft.com/office/officeart/2005/8/layout/orgChart1"/>
    <dgm:cxn modelId="{FBE286A5-D22E-4E8A-ACAB-0B036B7969D0}" type="presParOf" srcId="{62411DED-D7DE-459A-A0B3-3D667EF3D954}" destId="{EC1CA61C-34AD-4A49-9CEB-9884F4EAC295}" srcOrd="0" destOrd="0" presId="urn:microsoft.com/office/officeart/2005/8/layout/orgChart1"/>
    <dgm:cxn modelId="{106DB8B5-1A73-49D8-B80E-61B778A1D588}" type="presParOf" srcId="{EC1CA61C-34AD-4A49-9CEB-9884F4EAC295}" destId="{2B5DE013-4671-4467-BD66-7E5DBDFDE698}" srcOrd="0" destOrd="0" presId="urn:microsoft.com/office/officeart/2005/8/layout/orgChart1"/>
    <dgm:cxn modelId="{5C0E4EE8-3A6E-4CD2-A0AD-2200C8068E8C}" type="presParOf" srcId="{EC1CA61C-34AD-4A49-9CEB-9884F4EAC295}" destId="{2CBA3BFC-6F4C-4561-88A6-5934FC410119}" srcOrd="1" destOrd="0" presId="urn:microsoft.com/office/officeart/2005/8/layout/orgChart1"/>
    <dgm:cxn modelId="{70991E97-FF5F-45BE-9276-C57038A97737}" type="presParOf" srcId="{62411DED-D7DE-459A-A0B3-3D667EF3D954}" destId="{8F6D40C6-B803-4FC0-AC4A-88B551FF5697}" srcOrd="1" destOrd="0" presId="urn:microsoft.com/office/officeart/2005/8/layout/orgChart1"/>
    <dgm:cxn modelId="{C24A50D0-D205-41F7-968C-74DDC2F1237A}" type="presParOf" srcId="{62411DED-D7DE-459A-A0B3-3D667EF3D954}" destId="{18B76CB8-4373-4732-B10F-77059A261EC7}" srcOrd="2" destOrd="0" presId="urn:microsoft.com/office/officeart/2005/8/layout/orgChart1"/>
    <dgm:cxn modelId="{4EF505FF-96BB-4528-8351-2EC516913F9B}" type="presParOf" srcId="{4FAE3D0E-87D2-4F47-AB17-76D837403558}" destId="{A52BA2AF-6D87-4226-886D-1A7F839271ED}" srcOrd="6" destOrd="0" presId="urn:microsoft.com/office/officeart/2005/8/layout/orgChart1"/>
    <dgm:cxn modelId="{404F0423-B950-45C1-A7FA-263CBC449A37}" type="presParOf" srcId="{4FAE3D0E-87D2-4F47-AB17-76D837403558}" destId="{9D255C92-403B-41FD-8EEC-A67BC6C1EDCE}" srcOrd="7" destOrd="0" presId="urn:microsoft.com/office/officeart/2005/8/layout/orgChart1"/>
    <dgm:cxn modelId="{36E26E13-A0A3-4E34-A69D-AB682031BDBC}" type="presParOf" srcId="{9D255C92-403B-41FD-8EEC-A67BC6C1EDCE}" destId="{0732D98B-9D30-4BA3-B544-4B221E2F58E6}" srcOrd="0" destOrd="0" presId="urn:microsoft.com/office/officeart/2005/8/layout/orgChart1"/>
    <dgm:cxn modelId="{BD29B9B9-4941-4A98-B457-71D67E9E06C8}" type="presParOf" srcId="{0732D98B-9D30-4BA3-B544-4B221E2F58E6}" destId="{FA8B1481-A35D-482F-87BE-E7D74A475B8F}" srcOrd="0" destOrd="0" presId="urn:microsoft.com/office/officeart/2005/8/layout/orgChart1"/>
    <dgm:cxn modelId="{BFB28F42-3500-4E2F-AB5E-0475C4D6A5B1}" type="presParOf" srcId="{0732D98B-9D30-4BA3-B544-4B221E2F58E6}" destId="{EA949145-E5F4-4603-AF18-1E15A2E89EDA}" srcOrd="1" destOrd="0" presId="urn:microsoft.com/office/officeart/2005/8/layout/orgChart1"/>
    <dgm:cxn modelId="{546B8369-704E-41D0-BB69-B2ED65281FF4}" type="presParOf" srcId="{9D255C92-403B-41FD-8EEC-A67BC6C1EDCE}" destId="{E7E4D7CB-05CD-4FB5-8C77-5C2648CB7D0F}" srcOrd="1" destOrd="0" presId="urn:microsoft.com/office/officeart/2005/8/layout/orgChart1"/>
    <dgm:cxn modelId="{A1F95DB8-66DA-49B5-A164-D58AA072F056}" type="presParOf" srcId="{9D255C92-403B-41FD-8EEC-A67BC6C1EDCE}" destId="{01DDA4AE-5EEF-4E92-B3FC-4C4C56EB613B}" srcOrd="2" destOrd="0" presId="urn:microsoft.com/office/officeart/2005/8/layout/orgChart1"/>
    <dgm:cxn modelId="{46B049E4-F23D-4D77-99D0-48D888471B80}" type="presParOf" srcId="{4FAE3D0E-87D2-4F47-AB17-76D837403558}" destId="{FC31F196-BA51-432A-AD71-17C5434FB0F2}" srcOrd="8" destOrd="0" presId="urn:microsoft.com/office/officeart/2005/8/layout/orgChart1"/>
    <dgm:cxn modelId="{918304B8-1388-4269-AA16-09BAE6B5F392}" type="presParOf" srcId="{4FAE3D0E-87D2-4F47-AB17-76D837403558}" destId="{556AFEE3-5F12-4A12-953C-4BF6AEC218CD}" srcOrd="9" destOrd="0" presId="urn:microsoft.com/office/officeart/2005/8/layout/orgChart1"/>
    <dgm:cxn modelId="{AB21D73A-D17D-4DD7-A5D5-E7AC811E8243}" type="presParOf" srcId="{556AFEE3-5F12-4A12-953C-4BF6AEC218CD}" destId="{22B54F46-9E41-4381-8F5E-E8FE4703D6FD}" srcOrd="0" destOrd="0" presId="urn:microsoft.com/office/officeart/2005/8/layout/orgChart1"/>
    <dgm:cxn modelId="{B724B777-A353-489A-AEC1-314175722112}" type="presParOf" srcId="{22B54F46-9E41-4381-8F5E-E8FE4703D6FD}" destId="{80EFF353-5F78-410B-ADB9-6E9EECE4414B}" srcOrd="0" destOrd="0" presId="urn:microsoft.com/office/officeart/2005/8/layout/orgChart1"/>
    <dgm:cxn modelId="{59663113-1D35-42AB-9A30-45905A0DECA0}" type="presParOf" srcId="{22B54F46-9E41-4381-8F5E-E8FE4703D6FD}" destId="{EAB4C60B-0241-4E0A-BFC7-7DD1ACEA7B22}" srcOrd="1" destOrd="0" presId="urn:microsoft.com/office/officeart/2005/8/layout/orgChart1"/>
    <dgm:cxn modelId="{D140DFFC-882A-4341-AFAB-72129EABA1BB}" type="presParOf" srcId="{556AFEE3-5F12-4A12-953C-4BF6AEC218CD}" destId="{F0F83606-6774-4BCA-A634-CBEFE98B556D}" srcOrd="1" destOrd="0" presId="urn:microsoft.com/office/officeart/2005/8/layout/orgChart1"/>
    <dgm:cxn modelId="{B110D12F-FA6C-44E4-A19E-6DF4C161CEEE}" type="presParOf" srcId="{556AFEE3-5F12-4A12-953C-4BF6AEC218CD}" destId="{0A9F8B4B-84E9-4F32-B182-E8CE282989AB}" srcOrd="2" destOrd="0" presId="urn:microsoft.com/office/officeart/2005/8/layout/orgChart1"/>
    <dgm:cxn modelId="{9FBCDFBE-4C4C-4896-B084-6F01B7256E57}" type="presParOf" srcId="{5C438408-12B7-4ED1-8033-1A123660501F}" destId="{03944FA2-6503-4849-ABC7-53A23301E644}"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9FB5E53-3A23-44B6-83F2-A72B41330F0C}" type="doc">
      <dgm:prSet loTypeId="urn:microsoft.com/office/officeart/2005/8/layout/lProcess1" loCatId="process" qsTypeId="urn:microsoft.com/office/officeart/2005/8/quickstyle/simple1" qsCatId="simple" csTypeId="urn:microsoft.com/office/officeart/2005/8/colors/colorful1" csCatId="colorful" phldr="1"/>
      <dgm:spPr/>
      <dgm:t>
        <a:bodyPr/>
        <a:lstStyle/>
        <a:p>
          <a:endParaRPr lang="en-US"/>
        </a:p>
      </dgm:t>
    </dgm:pt>
    <dgm:pt modelId="{8B0CD044-2C5C-4B58-8C67-65F3710929C1}">
      <dgm:prSet phldrT="[Text]" custT="1"/>
      <dgm:spPr>
        <a:xfrm>
          <a:off x="0" y="805"/>
          <a:ext cx="2441448" cy="778189"/>
        </a:xfrm>
      </dgm:spPr>
      <dgm:t>
        <a:bodyPr/>
        <a:lstStyle/>
        <a:p>
          <a:r>
            <a:rPr lang="x-none" sz="900" b="1">
              <a:latin typeface="+mj-lt"/>
              <a:ea typeface="+mn-ea"/>
              <a:cs typeface="+mn-cs"/>
            </a:rPr>
            <a:t>Višegodišnji finansijski okvir EU 2021-2027</a:t>
          </a:r>
          <a:r>
            <a:rPr lang="sr-Latn-RS" sz="900" b="1">
              <a:latin typeface="+mj-lt"/>
              <a:ea typeface="+mn-ea"/>
              <a:cs typeface="+mn-cs"/>
            </a:rPr>
            <a:t>.</a:t>
          </a:r>
          <a:endParaRPr lang="en-US" sz="900" b="1">
            <a:latin typeface="+mj-lt"/>
          </a:endParaRPr>
        </a:p>
      </dgm:t>
    </dgm:pt>
    <dgm:pt modelId="{577C647F-8CE5-4E29-8F0D-3AD3A9505B36}" type="parTrans" cxnId="{05374C71-64EF-4F36-B133-D5E0406C0E12}">
      <dgm:prSet/>
      <dgm:spPr/>
      <dgm:t>
        <a:bodyPr/>
        <a:lstStyle/>
        <a:p>
          <a:endParaRPr lang="en-US"/>
        </a:p>
      </dgm:t>
    </dgm:pt>
    <dgm:pt modelId="{DBD79530-A497-4C1E-ABC0-7453F1346EF9}" type="sibTrans" cxnId="{05374C71-64EF-4F36-B133-D5E0406C0E12}">
      <dgm:prSet/>
      <dgm:spPr/>
      <dgm:t>
        <a:bodyPr/>
        <a:lstStyle/>
        <a:p>
          <a:endParaRPr lang="en-US"/>
        </a:p>
      </dgm:t>
    </dgm:pt>
    <dgm:pt modelId="{7711DB2C-9B0B-458E-B0C3-D796EC47D2D2}">
      <dgm:prSet custT="1"/>
      <dgm:spPr>
        <a:xfrm>
          <a:off x="2441447" y="805"/>
          <a:ext cx="3662172" cy="778189"/>
        </a:xfrm>
      </dgm:spPr>
      <dgm:t>
        <a:bodyPr/>
        <a:lstStyle/>
        <a:p>
          <a:r>
            <a:rPr lang="x-none" sz="900">
              <a:latin typeface="+mj-lt"/>
              <a:ea typeface="+mn-ea"/>
              <a:cs typeface="+mn-cs"/>
            </a:rPr>
            <a:t>dodati ciljeve</a:t>
          </a:r>
          <a:endParaRPr lang="en-US" sz="900">
            <a:latin typeface="+mj-lt"/>
            <a:ea typeface="+mn-ea"/>
            <a:cs typeface="+mn-cs"/>
          </a:endParaRPr>
        </a:p>
      </dgm:t>
    </dgm:pt>
    <dgm:pt modelId="{853B0A1D-8FBB-4EF5-91D1-722F0A40CDDB}" type="parTrans" cxnId="{CB6B7760-124D-453F-B8F3-B122220EA0C8}">
      <dgm:prSet/>
      <dgm:spPr/>
      <dgm:t>
        <a:bodyPr/>
        <a:lstStyle/>
        <a:p>
          <a:endParaRPr lang="en-US"/>
        </a:p>
      </dgm:t>
    </dgm:pt>
    <dgm:pt modelId="{F8488A81-7D8E-461E-8CBC-9A1EA6D51FEE}" type="sibTrans" cxnId="{CB6B7760-124D-453F-B8F3-B122220EA0C8}">
      <dgm:prSet/>
      <dgm:spPr/>
      <dgm:t>
        <a:bodyPr/>
        <a:lstStyle/>
        <a:p>
          <a:endParaRPr lang="en-US"/>
        </a:p>
      </dgm:t>
    </dgm:pt>
    <dgm:pt modelId="{1D2D1DD6-2571-431E-AC08-9292B50448FF}">
      <dgm:prSet phldrT="[Text]" custT="1"/>
      <dgm:spPr>
        <a:xfrm>
          <a:off x="0" y="856814"/>
          <a:ext cx="2441448" cy="778189"/>
        </a:xfrm>
      </dgm:spPr>
      <dgm:t>
        <a:bodyPr/>
        <a:lstStyle/>
        <a:p>
          <a:r>
            <a:rPr lang="x-none" sz="900" b="1">
              <a:latin typeface="+mj-lt"/>
              <a:ea typeface="+mn-ea"/>
              <a:cs typeface="+mn-cs"/>
            </a:rPr>
            <a:t>IPA III</a:t>
          </a:r>
          <a:endParaRPr lang="en-US" sz="900" b="1">
            <a:latin typeface="+mj-lt"/>
            <a:ea typeface="+mn-ea"/>
            <a:cs typeface="+mn-cs"/>
          </a:endParaRPr>
        </a:p>
      </dgm:t>
    </dgm:pt>
    <dgm:pt modelId="{26160036-4E3A-4882-BE36-00BDD4BC99BB}" type="parTrans" cxnId="{301ED3D8-0A4A-43A1-9F85-B778E87935AE}">
      <dgm:prSet/>
      <dgm:spPr/>
      <dgm:t>
        <a:bodyPr/>
        <a:lstStyle/>
        <a:p>
          <a:endParaRPr lang="en-US"/>
        </a:p>
      </dgm:t>
    </dgm:pt>
    <dgm:pt modelId="{7DF93D91-4F5B-4E06-9323-452A5F7D76AA}" type="sibTrans" cxnId="{301ED3D8-0A4A-43A1-9F85-B778E87935AE}">
      <dgm:prSet/>
      <dgm:spPr/>
      <dgm:t>
        <a:bodyPr/>
        <a:lstStyle/>
        <a:p>
          <a:endParaRPr lang="en-US"/>
        </a:p>
      </dgm:t>
    </dgm:pt>
    <dgm:pt modelId="{B692693B-DB5D-44B8-91F9-1C7DB84C071F}">
      <dgm:prSet phldrT="[Text]" custT="1"/>
      <dgm:spPr>
        <a:xfrm>
          <a:off x="2441447" y="856814"/>
          <a:ext cx="3662172" cy="778189"/>
        </a:xfrm>
      </dgm:spPr>
      <dgm:t>
        <a:bodyPr/>
        <a:lstStyle/>
        <a:p>
          <a:endParaRPr lang="en-US" sz="900">
            <a:solidFill>
              <a:srgbClr val="000000">
                <a:hueOff val="0"/>
                <a:satOff val="0"/>
                <a:lumOff val="0"/>
                <a:alphaOff val="0"/>
              </a:srgbClr>
            </a:solidFill>
            <a:latin typeface="+mj-lt"/>
            <a:ea typeface="+mn-ea"/>
            <a:cs typeface="+mn-cs"/>
          </a:endParaRPr>
        </a:p>
      </dgm:t>
    </dgm:pt>
    <dgm:pt modelId="{FA2A5614-B078-418D-90F1-518D4882EFAF}" type="parTrans" cxnId="{8B08D51B-2915-458F-AD5B-AF06DADB6528}">
      <dgm:prSet/>
      <dgm:spPr/>
      <dgm:t>
        <a:bodyPr/>
        <a:lstStyle/>
        <a:p>
          <a:endParaRPr lang="en-US"/>
        </a:p>
      </dgm:t>
    </dgm:pt>
    <dgm:pt modelId="{9F0BB1E5-B682-499B-8F98-FBA37FE0C050}" type="sibTrans" cxnId="{8B08D51B-2915-458F-AD5B-AF06DADB6528}">
      <dgm:prSet/>
      <dgm:spPr/>
      <dgm:t>
        <a:bodyPr/>
        <a:lstStyle/>
        <a:p>
          <a:endParaRPr lang="en-US"/>
        </a:p>
      </dgm:t>
    </dgm:pt>
    <dgm:pt modelId="{5C3C03C3-1253-4F3D-A449-63838F8400EF}">
      <dgm:prSet phldrT="[Text]" custT="1"/>
      <dgm:spPr>
        <a:xfrm>
          <a:off x="2441447" y="856814"/>
          <a:ext cx="3662172" cy="778189"/>
        </a:xfrm>
      </dgm:spPr>
      <dgm:t>
        <a:bodyPr/>
        <a:lstStyle/>
        <a:p>
          <a:endParaRPr lang="en-US" sz="900">
            <a:solidFill>
              <a:srgbClr val="000000">
                <a:hueOff val="0"/>
                <a:satOff val="0"/>
                <a:lumOff val="0"/>
                <a:alphaOff val="0"/>
              </a:srgbClr>
            </a:solidFill>
            <a:latin typeface="+mj-lt"/>
            <a:ea typeface="+mn-ea"/>
            <a:cs typeface="+mn-cs"/>
          </a:endParaRPr>
        </a:p>
      </dgm:t>
    </dgm:pt>
    <dgm:pt modelId="{C6FCDC61-C930-4C22-B108-C932DC547B50}" type="parTrans" cxnId="{04879139-2AF9-4D89-A2D8-97B632FE608D}">
      <dgm:prSet/>
      <dgm:spPr/>
      <dgm:t>
        <a:bodyPr/>
        <a:lstStyle/>
        <a:p>
          <a:endParaRPr lang="en-US"/>
        </a:p>
      </dgm:t>
    </dgm:pt>
    <dgm:pt modelId="{4D69A661-AFDB-490C-872A-B2E5416E7638}" type="sibTrans" cxnId="{04879139-2AF9-4D89-A2D8-97B632FE608D}">
      <dgm:prSet/>
      <dgm:spPr/>
      <dgm:t>
        <a:bodyPr/>
        <a:lstStyle/>
        <a:p>
          <a:endParaRPr lang="en-US"/>
        </a:p>
      </dgm:t>
    </dgm:pt>
    <dgm:pt modelId="{A8026972-92CF-4F77-A175-5D34DB3E52DC}">
      <dgm:prSet phldrT="[Text]" custT="1"/>
      <dgm:spPr>
        <a:xfrm>
          <a:off x="2441447" y="856814"/>
          <a:ext cx="3662172" cy="778189"/>
        </a:xfrm>
      </dgm:spPr>
      <dgm:t>
        <a:bodyPr/>
        <a:lstStyle/>
        <a:p>
          <a:endParaRPr lang="en-US" sz="900">
            <a:solidFill>
              <a:srgbClr val="000000">
                <a:hueOff val="0"/>
                <a:satOff val="0"/>
                <a:lumOff val="0"/>
                <a:alphaOff val="0"/>
              </a:srgbClr>
            </a:solidFill>
            <a:latin typeface="+mj-lt"/>
            <a:ea typeface="+mn-ea"/>
            <a:cs typeface="+mn-cs"/>
          </a:endParaRPr>
        </a:p>
      </dgm:t>
    </dgm:pt>
    <dgm:pt modelId="{C7AEC3F9-B62F-4C18-998C-71A509BFE4B5}" type="parTrans" cxnId="{B672BD5A-FB60-48B2-9A6B-F647BFAD0564}">
      <dgm:prSet/>
      <dgm:spPr/>
      <dgm:t>
        <a:bodyPr/>
        <a:lstStyle/>
        <a:p>
          <a:endParaRPr lang="en-US"/>
        </a:p>
      </dgm:t>
    </dgm:pt>
    <dgm:pt modelId="{3E0C20F7-C93D-498B-82CC-C15E151B00D3}" type="sibTrans" cxnId="{B672BD5A-FB60-48B2-9A6B-F647BFAD0564}">
      <dgm:prSet/>
      <dgm:spPr/>
      <dgm:t>
        <a:bodyPr/>
        <a:lstStyle/>
        <a:p>
          <a:endParaRPr lang="en-US"/>
        </a:p>
      </dgm:t>
    </dgm:pt>
    <dgm:pt modelId="{76719AB6-D384-44F8-9125-83512F44E88F}">
      <dgm:prSet phldrT="[Text]" custT="1"/>
      <dgm:spPr>
        <a:xfrm>
          <a:off x="2441447" y="856814"/>
          <a:ext cx="3662172" cy="778189"/>
        </a:xfrm>
      </dgm:spPr>
      <dgm:t>
        <a:bodyPr/>
        <a:lstStyle/>
        <a:p>
          <a:r>
            <a:rPr lang="x-none" sz="900">
              <a:latin typeface="+mj-lt"/>
              <a:ea typeface="+mn-ea"/>
              <a:cs typeface="+mn-cs"/>
            </a:rPr>
            <a:t>dodati ciljeve</a:t>
          </a:r>
          <a:endParaRPr lang="en-US" sz="900">
            <a:latin typeface="+mj-lt"/>
            <a:ea typeface="+mn-ea"/>
            <a:cs typeface="+mn-cs"/>
          </a:endParaRPr>
        </a:p>
      </dgm:t>
    </dgm:pt>
    <dgm:pt modelId="{E325B64A-56FB-407D-8CDF-A7907237B07D}" type="parTrans" cxnId="{6B153E92-1289-4197-9DB1-32877AD4F489}">
      <dgm:prSet/>
      <dgm:spPr/>
      <dgm:t>
        <a:bodyPr/>
        <a:lstStyle/>
        <a:p>
          <a:endParaRPr lang="en-US"/>
        </a:p>
      </dgm:t>
    </dgm:pt>
    <dgm:pt modelId="{FB1C6B0C-826A-4FFF-AADA-4E2F0A2568FE}" type="sibTrans" cxnId="{6B153E92-1289-4197-9DB1-32877AD4F489}">
      <dgm:prSet/>
      <dgm:spPr/>
      <dgm:t>
        <a:bodyPr/>
        <a:lstStyle/>
        <a:p>
          <a:endParaRPr lang="en-US"/>
        </a:p>
      </dgm:t>
    </dgm:pt>
    <dgm:pt modelId="{59073B8E-EC75-4121-9AD2-206F53AD4667}">
      <dgm:prSet custT="1"/>
      <dgm:spPr>
        <a:xfrm>
          <a:off x="2980" y="1802999"/>
          <a:ext cx="2439063" cy="778189"/>
        </a:xfrm>
      </dgm:spPr>
      <dgm:t>
        <a:bodyPr/>
        <a:lstStyle/>
        <a:p>
          <a:r>
            <a:rPr lang="x-none" sz="900" b="1">
              <a:latin typeface="+mj-lt"/>
              <a:ea typeface="+mn-ea"/>
              <a:cs typeface="+mn-cs"/>
            </a:rPr>
            <a:t>Program slovenskog predsjedništva EU</a:t>
          </a:r>
          <a:endParaRPr lang="en-US" sz="900" b="1">
            <a:latin typeface="+mj-lt"/>
            <a:ea typeface="+mn-ea"/>
            <a:cs typeface="+mn-cs"/>
          </a:endParaRPr>
        </a:p>
      </dgm:t>
    </dgm:pt>
    <dgm:pt modelId="{ECA7FAEF-8DD8-4276-B731-384B37A013D0}" type="parTrans" cxnId="{AFDCBA52-D15D-4889-ACE0-6FD130984356}">
      <dgm:prSet/>
      <dgm:spPr/>
      <dgm:t>
        <a:bodyPr/>
        <a:lstStyle/>
        <a:p>
          <a:endParaRPr lang="en-US"/>
        </a:p>
      </dgm:t>
    </dgm:pt>
    <dgm:pt modelId="{C7B5E2FD-8BE8-468F-AFCA-A3805489A203}" type="sibTrans" cxnId="{AFDCBA52-D15D-4889-ACE0-6FD130984356}">
      <dgm:prSet/>
      <dgm:spPr/>
      <dgm:t>
        <a:bodyPr/>
        <a:lstStyle/>
        <a:p>
          <a:endParaRPr lang="en-US"/>
        </a:p>
      </dgm:t>
    </dgm:pt>
    <dgm:pt modelId="{976A6CBF-E4B9-483F-BB67-6FF1A044C7A3}">
      <dgm:prSet custT="1"/>
      <dgm:spPr>
        <a:xfrm>
          <a:off x="2442044" y="1712823"/>
          <a:ext cx="3658595" cy="958542"/>
        </a:xfrm>
      </dgm:spPr>
      <dgm:t>
        <a:bodyPr/>
        <a:lstStyle/>
        <a:p>
          <a:r>
            <a:rPr lang="x-none" sz="900">
              <a:latin typeface="+mj-lt"/>
              <a:ea typeface="+mn-ea"/>
              <a:cs typeface="+mn-cs"/>
            </a:rPr>
            <a:t> </a:t>
          </a:r>
          <a:r>
            <a:rPr lang="en-US" sz="900">
              <a:latin typeface="+mj-lt"/>
              <a:ea typeface="+mn-ea"/>
              <a:cs typeface="+mn-cs"/>
            </a:rPr>
            <a:t>Agilna javna uprava, bliža građanima i preduze</a:t>
          </a:r>
          <a:r>
            <a:rPr lang="x-none" sz="900">
              <a:latin typeface="+mj-lt"/>
              <a:ea typeface="+mn-ea"/>
              <a:cs typeface="+mn-cs"/>
            </a:rPr>
            <a:t>ćima, koja je</a:t>
          </a:r>
          <a:r>
            <a:rPr lang="en-US" sz="900">
              <a:latin typeface="+mj-lt"/>
              <a:ea typeface="+mn-ea"/>
              <a:cs typeface="+mn-cs"/>
            </a:rPr>
            <a:t> sposobn</a:t>
          </a:r>
          <a:r>
            <a:rPr lang="x-none" sz="900">
              <a:latin typeface="+mj-lt"/>
              <a:ea typeface="+mn-ea"/>
              <a:cs typeface="+mn-cs"/>
            </a:rPr>
            <a:t>a</a:t>
          </a:r>
          <a:r>
            <a:rPr lang="en-US" sz="900">
              <a:latin typeface="+mj-lt"/>
              <a:ea typeface="+mn-ea"/>
              <a:cs typeface="+mn-cs"/>
            </a:rPr>
            <a:t> da pruža bolje usluge</a:t>
          </a:r>
        </a:p>
      </dgm:t>
    </dgm:pt>
    <dgm:pt modelId="{66BCD572-9F52-44D7-986F-181B10C61346}" type="parTrans" cxnId="{7D968D24-06BB-42FF-800C-D6171F9348B3}">
      <dgm:prSet/>
      <dgm:spPr/>
      <dgm:t>
        <a:bodyPr/>
        <a:lstStyle/>
        <a:p>
          <a:endParaRPr lang="en-US"/>
        </a:p>
      </dgm:t>
    </dgm:pt>
    <dgm:pt modelId="{6B26C308-FFE4-44DC-9C5F-2D29C6B33ADA}" type="sibTrans" cxnId="{7D968D24-06BB-42FF-800C-D6171F9348B3}">
      <dgm:prSet/>
      <dgm:spPr/>
      <dgm:t>
        <a:bodyPr/>
        <a:lstStyle/>
        <a:p>
          <a:endParaRPr lang="en-US"/>
        </a:p>
      </dgm:t>
    </dgm:pt>
    <dgm:pt modelId="{404F39DE-CE40-402F-8132-F5ABF9B0EF97}">
      <dgm:prSet custT="1"/>
      <dgm:spPr>
        <a:xfrm>
          <a:off x="2442044" y="1712823"/>
          <a:ext cx="3658595" cy="958542"/>
        </a:xfrm>
      </dgm:spPr>
      <dgm:t>
        <a:bodyPr/>
        <a:lstStyle/>
        <a:p>
          <a:r>
            <a:rPr lang="x-none" sz="900">
              <a:latin typeface="+mj-lt"/>
              <a:ea typeface="+mn-ea"/>
              <a:cs typeface="+mn-cs"/>
            </a:rPr>
            <a:t> P</a:t>
          </a:r>
          <a:r>
            <a:rPr lang="en-US" sz="900">
              <a:latin typeface="+mj-lt"/>
              <a:ea typeface="+mn-ea"/>
              <a:cs typeface="+mn-cs"/>
            </a:rPr>
            <a:t>rim</a:t>
          </a:r>
          <a:r>
            <a:rPr lang="x-none" sz="900">
              <a:latin typeface="+mj-lt"/>
              <a:ea typeface="+mn-ea"/>
              <a:cs typeface="+mn-cs"/>
            </a:rPr>
            <a:t>j</a:t>
          </a:r>
          <a:r>
            <a:rPr lang="en-US" sz="900">
              <a:latin typeface="+mj-lt"/>
              <a:ea typeface="+mn-ea"/>
              <a:cs typeface="+mn-cs"/>
            </a:rPr>
            <a:t>enu najboljih digitalnih praksi, u cilju modernizacije</a:t>
          </a:r>
          <a:r>
            <a:rPr lang="x-none" sz="900">
              <a:latin typeface="+mj-lt"/>
              <a:ea typeface="+mn-ea"/>
              <a:cs typeface="+mn-cs"/>
            </a:rPr>
            <a:t> </a:t>
          </a:r>
          <a:r>
            <a:rPr lang="en-US" sz="900">
              <a:latin typeface="+mj-lt"/>
              <a:ea typeface="+mn-ea"/>
              <a:cs typeface="+mn-cs"/>
            </a:rPr>
            <a:t>javna uprava, uključujući i upotrebu</a:t>
          </a:r>
          <a:r>
            <a:rPr lang="x-none" sz="900">
              <a:latin typeface="+mj-lt"/>
              <a:ea typeface="+mn-ea"/>
              <a:cs typeface="+mn-cs"/>
            </a:rPr>
            <a:t> vještačke inteligencije</a:t>
          </a:r>
          <a:endParaRPr lang="en-US" sz="900">
            <a:latin typeface="+mj-lt"/>
            <a:ea typeface="+mn-ea"/>
            <a:cs typeface="+mn-cs"/>
          </a:endParaRPr>
        </a:p>
      </dgm:t>
    </dgm:pt>
    <dgm:pt modelId="{B1D10163-5287-4711-85BE-D2625262E586}" type="parTrans" cxnId="{727D8093-ED85-42B3-A76E-858DB1DD8C10}">
      <dgm:prSet/>
      <dgm:spPr/>
      <dgm:t>
        <a:bodyPr/>
        <a:lstStyle/>
        <a:p>
          <a:endParaRPr lang="en-US"/>
        </a:p>
      </dgm:t>
    </dgm:pt>
    <dgm:pt modelId="{CB96E36F-C72C-4958-9347-0F0E4925A794}" type="sibTrans" cxnId="{727D8093-ED85-42B3-A76E-858DB1DD8C10}">
      <dgm:prSet/>
      <dgm:spPr/>
      <dgm:t>
        <a:bodyPr/>
        <a:lstStyle/>
        <a:p>
          <a:endParaRPr lang="en-US"/>
        </a:p>
      </dgm:t>
    </dgm:pt>
    <dgm:pt modelId="{80BDAF18-5CB6-4AF4-A186-7BD3CF91B3D1}">
      <dgm:prSet custT="1"/>
      <dgm:spPr>
        <a:xfrm>
          <a:off x="2442044" y="1712823"/>
          <a:ext cx="3658595" cy="958542"/>
        </a:xfrm>
      </dgm:spPr>
      <dgm:t>
        <a:bodyPr/>
        <a:lstStyle/>
        <a:p>
          <a:r>
            <a:rPr lang="x-none" sz="900">
              <a:latin typeface="+mj-lt"/>
              <a:ea typeface="+mn-ea"/>
              <a:cs typeface="+mn-cs"/>
            </a:rPr>
            <a:t> M</a:t>
          </a:r>
          <a:r>
            <a:rPr lang="en-US" sz="900">
              <a:latin typeface="+mj-lt"/>
              <a:ea typeface="+mn-ea"/>
              <a:cs typeface="+mn-cs"/>
            </a:rPr>
            <a:t>odernizacij</a:t>
          </a:r>
          <a:r>
            <a:rPr lang="x-none" sz="900">
              <a:latin typeface="+mj-lt"/>
              <a:ea typeface="+mn-ea"/>
              <a:cs typeface="+mn-cs"/>
            </a:rPr>
            <a:t>a </a:t>
          </a:r>
          <a:r>
            <a:rPr lang="en-US" sz="900">
              <a:latin typeface="+mj-lt"/>
              <a:ea typeface="+mn-ea"/>
              <a:cs typeface="+mn-cs"/>
            </a:rPr>
            <a:t>lokalne vlasti, ističući ulogu digitalizacije</a:t>
          </a:r>
          <a:r>
            <a:rPr lang="x-none" sz="900">
              <a:latin typeface="+mj-lt"/>
              <a:ea typeface="+mn-ea"/>
              <a:cs typeface="+mn-cs"/>
            </a:rPr>
            <a:t> </a:t>
          </a:r>
          <a:r>
            <a:rPr lang="en-US" sz="900">
              <a:latin typeface="+mj-lt"/>
              <a:ea typeface="+mn-ea"/>
              <a:cs typeface="+mn-cs"/>
            </a:rPr>
            <a:t>u razvoju „pametnih gradova“.</a:t>
          </a:r>
        </a:p>
      </dgm:t>
    </dgm:pt>
    <dgm:pt modelId="{3C2D32AC-D266-4770-8ED9-2B02CFE29BE9}" type="parTrans" cxnId="{1CE4AC27-8B94-4030-BD47-4AC7616A6999}">
      <dgm:prSet/>
      <dgm:spPr/>
      <dgm:t>
        <a:bodyPr/>
        <a:lstStyle/>
        <a:p>
          <a:endParaRPr lang="en-US"/>
        </a:p>
      </dgm:t>
    </dgm:pt>
    <dgm:pt modelId="{4EA0FC45-4862-484F-9F29-940C1A166F05}" type="sibTrans" cxnId="{1CE4AC27-8B94-4030-BD47-4AC7616A6999}">
      <dgm:prSet/>
      <dgm:spPr/>
      <dgm:t>
        <a:bodyPr/>
        <a:lstStyle/>
        <a:p>
          <a:endParaRPr lang="en-US"/>
        </a:p>
      </dgm:t>
    </dgm:pt>
    <dgm:pt modelId="{3A820710-BA2A-48E5-BBA0-3642E0B83D7D}">
      <dgm:prSet phldrT="[Text]" custT="1"/>
      <dgm:spPr>
        <a:xfrm>
          <a:off x="2980" y="2902048"/>
          <a:ext cx="2439063" cy="953671"/>
        </a:xfrm>
      </dgm:spPr>
      <dgm:t>
        <a:bodyPr/>
        <a:lstStyle/>
        <a:p>
          <a:r>
            <a:rPr lang="x-none" sz="900" b="1">
              <a:latin typeface="+mj-lt"/>
              <a:ea typeface="+mn-ea"/>
              <a:cs typeface="+mn-cs"/>
            </a:rPr>
            <a:t>Berlinska deklaracija</a:t>
          </a:r>
          <a:endParaRPr lang="en-US" sz="900" b="1">
            <a:latin typeface="+mj-lt"/>
            <a:ea typeface="+mn-ea"/>
            <a:cs typeface="+mn-cs"/>
          </a:endParaRPr>
        </a:p>
      </dgm:t>
    </dgm:pt>
    <dgm:pt modelId="{705B0701-16CF-4988-B3CC-FEB79A0D34A3}" type="parTrans" cxnId="{730CC844-5E09-497E-96BF-A4F27ECB684C}">
      <dgm:prSet/>
      <dgm:spPr/>
      <dgm:t>
        <a:bodyPr/>
        <a:lstStyle/>
        <a:p>
          <a:endParaRPr lang="en-US"/>
        </a:p>
      </dgm:t>
    </dgm:pt>
    <dgm:pt modelId="{9D5FB130-69F5-468D-A30F-2EA2E02D251F}" type="sibTrans" cxnId="{730CC844-5E09-497E-96BF-A4F27ECB684C}">
      <dgm:prSet/>
      <dgm:spPr/>
      <dgm:t>
        <a:bodyPr/>
        <a:lstStyle/>
        <a:p>
          <a:endParaRPr lang="en-US"/>
        </a:p>
      </dgm:t>
    </dgm:pt>
    <dgm:pt modelId="{9D623F6A-E89A-4740-BA57-FD692B3DA0D1}">
      <dgm:prSet phldrT="[Text]" custT="1"/>
      <dgm:spPr>
        <a:xfrm>
          <a:off x="2980" y="2902048"/>
          <a:ext cx="2439063" cy="953671"/>
        </a:xfrm>
      </dgm:spPr>
      <dgm:t>
        <a:bodyPr/>
        <a:lstStyle/>
        <a:p>
          <a:r>
            <a:rPr lang="en-US" sz="900">
              <a:latin typeface="+mj-lt"/>
              <a:ea typeface="+mn-ea"/>
              <a:cs typeface="+mn-cs"/>
            </a:rPr>
            <a:t>Građani i preduzeća </a:t>
          </a:r>
          <a:r>
            <a:rPr lang="x-none" sz="900">
              <a:latin typeface="+mj-lt"/>
              <a:ea typeface="+mn-ea"/>
              <a:cs typeface="+mn-cs"/>
            </a:rPr>
            <a:t>imaju mogućnost lake </a:t>
          </a:r>
          <a:r>
            <a:rPr lang="en-US" sz="900">
              <a:latin typeface="+mj-lt"/>
              <a:ea typeface="+mn-ea"/>
              <a:cs typeface="+mn-cs"/>
            </a:rPr>
            <a:t>interakcije s javnom upravom u skladu s pristupom digitalne postavk</a:t>
          </a:r>
          <a:r>
            <a:rPr lang="x-none" sz="900">
              <a:latin typeface="+mj-lt"/>
              <a:ea typeface="+mn-ea"/>
              <a:cs typeface="+mn-cs"/>
            </a:rPr>
            <a:t>e</a:t>
          </a:r>
          <a:endParaRPr lang="en-US" sz="900">
            <a:latin typeface="+mj-lt"/>
            <a:ea typeface="+mn-ea"/>
            <a:cs typeface="+mn-cs"/>
          </a:endParaRPr>
        </a:p>
      </dgm:t>
    </dgm:pt>
    <dgm:pt modelId="{0491DAFA-8DC7-454A-A7C9-26E656FCA903}" type="parTrans" cxnId="{578CA563-56AA-4FA1-8DFC-E555CD7B4B93}">
      <dgm:prSet/>
      <dgm:spPr/>
      <dgm:t>
        <a:bodyPr/>
        <a:lstStyle/>
        <a:p>
          <a:endParaRPr lang="en-US"/>
        </a:p>
      </dgm:t>
    </dgm:pt>
    <dgm:pt modelId="{2F16A34F-BDF9-4F8E-B869-A658156C50B2}" type="sibTrans" cxnId="{578CA563-56AA-4FA1-8DFC-E555CD7B4B93}">
      <dgm:prSet/>
      <dgm:spPr/>
      <dgm:t>
        <a:bodyPr/>
        <a:lstStyle/>
        <a:p>
          <a:endParaRPr lang="en-US"/>
        </a:p>
      </dgm:t>
    </dgm:pt>
    <dgm:pt modelId="{783DE200-B92F-4E63-92D8-D66433C01EE3}">
      <dgm:prSet phldrT="[Text]" custT="1"/>
      <dgm:spPr>
        <a:xfrm>
          <a:off x="2980" y="2902048"/>
          <a:ext cx="2439063" cy="953671"/>
        </a:xfrm>
      </dgm:spPr>
      <dgm:t>
        <a:bodyPr/>
        <a:lstStyle/>
        <a:p>
          <a:r>
            <a:rPr lang="en-US" sz="900">
              <a:latin typeface="+mj-lt"/>
              <a:ea typeface="+mn-ea"/>
              <a:cs typeface="+mn-cs"/>
            </a:rPr>
            <a:t>Digitalni suverenitet je ključan u osiguravanju sposobnosti građana i javne uprave da donose odluke i djeluju na samoodređen način u digitalnom svijet</a:t>
          </a:r>
          <a:r>
            <a:rPr lang="x-none" sz="900">
              <a:latin typeface="+mj-lt"/>
              <a:ea typeface="+mn-ea"/>
              <a:cs typeface="+mn-cs"/>
            </a:rPr>
            <a:t>u</a:t>
          </a:r>
          <a:endParaRPr lang="en-US" sz="900">
            <a:latin typeface="+mj-lt"/>
            <a:ea typeface="+mn-ea"/>
            <a:cs typeface="+mn-cs"/>
          </a:endParaRPr>
        </a:p>
      </dgm:t>
    </dgm:pt>
    <dgm:pt modelId="{ED740D61-562D-4643-BC11-E5D39A3EC6C2}" type="parTrans" cxnId="{1880DC4A-2289-44CE-892D-E4209C865C7E}">
      <dgm:prSet/>
      <dgm:spPr/>
      <dgm:t>
        <a:bodyPr/>
        <a:lstStyle/>
        <a:p>
          <a:endParaRPr lang="en-US"/>
        </a:p>
      </dgm:t>
    </dgm:pt>
    <dgm:pt modelId="{34DEF5F9-315D-4A8F-886F-A4D0239CD065}" type="sibTrans" cxnId="{1880DC4A-2289-44CE-892D-E4209C865C7E}">
      <dgm:prSet/>
      <dgm:spPr/>
      <dgm:t>
        <a:bodyPr/>
        <a:lstStyle/>
        <a:p>
          <a:endParaRPr lang="en-US"/>
        </a:p>
      </dgm:t>
    </dgm:pt>
    <dgm:pt modelId="{6420E7B7-034F-4EFA-9C96-AAB19B321168}">
      <dgm:prSet phldrT="[Text]" custT="1"/>
      <dgm:spPr>
        <a:xfrm>
          <a:off x="2980" y="2902048"/>
          <a:ext cx="2439063" cy="953671"/>
        </a:xfrm>
      </dgm:spPr>
      <dgm:t>
        <a:bodyPr/>
        <a:lstStyle/>
        <a:p>
          <a:r>
            <a:rPr lang="x-none" sz="900">
              <a:latin typeface="+mj-lt"/>
              <a:ea typeface="+mn-ea"/>
              <a:cs typeface="+mn-cs"/>
            </a:rPr>
            <a:t>I</a:t>
          </a:r>
          <a:r>
            <a:rPr lang="en-US" sz="900">
              <a:latin typeface="+mj-lt"/>
              <a:ea typeface="+mn-ea"/>
              <a:cs typeface="+mn-cs"/>
            </a:rPr>
            <a:t>straž</a:t>
          </a:r>
          <a:r>
            <a:rPr lang="x-none" sz="900">
              <a:latin typeface="+mj-lt"/>
              <a:ea typeface="+mn-ea"/>
              <a:cs typeface="+mn-cs"/>
            </a:rPr>
            <a:t>iti</a:t>
          </a:r>
          <a:r>
            <a:rPr lang="en-US" sz="900">
              <a:latin typeface="+mj-lt"/>
              <a:ea typeface="+mn-ea"/>
              <a:cs typeface="+mn-cs"/>
            </a:rPr>
            <a:t> upotrebu digitalnih alata u oblikovanju političkog diskursa o digitalnoj transformaciji</a:t>
          </a:r>
        </a:p>
      </dgm:t>
    </dgm:pt>
    <dgm:pt modelId="{7A3B4DBE-8A4B-4B57-AC11-BE68B5712F5D}" type="parTrans" cxnId="{B6AF0594-1FED-4846-BA6D-2DF1478C9376}">
      <dgm:prSet/>
      <dgm:spPr/>
      <dgm:t>
        <a:bodyPr/>
        <a:lstStyle/>
        <a:p>
          <a:endParaRPr lang="en-US"/>
        </a:p>
      </dgm:t>
    </dgm:pt>
    <dgm:pt modelId="{D5A681C6-94C7-4778-833A-D2432BB368BE}" type="sibTrans" cxnId="{B6AF0594-1FED-4846-BA6D-2DF1478C9376}">
      <dgm:prSet/>
      <dgm:spPr/>
      <dgm:t>
        <a:bodyPr/>
        <a:lstStyle/>
        <a:p>
          <a:endParaRPr lang="en-US"/>
        </a:p>
      </dgm:t>
    </dgm:pt>
    <dgm:pt modelId="{87B14B7B-37C4-400C-B872-A94EEED5C970}">
      <dgm:prSet phldrT="[Text]" custT="1"/>
      <dgm:spPr>
        <a:xfrm>
          <a:off x="2980" y="2902048"/>
          <a:ext cx="2439063" cy="953671"/>
        </a:xfrm>
      </dgm:spPr>
      <dgm:t>
        <a:bodyPr/>
        <a:lstStyle/>
        <a:p>
          <a:r>
            <a:rPr lang="en-US" sz="900">
              <a:latin typeface="+mj-lt"/>
              <a:ea typeface="+mn-ea"/>
              <a:cs typeface="+mn-cs"/>
            </a:rPr>
            <a:t>Stimulisati razm</a:t>
          </a:r>
          <a:r>
            <a:rPr lang="x-none" sz="900">
              <a:latin typeface="+mj-lt"/>
              <a:ea typeface="+mn-ea"/>
              <a:cs typeface="+mn-cs"/>
            </a:rPr>
            <a:t>j</a:t>
          </a:r>
          <a:r>
            <a:rPr lang="en-US" sz="900">
              <a:latin typeface="+mj-lt"/>
              <a:ea typeface="+mn-ea"/>
              <a:cs typeface="+mn-cs"/>
            </a:rPr>
            <a:t>enu znanja među praktičarima strategija administrativnih inovacija i na prim</a:t>
          </a:r>
          <a:r>
            <a:rPr lang="x-none" sz="900">
              <a:latin typeface="+mj-lt"/>
              <a:ea typeface="+mn-ea"/>
              <a:cs typeface="+mn-cs"/>
            </a:rPr>
            <a:t>j</a:t>
          </a:r>
          <a:r>
            <a:rPr lang="en-US" sz="900">
              <a:latin typeface="+mj-lt"/>
              <a:ea typeface="+mn-ea"/>
              <a:cs typeface="+mn-cs"/>
            </a:rPr>
            <a:t>erima tehnologija usm</a:t>
          </a:r>
          <a:r>
            <a:rPr lang="x-none" sz="900">
              <a:latin typeface="+mj-lt"/>
              <a:ea typeface="+mn-ea"/>
              <a:cs typeface="+mn-cs"/>
            </a:rPr>
            <a:t>j</a:t>
          </a:r>
          <a:r>
            <a:rPr lang="en-US" sz="900">
              <a:latin typeface="+mj-lt"/>
              <a:ea typeface="+mn-ea"/>
              <a:cs typeface="+mn-cs"/>
            </a:rPr>
            <a:t>erenih na čoveka u javnim upravama</a:t>
          </a:r>
        </a:p>
      </dgm:t>
    </dgm:pt>
    <dgm:pt modelId="{20EE45C0-729E-4629-9A87-A5833CCA9A00}" type="parTrans" cxnId="{FDCCF25D-7AD2-4B0A-A17B-A18602AC6EB2}">
      <dgm:prSet/>
      <dgm:spPr/>
      <dgm:t>
        <a:bodyPr/>
        <a:lstStyle/>
        <a:p>
          <a:endParaRPr lang="en-US"/>
        </a:p>
      </dgm:t>
    </dgm:pt>
    <dgm:pt modelId="{90C38E3C-49A1-4915-B763-191CDC328D9B}" type="sibTrans" cxnId="{FDCCF25D-7AD2-4B0A-A17B-A18602AC6EB2}">
      <dgm:prSet/>
      <dgm:spPr/>
      <dgm:t>
        <a:bodyPr/>
        <a:lstStyle/>
        <a:p>
          <a:endParaRPr lang="en-US"/>
        </a:p>
      </dgm:t>
    </dgm:pt>
    <dgm:pt modelId="{6716577E-B08A-451E-9CC0-3CBFEE487473}">
      <dgm:prSet phldrT="[Text]" custT="1"/>
      <dgm:spPr>
        <a:xfrm>
          <a:off x="3043" y="38138"/>
          <a:ext cx="2490829" cy="1030753"/>
        </a:xfrm>
        <a:solidFill>
          <a:srgbClr val="7373F9"/>
        </a:solidFill>
        <a:ln w="25400" cap="flat" cmpd="sng" algn="ctr">
          <a:solidFill>
            <a:srgbClr val="FFFFFF">
              <a:hueOff val="0"/>
              <a:satOff val="0"/>
              <a:lumOff val="0"/>
              <a:alphaOff val="0"/>
            </a:srgbClr>
          </a:solidFill>
          <a:prstDash val="solid"/>
        </a:ln>
        <a:effectLst/>
      </dgm:spPr>
      <dgm:t>
        <a:bodyPr/>
        <a:lstStyle/>
        <a:p>
          <a:r>
            <a:rPr lang="x-none" sz="900" b="1">
              <a:solidFill>
                <a:srgbClr val="FFFFFF"/>
              </a:solidFill>
              <a:latin typeface="+mj-lt"/>
              <a:ea typeface="+mn-ea"/>
              <a:cs typeface="+mn-cs"/>
            </a:rPr>
            <a:t>Program rada Vlade</a:t>
          </a:r>
          <a:endParaRPr lang="en-US" sz="900" b="1">
            <a:latin typeface="+mj-lt"/>
            <a:ea typeface="+mn-ea"/>
            <a:cs typeface="+mn-cs"/>
          </a:endParaRPr>
        </a:p>
      </dgm:t>
    </dgm:pt>
    <dgm:pt modelId="{EAF318E3-EF05-4D55-9A1C-AA6242041035}" type="parTrans" cxnId="{01978F74-9A61-42C9-9ED8-29CD959A447C}">
      <dgm:prSet/>
      <dgm:spPr/>
      <dgm:t>
        <a:bodyPr/>
        <a:lstStyle/>
        <a:p>
          <a:endParaRPr lang="en-US"/>
        </a:p>
      </dgm:t>
    </dgm:pt>
    <dgm:pt modelId="{375D7617-A7BE-4555-BF4D-CD1A0A910D40}" type="sibTrans" cxnId="{01978F74-9A61-42C9-9ED8-29CD959A447C}">
      <dgm:prSet/>
      <dgm:spPr/>
      <dgm:t>
        <a:bodyPr/>
        <a:lstStyle/>
        <a:p>
          <a:endParaRPr lang="en-US"/>
        </a:p>
      </dgm:t>
    </dgm:pt>
    <dgm:pt modelId="{6A10DC36-0A04-4EF6-AF06-1F2B43D517D4}">
      <dgm:prSet phldrT="[Text]" custT="1"/>
      <dgm:spPr>
        <a:xfrm>
          <a:off x="2493872" y="835"/>
          <a:ext cx="3736243" cy="1105359"/>
        </a:xfrm>
        <a:solidFill>
          <a:srgbClr val="B4936D">
            <a:tint val="40000"/>
            <a:alpha val="90000"/>
            <a:hueOff val="0"/>
            <a:satOff val="0"/>
            <a:lumOff val="0"/>
            <a:alphaOff val="0"/>
          </a:srgbClr>
        </a:solidFill>
        <a:ln w="25400" cap="flat" cmpd="sng" algn="ctr">
          <a:solidFill>
            <a:srgbClr val="B4936D">
              <a:tint val="40000"/>
              <a:alpha val="90000"/>
              <a:hueOff val="0"/>
              <a:satOff val="0"/>
              <a:lumOff val="0"/>
              <a:alphaOff val="0"/>
            </a:srgbClr>
          </a:solidFill>
          <a:prstDash val="solid"/>
        </a:ln>
        <a:effectLst/>
      </dgm:spPr>
      <dgm:t>
        <a:bodyPr/>
        <a:lstStyle/>
        <a:p>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Razvoj digitalnog društva, optimizovani procesi, usluge usmjerene na građane</a:t>
          </a:r>
        </a:p>
      </dgm:t>
    </dgm:pt>
    <dgm:pt modelId="{881CCFE0-24B1-45AE-B9EB-71FAA9D3347C}" type="parTrans" cxnId="{4CDFEF19-634B-4EB6-9FC1-4201C97B4032}">
      <dgm:prSet/>
      <dgm:spPr/>
      <dgm:t>
        <a:bodyPr/>
        <a:lstStyle/>
        <a:p>
          <a:endParaRPr lang="en-US"/>
        </a:p>
      </dgm:t>
    </dgm:pt>
    <dgm:pt modelId="{5D4B7113-4B64-4718-B66C-2428721AC527}" type="sibTrans" cxnId="{4CDFEF19-634B-4EB6-9FC1-4201C97B4032}">
      <dgm:prSet/>
      <dgm:spPr/>
      <dgm:t>
        <a:bodyPr/>
        <a:lstStyle/>
        <a:p>
          <a:endParaRPr lang="en-US"/>
        </a:p>
      </dgm:t>
    </dgm:pt>
    <dgm:pt modelId="{5A359513-E5AF-4D9F-A4D7-3A55836BF820}">
      <dgm:prSet phldrT="[Text]" custT="1"/>
      <dgm:spPr>
        <a:xfrm>
          <a:off x="2493872" y="835"/>
          <a:ext cx="3736243" cy="1105359"/>
        </a:xfrm>
        <a:solidFill>
          <a:srgbClr val="B4936D">
            <a:tint val="40000"/>
            <a:alpha val="90000"/>
            <a:hueOff val="0"/>
            <a:satOff val="0"/>
            <a:lumOff val="0"/>
            <a:alphaOff val="0"/>
          </a:srgbClr>
        </a:solidFill>
        <a:ln w="25400" cap="flat" cmpd="sng" algn="ctr">
          <a:solidFill>
            <a:srgbClr val="B4936D">
              <a:tint val="40000"/>
              <a:alpha val="90000"/>
              <a:hueOff val="0"/>
              <a:satOff val="0"/>
              <a:lumOff val="0"/>
              <a:alphaOff val="0"/>
            </a:srgbClr>
          </a:solidFill>
          <a:prstDash val="solid"/>
        </a:ln>
        <a:effectLst/>
      </dgm:spPr>
      <dgm:t>
        <a:bodyPr/>
        <a:lstStyle/>
        <a:p>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Građani i privreda u centru aktivnosti, razvoja usluga i kreiranja javnih politika</a:t>
          </a:r>
        </a:p>
      </dgm:t>
    </dgm:pt>
    <dgm:pt modelId="{62EF4599-A1DA-4817-A419-0BBD8930ECB6}" type="parTrans" cxnId="{674FA1A0-3CD6-4693-A3B8-A8F539963481}">
      <dgm:prSet/>
      <dgm:spPr/>
      <dgm:t>
        <a:bodyPr/>
        <a:lstStyle/>
        <a:p>
          <a:endParaRPr lang="en-US"/>
        </a:p>
      </dgm:t>
    </dgm:pt>
    <dgm:pt modelId="{1DB3FF11-02D6-4319-AB96-444B7AA6B266}" type="sibTrans" cxnId="{674FA1A0-3CD6-4693-A3B8-A8F539963481}">
      <dgm:prSet/>
      <dgm:spPr/>
      <dgm:t>
        <a:bodyPr/>
        <a:lstStyle/>
        <a:p>
          <a:endParaRPr lang="en-US"/>
        </a:p>
      </dgm:t>
    </dgm:pt>
    <dgm:pt modelId="{6E65E785-50BF-48C4-9480-62E27367586F}">
      <dgm:prSet phldrT="[Text]" custT="1"/>
      <dgm:spPr>
        <a:xfrm>
          <a:off x="2493872" y="835"/>
          <a:ext cx="3736243" cy="1105359"/>
        </a:xfrm>
        <a:solidFill>
          <a:srgbClr val="B4936D">
            <a:tint val="40000"/>
            <a:alpha val="90000"/>
            <a:hueOff val="0"/>
            <a:satOff val="0"/>
            <a:lumOff val="0"/>
            <a:alphaOff val="0"/>
          </a:srgbClr>
        </a:solidFill>
        <a:ln w="25400" cap="flat" cmpd="sng" algn="ctr">
          <a:solidFill>
            <a:srgbClr val="B4936D">
              <a:tint val="40000"/>
              <a:alpha val="90000"/>
              <a:hueOff val="0"/>
              <a:satOff val="0"/>
              <a:lumOff val="0"/>
              <a:alphaOff val="0"/>
            </a:srgbClr>
          </a:solidFill>
          <a:prstDash val="solid"/>
        </a:ln>
        <a:effectLst/>
      </dgm:spPr>
      <dgm:t>
        <a:bodyPr/>
        <a:lstStyle/>
        <a:p>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Poboljšanje pravnih okvira i infrastrukture, stvaranje moderne e-uprave</a:t>
          </a:r>
        </a:p>
      </dgm:t>
    </dgm:pt>
    <dgm:pt modelId="{0B3641EC-97FC-44CD-81C0-5D8E598D6137}" type="parTrans" cxnId="{10D37E90-9B10-4B59-AF6F-331A29806840}">
      <dgm:prSet/>
      <dgm:spPr/>
      <dgm:t>
        <a:bodyPr/>
        <a:lstStyle/>
        <a:p>
          <a:endParaRPr lang="en-US"/>
        </a:p>
      </dgm:t>
    </dgm:pt>
    <dgm:pt modelId="{B4F1D08B-2506-4543-9827-CE4834EE1E26}" type="sibTrans" cxnId="{10D37E90-9B10-4B59-AF6F-331A29806840}">
      <dgm:prSet/>
      <dgm:spPr/>
      <dgm:t>
        <a:bodyPr/>
        <a:lstStyle/>
        <a:p>
          <a:endParaRPr lang="en-US"/>
        </a:p>
      </dgm:t>
    </dgm:pt>
    <dgm:pt modelId="{BA784F7C-ADE4-4DF4-B00B-8DD310567FC8}">
      <dgm:prSet custT="1"/>
      <dgm:spPr>
        <a:xfrm>
          <a:off x="3043" y="1444602"/>
          <a:ext cx="2490829" cy="1030753"/>
        </a:xfrm>
        <a:solidFill>
          <a:srgbClr val="3ACA8C"/>
        </a:solidFill>
        <a:ln w="25400" cap="flat" cmpd="sng" algn="ctr">
          <a:solidFill>
            <a:srgbClr val="FFFFFF">
              <a:hueOff val="0"/>
              <a:satOff val="0"/>
              <a:lumOff val="0"/>
              <a:alphaOff val="0"/>
            </a:srgbClr>
          </a:solidFill>
          <a:prstDash val="solid"/>
        </a:ln>
        <a:effectLst/>
      </dgm:spPr>
      <dgm:t>
        <a:bodyPr/>
        <a:lstStyle/>
        <a:p>
          <a:r>
            <a:rPr lang="x-none" sz="900" b="1">
              <a:solidFill>
                <a:srgbClr val="FFFFFF"/>
              </a:solidFill>
              <a:latin typeface="+mj-lt"/>
              <a:ea typeface="+mn-ea"/>
              <a:cs typeface="+mn-cs"/>
            </a:rPr>
            <a:t>Pravci razvoja </a:t>
          </a:r>
          <a:r>
            <a:rPr lang="en-US" sz="900" b="1">
              <a:solidFill>
                <a:srgbClr val="FFFFFF"/>
              </a:solidFill>
              <a:latin typeface="+mj-lt"/>
              <a:ea typeface="+mn-ea"/>
              <a:cs typeface="+mn-cs"/>
            </a:rPr>
            <a:t>Crne Gore 2018-2021 </a:t>
          </a:r>
          <a:r>
            <a:rPr lang="sr-Latn-RS" sz="900" b="1">
              <a:solidFill>
                <a:srgbClr val="FFFFFF"/>
              </a:solidFill>
              <a:latin typeface="+mj-lt"/>
              <a:ea typeface="+mn-ea"/>
              <a:cs typeface="+mn-cs"/>
            </a:rPr>
            <a:t>.</a:t>
          </a:r>
          <a:endParaRPr lang="en-US" sz="900" b="1">
            <a:solidFill>
              <a:srgbClr val="FFFFFF"/>
            </a:solidFill>
            <a:latin typeface="+mj-lt"/>
            <a:ea typeface="+mn-ea"/>
            <a:cs typeface="+mn-cs"/>
          </a:endParaRPr>
        </a:p>
      </dgm:t>
    </dgm:pt>
    <dgm:pt modelId="{189B6DFA-F1E6-4024-820A-016521558569}" type="parTrans" cxnId="{6631F591-A5DB-4A4A-9CD6-908232EA15CC}">
      <dgm:prSet/>
      <dgm:spPr/>
      <dgm:t>
        <a:bodyPr/>
        <a:lstStyle/>
        <a:p>
          <a:endParaRPr lang="en-US"/>
        </a:p>
      </dgm:t>
    </dgm:pt>
    <dgm:pt modelId="{F8D8B13F-2D02-4AB7-BAC9-016CB70D1489}" type="sibTrans" cxnId="{6631F591-A5DB-4A4A-9CD6-908232EA15CC}">
      <dgm:prSet/>
      <dgm:spPr/>
      <dgm:t>
        <a:bodyPr/>
        <a:lstStyle/>
        <a:p>
          <a:endParaRPr lang="en-US"/>
        </a:p>
      </dgm:t>
    </dgm:pt>
    <dgm:pt modelId="{77D25D7A-8E68-4750-98F4-9DF6301FD7B6}">
      <dgm:prSet custT="1"/>
      <dgm:spPr>
        <a:xfrm>
          <a:off x="2493872" y="1209271"/>
          <a:ext cx="3736243" cy="1501416"/>
        </a:xfrm>
        <a:solidFill>
          <a:srgbClr val="B4936D">
            <a:tint val="40000"/>
            <a:alpha val="90000"/>
            <a:hueOff val="4847172"/>
            <a:satOff val="-9865"/>
            <a:lumOff val="-1461"/>
            <a:alphaOff val="0"/>
          </a:srgbClr>
        </a:solidFill>
        <a:ln w="25400" cap="flat" cmpd="sng" algn="ctr">
          <a:solidFill>
            <a:srgbClr val="B4936D">
              <a:tint val="40000"/>
              <a:alpha val="90000"/>
              <a:hueOff val="4847172"/>
              <a:satOff val="-9865"/>
              <a:lumOff val="-1461"/>
              <a:alphaOff val="0"/>
            </a:srgbClr>
          </a:solidFill>
          <a:prstDash val="solid"/>
        </a:ln>
        <a:effectLst/>
      </dgm:spPr>
      <dgm:t>
        <a:bodyPr/>
        <a:lstStyle/>
        <a:p>
          <a:r>
            <a:rPr lang="x-none" sz="900">
              <a:solidFill>
                <a:srgbClr val="000000">
                  <a:hueOff val="0"/>
                  <a:satOff val="0"/>
                  <a:lumOff val="0"/>
                  <a:alphaOff val="0"/>
                </a:srgbClr>
              </a:solidFill>
              <a:latin typeface="+mj-lt"/>
              <a:ea typeface="+mn-ea"/>
              <a:cs typeface="+mn-cs"/>
            </a:rPr>
            <a:t>Unapređenje administrativnih i ostalih kapaciteta, kreiranje poslovnog ambijenta podsticajnog za inverstiranje i razvoj preduzetništva  i stvaranje novih radnih mjesta</a:t>
          </a:r>
          <a:endParaRPr lang="en-US" sz="900">
            <a:solidFill>
              <a:srgbClr val="000000">
                <a:hueOff val="0"/>
                <a:satOff val="0"/>
                <a:lumOff val="0"/>
                <a:alphaOff val="0"/>
              </a:srgbClr>
            </a:solidFill>
            <a:latin typeface="+mj-lt"/>
            <a:ea typeface="+mn-ea"/>
            <a:cs typeface="+mn-cs"/>
          </a:endParaRPr>
        </a:p>
      </dgm:t>
    </dgm:pt>
    <dgm:pt modelId="{5889BAC7-FA56-4F2B-9AD8-CDD4345064A6}" type="parTrans" cxnId="{00307814-7257-49CC-A30F-C267F9941129}">
      <dgm:prSet/>
      <dgm:spPr/>
      <dgm:t>
        <a:bodyPr/>
        <a:lstStyle/>
        <a:p>
          <a:endParaRPr lang="en-US"/>
        </a:p>
      </dgm:t>
    </dgm:pt>
    <dgm:pt modelId="{DF3E2267-84A9-4F40-A789-48B0A2970F58}" type="sibTrans" cxnId="{00307814-7257-49CC-A30F-C267F9941129}">
      <dgm:prSet/>
      <dgm:spPr/>
      <dgm:t>
        <a:bodyPr/>
        <a:lstStyle/>
        <a:p>
          <a:endParaRPr lang="en-US"/>
        </a:p>
      </dgm:t>
    </dgm:pt>
    <dgm:pt modelId="{665286E3-4A54-47D3-8F76-27372E15FBD2}">
      <dgm:prSet custT="1"/>
      <dgm:spPr>
        <a:xfrm>
          <a:off x="2493872" y="1209271"/>
          <a:ext cx="3736243" cy="1501416"/>
        </a:xfrm>
        <a:solidFill>
          <a:srgbClr val="B4936D">
            <a:tint val="40000"/>
            <a:alpha val="90000"/>
            <a:hueOff val="4847172"/>
            <a:satOff val="-9865"/>
            <a:lumOff val="-1461"/>
            <a:alphaOff val="0"/>
          </a:srgbClr>
        </a:solidFill>
        <a:ln w="25400" cap="flat" cmpd="sng" algn="ctr">
          <a:solidFill>
            <a:srgbClr val="B4936D">
              <a:tint val="40000"/>
              <a:alpha val="90000"/>
              <a:hueOff val="4847172"/>
              <a:satOff val="-9865"/>
              <a:lumOff val="-1461"/>
              <a:alphaOff val="0"/>
            </a:srgbClr>
          </a:solidFill>
          <a:prstDash val="solid"/>
        </a:ln>
        <a:effectLst/>
      </dgm:spPr>
      <dgm:t>
        <a:bodyPr/>
        <a:lstStyle/>
        <a:p>
          <a:r>
            <a:rPr lang="x-none" sz="900">
              <a:solidFill>
                <a:srgbClr val="000000">
                  <a:hueOff val="0"/>
                  <a:satOff val="0"/>
                  <a:lumOff val="0"/>
                  <a:alphaOff val="0"/>
                </a:srgbClr>
              </a:solidFill>
              <a:latin typeface="+mj-lt"/>
              <a:ea typeface="+mn-ea"/>
              <a:cs typeface="+mn-cs"/>
            </a:rPr>
            <a:t>Reforma javnog sektora u skladu sa Str</a:t>
          </a:r>
          <a:r>
            <a:rPr lang="sr-Latn-RS" sz="900">
              <a:solidFill>
                <a:srgbClr val="000000">
                  <a:hueOff val="0"/>
                  <a:satOff val="0"/>
                  <a:lumOff val="0"/>
                  <a:alphaOff val="0"/>
                </a:srgbClr>
              </a:solidFill>
              <a:latin typeface="+mj-lt"/>
              <a:ea typeface="+mn-ea"/>
              <a:cs typeface="+mn-cs"/>
            </a:rPr>
            <a:t>a</a:t>
          </a:r>
          <a:r>
            <a:rPr lang="x-none" sz="900">
              <a:solidFill>
                <a:srgbClr val="000000">
                  <a:hueOff val="0"/>
                  <a:satOff val="0"/>
                  <a:lumOff val="0"/>
                  <a:alphaOff val="0"/>
                </a:srgbClr>
              </a:solidFill>
              <a:latin typeface="+mj-lt"/>
              <a:ea typeface="+mn-ea"/>
              <a:cs typeface="+mn-cs"/>
            </a:rPr>
            <a:t>tegijom RJU</a:t>
          </a:r>
          <a:endParaRPr lang="en-US" sz="900">
            <a:solidFill>
              <a:srgbClr val="000000">
                <a:hueOff val="0"/>
                <a:satOff val="0"/>
                <a:lumOff val="0"/>
                <a:alphaOff val="0"/>
              </a:srgbClr>
            </a:solidFill>
            <a:latin typeface="+mj-lt"/>
            <a:ea typeface="+mn-ea"/>
            <a:cs typeface="+mn-cs"/>
          </a:endParaRPr>
        </a:p>
      </dgm:t>
    </dgm:pt>
    <dgm:pt modelId="{21FF7EB2-575D-48DC-AC6D-0DFFE309C16E}" type="parTrans" cxnId="{5FEF9B0A-D0DD-41D5-AEA4-7C2884F1A1E8}">
      <dgm:prSet/>
      <dgm:spPr/>
      <dgm:t>
        <a:bodyPr/>
        <a:lstStyle/>
        <a:p>
          <a:endParaRPr lang="en-US"/>
        </a:p>
      </dgm:t>
    </dgm:pt>
    <dgm:pt modelId="{AA36E7E0-CB30-4277-93B8-17549ADF601D}" type="sibTrans" cxnId="{5FEF9B0A-D0DD-41D5-AEA4-7C2884F1A1E8}">
      <dgm:prSet/>
      <dgm:spPr/>
      <dgm:t>
        <a:bodyPr/>
        <a:lstStyle/>
        <a:p>
          <a:endParaRPr lang="en-US"/>
        </a:p>
      </dgm:t>
    </dgm:pt>
    <dgm:pt modelId="{4D153B73-B3AA-452E-8AE0-08EAA651253C}">
      <dgm:prSet custT="1"/>
      <dgm:spPr>
        <a:xfrm>
          <a:off x="2493872" y="1209271"/>
          <a:ext cx="3736243" cy="1501416"/>
        </a:xfrm>
        <a:solidFill>
          <a:srgbClr val="B4936D">
            <a:tint val="40000"/>
            <a:alpha val="90000"/>
            <a:hueOff val="4847172"/>
            <a:satOff val="-9865"/>
            <a:lumOff val="-1461"/>
            <a:alphaOff val="0"/>
          </a:srgbClr>
        </a:solidFill>
        <a:ln w="25400" cap="flat" cmpd="sng" algn="ctr">
          <a:solidFill>
            <a:srgbClr val="B4936D">
              <a:tint val="40000"/>
              <a:alpha val="90000"/>
              <a:hueOff val="4847172"/>
              <a:satOff val="-9865"/>
              <a:lumOff val="-1461"/>
              <a:alphaOff val="0"/>
            </a:srgbClr>
          </a:solidFill>
          <a:prstDash val="solid"/>
        </a:ln>
        <a:effectLst/>
      </dgm:spPr>
      <dgm:t>
        <a:bodyPr/>
        <a:lstStyle/>
        <a:p>
          <a:r>
            <a:rPr lang="x-none" sz="900">
              <a:solidFill>
                <a:srgbClr val="000000">
                  <a:hueOff val="0"/>
                  <a:satOff val="0"/>
                  <a:lumOff val="0"/>
                  <a:alphaOff val="0"/>
                </a:srgbClr>
              </a:solidFill>
              <a:latin typeface="+mj-lt"/>
              <a:ea typeface="+mn-ea"/>
              <a:cs typeface="+mn-cs"/>
            </a:rPr>
            <a:t>Smanjenje administrativnih barijera kroz primjenu analize uticaja propisa RIA</a:t>
          </a:r>
          <a:endParaRPr lang="en-US" sz="900">
            <a:solidFill>
              <a:srgbClr val="000000">
                <a:hueOff val="0"/>
                <a:satOff val="0"/>
                <a:lumOff val="0"/>
                <a:alphaOff val="0"/>
              </a:srgbClr>
            </a:solidFill>
            <a:latin typeface="+mj-lt"/>
            <a:ea typeface="+mn-ea"/>
            <a:cs typeface="+mn-cs"/>
          </a:endParaRPr>
        </a:p>
      </dgm:t>
    </dgm:pt>
    <dgm:pt modelId="{4B9130C4-38A2-4031-BD82-B9A0EA214091}" type="parTrans" cxnId="{ADD93B1A-8EE3-468F-9EFF-6CDA1BBEC01C}">
      <dgm:prSet/>
      <dgm:spPr/>
      <dgm:t>
        <a:bodyPr/>
        <a:lstStyle/>
        <a:p>
          <a:endParaRPr lang="en-US"/>
        </a:p>
      </dgm:t>
    </dgm:pt>
    <dgm:pt modelId="{CEA5A6AB-A70F-4DEE-8F71-8F73F8AECD80}" type="sibTrans" cxnId="{ADD93B1A-8EE3-468F-9EFF-6CDA1BBEC01C}">
      <dgm:prSet/>
      <dgm:spPr/>
      <dgm:t>
        <a:bodyPr/>
        <a:lstStyle/>
        <a:p>
          <a:endParaRPr lang="en-US"/>
        </a:p>
      </dgm:t>
    </dgm:pt>
    <dgm:pt modelId="{687435EC-F804-4852-9A0F-2A56BA023B60}">
      <dgm:prSet custT="1"/>
      <dgm:spPr>
        <a:xfrm>
          <a:off x="2493872" y="1209271"/>
          <a:ext cx="3736243" cy="1501416"/>
        </a:xfrm>
        <a:solidFill>
          <a:srgbClr val="B4936D">
            <a:tint val="40000"/>
            <a:alpha val="90000"/>
            <a:hueOff val="4847172"/>
            <a:satOff val="-9865"/>
            <a:lumOff val="-1461"/>
            <a:alphaOff val="0"/>
          </a:srgbClr>
        </a:solidFill>
        <a:ln w="25400" cap="flat" cmpd="sng" algn="ctr">
          <a:solidFill>
            <a:srgbClr val="B4936D">
              <a:tint val="40000"/>
              <a:alpha val="90000"/>
              <a:hueOff val="4847172"/>
              <a:satOff val="-9865"/>
              <a:lumOff val="-1461"/>
              <a:alphaOff val="0"/>
            </a:srgbClr>
          </a:solidFill>
          <a:prstDash val="solid"/>
        </a:ln>
        <a:effectLst/>
      </dgm:spPr>
      <dgm:t>
        <a:bodyPr/>
        <a:lstStyle/>
        <a:p>
          <a:r>
            <a:rPr lang="x-none" sz="900">
              <a:solidFill>
                <a:srgbClr val="000000">
                  <a:hueOff val="0"/>
                  <a:satOff val="0"/>
                  <a:lumOff val="0"/>
                  <a:alphaOff val="0"/>
                </a:srgbClr>
              </a:solidFill>
              <a:latin typeface="+mj-lt"/>
              <a:ea typeface="+mn-ea"/>
              <a:cs typeface="+mn-cs"/>
            </a:rPr>
            <a:t>Unapređenje tehničke predispozicije i informatičkih rešenja u državnim institucijama</a:t>
          </a:r>
          <a:endParaRPr lang="en-US" sz="900">
            <a:solidFill>
              <a:srgbClr val="000000">
                <a:hueOff val="0"/>
                <a:satOff val="0"/>
                <a:lumOff val="0"/>
                <a:alphaOff val="0"/>
              </a:srgbClr>
            </a:solidFill>
            <a:latin typeface="+mj-lt"/>
            <a:ea typeface="+mn-ea"/>
            <a:cs typeface="+mn-cs"/>
          </a:endParaRPr>
        </a:p>
      </dgm:t>
    </dgm:pt>
    <dgm:pt modelId="{B8F5DF74-A58D-41BF-95F4-55590858084D}" type="parTrans" cxnId="{A4888E45-89A6-4FF4-AD1C-297AA11C4E34}">
      <dgm:prSet/>
      <dgm:spPr/>
      <dgm:t>
        <a:bodyPr/>
        <a:lstStyle/>
        <a:p>
          <a:endParaRPr lang="en-US"/>
        </a:p>
      </dgm:t>
    </dgm:pt>
    <dgm:pt modelId="{E5644D93-AB44-4C79-BD7B-22767C881C2D}" type="sibTrans" cxnId="{A4888E45-89A6-4FF4-AD1C-297AA11C4E34}">
      <dgm:prSet/>
      <dgm:spPr/>
      <dgm:t>
        <a:bodyPr/>
        <a:lstStyle/>
        <a:p>
          <a:endParaRPr lang="en-US"/>
        </a:p>
      </dgm:t>
    </dgm:pt>
    <dgm:pt modelId="{C5A560C8-768F-46C9-851E-D92D56652057}">
      <dgm:prSet custT="1"/>
      <dgm:spPr>
        <a:xfrm>
          <a:off x="2493872" y="1209271"/>
          <a:ext cx="3736243" cy="1501416"/>
        </a:xfrm>
        <a:solidFill>
          <a:srgbClr val="B4936D">
            <a:tint val="40000"/>
            <a:alpha val="90000"/>
            <a:hueOff val="4847172"/>
            <a:satOff val="-9865"/>
            <a:lumOff val="-1461"/>
            <a:alphaOff val="0"/>
          </a:srgbClr>
        </a:solidFill>
        <a:ln w="25400" cap="flat" cmpd="sng" algn="ctr">
          <a:solidFill>
            <a:srgbClr val="B4936D">
              <a:tint val="40000"/>
              <a:alpha val="90000"/>
              <a:hueOff val="4847172"/>
              <a:satOff val="-9865"/>
              <a:lumOff val="-1461"/>
              <a:alphaOff val="0"/>
            </a:srgbClr>
          </a:solidFill>
          <a:prstDash val="solid"/>
        </a:ln>
        <a:effectLst/>
      </dgm:spPr>
      <dgm:t>
        <a:bodyPr/>
        <a:lstStyle/>
        <a:p>
          <a:r>
            <a:rPr lang="x-none" sz="900">
              <a:solidFill>
                <a:srgbClr val="000000">
                  <a:hueOff val="0"/>
                  <a:satOff val="0"/>
                  <a:lumOff val="0"/>
                  <a:alphaOff val="0"/>
                </a:srgbClr>
              </a:solidFill>
              <a:latin typeface="+mj-lt"/>
              <a:ea typeface="+mn-ea"/>
              <a:cs typeface="+mn-cs"/>
            </a:rPr>
            <a:t>Povećanje efikasnosti državnog servisa</a:t>
          </a:r>
          <a:endParaRPr lang="en-US" sz="900">
            <a:solidFill>
              <a:srgbClr val="000000">
                <a:hueOff val="0"/>
                <a:satOff val="0"/>
                <a:lumOff val="0"/>
                <a:alphaOff val="0"/>
              </a:srgbClr>
            </a:solidFill>
            <a:latin typeface="+mj-lt"/>
            <a:ea typeface="+mn-ea"/>
            <a:cs typeface="+mn-cs"/>
          </a:endParaRPr>
        </a:p>
      </dgm:t>
    </dgm:pt>
    <dgm:pt modelId="{678290F0-CF7F-45CC-A1AD-D304AECB9BDD}" type="parTrans" cxnId="{D49C7A14-3309-403F-8DE9-59F8D4119ED4}">
      <dgm:prSet/>
      <dgm:spPr/>
      <dgm:t>
        <a:bodyPr/>
        <a:lstStyle/>
        <a:p>
          <a:endParaRPr lang="en-US"/>
        </a:p>
      </dgm:t>
    </dgm:pt>
    <dgm:pt modelId="{B0228E71-AD09-42BB-9EAA-5F287760A86B}" type="sibTrans" cxnId="{D49C7A14-3309-403F-8DE9-59F8D4119ED4}">
      <dgm:prSet/>
      <dgm:spPr/>
      <dgm:t>
        <a:bodyPr/>
        <a:lstStyle/>
        <a:p>
          <a:endParaRPr lang="en-US"/>
        </a:p>
      </dgm:t>
    </dgm:pt>
    <dgm:pt modelId="{A3C112C2-3D8C-4D53-993A-6918BAD1875E}">
      <dgm:prSet custT="1"/>
      <dgm:spPr>
        <a:xfrm>
          <a:off x="2493872" y="1209271"/>
          <a:ext cx="3736243" cy="1501416"/>
        </a:xfrm>
        <a:solidFill>
          <a:srgbClr val="B4936D">
            <a:tint val="40000"/>
            <a:alpha val="90000"/>
            <a:hueOff val="4847172"/>
            <a:satOff val="-9865"/>
            <a:lumOff val="-1461"/>
            <a:alphaOff val="0"/>
          </a:srgbClr>
        </a:solidFill>
        <a:ln w="25400" cap="flat" cmpd="sng" algn="ctr">
          <a:solidFill>
            <a:srgbClr val="B4936D">
              <a:tint val="40000"/>
              <a:alpha val="90000"/>
              <a:hueOff val="4847172"/>
              <a:satOff val="-9865"/>
              <a:lumOff val="-1461"/>
              <a:alphaOff val="0"/>
            </a:srgbClr>
          </a:solidFill>
          <a:prstDash val="solid"/>
        </a:ln>
        <a:effectLst/>
      </dgm:spPr>
      <dgm:t>
        <a:bodyPr/>
        <a:lstStyle/>
        <a:p>
          <a:r>
            <a:rPr lang="x-none" sz="900">
              <a:solidFill>
                <a:srgbClr val="000000">
                  <a:hueOff val="0"/>
                  <a:satOff val="0"/>
                  <a:lumOff val="0"/>
                  <a:alphaOff val="0"/>
                </a:srgbClr>
              </a:solidFill>
              <a:latin typeface="+mj-lt"/>
              <a:ea typeface="+mn-ea"/>
              <a:cs typeface="+mn-cs"/>
            </a:rPr>
            <a:t>Veća transparentnost procedura </a:t>
          </a:r>
          <a:endParaRPr lang="en-US" sz="900">
            <a:solidFill>
              <a:srgbClr val="000000">
                <a:hueOff val="0"/>
                <a:satOff val="0"/>
                <a:lumOff val="0"/>
                <a:alphaOff val="0"/>
              </a:srgbClr>
            </a:solidFill>
            <a:latin typeface="+mj-lt"/>
            <a:ea typeface="+mn-ea"/>
            <a:cs typeface="+mn-cs"/>
          </a:endParaRPr>
        </a:p>
      </dgm:t>
    </dgm:pt>
    <dgm:pt modelId="{50F5449E-102B-48D6-BFB7-5C4D3D11A00A}" type="parTrans" cxnId="{5E79BB09-AD46-45D1-9BC4-072CD76038FE}">
      <dgm:prSet/>
      <dgm:spPr/>
      <dgm:t>
        <a:bodyPr/>
        <a:lstStyle/>
        <a:p>
          <a:endParaRPr lang="en-US"/>
        </a:p>
      </dgm:t>
    </dgm:pt>
    <dgm:pt modelId="{D7960BDE-11A5-4CC7-980A-D367FA7E495D}" type="sibTrans" cxnId="{5E79BB09-AD46-45D1-9BC4-072CD76038FE}">
      <dgm:prSet/>
      <dgm:spPr/>
      <dgm:t>
        <a:bodyPr/>
        <a:lstStyle/>
        <a:p>
          <a:endParaRPr lang="en-US"/>
        </a:p>
      </dgm:t>
    </dgm:pt>
    <dgm:pt modelId="{7F4C6578-C550-4D08-9FDE-FEDC8B3FFBC0}">
      <dgm:prSet custT="1"/>
      <dgm:spPr>
        <a:xfrm>
          <a:off x="3043" y="2985316"/>
          <a:ext cx="2490829" cy="1030753"/>
        </a:xfrm>
        <a:solidFill>
          <a:srgbClr val="0D97B3"/>
        </a:solidFill>
        <a:ln w="25400" cap="flat" cmpd="sng" algn="ctr">
          <a:solidFill>
            <a:srgbClr val="FFFFFF">
              <a:hueOff val="0"/>
              <a:satOff val="0"/>
              <a:lumOff val="0"/>
              <a:alphaOff val="0"/>
            </a:srgbClr>
          </a:solidFill>
          <a:prstDash val="solid"/>
        </a:ln>
        <a:effectLst/>
      </dgm:spPr>
      <dgm:t>
        <a:bodyPr/>
        <a:lstStyle/>
        <a:p>
          <a:r>
            <a:rPr lang="en-US" sz="900" b="1">
              <a:solidFill>
                <a:srgbClr val="FFFFFF"/>
              </a:solidFill>
              <a:latin typeface="+mj-lt"/>
              <a:ea typeface="+mn-ea"/>
              <a:cs typeface="+mn-cs"/>
            </a:rPr>
            <a:t>Nacionalna strategija održivog razvoja do 2030</a:t>
          </a:r>
          <a:r>
            <a:rPr lang="sr-Latn-RS" sz="900" b="1">
              <a:solidFill>
                <a:srgbClr val="FFFFFF"/>
              </a:solidFill>
              <a:latin typeface="+mj-lt"/>
              <a:ea typeface="+mn-ea"/>
              <a:cs typeface="+mn-cs"/>
            </a:rPr>
            <a:t>.</a:t>
          </a:r>
          <a:endParaRPr lang="en-US" sz="900" b="1">
            <a:solidFill>
              <a:srgbClr val="FFFFFF"/>
            </a:solidFill>
            <a:latin typeface="+mj-lt"/>
            <a:ea typeface="+mn-ea"/>
            <a:cs typeface="+mn-cs"/>
          </a:endParaRPr>
        </a:p>
      </dgm:t>
    </dgm:pt>
    <dgm:pt modelId="{BE1A9BF8-BA95-4940-A8FE-3E67ADC16087}" type="parTrans" cxnId="{F524AF8D-85A3-4A25-8588-CA06810F4335}">
      <dgm:prSet/>
      <dgm:spPr/>
      <dgm:t>
        <a:bodyPr/>
        <a:lstStyle/>
        <a:p>
          <a:endParaRPr lang="en-US"/>
        </a:p>
      </dgm:t>
    </dgm:pt>
    <dgm:pt modelId="{01A4D5D4-0C04-45F0-9B6A-D11617ABBA4C}" type="sibTrans" cxnId="{F524AF8D-85A3-4A25-8588-CA06810F4335}">
      <dgm:prSet/>
      <dgm:spPr/>
      <dgm:t>
        <a:bodyPr/>
        <a:lstStyle/>
        <a:p>
          <a:endParaRPr lang="en-US"/>
        </a:p>
      </dgm:t>
    </dgm:pt>
    <dgm:pt modelId="{422C83D2-2FB4-44F2-81F6-53A6360569CD}">
      <dgm:prSet custT="1"/>
      <dgm:spPr>
        <a:xfrm>
          <a:off x="2493872" y="2813763"/>
          <a:ext cx="3736243" cy="1373860"/>
        </a:xfrm>
        <a:solidFill>
          <a:srgbClr val="B4936D">
            <a:tint val="40000"/>
            <a:alpha val="90000"/>
            <a:hueOff val="9694343"/>
            <a:satOff val="-19730"/>
            <a:lumOff val="-2923"/>
            <a:alphaOff val="0"/>
          </a:srgbClr>
        </a:solidFill>
        <a:ln w="25400" cap="flat" cmpd="sng" algn="ctr">
          <a:solidFill>
            <a:srgbClr val="B4936D">
              <a:tint val="40000"/>
              <a:alpha val="90000"/>
              <a:hueOff val="9694343"/>
              <a:satOff val="-19730"/>
              <a:lumOff val="-2923"/>
              <a:alphaOff val="0"/>
            </a:srgbClr>
          </a:solidFill>
          <a:prstDash val="solid"/>
        </a:ln>
        <a:effectLst/>
      </dgm:spPr>
      <dgm:t>
        <a:bodyPr/>
        <a:lstStyle/>
        <a:p>
          <a:r>
            <a:rPr lang="x-none" sz="900">
              <a:solidFill>
                <a:srgbClr val="000000">
                  <a:hueOff val="0"/>
                  <a:satOff val="0"/>
                  <a:lumOff val="0"/>
                  <a:alphaOff val="0"/>
                </a:srgbClr>
              </a:solidFill>
              <a:latin typeface="+mj-lt"/>
              <a:ea typeface="+mn-ea"/>
              <a:cs typeface="+mn-cs"/>
            </a:rPr>
            <a:t>Jačati povjerenje građana u demokratski politički sistem</a:t>
          </a:r>
          <a:endParaRPr lang="en-US" sz="900">
            <a:solidFill>
              <a:srgbClr val="000000">
                <a:hueOff val="0"/>
                <a:satOff val="0"/>
                <a:lumOff val="0"/>
                <a:alphaOff val="0"/>
              </a:srgbClr>
            </a:solidFill>
            <a:latin typeface="+mj-lt"/>
            <a:ea typeface="+mn-ea"/>
            <a:cs typeface="+mn-cs"/>
          </a:endParaRPr>
        </a:p>
      </dgm:t>
    </dgm:pt>
    <dgm:pt modelId="{57A9CE02-FB18-4ACD-BFF1-C06AA9B75D1A}" type="parTrans" cxnId="{F8E217AE-7140-4D72-8B41-8A42E1279DF5}">
      <dgm:prSet/>
      <dgm:spPr/>
      <dgm:t>
        <a:bodyPr/>
        <a:lstStyle/>
        <a:p>
          <a:endParaRPr lang="en-US"/>
        </a:p>
      </dgm:t>
    </dgm:pt>
    <dgm:pt modelId="{99DDFDA5-5C28-4206-8D2D-382D62D03DF1}" type="sibTrans" cxnId="{F8E217AE-7140-4D72-8B41-8A42E1279DF5}">
      <dgm:prSet/>
      <dgm:spPr/>
      <dgm:t>
        <a:bodyPr/>
        <a:lstStyle/>
        <a:p>
          <a:endParaRPr lang="en-US"/>
        </a:p>
      </dgm:t>
    </dgm:pt>
    <dgm:pt modelId="{227EC29F-27B4-4D2B-A684-4334022F5B74}">
      <dgm:prSet custT="1"/>
      <dgm:spPr>
        <a:xfrm>
          <a:off x="2493872" y="2813763"/>
          <a:ext cx="3736243" cy="1373860"/>
        </a:xfrm>
        <a:solidFill>
          <a:srgbClr val="B4936D">
            <a:tint val="40000"/>
            <a:alpha val="90000"/>
            <a:hueOff val="9694343"/>
            <a:satOff val="-19730"/>
            <a:lumOff val="-2923"/>
            <a:alphaOff val="0"/>
          </a:srgbClr>
        </a:solidFill>
        <a:ln w="25400" cap="flat" cmpd="sng" algn="ctr">
          <a:solidFill>
            <a:srgbClr val="B4936D">
              <a:tint val="40000"/>
              <a:alpha val="90000"/>
              <a:hueOff val="9694343"/>
              <a:satOff val="-19730"/>
              <a:lumOff val="-2923"/>
              <a:alphaOff val="0"/>
            </a:srgbClr>
          </a:solidFill>
          <a:prstDash val="solid"/>
        </a:ln>
        <a:effectLst/>
      </dgm:spPr>
      <dgm:t>
        <a:bodyPr/>
        <a:lstStyle/>
        <a:p>
          <a:r>
            <a:rPr lang="en-US" sz="900">
              <a:solidFill>
                <a:srgbClr val="000000">
                  <a:hueOff val="0"/>
                  <a:satOff val="0"/>
                  <a:lumOff val="0"/>
                  <a:alphaOff val="0"/>
                </a:srgbClr>
              </a:solidFill>
              <a:latin typeface="+mj-lt"/>
              <a:ea typeface="+mn-ea"/>
              <a:cs typeface="+mn-cs"/>
            </a:rPr>
            <a:t>Cjel</a:t>
          </a:r>
          <a:r>
            <a:rPr lang="x-none" sz="900">
              <a:solidFill>
                <a:srgbClr val="000000">
                  <a:hueOff val="0"/>
                  <a:satOff val="0"/>
                  <a:lumOff val="0"/>
                  <a:alphaOff val="0"/>
                </a:srgbClr>
              </a:solidFill>
              <a:latin typeface="+mj-lt"/>
              <a:ea typeface="+mn-ea"/>
              <a:cs typeface="+mn-cs"/>
            </a:rPr>
            <a:t>oživotno učenje</a:t>
          </a:r>
          <a:endParaRPr lang="en-US" sz="900">
            <a:solidFill>
              <a:srgbClr val="000000">
                <a:hueOff val="0"/>
                <a:satOff val="0"/>
                <a:lumOff val="0"/>
                <a:alphaOff val="0"/>
              </a:srgbClr>
            </a:solidFill>
            <a:latin typeface="+mj-lt"/>
            <a:ea typeface="+mn-ea"/>
            <a:cs typeface="+mn-cs"/>
          </a:endParaRPr>
        </a:p>
      </dgm:t>
    </dgm:pt>
    <dgm:pt modelId="{AF49E259-2E12-4802-AE0F-82EB33812AC7}" type="parTrans" cxnId="{E285BD98-6DD3-4A3C-BDFA-4AF15D6A124C}">
      <dgm:prSet/>
      <dgm:spPr/>
      <dgm:t>
        <a:bodyPr/>
        <a:lstStyle/>
        <a:p>
          <a:endParaRPr lang="en-US"/>
        </a:p>
      </dgm:t>
    </dgm:pt>
    <dgm:pt modelId="{199358C6-E9ED-4D4D-93D1-38365983289A}" type="sibTrans" cxnId="{E285BD98-6DD3-4A3C-BDFA-4AF15D6A124C}">
      <dgm:prSet/>
      <dgm:spPr/>
      <dgm:t>
        <a:bodyPr/>
        <a:lstStyle/>
        <a:p>
          <a:endParaRPr lang="en-US"/>
        </a:p>
      </dgm:t>
    </dgm:pt>
    <dgm:pt modelId="{1FDF13B6-869A-47E2-A4BC-A4B67634596C}">
      <dgm:prSet custT="1"/>
      <dgm:spPr>
        <a:xfrm>
          <a:off x="2493872" y="2813763"/>
          <a:ext cx="3736243" cy="1373860"/>
        </a:xfrm>
        <a:solidFill>
          <a:srgbClr val="B4936D">
            <a:tint val="40000"/>
            <a:alpha val="90000"/>
            <a:hueOff val="9694343"/>
            <a:satOff val="-19730"/>
            <a:lumOff val="-2923"/>
            <a:alphaOff val="0"/>
          </a:srgbClr>
        </a:solidFill>
        <a:ln w="25400" cap="flat" cmpd="sng" algn="ctr">
          <a:solidFill>
            <a:srgbClr val="B4936D">
              <a:tint val="40000"/>
              <a:alpha val="90000"/>
              <a:hueOff val="9694343"/>
              <a:satOff val="-19730"/>
              <a:lumOff val="-2923"/>
              <a:alphaOff val="0"/>
            </a:srgbClr>
          </a:solidFill>
          <a:prstDash val="solid"/>
        </a:ln>
        <a:effectLst/>
      </dgm:spPr>
      <dgm:t>
        <a:bodyPr/>
        <a:lstStyle/>
        <a:p>
          <a:r>
            <a:rPr lang="en-US" sz="900">
              <a:solidFill>
                <a:srgbClr val="000000">
                  <a:hueOff val="0"/>
                  <a:satOff val="0"/>
                  <a:lumOff val="0"/>
                  <a:alphaOff val="0"/>
                </a:srgbClr>
              </a:solidFill>
              <a:latin typeface="+mj-lt"/>
              <a:ea typeface="+mn-ea"/>
              <a:cs typeface="+mn-cs"/>
            </a:rPr>
            <a:t>Podsticati</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istraživanje i</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razvoj u oblasti</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resursne</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efikasnosti i</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razvoj ljudskih</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resursa</a:t>
          </a:r>
        </a:p>
      </dgm:t>
    </dgm:pt>
    <dgm:pt modelId="{188C382E-F533-4C90-9ADC-463862EF1A4F}" type="parTrans" cxnId="{71B36E42-3CEB-4DB8-AAB7-36837071C1BA}">
      <dgm:prSet/>
      <dgm:spPr/>
      <dgm:t>
        <a:bodyPr/>
        <a:lstStyle/>
        <a:p>
          <a:endParaRPr lang="en-US"/>
        </a:p>
      </dgm:t>
    </dgm:pt>
    <dgm:pt modelId="{9FBE6F74-792F-4002-BA5F-785C44007CE5}" type="sibTrans" cxnId="{71B36E42-3CEB-4DB8-AAB7-36837071C1BA}">
      <dgm:prSet/>
      <dgm:spPr/>
      <dgm:t>
        <a:bodyPr/>
        <a:lstStyle/>
        <a:p>
          <a:endParaRPr lang="en-US"/>
        </a:p>
      </dgm:t>
    </dgm:pt>
    <dgm:pt modelId="{8C39382F-9B86-452F-A70D-2BC01CC2A777}">
      <dgm:prSet custT="1"/>
      <dgm:spPr>
        <a:xfrm>
          <a:off x="2493872" y="2813763"/>
          <a:ext cx="3736243" cy="1373860"/>
        </a:xfrm>
        <a:solidFill>
          <a:srgbClr val="B4936D">
            <a:tint val="40000"/>
            <a:alpha val="90000"/>
            <a:hueOff val="9694343"/>
            <a:satOff val="-19730"/>
            <a:lumOff val="-2923"/>
            <a:alphaOff val="0"/>
          </a:srgbClr>
        </a:solidFill>
        <a:ln w="25400" cap="flat" cmpd="sng" algn="ctr">
          <a:solidFill>
            <a:srgbClr val="B4936D">
              <a:tint val="40000"/>
              <a:alpha val="90000"/>
              <a:hueOff val="9694343"/>
              <a:satOff val="-19730"/>
              <a:lumOff val="-2923"/>
              <a:alphaOff val="0"/>
            </a:srgbClr>
          </a:solidFill>
          <a:prstDash val="solid"/>
        </a:ln>
        <a:effectLst/>
      </dgm:spPr>
      <dgm:t>
        <a:bodyPr/>
        <a:lstStyle/>
        <a:p>
          <a:r>
            <a:rPr lang="en-US" sz="900">
              <a:solidFill>
                <a:srgbClr val="000000">
                  <a:hueOff val="0"/>
                  <a:satOff val="0"/>
                  <a:lumOff val="0"/>
                  <a:alphaOff val="0"/>
                </a:srgbClr>
              </a:solidFill>
              <a:latin typeface="+mj-lt"/>
              <a:ea typeface="+mn-ea"/>
              <a:cs typeface="+mn-cs"/>
            </a:rPr>
            <a:t>Promovisati</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koncept društvene</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odgovornosti (DO)</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i podizati svijest</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o vrijednostima</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i važnosti DO</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odnosno benefitima</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organizacija</a:t>
          </a:r>
        </a:p>
      </dgm:t>
    </dgm:pt>
    <dgm:pt modelId="{8E7FCA2D-10EF-444A-8298-8FC963837D0A}" type="parTrans" cxnId="{2E1DAECA-7980-4679-8030-EED519491A6D}">
      <dgm:prSet/>
      <dgm:spPr/>
      <dgm:t>
        <a:bodyPr/>
        <a:lstStyle/>
        <a:p>
          <a:endParaRPr lang="en-US"/>
        </a:p>
      </dgm:t>
    </dgm:pt>
    <dgm:pt modelId="{85F24106-A457-4B16-80BF-D352B9D674CC}" type="sibTrans" cxnId="{2E1DAECA-7980-4679-8030-EED519491A6D}">
      <dgm:prSet/>
      <dgm:spPr/>
      <dgm:t>
        <a:bodyPr/>
        <a:lstStyle/>
        <a:p>
          <a:endParaRPr lang="en-US"/>
        </a:p>
      </dgm:t>
    </dgm:pt>
    <dgm:pt modelId="{CE594D5C-F097-4C19-AE42-0E8F28490F81}">
      <dgm:prSet custT="1"/>
      <dgm:spPr>
        <a:xfrm>
          <a:off x="2493872" y="2813763"/>
          <a:ext cx="3736243" cy="1373860"/>
        </a:xfrm>
        <a:solidFill>
          <a:srgbClr val="B4936D">
            <a:tint val="40000"/>
            <a:alpha val="90000"/>
            <a:hueOff val="9694343"/>
            <a:satOff val="-19730"/>
            <a:lumOff val="-2923"/>
            <a:alphaOff val="0"/>
          </a:srgbClr>
        </a:solidFill>
        <a:ln w="25400" cap="flat" cmpd="sng" algn="ctr">
          <a:solidFill>
            <a:srgbClr val="B4936D">
              <a:tint val="40000"/>
              <a:alpha val="90000"/>
              <a:hueOff val="9694343"/>
              <a:satOff val="-19730"/>
              <a:lumOff val="-2923"/>
              <a:alphaOff val="0"/>
            </a:srgbClr>
          </a:solidFill>
          <a:prstDash val="solid"/>
        </a:ln>
        <a:effectLst/>
      </dgm:spPr>
      <dgm:t>
        <a:bodyPr/>
        <a:lstStyle/>
        <a:p>
          <a:r>
            <a:rPr lang="en-US" sz="900">
              <a:solidFill>
                <a:srgbClr val="000000">
                  <a:hueOff val="0"/>
                  <a:satOff val="0"/>
                  <a:lumOff val="0"/>
                  <a:alphaOff val="0"/>
                </a:srgbClr>
              </a:solidFill>
              <a:latin typeface="+mj-lt"/>
              <a:ea typeface="+mn-ea"/>
              <a:cs typeface="+mn-cs"/>
            </a:rPr>
            <a:t>Uspostaviti</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mjerljivost</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rezultata rada</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javne uprave</a:t>
          </a:r>
        </a:p>
      </dgm:t>
    </dgm:pt>
    <dgm:pt modelId="{F2263873-7D96-4FA5-96AE-61F2026F7840}" type="parTrans" cxnId="{B993D73B-E299-45AA-B5C6-1A1797CDF83E}">
      <dgm:prSet/>
      <dgm:spPr/>
      <dgm:t>
        <a:bodyPr/>
        <a:lstStyle/>
        <a:p>
          <a:endParaRPr lang="en-US"/>
        </a:p>
      </dgm:t>
    </dgm:pt>
    <dgm:pt modelId="{35434C26-F63C-4D28-AE2D-D7CD3900D607}" type="sibTrans" cxnId="{B993D73B-E299-45AA-B5C6-1A1797CDF83E}">
      <dgm:prSet/>
      <dgm:spPr/>
      <dgm:t>
        <a:bodyPr/>
        <a:lstStyle/>
        <a:p>
          <a:endParaRPr lang="en-US"/>
        </a:p>
      </dgm:t>
    </dgm:pt>
    <dgm:pt modelId="{05E4D312-13CE-403A-9451-D427404EB96C}">
      <dgm:prSet custT="1"/>
      <dgm:spPr>
        <a:xfrm>
          <a:off x="2493872" y="2813763"/>
          <a:ext cx="3736243" cy="1373860"/>
        </a:xfrm>
        <a:solidFill>
          <a:srgbClr val="B4936D">
            <a:tint val="40000"/>
            <a:alpha val="90000"/>
            <a:hueOff val="9694343"/>
            <a:satOff val="-19730"/>
            <a:lumOff val="-2923"/>
            <a:alphaOff val="0"/>
          </a:srgbClr>
        </a:solidFill>
        <a:ln w="25400" cap="flat" cmpd="sng" algn="ctr">
          <a:solidFill>
            <a:srgbClr val="B4936D">
              <a:tint val="40000"/>
              <a:alpha val="90000"/>
              <a:hueOff val="9694343"/>
              <a:satOff val="-19730"/>
              <a:lumOff val="-2923"/>
              <a:alphaOff val="0"/>
            </a:srgbClr>
          </a:solidFill>
          <a:prstDash val="solid"/>
        </a:ln>
        <a:effectLst/>
      </dgm:spPr>
      <dgm:t>
        <a:bodyPr/>
        <a:lstStyle/>
        <a:p>
          <a:r>
            <a:rPr lang="en-US" sz="900">
              <a:solidFill>
                <a:srgbClr val="000000">
                  <a:hueOff val="0"/>
                  <a:satOff val="0"/>
                  <a:lumOff val="0"/>
                  <a:alphaOff val="0"/>
                </a:srgbClr>
              </a:solidFill>
              <a:latin typeface="+mj-lt"/>
              <a:ea typeface="+mn-ea"/>
              <a:cs typeface="+mn-cs"/>
            </a:rPr>
            <a:t>Ojačati učešće</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zaiteresovane</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i stručne</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javnosti u</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donošenju i</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sprovođenju</a:t>
          </a:r>
          <a:r>
            <a:rPr lang="x-none" sz="900">
              <a:solidFill>
                <a:srgbClr val="000000">
                  <a:hueOff val="0"/>
                  <a:satOff val="0"/>
                  <a:lumOff val="0"/>
                  <a:alphaOff val="0"/>
                </a:srgbClr>
              </a:solidFill>
              <a:latin typeface="+mj-lt"/>
              <a:ea typeface="+mn-ea"/>
              <a:cs typeface="+mn-cs"/>
            </a:rPr>
            <a:t> </a:t>
          </a:r>
          <a:r>
            <a:rPr lang="en-US" sz="900">
              <a:solidFill>
                <a:srgbClr val="000000">
                  <a:hueOff val="0"/>
                  <a:satOff val="0"/>
                  <a:lumOff val="0"/>
                  <a:alphaOff val="0"/>
                </a:srgbClr>
              </a:solidFill>
              <a:latin typeface="+mj-lt"/>
              <a:ea typeface="+mn-ea"/>
              <a:cs typeface="+mn-cs"/>
            </a:rPr>
            <a:t>odluka</a:t>
          </a:r>
        </a:p>
      </dgm:t>
    </dgm:pt>
    <dgm:pt modelId="{B1F03F9D-D18B-4460-901E-D135098D6926}" type="parTrans" cxnId="{B747F340-750A-4862-971E-778D4204EFB2}">
      <dgm:prSet/>
      <dgm:spPr/>
      <dgm:t>
        <a:bodyPr/>
        <a:lstStyle/>
        <a:p>
          <a:endParaRPr lang="en-US"/>
        </a:p>
      </dgm:t>
    </dgm:pt>
    <dgm:pt modelId="{4A7E0B6E-908F-4034-8D5C-40A9101FCC82}" type="sibTrans" cxnId="{B747F340-750A-4862-971E-778D4204EFB2}">
      <dgm:prSet/>
      <dgm:spPr/>
      <dgm:t>
        <a:bodyPr/>
        <a:lstStyle/>
        <a:p>
          <a:endParaRPr lang="en-US"/>
        </a:p>
      </dgm:t>
    </dgm:pt>
    <dgm:pt modelId="{D9CCBDA7-9721-4A52-98E3-BCE555661FFB}" type="pres">
      <dgm:prSet presAssocID="{29FB5E53-3A23-44B6-83F2-A72B41330F0C}" presName="Name0" presStyleCnt="0">
        <dgm:presLayoutVars>
          <dgm:dir/>
          <dgm:animLvl val="lvl"/>
          <dgm:resizeHandles val="exact"/>
        </dgm:presLayoutVars>
      </dgm:prSet>
      <dgm:spPr/>
      <dgm:t>
        <a:bodyPr/>
        <a:lstStyle/>
        <a:p>
          <a:endParaRPr lang="en-US"/>
        </a:p>
      </dgm:t>
    </dgm:pt>
    <dgm:pt modelId="{26ADDC96-5ED7-4BD1-A0E0-4F02D854D6D8}" type="pres">
      <dgm:prSet presAssocID="{8B0CD044-2C5C-4B58-8C67-65F3710929C1}" presName="vertFlow" presStyleCnt="0"/>
      <dgm:spPr/>
    </dgm:pt>
    <dgm:pt modelId="{1851BA67-5572-447C-BE3B-871EBBCA3322}" type="pres">
      <dgm:prSet presAssocID="{8B0CD044-2C5C-4B58-8C67-65F3710929C1}" presName="header" presStyleLbl="node1" presStyleIdx="0" presStyleCnt="7" custScaleY="188513" custLinFactNeighborY="4080"/>
      <dgm:spPr>
        <a:prstGeom prst="roundRect">
          <a:avLst/>
        </a:prstGeom>
      </dgm:spPr>
      <dgm:t>
        <a:bodyPr/>
        <a:lstStyle/>
        <a:p>
          <a:endParaRPr lang="en-US"/>
        </a:p>
      </dgm:t>
    </dgm:pt>
    <dgm:pt modelId="{0BB7604B-8A30-4125-879C-FEE7AF72CFAC}" type="pres">
      <dgm:prSet presAssocID="{853B0A1D-8FBB-4EF5-91D1-722F0A40CDDB}" presName="parTrans" presStyleLbl="sibTrans2D1" presStyleIdx="0" presStyleCnt="27"/>
      <dgm:spPr/>
      <dgm:t>
        <a:bodyPr/>
        <a:lstStyle/>
        <a:p>
          <a:endParaRPr lang="en-US"/>
        </a:p>
      </dgm:t>
    </dgm:pt>
    <dgm:pt modelId="{CAAA5E7B-0AE8-40E4-BC85-EF88E225D0DB}" type="pres">
      <dgm:prSet presAssocID="{7711DB2C-9B0B-458E-B0C3-D796EC47D2D2}" presName="child" presStyleLbl="alignAccFollowNode1" presStyleIdx="0" presStyleCnt="27">
        <dgm:presLayoutVars>
          <dgm:chMax val="0"/>
          <dgm:bulletEnabled val="1"/>
        </dgm:presLayoutVars>
      </dgm:prSet>
      <dgm:spPr/>
      <dgm:t>
        <a:bodyPr/>
        <a:lstStyle/>
        <a:p>
          <a:endParaRPr lang="en-US"/>
        </a:p>
      </dgm:t>
    </dgm:pt>
    <dgm:pt modelId="{5E4A6F0E-2C45-4E23-90C6-B5CC7A9D061E}" type="pres">
      <dgm:prSet presAssocID="{8B0CD044-2C5C-4B58-8C67-65F3710929C1}" presName="hSp" presStyleCnt="0"/>
      <dgm:spPr/>
    </dgm:pt>
    <dgm:pt modelId="{F953C16E-3740-4EEA-B867-6FB7E5B599E2}" type="pres">
      <dgm:prSet presAssocID="{1D2D1DD6-2571-431E-AC08-9292B50448FF}" presName="vertFlow" presStyleCnt="0"/>
      <dgm:spPr/>
    </dgm:pt>
    <dgm:pt modelId="{1456ED9F-AC9D-4D36-ADEA-15279AD22766}" type="pres">
      <dgm:prSet presAssocID="{1D2D1DD6-2571-431E-AC08-9292B50448FF}" presName="header" presStyleLbl="node1" presStyleIdx="1" presStyleCnt="7" custScaleY="180555"/>
      <dgm:spPr/>
      <dgm:t>
        <a:bodyPr/>
        <a:lstStyle/>
        <a:p>
          <a:endParaRPr lang="en-US"/>
        </a:p>
      </dgm:t>
    </dgm:pt>
    <dgm:pt modelId="{859DF52D-409F-48E0-BD34-7518B0AF15AC}" type="pres">
      <dgm:prSet presAssocID="{FA2A5614-B078-418D-90F1-518D4882EFAF}" presName="parTrans" presStyleLbl="sibTrans2D1" presStyleIdx="1" presStyleCnt="27"/>
      <dgm:spPr/>
      <dgm:t>
        <a:bodyPr/>
        <a:lstStyle/>
        <a:p>
          <a:endParaRPr lang="en-US"/>
        </a:p>
      </dgm:t>
    </dgm:pt>
    <dgm:pt modelId="{A0965D2D-E2BE-4C63-8A73-13734E7BFBB7}" type="pres">
      <dgm:prSet presAssocID="{B692693B-DB5D-44B8-91F9-1C7DB84C071F}" presName="child" presStyleLbl="alignAccFollowNode1" presStyleIdx="1" presStyleCnt="27">
        <dgm:presLayoutVars>
          <dgm:chMax val="0"/>
          <dgm:bulletEnabled val="1"/>
        </dgm:presLayoutVars>
      </dgm:prSet>
      <dgm:spPr/>
      <dgm:t>
        <a:bodyPr/>
        <a:lstStyle/>
        <a:p>
          <a:endParaRPr lang="en-US"/>
        </a:p>
      </dgm:t>
    </dgm:pt>
    <dgm:pt modelId="{35AEF3B7-7775-42AD-A875-DFB70A4C6488}" type="pres">
      <dgm:prSet presAssocID="{9F0BB1E5-B682-499B-8F98-FBA37FE0C050}" presName="sibTrans" presStyleLbl="sibTrans2D1" presStyleIdx="2" presStyleCnt="27"/>
      <dgm:spPr/>
      <dgm:t>
        <a:bodyPr/>
        <a:lstStyle/>
        <a:p>
          <a:endParaRPr lang="en-US"/>
        </a:p>
      </dgm:t>
    </dgm:pt>
    <dgm:pt modelId="{D809AE20-89DD-4184-96E2-8D4701833664}" type="pres">
      <dgm:prSet presAssocID="{5C3C03C3-1253-4F3D-A449-63838F8400EF}" presName="child" presStyleLbl="alignAccFollowNode1" presStyleIdx="2" presStyleCnt="27">
        <dgm:presLayoutVars>
          <dgm:chMax val="0"/>
          <dgm:bulletEnabled val="1"/>
        </dgm:presLayoutVars>
      </dgm:prSet>
      <dgm:spPr/>
      <dgm:t>
        <a:bodyPr/>
        <a:lstStyle/>
        <a:p>
          <a:endParaRPr lang="en-US"/>
        </a:p>
      </dgm:t>
    </dgm:pt>
    <dgm:pt modelId="{A7DA326E-7EDE-41A4-A711-4607564FEAF4}" type="pres">
      <dgm:prSet presAssocID="{4D69A661-AFDB-490C-872A-B2E5416E7638}" presName="sibTrans" presStyleLbl="sibTrans2D1" presStyleIdx="3" presStyleCnt="27"/>
      <dgm:spPr/>
      <dgm:t>
        <a:bodyPr/>
        <a:lstStyle/>
        <a:p>
          <a:endParaRPr lang="en-US"/>
        </a:p>
      </dgm:t>
    </dgm:pt>
    <dgm:pt modelId="{331B6518-67E7-43F9-B41F-3C013098A309}" type="pres">
      <dgm:prSet presAssocID="{A8026972-92CF-4F77-A175-5D34DB3E52DC}" presName="child" presStyleLbl="alignAccFollowNode1" presStyleIdx="3" presStyleCnt="27">
        <dgm:presLayoutVars>
          <dgm:chMax val="0"/>
          <dgm:bulletEnabled val="1"/>
        </dgm:presLayoutVars>
      </dgm:prSet>
      <dgm:spPr/>
      <dgm:t>
        <a:bodyPr/>
        <a:lstStyle/>
        <a:p>
          <a:endParaRPr lang="en-US"/>
        </a:p>
      </dgm:t>
    </dgm:pt>
    <dgm:pt modelId="{E9032454-997A-4DF9-B368-C2C35DE35B53}" type="pres">
      <dgm:prSet presAssocID="{3E0C20F7-C93D-498B-82CC-C15E151B00D3}" presName="sibTrans" presStyleLbl="sibTrans2D1" presStyleIdx="4" presStyleCnt="27"/>
      <dgm:spPr/>
      <dgm:t>
        <a:bodyPr/>
        <a:lstStyle/>
        <a:p>
          <a:endParaRPr lang="en-US"/>
        </a:p>
      </dgm:t>
    </dgm:pt>
    <dgm:pt modelId="{9564CB94-27E1-49BE-9906-D7AD59557434}" type="pres">
      <dgm:prSet presAssocID="{76719AB6-D384-44F8-9125-83512F44E88F}" presName="child" presStyleLbl="alignAccFollowNode1" presStyleIdx="4" presStyleCnt="27">
        <dgm:presLayoutVars>
          <dgm:chMax val="0"/>
          <dgm:bulletEnabled val="1"/>
        </dgm:presLayoutVars>
      </dgm:prSet>
      <dgm:spPr/>
      <dgm:t>
        <a:bodyPr/>
        <a:lstStyle/>
        <a:p>
          <a:endParaRPr lang="en-US"/>
        </a:p>
      </dgm:t>
    </dgm:pt>
    <dgm:pt modelId="{E9E9F3DF-8CBE-4570-BBB3-823DF751FAFC}" type="pres">
      <dgm:prSet presAssocID="{1D2D1DD6-2571-431E-AC08-9292B50448FF}" presName="hSp" presStyleCnt="0"/>
      <dgm:spPr/>
    </dgm:pt>
    <dgm:pt modelId="{8AE1E316-A593-4282-9A5F-718CFB7A1EAE}" type="pres">
      <dgm:prSet presAssocID="{59073B8E-EC75-4121-9AD2-206F53AD4667}" presName="vertFlow" presStyleCnt="0"/>
      <dgm:spPr/>
    </dgm:pt>
    <dgm:pt modelId="{71B261FC-17FA-400A-A984-B375B5C6183E}" type="pres">
      <dgm:prSet presAssocID="{59073B8E-EC75-4121-9AD2-206F53AD4667}" presName="header" presStyleLbl="node1" presStyleIdx="2" presStyleCnt="7" custScaleY="195209"/>
      <dgm:spPr/>
      <dgm:t>
        <a:bodyPr/>
        <a:lstStyle/>
        <a:p>
          <a:endParaRPr lang="en-US"/>
        </a:p>
      </dgm:t>
    </dgm:pt>
    <dgm:pt modelId="{EF758D17-7FC7-4565-91FF-7B53DF76B927}" type="pres">
      <dgm:prSet presAssocID="{66BCD572-9F52-44D7-986F-181B10C61346}" presName="parTrans" presStyleLbl="sibTrans2D1" presStyleIdx="5" presStyleCnt="27"/>
      <dgm:spPr/>
      <dgm:t>
        <a:bodyPr/>
        <a:lstStyle/>
        <a:p>
          <a:endParaRPr lang="en-US"/>
        </a:p>
      </dgm:t>
    </dgm:pt>
    <dgm:pt modelId="{EADA8DDD-9958-4C97-B7EB-52A843CB5F9D}" type="pres">
      <dgm:prSet presAssocID="{976A6CBF-E4B9-483F-BB67-6FF1A044C7A3}" presName="child" presStyleLbl="alignAccFollowNode1" presStyleIdx="5" presStyleCnt="27" custScaleY="277367">
        <dgm:presLayoutVars>
          <dgm:chMax val="0"/>
          <dgm:bulletEnabled val="1"/>
        </dgm:presLayoutVars>
      </dgm:prSet>
      <dgm:spPr/>
      <dgm:t>
        <a:bodyPr/>
        <a:lstStyle/>
        <a:p>
          <a:endParaRPr lang="en-US"/>
        </a:p>
      </dgm:t>
    </dgm:pt>
    <dgm:pt modelId="{D8AADE8B-628B-4E4C-A61C-444EC8D4698F}" type="pres">
      <dgm:prSet presAssocID="{6B26C308-FFE4-44DC-9C5F-2D29C6B33ADA}" presName="sibTrans" presStyleLbl="sibTrans2D1" presStyleIdx="6" presStyleCnt="27"/>
      <dgm:spPr/>
      <dgm:t>
        <a:bodyPr/>
        <a:lstStyle/>
        <a:p>
          <a:endParaRPr lang="en-US"/>
        </a:p>
      </dgm:t>
    </dgm:pt>
    <dgm:pt modelId="{5492F9B3-7018-495D-8BD4-2F409AD9FE82}" type="pres">
      <dgm:prSet presAssocID="{404F39DE-CE40-402F-8132-F5ABF9B0EF97}" presName="child" presStyleLbl="alignAccFollowNode1" presStyleIdx="6" presStyleCnt="27" custScaleY="344933">
        <dgm:presLayoutVars>
          <dgm:chMax val="0"/>
          <dgm:bulletEnabled val="1"/>
        </dgm:presLayoutVars>
      </dgm:prSet>
      <dgm:spPr/>
      <dgm:t>
        <a:bodyPr/>
        <a:lstStyle/>
        <a:p>
          <a:endParaRPr lang="en-US"/>
        </a:p>
      </dgm:t>
    </dgm:pt>
    <dgm:pt modelId="{CA50A3A3-B2FA-46A3-896C-5380018DD871}" type="pres">
      <dgm:prSet presAssocID="{CB96E36F-C72C-4958-9347-0F0E4925A794}" presName="sibTrans" presStyleLbl="sibTrans2D1" presStyleIdx="7" presStyleCnt="27"/>
      <dgm:spPr/>
      <dgm:t>
        <a:bodyPr/>
        <a:lstStyle/>
        <a:p>
          <a:endParaRPr lang="en-US"/>
        </a:p>
      </dgm:t>
    </dgm:pt>
    <dgm:pt modelId="{A6F48A19-D29F-4B7F-BBCF-5DE4254C3CAC}" type="pres">
      <dgm:prSet presAssocID="{80BDAF18-5CB6-4AF4-A186-7BD3CF91B3D1}" presName="child" presStyleLbl="alignAccFollowNode1" presStyleIdx="7" presStyleCnt="27" custScaleY="308936">
        <dgm:presLayoutVars>
          <dgm:chMax val="0"/>
          <dgm:bulletEnabled val="1"/>
        </dgm:presLayoutVars>
      </dgm:prSet>
      <dgm:spPr/>
      <dgm:t>
        <a:bodyPr/>
        <a:lstStyle/>
        <a:p>
          <a:endParaRPr lang="en-US"/>
        </a:p>
      </dgm:t>
    </dgm:pt>
    <dgm:pt modelId="{CB846167-76B9-475E-AAC1-1E8E07E20FEA}" type="pres">
      <dgm:prSet presAssocID="{59073B8E-EC75-4121-9AD2-206F53AD4667}" presName="hSp" presStyleCnt="0"/>
      <dgm:spPr/>
    </dgm:pt>
    <dgm:pt modelId="{22B1FF26-188E-46DA-BE93-DEFFEE7ABEF5}" type="pres">
      <dgm:prSet presAssocID="{3A820710-BA2A-48E5-BBA0-3642E0B83D7D}" presName="vertFlow" presStyleCnt="0"/>
      <dgm:spPr/>
    </dgm:pt>
    <dgm:pt modelId="{96181BB9-70DE-4B78-B737-B92BAFFC2C97}" type="pres">
      <dgm:prSet presAssocID="{3A820710-BA2A-48E5-BBA0-3642E0B83D7D}" presName="header" presStyleLbl="node1" presStyleIdx="3" presStyleCnt="7" custScaleY="205978"/>
      <dgm:spPr/>
      <dgm:t>
        <a:bodyPr/>
        <a:lstStyle/>
        <a:p>
          <a:endParaRPr lang="en-US"/>
        </a:p>
      </dgm:t>
    </dgm:pt>
    <dgm:pt modelId="{1642C4D9-51DF-436C-914C-2CD1D3A812CE}" type="pres">
      <dgm:prSet presAssocID="{0491DAFA-8DC7-454A-A7C9-26E656FCA903}" presName="parTrans" presStyleLbl="sibTrans2D1" presStyleIdx="8" presStyleCnt="27"/>
      <dgm:spPr/>
      <dgm:t>
        <a:bodyPr/>
        <a:lstStyle/>
        <a:p>
          <a:endParaRPr lang="en-US"/>
        </a:p>
      </dgm:t>
    </dgm:pt>
    <dgm:pt modelId="{8E5B4BB6-0A57-48D1-AC8F-8DB164F00E38}" type="pres">
      <dgm:prSet presAssocID="{9D623F6A-E89A-4740-BA57-FD692B3DA0D1}" presName="child" presStyleLbl="alignAccFollowNode1" presStyleIdx="8" presStyleCnt="27" custScaleY="295752">
        <dgm:presLayoutVars>
          <dgm:chMax val="0"/>
          <dgm:bulletEnabled val="1"/>
        </dgm:presLayoutVars>
      </dgm:prSet>
      <dgm:spPr/>
      <dgm:t>
        <a:bodyPr/>
        <a:lstStyle/>
        <a:p>
          <a:endParaRPr lang="en-US"/>
        </a:p>
      </dgm:t>
    </dgm:pt>
    <dgm:pt modelId="{EF99B999-173C-4EB3-A272-FBE06EA850D9}" type="pres">
      <dgm:prSet presAssocID="{2F16A34F-BDF9-4F8E-B869-A658156C50B2}" presName="sibTrans" presStyleLbl="sibTrans2D1" presStyleIdx="9" presStyleCnt="27"/>
      <dgm:spPr/>
      <dgm:t>
        <a:bodyPr/>
        <a:lstStyle/>
        <a:p>
          <a:endParaRPr lang="en-US"/>
        </a:p>
      </dgm:t>
    </dgm:pt>
    <dgm:pt modelId="{96837B13-A031-4C43-9A7C-3D2E3746FC3D}" type="pres">
      <dgm:prSet presAssocID="{783DE200-B92F-4E63-92D8-D66433C01EE3}" presName="child" presStyleLbl="alignAccFollowNode1" presStyleIdx="9" presStyleCnt="27" custScaleY="387319">
        <dgm:presLayoutVars>
          <dgm:chMax val="0"/>
          <dgm:bulletEnabled val="1"/>
        </dgm:presLayoutVars>
      </dgm:prSet>
      <dgm:spPr/>
      <dgm:t>
        <a:bodyPr/>
        <a:lstStyle/>
        <a:p>
          <a:endParaRPr lang="en-US"/>
        </a:p>
      </dgm:t>
    </dgm:pt>
    <dgm:pt modelId="{A80B5965-517F-42E0-96C4-7EEA4CC63C86}" type="pres">
      <dgm:prSet presAssocID="{34DEF5F9-315D-4A8F-886F-A4D0239CD065}" presName="sibTrans" presStyleLbl="sibTrans2D1" presStyleIdx="10" presStyleCnt="27"/>
      <dgm:spPr/>
      <dgm:t>
        <a:bodyPr/>
        <a:lstStyle/>
        <a:p>
          <a:endParaRPr lang="en-US"/>
        </a:p>
      </dgm:t>
    </dgm:pt>
    <dgm:pt modelId="{B1F77D1A-C6A3-43EC-B787-BA9C31EE2ED4}" type="pres">
      <dgm:prSet presAssocID="{6420E7B7-034F-4EFA-9C96-AAB19B321168}" presName="child" presStyleLbl="alignAccFollowNode1" presStyleIdx="10" presStyleCnt="27" custScaleY="268025">
        <dgm:presLayoutVars>
          <dgm:chMax val="0"/>
          <dgm:bulletEnabled val="1"/>
        </dgm:presLayoutVars>
      </dgm:prSet>
      <dgm:spPr/>
      <dgm:t>
        <a:bodyPr/>
        <a:lstStyle/>
        <a:p>
          <a:endParaRPr lang="en-US"/>
        </a:p>
      </dgm:t>
    </dgm:pt>
    <dgm:pt modelId="{F05CA744-5B76-4A3A-8CF2-959FF7BFCE1E}" type="pres">
      <dgm:prSet presAssocID="{D5A681C6-94C7-4778-833A-D2432BB368BE}" presName="sibTrans" presStyleLbl="sibTrans2D1" presStyleIdx="11" presStyleCnt="27"/>
      <dgm:spPr/>
      <dgm:t>
        <a:bodyPr/>
        <a:lstStyle/>
        <a:p>
          <a:endParaRPr lang="en-US"/>
        </a:p>
      </dgm:t>
    </dgm:pt>
    <dgm:pt modelId="{CC58E8B1-96B8-4417-977F-A14C01AE7213}" type="pres">
      <dgm:prSet presAssocID="{87B14B7B-37C4-400C-B872-A94EEED5C970}" presName="child" presStyleLbl="alignAccFollowNode1" presStyleIdx="11" presStyleCnt="27" custScaleY="501547">
        <dgm:presLayoutVars>
          <dgm:chMax val="0"/>
          <dgm:bulletEnabled val="1"/>
        </dgm:presLayoutVars>
      </dgm:prSet>
      <dgm:spPr/>
      <dgm:t>
        <a:bodyPr/>
        <a:lstStyle/>
        <a:p>
          <a:endParaRPr lang="en-US"/>
        </a:p>
      </dgm:t>
    </dgm:pt>
    <dgm:pt modelId="{AA5603B3-D81B-4C90-A6ED-A8481BFC5C8C}" type="pres">
      <dgm:prSet presAssocID="{3A820710-BA2A-48E5-BBA0-3642E0B83D7D}" presName="hSp" presStyleCnt="0"/>
      <dgm:spPr/>
    </dgm:pt>
    <dgm:pt modelId="{38E30C4C-7B69-402C-AE68-29B6BCDC2524}" type="pres">
      <dgm:prSet presAssocID="{6716577E-B08A-451E-9CC0-3CBFEE487473}" presName="vertFlow" presStyleCnt="0"/>
      <dgm:spPr/>
    </dgm:pt>
    <dgm:pt modelId="{B0A870D9-895F-432D-8181-54D1E5C48DB6}" type="pres">
      <dgm:prSet presAssocID="{6716577E-B08A-451E-9CC0-3CBFEE487473}" presName="header" presStyleLbl="node1" presStyleIdx="4" presStyleCnt="7" custScaleX="101260" custScaleY="215511"/>
      <dgm:spPr>
        <a:prstGeom prst="roundRect">
          <a:avLst/>
        </a:prstGeom>
      </dgm:spPr>
      <dgm:t>
        <a:bodyPr/>
        <a:lstStyle/>
        <a:p>
          <a:endParaRPr lang="en-US"/>
        </a:p>
      </dgm:t>
    </dgm:pt>
    <dgm:pt modelId="{419F3956-9D74-443E-B995-7091F720A143}" type="pres">
      <dgm:prSet presAssocID="{881CCFE0-24B1-45AE-B9EB-71FAA9D3347C}" presName="parTrans" presStyleLbl="sibTrans2D1" presStyleIdx="12" presStyleCnt="27"/>
      <dgm:spPr/>
      <dgm:t>
        <a:bodyPr/>
        <a:lstStyle/>
        <a:p>
          <a:endParaRPr lang="en-US"/>
        </a:p>
      </dgm:t>
    </dgm:pt>
    <dgm:pt modelId="{F75CD7DC-A65A-4909-B39C-40C87E8A12FC}" type="pres">
      <dgm:prSet presAssocID="{6A10DC36-0A04-4EF6-AF06-1F2B43D517D4}" presName="child" presStyleLbl="alignAccFollowNode1" presStyleIdx="12" presStyleCnt="27" custScaleY="306186">
        <dgm:presLayoutVars>
          <dgm:chMax val="0"/>
          <dgm:bulletEnabled val="1"/>
        </dgm:presLayoutVars>
      </dgm:prSet>
      <dgm:spPr/>
      <dgm:t>
        <a:bodyPr/>
        <a:lstStyle/>
        <a:p>
          <a:endParaRPr lang="en-US"/>
        </a:p>
      </dgm:t>
    </dgm:pt>
    <dgm:pt modelId="{041BDEFC-D7B2-4DCE-8BDC-3B1C9F748599}" type="pres">
      <dgm:prSet presAssocID="{5D4B7113-4B64-4718-B66C-2428721AC527}" presName="sibTrans" presStyleLbl="sibTrans2D1" presStyleIdx="13" presStyleCnt="27"/>
      <dgm:spPr/>
      <dgm:t>
        <a:bodyPr/>
        <a:lstStyle/>
        <a:p>
          <a:endParaRPr lang="en-US"/>
        </a:p>
      </dgm:t>
    </dgm:pt>
    <dgm:pt modelId="{9FCE4173-AE15-4BD6-9C69-39BCEF452747}" type="pres">
      <dgm:prSet presAssocID="{5A359513-E5AF-4D9F-A4D7-3A55836BF820}" presName="child" presStyleLbl="alignAccFollowNode1" presStyleIdx="13" presStyleCnt="27" custScaleY="259828">
        <dgm:presLayoutVars>
          <dgm:chMax val="0"/>
          <dgm:bulletEnabled val="1"/>
        </dgm:presLayoutVars>
      </dgm:prSet>
      <dgm:spPr/>
      <dgm:t>
        <a:bodyPr/>
        <a:lstStyle/>
        <a:p>
          <a:endParaRPr lang="en-US"/>
        </a:p>
      </dgm:t>
    </dgm:pt>
    <dgm:pt modelId="{2810469D-A1FD-4C40-B0B7-93640892D1FD}" type="pres">
      <dgm:prSet presAssocID="{1DB3FF11-02D6-4319-AB96-444B7AA6B266}" presName="sibTrans" presStyleLbl="sibTrans2D1" presStyleIdx="14" presStyleCnt="27"/>
      <dgm:spPr/>
      <dgm:t>
        <a:bodyPr/>
        <a:lstStyle/>
        <a:p>
          <a:endParaRPr lang="en-US"/>
        </a:p>
      </dgm:t>
    </dgm:pt>
    <dgm:pt modelId="{6D1166E1-9AFB-4808-A4A8-1A6930A78234}" type="pres">
      <dgm:prSet presAssocID="{6E65E785-50BF-48C4-9480-62E27367586F}" presName="child" presStyleLbl="alignAccFollowNode1" presStyleIdx="14" presStyleCnt="27" custScaleY="258130">
        <dgm:presLayoutVars>
          <dgm:chMax val="0"/>
          <dgm:bulletEnabled val="1"/>
        </dgm:presLayoutVars>
      </dgm:prSet>
      <dgm:spPr/>
      <dgm:t>
        <a:bodyPr/>
        <a:lstStyle/>
        <a:p>
          <a:endParaRPr lang="en-US"/>
        </a:p>
      </dgm:t>
    </dgm:pt>
    <dgm:pt modelId="{37E2AA83-E38C-43A7-917E-73CD3F811B7F}" type="pres">
      <dgm:prSet presAssocID="{6716577E-B08A-451E-9CC0-3CBFEE487473}" presName="hSp" presStyleCnt="0"/>
      <dgm:spPr/>
    </dgm:pt>
    <dgm:pt modelId="{5C6F2BE4-79C4-4D7D-A7E2-75E44F495FAA}" type="pres">
      <dgm:prSet presAssocID="{BA784F7C-ADE4-4DF4-B00B-8DD310567FC8}" presName="vertFlow" presStyleCnt="0"/>
      <dgm:spPr/>
    </dgm:pt>
    <dgm:pt modelId="{D150E916-E5F5-4762-B846-A0A4C422A671}" type="pres">
      <dgm:prSet presAssocID="{BA784F7C-ADE4-4DF4-B00B-8DD310567FC8}" presName="header" presStyleLbl="node1" presStyleIdx="5" presStyleCnt="7" custScaleY="215509"/>
      <dgm:spPr/>
      <dgm:t>
        <a:bodyPr/>
        <a:lstStyle/>
        <a:p>
          <a:endParaRPr lang="en-US"/>
        </a:p>
      </dgm:t>
    </dgm:pt>
    <dgm:pt modelId="{47D9EDAF-310F-4A5D-BFC9-0B6CBEC55EDC}" type="pres">
      <dgm:prSet presAssocID="{5889BAC7-FA56-4F2B-9AD8-CDD4345064A6}" presName="parTrans" presStyleLbl="sibTrans2D1" presStyleIdx="15" presStyleCnt="27"/>
      <dgm:spPr/>
      <dgm:t>
        <a:bodyPr/>
        <a:lstStyle/>
        <a:p>
          <a:endParaRPr lang="en-US"/>
        </a:p>
      </dgm:t>
    </dgm:pt>
    <dgm:pt modelId="{965880A9-8F84-405E-B3DC-C1D078D5C2D7}" type="pres">
      <dgm:prSet presAssocID="{77D25D7A-8E68-4750-98F4-9DF6301FD7B6}" presName="child" presStyleLbl="alignAccFollowNode1" presStyleIdx="15" presStyleCnt="27" custScaleY="448761">
        <dgm:presLayoutVars>
          <dgm:chMax val="0"/>
          <dgm:bulletEnabled val="1"/>
        </dgm:presLayoutVars>
      </dgm:prSet>
      <dgm:spPr/>
      <dgm:t>
        <a:bodyPr/>
        <a:lstStyle/>
        <a:p>
          <a:endParaRPr lang="en-US"/>
        </a:p>
      </dgm:t>
    </dgm:pt>
    <dgm:pt modelId="{8FEB7813-9203-4621-9297-7DAF5A9D1B95}" type="pres">
      <dgm:prSet presAssocID="{DF3E2267-84A9-4F40-A789-48B0A2970F58}" presName="sibTrans" presStyleLbl="sibTrans2D1" presStyleIdx="16" presStyleCnt="27"/>
      <dgm:spPr/>
      <dgm:t>
        <a:bodyPr/>
        <a:lstStyle/>
        <a:p>
          <a:endParaRPr lang="en-US"/>
        </a:p>
      </dgm:t>
    </dgm:pt>
    <dgm:pt modelId="{50818EFA-2BF8-40D0-92D1-A02EF50059B2}" type="pres">
      <dgm:prSet presAssocID="{665286E3-4A54-47D3-8F76-27372E15FBD2}" presName="child" presStyleLbl="alignAccFollowNode1" presStyleIdx="16" presStyleCnt="27" custScaleY="195378">
        <dgm:presLayoutVars>
          <dgm:chMax val="0"/>
          <dgm:bulletEnabled val="1"/>
        </dgm:presLayoutVars>
      </dgm:prSet>
      <dgm:spPr/>
      <dgm:t>
        <a:bodyPr/>
        <a:lstStyle/>
        <a:p>
          <a:endParaRPr lang="en-US"/>
        </a:p>
      </dgm:t>
    </dgm:pt>
    <dgm:pt modelId="{E573AADF-0C7E-444D-8195-4A4179194624}" type="pres">
      <dgm:prSet presAssocID="{AA36E7E0-CB30-4277-93B8-17549ADF601D}" presName="sibTrans" presStyleLbl="sibTrans2D1" presStyleIdx="17" presStyleCnt="27"/>
      <dgm:spPr/>
      <dgm:t>
        <a:bodyPr/>
        <a:lstStyle/>
        <a:p>
          <a:endParaRPr lang="en-US"/>
        </a:p>
      </dgm:t>
    </dgm:pt>
    <dgm:pt modelId="{B90083B5-A232-4957-ACE0-75F9D6A65D93}" type="pres">
      <dgm:prSet presAssocID="{4D153B73-B3AA-452E-8AE0-08EAA651253C}" presName="child" presStyleLbl="alignAccFollowNode1" presStyleIdx="17" presStyleCnt="27" custScaleY="253705">
        <dgm:presLayoutVars>
          <dgm:chMax val="0"/>
          <dgm:bulletEnabled val="1"/>
        </dgm:presLayoutVars>
      </dgm:prSet>
      <dgm:spPr/>
      <dgm:t>
        <a:bodyPr/>
        <a:lstStyle/>
        <a:p>
          <a:endParaRPr lang="en-US"/>
        </a:p>
      </dgm:t>
    </dgm:pt>
    <dgm:pt modelId="{9654EF6E-D26A-47FB-9EB5-D8B3D84931CF}" type="pres">
      <dgm:prSet presAssocID="{CEA5A6AB-A70F-4DEE-8F71-8F73F8AECD80}" presName="sibTrans" presStyleLbl="sibTrans2D1" presStyleIdx="18" presStyleCnt="27"/>
      <dgm:spPr/>
      <dgm:t>
        <a:bodyPr/>
        <a:lstStyle/>
        <a:p>
          <a:endParaRPr lang="en-US"/>
        </a:p>
      </dgm:t>
    </dgm:pt>
    <dgm:pt modelId="{0A1974A3-071F-4E5A-AFA5-393391548A74}" type="pres">
      <dgm:prSet presAssocID="{687435EC-F804-4852-9A0F-2A56BA023B60}" presName="child" presStyleLbl="alignAccFollowNode1" presStyleIdx="18" presStyleCnt="27" custScaleY="251438">
        <dgm:presLayoutVars>
          <dgm:chMax val="0"/>
          <dgm:bulletEnabled val="1"/>
        </dgm:presLayoutVars>
      </dgm:prSet>
      <dgm:spPr/>
      <dgm:t>
        <a:bodyPr/>
        <a:lstStyle/>
        <a:p>
          <a:endParaRPr lang="en-US"/>
        </a:p>
      </dgm:t>
    </dgm:pt>
    <dgm:pt modelId="{0F266B82-8EFC-4C29-98FA-62FEE7F79793}" type="pres">
      <dgm:prSet presAssocID="{E5644D93-AB44-4C79-BD7B-22767C881C2D}" presName="sibTrans" presStyleLbl="sibTrans2D1" presStyleIdx="19" presStyleCnt="27"/>
      <dgm:spPr/>
      <dgm:t>
        <a:bodyPr/>
        <a:lstStyle/>
        <a:p>
          <a:endParaRPr lang="en-US"/>
        </a:p>
      </dgm:t>
    </dgm:pt>
    <dgm:pt modelId="{D5053C61-5DA0-4EFD-B18B-CAA8B4AF4FC4}" type="pres">
      <dgm:prSet presAssocID="{C5A560C8-768F-46C9-851E-D92D56652057}" presName="child" presStyleLbl="alignAccFollowNode1" presStyleIdx="19" presStyleCnt="27">
        <dgm:presLayoutVars>
          <dgm:chMax val="0"/>
          <dgm:bulletEnabled val="1"/>
        </dgm:presLayoutVars>
      </dgm:prSet>
      <dgm:spPr/>
      <dgm:t>
        <a:bodyPr/>
        <a:lstStyle/>
        <a:p>
          <a:endParaRPr lang="en-US"/>
        </a:p>
      </dgm:t>
    </dgm:pt>
    <dgm:pt modelId="{1C4CABE9-D49C-45BA-9AE5-5A7996B6B81D}" type="pres">
      <dgm:prSet presAssocID="{B0228E71-AD09-42BB-9EAA-5F287760A86B}" presName="sibTrans" presStyleLbl="sibTrans2D1" presStyleIdx="20" presStyleCnt="27"/>
      <dgm:spPr/>
      <dgm:t>
        <a:bodyPr/>
        <a:lstStyle/>
        <a:p>
          <a:endParaRPr lang="en-US"/>
        </a:p>
      </dgm:t>
    </dgm:pt>
    <dgm:pt modelId="{999E9C51-5A31-40DE-A054-387B1B913644}" type="pres">
      <dgm:prSet presAssocID="{A3C112C2-3D8C-4D53-993A-6918BAD1875E}" presName="child" presStyleLbl="alignAccFollowNode1" presStyleIdx="20" presStyleCnt="27" custScaleY="191199">
        <dgm:presLayoutVars>
          <dgm:chMax val="0"/>
          <dgm:bulletEnabled val="1"/>
        </dgm:presLayoutVars>
      </dgm:prSet>
      <dgm:spPr/>
      <dgm:t>
        <a:bodyPr/>
        <a:lstStyle/>
        <a:p>
          <a:endParaRPr lang="en-US"/>
        </a:p>
      </dgm:t>
    </dgm:pt>
    <dgm:pt modelId="{8A512A26-12DA-4D26-B13E-563BA811F63B}" type="pres">
      <dgm:prSet presAssocID="{BA784F7C-ADE4-4DF4-B00B-8DD310567FC8}" presName="hSp" presStyleCnt="0"/>
      <dgm:spPr/>
    </dgm:pt>
    <dgm:pt modelId="{09466363-4FE2-447D-8497-E1673C39948C}" type="pres">
      <dgm:prSet presAssocID="{7F4C6578-C550-4D08-9FDE-FEDC8B3FFBC0}" presName="vertFlow" presStyleCnt="0"/>
      <dgm:spPr/>
    </dgm:pt>
    <dgm:pt modelId="{48C1BCBC-6D00-40EF-B251-8098381BF9DB}" type="pres">
      <dgm:prSet presAssocID="{7F4C6578-C550-4D08-9FDE-FEDC8B3FFBC0}" presName="header" presStyleLbl="node1" presStyleIdx="6" presStyleCnt="7" custScaleY="228051"/>
      <dgm:spPr/>
      <dgm:t>
        <a:bodyPr/>
        <a:lstStyle/>
        <a:p>
          <a:endParaRPr lang="en-US"/>
        </a:p>
      </dgm:t>
    </dgm:pt>
    <dgm:pt modelId="{82507FF1-44BB-4524-9841-59A9C7FB751A}" type="pres">
      <dgm:prSet presAssocID="{57A9CE02-FB18-4ACD-BFF1-C06AA9B75D1A}" presName="parTrans" presStyleLbl="sibTrans2D1" presStyleIdx="21" presStyleCnt="27"/>
      <dgm:spPr/>
      <dgm:t>
        <a:bodyPr/>
        <a:lstStyle/>
        <a:p>
          <a:endParaRPr lang="en-US"/>
        </a:p>
      </dgm:t>
    </dgm:pt>
    <dgm:pt modelId="{0F8246C4-1470-4BF6-A26E-3EE41B06A0C3}" type="pres">
      <dgm:prSet presAssocID="{422C83D2-2FB4-44F2-81F6-53A6360569CD}" presName="child" presStyleLbl="alignAccFollowNode1" presStyleIdx="21" presStyleCnt="27" custScaleY="201150">
        <dgm:presLayoutVars>
          <dgm:chMax val="0"/>
          <dgm:bulletEnabled val="1"/>
        </dgm:presLayoutVars>
      </dgm:prSet>
      <dgm:spPr/>
      <dgm:t>
        <a:bodyPr/>
        <a:lstStyle/>
        <a:p>
          <a:endParaRPr lang="en-US"/>
        </a:p>
      </dgm:t>
    </dgm:pt>
    <dgm:pt modelId="{F3FE1389-171B-4D83-901F-7B4E02FB7E1F}" type="pres">
      <dgm:prSet presAssocID="{99DDFDA5-5C28-4206-8D2D-382D62D03DF1}" presName="sibTrans" presStyleLbl="sibTrans2D1" presStyleIdx="22" presStyleCnt="27"/>
      <dgm:spPr/>
      <dgm:t>
        <a:bodyPr/>
        <a:lstStyle/>
        <a:p>
          <a:endParaRPr lang="en-US"/>
        </a:p>
      </dgm:t>
    </dgm:pt>
    <dgm:pt modelId="{14DB01C2-3D12-4F08-9642-3E96D3796274}" type="pres">
      <dgm:prSet presAssocID="{227EC29F-27B4-4D2B-A684-4334022F5B74}" presName="child" presStyleLbl="alignAccFollowNode1" presStyleIdx="22" presStyleCnt="27" custScaleY="150628">
        <dgm:presLayoutVars>
          <dgm:chMax val="0"/>
          <dgm:bulletEnabled val="1"/>
        </dgm:presLayoutVars>
      </dgm:prSet>
      <dgm:spPr/>
      <dgm:t>
        <a:bodyPr/>
        <a:lstStyle/>
        <a:p>
          <a:endParaRPr lang="en-US"/>
        </a:p>
      </dgm:t>
    </dgm:pt>
    <dgm:pt modelId="{B1E5138E-33E2-4D81-83E6-5BBB1903C3C0}" type="pres">
      <dgm:prSet presAssocID="{199358C6-E9ED-4D4D-93D1-38365983289A}" presName="sibTrans" presStyleLbl="sibTrans2D1" presStyleIdx="23" presStyleCnt="27"/>
      <dgm:spPr/>
      <dgm:t>
        <a:bodyPr/>
        <a:lstStyle/>
        <a:p>
          <a:endParaRPr lang="en-US"/>
        </a:p>
      </dgm:t>
    </dgm:pt>
    <dgm:pt modelId="{B1750C61-7A12-437C-8A1C-6DFCB9114D7D}" type="pres">
      <dgm:prSet presAssocID="{1FDF13B6-869A-47E2-A4BC-A4B67634596C}" presName="child" presStyleLbl="alignAccFollowNode1" presStyleIdx="23" presStyleCnt="27" custScaleY="258474">
        <dgm:presLayoutVars>
          <dgm:chMax val="0"/>
          <dgm:bulletEnabled val="1"/>
        </dgm:presLayoutVars>
      </dgm:prSet>
      <dgm:spPr/>
      <dgm:t>
        <a:bodyPr/>
        <a:lstStyle/>
        <a:p>
          <a:endParaRPr lang="en-US"/>
        </a:p>
      </dgm:t>
    </dgm:pt>
    <dgm:pt modelId="{46F1B189-73D2-4070-BB84-E3184F505487}" type="pres">
      <dgm:prSet presAssocID="{9FBE6F74-792F-4002-BA5F-785C44007CE5}" presName="sibTrans" presStyleLbl="sibTrans2D1" presStyleIdx="24" presStyleCnt="27"/>
      <dgm:spPr/>
      <dgm:t>
        <a:bodyPr/>
        <a:lstStyle/>
        <a:p>
          <a:endParaRPr lang="en-US"/>
        </a:p>
      </dgm:t>
    </dgm:pt>
    <dgm:pt modelId="{CE318D0E-0624-456A-844C-245BC2A643C5}" type="pres">
      <dgm:prSet presAssocID="{8C39382F-9B86-452F-A70D-2BC01CC2A777}" presName="child" presStyleLbl="alignAccFollowNode1" presStyleIdx="24" presStyleCnt="27" custScaleY="361102">
        <dgm:presLayoutVars>
          <dgm:chMax val="0"/>
          <dgm:bulletEnabled val="1"/>
        </dgm:presLayoutVars>
      </dgm:prSet>
      <dgm:spPr/>
      <dgm:t>
        <a:bodyPr/>
        <a:lstStyle/>
        <a:p>
          <a:endParaRPr lang="en-US"/>
        </a:p>
      </dgm:t>
    </dgm:pt>
    <dgm:pt modelId="{545B7BA2-97AC-4858-A419-EF4B361F0F00}" type="pres">
      <dgm:prSet presAssocID="{85F24106-A457-4B16-80BF-D352B9D674CC}" presName="sibTrans" presStyleLbl="sibTrans2D1" presStyleIdx="25" presStyleCnt="27"/>
      <dgm:spPr/>
      <dgm:t>
        <a:bodyPr/>
        <a:lstStyle/>
        <a:p>
          <a:endParaRPr lang="en-US"/>
        </a:p>
      </dgm:t>
    </dgm:pt>
    <dgm:pt modelId="{A3681505-5168-4FB3-87BE-19A4D648EFBF}" type="pres">
      <dgm:prSet presAssocID="{CE594D5C-F097-4C19-AE42-0E8F28490F81}" presName="child" presStyleLbl="alignAccFollowNode1" presStyleIdx="25" presStyleCnt="27" custScaleY="146136">
        <dgm:presLayoutVars>
          <dgm:chMax val="0"/>
          <dgm:bulletEnabled val="1"/>
        </dgm:presLayoutVars>
      </dgm:prSet>
      <dgm:spPr/>
      <dgm:t>
        <a:bodyPr/>
        <a:lstStyle/>
        <a:p>
          <a:endParaRPr lang="en-US"/>
        </a:p>
      </dgm:t>
    </dgm:pt>
    <dgm:pt modelId="{F55A9D75-91E1-4729-AFB2-E8B782A333C9}" type="pres">
      <dgm:prSet presAssocID="{35434C26-F63C-4D28-AE2D-D7CD3900D607}" presName="sibTrans" presStyleLbl="sibTrans2D1" presStyleIdx="26" presStyleCnt="27"/>
      <dgm:spPr/>
      <dgm:t>
        <a:bodyPr/>
        <a:lstStyle/>
        <a:p>
          <a:endParaRPr lang="en-US"/>
        </a:p>
      </dgm:t>
    </dgm:pt>
    <dgm:pt modelId="{F1062235-77A1-4983-A205-87CCC87A614F}" type="pres">
      <dgm:prSet presAssocID="{05E4D312-13CE-403A-9451-D427404EB96C}" presName="child" presStyleLbl="alignAccFollowNode1" presStyleIdx="26" presStyleCnt="27" custScaleY="240291">
        <dgm:presLayoutVars>
          <dgm:chMax val="0"/>
          <dgm:bulletEnabled val="1"/>
        </dgm:presLayoutVars>
      </dgm:prSet>
      <dgm:spPr/>
      <dgm:t>
        <a:bodyPr/>
        <a:lstStyle/>
        <a:p>
          <a:endParaRPr lang="en-US"/>
        </a:p>
      </dgm:t>
    </dgm:pt>
  </dgm:ptLst>
  <dgm:cxnLst>
    <dgm:cxn modelId="{301ED3D8-0A4A-43A1-9F85-B778E87935AE}" srcId="{29FB5E53-3A23-44B6-83F2-A72B41330F0C}" destId="{1D2D1DD6-2571-431E-AC08-9292B50448FF}" srcOrd="1" destOrd="0" parTransId="{26160036-4E3A-4882-BE36-00BDD4BC99BB}" sibTransId="{7DF93D91-4F5B-4E06-9323-452A5F7D76AA}"/>
    <dgm:cxn modelId="{C9D15B3C-F7C2-4253-B53C-7C3EA5C3FC8C}" type="presOf" srcId="{199358C6-E9ED-4D4D-93D1-38365983289A}" destId="{B1E5138E-33E2-4D81-83E6-5BBB1903C3C0}" srcOrd="0" destOrd="0" presId="urn:microsoft.com/office/officeart/2005/8/layout/lProcess1"/>
    <dgm:cxn modelId="{FD0E556E-6427-4B09-8992-8F1FBEDF8F61}" type="presOf" srcId="{FA2A5614-B078-418D-90F1-518D4882EFAF}" destId="{859DF52D-409F-48E0-BD34-7518B0AF15AC}" srcOrd="0" destOrd="0" presId="urn:microsoft.com/office/officeart/2005/8/layout/lProcess1"/>
    <dgm:cxn modelId="{FDCCF25D-7AD2-4B0A-A17B-A18602AC6EB2}" srcId="{3A820710-BA2A-48E5-BBA0-3642E0B83D7D}" destId="{87B14B7B-37C4-400C-B872-A94EEED5C970}" srcOrd="3" destOrd="0" parTransId="{20EE45C0-729E-4629-9A87-A5833CCA9A00}" sibTransId="{90C38E3C-49A1-4915-B763-191CDC328D9B}"/>
    <dgm:cxn modelId="{57F49F97-E213-453D-B5AF-7B43B03F0CE7}" type="presOf" srcId="{57A9CE02-FB18-4ACD-BFF1-C06AA9B75D1A}" destId="{82507FF1-44BB-4524-9841-59A9C7FB751A}" srcOrd="0" destOrd="0" presId="urn:microsoft.com/office/officeart/2005/8/layout/lProcess1"/>
    <dgm:cxn modelId="{FDA63419-D09F-47DC-A6EE-35C745784017}" type="presOf" srcId="{0491DAFA-8DC7-454A-A7C9-26E656FCA903}" destId="{1642C4D9-51DF-436C-914C-2CD1D3A812CE}" srcOrd="0" destOrd="0" presId="urn:microsoft.com/office/officeart/2005/8/layout/lProcess1"/>
    <dgm:cxn modelId="{C3B24081-2A97-4786-9598-AA7450003718}" type="presOf" srcId="{BA784F7C-ADE4-4DF4-B00B-8DD310567FC8}" destId="{D150E916-E5F5-4762-B846-A0A4C422A671}" srcOrd="0" destOrd="0" presId="urn:microsoft.com/office/officeart/2005/8/layout/lProcess1"/>
    <dgm:cxn modelId="{674FA1A0-3CD6-4693-A3B8-A8F539963481}" srcId="{6716577E-B08A-451E-9CC0-3CBFEE487473}" destId="{5A359513-E5AF-4D9F-A4D7-3A55836BF820}" srcOrd="1" destOrd="0" parTransId="{62EF4599-A1DA-4817-A419-0BBD8930ECB6}" sibTransId="{1DB3FF11-02D6-4319-AB96-444B7AA6B266}"/>
    <dgm:cxn modelId="{730CC844-5E09-497E-96BF-A4F27ECB684C}" srcId="{29FB5E53-3A23-44B6-83F2-A72B41330F0C}" destId="{3A820710-BA2A-48E5-BBA0-3642E0B83D7D}" srcOrd="3" destOrd="0" parTransId="{705B0701-16CF-4988-B3CC-FEB79A0D34A3}" sibTransId="{9D5FB130-69F5-468D-A30F-2EA2E02D251F}"/>
    <dgm:cxn modelId="{25A1BB71-02BD-418C-99A0-947121E12C21}" type="presOf" srcId="{A3C112C2-3D8C-4D53-993A-6918BAD1875E}" destId="{999E9C51-5A31-40DE-A054-387B1B913644}" srcOrd="0" destOrd="0" presId="urn:microsoft.com/office/officeart/2005/8/layout/lProcess1"/>
    <dgm:cxn modelId="{5EF8AC28-CA40-4CC6-91F8-F27F7E1D2F37}" type="presOf" srcId="{853B0A1D-8FBB-4EF5-91D1-722F0A40CDDB}" destId="{0BB7604B-8A30-4125-879C-FEE7AF72CFAC}" srcOrd="0" destOrd="0" presId="urn:microsoft.com/office/officeart/2005/8/layout/lProcess1"/>
    <dgm:cxn modelId="{5BA7D51F-C40F-4764-8675-39DBF2D36EEC}" type="presOf" srcId="{8B0CD044-2C5C-4B58-8C67-65F3710929C1}" destId="{1851BA67-5572-447C-BE3B-871EBBCA3322}" srcOrd="0" destOrd="0" presId="urn:microsoft.com/office/officeart/2005/8/layout/lProcess1"/>
    <dgm:cxn modelId="{4CDFEF19-634B-4EB6-9FC1-4201C97B4032}" srcId="{6716577E-B08A-451E-9CC0-3CBFEE487473}" destId="{6A10DC36-0A04-4EF6-AF06-1F2B43D517D4}" srcOrd="0" destOrd="0" parTransId="{881CCFE0-24B1-45AE-B9EB-71FAA9D3347C}" sibTransId="{5D4B7113-4B64-4718-B66C-2428721AC527}"/>
    <dgm:cxn modelId="{CE456F42-158E-4A9C-8B7E-E10D6E0EC050}" type="presOf" srcId="{6A10DC36-0A04-4EF6-AF06-1F2B43D517D4}" destId="{F75CD7DC-A65A-4909-B39C-40C87E8A12FC}" srcOrd="0" destOrd="0" presId="urn:microsoft.com/office/officeart/2005/8/layout/lProcess1"/>
    <dgm:cxn modelId="{F6AF1CBB-ABB4-4191-81D4-8CA7A173D598}" type="presOf" srcId="{4D153B73-B3AA-452E-8AE0-08EAA651253C}" destId="{B90083B5-A232-4957-ACE0-75F9D6A65D93}" srcOrd="0" destOrd="0" presId="urn:microsoft.com/office/officeart/2005/8/layout/lProcess1"/>
    <dgm:cxn modelId="{15122493-0CF9-4936-BCA7-AB8250CA435B}" type="presOf" srcId="{85F24106-A457-4B16-80BF-D352B9D674CC}" destId="{545B7BA2-97AC-4858-A419-EF4B361F0F00}" srcOrd="0" destOrd="0" presId="urn:microsoft.com/office/officeart/2005/8/layout/lProcess1"/>
    <dgm:cxn modelId="{05374C71-64EF-4F36-B133-D5E0406C0E12}" srcId="{29FB5E53-3A23-44B6-83F2-A72B41330F0C}" destId="{8B0CD044-2C5C-4B58-8C67-65F3710929C1}" srcOrd="0" destOrd="0" parTransId="{577C647F-8CE5-4E29-8F0D-3AD3A9505B36}" sibTransId="{DBD79530-A497-4C1E-ABC0-7453F1346EF9}"/>
    <dgm:cxn modelId="{03EBB996-5981-49D2-97CF-1D81772DD42C}" type="presOf" srcId="{80BDAF18-5CB6-4AF4-A186-7BD3CF91B3D1}" destId="{A6F48A19-D29F-4B7F-BBCF-5DE4254C3CAC}" srcOrd="0" destOrd="0" presId="urn:microsoft.com/office/officeart/2005/8/layout/lProcess1"/>
    <dgm:cxn modelId="{10D37E90-9B10-4B59-AF6F-331A29806840}" srcId="{6716577E-B08A-451E-9CC0-3CBFEE487473}" destId="{6E65E785-50BF-48C4-9480-62E27367586F}" srcOrd="2" destOrd="0" parTransId="{0B3641EC-97FC-44CD-81C0-5D8E598D6137}" sibTransId="{B4F1D08B-2506-4543-9827-CE4834EE1E26}"/>
    <dgm:cxn modelId="{B993D73B-E299-45AA-B5C6-1A1797CDF83E}" srcId="{7F4C6578-C550-4D08-9FDE-FEDC8B3FFBC0}" destId="{CE594D5C-F097-4C19-AE42-0E8F28490F81}" srcOrd="4" destOrd="0" parTransId="{F2263873-7D96-4FA5-96AE-61F2026F7840}" sibTransId="{35434C26-F63C-4D28-AE2D-D7CD3900D607}"/>
    <dgm:cxn modelId="{A434479E-F296-4396-9CCB-04EC7ABC5653}" type="presOf" srcId="{05E4D312-13CE-403A-9451-D427404EB96C}" destId="{F1062235-77A1-4983-A205-87CCC87A614F}" srcOrd="0" destOrd="0" presId="urn:microsoft.com/office/officeart/2005/8/layout/lProcess1"/>
    <dgm:cxn modelId="{4661D1C1-B85E-43C9-8797-B65B6296C4D2}" type="presOf" srcId="{29FB5E53-3A23-44B6-83F2-A72B41330F0C}" destId="{D9CCBDA7-9721-4A52-98E3-BCE555661FFB}" srcOrd="0" destOrd="0" presId="urn:microsoft.com/office/officeart/2005/8/layout/lProcess1"/>
    <dgm:cxn modelId="{ECC6B032-7859-4801-A528-F76B43AE601D}" type="presOf" srcId="{9FBE6F74-792F-4002-BA5F-785C44007CE5}" destId="{46F1B189-73D2-4070-BB84-E3184F505487}" srcOrd="0" destOrd="0" presId="urn:microsoft.com/office/officeart/2005/8/layout/lProcess1"/>
    <dgm:cxn modelId="{4293E9AC-79CA-47AD-9FC5-962CAE0AE0F6}" type="presOf" srcId="{1DB3FF11-02D6-4319-AB96-444B7AA6B266}" destId="{2810469D-A1FD-4C40-B0B7-93640892D1FD}" srcOrd="0" destOrd="0" presId="urn:microsoft.com/office/officeart/2005/8/layout/lProcess1"/>
    <dgm:cxn modelId="{E65F23E2-807C-4DAB-8174-0C0BFB1105B1}" type="presOf" srcId="{DF3E2267-84A9-4F40-A789-48B0A2970F58}" destId="{8FEB7813-9203-4621-9297-7DAF5A9D1B95}" srcOrd="0" destOrd="0" presId="urn:microsoft.com/office/officeart/2005/8/layout/lProcess1"/>
    <dgm:cxn modelId="{7E8E2889-CD9D-4A16-905C-447202B5AB09}" type="presOf" srcId="{9D623F6A-E89A-4740-BA57-FD692B3DA0D1}" destId="{8E5B4BB6-0A57-48D1-AC8F-8DB164F00E38}" srcOrd="0" destOrd="0" presId="urn:microsoft.com/office/officeart/2005/8/layout/lProcess1"/>
    <dgm:cxn modelId="{E8A8A79C-8B4B-44F4-84FC-760DDC72701F}" type="presOf" srcId="{B0228E71-AD09-42BB-9EAA-5F287760A86B}" destId="{1C4CABE9-D49C-45BA-9AE5-5A7996B6B81D}" srcOrd="0" destOrd="0" presId="urn:microsoft.com/office/officeart/2005/8/layout/lProcess1"/>
    <dgm:cxn modelId="{D7567979-E805-4F59-9189-AF60B1D46A5D}" type="presOf" srcId="{1D2D1DD6-2571-431E-AC08-9292B50448FF}" destId="{1456ED9F-AC9D-4D36-ADEA-15279AD22766}" srcOrd="0" destOrd="0" presId="urn:microsoft.com/office/officeart/2005/8/layout/lProcess1"/>
    <dgm:cxn modelId="{1168F032-31FA-475F-9B16-26398C70124A}" type="presOf" srcId="{C5A560C8-768F-46C9-851E-D92D56652057}" destId="{D5053C61-5DA0-4EFD-B18B-CAA8B4AF4FC4}" srcOrd="0" destOrd="0" presId="urn:microsoft.com/office/officeart/2005/8/layout/lProcess1"/>
    <dgm:cxn modelId="{78A87A65-67BC-4A93-A527-D1ED3DFBD99D}" type="presOf" srcId="{35434C26-F63C-4D28-AE2D-D7CD3900D607}" destId="{F55A9D75-91E1-4729-AFB2-E8B782A333C9}" srcOrd="0" destOrd="0" presId="urn:microsoft.com/office/officeart/2005/8/layout/lProcess1"/>
    <dgm:cxn modelId="{E3AA569E-601D-4083-B501-7DAE33BCAC51}" type="presOf" srcId="{5C3C03C3-1253-4F3D-A449-63838F8400EF}" destId="{D809AE20-89DD-4184-96E2-8D4701833664}" srcOrd="0" destOrd="0" presId="urn:microsoft.com/office/officeart/2005/8/layout/lProcess1"/>
    <dgm:cxn modelId="{01978F74-9A61-42C9-9ED8-29CD959A447C}" srcId="{29FB5E53-3A23-44B6-83F2-A72B41330F0C}" destId="{6716577E-B08A-451E-9CC0-3CBFEE487473}" srcOrd="4" destOrd="0" parTransId="{EAF318E3-EF05-4D55-9A1C-AA6242041035}" sibTransId="{375D7617-A7BE-4555-BF4D-CD1A0A910D40}"/>
    <dgm:cxn modelId="{A678D8D8-5C87-4AF2-B34A-4F3DC600AF5D}" type="presOf" srcId="{34DEF5F9-315D-4A8F-886F-A4D0239CD065}" destId="{A80B5965-517F-42E0-96C4-7EEA4CC63C86}" srcOrd="0" destOrd="0" presId="urn:microsoft.com/office/officeart/2005/8/layout/lProcess1"/>
    <dgm:cxn modelId="{00307814-7257-49CC-A30F-C267F9941129}" srcId="{BA784F7C-ADE4-4DF4-B00B-8DD310567FC8}" destId="{77D25D7A-8E68-4750-98F4-9DF6301FD7B6}" srcOrd="0" destOrd="0" parTransId="{5889BAC7-FA56-4F2B-9AD8-CDD4345064A6}" sibTransId="{DF3E2267-84A9-4F40-A789-48B0A2970F58}"/>
    <dgm:cxn modelId="{30DEB18C-4689-43E6-B119-3659491798EF}" type="presOf" srcId="{8C39382F-9B86-452F-A70D-2BC01CC2A777}" destId="{CE318D0E-0624-456A-844C-245BC2A643C5}" srcOrd="0" destOrd="0" presId="urn:microsoft.com/office/officeart/2005/8/layout/lProcess1"/>
    <dgm:cxn modelId="{D49C7A14-3309-403F-8DE9-59F8D4119ED4}" srcId="{BA784F7C-ADE4-4DF4-B00B-8DD310567FC8}" destId="{C5A560C8-768F-46C9-851E-D92D56652057}" srcOrd="4" destOrd="0" parTransId="{678290F0-CF7F-45CC-A1AD-D304AECB9BDD}" sibTransId="{B0228E71-AD09-42BB-9EAA-5F287760A86B}"/>
    <dgm:cxn modelId="{2E1DAECA-7980-4679-8030-EED519491A6D}" srcId="{7F4C6578-C550-4D08-9FDE-FEDC8B3FFBC0}" destId="{8C39382F-9B86-452F-A70D-2BC01CC2A777}" srcOrd="3" destOrd="0" parTransId="{8E7FCA2D-10EF-444A-8298-8FC963837D0A}" sibTransId="{85F24106-A457-4B16-80BF-D352B9D674CC}"/>
    <dgm:cxn modelId="{B4C1C8AB-93A2-4C73-8EDC-2CA666BE2907}" type="presOf" srcId="{CB96E36F-C72C-4958-9347-0F0E4925A794}" destId="{CA50A3A3-B2FA-46A3-896C-5380018DD871}" srcOrd="0" destOrd="0" presId="urn:microsoft.com/office/officeart/2005/8/layout/lProcess1"/>
    <dgm:cxn modelId="{1CE4AC27-8B94-4030-BD47-4AC7616A6999}" srcId="{59073B8E-EC75-4121-9AD2-206F53AD4667}" destId="{80BDAF18-5CB6-4AF4-A186-7BD3CF91B3D1}" srcOrd="2" destOrd="0" parTransId="{3C2D32AC-D266-4770-8ED9-2B02CFE29BE9}" sibTransId="{4EA0FC45-4862-484F-9F29-940C1A166F05}"/>
    <dgm:cxn modelId="{9827A008-D11E-4A98-8F70-8F47D082450E}" type="presOf" srcId="{6E65E785-50BF-48C4-9480-62E27367586F}" destId="{6D1166E1-9AFB-4808-A4A8-1A6930A78234}" srcOrd="0" destOrd="0" presId="urn:microsoft.com/office/officeart/2005/8/layout/lProcess1"/>
    <dgm:cxn modelId="{79F89A05-377C-4018-A6F7-79DE8FEFF5FB}" type="presOf" srcId="{CEA5A6AB-A70F-4DEE-8F71-8F73F8AECD80}" destId="{9654EF6E-D26A-47FB-9EB5-D8B3D84931CF}" srcOrd="0" destOrd="0" presId="urn:microsoft.com/office/officeart/2005/8/layout/lProcess1"/>
    <dgm:cxn modelId="{299BA14E-DAE1-477C-8E6F-18C94CD83874}" type="presOf" srcId="{404F39DE-CE40-402F-8132-F5ABF9B0EF97}" destId="{5492F9B3-7018-495D-8BD4-2F409AD9FE82}" srcOrd="0" destOrd="0" presId="urn:microsoft.com/office/officeart/2005/8/layout/lProcess1"/>
    <dgm:cxn modelId="{2DCDFEB9-3C05-4987-B97D-9CAF038B5B7D}" type="presOf" srcId="{227EC29F-27B4-4D2B-A684-4334022F5B74}" destId="{14DB01C2-3D12-4F08-9642-3E96D3796274}" srcOrd="0" destOrd="0" presId="urn:microsoft.com/office/officeart/2005/8/layout/lProcess1"/>
    <dgm:cxn modelId="{D4FAF870-8817-4512-9517-E553EAD07D0A}" type="presOf" srcId="{76719AB6-D384-44F8-9125-83512F44E88F}" destId="{9564CB94-27E1-49BE-9906-D7AD59557434}" srcOrd="0" destOrd="0" presId="urn:microsoft.com/office/officeart/2005/8/layout/lProcess1"/>
    <dgm:cxn modelId="{1B04E69B-F41B-44B7-8B38-54085A5D5E8F}" type="presOf" srcId="{687435EC-F804-4852-9A0F-2A56BA023B60}" destId="{0A1974A3-071F-4E5A-AFA5-393391548A74}" srcOrd="0" destOrd="0" presId="urn:microsoft.com/office/officeart/2005/8/layout/lProcess1"/>
    <dgm:cxn modelId="{49FF28F1-E91B-4965-9A99-583EA64FAC5A}" type="presOf" srcId="{6B26C308-FFE4-44DC-9C5F-2D29C6B33ADA}" destId="{D8AADE8B-628B-4E4C-A61C-444EC8D4698F}" srcOrd="0" destOrd="0" presId="urn:microsoft.com/office/officeart/2005/8/layout/lProcess1"/>
    <dgm:cxn modelId="{727D8093-ED85-42B3-A76E-858DB1DD8C10}" srcId="{59073B8E-EC75-4121-9AD2-206F53AD4667}" destId="{404F39DE-CE40-402F-8132-F5ABF9B0EF97}" srcOrd="1" destOrd="0" parTransId="{B1D10163-5287-4711-85BE-D2625262E586}" sibTransId="{CB96E36F-C72C-4958-9347-0F0E4925A794}"/>
    <dgm:cxn modelId="{F93E27CE-90BD-4EB1-83BA-85D64164274F}" type="presOf" srcId="{881CCFE0-24B1-45AE-B9EB-71FAA9D3347C}" destId="{419F3956-9D74-443E-B995-7091F720A143}" srcOrd="0" destOrd="0" presId="urn:microsoft.com/office/officeart/2005/8/layout/lProcess1"/>
    <dgm:cxn modelId="{45DD3F54-6128-4424-A686-113BD7ED7768}" type="presOf" srcId="{2F16A34F-BDF9-4F8E-B869-A658156C50B2}" destId="{EF99B999-173C-4EB3-A272-FBE06EA850D9}" srcOrd="0" destOrd="0" presId="urn:microsoft.com/office/officeart/2005/8/layout/lProcess1"/>
    <dgm:cxn modelId="{CDE87335-1701-4668-AF10-5B3453F79CCF}" type="presOf" srcId="{CE594D5C-F097-4C19-AE42-0E8F28490F81}" destId="{A3681505-5168-4FB3-87BE-19A4D648EFBF}" srcOrd="0" destOrd="0" presId="urn:microsoft.com/office/officeart/2005/8/layout/lProcess1"/>
    <dgm:cxn modelId="{F913DDE1-A020-44CB-ADFC-C4DAF385E3BE}" type="presOf" srcId="{E5644D93-AB44-4C79-BD7B-22767C881C2D}" destId="{0F266B82-8EFC-4C29-98FA-62FEE7F79793}" srcOrd="0" destOrd="0" presId="urn:microsoft.com/office/officeart/2005/8/layout/lProcess1"/>
    <dgm:cxn modelId="{93D7FA1C-DD68-4D2D-A667-18C2077D21E3}" type="presOf" srcId="{D5A681C6-94C7-4778-833A-D2432BB368BE}" destId="{F05CA744-5B76-4A3A-8CF2-959FF7BFCE1E}" srcOrd="0" destOrd="0" presId="urn:microsoft.com/office/officeart/2005/8/layout/lProcess1"/>
    <dgm:cxn modelId="{A355C019-9FE1-42FC-B47D-25E1CA201948}" type="presOf" srcId="{99DDFDA5-5C28-4206-8D2D-382D62D03DF1}" destId="{F3FE1389-171B-4D83-901F-7B4E02FB7E1F}" srcOrd="0" destOrd="0" presId="urn:microsoft.com/office/officeart/2005/8/layout/lProcess1"/>
    <dgm:cxn modelId="{A4888E45-89A6-4FF4-AD1C-297AA11C4E34}" srcId="{BA784F7C-ADE4-4DF4-B00B-8DD310567FC8}" destId="{687435EC-F804-4852-9A0F-2A56BA023B60}" srcOrd="3" destOrd="0" parTransId="{B8F5DF74-A58D-41BF-95F4-55590858084D}" sibTransId="{E5644D93-AB44-4C79-BD7B-22767C881C2D}"/>
    <dgm:cxn modelId="{CB6B7760-124D-453F-B8F3-B122220EA0C8}" srcId="{8B0CD044-2C5C-4B58-8C67-65F3710929C1}" destId="{7711DB2C-9B0B-458E-B0C3-D796EC47D2D2}" srcOrd="0" destOrd="0" parTransId="{853B0A1D-8FBB-4EF5-91D1-722F0A40CDDB}" sibTransId="{F8488A81-7D8E-461E-8CBC-9A1EA6D51FEE}"/>
    <dgm:cxn modelId="{AAB758D1-22BD-49F3-BC14-EF472800C4D7}" type="presOf" srcId="{5A359513-E5AF-4D9F-A4D7-3A55836BF820}" destId="{9FCE4173-AE15-4BD6-9C69-39BCEF452747}" srcOrd="0" destOrd="0" presId="urn:microsoft.com/office/officeart/2005/8/layout/lProcess1"/>
    <dgm:cxn modelId="{04879139-2AF9-4D89-A2D8-97B632FE608D}" srcId="{1D2D1DD6-2571-431E-AC08-9292B50448FF}" destId="{5C3C03C3-1253-4F3D-A449-63838F8400EF}" srcOrd="1" destOrd="0" parTransId="{C6FCDC61-C930-4C22-B108-C932DC547B50}" sibTransId="{4D69A661-AFDB-490C-872A-B2E5416E7638}"/>
    <dgm:cxn modelId="{D97832F3-7FD3-4454-8611-83F755C8F1BE}" type="presOf" srcId="{77D25D7A-8E68-4750-98F4-9DF6301FD7B6}" destId="{965880A9-8F84-405E-B3DC-C1D078D5C2D7}" srcOrd="0" destOrd="0" presId="urn:microsoft.com/office/officeart/2005/8/layout/lProcess1"/>
    <dgm:cxn modelId="{7D968D24-06BB-42FF-800C-D6171F9348B3}" srcId="{59073B8E-EC75-4121-9AD2-206F53AD4667}" destId="{976A6CBF-E4B9-483F-BB67-6FF1A044C7A3}" srcOrd="0" destOrd="0" parTransId="{66BCD572-9F52-44D7-986F-181B10C61346}" sibTransId="{6B26C308-FFE4-44DC-9C5F-2D29C6B33ADA}"/>
    <dgm:cxn modelId="{5FEF9B0A-D0DD-41D5-AEA4-7C2884F1A1E8}" srcId="{BA784F7C-ADE4-4DF4-B00B-8DD310567FC8}" destId="{665286E3-4A54-47D3-8F76-27372E15FBD2}" srcOrd="1" destOrd="0" parTransId="{21FF7EB2-575D-48DC-AC6D-0DFFE309C16E}" sibTransId="{AA36E7E0-CB30-4277-93B8-17549ADF601D}"/>
    <dgm:cxn modelId="{E285BD98-6DD3-4A3C-BDFA-4AF15D6A124C}" srcId="{7F4C6578-C550-4D08-9FDE-FEDC8B3FFBC0}" destId="{227EC29F-27B4-4D2B-A684-4334022F5B74}" srcOrd="1" destOrd="0" parTransId="{AF49E259-2E12-4802-AE0F-82EB33812AC7}" sibTransId="{199358C6-E9ED-4D4D-93D1-38365983289A}"/>
    <dgm:cxn modelId="{1880DC4A-2289-44CE-892D-E4209C865C7E}" srcId="{3A820710-BA2A-48E5-BBA0-3642E0B83D7D}" destId="{783DE200-B92F-4E63-92D8-D66433C01EE3}" srcOrd="1" destOrd="0" parTransId="{ED740D61-562D-4643-BC11-E5D39A3EC6C2}" sibTransId="{34DEF5F9-315D-4A8F-886F-A4D0239CD065}"/>
    <dgm:cxn modelId="{21F637FE-C879-48CA-AB02-FA7FA65188F7}" type="presOf" srcId="{976A6CBF-E4B9-483F-BB67-6FF1A044C7A3}" destId="{EADA8DDD-9958-4C97-B7EB-52A843CB5F9D}" srcOrd="0" destOrd="0" presId="urn:microsoft.com/office/officeart/2005/8/layout/lProcess1"/>
    <dgm:cxn modelId="{F7FE7002-E09F-4433-9D69-D9DF4C063BD6}" type="presOf" srcId="{4D69A661-AFDB-490C-872A-B2E5416E7638}" destId="{A7DA326E-7EDE-41A4-A711-4607564FEAF4}" srcOrd="0" destOrd="0" presId="urn:microsoft.com/office/officeart/2005/8/layout/lProcess1"/>
    <dgm:cxn modelId="{F8E217AE-7140-4D72-8B41-8A42E1279DF5}" srcId="{7F4C6578-C550-4D08-9FDE-FEDC8B3FFBC0}" destId="{422C83D2-2FB4-44F2-81F6-53A6360569CD}" srcOrd="0" destOrd="0" parTransId="{57A9CE02-FB18-4ACD-BFF1-C06AA9B75D1A}" sibTransId="{99DDFDA5-5C28-4206-8D2D-382D62D03DF1}"/>
    <dgm:cxn modelId="{932944D4-54F7-4E32-B6E0-D9A7CCE8F944}" type="presOf" srcId="{9F0BB1E5-B682-499B-8F98-FBA37FE0C050}" destId="{35AEF3B7-7775-42AD-A875-DFB70A4C6488}" srcOrd="0" destOrd="0" presId="urn:microsoft.com/office/officeart/2005/8/layout/lProcess1"/>
    <dgm:cxn modelId="{73C77269-2BF9-477F-BDC6-3ACD69E08119}" type="presOf" srcId="{3A820710-BA2A-48E5-BBA0-3642E0B83D7D}" destId="{96181BB9-70DE-4B78-B737-B92BAFFC2C97}" srcOrd="0" destOrd="0" presId="urn:microsoft.com/office/officeart/2005/8/layout/lProcess1"/>
    <dgm:cxn modelId="{D826AA06-ADE8-4151-97A0-B8BFFA490FB6}" type="presOf" srcId="{665286E3-4A54-47D3-8F76-27372E15FBD2}" destId="{50818EFA-2BF8-40D0-92D1-A02EF50059B2}" srcOrd="0" destOrd="0" presId="urn:microsoft.com/office/officeart/2005/8/layout/lProcess1"/>
    <dgm:cxn modelId="{F524AF8D-85A3-4A25-8588-CA06810F4335}" srcId="{29FB5E53-3A23-44B6-83F2-A72B41330F0C}" destId="{7F4C6578-C550-4D08-9FDE-FEDC8B3FFBC0}" srcOrd="6" destOrd="0" parTransId="{BE1A9BF8-BA95-4940-A8FE-3E67ADC16087}" sibTransId="{01A4D5D4-0C04-45F0-9B6A-D11617ABBA4C}"/>
    <dgm:cxn modelId="{6B153E92-1289-4197-9DB1-32877AD4F489}" srcId="{1D2D1DD6-2571-431E-AC08-9292B50448FF}" destId="{76719AB6-D384-44F8-9125-83512F44E88F}" srcOrd="3" destOrd="0" parTransId="{E325B64A-56FB-407D-8CDF-A7907237B07D}" sibTransId="{FB1C6B0C-826A-4FFF-AADA-4E2F0A2568FE}"/>
    <dgm:cxn modelId="{CACF8B68-8CCE-4E24-A275-1D729BAF7B40}" type="presOf" srcId="{66BCD572-9F52-44D7-986F-181B10C61346}" destId="{EF758D17-7FC7-4565-91FF-7B53DF76B927}" srcOrd="0" destOrd="0" presId="urn:microsoft.com/office/officeart/2005/8/layout/lProcess1"/>
    <dgm:cxn modelId="{D316432A-018C-4826-B018-6DC884ED0E73}" type="presOf" srcId="{5D4B7113-4B64-4718-B66C-2428721AC527}" destId="{041BDEFC-D7B2-4DCE-8BDC-3B1C9F748599}" srcOrd="0" destOrd="0" presId="urn:microsoft.com/office/officeart/2005/8/layout/lProcess1"/>
    <dgm:cxn modelId="{6631F591-A5DB-4A4A-9CD6-908232EA15CC}" srcId="{29FB5E53-3A23-44B6-83F2-A72B41330F0C}" destId="{BA784F7C-ADE4-4DF4-B00B-8DD310567FC8}" srcOrd="5" destOrd="0" parTransId="{189B6DFA-F1E6-4024-820A-016521558569}" sibTransId="{F8D8B13F-2D02-4AB7-BAC9-016CB70D1489}"/>
    <dgm:cxn modelId="{B6AF0594-1FED-4846-BA6D-2DF1478C9376}" srcId="{3A820710-BA2A-48E5-BBA0-3642E0B83D7D}" destId="{6420E7B7-034F-4EFA-9C96-AAB19B321168}" srcOrd="2" destOrd="0" parTransId="{7A3B4DBE-8A4B-4B57-AC11-BE68B5712F5D}" sibTransId="{D5A681C6-94C7-4778-833A-D2432BB368BE}"/>
    <dgm:cxn modelId="{8B28E1D0-0536-4014-8703-8E6548241AE9}" type="presOf" srcId="{A8026972-92CF-4F77-A175-5D34DB3E52DC}" destId="{331B6518-67E7-43F9-B41F-3C013098A309}" srcOrd="0" destOrd="0" presId="urn:microsoft.com/office/officeart/2005/8/layout/lProcess1"/>
    <dgm:cxn modelId="{4FF22569-00DE-4FB9-BCE5-C8054D34A757}" type="presOf" srcId="{7F4C6578-C550-4D08-9FDE-FEDC8B3FFBC0}" destId="{48C1BCBC-6D00-40EF-B251-8098381BF9DB}" srcOrd="0" destOrd="0" presId="urn:microsoft.com/office/officeart/2005/8/layout/lProcess1"/>
    <dgm:cxn modelId="{578CA563-56AA-4FA1-8DFC-E555CD7B4B93}" srcId="{3A820710-BA2A-48E5-BBA0-3642E0B83D7D}" destId="{9D623F6A-E89A-4740-BA57-FD692B3DA0D1}" srcOrd="0" destOrd="0" parTransId="{0491DAFA-8DC7-454A-A7C9-26E656FCA903}" sibTransId="{2F16A34F-BDF9-4F8E-B869-A658156C50B2}"/>
    <dgm:cxn modelId="{B672BD5A-FB60-48B2-9A6B-F647BFAD0564}" srcId="{1D2D1DD6-2571-431E-AC08-9292B50448FF}" destId="{A8026972-92CF-4F77-A175-5D34DB3E52DC}" srcOrd="2" destOrd="0" parTransId="{C7AEC3F9-B62F-4C18-998C-71A509BFE4B5}" sibTransId="{3E0C20F7-C93D-498B-82CC-C15E151B00D3}"/>
    <dgm:cxn modelId="{43244D61-6C8F-4237-8EAD-671C926ED6A8}" type="presOf" srcId="{6716577E-B08A-451E-9CC0-3CBFEE487473}" destId="{B0A870D9-895F-432D-8181-54D1E5C48DB6}" srcOrd="0" destOrd="0" presId="urn:microsoft.com/office/officeart/2005/8/layout/lProcess1"/>
    <dgm:cxn modelId="{D1FEDA50-8A4B-4F28-B4CF-43D4DAEE3C37}" type="presOf" srcId="{B692693B-DB5D-44B8-91F9-1C7DB84C071F}" destId="{A0965D2D-E2BE-4C63-8A73-13734E7BFBB7}" srcOrd="0" destOrd="0" presId="urn:microsoft.com/office/officeart/2005/8/layout/lProcess1"/>
    <dgm:cxn modelId="{B747F340-750A-4862-971E-778D4204EFB2}" srcId="{7F4C6578-C550-4D08-9FDE-FEDC8B3FFBC0}" destId="{05E4D312-13CE-403A-9451-D427404EB96C}" srcOrd="5" destOrd="0" parTransId="{B1F03F9D-D18B-4460-901E-D135098D6926}" sibTransId="{4A7E0B6E-908F-4034-8D5C-40A9101FCC82}"/>
    <dgm:cxn modelId="{1B736373-46AD-49A8-9259-10B143DB42B5}" type="presOf" srcId="{59073B8E-EC75-4121-9AD2-206F53AD4667}" destId="{71B261FC-17FA-400A-A984-B375B5C6183E}" srcOrd="0" destOrd="0" presId="urn:microsoft.com/office/officeart/2005/8/layout/lProcess1"/>
    <dgm:cxn modelId="{7C577D8E-9C20-4CBF-9530-07E66BD732AF}" type="presOf" srcId="{5889BAC7-FA56-4F2B-9AD8-CDD4345064A6}" destId="{47D9EDAF-310F-4A5D-BFC9-0B6CBEC55EDC}" srcOrd="0" destOrd="0" presId="urn:microsoft.com/office/officeart/2005/8/layout/lProcess1"/>
    <dgm:cxn modelId="{8B08D51B-2915-458F-AD5B-AF06DADB6528}" srcId="{1D2D1DD6-2571-431E-AC08-9292B50448FF}" destId="{B692693B-DB5D-44B8-91F9-1C7DB84C071F}" srcOrd="0" destOrd="0" parTransId="{FA2A5614-B078-418D-90F1-518D4882EFAF}" sibTransId="{9F0BB1E5-B682-499B-8F98-FBA37FE0C050}"/>
    <dgm:cxn modelId="{514ED1A4-D66A-4F7C-9869-C8AD371425B1}" type="presOf" srcId="{1FDF13B6-869A-47E2-A4BC-A4B67634596C}" destId="{B1750C61-7A12-437C-8A1C-6DFCB9114D7D}" srcOrd="0" destOrd="0" presId="urn:microsoft.com/office/officeart/2005/8/layout/lProcess1"/>
    <dgm:cxn modelId="{AFDCBA52-D15D-4889-ACE0-6FD130984356}" srcId="{29FB5E53-3A23-44B6-83F2-A72B41330F0C}" destId="{59073B8E-EC75-4121-9AD2-206F53AD4667}" srcOrd="2" destOrd="0" parTransId="{ECA7FAEF-8DD8-4276-B731-384B37A013D0}" sibTransId="{C7B5E2FD-8BE8-468F-AFCA-A3805489A203}"/>
    <dgm:cxn modelId="{ADD93B1A-8EE3-468F-9EFF-6CDA1BBEC01C}" srcId="{BA784F7C-ADE4-4DF4-B00B-8DD310567FC8}" destId="{4D153B73-B3AA-452E-8AE0-08EAA651253C}" srcOrd="2" destOrd="0" parTransId="{4B9130C4-38A2-4031-BD82-B9A0EA214091}" sibTransId="{CEA5A6AB-A70F-4DEE-8F71-8F73F8AECD80}"/>
    <dgm:cxn modelId="{FFEB5E78-1F58-4673-9399-F769ADE361F3}" type="presOf" srcId="{87B14B7B-37C4-400C-B872-A94EEED5C970}" destId="{CC58E8B1-96B8-4417-977F-A14C01AE7213}" srcOrd="0" destOrd="0" presId="urn:microsoft.com/office/officeart/2005/8/layout/lProcess1"/>
    <dgm:cxn modelId="{71B36E42-3CEB-4DB8-AAB7-36837071C1BA}" srcId="{7F4C6578-C550-4D08-9FDE-FEDC8B3FFBC0}" destId="{1FDF13B6-869A-47E2-A4BC-A4B67634596C}" srcOrd="2" destOrd="0" parTransId="{188C382E-F533-4C90-9ADC-463862EF1A4F}" sibTransId="{9FBE6F74-792F-4002-BA5F-785C44007CE5}"/>
    <dgm:cxn modelId="{5E79BB09-AD46-45D1-9BC4-072CD76038FE}" srcId="{BA784F7C-ADE4-4DF4-B00B-8DD310567FC8}" destId="{A3C112C2-3D8C-4D53-993A-6918BAD1875E}" srcOrd="5" destOrd="0" parTransId="{50F5449E-102B-48D6-BFB7-5C4D3D11A00A}" sibTransId="{D7960BDE-11A5-4CC7-980A-D367FA7E495D}"/>
    <dgm:cxn modelId="{6560EBD6-3DD2-4FE5-8D2E-ED9F80FD5A2E}" type="presOf" srcId="{783DE200-B92F-4E63-92D8-D66433C01EE3}" destId="{96837B13-A031-4C43-9A7C-3D2E3746FC3D}" srcOrd="0" destOrd="0" presId="urn:microsoft.com/office/officeart/2005/8/layout/lProcess1"/>
    <dgm:cxn modelId="{C155EAB4-B024-4B05-A35A-EA52EAED49C4}" type="presOf" srcId="{3E0C20F7-C93D-498B-82CC-C15E151B00D3}" destId="{E9032454-997A-4DF9-B368-C2C35DE35B53}" srcOrd="0" destOrd="0" presId="urn:microsoft.com/office/officeart/2005/8/layout/lProcess1"/>
    <dgm:cxn modelId="{384BC266-9C3B-4DFE-8C5F-B07E086EA272}" type="presOf" srcId="{AA36E7E0-CB30-4277-93B8-17549ADF601D}" destId="{E573AADF-0C7E-444D-8195-4A4179194624}" srcOrd="0" destOrd="0" presId="urn:microsoft.com/office/officeart/2005/8/layout/lProcess1"/>
    <dgm:cxn modelId="{D121BC1D-1853-4539-AEDE-3F85712ACB2C}" type="presOf" srcId="{6420E7B7-034F-4EFA-9C96-AAB19B321168}" destId="{B1F77D1A-C6A3-43EC-B787-BA9C31EE2ED4}" srcOrd="0" destOrd="0" presId="urn:microsoft.com/office/officeart/2005/8/layout/lProcess1"/>
    <dgm:cxn modelId="{E0EC198E-EAA0-45C1-8CA7-4C2BD6D53575}" type="presOf" srcId="{7711DB2C-9B0B-458E-B0C3-D796EC47D2D2}" destId="{CAAA5E7B-0AE8-40E4-BC85-EF88E225D0DB}" srcOrd="0" destOrd="0" presId="urn:microsoft.com/office/officeart/2005/8/layout/lProcess1"/>
    <dgm:cxn modelId="{7F05E0EA-3D2F-4510-B93C-72C964962CBE}" type="presOf" srcId="{422C83D2-2FB4-44F2-81F6-53A6360569CD}" destId="{0F8246C4-1470-4BF6-A26E-3EE41B06A0C3}" srcOrd="0" destOrd="0" presId="urn:microsoft.com/office/officeart/2005/8/layout/lProcess1"/>
    <dgm:cxn modelId="{898E476F-C661-4508-8485-1100C659EF8B}" type="presParOf" srcId="{D9CCBDA7-9721-4A52-98E3-BCE555661FFB}" destId="{26ADDC96-5ED7-4BD1-A0E0-4F02D854D6D8}" srcOrd="0" destOrd="0" presId="urn:microsoft.com/office/officeart/2005/8/layout/lProcess1"/>
    <dgm:cxn modelId="{C6D61705-92A3-44D5-B657-5E90B79D4800}" type="presParOf" srcId="{26ADDC96-5ED7-4BD1-A0E0-4F02D854D6D8}" destId="{1851BA67-5572-447C-BE3B-871EBBCA3322}" srcOrd="0" destOrd="0" presId="urn:microsoft.com/office/officeart/2005/8/layout/lProcess1"/>
    <dgm:cxn modelId="{19328586-3D2A-4277-B465-9AE86620D087}" type="presParOf" srcId="{26ADDC96-5ED7-4BD1-A0E0-4F02D854D6D8}" destId="{0BB7604B-8A30-4125-879C-FEE7AF72CFAC}" srcOrd="1" destOrd="0" presId="urn:microsoft.com/office/officeart/2005/8/layout/lProcess1"/>
    <dgm:cxn modelId="{A4F33E4E-D931-4D59-874B-593D65F447A4}" type="presParOf" srcId="{26ADDC96-5ED7-4BD1-A0E0-4F02D854D6D8}" destId="{CAAA5E7B-0AE8-40E4-BC85-EF88E225D0DB}" srcOrd="2" destOrd="0" presId="urn:microsoft.com/office/officeart/2005/8/layout/lProcess1"/>
    <dgm:cxn modelId="{1B55F199-C2C5-4616-88B6-C134863682A7}" type="presParOf" srcId="{D9CCBDA7-9721-4A52-98E3-BCE555661FFB}" destId="{5E4A6F0E-2C45-4E23-90C6-B5CC7A9D061E}" srcOrd="1" destOrd="0" presId="urn:microsoft.com/office/officeart/2005/8/layout/lProcess1"/>
    <dgm:cxn modelId="{FA27F8D9-C70D-41BE-B6E4-5572C9BAF06A}" type="presParOf" srcId="{D9CCBDA7-9721-4A52-98E3-BCE555661FFB}" destId="{F953C16E-3740-4EEA-B867-6FB7E5B599E2}" srcOrd="2" destOrd="0" presId="urn:microsoft.com/office/officeart/2005/8/layout/lProcess1"/>
    <dgm:cxn modelId="{2EF0872C-E3BB-4BB0-9A3A-2A0741E43274}" type="presParOf" srcId="{F953C16E-3740-4EEA-B867-6FB7E5B599E2}" destId="{1456ED9F-AC9D-4D36-ADEA-15279AD22766}" srcOrd="0" destOrd="0" presId="urn:microsoft.com/office/officeart/2005/8/layout/lProcess1"/>
    <dgm:cxn modelId="{DB63CDFA-C5DD-44C6-A68E-674E779A234D}" type="presParOf" srcId="{F953C16E-3740-4EEA-B867-6FB7E5B599E2}" destId="{859DF52D-409F-48E0-BD34-7518B0AF15AC}" srcOrd="1" destOrd="0" presId="urn:microsoft.com/office/officeart/2005/8/layout/lProcess1"/>
    <dgm:cxn modelId="{E2BE9F16-D3E5-4DCD-8D5B-D42BACD8984B}" type="presParOf" srcId="{F953C16E-3740-4EEA-B867-6FB7E5B599E2}" destId="{A0965D2D-E2BE-4C63-8A73-13734E7BFBB7}" srcOrd="2" destOrd="0" presId="urn:microsoft.com/office/officeart/2005/8/layout/lProcess1"/>
    <dgm:cxn modelId="{0D9ADF63-108B-4405-B2F8-E06766FDDB99}" type="presParOf" srcId="{F953C16E-3740-4EEA-B867-6FB7E5B599E2}" destId="{35AEF3B7-7775-42AD-A875-DFB70A4C6488}" srcOrd="3" destOrd="0" presId="urn:microsoft.com/office/officeart/2005/8/layout/lProcess1"/>
    <dgm:cxn modelId="{69A6C40A-777F-4D8C-BD31-F5791AAD8CE6}" type="presParOf" srcId="{F953C16E-3740-4EEA-B867-6FB7E5B599E2}" destId="{D809AE20-89DD-4184-96E2-8D4701833664}" srcOrd="4" destOrd="0" presId="urn:microsoft.com/office/officeart/2005/8/layout/lProcess1"/>
    <dgm:cxn modelId="{3D679042-79F1-40B5-ABC9-F719F3C9D64D}" type="presParOf" srcId="{F953C16E-3740-4EEA-B867-6FB7E5B599E2}" destId="{A7DA326E-7EDE-41A4-A711-4607564FEAF4}" srcOrd="5" destOrd="0" presId="urn:microsoft.com/office/officeart/2005/8/layout/lProcess1"/>
    <dgm:cxn modelId="{ED5C7C83-693C-41A0-A0E5-D9E4138E1DBA}" type="presParOf" srcId="{F953C16E-3740-4EEA-B867-6FB7E5B599E2}" destId="{331B6518-67E7-43F9-B41F-3C013098A309}" srcOrd="6" destOrd="0" presId="urn:microsoft.com/office/officeart/2005/8/layout/lProcess1"/>
    <dgm:cxn modelId="{5A7201BB-E9FF-4871-B646-35DC3D369B6F}" type="presParOf" srcId="{F953C16E-3740-4EEA-B867-6FB7E5B599E2}" destId="{E9032454-997A-4DF9-B368-C2C35DE35B53}" srcOrd="7" destOrd="0" presId="urn:microsoft.com/office/officeart/2005/8/layout/lProcess1"/>
    <dgm:cxn modelId="{E62EB672-A10B-4EEF-AE09-B310E2F30B19}" type="presParOf" srcId="{F953C16E-3740-4EEA-B867-6FB7E5B599E2}" destId="{9564CB94-27E1-49BE-9906-D7AD59557434}" srcOrd="8" destOrd="0" presId="urn:microsoft.com/office/officeart/2005/8/layout/lProcess1"/>
    <dgm:cxn modelId="{8571A7CA-9076-4D00-8C54-A3D4353DED47}" type="presParOf" srcId="{D9CCBDA7-9721-4A52-98E3-BCE555661FFB}" destId="{E9E9F3DF-8CBE-4570-BBB3-823DF751FAFC}" srcOrd="3" destOrd="0" presId="urn:microsoft.com/office/officeart/2005/8/layout/lProcess1"/>
    <dgm:cxn modelId="{7EC4191C-25F1-4C32-822A-9484C5C70C2D}" type="presParOf" srcId="{D9CCBDA7-9721-4A52-98E3-BCE555661FFB}" destId="{8AE1E316-A593-4282-9A5F-718CFB7A1EAE}" srcOrd="4" destOrd="0" presId="urn:microsoft.com/office/officeart/2005/8/layout/lProcess1"/>
    <dgm:cxn modelId="{0CBFDA42-D5C9-4A95-AE5B-F85FA2E1EFC5}" type="presParOf" srcId="{8AE1E316-A593-4282-9A5F-718CFB7A1EAE}" destId="{71B261FC-17FA-400A-A984-B375B5C6183E}" srcOrd="0" destOrd="0" presId="urn:microsoft.com/office/officeart/2005/8/layout/lProcess1"/>
    <dgm:cxn modelId="{14D352E8-D8F1-4B21-9EC6-6785E5399E1A}" type="presParOf" srcId="{8AE1E316-A593-4282-9A5F-718CFB7A1EAE}" destId="{EF758D17-7FC7-4565-91FF-7B53DF76B927}" srcOrd="1" destOrd="0" presId="urn:microsoft.com/office/officeart/2005/8/layout/lProcess1"/>
    <dgm:cxn modelId="{D40E9D26-55A7-4784-8C18-DBEC47CDD337}" type="presParOf" srcId="{8AE1E316-A593-4282-9A5F-718CFB7A1EAE}" destId="{EADA8DDD-9958-4C97-B7EB-52A843CB5F9D}" srcOrd="2" destOrd="0" presId="urn:microsoft.com/office/officeart/2005/8/layout/lProcess1"/>
    <dgm:cxn modelId="{4BD6DCF5-F9EF-42EE-A871-049C1DFBDF93}" type="presParOf" srcId="{8AE1E316-A593-4282-9A5F-718CFB7A1EAE}" destId="{D8AADE8B-628B-4E4C-A61C-444EC8D4698F}" srcOrd="3" destOrd="0" presId="urn:microsoft.com/office/officeart/2005/8/layout/lProcess1"/>
    <dgm:cxn modelId="{7374010D-9241-4B76-8F46-65578320D132}" type="presParOf" srcId="{8AE1E316-A593-4282-9A5F-718CFB7A1EAE}" destId="{5492F9B3-7018-495D-8BD4-2F409AD9FE82}" srcOrd="4" destOrd="0" presId="urn:microsoft.com/office/officeart/2005/8/layout/lProcess1"/>
    <dgm:cxn modelId="{B4D462F6-377B-4CC1-8C96-958AB56CF160}" type="presParOf" srcId="{8AE1E316-A593-4282-9A5F-718CFB7A1EAE}" destId="{CA50A3A3-B2FA-46A3-896C-5380018DD871}" srcOrd="5" destOrd="0" presId="urn:microsoft.com/office/officeart/2005/8/layout/lProcess1"/>
    <dgm:cxn modelId="{859F60BE-2CD3-4519-A112-1185A36C8E71}" type="presParOf" srcId="{8AE1E316-A593-4282-9A5F-718CFB7A1EAE}" destId="{A6F48A19-D29F-4B7F-BBCF-5DE4254C3CAC}" srcOrd="6" destOrd="0" presId="urn:microsoft.com/office/officeart/2005/8/layout/lProcess1"/>
    <dgm:cxn modelId="{8BE22261-106A-4B0F-876C-3A15D3098F7A}" type="presParOf" srcId="{D9CCBDA7-9721-4A52-98E3-BCE555661FFB}" destId="{CB846167-76B9-475E-AAC1-1E8E07E20FEA}" srcOrd="5" destOrd="0" presId="urn:microsoft.com/office/officeart/2005/8/layout/lProcess1"/>
    <dgm:cxn modelId="{4B3D452F-E2D6-4653-B758-A569C2B4A5FD}" type="presParOf" srcId="{D9CCBDA7-9721-4A52-98E3-BCE555661FFB}" destId="{22B1FF26-188E-46DA-BE93-DEFFEE7ABEF5}" srcOrd="6" destOrd="0" presId="urn:microsoft.com/office/officeart/2005/8/layout/lProcess1"/>
    <dgm:cxn modelId="{2053497A-2C25-45E8-89D9-AC7774523368}" type="presParOf" srcId="{22B1FF26-188E-46DA-BE93-DEFFEE7ABEF5}" destId="{96181BB9-70DE-4B78-B737-B92BAFFC2C97}" srcOrd="0" destOrd="0" presId="urn:microsoft.com/office/officeart/2005/8/layout/lProcess1"/>
    <dgm:cxn modelId="{76A631AC-AD51-4744-A851-3E7A9423FADB}" type="presParOf" srcId="{22B1FF26-188E-46DA-BE93-DEFFEE7ABEF5}" destId="{1642C4D9-51DF-436C-914C-2CD1D3A812CE}" srcOrd="1" destOrd="0" presId="urn:microsoft.com/office/officeart/2005/8/layout/lProcess1"/>
    <dgm:cxn modelId="{9EAEEB59-8AEA-4915-8E43-5752FA90AF3A}" type="presParOf" srcId="{22B1FF26-188E-46DA-BE93-DEFFEE7ABEF5}" destId="{8E5B4BB6-0A57-48D1-AC8F-8DB164F00E38}" srcOrd="2" destOrd="0" presId="urn:microsoft.com/office/officeart/2005/8/layout/lProcess1"/>
    <dgm:cxn modelId="{62D9252D-F57E-4D06-AB22-AB04C730C52C}" type="presParOf" srcId="{22B1FF26-188E-46DA-BE93-DEFFEE7ABEF5}" destId="{EF99B999-173C-4EB3-A272-FBE06EA850D9}" srcOrd="3" destOrd="0" presId="urn:microsoft.com/office/officeart/2005/8/layout/lProcess1"/>
    <dgm:cxn modelId="{3E790692-3077-4712-BAE5-4B1C0FA29E1D}" type="presParOf" srcId="{22B1FF26-188E-46DA-BE93-DEFFEE7ABEF5}" destId="{96837B13-A031-4C43-9A7C-3D2E3746FC3D}" srcOrd="4" destOrd="0" presId="urn:microsoft.com/office/officeart/2005/8/layout/lProcess1"/>
    <dgm:cxn modelId="{69479390-8947-430D-B6A4-EB17A9C49506}" type="presParOf" srcId="{22B1FF26-188E-46DA-BE93-DEFFEE7ABEF5}" destId="{A80B5965-517F-42E0-96C4-7EEA4CC63C86}" srcOrd="5" destOrd="0" presId="urn:microsoft.com/office/officeart/2005/8/layout/lProcess1"/>
    <dgm:cxn modelId="{0C99EB66-D2C5-4340-8BF3-129A942BD2B1}" type="presParOf" srcId="{22B1FF26-188E-46DA-BE93-DEFFEE7ABEF5}" destId="{B1F77D1A-C6A3-43EC-B787-BA9C31EE2ED4}" srcOrd="6" destOrd="0" presId="urn:microsoft.com/office/officeart/2005/8/layout/lProcess1"/>
    <dgm:cxn modelId="{F28C9C54-BA87-4E9C-8962-BB3AC40042B8}" type="presParOf" srcId="{22B1FF26-188E-46DA-BE93-DEFFEE7ABEF5}" destId="{F05CA744-5B76-4A3A-8CF2-959FF7BFCE1E}" srcOrd="7" destOrd="0" presId="urn:microsoft.com/office/officeart/2005/8/layout/lProcess1"/>
    <dgm:cxn modelId="{E9738765-1133-4275-A7D5-13953CFD2E6A}" type="presParOf" srcId="{22B1FF26-188E-46DA-BE93-DEFFEE7ABEF5}" destId="{CC58E8B1-96B8-4417-977F-A14C01AE7213}" srcOrd="8" destOrd="0" presId="urn:microsoft.com/office/officeart/2005/8/layout/lProcess1"/>
    <dgm:cxn modelId="{87C23870-2CD7-4DE4-AA02-5BE1FBA8F9A4}" type="presParOf" srcId="{D9CCBDA7-9721-4A52-98E3-BCE555661FFB}" destId="{AA5603B3-D81B-4C90-A6ED-A8481BFC5C8C}" srcOrd="7" destOrd="0" presId="urn:microsoft.com/office/officeart/2005/8/layout/lProcess1"/>
    <dgm:cxn modelId="{A2F4C1DF-4CFB-43D1-871B-BFBD4605F01E}" type="presParOf" srcId="{D9CCBDA7-9721-4A52-98E3-BCE555661FFB}" destId="{38E30C4C-7B69-402C-AE68-29B6BCDC2524}" srcOrd="8" destOrd="0" presId="urn:microsoft.com/office/officeart/2005/8/layout/lProcess1"/>
    <dgm:cxn modelId="{7B837A3C-0235-41A9-A602-671469F12C4B}" type="presParOf" srcId="{38E30C4C-7B69-402C-AE68-29B6BCDC2524}" destId="{B0A870D9-895F-432D-8181-54D1E5C48DB6}" srcOrd="0" destOrd="0" presId="urn:microsoft.com/office/officeart/2005/8/layout/lProcess1"/>
    <dgm:cxn modelId="{CF58C94C-EC68-4C99-BC57-239AFC4EDC05}" type="presParOf" srcId="{38E30C4C-7B69-402C-AE68-29B6BCDC2524}" destId="{419F3956-9D74-443E-B995-7091F720A143}" srcOrd="1" destOrd="0" presId="urn:microsoft.com/office/officeart/2005/8/layout/lProcess1"/>
    <dgm:cxn modelId="{78FB9FA8-26ED-4E02-8B0F-479D8310D7AF}" type="presParOf" srcId="{38E30C4C-7B69-402C-AE68-29B6BCDC2524}" destId="{F75CD7DC-A65A-4909-B39C-40C87E8A12FC}" srcOrd="2" destOrd="0" presId="urn:microsoft.com/office/officeart/2005/8/layout/lProcess1"/>
    <dgm:cxn modelId="{FF047D5F-0743-497B-BC19-C5951E072E24}" type="presParOf" srcId="{38E30C4C-7B69-402C-AE68-29B6BCDC2524}" destId="{041BDEFC-D7B2-4DCE-8BDC-3B1C9F748599}" srcOrd="3" destOrd="0" presId="urn:microsoft.com/office/officeart/2005/8/layout/lProcess1"/>
    <dgm:cxn modelId="{C25C86EF-4146-4FE5-8813-D09059B8C3E6}" type="presParOf" srcId="{38E30C4C-7B69-402C-AE68-29B6BCDC2524}" destId="{9FCE4173-AE15-4BD6-9C69-39BCEF452747}" srcOrd="4" destOrd="0" presId="urn:microsoft.com/office/officeart/2005/8/layout/lProcess1"/>
    <dgm:cxn modelId="{9D1F65A7-4C9D-429D-92FB-9DD9D1FEB101}" type="presParOf" srcId="{38E30C4C-7B69-402C-AE68-29B6BCDC2524}" destId="{2810469D-A1FD-4C40-B0B7-93640892D1FD}" srcOrd="5" destOrd="0" presId="urn:microsoft.com/office/officeart/2005/8/layout/lProcess1"/>
    <dgm:cxn modelId="{38BEB042-D183-43D4-BC87-B214A3BED641}" type="presParOf" srcId="{38E30C4C-7B69-402C-AE68-29B6BCDC2524}" destId="{6D1166E1-9AFB-4808-A4A8-1A6930A78234}" srcOrd="6" destOrd="0" presId="urn:microsoft.com/office/officeart/2005/8/layout/lProcess1"/>
    <dgm:cxn modelId="{BAEC1845-A5EC-46C8-B41C-4E97F1A14324}" type="presParOf" srcId="{D9CCBDA7-9721-4A52-98E3-BCE555661FFB}" destId="{37E2AA83-E38C-43A7-917E-73CD3F811B7F}" srcOrd="9" destOrd="0" presId="urn:microsoft.com/office/officeart/2005/8/layout/lProcess1"/>
    <dgm:cxn modelId="{49B7C74A-8647-4D69-A650-5597A37E961C}" type="presParOf" srcId="{D9CCBDA7-9721-4A52-98E3-BCE555661FFB}" destId="{5C6F2BE4-79C4-4D7D-A7E2-75E44F495FAA}" srcOrd="10" destOrd="0" presId="urn:microsoft.com/office/officeart/2005/8/layout/lProcess1"/>
    <dgm:cxn modelId="{5DFBDD81-EF2F-45DE-9780-2F6DAAF8A194}" type="presParOf" srcId="{5C6F2BE4-79C4-4D7D-A7E2-75E44F495FAA}" destId="{D150E916-E5F5-4762-B846-A0A4C422A671}" srcOrd="0" destOrd="0" presId="urn:microsoft.com/office/officeart/2005/8/layout/lProcess1"/>
    <dgm:cxn modelId="{5184D3A5-FBFB-4B9D-9039-2BBBA061FEB1}" type="presParOf" srcId="{5C6F2BE4-79C4-4D7D-A7E2-75E44F495FAA}" destId="{47D9EDAF-310F-4A5D-BFC9-0B6CBEC55EDC}" srcOrd="1" destOrd="0" presId="urn:microsoft.com/office/officeart/2005/8/layout/lProcess1"/>
    <dgm:cxn modelId="{E3825997-2C31-4066-99C3-CB7692DCD6EC}" type="presParOf" srcId="{5C6F2BE4-79C4-4D7D-A7E2-75E44F495FAA}" destId="{965880A9-8F84-405E-B3DC-C1D078D5C2D7}" srcOrd="2" destOrd="0" presId="urn:microsoft.com/office/officeart/2005/8/layout/lProcess1"/>
    <dgm:cxn modelId="{B6ACCD94-E763-4168-943B-CAFDD03DF748}" type="presParOf" srcId="{5C6F2BE4-79C4-4D7D-A7E2-75E44F495FAA}" destId="{8FEB7813-9203-4621-9297-7DAF5A9D1B95}" srcOrd="3" destOrd="0" presId="urn:microsoft.com/office/officeart/2005/8/layout/lProcess1"/>
    <dgm:cxn modelId="{2E58E555-91AA-4189-AA1D-A5995009FFC2}" type="presParOf" srcId="{5C6F2BE4-79C4-4D7D-A7E2-75E44F495FAA}" destId="{50818EFA-2BF8-40D0-92D1-A02EF50059B2}" srcOrd="4" destOrd="0" presId="urn:microsoft.com/office/officeart/2005/8/layout/lProcess1"/>
    <dgm:cxn modelId="{D2685EF3-D0B0-413D-A4EC-4F8EF9F527DA}" type="presParOf" srcId="{5C6F2BE4-79C4-4D7D-A7E2-75E44F495FAA}" destId="{E573AADF-0C7E-444D-8195-4A4179194624}" srcOrd="5" destOrd="0" presId="urn:microsoft.com/office/officeart/2005/8/layout/lProcess1"/>
    <dgm:cxn modelId="{5E606A59-180F-40D8-9A3B-18E67896A3A0}" type="presParOf" srcId="{5C6F2BE4-79C4-4D7D-A7E2-75E44F495FAA}" destId="{B90083B5-A232-4957-ACE0-75F9D6A65D93}" srcOrd="6" destOrd="0" presId="urn:microsoft.com/office/officeart/2005/8/layout/lProcess1"/>
    <dgm:cxn modelId="{703DCFE4-32DF-4795-BDA5-3FE7EB7E7B5B}" type="presParOf" srcId="{5C6F2BE4-79C4-4D7D-A7E2-75E44F495FAA}" destId="{9654EF6E-D26A-47FB-9EB5-D8B3D84931CF}" srcOrd="7" destOrd="0" presId="urn:microsoft.com/office/officeart/2005/8/layout/lProcess1"/>
    <dgm:cxn modelId="{5253C750-8F00-4804-B6E6-12E640389D73}" type="presParOf" srcId="{5C6F2BE4-79C4-4D7D-A7E2-75E44F495FAA}" destId="{0A1974A3-071F-4E5A-AFA5-393391548A74}" srcOrd="8" destOrd="0" presId="urn:microsoft.com/office/officeart/2005/8/layout/lProcess1"/>
    <dgm:cxn modelId="{AD17EE7E-E36F-4A3F-BAA2-6831DC280AF7}" type="presParOf" srcId="{5C6F2BE4-79C4-4D7D-A7E2-75E44F495FAA}" destId="{0F266B82-8EFC-4C29-98FA-62FEE7F79793}" srcOrd="9" destOrd="0" presId="urn:microsoft.com/office/officeart/2005/8/layout/lProcess1"/>
    <dgm:cxn modelId="{FA441FC3-62CD-448A-90B3-0C2B8F38C2EB}" type="presParOf" srcId="{5C6F2BE4-79C4-4D7D-A7E2-75E44F495FAA}" destId="{D5053C61-5DA0-4EFD-B18B-CAA8B4AF4FC4}" srcOrd="10" destOrd="0" presId="urn:microsoft.com/office/officeart/2005/8/layout/lProcess1"/>
    <dgm:cxn modelId="{7C453183-0DD1-4518-AA68-E79BA7EB419A}" type="presParOf" srcId="{5C6F2BE4-79C4-4D7D-A7E2-75E44F495FAA}" destId="{1C4CABE9-D49C-45BA-9AE5-5A7996B6B81D}" srcOrd="11" destOrd="0" presId="urn:microsoft.com/office/officeart/2005/8/layout/lProcess1"/>
    <dgm:cxn modelId="{98EC741B-D853-447D-A304-62CC0CF89B67}" type="presParOf" srcId="{5C6F2BE4-79C4-4D7D-A7E2-75E44F495FAA}" destId="{999E9C51-5A31-40DE-A054-387B1B913644}" srcOrd="12" destOrd="0" presId="urn:microsoft.com/office/officeart/2005/8/layout/lProcess1"/>
    <dgm:cxn modelId="{72C1000A-2886-492E-A273-0CFF3E1791B4}" type="presParOf" srcId="{D9CCBDA7-9721-4A52-98E3-BCE555661FFB}" destId="{8A512A26-12DA-4D26-B13E-563BA811F63B}" srcOrd="11" destOrd="0" presId="urn:microsoft.com/office/officeart/2005/8/layout/lProcess1"/>
    <dgm:cxn modelId="{C7CCE71A-0DC1-49BE-99EC-D82D9BEBEAD4}" type="presParOf" srcId="{D9CCBDA7-9721-4A52-98E3-BCE555661FFB}" destId="{09466363-4FE2-447D-8497-E1673C39948C}" srcOrd="12" destOrd="0" presId="urn:microsoft.com/office/officeart/2005/8/layout/lProcess1"/>
    <dgm:cxn modelId="{6F4414DE-EC7B-4FD4-A8D0-D7E3AC0B3777}" type="presParOf" srcId="{09466363-4FE2-447D-8497-E1673C39948C}" destId="{48C1BCBC-6D00-40EF-B251-8098381BF9DB}" srcOrd="0" destOrd="0" presId="urn:microsoft.com/office/officeart/2005/8/layout/lProcess1"/>
    <dgm:cxn modelId="{3B137AC4-0D48-4851-8649-0F143C382059}" type="presParOf" srcId="{09466363-4FE2-447D-8497-E1673C39948C}" destId="{82507FF1-44BB-4524-9841-59A9C7FB751A}" srcOrd="1" destOrd="0" presId="urn:microsoft.com/office/officeart/2005/8/layout/lProcess1"/>
    <dgm:cxn modelId="{44585135-6DEF-4C74-A269-A35084FC5FEA}" type="presParOf" srcId="{09466363-4FE2-447D-8497-E1673C39948C}" destId="{0F8246C4-1470-4BF6-A26E-3EE41B06A0C3}" srcOrd="2" destOrd="0" presId="urn:microsoft.com/office/officeart/2005/8/layout/lProcess1"/>
    <dgm:cxn modelId="{B68C4BC1-47CB-4C76-AA5F-9BB7FBF6B1AE}" type="presParOf" srcId="{09466363-4FE2-447D-8497-E1673C39948C}" destId="{F3FE1389-171B-4D83-901F-7B4E02FB7E1F}" srcOrd="3" destOrd="0" presId="urn:microsoft.com/office/officeart/2005/8/layout/lProcess1"/>
    <dgm:cxn modelId="{B614761E-C0C3-48EB-9D80-CE31C1EB7CC5}" type="presParOf" srcId="{09466363-4FE2-447D-8497-E1673C39948C}" destId="{14DB01C2-3D12-4F08-9642-3E96D3796274}" srcOrd="4" destOrd="0" presId="urn:microsoft.com/office/officeart/2005/8/layout/lProcess1"/>
    <dgm:cxn modelId="{1B66CC48-9F0B-4926-B134-16049467B254}" type="presParOf" srcId="{09466363-4FE2-447D-8497-E1673C39948C}" destId="{B1E5138E-33E2-4D81-83E6-5BBB1903C3C0}" srcOrd="5" destOrd="0" presId="urn:microsoft.com/office/officeart/2005/8/layout/lProcess1"/>
    <dgm:cxn modelId="{261C8B12-4801-434A-AA62-B2E1B234C810}" type="presParOf" srcId="{09466363-4FE2-447D-8497-E1673C39948C}" destId="{B1750C61-7A12-437C-8A1C-6DFCB9114D7D}" srcOrd="6" destOrd="0" presId="urn:microsoft.com/office/officeart/2005/8/layout/lProcess1"/>
    <dgm:cxn modelId="{6704671E-64F4-44E4-961D-B89D661A0F80}" type="presParOf" srcId="{09466363-4FE2-447D-8497-E1673C39948C}" destId="{46F1B189-73D2-4070-BB84-E3184F505487}" srcOrd="7" destOrd="0" presId="urn:microsoft.com/office/officeart/2005/8/layout/lProcess1"/>
    <dgm:cxn modelId="{8613F709-1A3F-474B-B98D-50EB31476B62}" type="presParOf" srcId="{09466363-4FE2-447D-8497-E1673C39948C}" destId="{CE318D0E-0624-456A-844C-245BC2A643C5}" srcOrd="8" destOrd="0" presId="urn:microsoft.com/office/officeart/2005/8/layout/lProcess1"/>
    <dgm:cxn modelId="{D2551F6A-3936-477C-8972-03AB71BB45E7}" type="presParOf" srcId="{09466363-4FE2-447D-8497-E1673C39948C}" destId="{545B7BA2-97AC-4858-A419-EF4B361F0F00}" srcOrd="9" destOrd="0" presId="urn:microsoft.com/office/officeart/2005/8/layout/lProcess1"/>
    <dgm:cxn modelId="{D75830AB-AB55-4A0E-A6B2-B3171441EA1A}" type="presParOf" srcId="{09466363-4FE2-447D-8497-E1673C39948C}" destId="{A3681505-5168-4FB3-87BE-19A4D648EFBF}" srcOrd="10" destOrd="0" presId="urn:microsoft.com/office/officeart/2005/8/layout/lProcess1"/>
    <dgm:cxn modelId="{EC519D0D-7ED9-4B3D-8DE6-959634FE7876}" type="presParOf" srcId="{09466363-4FE2-447D-8497-E1673C39948C}" destId="{F55A9D75-91E1-4729-AFB2-E8B782A333C9}" srcOrd="11" destOrd="0" presId="urn:microsoft.com/office/officeart/2005/8/layout/lProcess1"/>
    <dgm:cxn modelId="{E6EA3CAF-1D17-44BB-B85C-C48A26B851C1}" type="presParOf" srcId="{09466363-4FE2-447D-8497-E1673C39948C}" destId="{F1062235-77A1-4983-A205-87CCC87A614F}" srcOrd="12" destOrd="0" presId="urn:microsoft.com/office/officeart/2005/8/layout/lProcess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68DED16-0782-4722-9704-264A9F1E6D77}" type="doc">
      <dgm:prSet loTypeId="urn:microsoft.com/office/officeart/2008/layout/VerticalCurvedList" loCatId="list" qsTypeId="urn:microsoft.com/office/officeart/2005/8/quickstyle/simple1" qsCatId="simple" csTypeId="urn:microsoft.com/office/officeart/2005/8/colors/colorful4" csCatId="colorful" phldr="1"/>
      <dgm:spPr/>
      <dgm:t>
        <a:bodyPr/>
        <a:lstStyle/>
        <a:p>
          <a:endParaRPr lang="en-US"/>
        </a:p>
      </dgm:t>
    </dgm:pt>
    <dgm:pt modelId="{332FFDC8-9685-474E-A453-8DDBCF0ECDF9}">
      <dgm:prSet phldrT="[Text]"/>
      <dgm:spPr>
        <a:xfrm>
          <a:off x="933151" y="322206"/>
          <a:ext cx="4536248" cy="707136"/>
        </a:xfrm>
        <a:solidFill>
          <a:srgbClr val="B4936D">
            <a:hueOff val="0"/>
            <a:satOff val="0"/>
            <a:lumOff val="0"/>
            <a:alphaOff val="0"/>
          </a:srgbClr>
        </a:solidFill>
        <a:ln w="25400" cap="flat" cmpd="sng" algn="ctr">
          <a:solidFill>
            <a:srgbClr val="FFFFFF">
              <a:hueOff val="0"/>
              <a:satOff val="0"/>
              <a:lumOff val="0"/>
              <a:alphaOff val="0"/>
            </a:srgbClr>
          </a:solidFill>
          <a:prstDash val="solid"/>
        </a:ln>
        <a:effectLst/>
      </dgm:spPr>
      <dgm:t>
        <a:bodyPr/>
        <a:lstStyle/>
        <a:p>
          <a:pPr>
            <a:lnSpc>
              <a:spcPct val="100000"/>
            </a:lnSpc>
            <a:spcAft>
              <a:spcPts val="0"/>
            </a:spcAft>
          </a:pPr>
          <a:r>
            <a:rPr lang="x-none">
              <a:solidFill>
                <a:srgbClr val="FFFFFF"/>
              </a:solidFill>
              <a:latin typeface="Cambria"/>
              <a:ea typeface="+mn-ea"/>
              <a:cs typeface="+mn-cs"/>
            </a:rPr>
            <a:t>Program rada Vlade</a:t>
          </a:r>
        </a:p>
        <a:p>
          <a:pPr>
            <a:lnSpc>
              <a:spcPct val="100000"/>
            </a:lnSpc>
            <a:spcAft>
              <a:spcPts val="0"/>
            </a:spcAft>
          </a:pPr>
          <a:r>
            <a:rPr lang="x-none">
              <a:solidFill>
                <a:srgbClr val="FFFFFF"/>
              </a:solidFill>
              <a:latin typeface="Cambria"/>
              <a:ea typeface="+mn-ea"/>
              <a:cs typeface="+mn-cs"/>
            </a:rPr>
            <a:t>Razvojni pravci Crne Gore 2018-2021</a:t>
          </a:r>
        </a:p>
        <a:p>
          <a:pPr>
            <a:lnSpc>
              <a:spcPct val="100000"/>
            </a:lnSpc>
            <a:spcAft>
              <a:spcPts val="0"/>
            </a:spcAft>
          </a:pPr>
          <a:r>
            <a:rPr lang="x-none">
              <a:solidFill>
                <a:srgbClr val="FFFFFF"/>
              </a:solidFill>
              <a:latin typeface="Cambria"/>
              <a:ea typeface="+mn-ea"/>
              <a:cs typeface="+mn-cs"/>
            </a:rPr>
            <a:t>Nacionalna strategija održivog razvoja do 2030</a:t>
          </a:r>
          <a:endParaRPr lang="en-US">
            <a:solidFill>
              <a:srgbClr val="FFFFFF"/>
            </a:solidFill>
            <a:latin typeface="Cambria"/>
            <a:ea typeface="+mn-ea"/>
            <a:cs typeface="+mn-cs"/>
          </a:endParaRPr>
        </a:p>
      </dgm:t>
    </dgm:pt>
    <dgm:pt modelId="{4036B32E-29CB-45BC-A571-9C3E4F996266}" type="parTrans" cxnId="{7DBE281F-7666-4D1A-924D-F95CA7D8D589}">
      <dgm:prSet/>
      <dgm:spPr/>
      <dgm:t>
        <a:bodyPr/>
        <a:lstStyle/>
        <a:p>
          <a:endParaRPr lang="en-US"/>
        </a:p>
      </dgm:t>
    </dgm:pt>
    <dgm:pt modelId="{00C1FB7E-CF26-41B9-8B28-D4C769EA6CDE}" type="sibTrans" cxnId="{7DBE281F-7666-4D1A-924D-F95CA7D8D589}">
      <dgm:prSet/>
      <dgm:spPr>
        <a:xfrm>
          <a:off x="-3784879" y="-613536"/>
          <a:ext cx="4762753" cy="4762753"/>
        </a:xfrm>
        <a:noFill/>
        <a:ln w="25400" cap="flat" cmpd="sng" algn="ctr">
          <a:solidFill>
            <a:srgbClr val="67787B">
              <a:hueOff val="0"/>
              <a:satOff val="0"/>
              <a:lumOff val="0"/>
              <a:alphaOff val="0"/>
            </a:srgbClr>
          </a:solidFill>
          <a:prstDash val="solid"/>
        </a:ln>
        <a:effectLst/>
      </dgm:spPr>
      <dgm:t>
        <a:bodyPr/>
        <a:lstStyle/>
        <a:p>
          <a:endParaRPr lang="en-US"/>
        </a:p>
      </dgm:t>
    </dgm:pt>
    <dgm:pt modelId="{E604E908-A789-4140-A9DC-CB0E647096AA}">
      <dgm:prSet phldrT="[Text]"/>
      <dgm:spPr>
        <a:xfrm>
          <a:off x="1069522" y="1422114"/>
          <a:ext cx="4393080" cy="707136"/>
        </a:xfrm>
        <a:solidFill>
          <a:srgbClr val="B4936D">
            <a:hueOff val="4706656"/>
            <a:satOff val="-11638"/>
            <a:lumOff val="-6177"/>
            <a:alphaOff val="0"/>
          </a:srgbClr>
        </a:solidFill>
        <a:ln w="25400" cap="flat" cmpd="sng" algn="ctr">
          <a:solidFill>
            <a:srgbClr val="FFFFFF">
              <a:hueOff val="0"/>
              <a:satOff val="0"/>
              <a:lumOff val="0"/>
              <a:alphaOff val="0"/>
            </a:srgbClr>
          </a:solidFill>
          <a:prstDash val="solid"/>
        </a:ln>
        <a:effectLst/>
      </dgm:spPr>
      <dgm:t>
        <a:bodyPr/>
        <a:lstStyle/>
        <a:p>
          <a:pPr>
            <a:lnSpc>
              <a:spcPct val="100000"/>
            </a:lnSpc>
            <a:spcAft>
              <a:spcPts val="0"/>
            </a:spcAft>
          </a:pPr>
          <a:r>
            <a:rPr lang="x-none">
              <a:solidFill>
                <a:srgbClr val="FFFFFF"/>
              </a:solidFill>
              <a:latin typeface="Cambria"/>
              <a:ea typeface="+mn-ea"/>
              <a:cs typeface="+mn-cs"/>
            </a:rPr>
            <a:t>Program reforme javnih finansija 2022-2026</a:t>
          </a:r>
        </a:p>
        <a:p>
          <a:pPr>
            <a:lnSpc>
              <a:spcPct val="100000"/>
            </a:lnSpc>
            <a:spcAft>
              <a:spcPts val="0"/>
            </a:spcAft>
          </a:pPr>
          <a:r>
            <a:rPr lang="x-none">
              <a:solidFill>
                <a:srgbClr val="FFFFFF"/>
              </a:solidFill>
              <a:latin typeface="Cambria"/>
              <a:ea typeface="+mn-ea"/>
              <a:cs typeface="+mn-cs"/>
            </a:rPr>
            <a:t>Strategija digitalne transformacije 2022-2026</a:t>
          </a:r>
        </a:p>
        <a:p>
          <a:pPr>
            <a:lnSpc>
              <a:spcPct val="100000"/>
            </a:lnSpc>
            <a:spcAft>
              <a:spcPts val="0"/>
            </a:spcAft>
          </a:pPr>
          <a:r>
            <a:rPr lang="x-none">
              <a:solidFill>
                <a:srgbClr val="FFFFFF"/>
              </a:solidFill>
              <a:latin typeface="Cambria"/>
              <a:ea typeface="+mn-ea"/>
              <a:cs typeface="+mn-cs"/>
            </a:rPr>
            <a:t>Strategija </a:t>
          </a:r>
          <a:r>
            <a:rPr lang="en-US">
              <a:solidFill>
                <a:srgbClr val="FFFFFF"/>
              </a:solidFill>
              <a:latin typeface="Cambria"/>
              <a:ea typeface="+mn-ea"/>
              <a:cs typeface="+mn-cs"/>
            </a:rPr>
            <a:t>saradnje između organa državne uprave i nevladinih org</a:t>
          </a:r>
          <a:r>
            <a:rPr lang="x-none">
              <a:solidFill>
                <a:srgbClr val="FFFFFF"/>
              </a:solidFill>
              <a:latin typeface="Cambria"/>
              <a:ea typeface="+mn-ea"/>
              <a:cs typeface="+mn-cs"/>
            </a:rPr>
            <a:t>a</a:t>
          </a:r>
          <a:r>
            <a:rPr lang="en-US">
              <a:solidFill>
                <a:srgbClr val="FFFFFF"/>
              </a:solidFill>
              <a:latin typeface="Cambria"/>
              <a:ea typeface="+mn-ea"/>
              <a:cs typeface="+mn-cs"/>
            </a:rPr>
            <a:t>niazacija</a:t>
          </a:r>
          <a:r>
            <a:rPr lang="x-none">
              <a:solidFill>
                <a:srgbClr val="FFFFFF"/>
              </a:solidFill>
              <a:latin typeface="Cambria"/>
              <a:ea typeface="+mn-ea"/>
              <a:cs typeface="+mn-cs"/>
            </a:rPr>
            <a:t> 2022-2026</a:t>
          </a:r>
          <a:endParaRPr lang="en-US">
            <a:solidFill>
              <a:srgbClr val="FFFFFF"/>
            </a:solidFill>
            <a:latin typeface="Cambria"/>
            <a:ea typeface="+mn-ea"/>
            <a:cs typeface="+mn-cs"/>
          </a:endParaRPr>
        </a:p>
      </dgm:t>
    </dgm:pt>
    <dgm:pt modelId="{3919153A-9A62-4085-BF58-42CE28C12153}" type="parTrans" cxnId="{CE5F076B-BEA4-4C93-8D48-8E6325DDE436}">
      <dgm:prSet/>
      <dgm:spPr/>
      <dgm:t>
        <a:bodyPr/>
        <a:lstStyle/>
        <a:p>
          <a:endParaRPr lang="en-US"/>
        </a:p>
      </dgm:t>
    </dgm:pt>
    <dgm:pt modelId="{3CFDC814-05CE-4A4C-899F-B3602C46594E}" type="sibTrans" cxnId="{CE5F076B-BEA4-4C93-8D48-8E6325DDE436}">
      <dgm:prSet/>
      <dgm:spPr/>
      <dgm:t>
        <a:bodyPr/>
        <a:lstStyle/>
        <a:p>
          <a:endParaRPr lang="en-US"/>
        </a:p>
      </dgm:t>
    </dgm:pt>
    <dgm:pt modelId="{80CF96A6-8AD8-43BF-8075-31B874906251}">
      <dgm:prSet phldrT="[Text]"/>
      <dgm:spPr>
        <a:xfrm>
          <a:off x="1089994" y="2506344"/>
          <a:ext cx="4397522" cy="707136"/>
        </a:xfrm>
        <a:solidFill>
          <a:srgbClr val="B4936D">
            <a:hueOff val="9413312"/>
            <a:satOff val="-23276"/>
            <a:lumOff val="-12353"/>
            <a:alphaOff val="0"/>
          </a:srgbClr>
        </a:solidFill>
        <a:ln w="25400" cap="flat" cmpd="sng" algn="ctr">
          <a:solidFill>
            <a:srgbClr val="FFFFFF">
              <a:hueOff val="0"/>
              <a:satOff val="0"/>
              <a:lumOff val="0"/>
              <a:alphaOff val="0"/>
            </a:srgbClr>
          </a:solidFill>
          <a:prstDash val="solid"/>
        </a:ln>
        <a:effectLst/>
      </dgm:spPr>
      <dgm:t>
        <a:bodyPr/>
        <a:lstStyle/>
        <a:p>
          <a:pPr>
            <a:lnSpc>
              <a:spcPct val="100000"/>
            </a:lnSpc>
            <a:spcAft>
              <a:spcPts val="0"/>
            </a:spcAft>
          </a:pPr>
          <a:r>
            <a:rPr lang="x-none">
              <a:solidFill>
                <a:srgbClr val="FFFFFF"/>
              </a:solidFill>
              <a:latin typeface="Cambria"/>
              <a:ea typeface="+mn-ea"/>
              <a:cs typeface="+mn-cs"/>
            </a:rPr>
            <a:t>Višegodišnji finansijski okvir EU 2020-2027</a:t>
          </a:r>
        </a:p>
        <a:p>
          <a:pPr>
            <a:lnSpc>
              <a:spcPct val="100000"/>
            </a:lnSpc>
            <a:spcAft>
              <a:spcPts val="0"/>
            </a:spcAft>
          </a:pPr>
          <a:r>
            <a:rPr lang="x-none">
              <a:solidFill>
                <a:srgbClr val="FFFFFF"/>
              </a:solidFill>
              <a:latin typeface="Cambria"/>
              <a:ea typeface="+mn-ea"/>
              <a:cs typeface="+mn-cs"/>
            </a:rPr>
            <a:t>Nacrt IPA III</a:t>
          </a:r>
        </a:p>
        <a:p>
          <a:pPr>
            <a:lnSpc>
              <a:spcPct val="100000"/>
            </a:lnSpc>
            <a:spcAft>
              <a:spcPts val="0"/>
            </a:spcAft>
          </a:pPr>
          <a:r>
            <a:rPr lang="x-none">
              <a:solidFill>
                <a:srgbClr val="FFFFFF"/>
              </a:solidFill>
              <a:latin typeface="Cambria"/>
              <a:ea typeface="+mn-ea"/>
              <a:cs typeface="+mn-cs"/>
            </a:rPr>
            <a:t>Program portugalskog predsjedništva Savjetom EU</a:t>
          </a:r>
        </a:p>
        <a:p>
          <a:pPr>
            <a:lnSpc>
              <a:spcPct val="100000"/>
            </a:lnSpc>
            <a:spcAft>
              <a:spcPts val="0"/>
            </a:spcAft>
          </a:pPr>
          <a:r>
            <a:rPr lang="x-none">
              <a:solidFill>
                <a:srgbClr val="FFFFFF"/>
              </a:solidFill>
              <a:latin typeface="Cambria"/>
              <a:ea typeface="+mn-ea"/>
              <a:cs typeface="+mn-cs"/>
            </a:rPr>
            <a:t>Berlinska deklaracija</a:t>
          </a:r>
        </a:p>
      </dgm:t>
    </dgm:pt>
    <dgm:pt modelId="{FDBE8380-4509-4DF1-BC4D-4318D491BE4A}" type="parTrans" cxnId="{739A3F03-AF9F-406C-8D77-25FEE105BACC}">
      <dgm:prSet/>
      <dgm:spPr/>
      <dgm:t>
        <a:bodyPr/>
        <a:lstStyle/>
        <a:p>
          <a:endParaRPr lang="en-US"/>
        </a:p>
      </dgm:t>
    </dgm:pt>
    <dgm:pt modelId="{D3172E1F-488E-4D6E-95C6-7178D2FD625F}" type="sibTrans" cxnId="{739A3F03-AF9F-406C-8D77-25FEE105BACC}">
      <dgm:prSet/>
      <dgm:spPr/>
      <dgm:t>
        <a:bodyPr/>
        <a:lstStyle/>
        <a:p>
          <a:endParaRPr lang="en-US"/>
        </a:p>
      </dgm:t>
    </dgm:pt>
    <dgm:pt modelId="{CECA5C68-3D00-4276-ADE3-094036F4D91D}" type="pres">
      <dgm:prSet presAssocID="{468DED16-0782-4722-9704-264A9F1E6D77}" presName="Name0" presStyleCnt="0">
        <dgm:presLayoutVars>
          <dgm:chMax val="7"/>
          <dgm:chPref val="7"/>
          <dgm:dir/>
        </dgm:presLayoutVars>
      </dgm:prSet>
      <dgm:spPr/>
      <dgm:t>
        <a:bodyPr/>
        <a:lstStyle/>
        <a:p>
          <a:endParaRPr lang="en-US"/>
        </a:p>
      </dgm:t>
    </dgm:pt>
    <dgm:pt modelId="{26B990F9-AEBF-4C07-94CC-DF9CB6A82A82}" type="pres">
      <dgm:prSet presAssocID="{468DED16-0782-4722-9704-264A9F1E6D77}" presName="Name1" presStyleCnt="0"/>
      <dgm:spPr/>
    </dgm:pt>
    <dgm:pt modelId="{32CB222A-F085-4686-8800-524A737203B8}" type="pres">
      <dgm:prSet presAssocID="{468DED16-0782-4722-9704-264A9F1E6D77}" presName="cycle" presStyleCnt="0"/>
      <dgm:spPr/>
    </dgm:pt>
    <dgm:pt modelId="{94B8B35C-7F72-49E2-BFBF-EB16DE40FDFD}" type="pres">
      <dgm:prSet presAssocID="{468DED16-0782-4722-9704-264A9F1E6D77}" presName="srcNode" presStyleLbl="node1" presStyleIdx="0" presStyleCnt="3"/>
      <dgm:spPr/>
    </dgm:pt>
    <dgm:pt modelId="{6D37A787-290E-4621-A15B-1B2F7197B078}" type="pres">
      <dgm:prSet presAssocID="{468DED16-0782-4722-9704-264A9F1E6D77}" presName="conn" presStyleLbl="parChTrans1D2" presStyleIdx="0" presStyleCnt="1"/>
      <dgm:spPr>
        <a:prstGeom prst="blockArc">
          <a:avLst>
            <a:gd name="adj1" fmla="val 18900000"/>
            <a:gd name="adj2" fmla="val 2700000"/>
            <a:gd name="adj3" fmla="val 454"/>
          </a:avLst>
        </a:prstGeom>
      </dgm:spPr>
      <dgm:t>
        <a:bodyPr/>
        <a:lstStyle/>
        <a:p>
          <a:endParaRPr lang="en-US"/>
        </a:p>
      </dgm:t>
    </dgm:pt>
    <dgm:pt modelId="{D95E1D3A-C4A0-4D1C-8F80-93559AF98CAA}" type="pres">
      <dgm:prSet presAssocID="{468DED16-0782-4722-9704-264A9F1E6D77}" presName="extraNode" presStyleLbl="node1" presStyleIdx="0" presStyleCnt="3"/>
      <dgm:spPr/>
    </dgm:pt>
    <dgm:pt modelId="{1B965411-0CF2-46FD-81D8-FA8B73F48E5E}" type="pres">
      <dgm:prSet presAssocID="{468DED16-0782-4722-9704-264A9F1E6D77}" presName="dstNode" presStyleLbl="node1" presStyleIdx="0" presStyleCnt="3"/>
      <dgm:spPr/>
    </dgm:pt>
    <dgm:pt modelId="{00DF77FE-A6CB-4921-819B-218A951FEC5E}" type="pres">
      <dgm:prSet presAssocID="{332FFDC8-9685-474E-A453-8DDBCF0ECDF9}" presName="text_1" presStyleLbl="node1" presStyleIdx="0" presStyleCnt="3" custScaleX="85509" custLinFactNeighborX="-2934" custLinFactNeighborY="-4435">
        <dgm:presLayoutVars>
          <dgm:bulletEnabled val="1"/>
        </dgm:presLayoutVars>
      </dgm:prSet>
      <dgm:spPr>
        <a:prstGeom prst="rect">
          <a:avLst/>
        </a:prstGeom>
      </dgm:spPr>
      <dgm:t>
        <a:bodyPr/>
        <a:lstStyle/>
        <a:p>
          <a:endParaRPr lang="en-US"/>
        </a:p>
      </dgm:t>
    </dgm:pt>
    <dgm:pt modelId="{DAEE309E-C748-48A7-B7C9-BEAA7EDA331B}" type="pres">
      <dgm:prSet presAssocID="{332FFDC8-9685-474E-A453-8DDBCF0ECDF9}" presName="accent_1" presStyleCnt="0"/>
      <dgm:spPr/>
    </dgm:pt>
    <dgm:pt modelId="{5DEBA818-5BFB-4474-B3C6-86A5EDAC1028}" type="pres">
      <dgm:prSet presAssocID="{332FFDC8-9685-474E-A453-8DDBCF0ECDF9}" presName="accentRepeatNode" presStyleLbl="solidFgAcc1" presStyleIdx="0" presStyleCnt="3" custScaleX="122607" custScaleY="106076"/>
      <dgm:spPr>
        <a:xfrm>
          <a:off x="162553" y="238322"/>
          <a:ext cx="1083747" cy="937626"/>
        </a:xfrm>
        <a:prstGeom prst="ellipse">
          <a:avLst/>
        </a:prstGeom>
        <a:solidFill>
          <a:srgbClr val="FFFFFF">
            <a:hueOff val="0"/>
            <a:satOff val="0"/>
            <a:lumOff val="0"/>
            <a:alphaOff val="0"/>
          </a:srgbClr>
        </a:solidFill>
        <a:ln w="25400" cap="flat" cmpd="sng" algn="ctr">
          <a:solidFill>
            <a:srgbClr val="B4936D">
              <a:hueOff val="0"/>
              <a:satOff val="0"/>
              <a:lumOff val="0"/>
              <a:alphaOff val="0"/>
            </a:srgbClr>
          </a:solidFill>
          <a:prstDash val="solid"/>
        </a:ln>
        <a:effectLst/>
      </dgm:spPr>
    </dgm:pt>
    <dgm:pt modelId="{BD18BDDB-6309-4EE2-B4A0-7E56B558D50C}" type="pres">
      <dgm:prSet presAssocID="{E604E908-A789-4140-A9DC-CB0E647096AA}" presName="text_2" presStyleLbl="node1" presStyleIdx="1" presStyleCnt="3" custScaleX="87027" custLinFactNeighborX="-4346" custLinFactNeighborY="1109">
        <dgm:presLayoutVars>
          <dgm:bulletEnabled val="1"/>
        </dgm:presLayoutVars>
      </dgm:prSet>
      <dgm:spPr>
        <a:prstGeom prst="rect">
          <a:avLst/>
        </a:prstGeom>
      </dgm:spPr>
      <dgm:t>
        <a:bodyPr/>
        <a:lstStyle/>
        <a:p>
          <a:endParaRPr lang="en-US"/>
        </a:p>
      </dgm:t>
    </dgm:pt>
    <dgm:pt modelId="{118EFC20-CA97-4E07-9545-0736F6D25003}" type="pres">
      <dgm:prSet presAssocID="{E604E908-A789-4140-A9DC-CB0E647096AA}" presName="accent_2" presStyleCnt="0"/>
      <dgm:spPr/>
    </dgm:pt>
    <dgm:pt modelId="{C0FCD9E0-F3BA-450E-96B4-3F24BCD65CD1}" type="pres">
      <dgm:prSet presAssocID="{E604E908-A789-4140-A9DC-CB0E647096AA}" presName="accentRepeatNode" presStyleLbl="solidFgAcc1" presStyleIdx="1" presStyleCnt="3" custScaleX="121049" custScaleY="112639"/>
      <dgm:spPr>
        <a:xfrm>
          <a:off x="426482" y="1270020"/>
          <a:ext cx="1069976" cy="995638"/>
        </a:xfrm>
        <a:prstGeom prst="ellipse">
          <a:avLst/>
        </a:prstGeom>
        <a:solidFill>
          <a:srgbClr val="FFFFFF">
            <a:hueOff val="0"/>
            <a:satOff val="0"/>
            <a:lumOff val="0"/>
            <a:alphaOff val="0"/>
          </a:srgbClr>
        </a:solidFill>
        <a:ln w="25400" cap="flat" cmpd="sng" algn="ctr">
          <a:solidFill>
            <a:srgbClr val="B4936D">
              <a:hueOff val="4706656"/>
              <a:satOff val="-11638"/>
              <a:lumOff val="-6177"/>
              <a:alphaOff val="0"/>
            </a:srgbClr>
          </a:solidFill>
          <a:prstDash val="solid"/>
        </a:ln>
        <a:effectLst/>
      </dgm:spPr>
    </dgm:pt>
    <dgm:pt modelId="{977EEFD9-4113-4569-86AC-8086136F459E}" type="pres">
      <dgm:prSet presAssocID="{80CF96A6-8AD8-43BF-8075-31B874906251}" presName="text_3" presStyleLbl="node1" presStyleIdx="2" presStyleCnt="3" custScaleX="82894" custLinFactNeighborX="-1285" custLinFactNeighborY="4436">
        <dgm:presLayoutVars>
          <dgm:bulletEnabled val="1"/>
        </dgm:presLayoutVars>
      </dgm:prSet>
      <dgm:spPr>
        <a:prstGeom prst="rect">
          <a:avLst/>
        </a:prstGeom>
      </dgm:spPr>
      <dgm:t>
        <a:bodyPr/>
        <a:lstStyle/>
        <a:p>
          <a:endParaRPr lang="en-US"/>
        </a:p>
      </dgm:t>
    </dgm:pt>
    <dgm:pt modelId="{15371260-D4F0-4214-940E-3BC52B542202}" type="pres">
      <dgm:prSet presAssocID="{80CF96A6-8AD8-43BF-8075-31B874906251}" presName="accent_3" presStyleCnt="0"/>
      <dgm:spPr/>
    </dgm:pt>
    <dgm:pt modelId="{5B7E447F-6F64-48DC-9B2B-35720BEA434E}" type="pres">
      <dgm:prSet presAssocID="{80CF96A6-8AD8-43BF-8075-31B874906251}" presName="accentRepeatNode" presStyleLbl="solidFgAcc1" presStyleIdx="2" presStyleCnt="3" custScaleX="113577" custScaleY="110333"/>
      <dgm:spPr>
        <a:xfrm>
          <a:off x="202462" y="2340916"/>
          <a:ext cx="1003929" cy="975255"/>
        </a:xfrm>
        <a:prstGeom prst="ellipse">
          <a:avLst/>
        </a:prstGeom>
        <a:solidFill>
          <a:srgbClr val="FFFFFF">
            <a:hueOff val="0"/>
            <a:satOff val="0"/>
            <a:lumOff val="0"/>
            <a:alphaOff val="0"/>
          </a:srgbClr>
        </a:solidFill>
        <a:ln w="25400" cap="flat" cmpd="sng" algn="ctr">
          <a:solidFill>
            <a:srgbClr val="B4936D">
              <a:hueOff val="9413312"/>
              <a:satOff val="-23276"/>
              <a:lumOff val="-12353"/>
              <a:alphaOff val="0"/>
            </a:srgbClr>
          </a:solidFill>
          <a:prstDash val="solid"/>
        </a:ln>
        <a:effectLst/>
      </dgm:spPr>
    </dgm:pt>
  </dgm:ptLst>
  <dgm:cxnLst>
    <dgm:cxn modelId="{739A3F03-AF9F-406C-8D77-25FEE105BACC}" srcId="{468DED16-0782-4722-9704-264A9F1E6D77}" destId="{80CF96A6-8AD8-43BF-8075-31B874906251}" srcOrd="2" destOrd="0" parTransId="{FDBE8380-4509-4DF1-BC4D-4318D491BE4A}" sibTransId="{D3172E1F-488E-4D6E-95C6-7178D2FD625F}"/>
    <dgm:cxn modelId="{7DBE281F-7666-4D1A-924D-F95CA7D8D589}" srcId="{468DED16-0782-4722-9704-264A9F1E6D77}" destId="{332FFDC8-9685-474E-A453-8DDBCF0ECDF9}" srcOrd="0" destOrd="0" parTransId="{4036B32E-29CB-45BC-A571-9C3E4F996266}" sibTransId="{00C1FB7E-CF26-41B9-8B28-D4C769EA6CDE}"/>
    <dgm:cxn modelId="{B29092AB-7634-4121-8CDA-55AAA99853F0}" type="presOf" srcId="{00C1FB7E-CF26-41B9-8B28-D4C769EA6CDE}" destId="{6D37A787-290E-4621-A15B-1B2F7197B078}" srcOrd="0" destOrd="0" presId="urn:microsoft.com/office/officeart/2008/layout/VerticalCurvedList"/>
    <dgm:cxn modelId="{8EB9AF7C-8C9D-4C60-9307-AA8333FCBD43}" type="presOf" srcId="{E604E908-A789-4140-A9DC-CB0E647096AA}" destId="{BD18BDDB-6309-4EE2-B4A0-7E56B558D50C}" srcOrd="0" destOrd="0" presId="urn:microsoft.com/office/officeart/2008/layout/VerticalCurvedList"/>
    <dgm:cxn modelId="{331C3F3F-4210-4D90-A7FF-1B254C8D86FF}" type="presOf" srcId="{80CF96A6-8AD8-43BF-8075-31B874906251}" destId="{977EEFD9-4113-4569-86AC-8086136F459E}" srcOrd="0" destOrd="0" presId="urn:microsoft.com/office/officeart/2008/layout/VerticalCurvedList"/>
    <dgm:cxn modelId="{CE5F076B-BEA4-4C93-8D48-8E6325DDE436}" srcId="{468DED16-0782-4722-9704-264A9F1E6D77}" destId="{E604E908-A789-4140-A9DC-CB0E647096AA}" srcOrd="1" destOrd="0" parTransId="{3919153A-9A62-4085-BF58-42CE28C12153}" sibTransId="{3CFDC814-05CE-4A4C-899F-B3602C46594E}"/>
    <dgm:cxn modelId="{65C9544A-4C4A-4235-84A1-5BA71A66B628}" type="presOf" srcId="{332FFDC8-9685-474E-A453-8DDBCF0ECDF9}" destId="{00DF77FE-A6CB-4921-819B-218A951FEC5E}" srcOrd="0" destOrd="0" presId="urn:microsoft.com/office/officeart/2008/layout/VerticalCurvedList"/>
    <dgm:cxn modelId="{397343A7-3A06-4476-A8D8-886FAC50694C}" type="presOf" srcId="{468DED16-0782-4722-9704-264A9F1E6D77}" destId="{CECA5C68-3D00-4276-ADE3-094036F4D91D}" srcOrd="0" destOrd="0" presId="urn:microsoft.com/office/officeart/2008/layout/VerticalCurvedList"/>
    <dgm:cxn modelId="{54152271-A49B-415B-88DE-BAF45C682A87}" type="presParOf" srcId="{CECA5C68-3D00-4276-ADE3-094036F4D91D}" destId="{26B990F9-AEBF-4C07-94CC-DF9CB6A82A82}" srcOrd="0" destOrd="0" presId="urn:microsoft.com/office/officeart/2008/layout/VerticalCurvedList"/>
    <dgm:cxn modelId="{051330E3-CBEB-4332-AD44-1D4640F32143}" type="presParOf" srcId="{26B990F9-AEBF-4C07-94CC-DF9CB6A82A82}" destId="{32CB222A-F085-4686-8800-524A737203B8}" srcOrd="0" destOrd="0" presId="urn:microsoft.com/office/officeart/2008/layout/VerticalCurvedList"/>
    <dgm:cxn modelId="{CC2C2590-3BA0-4D23-A1A5-66B7A384A8E9}" type="presParOf" srcId="{32CB222A-F085-4686-8800-524A737203B8}" destId="{94B8B35C-7F72-49E2-BFBF-EB16DE40FDFD}" srcOrd="0" destOrd="0" presId="urn:microsoft.com/office/officeart/2008/layout/VerticalCurvedList"/>
    <dgm:cxn modelId="{2923A2D6-00EE-49C5-B1D6-B1F3F2993A79}" type="presParOf" srcId="{32CB222A-F085-4686-8800-524A737203B8}" destId="{6D37A787-290E-4621-A15B-1B2F7197B078}" srcOrd="1" destOrd="0" presId="urn:microsoft.com/office/officeart/2008/layout/VerticalCurvedList"/>
    <dgm:cxn modelId="{B9166692-20CC-4AE6-9BDB-DD432A2D4F88}" type="presParOf" srcId="{32CB222A-F085-4686-8800-524A737203B8}" destId="{D95E1D3A-C4A0-4D1C-8F80-93559AF98CAA}" srcOrd="2" destOrd="0" presId="urn:microsoft.com/office/officeart/2008/layout/VerticalCurvedList"/>
    <dgm:cxn modelId="{941DC1C8-0AA4-4BB6-92B1-B83BC579FA6D}" type="presParOf" srcId="{32CB222A-F085-4686-8800-524A737203B8}" destId="{1B965411-0CF2-46FD-81D8-FA8B73F48E5E}" srcOrd="3" destOrd="0" presId="urn:microsoft.com/office/officeart/2008/layout/VerticalCurvedList"/>
    <dgm:cxn modelId="{1DAC89DD-8FCA-4237-9FE5-05D767BE17B4}" type="presParOf" srcId="{26B990F9-AEBF-4C07-94CC-DF9CB6A82A82}" destId="{00DF77FE-A6CB-4921-819B-218A951FEC5E}" srcOrd="1" destOrd="0" presId="urn:microsoft.com/office/officeart/2008/layout/VerticalCurvedList"/>
    <dgm:cxn modelId="{30618C1C-93F8-48E0-BC38-6A3DDEEFD567}" type="presParOf" srcId="{26B990F9-AEBF-4C07-94CC-DF9CB6A82A82}" destId="{DAEE309E-C748-48A7-B7C9-BEAA7EDA331B}" srcOrd="2" destOrd="0" presId="urn:microsoft.com/office/officeart/2008/layout/VerticalCurvedList"/>
    <dgm:cxn modelId="{E7BF6CBF-AE8E-43F7-AA51-A91440F848BD}" type="presParOf" srcId="{DAEE309E-C748-48A7-B7C9-BEAA7EDA331B}" destId="{5DEBA818-5BFB-4474-B3C6-86A5EDAC1028}" srcOrd="0" destOrd="0" presId="urn:microsoft.com/office/officeart/2008/layout/VerticalCurvedList"/>
    <dgm:cxn modelId="{53FDA240-13B1-4C78-8276-9364015E8C3F}" type="presParOf" srcId="{26B990F9-AEBF-4C07-94CC-DF9CB6A82A82}" destId="{BD18BDDB-6309-4EE2-B4A0-7E56B558D50C}" srcOrd="3" destOrd="0" presId="urn:microsoft.com/office/officeart/2008/layout/VerticalCurvedList"/>
    <dgm:cxn modelId="{411A34C6-B72B-4706-91CE-1EB7C2D31682}" type="presParOf" srcId="{26B990F9-AEBF-4C07-94CC-DF9CB6A82A82}" destId="{118EFC20-CA97-4E07-9545-0736F6D25003}" srcOrd="4" destOrd="0" presId="urn:microsoft.com/office/officeart/2008/layout/VerticalCurvedList"/>
    <dgm:cxn modelId="{862B2CEB-AFA2-47FA-9C24-3D3E3EA2E29E}" type="presParOf" srcId="{118EFC20-CA97-4E07-9545-0736F6D25003}" destId="{C0FCD9E0-F3BA-450E-96B4-3F24BCD65CD1}" srcOrd="0" destOrd="0" presId="urn:microsoft.com/office/officeart/2008/layout/VerticalCurvedList"/>
    <dgm:cxn modelId="{ABEDF10C-BFD4-4075-A8AD-EAD5B3361728}" type="presParOf" srcId="{26B990F9-AEBF-4C07-94CC-DF9CB6A82A82}" destId="{977EEFD9-4113-4569-86AC-8086136F459E}" srcOrd="5" destOrd="0" presId="urn:microsoft.com/office/officeart/2008/layout/VerticalCurvedList"/>
    <dgm:cxn modelId="{D07AFC3F-CE8D-4E0A-964E-32F6C4622A01}" type="presParOf" srcId="{26B990F9-AEBF-4C07-94CC-DF9CB6A82A82}" destId="{15371260-D4F0-4214-940E-3BC52B542202}" srcOrd="6" destOrd="0" presId="urn:microsoft.com/office/officeart/2008/layout/VerticalCurvedList"/>
    <dgm:cxn modelId="{557339FF-25DD-4FFE-8CA9-F6B05E47F0E4}" type="presParOf" srcId="{15371260-D4F0-4214-940E-3BC52B542202}" destId="{5B7E447F-6F64-48DC-9B2B-35720BEA434E}" srcOrd="0" destOrd="0" presId="urn:microsoft.com/office/officeart/2008/layout/VerticalCurved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CD60661-FED6-43B8-82B5-C2CEECE99EF0}" type="doc">
      <dgm:prSet loTypeId="urn:microsoft.com/office/officeart/2005/8/layout/hierarchy3" loCatId="hierarchy" qsTypeId="urn:microsoft.com/office/officeart/2005/8/quickstyle/simple3" qsCatId="simple" csTypeId="urn:microsoft.com/office/officeart/2005/8/colors/colorful4" csCatId="colorful" phldr="1"/>
      <dgm:spPr/>
      <dgm:t>
        <a:bodyPr/>
        <a:lstStyle/>
        <a:p>
          <a:endParaRPr lang="en-US"/>
        </a:p>
      </dgm:t>
    </dgm:pt>
    <dgm:pt modelId="{99DC21E9-C5FE-4006-95A6-E35F5BFA42F5}">
      <dgm:prSet phldrT="[Text]" custT="1"/>
      <dgm:spPr/>
      <dgm:t>
        <a:bodyPr/>
        <a:lstStyle/>
        <a:p>
          <a:pPr>
            <a:lnSpc>
              <a:spcPct val="100000"/>
            </a:lnSpc>
            <a:spcAft>
              <a:spcPts val="0"/>
            </a:spcAft>
          </a:pPr>
          <a:r>
            <a:rPr lang="x-none" sz="1100" b="1">
              <a:latin typeface="+mj-lt"/>
            </a:rPr>
            <a:t>Strategija reforme javne uprave</a:t>
          </a:r>
        </a:p>
        <a:p>
          <a:pPr>
            <a:lnSpc>
              <a:spcPct val="100000"/>
            </a:lnSpc>
            <a:spcAft>
              <a:spcPts val="0"/>
            </a:spcAft>
          </a:pPr>
          <a:r>
            <a:rPr lang="x-none" sz="1100" b="1">
              <a:latin typeface="+mj-lt"/>
            </a:rPr>
            <a:t> 2022-2026</a:t>
          </a:r>
          <a:r>
            <a:rPr lang="en-US" sz="1100" b="1">
              <a:latin typeface="+mj-lt"/>
            </a:rPr>
            <a:t>.</a:t>
          </a:r>
        </a:p>
      </dgm:t>
    </dgm:pt>
    <dgm:pt modelId="{DAF011F1-2DE9-4B1D-9FF3-AA6A7D84CAAA}" type="parTrans" cxnId="{8F85A3C7-C7F4-4BAE-93FB-5EC7C1602E40}">
      <dgm:prSet/>
      <dgm:spPr/>
      <dgm:t>
        <a:bodyPr/>
        <a:lstStyle/>
        <a:p>
          <a:endParaRPr lang="en-US"/>
        </a:p>
      </dgm:t>
    </dgm:pt>
    <dgm:pt modelId="{90ABE976-F952-4818-84B1-6EDA90495EDE}" type="sibTrans" cxnId="{8F85A3C7-C7F4-4BAE-93FB-5EC7C1602E40}">
      <dgm:prSet/>
      <dgm:spPr/>
      <dgm:t>
        <a:bodyPr/>
        <a:lstStyle/>
        <a:p>
          <a:endParaRPr lang="en-US"/>
        </a:p>
      </dgm:t>
    </dgm:pt>
    <dgm:pt modelId="{017FF10D-EB5C-4A49-BC08-97CE7211F25D}">
      <dgm:prSet phldrT="[Text]" custT="1"/>
      <dgm:spPr/>
      <dgm:t>
        <a:bodyPr/>
        <a:lstStyle/>
        <a:p>
          <a:r>
            <a:rPr lang="x-none" sz="1100" b="1">
              <a:latin typeface="+mj-lt"/>
            </a:rPr>
            <a:t>Program reforme javnih finansija </a:t>
          </a:r>
        </a:p>
        <a:p>
          <a:r>
            <a:rPr lang="x-none" sz="1100" b="1">
              <a:latin typeface="+mj-lt"/>
            </a:rPr>
            <a:t>2022-2026</a:t>
          </a:r>
          <a:r>
            <a:rPr lang="en-US" sz="1100" b="1">
              <a:latin typeface="+mj-lt"/>
            </a:rPr>
            <a:t>.</a:t>
          </a:r>
        </a:p>
      </dgm:t>
    </dgm:pt>
    <dgm:pt modelId="{AE0E0206-6F97-4C57-B7D7-657007C6B3F0}" type="parTrans" cxnId="{EE8356BC-D4DD-4820-A78F-E04BA7139447}">
      <dgm:prSet/>
      <dgm:spPr/>
      <dgm:t>
        <a:bodyPr/>
        <a:lstStyle/>
        <a:p>
          <a:endParaRPr lang="en-US"/>
        </a:p>
      </dgm:t>
    </dgm:pt>
    <dgm:pt modelId="{6E6CD353-436D-4512-8142-0CD84F300E78}" type="sibTrans" cxnId="{EE8356BC-D4DD-4820-A78F-E04BA7139447}">
      <dgm:prSet/>
      <dgm:spPr/>
      <dgm:t>
        <a:bodyPr/>
        <a:lstStyle/>
        <a:p>
          <a:endParaRPr lang="en-US"/>
        </a:p>
      </dgm:t>
    </dgm:pt>
    <dgm:pt modelId="{F0A7CC2A-C48C-41B9-B36F-5C8034B00037}">
      <dgm:prSet phldrT="[Text]" custT="1"/>
      <dgm:spPr/>
      <dgm:t>
        <a:bodyPr/>
        <a:lstStyle/>
        <a:p>
          <a:pPr algn="just"/>
          <a:r>
            <a:rPr lang="x-none" sz="1000">
              <a:latin typeface="+mj-lt"/>
            </a:rPr>
            <a:t> </a:t>
          </a:r>
          <a:r>
            <a:rPr lang="x-none" sz="1000">
              <a:latin typeface="+mj-lt"/>
              <a:cs typeface="Calibri" panose="020F0502020204030204" pitchFamily="34" charset="0"/>
            </a:rPr>
            <a:t>•</a:t>
          </a:r>
          <a:r>
            <a:rPr lang="sr-Latn-RS" sz="1000">
              <a:latin typeface="+mj-lt"/>
              <a:cs typeface="Calibri" panose="020F0502020204030204" pitchFamily="34" charset="0"/>
            </a:rPr>
            <a:t> </a:t>
          </a:r>
          <a:r>
            <a:rPr lang="en-US" sz="1000">
              <a:latin typeface="+mj-lt"/>
            </a:rPr>
            <a:t>Srednjoročno </a:t>
          </a:r>
          <a:r>
            <a:rPr lang="en-US" sz="1000" b="1">
              <a:latin typeface="+mj-lt"/>
            </a:rPr>
            <a:t>planiranje</a:t>
          </a:r>
          <a:r>
            <a:rPr lang="en-US" sz="1000">
              <a:latin typeface="+mj-lt"/>
            </a:rPr>
            <a:t> programa rada + Programski budžet</a:t>
          </a:r>
        </a:p>
      </dgm:t>
    </dgm:pt>
    <dgm:pt modelId="{69512BA9-54C1-4955-A628-6FE1706C80DD}" type="parTrans" cxnId="{8A332164-1EC0-478E-AEBC-00ACA7A7D52A}">
      <dgm:prSet/>
      <dgm:spPr/>
      <dgm:t>
        <a:bodyPr/>
        <a:lstStyle/>
        <a:p>
          <a:endParaRPr lang="en-US"/>
        </a:p>
      </dgm:t>
    </dgm:pt>
    <dgm:pt modelId="{7E3EF398-AC54-41CA-B645-520F7DAB99C0}" type="sibTrans" cxnId="{8A332164-1EC0-478E-AEBC-00ACA7A7D52A}">
      <dgm:prSet/>
      <dgm:spPr/>
      <dgm:t>
        <a:bodyPr/>
        <a:lstStyle/>
        <a:p>
          <a:endParaRPr lang="en-US"/>
        </a:p>
      </dgm:t>
    </dgm:pt>
    <dgm:pt modelId="{6D9DC7C2-26A5-40A4-8796-A969B44F5998}">
      <dgm:prSet custT="1"/>
      <dgm:spPr/>
      <dgm:t>
        <a:bodyPr/>
        <a:lstStyle/>
        <a:p>
          <a:pPr algn="just"/>
          <a:r>
            <a:rPr lang="x-none" sz="1000">
              <a:latin typeface="+mj-lt"/>
            </a:rPr>
            <a:t> </a:t>
          </a:r>
          <a:r>
            <a:rPr lang="sr-Latn-ME" sz="1000">
              <a:latin typeface="+mj-lt"/>
            </a:rPr>
            <a:t>Planiranje i i</a:t>
          </a:r>
          <a:r>
            <a:rPr lang="en-US" sz="1000" b="1">
              <a:latin typeface="+mj-lt"/>
            </a:rPr>
            <a:t>zvještavanje</a:t>
          </a:r>
          <a:r>
            <a:rPr lang="en-US" sz="1000">
              <a:latin typeface="+mj-lt"/>
            </a:rPr>
            <a:t> o radu organa na osnovu realizacije ciljeva i indikatora uspješnosti</a:t>
          </a:r>
        </a:p>
      </dgm:t>
    </dgm:pt>
    <dgm:pt modelId="{955EEBFF-D60C-4011-ACA8-5CC4F8907E69}" type="parTrans" cxnId="{242EDF4E-BADB-41A3-B338-2B618F0E2419}">
      <dgm:prSet/>
      <dgm:spPr/>
      <dgm:t>
        <a:bodyPr/>
        <a:lstStyle/>
        <a:p>
          <a:endParaRPr lang="en-US"/>
        </a:p>
      </dgm:t>
    </dgm:pt>
    <dgm:pt modelId="{9FE3F91B-2DB2-4B33-A4A1-C57E810B4094}" type="sibTrans" cxnId="{242EDF4E-BADB-41A3-B338-2B618F0E2419}">
      <dgm:prSet/>
      <dgm:spPr/>
      <dgm:t>
        <a:bodyPr/>
        <a:lstStyle/>
        <a:p>
          <a:endParaRPr lang="en-US"/>
        </a:p>
      </dgm:t>
    </dgm:pt>
    <dgm:pt modelId="{4FFAF021-E992-426A-AEDC-3C2CF2203D77}">
      <dgm:prSet custT="1"/>
      <dgm:spPr/>
      <dgm:t>
        <a:bodyPr/>
        <a:lstStyle/>
        <a:p>
          <a:pPr algn="ctr"/>
          <a:r>
            <a:rPr lang="x-none" sz="1000">
              <a:latin typeface="+mj-lt"/>
            </a:rPr>
            <a:t>USLUGE</a:t>
          </a:r>
          <a:endParaRPr lang="en-US" sz="1000">
            <a:latin typeface="+mj-lt"/>
          </a:endParaRPr>
        </a:p>
      </dgm:t>
    </dgm:pt>
    <dgm:pt modelId="{C85E069B-544B-4FAA-9AB1-675C76166D77}" type="parTrans" cxnId="{6FF87B3A-2B23-4D79-975D-B83CE81FF18C}">
      <dgm:prSet/>
      <dgm:spPr/>
      <dgm:t>
        <a:bodyPr/>
        <a:lstStyle/>
        <a:p>
          <a:endParaRPr lang="en-US"/>
        </a:p>
      </dgm:t>
    </dgm:pt>
    <dgm:pt modelId="{B9DD2CED-EDF9-4F61-BDE9-6887D74E94E0}" type="sibTrans" cxnId="{6FF87B3A-2B23-4D79-975D-B83CE81FF18C}">
      <dgm:prSet/>
      <dgm:spPr/>
      <dgm:t>
        <a:bodyPr/>
        <a:lstStyle/>
        <a:p>
          <a:endParaRPr lang="en-US"/>
        </a:p>
      </dgm:t>
    </dgm:pt>
    <dgm:pt modelId="{3A30BBC2-39C0-4257-9D84-D1ECDDFD972F}">
      <dgm:prSet phldrT="[Text]" custT="1"/>
      <dgm:spPr/>
      <dgm:t>
        <a:bodyPr/>
        <a:lstStyle/>
        <a:p>
          <a:pPr algn="l"/>
          <a:r>
            <a:rPr lang="x-none" sz="1000">
              <a:latin typeface="+mj-lt"/>
            </a:rPr>
            <a:t>FUNKCIONALNOST I ODGOVORNOST</a:t>
          </a:r>
          <a:endParaRPr lang="en-US" sz="1000">
            <a:latin typeface="+mj-lt"/>
          </a:endParaRPr>
        </a:p>
      </dgm:t>
    </dgm:pt>
    <dgm:pt modelId="{2A973CA2-F438-4D6D-92B1-00E8596FAE4E}" type="parTrans" cxnId="{D11B2ABD-D4F2-430D-A96B-22AC14E99ACE}">
      <dgm:prSet/>
      <dgm:spPr/>
      <dgm:t>
        <a:bodyPr/>
        <a:lstStyle/>
        <a:p>
          <a:endParaRPr lang="en-US"/>
        </a:p>
      </dgm:t>
    </dgm:pt>
    <dgm:pt modelId="{83925CFA-FDEF-4B44-9DB6-FCB5A4AD9F2D}" type="sibTrans" cxnId="{D11B2ABD-D4F2-430D-A96B-22AC14E99ACE}">
      <dgm:prSet/>
      <dgm:spPr/>
      <dgm:t>
        <a:bodyPr/>
        <a:lstStyle/>
        <a:p>
          <a:endParaRPr lang="en-US"/>
        </a:p>
      </dgm:t>
    </dgm:pt>
    <dgm:pt modelId="{7745AAAC-C99B-46FC-9151-BA48A9FAD53F}">
      <dgm:prSet custT="1"/>
      <dgm:spPr/>
      <dgm:t>
        <a:bodyPr/>
        <a:lstStyle/>
        <a:p>
          <a:pPr algn="just"/>
          <a:r>
            <a:rPr lang="x-none" sz="1000">
              <a:latin typeface="+mj-lt"/>
            </a:rPr>
            <a:t> </a:t>
          </a:r>
          <a:r>
            <a:rPr lang="x-none" sz="1000" b="1">
              <a:solidFill>
                <a:sysClr val="windowText" lastClr="000000"/>
              </a:solidFill>
              <a:latin typeface="+mj-lt"/>
            </a:rPr>
            <a:t>Upravljačka odgovornost</a:t>
          </a:r>
          <a:endParaRPr lang="en-US" sz="1000" b="1">
            <a:solidFill>
              <a:sysClr val="windowText" lastClr="000000"/>
            </a:solidFill>
            <a:latin typeface="+mj-lt"/>
          </a:endParaRPr>
        </a:p>
      </dgm:t>
    </dgm:pt>
    <dgm:pt modelId="{FDAB8168-E8B2-4891-B65F-25D8E8E1C784}" type="parTrans" cxnId="{9480A5A2-2836-484B-82A8-32BEA4A27A88}">
      <dgm:prSet/>
      <dgm:spPr/>
      <dgm:t>
        <a:bodyPr/>
        <a:lstStyle/>
        <a:p>
          <a:endParaRPr lang="en-US"/>
        </a:p>
      </dgm:t>
    </dgm:pt>
    <dgm:pt modelId="{3FE79B93-FD7E-46F5-92F6-46B76FBF0CC7}" type="sibTrans" cxnId="{9480A5A2-2836-484B-82A8-32BEA4A27A88}">
      <dgm:prSet/>
      <dgm:spPr/>
      <dgm:t>
        <a:bodyPr/>
        <a:lstStyle/>
        <a:p>
          <a:endParaRPr lang="en-US"/>
        </a:p>
      </dgm:t>
    </dgm:pt>
    <dgm:pt modelId="{CF9C2E7B-6072-433F-8521-3D7FE7F95444}">
      <dgm:prSet custT="1"/>
      <dgm:spPr/>
      <dgm:t>
        <a:bodyPr/>
        <a:lstStyle/>
        <a:p>
          <a:pPr algn="l"/>
          <a:r>
            <a:rPr lang="sr-Latn-RS" sz="1000">
              <a:latin typeface="+mj-lt"/>
            </a:rPr>
            <a:t> </a:t>
          </a:r>
          <a:r>
            <a:rPr lang="x-none" sz="1000">
              <a:latin typeface="+mj-lt"/>
            </a:rPr>
            <a:t>Sistem </a:t>
          </a:r>
          <a:r>
            <a:rPr lang="x-none" sz="1000" b="1">
              <a:latin typeface="+mj-lt"/>
            </a:rPr>
            <a:t>funkcionisanja</a:t>
          </a:r>
          <a:r>
            <a:rPr lang="x-none" sz="1000">
              <a:latin typeface="+mj-lt"/>
            </a:rPr>
            <a:t> </a:t>
          </a:r>
          <a:r>
            <a:rPr lang="en-US" sz="1000">
              <a:latin typeface="+mj-lt"/>
            </a:rPr>
            <a:t>JLS</a:t>
          </a:r>
        </a:p>
      </dgm:t>
    </dgm:pt>
    <dgm:pt modelId="{74DB4026-F6B0-448E-85F7-37F813A175E1}" type="parTrans" cxnId="{4DC934EA-EAEC-4F11-98E1-4EDA87A9C7DB}">
      <dgm:prSet/>
      <dgm:spPr/>
      <dgm:t>
        <a:bodyPr/>
        <a:lstStyle/>
        <a:p>
          <a:endParaRPr lang="en-US"/>
        </a:p>
      </dgm:t>
    </dgm:pt>
    <dgm:pt modelId="{8B31E112-DD6B-4854-BCD4-B1BB71420A2E}" type="sibTrans" cxnId="{4DC934EA-EAEC-4F11-98E1-4EDA87A9C7DB}">
      <dgm:prSet/>
      <dgm:spPr/>
      <dgm:t>
        <a:bodyPr/>
        <a:lstStyle/>
        <a:p>
          <a:endParaRPr lang="en-US"/>
        </a:p>
      </dgm:t>
    </dgm:pt>
    <dgm:pt modelId="{DDA076D5-E9E4-432D-9D49-99B0AC7316EA}">
      <dgm:prSet phldrT="[Text]" custT="1"/>
      <dgm:spPr/>
      <dgm:t>
        <a:bodyPr/>
        <a:lstStyle/>
        <a:p>
          <a:pPr algn="just"/>
          <a:r>
            <a:rPr lang="x-none" sz="1000">
              <a:latin typeface="+mj-lt"/>
            </a:rPr>
            <a:t> </a:t>
          </a:r>
          <a:r>
            <a:rPr lang="x-none" sz="1000">
              <a:latin typeface="+mj-lt"/>
              <a:cs typeface="Calibri" panose="020F0502020204030204" pitchFamily="34" charset="0"/>
            </a:rPr>
            <a:t>•</a:t>
          </a:r>
          <a:r>
            <a:rPr lang="x-none" sz="1000">
              <a:latin typeface="+mj-lt"/>
            </a:rPr>
            <a:t>Digitalizacija usluga </a:t>
          </a:r>
          <a:r>
            <a:rPr lang="x-none" sz="1000" b="1">
              <a:latin typeface="+mj-lt"/>
            </a:rPr>
            <a:t>za privredne subjekte</a:t>
          </a:r>
          <a:endParaRPr lang="sr-Latn-RS" sz="1000" b="1">
            <a:latin typeface="+mj-lt"/>
          </a:endParaRPr>
        </a:p>
        <a:p>
          <a:pPr algn="just"/>
          <a:r>
            <a:rPr lang="x-none" sz="1000" b="1">
              <a:latin typeface="+mj-lt"/>
              <a:cs typeface="Calibri" panose="020F0502020204030204" pitchFamily="34" charset="0"/>
            </a:rPr>
            <a:t>•</a:t>
          </a:r>
          <a:r>
            <a:rPr lang="x-none" sz="1000">
              <a:latin typeface="+mj-lt"/>
            </a:rPr>
            <a:t> Sistem elektronske razmjene podataka između MFSS i resornih organa (Uprava carina i prihoda, Uprava za Katarstar i MONSTAT)</a:t>
          </a:r>
          <a:endParaRPr lang="en-US" sz="1000" b="1">
            <a:latin typeface="+mj-lt"/>
          </a:endParaRPr>
        </a:p>
      </dgm:t>
    </dgm:pt>
    <dgm:pt modelId="{7118A785-BAAB-41CA-99B6-658672EE3703}" type="parTrans" cxnId="{439306AF-04DE-4D33-A068-42242812E501}">
      <dgm:prSet/>
      <dgm:spPr/>
      <dgm:t>
        <a:bodyPr/>
        <a:lstStyle/>
        <a:p>
          <a:endParaRPr lang="en-US"/>
        </a:p>
      </dgm:t>
    </dgm:pt>
    <dgm:pt modelId="{80E63D6E-4A56-4E03-B230-232ACC225A6F}" type="sibTrans" cxnId="{439306AF-04DE-4D33-A068-42242812E501}">
      <dgm:prSet/>
      <dgm:spPr/>
      <dgm:t>
        <a:bodyPr/>
        <a:lstStyle/>
        <a:p>
          <a:endParaRPr lang="en-US"/>
        </a:p>
      </dgm:t>
    </dgm:pt>
    <dgm:pt modelId="{DD5D46A8-3495-46CE-ABC6-7C3BAF2290A5}">
      <dgm:prSet custT="1"/>
      <dgm:spPr/>
      <dgm:t>
        <a:bodyPr/>
        <a:lstStyle/>
        <a:p>
          <a:pPr algn="just"/>
          <a:r>
            <a:rPr lang="sr-Latn-RS" sz="1000">
              <a:latin typeface="+mj-lt"/>
            </a:rPr>
            <a:t> Upravljačka odgovornost, </a:t>
          </a:r>
          <a:r>
            <a:rPr lang="en-US" sz="1000" b="1">
              <a:latin typeface="+mj-lt"/>
            </a:rPr>
            <a:t>Unutrašnje kontrole</a:t>
          </a:r>
          <a:r>
            <a:rPr lang="x-none" sz="1000" b="1">
              <a:latin typeface="+mj-lt"/>
            </a:rPr>
            <a:t> (PIFC)</a:t>
          </a:r>
          <a:r>
            <a:rPr lang="en-US" sz="1000" b="1">
              <a:latin typeface="+mj-lt"/>
            </a:rPr>
            <a:t>, revizija</a:t>
          </a:r>
          <a:endParaRPr lang="en-US" sz="1000">
            <a:solidFill>
              <a:srgbClr val="FF0000"/>
            </a:solidFill>
            <a:latin typeface="+mj-lt"/>
          </a:endParaRPr>
        </a:p>
      </dgm:t>
    </dgm:pt>
    <dgm:pt modelId="{59792145-48A9-4F2E-9378-C5B771CBB78F}" type="parTrans" cxnId="{C78558C8-2F92-4287-B63D-EFBAE304159C}">
      <dgm:prSet/>
      <dgm:spPr/>
      <dgm:t>
        <a:bodyPr/>
        <a:lstStyle/>
        <a:p>
          <a:endParaRPr lang="en-US"/>
        </a:p>
      </dgm:t>
    </dgm:pt>
    <dgm:pt modelId="{39210CD3-13B6-4C07-8721-424D23B07C11}" type="sibTrans" cxnId="{C78558C8-2F92-4287-B63D-EFBAE304159C}">
      <dgm:prSet/>
      <dgm:spPr/>
      <dgm:t>
        <a:bodyPr/>
        <a:lstStyle/>
        <a:p>
          <a:endParaRPr lang="en-US"/>
        </a:p>
      </dgm:t>
    </dgm:pt>
    <dgm:pt modelId="{9F7C521E-2D36-41E6-B4B4-7012DEF02DB4}">
      <dgm:prSet custT="1"/>
      <dgm:spPr/>
      <dgm:t>
        <a:bodyPr/>
        <a:lstStyle/>
        <a:p>
          <a:pPr algn="just"/>
          <a:r>
            <a:rPr lang="sr-Latn-RS" sz="1000">
              <a:latin typeface="+mj-lt"/>
            </a:rPr>
            <a:t> </a:t>
          </a:r>
          <a:r>
            <a:rPr lang="en-US" sz="1000">
              <a:latin typeface="+mj-lt"/>
            </a:rPr>
            <a:t>Sistem </a:t>
          </a:r>
          <a:r>
            <a:rPr lang="en-US" sz="1000" b="1">
              <a:latin typeface="+mj-lt"/>
            </a:rPr>
            <a:t>finansiranja</a:t>
          </a:r>
          <a:r>
            <a:rPr lang="en-US" sz="1000">
              <a:latin typeface="+mj-lt"/>
            </a:rPr>
            <a:t> JLS</a:t>
          </a:r>
        </a:p>
      </dgm:t>
    </dgm:pt>
    <dgm:pt modelId="{BA3EB11C-C0EC-41F5-BE96-AFD8FF58F45C}" type="parTrans" cxnId="{5FEC3F6D-7A1C-41E0-B8E4-54AAE6DA1B65}">
      <dgm:prSet/>
      <dgm:spPr/>
      <dgm:t>
        <a:bodyPr/>
        <a:lstStyle/>
        <a:p>
          <a:endParaRPr lang="en-US"/>
        </a:p>
      </dgm:t>
    </dgm:pt>
    <dgm:pt modelId="{F14DFB7A-BB65-4560-9114-EAA2AE472531}" type="sibTrans" cxnId="{5FEC3F6D-7A1C-41E0-B8E4-54AAE6DA1B65}">
      <dgm:prSet/>
      <dgm:spPr/>
      <dgm:t>
        <a:bodyPr/>
        <a:lstStyle/>
        <a:p>
          <a:endParaRPr lang="en-US"/>
        </a:p>
      </dgm:t>
    </dgm:pt>
    <dgm:pt modelId="{49DA60CD-7C88-44D8-B2DD-05F79183F0E4}">
      <dgm:prSet phldrT="[Text]" custT="1"/>
      <dgm:spPr/>
      <dgm:t>
        <a:bodyPr/>
        <a:lstStyle/>
        <a:p>
          <a:pPr algn="just"/>
          <a:r>
            <a:rPr lang="x-none" sz="1000">
              <a:latin typeface="+mj-lt"/>
            </a:rPr>
            <a:t>Povezanost registara MFSS na GSB u cilju interoperabilnosti registara</a:t>
          </a:r>
          <a:endParaRPr lang="en-US" sz="1000">
            <a:latin typeface="+mj-lt"/>
          </a:endParaRPr>
        </a:p>
      </dgm:t>
    </dgm:pt>
    <dgm:pt modelId="{75D36164-5D33-4873-9AB3-2D9B847101BB}" type="parTrans" cxnId="{65629C5D-F70A-428E-B59D-741C88DC5A35}">
      <dgm:prSet/>
      <dgm:spPr/>
      <dgm:t>
        <a:bodyPr/>
        <a:lstStyle/>
        <a:p>
          <a:endParaRPr lang="en-US"/>
        </a:p>
      </dgm:t>
    </dgm:pt>
    <dgm:pt modelId="{6833F89D-96AC-4799-B78B-857667B04B02}" type="sibTrans" cxnId="{65629C5D-F70A-428E-B59D-741C88DC5A35}">
      <dgm:prSet/>
      <dgm:spPr/>
      <dgm:t>
        <a:bodyPr/>
        <a:lstStyle/>
        <a:p>
          <a:endParaRPr lang="en-US"/>
        </a:p>
      </dgm:t>
    </dgm:pt>
    <dgm:pt modelId="{01DC0BE1-A444-473B-A801-56B876CA6DA3}">
      <dgm:prSet custT="1"/>
      <dgm:spPr/>
      <dgm:t>
        <a:bodyPr/>
        <a:lstStyle/>
        <a:p>
          <a:pPr algn="ctr"/>
          <a:r>
            <a:rPr lang="x-none" sz="1000">
              <a:latin typeface="+mj-lt"/>
            </a:rPr>
            <a:t>JAVNE POLITIKE</a:t>
          </a:r>
          <a:endParaRPr lang="en-US" sz="1000">
            <a:latin typeface="+mj-lt"/>
          </a:endParaRPr>
        </a:p>
      </dgm:t>
    </dgm:pt>
    <dgm:pt modelId="{D880446F-55F6-4FF7-8326-5EB26DE3FCC2}" type="parTrans" cxnId="{00E8FA5B-4132-4AD4-B24C-370A60A8C168}">
      <dgm:prSet/>
      <dgm:spPr/>
      <dgm:t>
        <a:bodyPr/>
        <a:lstStyle/>
        <a:p>
          <a:endParaRPr lang="en-US"/>
        </a:p>
      </dgm:t>
    </dgm:pt>
    <dgm:pt modelId="{B993BC56-AC84-45D5-9083-ED6905DDCDFB}" type="sibTrans" cxnId="{00E8FA5B-4132-4AD4-B24C-370A60A8C168}">
      <dgm:prSet/>
      <dgm:spPr/>
      <dgm:t>
        <a:bodyPr/>
        <a:lstStyle/>
        <a:p>
          <a:endParaRPr lang="en-US"/>
        </a:p>
      </dgm:t>
    </dgm:pt>
    <dgm:pt modelId="{59C6E94E-44A9-436D-84F9-A8FCB549F8B0}">
      <dgm:prSet custT="1"/>
      <dgm:spPr/>
      <dgm:t>
        <a:bodyPr/>
        <a:lstStyle/>
        <a:p>
          <a:pPr algn="ctr"/>
          <a:r>
            <a:rPr lang="x-none" sz="1000">
              <a:latin typeface="+mj-lt"/>
            </a:rPr>
            <a:t>TRANSPARENTNOST</a:t>
          </a:r>
          <a:endParaRPr lang="en-US" sz="1000">
            <a:latin typeface="+mj-lt"/>
          </a:endParaRPr>
        </a:p>
      </dgm:t>
    </dgm:pt>
    <dgm:pt modelId="{5FAF8559-4843-4F11-9E19-E65D146BED7A}" type="parTrans" cxnId="{157570DD-A091-4721-A8BE-4EEF8101ADA1}">
      <dgm:prSet/>
      <dgm:spPr/>
      <dgm:t>
        <a:bodyPr/>
        <a:lstStyle/>
        <a:p>
          <a:endParaRPr lang="en-US"/>
        </a:p>
      </dgm:t>
    </dgm:pt>
    <dgm:pt modelId="{03FD307B-1CFD-45EB-A37B-87C100A28050}" type="sibTrans" cxnId="{157570DD-A091-4721-A8BE-4EEF8101ADA1}">
      <dgm:prSet/>
      <dgm:spPr/>
      <dgm:t>
        <a:bodyPr/>
        <a:lstStyle/>
        <a:p>
          <a:endParaRPr lang="en-US"/>
        </a:p>
      </dgm:t>
    </dgm:pt>
    <dgm:pt modelId="{5A9605FA-8AAE-498C-97C9-7D48FCA17CE0}">
      <dgm:prSet phldrT="[Text]" custT="1"/>
      <dgm:spPr/>
      <dgm:t>
        <a:bodyPr/>
        <a:lstStyle/>
        <a:p>
          <a:pPr algn="l"/>
          <a:r>
            <a:rPr lang="sr-Latn-ME" sz="1000">
              <a:latin typeface="+mj-lt"/>
            </a:rPr>
            <a:t> </a:t>
          </a:r>
          <a:r>
            <a:rPr lang="x-none" sz="1000">
              <a:latin typeface="+mj-lt"/>
            </a:rPr>
            <a:t>Digitalizacija usluga </a:t>
          </a:r>
          <a:r>
            <a:rPr lang="x-none" sz="1000" b="1">
              <a:latin typeface="+mj-lt"/>
            </a:rPr>
            <a:t>za građane</a:t>
          </a:r>
          <a:endParaRPr lang="en-US" sz="1000" b="1">
            <a:latin typeface="+mj-lt"/>
          </a:endParaRPr>
        </a:p>
      </dgm:t>
    </dgm:pt>
    <dgm:pt modelId="{1379B9FC-3587-4A8F-B361-E4F8AEBC2087}" type="parTrans" cxnId="{A5229E77-2374-4FBF-9BCD-5A7F9B3CD196}">
      <dgm:prSet/>
      <dgm:spPr/>
      <dgm:t>
        <a:bodyPr/>
        <a:lstStyle/>
        <a:p>
          <a:endParaRPr lang="en-US"/>
        </a:p>
      </dgm:t>
    </dgm:pt>
    <dgm:pt modelId="{BDE0F2FE-1BA9-4AC5-A482-D7CECDAD2EFB}" type="sibTrans" cxnId="{A5229E77-2374-4FBF-9BCD-5A7F9B3CD196}">
      <dgm:prSet/>
      <dgm:spPr/>
      <dgm:t>
        <a:bodyPr/>
        <a:lstStyle/>
        <a:p>
          <a:endParaRPr lang="en-US"/>
        </a:p>
      </dgm:t>
    </dgm:pt>
    <dgm:pt modelId="{2418C22B-0C7F-48C7-AD8C-B22E4B3729AA}">
      <dgm:prSet phldrT="[Text]" custT="1"/>
      <dgm:spPr/>
      <dgm:t>
        <a:bodyPr/>
        <a:lstStyle/>
        <a:p>
          <a:pPr algn="just"/>
          <a:r>
            <a:rPr lang="sr-Latn-ME" sz="1000" b="1">
              <a:latin typeface="+mj-lt"/>
            </a:rPr>
            <a:t> </a:t>
          </a:r>
          <a:r>
            <a:rPr lang="x-none" sz="1000" b="1">
              <a:latin typeface="+mj-lt"/>
            </a:rPr>
            <a:t>Elektronsko upravljanje dokumentima </a:t>
          </a:r>
          <a:r>
            <a:rPr lang="x-none" sz="1000">
              <a:latin typeface="+mj-lt"/>
            </a:rPr>
            <a:t>(pilot MFSS i ostali subjekti)</a:t>
          </a:r>
          <a:endParaRPr lang="en-US" sz="1000">
            <a:latin typeface="+mj-lt"/>
          </a:endParaRPr>
        </a:p>
      </dgm:t>
    </dgm:pt>
    <dgm:pt modelId="{B4DB5196-5DA1-4F4B-917F-5E1727153FBF}" type="parTrans" cxnId="{569EAA5A-5A7D-4E95-A060-C9B2C469DD91}">
      <dgm:prSet/>
      <dgm:spPr/>
      <dgm:t>
        <a:bodyPr/>
        <a:lstStyle/>
        <a:p>
          <a:endParaRPr lang="en-US"/>
        </a:p>
      </dgm:t>
    </dgm:pt>
    <dgm:pt modelId="{1F864F14-AA64-4D56-96A6-90111C87CD05}" type="sibTrans" cxnId="{569EAA5A-5A7D-4E95-A060-C9B2C469DD91}">
      <dgm:prSet/>
      <dgm:spPr/>
      <dgm:t>
        <a:bodyPr/>
        <a:lstStyle/>
        <a:p>
          <a:endParaRPr lang="en-US"/>
        </a:p>
      </dgm:t>
    </dgm:pt>
    <dgm:pt modelId="{0AD4DDEA-E837-4B24-B4BB-1431149467E8}">
      <dgm:prSet phldrT="[Text]" custT="1"/>
      <dgm:spPr/>
      <dgm:t>
        <a:bodyPr/>
        <a:lstStyle/>
        <a:p>
          <a:pPr algn="just"/>
          <a:r>
            <a:rPr lang="x-none" sz="1000">
              <a:latin typeface="+mj-lt"/>
            </a:rPr>
            <a:t> </a:t>
          </a:r>
          <a:r>
            <a:rPr lang="x-none" sz="1000" b="1">
              <a:latin typeface="+mj-lt"/>
            </a:rPr>
            <a:t>Interoperabilnost informacionih sistema u cilju pojednostavljivanja razmjene podataka</a:t>
          </a:r>
          <a:endParaRPr lang="en-US" sz="1000" b="1">
            <a:latin typeface="+mj-lt"/>
          </a:endParaRPr>
        </a:p>
      </dgm:t>
    </dgm:pt>
    <dgm:pt modelId="{8051B210-C6F2-4354-925D-DD61EFDF60FC}" type="parTrans" cxnId="{A8C11D6C-CE44-47A6-A866-41CD339FADB1}">
      <dgm:prSet/>
      <dgm:spPr/>
      <dgm:t>
        <a:bodyPr/>
        <a:lstStyle/>
        <a:p>
          <a:endParaRPr lang="en-US"/>
        </a:p>
      </dgm:t>
    </dgm:pt>
    <dgm:pt modelId="{4941CAFE-BF4F-4453-B5E9-105F58B7F818}" type="sibTrans" cxnId="{A8C11D6C-CE44-47A6-A866-41CD339FADB1}">
      <dgm:prSet/>
      <dgm:spPr/>
      <dgm:t>
        <a:bodyPr/>
        <a:lstStyle/>
        <a:p>
          <a:endParaRPr lang="en-US"/>
        </a:p>
      </dgm:t>
    </dgm:pt>
    <dgm:pt modelId="{803DC3C2-A5F2-4BAD-93E1-04B72725F2F7}">
      <dgm:prSet custT="1"/>
      <dgm:spPr/>
      <dgm:t>
        <a:bodyPr/>
        <a:lstStyle/>
        <a:p>
          <a:pPr algn="just"/>
          <a:r>
            <a:rPr lang="x-none" sz="1000">
              <a:latin typeface="+mj-lt"/>
            </a:rPr>
            <a:t> </a:t>
          </a:r>
          <a:r>
            <a:rPr lang="x-none" sz="1000" b="1">
              <a:latin typeface="+mj-lt"/>
            </a:rPr>
            <a:t>Podaci dostupni na portalu otvorenih podataka</a:t>
          </a:r>
          <a:endParaRPr lang="en-US" sz="1000" b="1">
            <a:latin typeface="+mj-lt"/>
          </a:endParaRPr>
        </a:p>
      </dgm:t>
    </dgm:pt>
    <dgm:pt modelId="{77095099-FE61-44FE-8566-79A6D1AECA6A}" type="parTrans" cxnId="{B90C2FBF-D0EC-4022-851E-E4329ACB684B}">
      <dgm:prSet/>
      <dgm:spPr/>
      <dgm:t>
        <a:bodyPr/>
        <a:lstStyle/>
        <a:p>
          <a:endParaRPr lang="en-US"/>
        </a:p>
      </dgm:t>
    </dgm:pt>
    <dgm:pt modelId="{C0770D80-D745-4016-BAC5-D0B7D5CD8E00}" type="sibTrans" cxnId="{B90C2FBF-D0EC-4022-851E-E4329ACB684B}">
      <dgm:prSet/>
      <dgm:spPr/>
      <dgm:t>
        <a:bodyPr/>
        <a:lstStyle/>
        <a:p>
          <a:endParaRPr lang="en-US"/>
        </a:p>
      </dgm:t>
    </dgm:pt>
    <dgm:pt modelId="{3175D05A-7864-4CA1-B903-467741CCDBDD}">
      <dgm:prSet custT="1"/>
      <dgm:spPr/>
      <dgm:t>
        <a:bodyPr/>
        <a:lstStyle/>
        <a:p>
          <a:pPr algn="just"/>
          <a:r>
            <a:rPr lang="sr-Latn-ME" sz="1000" b="1">
              <a:latin typeface="+mj-lt"/>
            </a:rPr>
            <a:t> </a:t>
          </a:r>
          <a:r>
            <a:rPr lang="x-none" sz="1000" b="1">
              <a:latin typeface="+mj-lt"/>
            </a:rPr>
            <a:t>Proaktivno objavljivanje informacija u posjedu javnih organa</a:t>
          </a:r>
          <a:endParaRPr lang="en-US" sz="1000" b="1">
            <a:latin typeface="+mj-lt"/>
          </a:endParaRPr>
        </a:p>
      </dgm:t>
    </dgm:pt>
    <dgm:pt modelId="{1CF1735A-171E-49C0-933A-3477ADDD0463}" type="parTrans" cxnId="{5B1E9B8E-76D3-474C-B5BF-AAAF6421A842}">
      <dgm:prSet/>
      <dgm:spPr/>
      <dgm:t>
        <a:bodyPr/>
        <a:lstStyle/>
        <a:p>
          <a:endParaRPr lang="en-US"/>
        </a:p>
      </dgm:t>
    </dgm:pt>
    <dgm:pt modelId="{695B9F8B-3EC3-47EE-BB13-7B2CB769EA84}" type="sibTrans" cxnId="{5B1E9B8E-76D3-474C-B5BF-AAAF6421A842}">
      <dgm:prSet/>
      <dgm:spPr/>
      <dgm:t>
        <a:bodyPr/>
        <a:lstStyle/>
        <a:p>
          <a:endParaRPr lang="en-US"/>
        </a:p>
      </dgm:t>
    </dgm:pt>
    <dgm:pt modelId="{12D53F08-30D0-49F8-B754-F37121719D8A}">
      <dgm:prSet phldrT="[Text]" custT="1"/>
      <dgm:spPr/>
      <dgm:t>
        <a:bodyPr/>
        <a:lstStyle/>
        <a:p>
          <a:pPr algn="just"/>
          <a:r>
            <a:rPr lang="x-none" sz="1000" b="1">
              <a:latin typeface="+mj-lt"/>
            </a:rPr>
            <a:t>Transparentnost budžeta</a:t>
          </a:r>
          <a:endParaRPr lang="en-US" sz="1000" b="1">
            <a:latin typeface="+mj-lt"/>
          </a:endParaRPr>
        </a:p>
      </dgm:t>
    </dgm:pt>
    <dgm:pt modelId="{BD219ADE-4BDD-4874-BE1C-854703D56302}" type="parTrans" cxnId="{0C12EB01-EA65-4379-AF2F-A1D7AF7696BF}">
      <dgm:prSet/>
      <dgm:spPr/>
      <dgm:t>
        <a:bodyPr/>
        <a:lstStyle/>
        <a:p>
          <a:endParaRPr lang="en-US"/>
        </a:p>
      </dgm:t>
    </dgm:pt>
    <dgm:pt modelId="{62885D14-71B0-4D5A-8C47-2DB296536843}" type="sibTrans" cxnId="{0C12EB01-EA65-4379-AF2F-A1D7AF7696BF}">
      <dgm:prSet/>
      <dgm:spPr/>
      <dgm:t>
        <a:bodyPr/>
        <a:lstStyle/>
        <a:p>
          <a:endParaRPr lang="en-US"/>
        </a:p>
      </dgm:t>
    </dgm:pt>
    <dgm:pt modelId="{84EF8FF1-69F4-4264-AE01-553DBC13CB15}">
      <dgm:prSet phldrT="[Text]" custT="1"/>
      <dgm:spPr/>
      <dgm:t>
        <a:bodyPr/>
        <a:lstStyle/>
        <a:p>
          <a:pPr algn="l"/>
          <a:endParaRPr lang="en-US" sz="1000">
            <a:latin typeface="+mj-lt"/>
          </a:endParaRPr>
        </a:p>
      </dgm:t>
    </dgm:pt>
    <dgm:pt modelId="{77BF4DCF-A2C0-40B4-A429-DF902C550837}" type="parTrans" cxnId="{A24292DC-FF44-40D5-8480-2B5955004A06}">
      <dgm:prSet/>
      <dgm:spPr/>
      <dgm:t>
        <a:bodyPr/>
        <a:lstStyle/>
        <a:p>
          <a:endParaRPr lang="en-US"/>
        </a:p>
      </dgm:t>
    </dgm:pt>
    <dgm:pt modelId="{5E279596-F09B-401D-B5C4-047DCA3B85F8}" type="sibTrans" cxnId="{A24292DC-FF44-40D5-8480-2B5955004A06}">
      <dgm:prSet/>
      <dgm:spPr/>
      <dgm:t>
        <a:bodyPr/>
        <a:lstStyle/>
        <a:p>
          <a:endParaRPr lang="en-US"/>
        </a:p>
      </dgm:t>
    </dgm:pt>
    <dgm:pt modelId="{9196D3FF-58EE-4601-92F2-37BB6B2BFBD3}">
      <dgm:prSet phldrT="[Text]" custT="1"/>
      <dgm:spPr/>
      <dgm:t>
        <a:bodyPr/>
        <a:lstStyle/>
        <a:p>
          <a:pPr algn="just"/>
          <a:r>
            <a:rPr lang="x-none" sz="1000" b="1">
              <a:latin typeface="+mj-lt"/>
            </a:rPr>
            <a:t>Budžet u mašinsko čitljivom formatu</a:t>
          </a:r>
          <a:endParaRPr lang="en-US" sz="1000" b="1">
            <a:latin typeface="+mj-lt"/>
          </a:endParaRPr>
        </a:p>
      </dgm:t>
    </dgm:pt>
    <dgm:pt modelId="{A8C01640-36F8-4D59-9704-A32453A0F3DE}" type="parTrans" cxnId="{22BD0750-E18C-4C4B-A95A-4245170179E2}">
      <dgm:prSet/>
      <dgm:spPr/>
      <dgm:t>
        <a:bodyPr/>
        <a:lstStyle/>
        <a:p>
          <a:endParaRPr lang="en-US"/>
        </a:p>
      </dgm:t>
    </dgm:pt>
    <dgm:pt modelId="{0A94E731-CBC9-487A-BC57-022A0CA149A1}" type="sibTrans" cxnId="{22BD0750-E18C-4C4B-A95A-4245170179E2}">
      <dgm:prSet/>
      <dgm:spPr/>
      <dgm:t>
        <a:bodyPr/>
        <a:lstStyle/>
        <a:p>
          <a:endParaRPr lang="en-US"/>
        </a:p>
      </dgm:t>
    </dgm:pt>
    <dgm:pt modelId="{B08715B1-A0EC-4C92-A4BE-F45640A38FEA}">
      <dgm:prSet custT="1"/>
      <dgm:spPr/>
      <dgm:t>
        <a:bodyPr/>
        <a:lstStyle/>
        <a:p>
          <a:pPr algn="l"/>
          <a:r>
            <a:rPr lang="sr-Latn-ME" sz="1000">
              <a:latin typeface="+mj-lt"/>
            </a:rPr>
            <a:t> </a:t>
          </a:r>
          <a:r>
            <a:rPr lang="x-none" sz="1000">
              <a:latin typeface="+mj-lt"/>
            </a:rPr>
            <a:t>Kvalitet održavanja </a:t>
          </a:r>
          <a:r>
            <a:rPr lang="x-none" sz="1000" b="1">
              <a:latin typeface="+mj-lt"/>
            </a:rPr>
            <a:t>javnih konsultacija</a:t>
          </a:r>
          <a:endParaRPr lang="en-US" sz="1000" b="1">
            <a:latin typeface="+mj-lt"/>
          </a:endParaRPr>
        </a:p>
      </dgm:t>
    </dgm:pt>
    <dgm:pt modelId="{7919341C-D09B-48EE-AA02-988D366EF87E}" type="parTrans" cxnId="{28CA3FB7-4583-40AC-B194-3CEB74029101}">
      <dgm:prSet/>
      <dgm:spPr/>
      <dgm:t>
        <a:bodyPr/>
        <a:lstStyle/>
        <a:p>
          <a:endParaRPr lang="en-US"/>
        </a:p>
      </dgm:t>
    </dgm:pt>
    <dgm:pt modelId="{DB63C2FD-DEC3-4848-A0A5-0EB08C3D9856}" type="sibTrans" cxnId="{28CA3FB7-4583-40AC-B194-3CEB74029101}">
      <dgm:prSet/>
      <dgm:spPr/>
      <dgm:t>
        <a:bodyPr/>
        <a:lstStyle/>
        <a:p>
          <a:endParaRPr lang="en-US"/>
        </a:p>
      </dgm:t>
    </dgm:pt>
    <dgm:pt modelId="{13D340CF-E0EB-4217-8B0E-3D89C288BCE4}">
      <dgm:prSet custT="1"/>
      <dgm:spPr/>
      <dgm:t>
        <a:bodyPr/>
        <a:lstStyle/>
        <a:p>
          <a:pPr algn="just"/>
          <a:r>
            <a:rPr lang="sr-Latn-ME" sz="1000" b="1">
              <a:latin typeface="+mj-lt"/>
            </a:rPr>
            <a:t> </a:t>
          </a:r>
          <a:r>
            <a:rPr lang="x-none" sz="1000" b="1">
              <a:latin typeface="+mj-lt"/>
            </a:rPr>
            <a:t>Portal e-participacija i e-peticija</a:t>
          </a:r>
          <a:endParaRPr lang="en-US" sz="1000" b="1">
            <a:latin typeface="+mj-lt"/>
          </a:endParaRPr>
        </a:p>
      </dgm:t>
    </dgm:pt>
    <dgm:pt modelId="{2D318F35-F44D-4194-989A-7732D56ACC16}" type="parTrans" cxnId="{22327DD3-0DA9-4FDB-A8C5-BFF7E4E7DB6F}">
      <dgm:prSet/>
      <dgm:spPr/>
      <dgm:t>
        <a:bodyPr/>
        <a:lstStyle/>
        <a:p>
          <a:endParaRPr lang="en-US"/>
        </a:p>
      </dgm:t>
    </dgm:pt>
    <dgm:pt modelId="{1E7145A2-B4BB-4D46-B5A9-5A72956DA52C}" type="sibTrans" cxnId="{22327DD3-0DA9-4FDB-A8C5-BFF7E4E7DB6F}">
      <dgm:prSet/>
      <dgm:spPr/>
      <dgm:t>
        <a:bodyPr/>
        <a:lstStyle/>
        <a:p>
          <a:endParaRPr lang="en-US"/>
        </a:p>
      </dgm:t>
    </dgm:pt>
    <dgm:pt modelId="{DBE2C79F-A934-4E76-B052-934C0D7FC397}">
      <dgm:prSet custT="1"/>
      <dgm:spPr/>
      <dgm:t>
        <a:bodyPr/>
        <a:lstStyle/>
        <a:p>
          <a:pPr algn="just"/>
          <a:r>
            <a:rPr lang="sr-Latn-ME" sz="1000" b="1">
              <a:latin typeface="+mj-lt"/>
            </a:rPr>
            <a:t> </a:t>
          </a:r>
          <a:r>
            <a:rPr lang="x-none" sz="1000" b="1">
              <a:latin typeface="+mj-lt"/>
            </a:rPr>
            <a:t>Kvalitet kreiranja javnih politika sa RIA</a:t>
          </a:r>
          <a:endParaRPr lang="en-US" sz="1000" b="1">
            <a:latin typeface="+mj-lt"/>
          </a:endParaRPr>
        </a:p>
      </dgm:t>
    </dgm:pt>
    <dgm:pt modelId="{2F8903FE-FD3E-4281-A178-7F3D966E9213}" type="parTrans" cxnId="{8034E88E-3178-4330-8323-35B048EADAC7}">
      <dgm:prSet/>
      <dgm:spPr/>
      <dgm:t>
        <a:bodyPr/>
        <a:lstStyle/>
        <a:p>
          <a:endParaRPr lang="en-US"/>
        </a:p>
      </dgm:t>
    </dgm:pt>
    <dgm:pt modelId="{5FD2D71F-10CE-4E63-AB47-C56F60394C0F}" type="sibTrans" cxnId="{8034E88E-3178-4330-8323-35B048EADAC7}">
      <dgm:prSet/>
      <dgm:spPr/>
      <dgm:t>
        <a:bodyPr/>
        <a:lstStyle/>
        <a:p>
          <a:endParaRPr lang="en-US"/>
        </a:p>
      </dgm:t>
    </dgm:pt>
    <dgm:pt modelId="{3134ADC1-B20B-4324-86B7-B8F11B3A2DC7}">
      <dgm:prSet phldrT="[Text]" custT="1"/>
      <dgm:spPr/>
      <dgm:t>
        <a:bodyPr/>
        <a:lstStyle/>
        <a:p>
          <a:pPr algn="just"/>
          <a:r>
            <a:rPr lang="x-none" sz="1000">
              <a:latin typeface="+mj-lt"/>
              <a:cs typeface="Calibri" panose="020F0502020204030204" pitchFamily="34" charset="0"/>
            </a:rPr>
            <a:t>•</a:t>
          </a:r>
          <a:r>
            <a:rPr lang="sr-Latn-ME" sz="1000">
              <a:latin typeface="+mj-lt"/>
              <a:cs typeface="Calibri" panose="020F0502020204030204" pitchFamily="34" charset="0"/>
            </a:rPr>
            <a:t> </a:t>
          </a:r>
          <a:r>
            <a:rPr lang="en-US" sz="1000" b="1">
              <a:latin typeface="+mj-lt"/>
              <a:cs typeface="Calibri" panose="020F0502020204030204" pitchFamily="34" charset="0"/>
            </a:rPr>
            <a:t>Fiskalni deo RIA (FIA) </a:t>
          </a:r>
          <a:r>
            <a:rPr lang="x-none" sz="1000">
              <a:solidFill>
                <a:sysClr val="windowText" lastClr="000000"/>
              </a:solidFill>
              <a:latin typeface="+mj-lt"/>
            </a:rPr>
            <a:t>i primjena RIA na podzakonske akte</a:t>
          </a:r>
          <a:endParaRPr lang="en-US" sz="1000">
            <a:solidFill>
              <a:sysClr val="windowText" lastClr="000000"/>
            </a:solidFill>
            <a:latin typeface="+mj-lt"/>
          </a:endParaRPr>
        </a:p>
      </dgm:t>
    </dgm:pt>
    <dgm:pt modelId="{3F81C57A-0B33-4F00-8260-C669DC4ACBDC}" type="sibTrans" cxnId="{8E1A9E28-255F-4F96-AAF1-2412ED0C008A}">
      <dgm:prSet/>
      <dgm:spPr/>
      <dgm:t>
        <a:bodyPr/>
        <a:lstStyle/>
        <a:p>
          <a:endParaRPr lang="en-US"/>
        </a:p>
      </dgm:t>
    </dgm:pt>
    <dgm:pt modelId="{EA452AC7-8369-4EBA-905C-41DE2D6C56FB}" type="parTrans" cxnId="{8E1A9E28-255F-4F96-AAF1-2412ED0C008A}">
      <dgm:prSet/>
      <dgm:spPr/>
      <dgm:t>
        <a:bodyPr/>
        <a:lstStyle/>
        <a:p>
          <a:endParaRPr lang="en-US"/>
        </a:p>
      </dgm:t>
    </dgm:pt>
    <dgm:pt modelId="{49FC0C40-AD47-49E0-910A-D6F48A88DCFE}">
      <dgm:prSet phldrT="[Text]" custT="1"/>
      <dgm:spPr/>
      <dgm:t>
        <a:bodyPr/>
        <a:lstStyle/>
        <a:p>
          <a:pPr algn="just"/>
          <a:r>
            <a:rPr lang="sr-Latn-ME" sz="1000">
              <a:latin typeface="+mj-lt"/>
            </a:rPr>
            <a:t> </a:t>
          </a:r>
          <a:r>
            <a:rPr lang="x-none" sz="1000">
              <a:latin typeface="+mj-lt"/>
            </a:rPr>
            <a:t>Proces konsultacija pri izradi Budžeta</a:t>
          </a:r>
          <a:endParaRPr lang="en-US" sz="1000">
            <a:latin typeface="+mj-lt"/>
          </a:endParaRPr>
        </a:p>
      </dgm:t>
    </dgm:pt>
    <dgm:pt modelId="{D8C83264-5FF4-4DE6-9FEA-07CDF31719E7}" type="parTrans" cxnId="{915190EC-750F-4A05-9C27-489261ADFCE1}">
      <dgm:prSet/>
      <dgm:spPr/>
      <dgm:t>
        <a:bodyPr/>
        <a:lstStyle/>
        <a:p>
          <a:endParaRPr lang="en-US"/>
        </a:p>
      </dgm:t>
    </dgm:pt>
    <dgm:pt modelId="{FBE81A07-A33E-408A-9670-50AD0E035275}" type="sibTrans" cxnId="{915190EC-750F-4A05-9C27-489261ADFCE1}">
      <dgm:prSet/>
      <dgm:spPr/>
      <dgm:t>
        <a:bodyPr/>
        <a:lstStyle/>
        <a:p>
          <a:endParaRPr lang="en-US"/>
        </a:p>
      </dgm:t>
    </dgm:pt>
    <dgm:pt modelId="{DE6EF949-10AC-482E-8859-643A5616069D}">
      <dgm:prSet custT="1"/>
      <dgm:spPr/>
      <dgm:t>
        <a:bodyPr/>
        <a:lstStyle/>
        <a:p>
          <a:pPr algn="just"/>
          <a:r>
            <a:rPr lang="x-none" sz="1000">
              <a:latin typeface="+mj-lt"/>
            </a:rPr>
            <a:t> </a:t>
          </a:r>
          <a:r>
            <a:rPr lang="x-none" sz="1000" b="1">
              <a:latin typeface="+mj-lt"/>
            </a:rPr>
            <a:t>Upravno-inspekcijski nadzor</a:t>
          </a:r>
          <a:endParaRPr lang="en-US" sz="1000" b="1">
            <a:latin typeface="+mj-lt"/>
          </a:endParaRPr>
        </a:p>
      </dgm:t>
    </dgm:pt>
    <dgm:pt modelId="{CB1095BE-34E5-4BA9-A070-0F82AABDC4BA}" type="parTrans" cxnId="{483A766A-D6D9-447C-9E24-D678BAD3D647}">
      <dgm:prSet/>
      <dgm:spPr/>
      <dgm:t>
        <a:bodyPr/>
        <a:lstStyle/>
        <a:p>
          <a:endParaRPr lang="en-US"/>
        </a:p>
      </dgm:t>
    </dgm:pt>
    <dgm:pt modelId="{E81CAE36-87FE-4B6E-9FAB-D4C0B3DD1CB0}" type="sibTrans" cxnId="{483A766A-D6D9-447C-9E24-D678BAD3D647}">
      <dgm:prSet/>
      <dgm:spPr/>
      <dgm:t>
        <a:bodyPr/>
        <a:lstStyle/>
        <a:p>
          <a:endParaRPr lang="en-US"/>
        </a:p>
      </dgm:t>
    </dgm:pt>
    <dgm:pt modelId="{AB1B0240-5FF2-4D7C-A43F-9D70289F40A0}">
      <dgm:prSet custT="1"/>
      <dgm:spPr/>
      <dgm:t>
        <a:bodyPr/>
        <a:lstStyle/>
        <a:p>
          <a:pPr algn="just"/>
          <a:r>
            <a:rPr lang="en-US" sz="1000">
              <a:latin typeface="+mj-lt"/>
            </a:rPr>
            <a:t> Rad </a:t>
          </a:r>
          <a:r>
            <a:rPr lang="en-US" sz="1000" b="1">
              <a:latin typeface="+mj-lt"/>
            </a:rPr>
            <a:t>Budžetske inspekcije</a:t>
          </a:r>
          <a:endParaRPr lang="en-US" sz="1000">
            <a:solidFill>
              <a:srgbClr val="FF0000"/>
            </a:solidFill>
            <a:latin typeface="+mj-lt"/>
          </a:endParaRPr>
        </a:p>
      </dgm:t>
    </dgm:pt>
    <dgm:pt modelId="{4939D28B-A449-42C7-A1BB-56CF243ACADE}" type="parTrans" cxnId="{25291DE0-3228-484A-A3F1-8BBCB25CB066}">
      <dgm:prSet/>
      <dgm:spPr/>
      <dgm:t>
        <a:bodyPr/>
        <a:lstStyle/>
        <a:p>
          <a:endParaRPr lang="en-US"/>
        </a:p>
      </dgm:t>
    </dgm:pt>
    <dgm:pt modelId="{0F13325D-14D1-4A34-BCCC-A0BD9601B247}" type="sibTrans" cxnId="{25291DE0-3228-484A-A3F1-8BBCB25CB066}">
      <dgm:prSet/>
      <dgm:spPr/>
      <dgm:t>
        <a:bodyPr/>
        <a:lstStyle/>
        <a:p>
          <a:endParaRPr lang="en-US"/>
        </a:p>
      </dgm:t>
    </dgm:pt>
    <dgm:pt modelId="{7709FBF7-D6B4-4082-8AA2-62463575B55A}" type="pres">
      <dgm:prSet presAssocID="{0CD60661-FED6-43B8-82B5-C2CEECE99EF0}" presName="diagram" presStyleCnt="0">
        <dgm:presLayoutVars>
          <dgm:chPref val="1"/>
          <dgm:dir/>
          <dgm:animOne val="branch"/>
          <dgm:animLvl val="lvl"/>
          <dgm:resizeHandles/>
        </dgm:presLayoutVars>
      </dgm:prSet>
      <dgm:spPr/>
      <dgm:t>
        <a:bodyPr/>
        <a:lstStyle/>
        <a:p>
          <a:endParaRPr lang="en-US"/>
        </a:p>
      </dgm:t>
    </dgm:pt>
    <dgm:pt modelId="{A39303D7-0969-4109-ABE8-4991732FD1B0}" type="pres">
      <dgm:prSet presAssocID="{99DC21E9-C5FE-4006-95A6-E35F5BFA42F5}" presName="root" presStyleCnt="0"/>
      <dgm:spPr/>
    </dgm:pt>
    <dgm:pt modelId="{77170686-8968-4728-AA16-2998E7823BAC}" type="pres">
      <dgm:prSet presAssocID="{99DC21E9-C5FE-4006-95A6-E35F5BFA42F5}" presName="rootComposite" presStyleCnt="0"/>
      <dgm:spPr/>
    </dgm:pt>
    <dgm:pt modelId="{312AE6B1-A5E8-4EE4-BD67-AFF7FCC44BDB}" type="pres">
      <dgm:prSet presAssocID="{99DC21E9-C5FE-4006-95A6-E35F5BFA42F5}" presName="rootText" presStyleLbl="node1" presStyleIdx="0" presStyleCnt="2" custScaleX="95776" custScaleY="37565"/>
      <dgm:spPr/>
      <dgm:t>
        <a:bodyPr/>
        <a:lstStyle/>
        <a:p>
          <a:endParaRPr lang="en-US"/>
        </a:p>
      </dgm:t>
    </dgm:pt>
    <dgm:pt modelId="{C50603BA-C7EA-4518-A8EB-395611F5B7B2}" type="pres">
      <dgm:prSet presAssocID="{99DC21E9-C5FE-4006-95A6-E35F5BFA42F5}" presName="rootConnector" presStyleLbl="node1" presStyleIdx="0" presStyleCnt="2"/>
      <dgm:spPr/>
      <dgm:t>
        <a:bodyPr/>
        <a:lstStyle/>
        <a:p>
          <a:endParaRPr lang="en-US"/>
        </a:p>
      </dgm:t>
    </dgm:pt>
    <dgm:pt modelId="{0830E520-7367-463C-AE83-347A9B3D8EA6}" type="pres">
      <dgm:prSet presAssocID="{99DC21E9-C5FE-4006-95A6-E35F5BFA42F5}" presName="childShape" presStyleCnt="0"/>
      <dgm:spPr/>
    </dgm:pt>
    <dgm:pt modelId="{A7F8E8A4-9A41-4618-96D5-0B1F5A5FE567}" type="pres">
      <dgm:prSet presAssocID="{2A973CA2-F438-4D6D-92B1-00E8596FAE4E}" presName="Name13" presStyleLbl="parChTrans1D2" presStyleIdx="0" presStyleCnt="8"/>
      <dgm:spPr/>
      <dgm:t>
        <a:bodyPr/>
        <a:lstStyle/>
        <a:p>
          <a:endParaRPr lang="en-US"/>
        </a:p>
      </dgm:t>
    </dgm:pt>
    <dgm:pt modelId="{F8F77715-FE19-41AC-84D2-AF9B182E9B45}" type="pres">
      <dgm:prSet presAssocID="{3A30BBC2-39C0-4257-9D84-D1ECDDFD972F}" presName="childText" presStyleLbl="bgAcc1" presStyleIdx="0" presStyleCnt="8" custScaleY="81046" custLinFactNeighborY="-15974">
        <dgm:presLayoutVars>
          <dgm:bulletEnabled val="1"/>
        </dgm:presLayoutVars>
      </dgm:prSet>
      <dgm:spPr/>
      <dgm:t>
        <a:bodyPr/>
        <a:lstStyle/>
        <a:p>
          <a:endParaRPr lang="en-US"/>
        </a:p>
      </dgm:t>
    </dgm:pt>
    <dgm:pt modelId="{C05468DE-EF30-4902-9DCB-6AF6A8402348}" type="pres">
      <dgm:prSet presAssocID="{C85E069B-544B-4FAA-9AB1-675C76166D77}" presName="Name13" presStyleLbl="parChTrans1D2" presStyleIdx="1" presStyleCnt="8"/>
      <dgm:spPr/>
      <dgm:t>
        <a:bodyPr/>
        <a:lstStyle/>
        <a:p>
          <a:endParaRPr lang="en-US"/>
        </a:p>
      </dgm:t>
    </dgm:pt>
    <dgm:pt modelId="{EAEE7BB4-E4EE-4366-BBBF-EF339CC350E5}" type="pres">
      <dgm:prSet presAssocID="{4FFAF021-E992-426A-AEDC-3C2CF2203D77}" presName="childText" presStyleLbl="bgAcc1" presStyleIdx="1" presStyleCnt="8" custScaleY="80192" custLinFactNeighborY="-30923">
        <dgm:presLayoutVars>
          <dgm:bulletEnabled val="1"/>
        </dgm:presLayoutVars>
      </dgm:prSet>
      <dgm:spPr/>
      <dgm:t>
        <a:bodyPr/>
        <a:lstStyle/>
        <a:p>
          <a:endParaRPr lang="en-US"/>
        </a:p>
      </dgm:t>
    </dgm:pt>
    <dgm:pt modelId="{DAE75DAC-1D80-4E28-A9F0-575C0CFBD5C3}" type="pres">
      <dgm:prSet presAssocID="{5FAF8559-4843-4F11-9E19-E65D146BED7A}" presName="Name13" presStyleLbl="parChTrans1D2" presStyleIdx="2" presStyleCnt="8"/>
      <dgm:spPr/>
      <dgm:t>
        <a:bodyPr/>
        <a:lstStyle/>
        <a:p>
          <a:endParaRPr lang="en-US"/>
        </a:p>
      </dgm:t>
    </dgm:pt>
    <dgm:pt modelId="{0143679C-975C-4822-8454-A823594CC3E0}" type="pres">
      <dgm:prSet presAssocID="{59C6E94E-44A9-436D-84F9-A8FCB549F8B0}" presName="childText" presStyleLbl="bgAcc1" presStyleIdx="2" presStyleCnt="8" custScaleY="61534" custLinFactNeighborY="-44630">
        <dgm:presLayoutVars>
          <dgm:bulletEnabled val="1"/>
        </dgm:presLayoutVars>
      </dgm:prSet>
      <dgm:spPr/>
      <dgm:t>
        <a:bodyPr/>
        <a:lstStyle/>
        <a:p>
          <a:endParaRPr lang="en-US"/>
        </a:p>
      </dgm:t>
    </dgm:pt>
    <dgm:pt modelId="{78CD2E55-0AFA-49E7-A884-F1132F463EED}" type="pres">
      <dgm:prSet presAssocID="{D880446F-55F6-4FF7-8326-5EB26DE3FCC2}" presName="Name13" presStyleLbl="parChTrans1D2" presStyleIdx="3" presStyleCnt="8"/>
      <dgm:spPr/>
      <dgm:t>
        <a:bodyPr/>
        <a:lstStyle/>
        <a:p>
          <a:endParaRPr lang="en-US"/>
        </a:p>
      </dgm:t>
    </dgm:pt>
    <dgm:pt modelId="{B96C0534-BA16-4474-9D95-3FE679543832}" type="pres">
      <dgm:prSet presAssocID="{01DC0BE1-A444-473B-A801-56B876CA6DA3}" presName="childText" presStyleLbl="bgAcc1" presStyleIdx="3" presStyleCnt="8" custScaleY="48952" custLinFactNeighborY="-59580">
        <dgm:presLayoutVars>
          <dgm:bulletEnabled val="1"/>
        </dgm:presLayoutVars>
      </dgm:prSet>
      <dgm:spPr/>
      <dgm:t>
        <a:bodyPr/>
        <a:lstStyle/>
        <a:p>
          <a:endParaRPr lang="en-US"/>
        </a:p>
      </dgm:t>
    </dgm:pt>
    <dgm:pt modelId="{40BA5910-378A-4563-A433-C7E4A7DBAD66}" type="pres">
      <dgm:prSet presAssocID="{017FF10D-EB5C-4A49-BC08-97CE7211F25D}" presName="root" presStyleCnt="0"/>
      <dgm:spPr/>
    </dgm:pt>
    <dgm:pt modelId="{304E5AFF-CAB4-4451-8460-61E3A2B05AB3}" type="pres">
      <dgm:prSet presAssocID="{017FF10D-EB5C-4A49-BC08-97CE7211F25D}" presName="rootComposite" presStyleCnt="0"/>
      <dgm:spPr/>
    </dgm:pt>
    <dgm:pt modelId="{FF692F53-A4F3-4CC9-B24C-55F1EC170A3E}" type="pres">
      <dgm:prSet presAssocID="{017FF10D-EB5C-4A49-BC08-97CE7211F25D}" presName="rootText" presStyleLbl="node1" presStyleIdx="1" presStyleCnt="2" custScaleX="105620" custScaleY="34713"/>
      <dgm:spPr/>
      <dgm:t>
        <a:bodyPr/>
        <a:lstStyle/>
        <a:p>
          <a:endParaRPr lang="en-US"/>
        </a:p>
      </dgm:t>
    </dgm:pt>
    <dgm:pt modelId="{20843843-47FA-4645-AC4C-774D441E2E02}" type="pres">
      <dgm:prSet presAssocID="{017FF10D-EB5C-4A49-BC08-97CE7211F25D}" presName="rootConnector" presStyleLbl="node1" presStyleIdx="1" presStyleCnt="2"/>
      <dgm:spPr/>
      <dgm:t>
        <a:bodyPr/>
        <a:lstStyle/>
        <a:p>
          <a:endParaRPr lang="en-US"/>
        </a:p>
      </dgm:t>
    </dgm:pt>
    <dgm:pt modelId="{8EEE29E5-822C-438C-BCC5-B9321F752A6C}" type="pres">
      <dgm:prSet presAssocID="{017FF10D-EB5C-4A49-BC08-97CE7211F25D}" presName="childShape" presStyleCnt="0"/>
      <dgm:spPr/>
    </dgm:pt>
    <dgm:pt modelId="{DAB16451-CA98-4480-927D-DE12746120AF}" type="pres">
      <dgm:prSet presAssocID="{69512BA9-54C1-4955-A628-6FE1706C80DD}" presName="Name13" presStyleLbl="parChTrans1D2" presStyleIdx="4" presStyleCnt="8"/>
      <dgm:spPr/>
      <dgm:t>
        <a:bodyPr/>
        <a:lstStyle/>
        <a:p>
          <a:endParaRPr lang="en-US"/>
        </a:p>
      </dgm:t>
    </dgm:pt>
    <dgm:pt modelId="{2D6FC1B4-187C-49F7-B30A-2B13329B8B05}" type="pres">
      <dgm:prSet presAssocID="{F0A7CC2A-C48C-41B9-B36F-5C8034B00037}" presName="childText" presStyleLbl="bgAcc1" presStyleIdx="4" presStyleCnt="8" custScaleY="70145" custLinFactNeighborY="-13706">
        <dgm:presLayoutVars>
          <dgm:bulletEnabled val="1"/>
        </dgm:presLayoutVars>
      </dgm:prSet>
      <dgm:spPr/>
      <dgm:t>
        <a:bodyPr/>
        <a:lstStyle/>
        <a:p>
          <a:endParaRPr lang="en-US"/>
        </a:p>
      </dgm:t>
    </dgm:pt>
    <dgm:pt modelId="{18662F23-1196-469E-B6FA-4535FB3CDA55}" type="pres">
      <dgm:prSet presAssocID="{7118A785-BAAB-41CA-99B6-658672EE3703}" presName="Name13" presStyleLbl="parChTrans1D2" presStyleIdx="5" presStyleCnt="8"/>
      <dgm:spPr/>
      <dgm:t>
        <a:bodyPr/>
        <a:lstStyle/>
        <a:p>
          <a:endParaRPr lang="en-US"/>
        </a:p>
      </dgm:t>
    </dgm:pt>
    <dgm:pt modelId="{63F983BF-D6DF-40FD-9472-1F0F4C675090}" type="pres">
      <dgm:prSet presAssocID="{DDA076D5-E9E4-432D-9D49-99B0AC7316EA}" presName="childText" presStyleLbl="bgAcc1" presStyleIdx="5" presStyleCnt="8" custScaleY="92215" custLinFactNeighborY="-28653">
        <dgm:presLayoutVars>
          <dgm:bulletEnabled val="1"/>
        </dgm:presLayoutVars>
      </dgm:prSet>
      <dgm:spPr/>
      <dgm:t>
        <a:bodyPr/>
        <a:lstStyle/>
        <a:p>
          <a:endParaRPr lang="en-US"/>
        </a:p>
      </dgm:t>
    </dgm:pt>
    <dgm:pt modelId="{AF7132FA-9AE6-4133-8C19-CE408976C7DD}" type="pres">
      <dgm:prSet presAssocID="{77BF4DCF-A2C0-40B4-A429-DF902C550837}" presName="Name13" presStyleLbl="parChTrans1D2" presStyleIdx="6" presStyleCnt="8"/>
      <dgm:spPr/>
      <dgm:t>
        <a:bodyPr/>
        <a:lstStyle/>
        <a:p>
          <a:endParaRPr lang="en-US"/>
        </a:p>
      </dgm:t>
    </dgm:pt>
    <dgm:pt modelId="{8C44EB5A-0774-413E-BF12-73F732779350}" type="pres">
      <dgm:prSet presAssocID="{84EF8FF1-69F4-4264-AE01-553DBC13CB15}" presName="childText" presStyleLbl="bgAcc1" presStyleIdx="6" presStyleCnt="8" custScaleY="60973" custLinFactNeighborY="-42364">
        <dgm:presLayoutVars>
          <dgm:bulletEnabled val="1"/>
        </dgm:presLayoutVars>
      </dgm:prSet>
      <dgm:spPr/>
      <dgm:t>
        <a:bodyPr/>
        <a:lstStyle/>
        <a:p>
          <a:endParaRPr lang="en-US"/>
        </a:p>
      </dgm:t>
    </dgm:pt>
    <dgm:pt modelId="{7998B841-2AA1-4C97-9E9F-33208AA6CAEB}" type="pres">
      <dgm:prSet presAssocID="{EA452AC7-8369-4EBA-905C-41DE2D6C56FB}" presName="Name13" presStyleLbl="parChTrans1D2" presStyleIdx="7" presStyleCnt="8"/>
      <dgm:spPr/>
      <dgm:t>
        <a:bodyPr/>
        <a:lstStyle/>
        <a:p>
          <a:endParaRPr lang="en-US"/>
        </a:p>
      </dgm:t>
    </dgm:pt>
    <dgm:pt modelId="{27CFE280-7980-4410-8830-DB9D9D43BC4F}" type="pres">
      <dgm:prSet presAssocID="{3134ADC1-B20B-4324-86B7-B8F11B3A2DC7}" presName="childText" presStyleLbl="bgAcc1" presStyleIdx="7" presStyleCnt="8" custScaleY="36324" custLinFactNeighborY="-54157">
        <dgm:presLayoutVars>
          <dgm:bulletEnabled val="1"/>
        </dgm:presLayoutVars>
      </dgm:prSet>
      <dgm:spPr/>
      <dgm:t>
        <a:bodyPr/>
        <a:lstStyle/>
        <a:p>
          <a:endParaRPr lang="en-US"/>
        </a:p>
      </dgm:t>
    </dgm:pt>
  </dgm:ptLst>
  <dgm:cxnLst>
    <dgm:cxn modelId="{10AC540D-C26E-496B-9155-3E0096AA62ED}" type="presOf" srcId="{99DC21E9-C5FE-4006-95A6-E35F5BFA42F5}" destId="{312AE6B1-A5E8-4EE4-BD67-AFF7FCC44BDB}" srcOrd="0" destOrd="0" presId="urn:microsoft.com/office/officeart/2005/8/layout/hierarchy3"/>
    <dgm:cxn modelId="{C868E236-5764-4A5B-AE72-BFD36832AF4A}" type="presOf" srcId="{99DC21E9-C5FE-4006-95A6-E35F5BFA42F5}" destId="{C50603BA-C7EA-4518-A8EB-395611F5B7B2}" srcOrd="1" destOrd="0" presId="urn:microsoft.com/office/officeart/2005/8/layout/hierarchy3"/>
    <dgm:cxn modelId="{C78558C8-2F92-4287-B63D-EFBAE304159C}" srcId="{F0A7CC2A-C48C-41B9-B36F-5C8034B00037}" destId="{DD5D46A8-3495-46CE-ABC6-7C3BAF2290A5}" srcOrd="0" destOrd="0" parTransId="{59792145-48A9-4F2E-9378-C5B771CBB78F}" sibTransId="{39210CD3-13B6-4C07-8721-424D23B07C11}"/>
    <dgm:cxn modelId="{B43EEBDE-11A1-444A-951D-92E66398C5B0}" type="presOf" srcId="{5A9605FA-8AAE-498C-97C9-7D48FCA17CE0}" destId="{EAEE7BB4-E4EE-4366-BBBF-EF339CC350E5}" srcOrd="0" destOrd="1" presId="urn:microsoft.com/office/officeart/2005/8/layout/hierarchy3"/>
    <dgm:cxn modelId="{40E5D0CD-7E49-415E-BD71-FD791ECFD275}" type="presOf" srcId="{12D53F08-30D0-49F8-B754-F37121719D8A}" destId="{8C44EB5A-0774-413E-BF12-73F732779350}" srcOrd="0" destOrd="1" presId="urn:microsoft.com/office/officeart/2005/8/layout/hierarchy3"/>
    <dgm:cxn modelId="{BE3D4DE0-EC3C-4E0E-AB79-45DE79282627}" type="presOf" srcId="{EA452AC7-8369-4EBA-905C-41DE2D6C56FB}" destId="{7998B841-2AA1-4C97-9E9F-33208AA6CAEB}" srcOrd="0" destOrd="0" presId="urn:microsoft.com/office/officeart/2005/8/layout/hierarchy3"/>
    <dgm:cxn modelId="{6C3CEC93-4146-49FC-B4F6-7420B1D680D5}" type="presOf" srcId="{DE6EF949-10AC-482E-8859-643A5616069D}" destId="{F8F77715-FE19-41AC-84D2-AF9B182E9B45}" srcOrd="0" destOrd="3" presId="urn:microsoft.com/office/officeart/2005/8/layout/hierarchy3"/>
    <dgm:cxn modelId="{A8C11D6C-CE44-47A6-A866-41CD339FADB1}" srcId="{4FFAF021-E992-426A-AEDC-3C2CF2203D77}" destId="{0AD4DDEA-E837-4B24-B4BB-1431149467E8}" srcOrd="2" destOrd="0" parTransId="{8051B210-C6F2-4354-925D-DD61EFDF60FC}" sibTransId="{4941CAFE-BF4F-4453-B5E9-105F58B7F818}"/>
    <dgm:cxn modelId="{157570DD-A091-4721-A8BE-4EEF8101ADA1}" srcId="{99DC21E9-C5FE-4006-95A6-E35F5BFA42F5}" destId="{59C6E94E-44A9-436D-84F9-A8FCB549F8B0}" srcOrd="2" destOrd="0" parTransId="{5FAF8559-4843-4F11-9E19-E65D146BED7A}" sibTransId="{03FD307B-1CFD-45EB-A37B-87C100A28050}"/>
    <dgm:cxn modelId="{5415E280-7F47-4866-9C4D-BB2CD7EDA32A}" type="presOf" srcId="{49DA60CD-7C88-44D8-B2DD-05F79183F0E4}" destId="{63F983BF-D6DF-40FD-9472-1F0F4C675090}" srcOrd="0" destOrd="1" presId="urn:microsoft.com/office/officeart/2005/8/layout/hierarchy3"/>
    <dgm:cxn modelId="{62F18D56-40E1-4011-9302-AF16800CE3B8}" type="presOf" srcId="{3134ADC1-B20B-4324-86B7-B8F11B3A2DC7}" destId="{27CFE280-7980-4410-8830-DB9D9D43BC4F}" srcOrd="0" destOrd="0" presId="urn:microsoft.com/office/officeart/2005/8/layout/hierarchy3"/>
    <dgm:cxn modelId="{A04083FA-FCD6-4668-AABE-67F654D7A26F}" type="presOf" srcId="{F0A7CC2A-C48C-41B9-B36F-5C8034B00037}" destId="{2D6FC1B4-187C-49F7-B30A-2B13329B8B05}" srcOrd="0" destOrd="0" presId="urn:microsoft.com/office/officeart/2005/8/layout/hierarchy3"/>
    <dgm:cxn modelId="{68E2DCE5-C06E-4A67-9110-8711351D93F8}" type="presOf" srcId="{5FAF8559-4843-4F11-9E19-E65D146BED7A}" destId="{DAE75DAC-1D80-4E28-A9F0-575C0CFBD5C3}" srcOrd="0" destOrd="0" presId="urn:microsoft.com/office/officeart/2005/8/layout/hierarchy3"/>
    <dgm:cxn modelId="{A24292DC-FF44-40D5-8480-2B5955004A06}" srcId="{017FF10D-EB5C-4A49-BC08-97CE7211F25D}" destId="{84EF8FF1-69F4-4264-AE01-553DBC13CB15}" srcOrd="2" destOrd="0" parTransId="{77BF4DCF-A2C0-40B4-A429-DF902C550837}" sibTransId="{5E279596-F09B-401D-B5C4-047DCA3B85F8}"/>
    <dgm:cxn modelId="{9A4408E5-C4D9-4C05-9C25-29446C2BE4EF}" type="presOf" srcId="{AB1B0240-5FF2-4D7C-A43F-9D70289F40A0}" destId="{2D6FC1B4-187C-49F7-B30A-2B13329B8B05}" srcOrd="0" destOrd="2" presId="urn:microsoft.com/office/officeart/2005/8/layout/hierarchy3"/>
    <dgm:cxn modelId="{22BD0750-E18C-4C4B-A95A-4245170179E2}" srcId="{84EF8FF1-69F4-4264-AE01-553DBC13CB15}" destId="{9196D3FF-58EE-4601-92F2-37BB6B2BFBD3}" srcOrd="1" destOrd="0" parTransId="{A8C01640-36F8-4D59-9704-A32453A0F3DE}" sibTransId="{0A94E731-CBC9-487A-BC57-022A0CA149A1}"/>
    <dgm:cxn modelId="{8A332164-1EC0-478E-AEBC-00ACA7A7D52A}" srcId="{017FF10D-EB5C-4A49-BC08-97CE7211F25D}" destId="{F0A7CC2A-C48C-41B9-B36F-5C8034B00037}" srcOrd="0" destOrd="0" parTransId="{69512BA9-54C1-4955-A628-6FE1706C80DD}" sibTransId="{7E3EF398-AC54-41CA-B645-520F7DAB99C0}"/>
    <dgm:cxn modelId="{611B04B3-860E-4CEC-9D58-2F6B5944FF75}" type="presOf" srcId="{D880446F-55F6-4FF7-8326-5EB26DE3FCC2}" destId="{78CD2E55-0AFA-49E7-A884-F1132F463EED}" srcOrd="0" destOrd="0" presId="urn:microsoft.com/office/officeart/2005/8/layout/hierarchy3"/>
    <dgm:cxn modelId="{242EDF4E-BADB-41A3-B338-2B618F0E2419}" srcId="{3A30BBC2-39C0-4257-9D84-D1ECDDFD972F}" destId="{6D9DC7C2-26A5-40A4-8796-A969B44F5998}" srcOrd="0" destOrd="0" parTransId="{955EEBFF-D60C-4011-ACA8-5CC4F8907E69}" sibTransId="{9FE3F91B-2DB2-4B33-A4A1-C57E810B4094}"/>
    <dgm:cxn modelId="{6A182158-4D13-4F66-876D-B0AAE1DE486D}" type="presOf" srcId="{DBE2C79F-A934-4E76-B052-934C0D7FC397}" destId="{B96C0534-BA16-4474-9D95-3FE679543832}" srcOrd="0" destOrd="3" presId="urn:microsoft.com/office/officeart/2005/8/layout/hierarchy3"/>
    <dgm:cxn modelId="{22327DD3-0DA9-4FDB-A8C5-BFF7E4E7DB6F}" srcId="{01DC0BE1-A444-473B-A801-56B876CA6DA3}" destId="{13D340CF-E0EB-4217-8B0E-3D89C288BCE4}" srcOrd="1" destOrd="0" parTransId="{2D318F35-F44D-4194-989A-7732D56ACC16}" sibTransId="{1E7145A2-B4BB-4D46-B5A9-5A72956DA52C}"/>
    <dgm:cxn modelId="{3A9A51BF-1B9A-481A-ACCB-6A0BD6E52F53}" type="presOf" srcId="{7745AAAC-C99B-46FC-9151-BA48A9FAD53F}" destId="{F8F77715-FE19-41AC-84D2-AF9B182E9B45}" srcOrd="0" destOrd="2" presId="urn:microsoft.com/office/officeart/2005/8/layout/hierarchy3"/>
    <dgm:cxn modelId="{8F85A3C7-C7F4-4BAE-93FB-5EC7C1602E40}" srcId="{0CD60661-FED6-43B8-82B5-C2CEECE99EF0}" destId="{99DC21E9-C5FE-4006-95A6-E35F5BFA42F5}" srcOrd="0" destOrd="0" parTransId="{DAF011F1-2DE9-4B1D-9FF3-AA6A7D84CAAA}" sibTransId="{90ABE976-F952-4818-84B1-6EDA90495EDE}"/>
    <dgm:cxn modelId="{28CA3FB7-4583-40AC-B194-3CEB74029101}" srcId="{01DC0BE1-A444-473B-A801-56B876CA6DA3}" destId="{B08715B1-A0EC-4C92-A4BE-F45640A38FEA}" srcOrd="0" destOrd="0" parTransId="{7919341C-D09B-48EE-AA02-988D366EF87E}" sibTransId="{DB63C2FD-DEC3-4848-A0A5-0EB08C3D9856}"/>
    <dgm:cxn modelId="{9480A5A2-2836-484B-82A8-32BEA4A27A88}" srcId="{3A30BBC2-39C0-4257-9D84-D1ECDDFD972F}" destId="{7745AAAC-C99B-46FC-9151-BA48A9FAD53F}" srcOrd="1" destOrd="0" parTransId="{FDAB8168-E8B2-4891-B65F-25D8E8E1C784}" sibTransId="{3FE79B93-FD7E-46F5-92F6-46B76FBF0CC7}"/>
    <dgm:cxn modelId="{0C12EB01-EA65-4379-AF2F-A1D7AF7696BF}" srcId="{84EF8FF1-69F4-4264-AE01-553DBC13CB15}" destId="{12D53F08-30D0-49F8-B754-F37121719D8A}" srcOrd="0" destOrd="0" parTransId="{BD219ADE-4BDD-4874-BE1C-854703D56302}" sibTransId="{62885D14-71B0-4D5A-8C47-2DB296536843}"/>
    <dgm:cxn modelId="{BC4FDEE2-EC5B-4F41-AD6E-61802282D57C}" type="presOf" srcId="{B08715B1-A0EC-4C92-A4BE-F45640A38FEA}" destId="{B96C0534-BA16-4474-9D95-3FE679543832}" srcOrd="0" destOrd="1" presId="urn:microsoft.com/office/officeart/2005/8/layout/hierarchy3"/>
    <dgm:cxn modelId="{05C47C5B-3276-496D-9687-79A33DB1A9BE}" type="presOf" srcId="{3175D05A-7864-4CA1-B903-467741CCDBDD}" destId="{0143679C-975C-4822-8454-A823594CC3E0}" srcOrd="0" destOrd="2" presId="urn:microsoft.com/office/officeart/2005/8/layout/hierarchy3"/>
    <dgm:cxn modelId="{B90C2FBF-D0EC-4022-851E-E4329ACB684B}" srcId="{59C6E94E-44A9-436D-84F9-A8FCB549F8B0}" destId="{803DC3C2-A5F2-4BAD-93E1-04B72725F2F7}" srcOrd="0" destOrd="0" parTransId="{77095099-FE61-44FE-8566-79A6D1AECA6A}" sibTransId="{C0770D80-D745-4016-BAC5-D0B7D5CD8E00}"/>
    <dgm:cxn modelId="{EBE03A29-15DA-4D04-B381-7D2E4102DF5A}" type="presOf" srcId="{9196D3FF-58EE-4601-92F2-37BB6B2BFBD3}" destId="{8C44EB5A-0774-413E-BF12-73F732779350}" srcOrd="0" destOrd="2" presId="urn:microsoft.com/office/officeart/2005/8/layout/hierarchy3"/>
    <dgm:cxn modelId="{915190EC-750F-4A05-9C27-489261ADFCE1}" srcId="{3134ADC1-B20B-4324-86B7-B8F11B3A2DC7}" destId="{49FC0C40-AD47-49E0-910A-D6F48A88DCFE}" srcOrd="0" destOrd="0" parTransId="{D8C83264-5FF4-4DE6-9FEA-07CDF31719E7}" sibTransId="{FBE81A07-A33E-408A-9670-50AD0E035275}"/>
    <dgm:cxn modelId="{4DEE629E-3AEE-4129-BC19-9540FE47F114}" type="presOf" srcId="{69512BA9-54C1-4955-A628-6FE1706C80DD}" destId="{DAB16451-CA98-4480-927D-DE12746120AF}" srcOrd="0" destOrd="0" presId="urn:microsoft.com/office/officeart/2005/8/layout/hierarchy3"/>
    <dgm:cxn modelId="{4DC934EA-EAEC-4F11-98E1-4EDA87A9C7DB}" srcId="{3A30BBC2-39C0-4257-9D84-D1ECDDFD972F}" destId="{CF9C2E7B-6072-433F-8521-3D7FE7F95444}" srcOrd="3" destOrd="0" parTransId="{74DB4026-F6B0-448E-85F7-37F813A175E1}" sibTransId="{8B31E112-DD6B-4854-BCD4-B1BB71420A2E}"/>
    <dgm:cxn modelId="{439306AF-04DE-4D33-A068-42242812E501}" srcId="{017FF10D-EB5C-4A49-BC08-97CE7211F25D}" destId="{DDA076D5-E9E4-432D-9D49-99B0AC7316EA}" srcOrd="1" destOrd="0" parTransId="{7118A785-BAAB-41CA-99B6-658672EE3703}" sibTransId="{80E63D6E-4A56-4E03-B230-232ACC225A6F}"/>
    <dgm:cxn modelId="{D11B2ABD-D4F2-430D-A96B-22AC14E99ACE}" srcId="{99DC21E9-C5FE-4006-95A6-E35F5BFA42F5}" destId="{3A30BBC2-39C0-4257-9D84-D1ECDDFD972F}" srcOrd="0" destOrd="0" parTransId="{2A973CA2-F438-4D6D-92B1-00E8596FAE4E}" sibTransId="{83925CFA-FDEF-4B44-9DB6-FCB5A4AD9F2D}"/>
    <dgm:cxn modelId="{F67020F5-BE4A-43ED-BCF0-229789D711D4}" type="presOf" srcId="{DDA076D5-E9E4-432D-9D49-99B0AC7316EA}" destId="{63F983BF-D6DF-40FD-9472-1F0F4C675090}" srcOrd="0" destOrd="0" presId="urn:microsoft.com/office/officeart/2005/8/layout/hierarchy3"/>
    <dgm:cxn modelId="{569EAA5A-5A7D-4E95-A060-C9B2C469DD91}" srcId="{4FFAF021-E992-426A-AEDC-3C2CF2203D77}" destId="{2418C22B-0C7F-48C7-AD8C-B22E4B3729AA}" srcOrd="1" destOrd="0" parTransId="{B4DB5196-5DA1-4F4B-917F-5E1727153FBF}" sibTransId="{1F864F14-AA64-4D56-96A6-90111C87CD05}"/>
    <dgm:cxn modelId="{00E8FA5B-4132-4AD4-B24C-370A60A8C168}" srcId="{99DC21E9-C5FE-4006-95A6-E35F5BFA42F5}" destId="{01DC0BE1-A444-473B-A801-56B876CA6DA3}" srcOrd="3" destOrd="0" parTransId="{D880446F-55F6-4FF7-8326-5EB26DE3FCC2}" sibTransId="{B993BC56-AC84-45D5-9083-ED6905DDCDFB}"/>
    <dgm:cxn modelId="{5D256674-EFA7-48D9-8DCB-036E16BD56E1}" type="presOf" srcId="{01DC0BE1-A444-473B-A801-56B876CA6DA3}" destId="{B96C0534-BA16-4474-9D95-3FE679543832}" srcOrd="0" destOrd="0" presId="urn:microsoft.com/office/officeart/2005/8/layout/hierarchy3"/>
    <dgm:cxn modelId="{6FF87B3A-2B23-4D79-975D-B83CE81FF18C}" srcId="{99DC21E9-C5FE-4006-95A6-E35F5BFA42F5}" destId="{4FFAF021-E992-426A-AEDC-3C2CF2203D77}" srcOrd="1" destOrd="0" parTransId="{C85E069B-544B-4FAA-9AB1-675C76166D77}" sibTransId="{B9DD2CED-EDF9-4F61-BDE9-6887D74E94E0}"/>
    <dgm:cxn modelId="{4011676D-E7FA-4D16-9E0E-33C541674043}" type="presOf" srcId="{C85E069B-544B-4FAA-9AB1-675C76166D77}" destId="{C05468DE-EF30-4902-9DCB-6AF6A8402348}" srcOrd="0" destOrd="0" presId="urn:microsoft.com/office/officeart/2005/8/layout/hierarchy3"/>
    <dgm:cxn modelId="{A5229E77-2374-4FBF-9BCD-5A7F9B3CD196}" srcId="{4FFAF021-E992-426A-AEDC-3C2CF2203D77}" destId="{5A9605FA-8AAE-498C-97C9-7D48FCA17CE0}" srcOrd="0" destOrd="0" parTransId="{1379B9FC-3587-4A8F-B361-E4F8AEBC2087}" sibTransId="{BDE0F2FE-1BA9-4AC5-A482-D7CECDAD2EFB}"/>
    <dgm:cxn modelId="{F2B74850-F375-4553-8FD8-E7A8B8BDE3E8}" type="presOf" srcId="{017FF10D-EB5C-4A49-BC08-97CE7211F25D}" destId="{FF692F53-A4F3-4CC9-B24C-55F1EC170A3E}" srcOrd="0" destOrd="0" presId="urn:microsoft.com/office/officeart/2005/8/layout/hierarchy3"/>
    <dgm:cxn modelId="{C5BB1D95-3F6C-489F-87AE-F4C56ADECE3F}" type="presOf" srcId="{2418C22B-0C7F-48C7-AD8C-B22E4B3729AA}" destId="{EAEE7BB4-E4EE-4366-BBBF-EF339CC350E5}" srcOrd="0" destOrd="2" presId="urn:microsoft.com/office/officeart/2005/8/layout/hierarchy3"/>
    <dgm:cxn modelId="{B2286B12-DCCA-42B5-9B57-46D610AA6EF3}" type="presOf" srcId="{CF9C2E7B-6072-433F-8521-3D7FE7F95444}" destId="{F8F77715-FE19-41AC-84D2-AF9B182E9B45}" srcOrd="0" destOrd="4" presId="urn:microsoft.com/office/officeart/2005/8/layout/hierarchy3"/>
    <dgm:cxn modelId="{D4A0BBFA-40E2-47EC-A106-552B1F3D3B96}" type="presOf" srcId="{59C6E94E-44A9-436D-84F9-A8FCB549F8B0}" destId="{0143679C-975C-4822-8454-A823594CC3E0}" srcOrd="0" destOrd="0" presId="urn:microsoft.com/office/officeart/2005/8/layout/hierarchy3"/>
    <dgm:cxn modelId="{248B1350-1578-4783-8DD7-F014ECFF8336}" type="presOf" srcId="{803DC3C2-A5F2-4BAD-93E1-04B72725F2F7}" destId="{0143679C-975C-4822-8454-A823594CC3E0}" srcOrd="0" destOrd="1" presId="urn:microsoft.com/office/officeart/2005/8/layout/hierarchy3"/>
    <dgm:cxn modelId="{25291DE0-3228-484A-A3F1-8BBCB25CB066}" srcId="{F0A7CC2A-C48C-41B9-B36F-5C8034B00037}" destId="{AB1B0240-5FF2-4D7C-A43F-9D70289F40A0}" srcOrd="1" destOrd="0" parTransId="{4939D28B-A449-42C7-A1BB-56CF243ACADE}" sibTransId="{0F13325D-14D1-4A34-BCCC-A0BD9601B247}"/>
    <dgm:cxn modelId="{483A766A-D6D9-447C-9E24-D678BAD3D647}" srcId="{3A30BBC2-39C0-4257-9D84-D1ECDDFD972F}" destId="{DE6EF949-10AC-482E-8859-643A5616069D}" srcOrd="2" destOrd="0" parTransId="{CB1095BE-34E5-4BA9-A070-0F82AABDC4BA}" sibTransId="{E81CAE36-87FE-4B6E-9FAB-D4C0B3DD1CB0}"/>
    <dgm:cxn modelId="{5B1E9B8E-76D3-474C-B5BF-AAAF6421A842}" srcId="{59C6E94E-44A9-436D-84F9-A8FCB549F8B0}" destId="{3175D05A-7864-4CA1-B903-467741CCDBDD}" srcOrd="1" destOrd="0" parTransId="{1CF1735A-171E-49C0-933A-3477ADDD0463}" sibTransId="{695B9F8B-3EC3-47EE-BB13-7B2CB769EA84}"/>
    <dgm:cxn modelId="{36801D6D-FD8B-41CC-B16C-CDA9F31F3531}" type="presOf" srcId="{6D9DC7C2-26A5-40A4-8796-A969B44F5998}" destId="{F8F77715-FE19-41AC-84D2-AF9B182E9B45}" srcOrd="0" destOrd="1" presId="urn:microsoft.com/office/officeart/2005/8/layout/hierarchy3"/>
    <dgm:cxn modelId="{A694CAD7-0ACF-4E0C-A8DF-7A2B8E5B1D67}" type="presOf" srcId="{2A973CA2-F438-4D6D-92B1-00E8596FAE4E}" destId="{A7F8E8A4-9A41-4618-96D5-0B1F5A5FE567}" srcOrd="0" destOrd="0" presId="urn:microsoft.com/office/officeart/2005/8/layout/hierarchy3"/>
    <dgm:cxn modelId="{6702BD9E-3774-42FE-903F-9EB50CF435E2}" type="presOf" srcId="{DD5D46A8-3495-46CE-ABC6-7C3BAF2290A5}" destId="{2D6FC1B4-187C-49F7-B30A-2B13329B8B05}" srcOrd="0" destOrd="1" presId="urn:microsoft.com/office/officeart/2005/8/layout/hierarchy3"/>
    <dgm:cxn modelId="{620F8BF3-8C42-4333-BA61-74D6C47CC3A8}" type="presOf" srcId="{9F7C521E-2D36-41E6-B4B4-7012DEF02DB4}" destId="{2D6FC1B4-187C-49F7-B30A-2B13329B8B05}" srcOrd="0" destOrd="3" presId="urn:microsoft.com/office/officeart/2005/8/layout/hierarchy3"/>
    <dgm:cxn modelId="{0E5EAC43-A77D-43DE-A64A-730A79CCAFF4}" type="presOf" srcId="{017FF10D-EB5C-4A49-BC08-97CE7211F25D}" destId="{20843843-47FA-4645-AC4C-774D441E2E02}" srcOrd="1" destOrd="0" presId="urn:microsoft.com/office/officeart/2005/8/layout/hierarchy3"/>
    <dgm:cxn modelId="{EE8356BC-D4DD-4820-A78F-E04BA7139447}" srcId="{0CD60661-FED6-43B8-82B5-C2CEECE99EF0}" destId="{017FF10D-EB5C-4A49-BC08-97CE7211F25D}" srcOrd="1" destOrd="0" parTransId="{AE0E0206-6F97-4C57-B7D7-657007C6B3F0}" sibTransId="{6E6CD353-436D-4512-8142-0CD84F300E78}"/>
    <dgm:cxn modelId="{5FEC3F6D-7A1C-41E0-B8E4-54AAE6DA1B65}" srcId="{F0A7CC2A-C48C-41B9-B36F-5C8034B00037}" destId="{9F7C521E-2D36-41E6-B4B4-7012DEF02DB4}" srcOrd="2" destOrd="0" parTransId="{BA3EB11C-C0EC-41F5-BE96-AFD8FF58F45C}" sibTransId="{F14DFB7A-BB65-4560-9114-EAA2AE472531}"/>
    <dgm:cxn modelId="{B3A6EBBA-04FF-4641-AC42-BA8A07A6D80D}" type="presOf" srcId="{13D340CF-E0EB-4217-8B0E-3D89C288BCE4}" destId="{B96C0534-BA16-4474-9D95-3FE679543832}" srcOrd="0" destOrd="2" presId="urn:microsoft.com/office/officeart/2005/8/layout/hierarchy3"/>
    <dgm:cxn modelId="{2D91857C-2A29-4C96-B834-487806F4CA25}" type="presOf" srcId="{3A30BBC2-39C0-4257-9D84-D1ECDDFD972F}" destId="{F8F77715-FE19-41AC-84D2-AF9B182E9B45}" srcOrd="0" destOrd="0" presId="urn:microsoft.com/office/officeart/2005/8/layout/hierarchy3"/>
    <dgm:cxn modelId="{9E0C2FBA-6295-4EDE-B52A-45FC8CB510AF}" type="presOf" srcId="{0CD60661-FED6-43B8-82B5-C2CEECE99EF0}" destId="{7709FBF7-D6B4-4082-8AA2-62463575B55A}" srcOrd="0" destOrd="0" presId="urn:microsoft.com/office/officeart/2005/8/layout/hierarchy3"/>
    <dgm:cxn modelId="{65629C5D-F70A-428E-B59D-741C88DC5A35}" srcId="{DDA076D5-E9E4-432D-9D49-99B0AC7316EA}" destId="{49DA60CD-7C88-44D8-B2DD-05F79183F0E4}" srcOrd="0" destOrd="0" parTransId="{75D36164-5D33-4873-9AB3-2D9B847101BB}" sibTransId="{6833F89D-96AC-4799-B78B-857667B04B02}"/>
    <dgm:cxn modelId="{DFF3088F-3F1E-49E8-B187-4F21E7C1F0A7}" type="presOf" srcId="{0AD4DDEA-E837-4B24-B4BB-1431149467E8}" destId="{EAEE7BB4-E4EE-4366-BBBF-EF339CC350E5}" srcOrd="0" destOrd="3" presId="urn:microsoft.com/office/officeart/2005/8/layout/hierarchy3"/>
    <dgm:cxn modelId="{1D2DFC6A-5703-414C-B31F-6EB7EB42B806}" type="presOf" srcId="{49FC0C40-AD47-49E0-910A-D6F48A88DCFE}" destId="{27CFE280-7980-4410-8830-DB9D9D43BC4F}" srcOrd="0" destOrd="1" presId="urn:microsoft.com/office/officeart/2005/8/layout/hierarchy3"/>
    <dgm:cxn modelId="{C055B584-7F8B-44F5-B281-BD0A079D0D8A}" type="presOf" srcId="{4FFAF021-E992-426A-AEDC-3C2CF2203D77}" destId="{EAEE7BB4-E4EE-4366-BBBF-EF339CC350E5}" srcOrd="0" destOrd="0" presId="urn:microsoft.com/office/officeart/2005/8/layout/hierarchy3"/>
    <dgm:cxn modelId="{3754C36F-3ECC-4A67-964B-88840869AE9A}" type="presOf" srcId="{84EF8FF1-69F4-4264-AE01-553DBC13CB15}" destId="{8C44EB5A-0774-413E-BF12-73F732779350}" srcOrd="0" destOrd="0" presId="urn:microsoft.com/office/officeart/2005/8/layout/hierarchy3"/>
    <dgm:cxn modelId="{FF050865-A2B5-4F33-AFAB-EB022EB84D4F}" type="presOf" srcId="{77BF4DCF-A2C0-40B4-A429-DF902C550837}" destId="{AF7132FA-9AE6-4133-8C19-CE408976C7DD}" srcOrd="0" destOrd="0" presId="urn:microsoft.com/office/officeart/2005/8/layout/hierarchy3"/>
    <dgm:cxn modelId="{8E1A9E28-255F-4F96-AAF1-2412ED0C008A}" srcId="{017FF10D-EB5C-4A49-BC08-97CE7211F25D}" destId="{3134ADC1-B20B-4324-86B7-B8F11B3A2DC7}" srcOrd="3" destOrd="0" parTransId="{EA452AC7-8369-4EBA-905C-41DE2D6C56FB}" sibTransId="{3F81C57A-0B33-4F00-8260-C669DC4ACBDC}"/>
    <dgm:cxn modelId="{8034E88E-3178-4330-8323-35B048EADAC7}" srcId="{01DC0BE1-A444-473B-A801-56B876CA6DA3}" destId="{DBE2C79F-A934-4E76-B052-934C0D7FC397}" srcOrd="2" destOrd="0" parTransId="{2F8903FE-FD3E-4281-A178-7F3D966E9213}" sibTransId="{5FD2D71F-10CE-4E63-AB47-C56F60394C0F}"/>
    <dgm:cxn modelId="{9FE33889-F194-490D-AAB6-89D6F1080617}" type="presOf" srcId="{7118A785-BAAB-41CA-99B6-658672EE3703}" destId="{18662F23-1196-469E-B6FA-4535FB3CDA55}" srcOrd="0" destOrd="0" presId="urn:microsoft.com/office/officeart/2005/8/layout/hierarchy3"/>
    <dgm:cxn modelId="{CA644FB1-842A-49B5-ABA0-D6640A0B04DF}" type="presParOf" srcId="{7709FBF7-D6B4-4082-8AA2-62463575B55A}" destId="{A39303D7-0969-4109-ABE8-4991732FD1B0}" srcOrd="0" destOrd="0" presId="urn:microsoft.com/office/officeart/2005/8/layout/hierarchy3"/>
    <dgm:cxn modelId="{232C9217-5FD4-4A7C-8AFD-377EDF600184}" type="presParOf" srcId="{A39303D7-0969-4109-ABE8-4991732FD1B0}" destId="{77170686-8968-4728-AA16-2998E7823BAC}" srcOrd="0" destOrd="0" presId="urn:microsoft.com/office/officeart/2005/8/layout/hierarchy3"/>
    <dgm:cxn modelId="{58494B76-CC88-4E4B-A5F1-48FBCEB156C2}" type="presParOf" srcId="{77170686-8968-4728-AA16-2998E7823BAC}" destId="{312AE6B1-A5E8-4EE4-BD67-AFF7FCC44BDB}" srcOrd="0" destOrd="0" presId="urn:microsoft.com/office/officeart/2005/8/layout/hierarchy3"/>
    <dgm:cxn modelId="{896D03E3-B809-476C-8B10-5340F4741CA7}" type="presParOf" srcId="{77170686-8968-4728-AA16-2998E7823BAC}" destId="{C50603BA-C7EA-4518-A8EB-395611F5B7B2}" srcOrd="1" destOrd="0" presId="urn:microsoft.com/office/officeart/2005/8/layout/hierarchy3"/>
    <dgm:cxn modelId="{96C52A20-E3E5-47B7-B841-12A9C4306460}" type="presParOf" srcId="{A39303D7-0969-4109-ABE8-4991732FD1B0}" destId="{0830E520-7367-463C-AE83-347A9B3D8EA6}" srcOrd="1" destOrd="0" presId="urn:microsoft.com/office/officeart/2005/8/layout/hierarchy3"/>
    <dgm:cxn modelId="{B2F606F6-0502-4DC6-8098-2B9324E70E11}" type="presParOf" srcId="{0830E520-7367-463C-AE83-347A9B3D8EA6}" destId="{A7F8E8A4-9A41-4618-96D5-0B1F5A5FE567}" srcOrd="0" destOrd="0" presId="urn:microsoft.com/office/officeart/2005/8/layout/hierarchy3"/>
    <dgm:cxn modelId="{B049B840-DB80-4946-AB41-996813474D39}" type="presParOf" srcId="{0830E520-7367-463C-AE83-347A9B3D8EA6}" destId="{F8F77715-FE19-41AC-84D2-AF9B182E9B45}" srcOrd="1" destOrd="0" presId="urn:microsoft.com/office/officeart/2005/8/layout/hierarchy3"/>
    <dgm:cxn modelId="{AA98F8DA-0C47-44D1-9C21-E31AB3C7CBD3}" type="presParOf" srcId="{0830E520-7367-463C-AE83-347A9B3D8EA6}" destId="{C05468DE-EF30-4902-9DCB-6AF6A8402348}" srcOrd="2" destOrd="0" presId="urn:microsoft.com/office/officeart/2005/8/layout/hierarchy3"/>
    <dgm:cxn modelId="{72103D4D-45FD-408E-93F9-170ED6EF1E19}" type="presParOf" srcId="{0830E520-7367-463C-AE83-347A9B3D8EA6}" destId="{EAEE7BB4-E4EE-4366-BBBF-EF339CC350E5}" srcOrd="3" destOrd="0" presId="urn:microsoft.com/office/officeart/2005/8/layout/hierarchy3"/>
    <dgm:cxn modelId="{B82C645D-B9C6-4429-9F0C-2EF13576FA03}" type="presParOf" srcId="{0830E520-7367-463C-AE83-347A9B3D8EA6}" destId="{DAE75DAC-1D80-4E28-A9F0-575C0CFBD5C3}" srcOrd="4" destOrd="0" presId="urn:microsoft.com/office/officeart/2005/8/layout/hierarchy3"/>
    <dgm:cxn modelId="{954F3259-F2EE-4186-A04D-96AC76E63B8E}" type="presParOf" srcId="{0830E520-7367-463C-AE83-347A9B3D8EA6}" destId="{0143679C-975C-4822-8454-A823594CC3E0}" srcOrd="5" destOrd="0" presId="urn:microsoft.com/office/officeart/2005/8/layout/hierarchy3"/>
    <dgm:cxn modelId="{03B1BD28-4576-4897-BA52-0EDB1E93D1FC}" type="presParOf" srcId="{0830E520-7367-463C-AE83-347A9B3D8EA6}" destId="{78CD2E55-0AFA-49E7-A884-F1132F463EED}" srcOrd="6" destOrd="0" presId="urn:microsoft.com/office/officeart/2005/8/layout/hierarchy3"/>
    <dgm:cxn modelId="{501D6734-B239-4C57-8B7A-D417CB3E9A9D}" type="presParOf" srcId="{0830E520-7367-463C-AE83-347A9B3D8EA6}" destId="{B96C0534-BA16-4474-9D95-3FE679543832}" srcOrd="7" destOrd="0" presId="urn:microsoft.com/office/officeart/2005/8/layout/hierarchy3"/>
    <dgm:cxn modelId="{F58AF8FB-E895-46FB-A305-5E4248AC9C73}" type="presParOf" srcId="{7709FBF7-D6B4-4082-8AA2-62463575B55A}" destId="{40BA5910-378A-4563-A433-C7E4A7DBAD66}" srcOrd="1" destOrd="0" presId="urn:microsoft.com/office/officeart/2005/8/layout/hierarchy3"/>
    <dgm:cxn modelId="{4E4699C7-1E85-4FC6-8CAE-8708E1A904F3}" type="presParOf" srcId="{40BA5910-378A-4563-A433-C7E4A7DBAD66}" destId="{304E5AFF-CAB4-4451-8460-61E3A2B05AB3}" srcOrd="0" destOrd="0" presId="urn:microsoft.com/office/officeart/2005/8/layout/hierarchy3"/>
    <dgm:cxn modelId="{6A8A2FF6-CEB8-49B6-BCBA-C979A613CCC2}" type="presParOf" srcId="{304E5AFF-CAB4-4451-8460-61E3A2B05AB3}" destId="{FF692F53-A4F3-4CC9-B24C-55F1EC170A3E}" srcOrd="0" destOrd="0" presId="urn:microsoft.com/office/officeart/2005/8/layout/hierarchy3"/>
    <dgm:cxn modelId="{C9EF30CB-60EE-425A-95A2-7D4C0A405EB2}" type="presParOf" srcId="{304E5AFF-CAB4-4451-8460-61E3A2B05AB3}" destId="{20843843-47FA-4645-AC4C-774D441E2E02}" srcOrd="1" destOrd="0" presId="urn:microsoft.com/office/officeart/2005/8/layout/hierarchy3"/>
    <dgm:cxn modelId="{C02B1DE6-3EBD-48F6-B3FE-19046657E23C}" type="presParOf" srcId="{40BA5910-378A-4563-A433-C7E4A7DBAD66}" destId="{8EEE29E5-822C-438C-BCC5-B9321F752A6C}" srcOrd="1" destOrd="0" presId="urn:microsoft.com/office/officeart/2005/8/layout/hierarchy3"/>
    <dgm:cxn modelId="{2C3B48EB-E382-45AA-8EE0-1CBA9F144287}" type="presParOf" srcId="{8EEE29E5-822C-438C-BCC5-B9321F752A6C}" destId="{DAB16451-CA98-4480-927D-DE12746120AF}" srcOrd="0" destOrd="0" presId="urn:microsoft.com/office/officeart/2005/8/layout/hierarchy3"/>
    <dgm:cxn modelId="{DAD8D9F6-C743-4F30-ADC3-7F25AB299403}" type="presParOf" srcId="{8EEE29E5-822C-438C-BCC5-B9321F752A6C}" destId="{2D6FC1B4-187C-49F7-B30A-2B13329B8B05}" srcOrd="1" destOrd="0" presId="urn:microsoft.com/office/officeart/2005/8/layout/hierarchy3"/>
    <dgm:cxn modelId="{F5EC0AEC-8DE4-4404-B73F-AC485E61442D}" type="presParOf" srcId="{8EEE29E5-822C-438C-BCC5-B9321F752A6C}" destId="{18662F23-1196-469E-B6FA-4535FB3CDA55}" srcOrd="2" destOrd="0" presId="urn:microsoft.com/office/officeart/2005/8/layout/hierarchy3"/>
    <dgm:cxn modelId="{E2923FAF-B7EF-4192-9E0B-B10670B9BD14}" type="presParOf" srcId="{8EEE29E5-822C-438C-BCC5-B9321F752A6C}" destId="{63F983BF-D6DF-40FD-9472-1F0F4C675090}" srcOrd="3" destOrd="0" presId="urn:microsoft.com/office/officeart/2005/8/layout/hierarchy3"/>
    <dgm:cxn modelId="{4D31C49B-C6C9-420E-8BE9-60011AD28FEF}" type="presParOf" srcId="{8EEE29E5-822C-438C-BCC5-B9321F752A6C}" destId="{AF7132FA-9AE6-4133-8C19-CE408976C7DD}" srcOrd="4" destOrd="0" presId="urn:microsoft.com/office/officeart/2005/8/layout/hierarchy3"/>
    <dgm:cxn modelId="{07A10E14-3635-441F-8281-E7081BFFE7E5}" type="presParOf" srcId="{8EEE29E5-822C-438C-BCC5-B9321F752A6C}" destId="{8C44EB5A-0774-413E-BF12-73F732779350}" srcOrd="5" destOrd="0" presId="urn:microsoft.com/office/officeart/2005/8/layout/hierarchy3"/>
    <dgm:cxn modelId="{CFCFCF1D-AEF4-4E96-AA77-65394867F63A}" type="presParOf" srcId="{8EEE29E5-822C-438C-BCC5-B9321F752A6C}" destId="{7998B841-2AA1-4C97-9E9F-33208AA6CAEB}" srcOrd="6" destOrd="0" presId="urn:microsoft.com/office/officeart/2005/8/layout/hierarchy3"/>
    <dgm:cxn modelId="{5E7478D4-356A-4ADD-B8C4-C0540FCA374F}" type="presParOf" srcId="{8EEE29E5-822C-438C-BCC5-B9321F752A6C}" destId="{27CFE280-7980-4410-8830-DB9D9D43BC4F}" srcOrd="7" destOrd="0" presId="urn:microsoft.com/office/officeart/2005/8/layout/hierarchy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516F5DF-E0D6-45BA-8D2F-9760181B1BF8}" type="doc">
      <dgm:prSet loTypeId="urn:microsoft.com/office/officeart/2005/8/layout/lProcess1" loCatId="process" qsTypeId="urn:microsoft.com/office/officeart/2005/8/quickstyle/3d4" qsCatId="3D" csTypeId="urn:microsoft.com/office/officeart/2005/8/colors/colorful4" csCatId="colorful" phldr="1"/>
      <dgm:spPr/>
      <dgm:t>
        <a:bodyPr/>
        <a:lstStyle/>
        <a:p>
          <a:endParaRPr lang="en-US"/>
        </a:p>
      </dgm:t>
    </dgm:pt>
    <dgm:pt modelId="{C757BEDB-70D0-40A4-AD6E-B0068A94074C}">
      <dgm:prSet phldrT="[Text]" custT="1"/>
      <dgm:spPr/>
      <dgm:t>
        <a:bodyPr/>
        <a:lstStyle/>
        <a:p>
          <a:r>
            <a:rPr lang="x-none" sz="1200" b="1">
              <a:latin typeface="+mj-lt"/>
            </a:rPr>
            <a:t>Strategija reforme javne uprave 2022-2026</a:t>
          </a:r>
          <a:r>
            <a:rPr lang="en-US" sz="1200" b="1">
              <a:latin typeface="+mj-lt"/>
            </a:rPr>
            <a:t>.</a:t>
          </a:r>
        </a:p>
      </dgm:t>
    </dgm:pt>
    <dgm:pt modelId="{95EBC4C1-42B2-4243-8DE9-0849482A1259}" type="parTrans" cxnId="{51469A6A-0631-47EE-BE15-64FF06FBA30E}">
      <dgm:prSet/>
      <dgm:spPr/>
      <dgm:t>
        <a:bodyPr/>
        <a:lstStyle/>
        <a:p>
          <a:endParaRPr lang="en-US"/>
        </a:p>
      </dgm:t>
    </dgm:pt>
    <dgm:pt modelId="{73FBC472-26D6-4F0B-B229-62126279FE22}" type="sibTrans" cxnId="{51469A6A-0631-47EE-BE15-64FF06FBA30E}">
      <dgm:prSet/>
      <dgm:spPr/>
      <dgm:t>
        <a:bodyPr/>
        <a:lstStyle/>
        <a:p>
          <a:endParaRPr lang="en-US"/>
        </a:p>
      </dgm:t>
    </dgm:pt>
    <dgm:pt modelId="{9421FEA0-B26D-417A-B13D-5827756B8A28}">
      <dgm:prSet phldrT="[Text]" custT="1"/>
      <dgm:spPr/>
      <dgm:t>
        <a:bodyPr/>
        <a:lstStyle/>
        <a:p>
          <a:r>
            <a:rPr lang="x-none" sz="1200" b="1">
              <a:latin typeface="+mj-lt"/>
            </a:rPr>
            <a:t>Str</a:t>
          </a:r>
          <a:r>
            <a:rPr lang="en-US" sz="1200" b="1">
              <a:latin typeface="+mj-lt"/>
            </a:rPr>
            <a:t>a</a:t>
          </a:r>
          <a:r>
            <a:rPr lang="x-none" sz="1200" b="1">
              <a:latin typeface="+mj-lt"/>
            </a:rPr>
            <a:t>tegija digitalne transformacije 2022-2026</a:t>
          </a:r>
          <a:r>
            <a:rPr lang="en-US" sz="1200" b="1">
              <a:latin typeface="+mj-lt"/>
            </a:rPr>
            <a:t>.</a:t>
          </a:r>
        </a:p>
      </dgm:t>
    </dgm:pt>
    <dgm:pt modelId="{466631AF-68A5-493B-BBA5-967A3CA2845B}" type="parTrans" cxnId="{4CB764B4-225B-49A0-89E9-C3A3FBAB9013}">
      <dgm:prSet/>
      <dgm:spPr/>
      <dgm:t>
        <a:bodyPr/>
        <a:lstStyle/>
        <a:p>
          <a:endParaRPr lang="en-US"/>
        </a:p>
      </dgm:t>
    </dgm:pt>
    <dgm:pt modelId="{8BB1236D-6A3A-4FDF-B908-A21C096ED4EA}" type="sibTrans" cxnId="{4CB764B4-225B-49A0-89E9-C3A3FBAB9013}">
      <dgm:prSet/>
      <dgm:spPr/>
      <dgm:t>
        <a:bodyPr/>
        <a:lstStyle/>
        <a:p>
          <a:endParaRPr lang="en-US"/>
        </a:p>
      </dgm:t>
    </dgm:pt>
    <dgm:pt modelId="{3BC2514D-A777-434C-8412-AE941732E0C7}">
      <dgm:prSet custT="1"/>
      <dgm:spPr/>
      <dgm:t>
        <a:bodyPr/>
        <a:lstStyle/>
        <a:p>
          <a:pPr>
            <a:lnSpc>
              <a:spcPct val="100000"/>
            </a:lnSpc>
            <a:spcAft>
              <a:spcPts val="0"/>
            </a:spcAft>
          </a:pPr>
          <a:r>
            <a:rPr lang="en-US" sz="1050">
              <a:latin typeface="+mj-lt"/>
            </a:rPr>
            <a:t>USLUGE</a:t>
          </a:r>
          <a:r>
            <a:rPr lang="x-none" sz="1050">
              <a:latin typeface="+mj-lt"/>
            </a:rPr>
            <a:t>                                                                           </a:t>
          </a:r>
          <a:r>
            <a:rPr lang="en-US" sz="1050" b="1">
              <a:latin typeface="+mj-lt"/>
            </a:rPr>
            <a:t>Digitalizacija usluga </a:t>
          </a:r>
          <a:r>
            <a:rPr lang="en-US" sz="1050">
              <a:latin typeface="+mj-lt"/>
            </a:rPr>
            <a:t>za građane</a:t>
          </a:r>
          <a:r>
            <a:rPr lang="x-none" sz="1050">
              <a:latin typeface="+mj-lt"/>
            </a:rPr>
            <a:t> </a:t>
          </a:r>
        </a:p>
        <a:p>
          <a:pPr>
            <a:lnSpc>
              <a:spcPct val="100000"/>
            </a:lnSpc>
            <a:spcAft>
              <a:spcPts val="0"/>
            </a:spcAft>
          </a:pPr>
          <a:r>
            <a:rPr lang="en-US" sz="1050" b="1">
              <a:latin typeface="+mj-lt"/>
            </a:rPr>
            <a:t>Elektronsko upravljanje dokumentima</a:t>
          </a:r>
          <a:endParaRPr lang="x-none" sz="1050" b="1">
            <a:latin typeface="+mj-lt"/>
          </a:endParaRPr>
        </a:p>
        <a:p>
          <a:pPr>
            <a:lnSpc>
              <a:spcPct val="100000"/>
            </a:lnSpc>
            <a:spcAft>
              <a:spcPts val="0"/>
            </a:spcAft>
          </a:pPr>
          <a:r>
            <a:rPr lang="en-US" sz="1050">
              <a:latin typeface="+mj-lt"/>
            </a:rPr>
            <a:t> </a:t>
          </a:r>
          <a:r>
            <a:rPr lang="en-US" sz="1050" b="1">
              <a:latin typeface="+mj-lt"/>
            </a:rPr>
            <a:t>Interoperabilnost informacionih sistema </a:t>
          </a:r>
          <a:r>
            <a:rPr lang="en-US" sz="1050" b="0">
              <a:latin typeface="+mj-lt"/>
            </a:rPr>
            <a:t>u cilju</a:t>
          </a:r>
          <a:r>
            <a:rPr lang="en-US" sz="1050" b="1">
              <a:latin typeface="+mj-lt"/>
            </a:rPr>
            <a:t> pojednostavljivanja razmjene podataka</a:t>
          </a:r>
        </a:p>
      </dgm:t>
    </dgm:pt>
    <dgm:pt modelId="{61DC6842-7455-4851-BA8D-286BC52BC61C}" type="parTrans" cxnId="{EACA2212-07E2-4D35-B02A-830ABA87618D}">
      <dgm:prSet/>
      <dgm:spPr/>
      <dgm:t>
        <a:bodyPr/>
        <a:lstStyle/>
        <a:p>
          <a:endParaRPr lang="en-US"/>
        </a:p>
      </dgm:t>
    </dgm:pt>
    <dgm:pt modelId="{A0062CAB-8184-4FF8-B497-4FB93DF178B8}" type="sibTrans" cxnId="{EACA2212-07E2-4D35-B02A-830ABA87618D}">
      <dgm:prSet/>
      <dgm:spPr/>
      <dgm:t>
        <a:bodyPr/>
        <a:lstStyle/>
        <a:p>
          <a:endParaRPr lang="en-US"/>
        </a:p>
      </dgm:t>
    </dgm:pt>
    <dgm:pt modelId="{28AF6235-5DF1-483C-B85B-371A65FD2CFB}">
      <dgm:prSet custT="1"/>
      <dgm:spPr/>
      <dgm:t>
        <a:bodyPr/>
        <a:lstStyle/>
        <a:p>
          <a:pPr>
            <a:lnSpc>
              <a:spcPct val="100000"/>
            </a:lnSpc>
            <a:spcAft>
              <a:spcPts val="0"/>
            </a:spcAft>
          </a:pPr>
          <a:r>
            <a:rPr lang="en-US" sz="1050">
              <a:latin typeface="+mj-lt"/>
            </a:rPr>
            <a:t>TRANSPARENTNOST</a:t>
          </a:r>
          <a:r>
            <a:rPr lang="x-none" sz="1050">
              <a:latin typeface="+mj-lt"/>
            </a:rPr>
            <a:t>                                                           </a:t>
          </a:r>
          <a:r>
            <a:rPr lang="en-US" sz="1050">
              <a:latin typeface="+mj-lt"/>
            </a:rPr>
            <a:t> </a:t>
          </a:r>
          <a:r>
            <a:rPr lang="en-US" sz="1050" b="1">
              <a:latin typeface="+mj-lt"/>
            </a:rPr>
            <a:t>Podaci dostupni na portalu otvorenih podataka</a:t>
          </a:r>
          <a:r>
            <a:rPr lang="x-none" sz="1050" b="1">
              <a:latin typeface="+mj-lt"/>
            </a:rPr>
            <a:t> </a:t>
          </a:r>
        </a:p>
        <a:p>
          <a:pPr>
            <a:lnSpc>
              <a:spcPct val="100000"/>
            </a:lnSpc>
            <a:spcAft>
              <a:spcPts val="0"/>
            </a:spcAft>
          </a:pPr>
          <a:r>
            <a:rPr lang="en-US" sz="1050" b="1">
              <a:latin typeface="+mj-lt"/>
            </a:rPr>
            <a:t>Proaktivno objavljivanje informacija u posjedu javnih organa</a:t>
          </a:r>
        </a:p>
      </dgm:t>
    </dgm:pt>
    <dgm:pt modelId="{C8821F17-1533-4BCE-996B-E20F821000D4}" type="parTrans" cxnId="{B2BC243D-1811-4F61-A3C5-CDE30B94F955}">
      <dgm:prSet/>
      <dgm:spPr/>
      <dgm:t>
        <a:bodyPr/>
        <a:lstStyle/>
        <a:p>
          <a:endParaRPr lang="en-US"/>
        </a:p>
      </dgm:t>
    </dgm:pt>
    <dgm:pt modelId="{2E3F905C-0CDD-4660-8281-4EF259DA0B12}" type="sibTrans" cxnId="{B2BC243D-1811-4F61-A3C5-CDE30B94F955}">
      <dgm:prSet/>
      <dgm:spPr/>
      <dgm:t>
        <a:bodyPr/>
        <a:lstStyle/>
        <a:p>
          <a:endParaRPr lang="en-US"/>
        </a:p>
      </dgm:t>
    </dgm:pt>
    <dgm:pt modelId="{9D713CD0-C8A6-4823-9F1B-1A9F091056E5}">
      <dgm:prSet custT="1"/>
      <dgm:spPr/>
      <dgm:t>
        <a:bodyPr/>
        <a:lstStyle/>
        <a:p>
          <a:pPr>
            <a:lnSpc>
              <a:spcPct val="100000"/>
            </a:lnSpc>
            <a:spcAft>
              <a:spcPts val="0"/>
            </a:spcAft>
          </a:pPr>
          <a:r>
            <a:rPr lang="x-none" sz="1050">
              <a:latin typeface="+mj-lt"/>
            </a:rPr>
            <a:t>Povećana pokrivenost i modernizacija </a:t>
          </a:r>
          <a:r>
            <a:rPr lang="sr-Latn-RS" sz="1050">
              <a:latin typeface="+mj-lt"/>
            </a:rPr>
            <a:t>IKT</a:t>
          </a:r>
          <a:r>
            <a:rPr lang="x-none" sz="1050">
              <a:latin typeface="+mj-lt"/>
            </a:rPr>
            <a:t> </a:t>
          </a:r>
          <a:r>
            <a:rPr lang="x-none" sz="1050" b="1">
              <a:latin typeface="+mj-lt"/>
            </a:rPr>
            <a:t>infrastrukture</a:t>
          </a:r>
          <a:r>
            <a:rPr lang="x-none" sz="1050">
              <a:latin typeface="+mj-lt"/>
            </a:rPr>
            <a:t> </a:t>
          </a:r>
        </a:p>
        <a:p>
          <a:pPr>
            <a:lnSpc>
              <a:spcPct val="100000"/>
            </a:lnSpc>
            <a:spcAft>
              <a:spcPts val="0"/>
            </a:spcAft>
          </a:pPr>
          <a:r>
            <a:rPr lang="sr-Latn-ME" sz="1050" b="1">
              <a:latin typeface="+mj-lt"/>
            </a:rPr>
            <a:t>Razvoj i unapređenje digitalnih vještina, p</a:t>
          </a:r>
          <a:r>
            <a:rPr lang="x-none" sz="1050" b="1">
              <a:latin typeface="+mj-lt"/>
            </a:rPr>
            <a:t>odizanje svijesti </a:t>
          </a:r>
          <a:r>
            <a:rPr lang="x-none" sz="1050">
              <a:latin typeface="+mj-lt"/>
            </a:rPr>
            <a:t>građana i privrede o važnosti digitalnog razvoja </a:t>
          </a:r>
        </a:p>
        <a:p>
          <a:pPr>
            <a:lnSpc>
              <a:spcPct val="100000"/>
            </a:lnSpc>
            <a:spcAft>
              <a:spcPts val="0"/>
            </a:spcAft>
          </a:pPr>
          <a:r>
            <a:rPr lang="x-none" sz="1050">
              <a:latin typeface="+mj-lt"/>
            </a:rPr>
            <a:t>Unapređenje </a:t>
          </a:r>
          <a:r>
            <a:rPr lang="x-none" sz="1050" b="1">
              <a:latin typeface="+mj-lt"/>
            </a:rPr>
            <a:t>kvaliteta, količine i upotrebe e-usluga</a:t>
          </a:r>
          <a:endParaRPr lang="en-US" sz="1050" b="1">
            <a:latin typeface="+mj-lt"/>
          </a:endParaRPr>
        </a:p>
      </dgm:t>
    </dgm:pt>
    <dgm:pt modelId="{57997069-6CCC-4150-85BA-456E7E39D1FA}" type="parTrans" cxnId="{B9C4FC36-E785-441F-B430-65C2FAD3A809}">
      <dgm:prSet/>
      <dgm:spPr/>
      <dgm:t>
        <a:bodyPr/>
        <a:lstStyle/>
        <a:p>
          <a:endParaRPr lang="en-US"/>
        </a:p>
      </dgm:t>
    </dgm:pt>
    <dgm:pt modelId="{067CDBD8-7D1F-47D2-8B7A-9BCAC3EAB593}" type="sibTrans" cxnId="{B9C4FC36-E785-441F-B430-65C2FAD3A809}">
      <dgm:prSet/>
      <dgm:spPr/>
      <dgm:t>
        <a:bodyPr/>
        <a:lstStyle/>
        <a:p>
          <a:endParaRPr lang="en-US"/>
        </a:p>
      </dgm:t>
    </dgm:pt>
    <dgm:pt modelId="{CDA9414C-15FB-40E4-A6DA-28705B72A0F4}">
      <dgm:prSet custT="1"/>
      <dgm:spPr/>
      <dgm:t>
        <a:bodyPr/>
        <a:lstStyle/>
        <a:p>
          <a:r>
            <a:rPr lang="en-US" sz="1050">
              <a:solidFill>
                <a:sysClr val="windowText" lastClr="000000"/>
              </a:solidFill>
              <a:latin typeface="+mj-lt"/>
            </a:rPr>
            <a:t>Pove</a:t>
          </a:r>
          <a:r>
            <a:rPr lang="sr-Latn-RS" sz="1050">
              <a:solidFill>
                <a:sysClr val="windowText" lastClr="000000"/>
              </a:solidFill>
              <a:latin typeface="+mj-lt"/>
            </a:rPr>
            <a:t>ć</a:t>
          </a:r>
          <a:r>
            <a:rPr lang="en-US" sz="1050">
              <a:solidFill>
                <a:sysClr val="windowText" lastClr="000000"/>
              </a:solidFill>
              <a:latin typeface="+mj-lt"/>
            </a:rPr>
            <a:t>ana </a:t>
          </a:r>
          <a:r>
            <a:rPr lang="en-US" sz="1050" b="1">
              <a:solidFill>
                <a:sysClr val="windowText" lastClr="000000"/>
              </a:solidFill>
              <a:latin typeface="+mj-lt"/>
            </a:rPr>
            <a:t>digitalna svijest</a:t>
          </a:r>
          <a:r>
            <a:rPr lang="sr-Latn-RS" sz="1050" b="1">
              <a:solidFill>
                <a:sysClr val="windowText" lastClr="000000"/>
              </a:solidFill>
              <a:latin typeface="+mj-lt"/>
            </a:rPr>
            <a:t> i konkurentnost IKT sektora</a:t>
          </a:r>
          <a:endParaRPr lang="en-US" sz="1050" b="1">
            <a:solidFill>
              <a:sysClr val="windowText" lastClr="000000"/>
            </a:solidFill>
            <a:latin typeface="+mj-lt"/>
          </a:endParaRPr>
        </a:p>
      </dgm:t>
    </dgm:pt>
    <dgm:pt modelId="{880E23D5-B6AD-4AF3-B457-73B2DB6C5643}" type="parTrans" cxnId="{AFF1B547-B5E9-4B02-87B7-73BC45F4DE3C}">
      <dgm:prSet/>
      <dgm:spPr/>
      <dgm:t>
        <a:bodyPr/>
        <a:lstStyle/>
        <a:p>
          <a:endParaRPr lang="en-US"/>
        </a:p>
      </dgm:t>
    </dgm:pt>
    <dgm:pt modelId="{08BABBA3-ADBD-40B2-815D-B1D55D777A58}" type="sibTrans" cxnId="{AFF1B547-B5E9-4B02-87B7-73BC45F4DE3C}">
      <dgm:prSet/>
      <dgm:spPr/>
      <dgm:t>
        <a:bodyPr/>
        <a:lstStyle/>
        <a:p>
          <a:endParaRPr lang="en-US"/>
        </a:p>
      </dgm:t>
    </dgm:pt>
    <dgm:pt modelId="{955431B0-55E3-4ECA-AE24-35C5CF38DA25}" type="pres">
      <dgm:prSet presAssocID="{A516F5DF-E0D6-45BA-8D2F-9760181B1BF8}" presName="Name0" presStyleCnt="0">
        <dgm:presLayoutVars>
          <dgm:dir/>
          <dgm:animLvl val="lvl"/>
          <dgm:resizeHandles val="exact"/>
        </dgm:presLayoutVars>
      </dgm:prSet>
      <dgm:spPr/>
      <dgm:t>
        <a:bodyPr/>
        <a:lstStyle/>
        <a:p>
          <a:endParaRPr lang="en-US"/>
        </a:p>
      </dgm:t>
    </dgm:pt>
    <dgm:pt modelId="{E5722364-DF25-4C39-BA0F-6447C478A47D}" type="pres">
      <dgm:prSet presAssocID="{C757BEDB-70D0-40A4-AD6E-B0068A94074C}" presName="vertFlow" presStyleCnt="0"/>
      <dgm:spPr/>
    </dgm:pt>
    <dgm:pt modelId="{FC8F9A15-162D-47C7-8AB1-B73FE2DB8B96}" type="pres">
      <dgm:prSet presAssocID="{C757BEDB-70D0-40A4-AD6E-B0068A94074C}" presName="header" presStyleLbl="node1" presStyleIdx="0" presStyleCnt="2" custScaleX="111917"/>
      <dgm:spPr/>
      <dgm:t>
        <a:bodyPr/>
        <a:lstStyle/>
        <a:p>
          <a:endParaRPr lang="en-US"/>
        </a:p>
      </dgm:t>
    </dgm:pt>
    <dgm:pt modelId="{916F2586-D18D-43ED-A2B2-E8E9D482A905}" type="pres">
      <dgm:prSet presAssocID="{61DC6842-7455-4851-BA8D-286BC52BC61C}" presName="parTrans" presStyleLbl="sibTrans2D1" presStyleIdx="0" presStyleCnt="4"/>
      <dgm:spPr/>
      <dgm:t>
        <a:bodyPr/>
        <a:lstStyle/>
        <a:p>
          <a:endParaRPr lang="en-US"/>
        </a:p>
      </dgm:t>
    </dgm:pt>
    <dgm:pt modelId="{70C255C4-CB01-45DA-9AF5-28F6B5FAB42F}" type="pres">
      <dgm:prSet presAssocID="{3BC2514D-A777-434C-8412-AE941732E0C7}" presName="child" presStyleLbl="alignAccFollowNode1" presStyleIdx="0" presStyleCnt="4" custScaleY="161469">
        <dgm:presLayoutVars>
          <dgm:chMax val="0"/>
          <dgm:bulletEnabled val="1"/>
        </dgm:presLayoutVars>
      </dgm:prSet>
      <dgm:spPr/>
      <dgm:t>
        <a:bodyPr/>
        <a:lstStyle/>
        <a:p>
          <a:endParaRPr lang="en-US"/>
        </a:p>
      </dgm:t>
    </dgm:pt>
    <dgm:pt modelId="{B137DA6F-75AC-42B1-B199-85DA3EBA2BB6}" type="pres">
      <dgm:prSet presAssocID="{A0062CAB-8184-4FF8-B497-4FB93DF178B8}" presName="sibTrans" presStyleLbl="sibTrans2D1" presStyleIdx="1" presStyleCnt="4"/>
      <dgm:spPr/>
      <dgm:t>
        <a:bodyPr/>
        <a:lstStyle/>
        <a:p>
          <a:endParaRPr lang="en-US"/>
        </a:p>
      </dgm:t>
    </dgm:pt>
    <dgm:pt modelId="{C15D47F5-F468-4F31-AED2-C2CE19A22691}" type="pres">
      <dgm:prSet presAssocID="{28AF6235-5DF1-483C-B85B-371A65FD2CFB}" presName="child" presStyleLbl="alignAccFollowNode1" presStyleIdx="1" presStyleCnt="4" custScaleY="128027">
        <dgm:presLayoutVars>
          <dgm:chMax val="0"/>
          <dgm:bulletEnabled val="1"/>
        </dgm:presLayoutVars>
      </dgm:prSet>
      <dgm:spPr/>
      <dgm:t>
        <a:bodyPr/>
        <a:lstStyle/>
        <a:p>
          <a:endParaRPr lang="en-US"/>
        </a:p>
      </dgm:t>
    </dgm:pt>
    <dgm:pt modelId="{20E2D48D-F284-45F9-8773-993E0FF18437}" type="pres">
      <dgm:prSet presAssocID="{C757BEDB-70D0-40A4-AD6E-B0068A94074C}" presName="hSp" presStyleCnt="0"/>
      <dgm:spPr/>
    </dgm:pt>
    <dgm:pt modelId="{EBF5522C-06D0-4B16-8F38-3FA211001CB4}" type="pres">
      <dgm:prSet presAssocID="{9421FEA0-B26D-417A-B13D-5827756B8A28}" presName="vertFlow" presStyleCnt="0"/>
      <dgm:spPr/>
    </dgm:pt>
    <dgm:pt modelId="{A35B7BE7-97F3-4723-BE63-C906560FEC46}" type="pres">
      <dgm:prSet presAssocID="{9421FEA0-B26D-417A-B13D-5827756B8A28}" presName="header" presStyleLbl="node1" presStyleIdx="1" presStyleCnt="2" custScaleX="118540"/>
      <dgm:spPr/>
      <dgm:t>
        <a:bodyPr/>
        <a:lstStyle/>
        <a:p>
          <a:endParaRPr lang="en-US"/>
        </a:p>
      </dgm:t>
    </dgm:pt>
    <dgm:pt modelId="{5770DC80-757E-443D-B4BD-76FB24E662F9}" type="pres">
      <dgm:prSet presAssocID="{57997069-6CCC-4150-85BA-456E7E39D1FA}" presName="parTrans" presStyleLbl="sibTrans2D1" presStyleIdx="2" presStyleCnt="4"/>
      <dgm:spPr/>
      <dgm:t>
        <a:bodyPr/>
        <a:lstStyle/>
        <a:p>
          <a:endParaRPr lang="en-US"/>
        </a:p>
      </dgm:t>
    </dgm:pt>
    <dgm:pt modelId="{9628FC0F-F30A-48D9-ADCB-2E9F244CF65F}" type="pres">
      <dgm:prSet presAssocID="{9D713CD0-C8A6-4823-9F1B-1A9F091056E5}" presName="child" presStyleLbl="alignAccFollowNode1" presStyleIdx="2" presStyleCnt="4" custScaleX="115126" custScaleY="160719">
        <dgm:presLayoutVars>
          <dgm:chMax val="0"/>
          <dgm:bulletEnabled val="1"/>
        </dgm:presLayoutVars>
      </dgm:prSet>
      <dgm:spPr/>
      <dgm:t>
        <a:bodyPr/>
        <a:lstStyle/>
        <a:p>
          <a:endParaRPr lang="en-US"/>
        </a:p>
      </dgm:t>
    </dgm:pt>
    <dgm:pt modelId="{2D538AC4-FC40-41A3-8F15-444D5BD55932}" type="pres">
      <dgm:prSet presAssocID="{067CDBD8-7D1F-47D2-8B7A-9BCAC3EAB593}" presName="sibTrans" presStyleLbl="sibTrans2D1" presStyleIdx="3" presStyleCnt="4"/>
      <dgm:spPr/>
      <dgm:t>
        <a:bodyPr/>
        <a:lstStyle/>
        <a:p>
          <a:endParaRPr lang="en-US"/>
        </a:p>
      </dgm:t>
    </dgm:pt>
    <dgm:pt modelId="{E50100B9-5E02-498C-826E-3AE0D2043603}" type="pres">
      <dgm:prSet presAssocID="{CDA9414C-15FB-40E4-A6DA-28705B72A0F4}" presName="child" presStyleLbl="alignAccFollowNode1" presStyleIdx="3" presStyleCnt="4" custScaleX="112774" custScaleY="125293">
        <dgm:presLayoutVars>
          <dgm:chMax val="0"/>
          <dgm:bulletEnabled val="1"/>
        </dgm:presLayoutVars>
      </dgm:prSet>
      <dgm:spPr/>
      <dgm:t>
        <a:bodyPr/>
        <a:lstStyle/>
        <a:p>
          <a:endParaRPr lang="en-US"/>
        </a:p>
      </dgm:t>
    </dgm:pt>
  </dgm:ptLst>
  <dgm:cxnLst>
    <dgm:cxn modelId="{34A6023A-5E79-4FF7-9356-77EDC5679302}" type="presOf" srcId="{61DC6842-7455-4851-BA8D-286BC52BC61C}" destId="{916F2586-D18D-43ED-A2B2-E8E9D482A905}" srcOrd="0" destOrd="0" presId="urn:microsoft.com/office/officeart/2005/8/layout/lProcess1"/>
    <dgm:cxn modelId="{778A8B23-1DA6-4F3C-AFEB-C5C2462E4690}" type="presOf" srcId="{3BC2514D-A777-434C-8412-AE941732E0C7}" destId="{70C255C4-CB01-45DA-9AF5-28F6B5FAB42F}" srcOrd="0" destOrd="0" presId="urn:microsoft.com/office/officeart/2005/8/layout/lProcess1"/>
    <dgm:cxn modelId="{EACA2212-07E2-4D35-B02A-830ABA87618D}" srcId="{C757BEDB-70D0-40A4-AD6E-B0068A94074C}" destId="{3BC2514D-A777-434C-8412-AE941732E0C7}" srcOrd="0" destOrd="0" parTransId="{61DC6842-7455-4851-BA8D-286BC52BC61C}" sibTransId="{A0062CAB-8184-4FF8-B497-4FB93DF178B8}"/>
    <dgm:cxn modelId="{AFF1B547-B5E9-4B02-87B7-73BC45F4DE3C}" srcId="{9421FEA0-B26D-417A-B13D-5827756B8A28}" destId="{CDA9414C-15FB-40E4-A6DA-28705B72A0F4}" srcOrd="1" destOrd="0" parTransId="{880E23D5-B6AD-4AF3-B457-73B2DB6C5643}" sibTransId="{08BABBA3-ADBD-40B2-815D-B1D55D777A58}"/>
    <dgm:cxn modelId="{41CC13DC-01F7-48B1-8E4D-42B957800E95}" type="presOf" srcId="{A0062CAB-8184-4FF8-B497-4FB93DF178B8}" destId="{B137DA6F-75AC-42B1-B199-85DA3EBA2BB6}" srcOrd="0" destOrd="0" presId="urn:microsoft.com/office/officeart/2005/8/layout/lProcess1"/>
    <dgm:cxn modelId="{B2BC243D-1811-4F61-A3C5-CDE30B94F955}" srcId="{C757BEDB-70D0-40A4-AD6E-B0068A94074C}" destId="{28AF6235-5DF1-483C-B85B-371A65FD2CFB}" srcOrd="1" destOrd="0" parTransId="{C8821F17-1533-4BCE-996B-E20F821000D4}" sibTransId="{2E3F905C-0CDD-4660-8281-4EF259DA0B12}"/>
    <dgm:cxn modelId="{E1717256-3B4D-4F60-8B94-6767C85FD941}" type="presOf" srcId="{CDA9414C-15FB-40E4-A6DA-28705B72A0F4}" destId="{E50100B9-5E02-498C-826E-3AE0D2043603}" srcOrd="0" destOrd="0" presId="urn:microsoft.com/office/officeart/2005/8/layout/lProcess1"/>
    <dgm:cxn modelId="{B9C4FC36-E785-441F-B430-65C2FAD3A809}" srcId="{9421FEA0-B26D-417A-B13D-5827756B8A28}" destId="{9D713CD0-C8A6-4823-9F1B-1A9F091056E5}" srcOrd="0" destOrd="0" parTransId="{57997069-6CCC-4150-85BA-456E7E39D1FA}" sibTransId="{067CDBD8-7D1F-47D2-8B7A-9BCAC3EAB593}"/>
    <dgm:cxn modelId="{DC51B158-C875-4166-973F-97D4B20C2994}" type="presOf" srcId="{9D713CD0-C8A6-4823-9F1B-1A9F091056E5}" destId="{9628FC0F-F30A-48D9-ADCB-2E9F244CF65F}" srcOrd="0" destOrd="0" presId="urn:microsoft.com/office/officeart/2005/8/layout/lProcess1"/>
    <dgm:cxn modelId="{C7C86E7F-47E0-44D8-89E6-63A28EF1A35B}" type="presOf" srcId="{9421FEA0-B26D-417A-B13D-5827756B8A28}" destId="{A35B7BE7-97F3-4723-BE63-C906560FEC46}" srcOrd="0" destOrd="0" presId="urn:microsoft.com/office/officeart/2005/8/layout/lProcess1"/>
    <dgm:cxn modelId="{4CB764B4-225B-49A0-89E9-C3A3FBAB9013}" srcId="{A516F5DF-E0D6-45BA-8D2F-9760181B1BF8}" destId="{9421FEA0-B26D-417A-B13D-5827756B8A28}" srcOrd="1" destOrd="0" parTransId="{466631AF-68A5-493B-BBA5-967A3CA2845B}" sibTransId="{8BB1236D-6A3A-4FDF-B908-A21C096ED4EA}"/>
    <dgm:cxn modelId="{2315EFB5-35C4-4711-B17F-8EDEF6CBC3E8}" type="presOf" srcId="{A516F5DF-E0D6-45BA-8D2F-9760181B1BF8}" destId="{955431B0-55E3-4ECA-AE24-35C5CF38DA25}" srcOrd="0" destOrd="0" presId="urn:microsoft.com/office/officeart/2005/8/layout/lProcess1"/>
    <dgm:cxn modelId="{94F195F2-B8CC-4CBB-B338-E4A8BC477FB6}" type="presOf" srcId="{28AF6235-5DF1-483C-B85B-371A65FD2CFB}" destId="{C15D47F5-F468-4F31-AED2-C2CE19A22691}" srcOrd="0" destOrd="0" presId="urn:microsoft.com/office/officeart/2005/8/layout/lProcess1"/>
    <dgm:cxn modelId="{2C6AA574-F9CB-4764-A64D-DBD26CFD0DAC}" type="presOf" srcId="{57997069-6CCC-4150-85BA-456E7E39D1FA}" destId="{5770DC80-757E-443D-B4BD-76FB24E662F9}" srcOrd="0" destOrd="0" presId="urn:microsoft.com/office/officeart/2005/8/layout/lProcess1"/>
    <dgm:cxn modelId="{51469A6A-0631-47EE-BE15-64FF06FBA30E}" srcId="{A516F5DF-E0D6-45BA-8D2F-9760181B1BF8}" destId="{C757BEDB-70D0-40A4-AD6E-B0068A94074C}" srcOrd="0" destOrd="0" parTransId="{95EBC4C1-42B2-4243-8DE9-0849482A1259}" sibTransId="{73FBC472-26D6-4F0B-B229-62126279FE22}"/>
    <dgm:cxn modelId="{5740F5E8-9E68-4E60-9AE8-244BF4F278BE}" type="presOf" srcId="{067CDBD8-7D1F-47D2-8B7A-9BCAC3EAB593}" destId="{2D538AC4-FC40-41A3-8F15-444D5BD55932}" srcOrd="0" destOrd="0" presId="urn:microsoft.com/office/officeart/2005/8/layout/lProcess1"/>
    <dgm:cxn modelId="{42D4EC3C-A60D-497A-8243-5CB644BF8A44}" type="presOf" srcId="{C757BEDB-70D0-40A4-AD6E-B0068A94074C}" destId="{FC8F9A15-162D-47C7-8AB1-B73FE2DB8B96}" srcOrd="0" destOrd="0" presId="urn:microsoft.com/office/officeart/2005/8/layout/lProcess1"/>
    <dgm:cxn modelId="{ED63FFB8-32DF-4BE6-9731-500A369048BA}" type="presParOf" srcId="{955431B0-55E3-4ECA-AE24-35C5CF38DA25}" destId="{E5722364-DF25-4C39-BA0F-6447C478A47D}" srcOrd="0" destOrd="0" presId="urn:microsoft.com/office/officeart/2005/8/layout/lProcess1"/>
    <dgm:cxn modelId="{CED49C24-4EA9-49C8-8D74-A73630F9FA71}" type="presParOf" srcId="{E5722364-DF25-4C39-BA0F-6447C478A47D}" destId="{FC8F9A15-162D-47C7-8AB1-B73FE2DB8B96}" srcOrd="0" destOrd="0" presId="urn:microsoft.com/office/officeart/2005/8/layout/lProcess1"/>
    <dgm:cxn modelId="{E51EB2AB-B4DE-4382-AA5F-D67A56F2E9AD}" type="presParOf" srcId="{E5722364-DF25-4C39-BA0F-6447C478A47D}" destId="{916F2586-D18D-43ED-A2B2-E8E9D482A905}" srcOrd="1" destOrd="0" presId="urn:microsoft.com/office/officeart/2005/8/layout/lProcess1"/>
    <dgm:cxn modelId="{64B4CDF3-4439-4976-83A1-FD6D8A2C95BE}" type="presParOf" srcId="{E5722364-DF25-4C39-BA0F-6447C478A47D}" destId="{70C255C4-CB01-45DA-9AF5-28F6B5FAB42F}" srcOrd="2" destOrd="0" presId="urn:microsoft.com/office/officeart/2005/8/layout/lProcess1"/>
    <dgm:cxn modelId="{9AF9F08D-53C0-4ED8-8CB9-2FD142916366}" type="presParOf" srcId="{E5722364-DF25-4C39-BA0F-6447C478A47D}" destId="{B137DA6F-75AC-42B1-B199-85DA3EBA2BB6}" srcOrd="3" destOrd="0" presId="urn:microsoft.com/office/officeart/2005/8/layout/lProcess1"/>
    <dgm:cxn modelId="{D6EFF661-BE24-4B6E-BBBD-3A020D97A59B}" type="presParOf" srcId="{E5722364-DF25-4C39-BA0F-6447C478A47D}" destId="{C15D47F5-F468-4F31-AED2-C2CE19A22691}" srcOrd="4" destOrd="0" presId="urn:microsoft.com/office/officeart/2005/8/layout/lProcess1"/>
    <dgm:cxn modelId="{729646C7-8E1C-409A-A14B-9142084881F6}" type="presParOf" srcId="{955431B0-55E3-4ECA-AE24-35C5CF38DA25}" destId="{20E2D48D-F284-45F9-8773-993E0FF18437}" srcOrd="1" destOrd="0" presId="urn:microsoft.com/office/officeart/2005/8/layout/lProcess1"/>
    <dgm:cxn modelId="{42EA74A3-8ACE-43FD-AABD-96AD446C99A0}" type="presParOf" srcId="{955431B0-55E3-4ECA-AE24-35C5CF38DA25}" destId="{EBF5522C-06D0-4B16-8F38-3FA211001CB4}" srcOrd="2" destOrd="0" presId="urn:microsoft.com/office/officeart/2005/8/layout/lProcess1"/>
    <dgm:cxn modelId="{019E4D21-7543-47D3-A76C-D86B2B18A2F3}" type="presParOf" srcId="{EBF5522C-06D0-4B16-8F38-3FA211001CB4}" destId="{A35B7BE7-97F3-4723-BE63-C906560FEC46}" srcOrd="0" destOrd="0" presId="urn:microsoft.com/office/officeart/2005/8/layout/lProcess1"/>
    <dgm:cxn modelId="{EF657B2C-C789-47BE-B90F-6F9ADE62D9ED}" type="presParOf" srcId="{EBF5522C-06D0-4B16-8F38-3FA211001CB4}" destId="{5770DC80-757E-443D-B4BD-76FB24E662F9}" srcOrd="1" destOrd="0" presId="urn:microsoft.com/office/officeart/2005/8/layout/lProcess1"/>
    <dgm:cxn modelId="{3D23BCDE-4E4E-426D-91A8-4149D28C6B7A}" type="presParOf" srcId="{EBF5522C-06D0-4B16-8F38-3FA211001CB4}" destId="{9628FC0F-F30A-48D9-ADCB-2E9F244CF65F}" srcOrd="2" destOrd="0" presId="urn:microsoft.com/office/officeart/2005/8/layout/lProcess1"/>
    <dgm:cxn modelId="{7BF70A70-A2BF-4A9C-A125-5DAFC10C4DCA}" type="presParOf" srcId="{EBF5522C-06D0-4B16-8F38-3FA211001CB4}" destId="{2D538AC4-FC40-41A3-8F15-444D5BD55932}" srcOrd="3" destOrd="0" presId="urn:microsoft.com/office/officeart/2005/8/layout/lProcess1"/>
    <dgm:cxn modelId="{0C8E9AD0-5CA2-401B-AAE9-6FCAE3AD275E}" type="presParOf" srcId="{EBF5522C-06D0-4B16-8F38-3FA211001CB4}" destId="{E50100B9-5E02-498C-826E-3AE0D2043603}" srcOrd="4" destOrd="0" presId="urn:microsoft.com/office/officeart/2005/8/layout/lProcess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FCCA4F9-B384-41BE-A7CA-9A790ED8C053}" type="doc">
      <dgm:prSet loTypeId="urn:microsoft.com/office/officeart/2009/layout/ReverseList" loCatId="relationship" qsTypeId="urn:microsoft.com/office/officeart/2005/8/quickstyle/3d2" qsCatId="3D" csTypeId="urn:microsoft.com/office/officeart/2005/8/colors/colorful1" csCatId="colorful" phldr="1"/>
      <dgm:spPr/>
      <dgm:t>
        <a:bodyPr/>
        <a:lstStyle/>
        <a:p>
          <a:endParaRPr lang="en-US"/>
        </a:p>
      </dgm:t>
    </dgm:pt>
    <dgm:pt modelId="{D67B5243-9F81-4DC7-8E1C-DC3558824AAF}">
      <dgm:prSet phldrT="[Text]" custT="1"/>
      <dgm:spPr/>
      <dgm:t>
        <a:bodyPr/>
        <a:lstStyle/>
        <a:p>
          <a:pPr algn="l"/>
          <a:r>
            <a:rPr lang="en-US" sz="1100" b="1">
              <a:latin typeface="+mj-lt"/>
            </a:rPr>
            <a:t>Str</a:t>
          </a:r>
          <a:r>
            <a:rPr lang="sr-Latn-RS" sz="1100" b="1">
              <a:latin typeface="+mj-lt"/>
            </a:rPr>
            <a:t>a</a:t>
          </a:r>
          <a:r>
            <a:rPr lang="en-US" sz="1100" b="1">
              <a:latin typeface="+mj-lt"/>
            </a:rPr>
            <a:t>tegija reforme javne uprave </a:t>
          </a:r>
          <a:endParaRPr lang="sr-Latn-RS" sz="1100" b="1">
            <a:latin typeface="+mj-lt"/>
          </a:endParaRPr>
        </a:p>
        <a:p>
          <a:pPr algn="l"/>
          <a:r>
            <a:rPr lang="en-US" sz="1100" b="1">
              <a:latin typeface="+mj-lt"/>
            </a:rPr>
            <a:t>2022-2026.</a:t>
          </a:r>
        </a:p>
        <a:p>
          <a:pPr algn="l"/>
          <a:endParaRPr lang="en-US" sz="300">
            <a:latin typeface="+mj-lt"/>
          </a:endParaRPr>
        </a:p>
        <a:p>
          <a:pPr algn="just"/>
          <a:r>
            <a:rPr lang="en-US" sz="1000">
              <a:latin typeface="+mj-lt"/>
            </a:rPr>
            <a:t>USLUGE</a:t>
          </a:r>
        </a:p>
        <a:p>
          <a:pPr algn="just"/>
          <a:r>
            <a:rPr lang="en-US" sz="1000">
              <a:latin typeface="+mj-lt"/>
            </a:rPr>
            <a:t>Efikasno pružanje usluga na osnovu potreba građana</a:t>
          </a:r>
        </a:p>
        <a:p>
          <a:pPr algn="just"/>
          <a:r>
            <a:rPr lang="en-US" sz="1000">
              <a:latin typeface="+mj-lt"/>
            </a:rPr>
            <a:t>JAVNE POLITIKE</a:t>
          </a:r>
        </a:p>
        <a:p>
          <a:pPr algn="just"/>
          <a:r>
            <a:rPr lang="en-US" sz="1000">
              <a:latin typeface="+mj-lt"/>
            </a:rPr>
            <a:t>Jačanje sistema planiranja zasnovanog na podacima koje vodi ka kreiranju održivih politika i postizanju prioriteta Vlade </a:t>
          </a:r>
        </a:p>
        <a:p>
          <a:pPr algn="just"/>
          <a:r>
            <a:rPr lang="en-US" sz="1000">
              <a:latin typeface="+mj-lt"/>
            </a:rPr>
            <a:t>Unapređenje institucionalne koordinacije za snažnije efekte javnih politika </a:t>
          </a:r>
        </a:p>
      </dgm:t>
    </dgm:pt>
    <dgm:pt modelId="{CFEECDFB-5B79-4C91-8E40-B9736E39861F}" type="parTrans" cxnId="{0700E0AA-F203-4523-BBFA-097D0D9E0259}">
      <dgm:prSet/>
      <dgm:spPr/>
      <dgm:t>
        <a:bodyPr/>
        <a:lstStyle/>
        <a:p>
          <a:endParaRPr lang="en-US"/>
        </a:p>
      </dgm:t>
    </dgm:pt>
    <dgm:pt modelId="{70709659-7974-4F8B-9F1B-C68C54B1F0B6}" type="sibTrans" cxnId="{0700E0AA-F203-4523-BBFA-097D0D9E0259}">
      <dgm:prSet/>
      <dgm:spPr/>
      <dgm:t>
        <a:bodyPr/>
        <a:lstStyle/>
        <a:p>
          <a:endParaRPr lang="en-US"/>
        </a:p>
      </dgm:t>
    </dgm:pt>
    <dgm:pt modelId="{8150A7AA-1F5E-4A0C-9BEA-AD516CB45ECC}">
      <dgm:prSet phldrT="[Text]" custT="1"/>
      <dgm:spPr/>
      <dgm:t>
        <a:bodyPr/>
        <a:lstStyle/>
        <a:p>
          <a:pPr algn="just"/>
          <a:r>
            <a:rPr lang="en-US" sz="1100" b="1">
              <a:latin typeface="+mj-lt"/>
            </a:rPr>
            <a:t>Strategija saradnje između organa državne uprave i nevladinih organizacija 2022-2026. </a:t>
          </a:r>
        </a:p>
        <a:p>
          <a:pPr algn="just"/>
          <a:r>
            <a:rPr lang="en-US" sz="1000" b="0">
              <a:latin typeface="+mj-lt"/>
            </a:rPr>
            <a:t>Unaprediti normativni okvir i strateško (dugoročno i srednjoročno) planiranje razvoja, saradnje i finansiranja NVO u ključnim oblastima javnih politika</a:t>
          </a:r>
          <a:endParaRPr lang="sr-Latn-RS" sz="1000" b="0">
            <a:latin typeface="+mj-lt"/>
          </a:endParaRPr>
        </a:p>
        <a:p>
          <a:pPr algn="just"/>
          <a:endParaRPr lang="en-US" sz="1000" b="0">
            <a:latin typeface="+mj-lt"/>
          </a:endParaRPr>
        </a:p>
        <a:p>
          <a:pPr algn="just"/>
          <a:r>
            <a:rPr lang="en-US" sz="1000" b="0">
              <a:latin typeface="+mj-lt"/>
            </a:rPr>
            <a:t>Operativni cilj 1.2 Ojačati kapacitete javne uprave za efikasno učešće nevladinih organizacija u pripremi i primjeni javnih</a:t>
          </a:r>
          <a:r>
            <a:rPr lang="x-none" sz="1000" b="0">
              <a:latin typeface="+mj-lt"/>
            </a:rPr>
            <a:t> politika</a:t>
          </a:r>
          <a:endParaRPr lang="en-US" sz="1000" b="0">
            <a:latin typeface="+mj-lt"/>
          </a:endParaRPr>
        </a:p>
      </dgm:t>
    </dgm:pt>
    <dgm:pt modelId="{9D4EF565-FB85-4899-B27E-C358F4A4E8B4}" type="parTrans" cxnId="{980782B8-DD25-4CAD-AD9E-4FB22854EF59}">
      <dgm:prSet/>
      <dgm:spPr/>
      <dgm:t>
        <a:bodyPr/>
        <a:lstStyle/>
        <a:p>
          <a:endParaRPr lang="en-US"/>
        </a:p>
      </dgm:t>
    </dgm:pt>
    <dgm:pt modelId="{2A42D8A8-8C12-4542-8F46-F744E6AADF33}" type="sibTrans" cxnId="{980782B8-DD25-4CAD-AD9E-4FB22854EF59}">
      <dgm:prSet/>
      <dgm:spPr/>
      <dgm:t>
        <a:bodyPr/>
        <a:lstStyle/>
        <a:p>
          <a:endParaRPr lang="en-US"/>
        </a:p>
      </dgm:t>
    </dgm:pt>
    <dgm:pt modelId="{E6EFACED-B7F8-4E5F-97EA-2ABE2A649AA8}" type="pres">
      <dgm:prSet presAssocID="{1FCCA4F9-B384-41BE-A7CA-9A790ED8C053}" presName="Name0" presStyleCnt="0">
        <dgm:presLayoutVars>
          <dgm:chMax val="2"/>
          <dgm:chPref val="2"/>
          <dgm:animLvl val="lvl"/>
        </dgm:presLayoutVars>
      </dgm:prSet>
      <dgm:spPr/>
      <dgm:t>
        <a:bodyPr/>
        <a:lstStyle/>
        <a:p>
          <a:endParaRPr lang="en-US"/>
        </a:p>
      </dgm:t>
    </dgm:pt>
    <dgm:pt modelId="{D420C4FC-924F-4CDE-95EA-8FFE832258C3}" type="pres">
      <dgm:prSet presAssocID="{1FCCA4F9-B384-41BE-A7CA-9A790ED8C053}" presName="LeftText" presStyleLbl="revTx" presStyleIdx="0" presStyleCnt="0">
        <dgm:presLayoutVars>
          <dgm:bulletEnabled val="1"/>
        </dgm:presLayoutVars>
      </dgm:prSet>
      <dgm:spPr/>
      <dgm:t>
        <a:bodyPr/>
        <a:lstStyle/>
        <a:p>
          <a:endParaRPr lang="en-US"/>
        </a:p>
      </dgm:t>
    </dgm:pt>
    <dgm:pt modelId="{A83E0C81-E8D4-4A73-ACCD-5E29362F5364}" type="pres">
      <dgm:prSet presAssocID="{1FCCA4F9-B384-41BE-A7CA-9A790ED8C053}" presName="LeftNode" presStyleLbl="bgImgPlace1" presStyleIdx="0" presStyleCnt="2" custScaleX="239685" custScaleY="140902" custLinFactNeighborX="-69087" custLinFactNeighborY="-1111">
        <dgm:presLayoutVars>
          <dgm:chMax val="2"/>
          <dgm:chPref val="2"/>
        </dgm:presLayoutVars>
      </dgm:prSet>
      <dgm:spPr/>
      <dgm:t>
        <a:bodyPr/>
        <a:lstStyle/>
        <a:p>
          <a:endParaRPr lang="en-US"/>
        </a:p>
      </dgm:t>
    </dgm:pt>
    <dgm:pt modelId="{639FEFBE-C657-413E-B04B-21BDE4502C07}" type="pres">
      <dgm:prSet presAssocID="{1FCCA4F9-B384-41BE-A7CA-9A790ED8C053}" presName="RightText" presStyleLbl="revTx" presStyleIdx="0" presStyleCnt="0">
        <dgm:presLayoutVars>
          <dgm:bulletEnabled val="1"/>
        </dgm:presLayoutVars>
      </dgm:prSet>
      <dgm:spPr/>
      <dgm:t>
        <a:bodyPr/>
        <a:lstStyle/>
        <a:p>
          <a:endParaRPr lang="en-US"/>
        </a:p>
      </dgm:t>
    </dgm:pt>
    <dgm:pt modelId="{4ECC72AF-6E52-42CB-B903-FF80683D9214}" type="pres">
      <dgm:prSet presAssocID="{1FCCA4F9-B384-41BE-A7CA-9A790ED8C053}" presName="RightNode" presStyleLbl="bgImgPlace1" presStyleIdx="1" presStyleCnt="2" custScaleX="239685" custScaleY="140902" custLinFactNeighborX="64774" custLinFactNeighborY="-1430">
        <dgm:presLayoutVars>
          <dgm:chMax val="0"/>
          <dgm:chPref val="0"/>
        </dgm:presLayoutVars>
      </dgm:prSet>
      <dgm:spPr/>
      <dgm:t>
        <a:bodyPr/>
        <a:lstStyle/>
        <a:p>
          <a:endParaRPr lang="en-US"/>
        </a:p>
      </dgm:t>
    </dgm:pt>
    <dgm:pt modelId="{90D9C2FC-B1E3-4433-A50F-D68631D4252E}" type="pres">
      <dgm:prSet presAssocID="{1FCCA4F9-B384-41BE-A7CA-9A790ED8C053}" presName="TopArrow" presStyleLbl="node1" presStyleIdx="0" presStyleCnt="2" custScaleY="62693" custLinFactNeighborX="-3602" custLinFactNeighborY="-25213"/>
      <dgm:spPr>
        <a:solidFill>
          <a:schemeClr val="accent5">
            <a:lumMod val="40000"/>
            <a:lumOff val="60000"/>
          </a:schemeClr>
        </a:solidFill>
      </dgm:spPr>
    </dgm:pt>
    <dgm:pt modelId="{45FD2907-BDB5-47D8-8661-884FFE4009CF}" type="pres">
      <dgm:prSet presAssocID="{1FCCA4F9-B384-41BE-A7CA-9A790ED8C053}" presName="BottomArrow" presStyleLbl="node1" presStyleIdx="1" presStyleCnt="2" custScaleY="62693" custLinFactNeighborY="27374"/>
      <dgm:spPr>
        <a:solidFill>
          <a:schemeClr val="accent5">
            <a:lumMod val="40000"/>
            <a:lumOff val="60000"/>
          </a:schemeClr>
        </a:solidFill>
      </dgm:spPr>
    </dgm:pt>
  </dgm:ptLst>
  <dgm:cxnLst>
    <dgm:cxn modelId="{0700E0AA-F203-4523-BBFA-097D0D9E0259}" srcId="{1FCCA4F9-B384-41BE-A7CA-9A790ED8C053}" destId="{D67B5243-9F81-4DC7-8E1C-DC3558824AAF}" srcOrd="0" destOrd="0" parTransId="{CFEECDFB-5B79-4C91-8E40-B9736E39861F}" sibTransId="{70709659-7974-4F8B-9F1B-C68C54B1F0B6}"/>
    <dgm:cxn modelId="{D677D278-2263-416C-894D-FC05F90A1420}" type="presOf" srcId="{8150A7AA-1F5E-4A0C-9BEA-AD516CB45ECC}" destId="{639FEFBE-C657-413E-B04B-21BDE4502C07}" srcOrd="0" destOrd="0" presId="urn:microsoft.com/office/officeart/2009/layout/ReverseList"/>
    <dgm:cxn modelId="{1D73CFC1-5826-4E01-B445-B62E2C45A557}" type="presOf" srcId="{D67B5243-9F81-4DC7-8E1C-DC3558824AAF}" destId="{A83E0C81-E8D4-4A73-ACCD-5E29362F5364}" srcOrd="1" destOrd="0" presId="urn:microsoft.com/office/officeart/2009/layout/ReverseList"/>
    <dgm:cxn modelId="{2C4BDED8-59DA-4DD4-9A41-ADF260DB0E6F}" type="presOf" srcId="{1FCCA4F9-B384-41BE-A7CA-9A790ED8C053}" destId="{E6EFACED-B7F8-4E5F-97EA-2ABE2A649AA8}" srcOrd="0" destOrd="0" presId="urn:microsoft.com/office/officeart/2009/layout/ReverseList"/>
    <dgm:cxn modelId="{F3D95E19-8434-4213-A4BF-CC0A3FC1A903}" type="presOf" srcId="{8150A7AA-1F5E-4A0C-9BEA-AD516CB45ECC}" destId="{4ECC72AF-6E52-42CB-B903-FF80683D9214}" srcOrd="1" destOrd="0" presId="urn:microsoft.com/office/officeart/2009/layout/ReverseList"/>
    <dgm:cxn modelId="{3DA5B9AE-0085-4734-A1DF-381F986C73C7}" type="presOf" srcId="{D67B5243-9F81-4DC7-8E1C-DC3558824AAF}" destId="{D420C4FC-924F-4CDE-95EA-8FFE832258C3}" srcOrd="0" destOrd="0" presId="urn:microsoft.com/office/officeart/2009/layout/ReverseList"/>
    <dgm:cxn modelId="{980782B8-DD25-4CAD-AD9E-4FB22854EF59}" srcId="{1FCCA4F9-B384-41BE-A7CA-9A790ED8C053}" destId="{8150A7AA-1F5E-4A0C-9BEA-AD516CB45ECC}" srcOrd="1" destOrd="0" parTransId="{9D4EF565-FB85-4899-B27E-C358F4A4E8B4}" sibTransId="{2A42D8A8-8C12-4542-8F46-F744E6AADF33}"/>
    <dgm:cxn modelId="{0ADC397A-2762-4EDD-A616-64EB74F2F6AD}" type="presParOf" srcId="{E6EFACED-B7F8-4E5F-97EA-2ABE2A649AA8}" destId="{D420C4FC-924F-4CDE-95EA-8FFE832258C3}" srcOrd="0" destOrd="0" presId="urn:microsoft.com/office/officeart/2009/layout/ReverseList"/>
    <dgm:cxn modelId="{37A383CE-0074-4A01-9387-D20F62B92822}" type="presParOf" srcId="{E6EFACED-B7F8-4E5F-97EA-2ABE2A649AA8}" destId="{A83E0C81-E8D4-4A73-ACCD-5E29362F5364}" srcOrd="1" destOrd="0" presId="urn:microsoft.com/office/officeart/2009/layout/ReverseList"/>
    <dgm:cxn modelId="{522178B1-D07F-451C-B1E2-6E43CF6C4CCA}" type="presParOf" srcId="{E6EFACED-B7F8-4E5F-97EA-2ABE2A649AA8}" destId="{639FEFBE-C657-413E-B04B-21BDE4502C07}" srcOrd="2" destOrd="0" presId="urn:microsoft.com/office/officeart/2009/layout/ReverseList"/>
    <dgm:cxn modelId="{E2639DAD-B0A4-4A63-A983-2AE16B6231B0}" type="presParOf" srcId="{E6EFACED-B7F8-4E5F-97EA-2ABE2A649AA8}" destId="{4ECC72AF-6E52-42CB-B903-FF80683D9214}" srcOrd="3" destOrd="0" presId="urn:microsoft.com/office/officeart/2009/layout/ReverseList"/>
    <dgm:cxn modelId="{8AF755E6-080B-4A0C-96F3-CB2C574A23B9}" type="presParOf" srcId="{E6EFACED-B7F8-4E5F-97EA-2ABE2A649AA8}" destId="{90D9C2FC-B1E3-4433-A50F-D68631D4252E}" srcOrd="4" destOrd="0" presId="urn:microsoft.com/office/officeart/2009/layout/ReverseList"/>
    <dgm:cxn modelId="{C1B8AE7E-4000-4EB5-85D4-18CECFA22A44}" type="presParOf" srcId="{E6EFACED-B7F8-4E5F-97EA-2ABE2A649AA8}" destId="{45FD2907-BDB5-47D8-8661-884FFE4009CF}" srcOrd="5" destOrd="0" presId="urn:microsoft.com/office/officeart/2009/layout/ReverseLis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BCD83FE-57D6-46A9-B1FD-77B6B9B074C5}"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9366A57A-294B-407C-8F95-E39BEB1B5054}">
      <dgm:prSet phldrT="[Text]"/>
      <dgm:spPr>
        <a:xfrm>
          <a:off x="184308" y="892"/>
          <a:ext cx="1599307" cy="959584"/>
        </a:xfrm>
        <a:solidFill>
          <a:srgbClr val="DC9E1F"/>
        </a:solidFill>
        <a:ln w="25400" cap="flat" cmpd="sng" algn="ctr">
          <a:solidFill>
            <a:srgbClr val="FFFFFF">
              <a:hueOff val="0"/>
              <a:satOff val="0"/>
              <a:lumOff val="0"/>
              <a:alphaOff val="0"/>
            </a:srgbClr>
          </a:solidFill>
          <a:prstDash val="solid"/>
        </a:ln>
        <a:effectLst/>
      </dgm:spPr>
      <dgm:t>
        <a:bodyPr/>
        <a:lstStyle/>
        <a:p>
          <a:r>
            <a:rPr lang="x-none">
              <a:solidFill>
                <a:srgbClr val="FFFFFF"/>
              </a:solidFill>
              <a:latin typeface="Cambria"/>
              <a:ea typeface="+mn-ea"/>
              <a:cs typeface="+mn-cs"/>
            </a:rPr>
            <a:t>Povjerenje</a:t>
          </a:r>
          <a:endParaRPr lang="en-US">
            <a:solidFill>
              <a:srgbClr val="FFFFFF"/>
            </a:solidFill>
            <a:latin typeface="Cambria"/>
            <a:ea typeface="+mn-ea"/>
            <a:cs typeface="+mn-cs"/>
          </a:endParaRPr>
        </a:p>
      </dgm:t>
    </dgm:pt>
    <dgm:pt modelId="{C50DDC98-71AB-4D08-A9BF-0BC3D5D5C6ED}" type="parTrans" cxnId="{353C6BB3-39AA-4CAE-A1D1-BBF6173B77C8}">
      <dgm:prSet/>
      <dgm:spPr/>
      <dgm:t>
        <a:bodyPr/>
        <a:lstStyle/>
        <a:p>
          <a:endParaRPr lang="en-US"/>
        </a:p>
      </dgm:t>
    </dgm:pt>
    <dgm:pt modelId="{A83A9467-618C-402C-8764-4149B454885C}" type="sibTrans" cxnId="{353C6BB3-39AA-4CAE-A1D1-BBF6173B77C8}">
      <dgm:prSet/>
      <dgm:spPr/>
      <dgm:t>
        <a:bodyPr/>
        <a:lstStyle/>
        <a:p>
          <a:endParaRPr lang="en-US"/>
        </a:p>
      </dgm:t>
    </dgm:pt>
    <dgm:pt modelId="{8A826CE4-9868-4884-87C2-6DDBB08FF242}">
      <dgm:prSet phldrT="[Text]"/>
      <dgm:spPr>
        <a:xfrm>
          <a:off x="1943546" y="892"/>
          <a:ext cx="1599307" cy="959584"/>
        </a:xfrm>
        <a:solidFill>
          <a:srgbClr val="CC8E60">
            <a:lumMod val="60000"/>
            <a:lumOff val="40000"/>
          </a:srgbClr>
        </a:solidFill>
        <a:ln w="25400" cap="flat" cmpd="sng" algn="ctr">
          <a:solidFill>
            <a:srgbClr val="FFFFFF">
              <a:hueOff val="0"/>
              <a:satOff val="0"/>
              <a:lumOff val="0"/>
              <a:alphaOff val="0"/>
            </a:srgbClr>
          </a:solidFill>
          <a:prstDash val="solid"/>
        </a:ln>
        <a:effectLst/>
      </dgm:spPr>
      <dgm:t>
        <a:bodyPr/>
        <a:lstStyle/>
        <a:p>
          <a:r>
            <a:rPr lang="x-none">
              <a:solidFill>
                <a:srgbClr val="FFFFFF"/>
              </a:solidFill>
              <a:latin typeface="Cambria"/>
              <a:ea typeface="+mn-ea"/>
              <a:cs typeface="+mn-cs"/>
            </a:rPr>
            <a:t>Jednakost</a:t>
          </a:r>
          <a:endParaRPr lang="en-US">
            <a:solidFill>
              <a:srgbClr val="FFFFFF"/>
            </a:solidFill>
            <a:latin typeface="Cambria"/>
            <a:ea typeface="+mn-ea"/>
            <a:cs typeface="+mn-cs"/>
          </a:endParaRPr>
        </a:p>
      </dgm:t>
    </dgm:pt>
    <dgm:pt modelId="{1C18EE46-F4AA-4291-90C0-56CD69806977}" type="parTrans" cxnId="{ECF99BEE-F2B6-4E06-8D44-C2C58239D779}">
      <dgm:prSet/>
      <dgm:spPr/>
      <dgm:t>
        <a:bodyPr/>
        <a:lstStyle/>
        <a:p>
          <a:endParaRPr lang="en-US"/>
        </a:p>
      </dgm:t>
    </dgm:pt>
    <dgm:pt modelId="{7F030B82-F81D-4F24-BBEA-7F62FE3F4DA7}" type="sibTrans" cxnId="{ECF99BEE-F2B6-4E06-8D44-C2C58239D779}">
      <dgm:prSet/>
      <dgm:spPr/>
      <dgm:t>
        <a:bodyPr/>
        <a:lstStyle/>
        <a:p>
          <a:endParaRPr lang="en-US"/>
        </a:p>
      </dgm:t>
    </dgm:pt>
    <dgm:pt modelId="{64C65C57-5524-4610-ADE8-415BBCAC93AA}">
      <dgm:prSet phldrT="[Text]"/>
      <dgm:spPr>
        <a:xfrm>
          <a:off x="3702784" y="892"/>
          <a:ext cx="1599307" cy="959584"/>
        </a:xfrm>
        <a:solidFill>
          <a:srgbClr val="7A6A60">
            <a:lumMod val="60000"/>
            <a:lumOff val="40000"/>
          </a:srgbClr>
        </a:solidFill>
        <a:ln w="25400" cap="flat" cmpd="sng" algn="ctr">
          <a:solidFill>
            <a:srgbClr val="FFFFFF">
              <a:hueOff val="0"/>
              <a:satOff val="0"/>
              <a:lumOff val="0"/>
              <a:alphaOff val="0"/>
            </a:srgbClr>
          </a:solidFill>
          <a:prstDash val="solid"/>
        </a:ln>
        <a:effectLst/>
      </dgm:spPr>
      <dgm:t>
        <a:bodyPr/>
        <a:lstStyle/>
        <a:p>
          <a:r>
            <a:rPr lang="x-none">
              <a:solidFill>
                <a:srgbClr val="FFFFFF"/>
              </a:solidFill>
              <a:latin typeface="Cambria"/>
              <a:ea typeface="+mn-ea"/>
              <a:cs typeface="+mn-cs"/>
            </a:rPr>
            <a:t>Nepristranost</a:t>
          </a:r>
          <a:endParaRPr lang="en-US">
            <a:solidFill>
              <a:srgbClr val="FFFFFF"/>
            </a:solidFill>
            <a:latin typeface="Cambria"/>
            <a:ea typeface="+mn-ea"/>
            <a:cs typeface="+mn-cs"/>
          </a:endParaRPr>
        </a:p>
      </dgm:t>
    </dgm:pt>
    <dgm:pt modelId="{AAD6CD51-AFE4-487B-8FA7-6A6DFAFE63EF}" type="parTrans" cxnId="{EF9AAEA6-33BB-47E9-B9FA-D60CA9AADC47}">
      <dgm:prSet/>
      <dgm:spPr/>
      <dgm:t>
        <a:bodyPr/>
        <a:lstStyle/>
        <a:p>
          <a:endParaRPr lang="en-US"/>
        </a:p>
      </dgm:t>
    </dgm:pt>
    <dgm:pt modelId="{6CCB82B3-A3EB-40B8-9F80-C280E5A8A932}" type="sibTrans" cxnId="{EF9AAEA6-33BB-47E9-B9FA-D60CA9AADC47}">
      <dgm:prSet/>
      <dgm:spPr/>
      <dgm:t>
        <a:bodyPr/>
        <a:lstStyle/>
        <a:p>
          <a:endParaRPr lang="en-US"/>
        </a:p>
      </dgm:t>
    </dgm:pt>
    <dgm:pt modelId="{6E3D1A11-8814-46AE-812F-32F14D319249}">
      <dgm:prSet phldrT="[Text]"/>
      <dgm:spPr>
        <a:xfrm>
          <a:off x="184308" y="1120407"/>
          <a:ext cx="1599307" cy="959584"/>
        </a:xfrm>
        <a:solidFill>
          <a:srgbClr val="00B050"/>
        </a:solidFill>
        <a:ln w="25400" cap="flat" cmpd="sng" algn="ctr">
          <a:solidFill>
            <a:srgbClr val="FFFFFF">
              <a:hueOff val="0"/>
              <a:satOff val="0"/>
              <a:lumOff val="0"/>
              <a:alphaOff val="0"/>
            </a:srgbClr>
          </a:solidFill>
          <a:prstDash val="solid"/>
        </a:ln>
        <a:effectLst/>
      </dgm:spPr>
      <dgm:t>
        <a:bodyPr/>
        <a:lstStyle/>
        <a:p>
          <a:r>
            <a:rPr lang="x-none">
              <a:solidFill>
                <a:srgbClr val="FFFFFF"/>
              </a:solidFill>
              <a:latin typeface="Cambria"/>
              <a:ea typeface="+mn-ea"/>
              <a:cs typeface="+mn-cs"/>
            </a:rPr>
            <a:t>Transparentnost</a:t>
          </a:r>
          <a:endParaRPr lang="en-US">
            <a:solidFill>
              <a:srgbClr val="FFFFFF"/>
            </a:solidFill>
            <a:latin typeface="Cambria"/>
            <a:ea typeface="+mn-ea"/>
            <a:cs typeface="+mn-cs"/>
          </a:endParaRPr>
        </a:p>
      </dgm:t>
    </dgm:pt>
    <dgm:pt modelId="{0D4C23EC-26F9-4651-8017-23A552B218FD}" type="parTrans" cxnId="{8CE1D395-EB21-41E0-9D40-E8CC77C566E3}">
      <dgm:prSet/>
      <dgm:spPr/>
      <dgm:t>
        <a:bodyPr/>
        <a:lstStyle/>
        <a:p>
          <a:endParaRPr lang="en-US"/>
        </a:p>
      </dgm:t>
    </dgm:pt>
    <dgm:pt modelId="{4EAE399A-5BE2-4068-8AB2-EDACE497E3C6}" type="sibTrans" cxnId="{8CE1D395-EB21-41E0-9D40-E8CC77C566E3}">
      <dgm:prSet/>
      <dgm:spPr/>
      <dgm:t>
        <a:bodyPr/>
        <a:lstStyle/>
        <a:p>
          <a:endParaRPr lang="en-US"/>
        </a:p>
      </dgm:t>
    </dgm:pt>
    <dgm:pt modelId="{1C6F18F1-CFBA-43BB-BCFA-E0D600988849}">
      <dgm:prSet phldrT="[Text]"/>
      <dgm:spPr>
        <a:xfrm>
          <a:off x="1943546" y="1120407"/>
          <a:ext cx="1599307" cy="959584"/>
        </a:xfrm>
        <a:solidFill>
          <a:schemeClr val="accent1">
            <a:lumMod val="75000"/>
          </a:schemeClr>
        </a:solidFill>
        <a:ln w="25400" cap="flat" cmpd="sng" algn="ctr">
          <a:solidFill>
            <a:srgbClr val="FFFFFF">
              <a:hueOff val="0"/>
              <a:satOff val="0"/>
              <a:lumOff val="0"/>
              <a:alphaOff val="0"/>
            </a:srgbClr>
          </a:solidFill>
          <a:prstDash val="solid"/>
        </a:ln>
        <a:effectLst/>
      </dgm:spPr>
      <dgm:t>
        <a:bodyPr/>
        <a:lstStyle/>
        <a:p>
          <a:r>
            <a:rPr lang="x-none">
              <a:solidFill>
                <a:srgbClr val="FFFFFF"/>
              </a:solidFill>
              <a:latin typeface="Cambria"/>
              <a:ea typeface="+mn-ea"/>
              <a:cs typeface="+mn-cs"/>
            </a:rPr>
            <a:t>Profesionalnost</a:t>
          </a:r>
          <a:endParaRPr lang="en-US">
            <a:solidFill>
              <a:srgbClr val="FFFFFF"/>
            </a:solidFill>
            <a:latin typeface="Cambria"/>
            <a:ea typeface="+mn-ea"/>
            <a:cs typeface="+mn-cs"/>
          </a:endParaRPr>
        </a:p>
      </dgm:t>
    </dgm:pt>
    <dgm:pt modelId="{32060FB1-19EA-414A-AFCA-EB0E3E59F0D1}" type="parTrans" cxnId="{E82B90A4-F1E5-41A5-B2B7-F3EA8BB9BD25}">
      <dgm:prSet/>
      <dgm:spPr/>
      <dgm:t>
        <a:bodyPr/>
        <a:lstStyle/>
        <a:p>
          <a:endParaRPr lang="en-US"/>
        </a:p>
      </dgm:t>
    </dgm:pt>
    <dgm:pt modelId="{34F5C643-352E-4F82-813F-F945366759C6}" type="sibTrans" cxnId="{E82B90A4-F1E5-41A5-B2B7-F3EA8BB9BD25}">
      <dgm:prSet/>
      <dgm:spPr/>
      <dgm:t>
        <a:bodyPr/>
        <a:lstStyle/>
        <a:p>
          <a:endParaRPr lang="en-US"/>
        </a:p>
      </dgm:t>
    </dgm:pt>
    <dgm:pt modelId="{380FBE3E-43A1-49AE-BBB6-FD970D609EC6}">
      <dgm:prSet/>
      <dgm:spPr>
        <a:xfrm>
          <a:off x="3702784" y="1120407"/>
          <a:ext cx="1599307" cy="959584"/>
        </a:xfrm>
        <a:solidFill>
          <a:srgbClr val="FFC000"/>
        </a:solidFill>
        <a:ln w="25400" cap="flat" cmpd="sng" algn="ctr">
          <a:solidFill>
            <a:srgbClr val="FFFFFF">
              <a:hueOff val="0"/>
              <a:satOff val="0"/>
              <a:lumOff val="0"/>
              <a:alphaOff val="0"/>
            </a:srgbClr>
          </a:solidFill>
          <a:prstDash val="solid"/>
        </a:ln>
        <a:effectLst/>
      </dgm:spPr>
      <dgm:t>
        <a:bodyPr/>
        <a:lstStyle/>
        <a:p>
          <a:r>
            <a:rPr lang="x-none">
              <a:solidFill>
                <a:srgbClr val="FFFFFF"/>
              </a:solidFill>
              <a:latin typeface="Cambria"/>
              <a:ea typeface="+mn-ea"/>
              <a:cs typeface="+mn-cs"/>
            </a:rPr>
            <a:t>Participacija i partnerstvo</a:t>
          </a:r>
          <a:endParaRPr lang="en-US">
            <a:solidFill>
              <a:srgbClr val="FFFFFF"/>
            </a:solidFill>
            <a:latin typeface="Cambria"/>
            <a:ea typeface="+mn-ea"/>
            <a:cs typeface="+mn-cs"/>
          </a:endParaRPr>
        </a:p>
      </dgm:t>
    </dgm:pt>
    <dgm:pt modelId="{1FB0E333-B651-4051-83FC-ED5D192D5380}" type="parTrans" cxnId="{2FDFCA40-1BEF-48BB-BB4D-387AD0F65B01}">
      <dgm:prSet/>
      <dgm:spPr/>
      <dgm:t>
        <a:bodyPr/>
        <a:lstStyle/>
        <a:p>
          <a:endParaRPr lang="en-US"/>
        </a:p>
      </dgm:t>
    </dgm:pt>
    <dgm:pt modelId="{AF5D61FD-DD6A-40CD-A139-EE7623B8C5E0}" type="sibTrans" cxnId="{2FDFCA40-1BEF-48BB-BB4D-387AD0F65B01}">
      <dgm:prSet/>
      <dgm:spPr/>
      <dgm:t>
        <a:bodyPr/>
        <a:lstStyle/>
        <a:p>
          <a:endParaRPr lang="en-US"/>
        </a:p>
      </dgm:t>
    </dgm:pt>
    <dgm:pt modelId="{C2A6FC6C-52AC-445D-BEE6-99A757E5C058}">
      <dgm:prSet/>
      <dgm:spPr>
        <a:xfrm>
          <a:off x="1063927" y="2239922"/>
          <a:ext cx="1599307" cy="959584"/>
        </a:xfrm>
        <a:solidFill>
          <a:srgbClr val="F0C6E8"/>
        </a:solidFill>
        <a:ln w="25400" cap="flat" cmpd="sng" algn="ctr">
          <a:solidFill>
            <a:srgbClr val="FFFFFF">
              <a:hueOff val="0"/>
              <a:satOff val="0"/>
              <a:lumOff val="0"/>
              <a:alphaOff val="0"/>
            </a:srgbClr>
          </a:solidFill>
          <a:prstDash val="solid"/>
        </a:ln>
        <a:effectLst/>
      </dgm:spPr>
      <dgm:t>
        <a:bodyPr/>
        <a:lstStyle/>
        <a:p>
          <a:r>
            <a:rPr lang="x-none">
              <a:solidFill>
                <a:srgbClr val="FFFFFF"/>
              </a:solidFill>
              <a:latin typeface="Cambria"/>
              <a:ea typeface="+mn-ea"/>
              <a:cs typeface="+mn-cs"/>
            </a:rPr>
            <a:t>Odlučivanje na temelju dokaza</a:t>
          </a:r>
          <a:endParaRPr lang="en-US">
            <a:solidFill>
              <a:srgbClr val="FFFFFF"/>
            </a:solidFill>
            <a:latin typeface="Cambria"/>
            <a:ea typeface="+mn-ea"/>
            <a:cs typeface="+mn-cs"/>
          </a:endParaRPr>
        </a:p>
      </dgm:t>
    </dgm:pt>
    <dgm:pt modelId="{4C16F839-D41C-41C9-8938-46D3AC53E153}" type="parTrans" cxnId="{1E071DD5-700C-4187-A286-EB47C2025C09}">
      <dgm:prSet/>
      <dgm:spPr/>
      <dgm:t>
        <a:bodyPr/>
        <a:lstStyle/>
        <a:p>
          <a:endParaRPr lang="en-US"/>
        </a:p>
      </dgm:t>
    </dgm:pt>
    <dgm:pt modelId="{F57C8D61-A6E8-4128-9F90-2C585272955A}" type="sibTrans" cxnId="{1E071DD5-700C-4187-A286-EB47C2025C09}">
      <dgm:prSet/>
      <dgm:spPr/>
      <dgm:t>
        <a:bodyPr/>
        <a:lstStyle/>
        <a:p>
          <a:endParaRPr lang="en-US"/>
        </a:p>
      </dgm:t>
    </dgm:pt>
    <dgm:pt modelId="{6E4B7609-E285-46FB-A05C-7BF44992EEE2}">
      <dgm:prSet/>
      <dgm:spPr>
        <a:xfrm>
          <a:off x="2823165" y="2239922"/>
          <a:ext cx="1599307" cy="959584"/>
        </a:xfrm>
        <a:solidFill>
          <a:srgbClr val="E37D8C"/>
        </a:solidFill>
        <a:ln w="25400" cap="flat" cmpd="sng" algn="ctr">
          <a:solidFill>
            <a:srgbClr val="FFFFFF">
              <a:hueOff val="0"/>
              <a:satOff val="0"/>
              <a:lumOff val="0"/>
              <a:alphaOff val="0"/>
            </a:srgbClr>
          </a:solidFill>
          <a:prstDash val="solid"/>
        </a:ln>
        <a:effectLst/>
      </dgm:spPr>
      <dgm:t>
        <a:bodyPr/>
        <a:lstStyle/>
        <a:p>
          <a:r>
            <a:rPr lang="x-none">
              <a:solidFill>
                <a:srgbClr val="FFFFFF"/>
              </a:solidFill>
              <a:latin typeface="Cambria"/>
              <a:ea typeface="+mn-ea"/>
              <a:cs typeface="+mn-cs"/>
            </a:rPr>
            <a:t>Odgovorno i efikasno vođenje i upravljanje</a:t>
          </a:r>
          <a:endParaRPr lang="en-US">
            <a:solidFill>
              <a:srgbClr val="FFFFFF"/>
            </a:solidFill>
            <a:latin typeface="Cambria"/>
            <a:ea typeface="+mn-ea"/>
            <a:cs typeface="+mn-cs"/>
          </a:endParaRPr>
        </a:p>
      </dgm:t>
    </dgm:pt>
    <dgm:pt modelId="{EA604417-D301-4320-98F7-194F30488C44}" type="parTrans" cxnId="{BE876122-CE0D-4BBB-ACF0-D88836F06A26}">
      <dgm:prSet/>
      <dgm:spPr/>
      <dgm:t>
        <a:bodyPr/>
        <a:lstStyle/>
        <a:p>
          <a:endParaRPr lang="en-US"/>
        </a:p>
      </dgm:t>
    </dgm:pt>
    <dgm:pt modelId="{F73291ED-D83D-4571-ACC5-006C8C54234E}" type="sibTrans" cxnId="{BE876122-CE0D-4BBB-ACF0-D88836F06A26}">
      <dgm:prSet/>
      <dgm:spPr/>
      <dgm:t>
        <a:bodyPr/>
        <a:lstStyle/>
        <a:p>
          <a:endParaRPr lang="en-US"/>
        </a:p>
      </dgm:t>
    </dgm:pt>
    <dgm:pt modelId="{97E5B2A7-E8FE-44F6-A73F-123646242562}" type="pres">
      <dgm:prSet presAssocID="{CBCD83FE-57D6-46A9-B1FD-77B6B9B074C5}" presName="diagram" presStyleCnt="0">
        <dgm:presLayoutVars>
          <dgm:dir/>
          <dgm:resizeHandles val="exact"/>
        </dgm:presLayoutVars>
      </dgm:prSet>
      <dgm:spPr/>
      <dgm:t>
        <a:bodyPr/>
        <a:lstStyle/>
        <a:p>
          <a:endParaRPr lang="en-US"/>
        </a:p>
      </dgm:t>
    </dgm:pt>
    <dgm:pt modelId="{9DFBB0A3-4AB1-4989-A248-20A753DFBD8E}" type="pres">
      <dgm:prSet presAssocID="{9366A57A-294B-407C-8F95-E39BEB1B5054}" presName="node" presStyleLbl="node1" presStyleIdx="0" presStyleCnt="8">
        <dgm:presLayoutVars>
          <dgm:bulletEnabled val="1"/>
        </dgm:presLayoutVars>
      </dgm:prSet>
      <dgm:spPr>
        <a:prstGeom prst="rect">
          <a:avLst/>
        </a:prstGeom>
      </dgm:spPr>
      <dgm:t>
        <a:bodyPr/>
        <a:lstStyle/>
        <a:p>
          <a:endParaRPr lang="en-US"/>
        </a:p>
      </dgm:t>
    </dgm:pt>
    <dgm:pt modelId="{363A593E-7815-4223-BBA1-6A7B965D6556}" type="pres">
      <dgm:prSet presAssocID="{A83A9467-618C-402C-8764-4149B454885C}" presName="sibTrans" presStyleCnt="0"/>
      <dgm:spPr/>
    </dgm:pt>
    <dgm:pt modelId="{B9F47FE1-6ECA-48EA-B4D3-4FB88B3B1D28}" type="pres">
      <dgm:prSet presAssocID="{8A826CE4-9868-4884-87C2-6DDBB08FF242}" presName="node" presStyleLbl="node1" presStyleIdx="1" presStyleCnt="8">
        <dgm:presLayoutVars>
          <dgm:bulletEnabled val="1"/>
        </dgm:presLayoutVars>
      </dgm:prSet>
      <dgm:spPr>
        <a:prstGeom prst="rect">
          <a:avLst/>
        </a:prstGeom>
      </dgm:spPr>
      <dgm:t>
        <a:bodyPr/>
        <a:lstStyle/>
        <a:p>
          <a:endParaRPr lang="en-US"/>
        </a:p>
      </dgm:t>
    </dgm:pt>
    <dgm:pt modelId="{DE7E0353-6E5D-48F8-A309-F2E897C7980F}" type="pres">
      <dgm:prSet presAssocID="{7F030B82-F81D-4F24-BBEA-7F62FE3F4DA7}" presName="sibTrans" presStyleCnt="0"/>
      <dgm:spPr/>
    </dgm:pt>
    <dgm:pt modelId="{C5F70BDB-E83C-469D-A51F-1A0853BD5A78}" type="pres">
      <dgm:prSet presAssocID="{64C65C57-5524-4610-ADE8-415BBCAC93AA}" presName="node" presStyleLbl="node1" presStyleIdx="2" presStyleCnt="8">
        <dgm:presLayoutVars>
          <dgm:bulletEnabled val="1"/>
        </dgm:presLayoutVars>
      </dgm:prSet>
      <dgm:spPr>
        <a:prstGeom prst="rect">
          <a:avLst/>
        </a:prstGeom>
      </dgm:spPr>
      <dgm:t>
        <a:bodyPr/>
        <a:lstStyle/>
        <a:p>
          <a:endParaRPr lang="en-US"/>
        </a:p>
      </dgm:t>
    </dgm:pt>
    <dgm:pt modelId="{28F57B96-E62C-481D-AB5A-96373376A910}" type="pres">
      <dgm:prSet presAssocID="{6CCB82B3-A3EB-40B8-9F80-C280E5A8A932}" presName="sibTrans" presStyleCnt="0"/>
      <dgm:spPr/>
    </dgm:pt>
    <dgm:pt modelId="{5CB10B6E-DF18-4CC6-BA29-C1A6C51EA6B4}" type="pres">
      <dgm:prSet presAssocID="{6E3D1A11-8814-46AE-812F-32F14D319249}" presName="node" presStyleLbl="node1" presStyleIdx="3" presStyleCnt="8">
        <dgm:presLayoutVars>
          <dgm:bulletEnabled val="1"/>
        </dgm:presLayoutVars>
      </dgm:prSet>
      <dgm:spPr>
        <a:prstGeom prst="rect">
          <a:avLst/>
        </a:prstGeom>
      </dgm:spPr>
      <dgm:t>
        <a:bodyPr/>
        <a:lstStyle/>
        <a:p>
          <a:endParaRPr lang="en-US"/>
        </a:p>
      </dgm:t>
    </dgm:pt>
    <dgm:pt modelId="{4C2A395D-CA12-466A-8E6D-B3D61C527B71}" type="pres">
      <dgm:prSet presAssocID="{4EAE399A-5BE2-4068-8AB2-EDACE497E3C6}" presName="sibTrans" presStyleCnt="0"/>
      <dgm:spPr/>
    </dgm:pt>
    <dgm:pt modelId="{F78A71CA-D921-4281-8057-CC5C3D298B6B}" type="pres">
      <dgm:prSet presAssocID="{1C6F18F1-CFBA-43BB-BCFA-E0D600988849}" presName="node" presStyleLbl="node1" presStyleIdx="4" presStyleCnt="8">
        <dgm:presLayoutVars>
          <dgm:bulletEnabled val="1"/>
        </dgm:presLayoutVars>
      </dgm:prSet>
      <dgm:spPr>
        <a:prstGeom prst="rect">
          <a:avLst/>
        </a:prstGeom>
      </dgm:spPr>
      <dgm:t>
        <a:bodyPr/>
        <a:lstStyle/>
        <a:p>
          <a:endParaRPr lang="en-US"/>
        </a:p>
      </dgm:t>
    </dgm:pt>
    <dgm:pt modelId="{BC761AD3-B6B4-45C3-8DC2-E804D18659C6}" type="pres">
      <dgm:prSet presAssocID="{34F5C643-352E-4F82-813F-F945366759C6}" presName="sibTrans" presStyleCnt="0"/>
      <dgm:spPr/>
    </dgm:pt>
    <dgm:pt modelId="{BD06A593-4784-4F63-8307-8D310D7BA9D0}" type="pres">
      <dgm:prSet presAssocID="{380FBE3E-43A1-49AE-BBB6-FD970D609EC6}" presName="node" presStyleLbl="node1" presStyleIdx="5" presStyleCnt="8">
        <dgm:presLayoutVars>
          <dgm:bulletEnabled val="1"/>
        </dgm:presLayoutVars>
      </dgm:prSet>
      <dgm:spPr>
        <a:prstGeom prst="rect">
          <a:avLst/>
        </a:prstGeom>
      </dgm:spPr>
      <dgm:t>
        <a:bodyPr/>
        <a:lstStyle/>
        <a:p>
          <a:endParaRPr lang="en-US"/>
        </a:p>
      </dgm:t>
    </dgm:pt>
    <dgm:pt modelId="{6547BAC5-A0A5-458D-A53E-F488594B91A2}" type="pres">
      <dgm:prSet presAssocID="{AF5D61FD-DD6A-40CD-A139-EE7623B8C5E0}" presName="sibTrans" presStyleCnt="0"/>
      <dgm:spPr/>
    </dgm:pt>
    <dgm:pt modelId="{0071A6EE-7B21-41ED-99C2-45B6F462B803}" type="pres">
      <dgm:prSet presAssocID="{C2A6FC6C-52AC-445D-BEE6-99A757E5C058}" presName="node" presStyleLbl="node1" presStyleIdx="6" presStyleCnt="8">
        <dgm:presLayoutVars>
          <dgm:bulletEnabled val="1"/>
        </dgm:presLayoutVars>
      </dgm:prSet>
      <dgm:spPr>
        <a:prstGeom prst="rect">
          <a:avLst/>
        </a:prstGeom>
      </dgm:spPr>
      <dgm:t>
        <a:bodyPr/>
        <a:lstStyle/>
        <a:p>
          <a:endParaRPr lang="en-US"/>
        </a:p>
      </dgm:t>
    </dgm:pt>
    <dgm:pt modelId="{F106D513-A943-4D6F-942F-814F8AF4B218}" type="pres">
      <dgm:prSet presAssocID="{F57C8D61-A6E8-4128-9F90-2C585272955A}" presName="sibTrans" presStyleCnt="0"/>
      <dgm:spPr/>
    </dgm:pt>
    <dgm:pt modelId="{29B14B35-9CFC-46D7-8D84-7C614B457EBC}" type="pres">
      <dgm:prSet presAssocID="{6E4B7609-E285-46FB-A05C-7BF44992EEE2}" presName="node" presStyleLbl="node1" presStyleIdx="7" presStyleCnt="8">
        <dgm:presLayoutVars>
          <dgm:bulletEnabled val="1"/>
        </dgm:presLayoutVars>
      </dgm:prSet>
      <dgm:spPr>
        <a:prstGeom prst="rect">
          <a:avLst/>
        </a:prstGeom>
      </dgm:spPr>
      <dgm:t>
        <a:bodyPr/>
        <a:lstStyle/>
        <a:p>
          <a:endParaRPr lang="en-US"/>
        </a:p>
      </dgm:t>
    </dgm:pt>
  </dgm:ptLst>
  <dgm:cxnLst>
    <dgm:cxn modelId="{2458FD3A-2855-492F-B8A3-233E084A8561}" type="presOf" srcId="{C2A6FC6C-52AC-445D-BEE6-99A757E5C058}" destId="{0071A6EE-7B21-41ED-99C2-45B6F462B803}" srcOrd="0" destOrd="0" presId="urn:microsoft.com/office/officeart/2005/8/layout/default"/>
    <dgm:cxn modelId="{2FDFCA40-1BEF-48BB-BB4D-387AD0F65B01}" srcId="{CBCD83FE-57D6-46A9-B1FD-77B6B9B074C5}" destId="{380FBE3E-43A1-49AE-BBB6-FD970D609EC6}" srcOrd="5" destOrd="0" parTransId="{1FB0E333-B651-4051-83FC-ED5D192D5380}" sibTransId="{AF5D61FD-DD6A-40CD-A139-EE7623B8C5E0}"/>
    <dgm:cxn modelId="{558FBBEB-0098-4333-8EFE-7317F7715074}" type="presOf" srcId="{380FBE3E-43A1-49AE-BBB6-FD970D609EC6}" destId="{BD06A593-4784-4F63-8307-8D310D7BA9D0}" srcOrd="0" destOrd="0" presId="urn:microsoft.com/office/officeart/2005/8/layout/default"/>
    <dgm:cxn modelId="{4938F834-E097-412B-A211-DC2146350CAA}" type="presOf" srcId="{64C65C57-5524-4610-ADE8-415BBCAC93AA}" destId="{C5F70BDB-E83C-469D-A51F-1A0853BD5A78}" srcOrd="0" destOrd="0" presId="urn:microsoft.com/office/officeart/2005/8/layout/default"/>
    <dgm:cxn modelId="{BE876122-CE0D-4BBB-ACF0-D88836F06A26}" srcId="{CBCD83FE-57D6-46A9-B1FD-77B6B9B074C5}" destId="{6E4B7609-E285-46FB-A05C-7BF44992EEE2}" srcOrd="7" destOrd="0" parTransId="{EA604417-D301-4320-98F7-194F30488C44}" sibTransId="{F73291ED-D83D-4571-ACC5-006C8C54234E}"/>
    <dgm:cxn modelId="{762CA732-3F9A-498B-BB20-98E12B93A6A2}" type="presOf" srcId="{CBCD83FE-57D6-46A9-B1FD-77B6B9B074C5}" destId="{97E5B2A7-E8FE-44F6-A73F-123646242562}" srcOrd="0" destOrd="0" presId="urn:microsoft.com/office/officeart/2005/8/layout/default"/>
    <dgm:cxn modelId="{8CE1D395-EB21-41E0-9D40-E8CC77C566E3}" srcId="{CBCD83FE-57D6-46A9-B1FD-77B6B9B074C5}" destId="{6E3D1A11-8814-46AE-812F-32F14D319249}" srcOrd="3" destOrd="0" parTransId="{0D4C23EC-26F9-4651-8017-23A552B218FD}" sibTransId="{4EAE399A-5BE2-4068-8AB2-EDACE497E3C6}"/>
    <dgm:cxn modelId="{ECF99BEE-F2B6-4E06-8D44-C2C58239D779}" srcId="{CBCD83FE-57D6-46A9-B1FD-77B6B9B074C5}" destId="{8A826CE4-9868-4884-87C2-6DDBB08FF242}" srcOrd="1" destOrd="0" parTransId="{1C18EE46-F4AA-4291-90C0-56CD69806977}" sibTransId="{7F030B82-F81D-4F24-BBEA-7F62FE3F4DA7}"/>
    <dgm:cxn modelId="{5749A140-FFF4-4AA5-9A50-E6008B4E7AB0}" type="presOf" srcId="{9366A57A-294B-407C-8F95-E39BEB1B5054}" destId="{9DFBB0A3-4AB1-4989-A248-20A753DFBD8E}" srcOrd="0" destOrd="0" presId="urn:microsoft.com/office/officeart/2005/8/layout/default"/>
    <dgm:cxn modelId="{EF9AAEA6-33BB-47E9-B9FA-D60CA9AADC47}" srcId="{CBCD83FE-57D6-46A9-B1FD-77B6B9B074C5}" destId="{64C65C57-5524-4610-ADE8-415BBCAC93AA}" srcOrd="2" destOrd="0" parTransId="{AAD6CD51-AFE4-487B-8FA7-6A6DFAFE63EF}" sibTransId="{6CCB82B3-A3EB-40B8-9F80-C280E5A8A932}"/>
    <dgm:cxn modelId="{1E071DD5-700C-4187-A286-EB47C2025C09}" srcId="{CBCD83FE-57D6-46A9-B1FD-77B6B9B074C5}" destId="{C2A6FC6C-52AC-445D-BEE6-99A757E5C058}" srcOrd="6" destOrd="0" parTransId="{4C16F839-D41C-41C9-8938-46D3AC53E153}" sibTransId="{F57C8D61-A6E8-4128-9F90-2C585272955A}"/>
    <dgm:cxn modelId="{F65CDD8F-3B57-4489-ADF9-22A3F3BAC917}" type="presOf" srcId="{8A826CE4-9868-4884-87C2-6DDBB08FF242}" destId="{B9F47FE1-6ECA-48EA-B4D3-4FB88B3B1D28}" srcOrd="0" destOrd="0" presId="urn:microsoft.com/office/officeart/2005/8/layout/default"/>
    <dgm:cxn modelId="{581F0443-28AB-48D6-8925-522768D46A7E}" type="presOf" srcId="{6E3D1A11-8814-46AE-812F-32F14D319249}" destId="{5CB10B6E-DF18-4CC6-BA29-C1A6C51EA6B4}" srcOrd="0" destOrd="0" presId="urn:microsoft.com/office/officeart/2005/8/layout/default"/>
    <dgm:cxn modelId="{11FCFEBE-2998-4D33-BC46-59DF967B846A}" type="presOf" srcId="{1C6F18F1-CFBA-43BB-BCFA-E0D600988849}" destId="{F78A71CA-D921-4281-8057-CC5C3D298B6B}" srcOrd="0" destOrd="0" presId="urn:microsoft.com/office/officeart/2005/8/layout/default"/>
    <dgm:cxn modelId="{353C6BB3-39AA-4CAE-A1D1-BBF6173B77C8}" srcId="{CBCD83FE-57D6-46A9-B1FD-77B6B9B074C5}" destId="{9366A57A-294B-407C-8F95-E39BEB1B5054}" srcOrd="0" destOrd="0" parTransId="{C50DDC98-71AB-4D08-A9BF-0BC3D5D5C6ED}" sibTransId="{A83A9467-618C-402C-8764-4149B454885C}"/>
    <dgm:cxn modelId="{01CE1B5E-A18F-4657-959B-D20798840E3F}" type="presOf" srcId="{6E4B7609-E285-46FB-A05C-7BF44992EEE2}" destId="{29B14B35-9CFC-46D7-8D84-7C614B457EBC}" srcOrd="0" destOrd="0" presId="urn:microsoft.com/office/officeart/2005/8/layout/default"/>
    <dgm:cxn modelId="{E82B90A4-F1E5-41A5-B2B7-F3EA8BB9BD25}" srcId="{CBCD83FE-57D6-46A9-B1FD-77B6B9B074C5}" destId="{1C6F18F1-CFBA-43BB-BCFA-E0D600988849}" srcOrd="4" destOrd="0" parTransId="{32060FB1-19EA-414A-AFCA-EB0E3E59F0D1}" sibTransId="{34F5C643-352E-4F82-813F-F945366759C6}"/>
    <dgm:cxn modelId="{7423DED3-FA12-4EF1-8D5A-36E9A0941E66}" type="presParOf" srcId="{97E5B2A7-E8FE-44F6-A73F-123646242562}" destId="{9DFBB0A3-4AB1-4989-A248-20A753DFBD8E}" srcOrd="0" destOrd="0" presId="urn:microsoft.com/office/officeart/2005/8/layout/default"/>
    <dgm:cxn modelId="{A42276CB-40D8-494F-934F-671C02D8A3C1}" type="presParOf" srcId="{97E5B2A7-E8FE-44F6-A73F-123646242562}" destId="{363A593E-7815-4223-BBA1-6A7B965D6556}" srcOrd="1" destOrd="0" presId="urn:microsoft.com/office/officeart/2005/8/layout/default"/>
    <dgm:cxn modelId="{AD990F1C-3368-4DE7-A95F-2B06697875CF}" type="presParOf" srcId="{97E5B2A7-E8FE-44F6-A73F-123646242562}" destId="{B9F47FE1-6ECA-48EA-B4D3-4FB88B3B1D28}" srcOrd="2" destOrd="0" presId="urn:microsoft.com/office/officeart/2005/8/layout/default"/>
    <dgm:cxn modelId="{6C47E521-7D98-4CA5-95B9-38385D94424D}" type="presParOf" srcId="{97E5B2A7-E8FE-44F6-A73F-123646242562}" destId="{DE7E0353-6E5D-48F8-A309-F2E897C7980F}" srcOrd="3" destOrd="0" presId="urn:microsoft.com/office/officeart/2005/8/layout/default"/>
    <dgm:cxn modelId="{2A5E63EB-3EA9-4D4F-BB99-CBA502EB9DD9}" type="presParOf" srcId="{97E5B2A7-E8FE-44F6-A73F-123646242562}" destId="{C5F70BDB-E83C-469D-A51F-1A0853BD5A78}" srcOrd="4" destOrd="0" presId="urn:microsoft.com/office/officeart/2005/8/layout/default"/>
    <dgm:cxn modelId="{1D36CBFC-2113-4BAC-B510-CA5377042394}" type="presParOf" srcId="{97E5B2A7-E8FE-44F6-A73F-123646242562}" destId="{28F57B96-E62C-481D-AB5A-96373376A910}" srcOrd="5" destOrd="0" presId="urn:microsoft.com/office/officeart/2005/8/layout/default"/>
    <dgm:cxn modelId="{E28DCAF1-1A6E-4818-8282-6425A999CEF9}" type="presParOf" srcId="{97E5B2A7-E8FE-44F6-A73F-123646242562}" destId="{5CB10B6E-DF18-4CC6-BA29-C1A6C51EA6B4}" srcOrd="6" destOrd="0" presId="urn:microsoft.com/office/officeart/2005/8/layout/default"/>
    <dgm:cxn modelId="{7147212B-383C-4590-A646-67F03715FD22}" type="presParOf" srcId="{97E5B2A7-E8FE-44F6-A73F-123646242562}" destId="{4C2A395D-CA12-466A-8E6D-B3D61C527B71}" srcOrd="7" destOrd="0" presId="urn:microsoft.com/office/officeart/2005/8/layout/default"/>
    <dgm:cxn modelId="{B52489FD-B4BE-4F53-A5B7-28C315EBCA18}" type="presParOf" srcId="{97E5B2A7-E8FE-44F6-A73F-123646242562}" destId="{F78A71CA-D921-4281-8057-CC5C3D298B6B}" srcOrd="8" destOrd="0" presId="urn:microsoft.com/office/officeart/2005/8/layout/default"/>
    <dgm:cxn modelId="{CF55A91B-E1B7-4D52-AA68-F7FAC144FC5C}" type="presParOf" srcId="{97E5B2A7-E8FE-44F6-A73F-123646242562}" destId="{BC761AD3-B6B4-45C3-8DC2-E804D18659C6}" srcOrd="9" destOrd="0" presId="urn:microsoft.com/office/officeart/2005/8/layout/default"/>
    <dgm:cxn modelId="{334E8C60-66D0-4AA2-ACE5-50BF111EEABD}" type="presParOf" srcId="{97E5B2A7-E8FE-44F6-A73F-123646242562}" destId="{BD06A593-4784-4F63-8307-8D310D7BA9D0}" srcOrd="10" destOrd="0" presId="urn:microsoft.com/office/officeart/2005/8/layout/default"/>
    <dgm:cxn modelId="{E4302502-2330-4B26-B9D9-F2B1960CBDCE}" type="presParOf" srcId="{97E5B2A7-E8FE-44F6-A73F-123646242562}" destId="{6547BAC5-A0A5-458D-A53E-F488594B91A2}" srcOrd="11" destOrd="0" presId="urn:microsoft.com/office/officeart/2005/8/layout/default"/>
    <dgm:cxn modelId="{0D87937B-554B-4490-A266-810F1B49B2BE}" type="presParOf" srcId="{97E5B2A7-E8FE-44F6-A73F-123646242562}" destId="{0071A6EE-7B21-41ED-99C2-45B6F462B803}" srcOrd="12" destOrd="0" presId="urn:microsoft.com/office/officeart/2005/8/layout/default"/>
    <dgm:cxn modelId="{AF8A1C79-7F07-45C0-ABED-EF9D6887DD97}" type="presParOf" srcId="{97E5B2A7-E8FE-44F6-A73F-123646242562}" destId="{F106D513-A943-4D6F-942F-814F8AF4B218}" srcOrd="13" destOrd="0" presId="urn:microsoft.com/office/officeart/2005/8/layout/default"/>
    <dgm:cxn modelId="{67C98333-81B7-4E60-95E3-AE3CD0F8B485}" type="presParOf" srcId="{97E5B2A7-E8FE-44F6-A73F-123646242562}" destId="{29B14B35-9CFC-46D7-8D84-7C614B457EBC}" srcOrd="14" destOrd="0" presId="urn:microsoft.com/office/officeart/2005/8/layout/defaul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641169-05A4-4D3B-A23D-D4E2F3B686DE}">
      <dsp:nvSpPr>
        <dsp:cNvPr id="0" name=""/>
        <dsp:cNvSpPr/>
      </dsp:nvSpPr>
      <dsp:spPr>
        <a:xfrm>
          <a:off x="3181350" y="45211"/>
          <a:ext cx="3047999" cy="1328846"/>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CENTRALNI NIV</a:t>
          </a:r>
          <a:r>
            <a:rPr lang="x-none" sz="1000" kern="1200"/>
            <a:t>O</a:t>
          </a:r>
        </a:p>
        <a:p>
          <a:pPr lvl="0" algn="ctr" defTabSz="444500">
            <a:lnSpc>
              <a:spcPct val="90000"/>
            </a:lnSpc>
            <a:spcBef>
              <a:spcPct val="0"/>
            </a:spcBef>
            <a:spcAft>
              <a:spcPct val="35000"/>
            </a:spcAft>
          </a:pPr>
          <a:r>
            <a:rPr lang="en-US" sz="1000" kern="1200">
              <a:latin typeface="Calibri" panose="020F0502020204030204" pitchFamily="34" charset="0"/>
              <a:cs typeface="Calibri" panose="020F0502020204030204" pitchFamily="34" charset="0"/>
            </a:rPr>
            <a:t>•</a:t>
          </a:r>
          <a:r>
            <a:rPr lang="sr-Latn-RS" sz="1000" kern="1200">
              <a:latin typeface="Calibri" panose="020F0502020204030204" pitchFamily="34" charset="0"/>
              <a:cs typeface="Calibri" panose="020F0502020204030204" pitchFamily="34" charset="0"/>
            </a:rPr>
            <a:t> </a:t>
          </a:r>
          <a:r>
            <a:rPr lang="en-US" sz="1000" kern="1200"/>
            <a:t>organi državne uprave</a:t>
          </a:r>
          <a:endParaRPr lang="sr-Latn-RS" sz="1000" kern="1200"/>
        </a:p>
        <a:p>
          <a:pPr lvl="0" algn="ctr" defTabSz="444500">
            <a:lnSpc>
              <a:spcPct val="90000"/>
            </a:lnSpc>
            <a:spcBef>
              <a:spcPct val="0"/>
            </a:spcBef>
            <a:spcAft>
              <a:spcPct val="35000"/>
            </a:spcAft>
          </a:pPr>
          <a:r>
            <a:rPr lang="en-US" sz="1000" kern="1200">
              <a:latin typeface="Calibri" panose="020F0502020204030204" pitchFamily="34" charset="0"/>
              <a:cs typeface="Calibri" panose="020F0502020204030204" pitchFamily="34" charset="0"/>
            </a:rPr>
            <a:t>•</a:t>
          </a:r>
          <a:r>
            <a:rPr lang="sr-Latn-RS" sz="1000" kern="1200">
              <a:latin typeface="Calibri" panose="020F0502020204030204" pitchFamily="34" charset="0"/>
              <a:cs typeface="Calibri" panose="020F0502020204030204" pitchFamily="34" charset="0"/>
            </a:rPr>
            <a:t>  </a:t>
          </a:r>
          <a:r>
            <a:rPr lang="en-US" sz="1000" kern="1200"/>
            <a:t>pravna lica koja vrše javna ovlašćenja (fondovi, agencije i dr</a:t>
          </a:r>
          <a:r>
            <a:rPr lang="sr-Latn-RS" sz="1000" kern="1200"/>
            <a:t>.</a:t>
          </a:r>
          <a:r>
            <a:rPr lang="en-US" sz="1000" kern="1200"/>
            <a:t>) i </a:t>
          </a:r>
          <a:endParaRPr lang="sr-Latn-RS" sz="1000" kern="1200"/>
        </a:p>
        <a:p>
          <a:pPr lvl="0" algn="ctr" defTabSz="444500">
            <a:lnSpc>
              <a:spcPct val="90000"/>
            </a:lnSpc>
            <a:spcBef>
              <a:spcPct val="0"/>
            </a:spcBef>
            <a:spcAft>
              <a:spcPct val="35000"/>
            </a:spcAft>
          </a:pPr>
          <a:r>
            <a:rPr lang="en-US" sz="1000" kern="1200">
              <a:latin typeface="Calibri" panose="020F0502020204030204" pitchFamily="34" charset="0"/>
              <a:cs typeface="Calibri" panose="020F0502020204030204" pitchFamily="34" charset="0"/>
            </a:rPr>
            <a:t>•</a:t>
          </a:r>
          <a:r>
            <a:rPr lang="sr-Latn-RS" sz="1000" kern="1200">
              <a:latin typeface="Calibri" panose="020F0502020204030204" pitchFamily="34" charset="0"/>
              <a:cs typeface="Calibri" panose="020F0502020204030204" pitchFamily="34" charset="0"/>
            </a:rPr>
            <a:t>  </a:t>
          </a:r>
          <a:r>
            <a:rPr lang="en-US" sz="1000" kern="1200"/>
            <a:t>javne ustanove</a:t>
          </a:r>
        </a:p>
      </dsp:txBody>
      <dsp:txXfrm>
        <a:off x="3627719" y="239816"/>
        <a:ext cx="2155261" cy="939636"/>
      </dsp:txXfrm>
    </dsp:sp>
    <dsp:sp modelId="{36A6EFF5-3967-4313-99B2-10E47275694F}">
      <dsp:nvSpPr>
        <dsp:cNvPr id="0" name=""/>
        <dsp:cNvSpPr/>
      </dsp:nvSpPr>
      <dsp:spPr>
        <a:xfrm>
          <a:off x="4534183" y="1396947"/>
          <a:ext cx="337397" cy="337397"/>
        </a:xfrm>
        <a:prstGeom prst="mathPlus">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4578905" y="1525968"/>
        <a:ext cx="247953" cy="79355"/>
      </dsp:txXfrm>
    </dsp:sp>
    <dsp:sp modelId="{DD0A3457-C39D-4B0A-A161-DF2613DB8F5D}">
      <dsp:nvSpPr>
        <dsp:cNvPr id="0" name=""/>
        <dsp:cNvSpPr/>
      </dsp:nvSpPr>
      <dsp:spPr>
        <a:xfrm>
          <a:off x="3186238" y="1781580"/>
          <a:ext cx="3033287" cy="1102679"/>
        </a:xfrm>
        <a:prstGeom prst="ellipse">
          <a:avLst/>
        </a:prstGeom>
        <a:gradFill rotWithShape="0">
          <a:gsLst>
            <a:gs pos="0">
              <a:schemeClr val="accent4">
                <a:hueOff val="4706656"/>
                <a:satOff val="-11638"/>
                <a:lumOff val="-6177"/>
                <a:alphaOff val="0"/>
                <a:tint val="50000"/>
                <a:satMod val="300000"/>
              </a:schemeClr>
            </a:gs>
            <a:gs pos="35000">
              <a:schemeClr val="accent4">
                <a:hueOff val="4706656"/>
                <a:satOff val="-11638"/>
                <a:lumOff val="-6177"/>
                <a:alphaOff val="0"/>
                <a:tint val="37000"/>
                <a:satMod val="300000"/>
              </a:schemeClr>
            </a:gs>
            <a:gs pos="100000">
              <a:schemeClr val="accent4">
                <a:hueOff val="4706656"/>
                <a:satOff val="-11638"/>
                <a:lumOff val="-617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LOKALNI NIVO</a:t>
          </a:r>
          <a:endParaRPr lang="x-none" sz="1000" kern="1200"/>
        </a:p>
        <a:p>
          <a:pPr lvl="0" algn="ctr" defTabSz="444500">
            <a:lnSpc>
              <a:spcPct val="90000"/>
            </a:lnSpc>
            <a:spcBef>
              <a:spcPct val="0"/>
            </a:spcBef>
            <a:spcAft>
              <a:spcPct val="35000"/>
            </a:spcAft>
          </a:pPr>
          <a:r>
            <a:rPr lang="en-US" sz="1000" kern="1200">
              <a:latin typeface="Calibri" panose="020F0502020204030204" pitchFamily="34" charset="0"/>
              <a:cs typeface="Calibri" panose="020F0502020204030204" pitchFamily="34" charset="0"/>
            </a:rPr>
            <a:t>•</a:t>
          </a:r>
          <a:r>
            <a:rPr lang="sr-Latn-RS" sz="1000" kern="1200">
              <a:latin typeface="Calibri" panose="020F0502020204030204" pitchFamily="34" charset="0"/>
              <a:cs typeface="Calibri" panose="020F0502020204030204" pitchFamily="34" charset="0"/>
            </a:rPr>
            <a:t> </a:t>
          </a:r>
          <a:r>
            <a:rPr lang="en-US" sz="1000" kern="1200"/>
            <a:t>jedinice lokalne samouprave, </a:t>
          </a:r>
          <a:endParaRPr lang="sr-Latn-RS" sz="1000" kern="1200"/>
        </a:p>
        <a:p>
          <a:pPr lvl="0" algn="ctr" defTabSz="444500">
            <a:lnSpc>
              <a:spcPct val="90000"/>
            </a:lnSpc>
            <a:spcBef>
              <a:spcPct val="0"/>
            </a:spcBef>
            <a:spcAft>
              <a:spcPct val="35000"/>
            </a:spcAft>
          </a:pPr>
          <a:r>
            <a:rPr lang="en-US" sz="1000" kern="1200">
              <a:latin typeface="Calibri" panose="020F0502020204030204" pitchFamily="34" charset="0"/>
              <a:cs typeface="Calibri" panose="020F0502020204030204" pitchFamily="34" charset="0"/>
            </a:rPr>
            <a:t>•</a:t>
          </a:r>
          <a:r>
            <a:rPr lang="sr-Latn-RS" sz="1000" kern="1200">
              <a:latin typeface="Calibri" panose="020F0502020204030204" pitchFamily="34" charset="0"/>
              <a:cs typeface="Calibri" panose="020F0502020204030204" pitchFamily="34" charset="0"/>
            </a:rPr>
            <a:t> </a:t>
          </a:r>
          <a:r>
            <a:rPr lang="en-US" sz="1000" kern="1200"/>
            <a:t>organi lokalne uprave i </a:t>
          </a:r>
          <a:endParaRPr lang="sr-Latn-RS" sz="1000" kern="1200"/>
        </a:p>
        <a:p>
          <a:pPr lvl="0" algn="ctr" defTabSz="444500">
            <a:lnSpc>
              <a:spcPct val="90000"/>
            </a:lnSpc>
            <a:spcBef>
              <a:spcPct val="0"/>
            </a:spcBef>
            <a:spcAft>
              <a:spcPct val="35000"/>
            </a:spcAft>
          </a:pPr>
          <a:r>
            <a:rPr lang="en-US" sz="1000" kern="1200">
              <a:latin typeface="Calibri" panose="020F0502020204030204" pitchFamily="34" charset="0"/>
              <a:cs typeface="Calibri" panose="020F0502020204030204" pitchFamily="34" charset="0"/>
            </a:rPr>
            <a:t>•</a:t>
          </a:r>
          <a:r>
            <a:rPr lang="sr-Latn-RS" sz="1000" kern="1200">
              <a:latin typeface="Calibri" panose="020F0502020204030204" pitchFamily="34" charset="0"/>
              <a:cs typeface="Calibri" panose="020F0502020204030204" pitchFamily="34" charset="0"/>
            </a:rPr>
            <a:t>  </a:t>
          </a:r>
          <a:r>
            <a:rPr lang="en-US" sz="1000" kern="1200"/>
            <a:t>ustanove</a:t>
          </a:r>
        </a:p>
      </dsp:txBody>
      <dsp:txXfrm>
        <a:off x="3630453" y="1943064"/>
        <a:ext cx="2144857" cy="779711"/>
      </dsp:txXfrm>
    </dsp:sp>
    <dsp:sp modelId="{1226AFF2-AB81-43E0-9621-7215F781BE02}">
      <dsp:nvSpPr>
        <dsp:cNvPr id="0" name=""/>
        <dsp:cNvSpPr/>
      </dsp:nvSpPr>
      <dsp:spPr>
        <a:xfrm rot="23576">
          <a:off x="2961219" y="1324468"/>
          <a:ext cx="527026" cy="257130"/>
        </a:xfrm>
        <a:prstGeom prst="rightArrow">
          <a:avLst>
            <a:gd name="adj1" fmla="val 60000"/>
            <a:gd name="adj2" fmla="val 50000"/>
          </a:avLst>
        </a:prstGeom>
        <a:gradFill rotWithShape="0">
          <a:gsLst>
            <a:gs pos="0">
              <a:schemeClr val="accent4">
                <a:hueOff val="9413312"/>
                <a:satOff val="-23276"/>
                <a:lumOff val="-12353"/>
                <a:alphaOff val="0"/>
                <a:tint val="50000"/>
                <a:satMod val="300000"/>
              </a:schemeClr>
            </a:gs>
            <a:gs pos="35000">
              <a:schemeClr val="accent4">
                <a:hueOff val="9413312"/>
                <a:satOff val="-23276"/>
                <a:lumOff val="-12353"/>
                <a:alphaOff val="0"/>
                <a:tint val="37000"/>
                <a:satMod val="300000"/>
              </a:schemeClr>
            </a:gs>
            <a:gs pos="100000">
              <a:schemeClr val="accent4">
                <a:hueOff val="9413312"/>
                <a:satOff val="-23276"/>
                <a:lumOff val="-12353"/>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2961220" y="1375629"/>
        <a:ext cx="449887" cy="154278"/>
      </dsp:txXfrm>
    </dsp:sp>
    <dsp:sp modelId="{F9928732-4073-49CF-9CDA-04EAAF5A18D4}">
      <dsp:nvSpPr>
        <dsp:cNvPr id="0" name=""/>
        <dsp:cNvSpPr/>
      </dsp:nvSpPr>
      <dsp:spPr>
        <a:xfrm>
          <a:off x="0" y="672690"/>
          <a:ext cx="2827381" cy="1538941"/>
        </a:xfrm>
        <a:prstGeom prst="ellipse">
          <a:avLst/>
        </a:prstGeom>
        <a:gradFill rotWithShape="0">
          <a:gsLst>
            <a:gs pos="0">
              <a:schemeClr val="accent4">
                <a:hueOff val="9413312"/>
                <a:satOff val="-23276"/>
                <a:lumOff val="-12353"/>
                <a:alphaOff val="0"/>
                <a:tint val="50000"/>
                <a:satMod val="300000"/>
              </a:schemeClr>
            </a:gs>
            <a:gs pos="35000">
              <a:schemeClr val="accent4">
                <a:hueOff val="9413312"/>
                <a:satOff val="-23276"/>
                <a:lumOff val="-12353"/>
                <a:alphaOff val="0"/>
                <a:tint val="37000"/>
                <a:satMod val="300000"/>
              </a:schemeClr>
            </a:gs>
            <a:gs pos="100000">
              <a:schemeClr val="accent4">
                <a:hueOff val="9413312"/>
                <a:satOff val="-23276"/>
                <a:lumOff val="-1235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x-none" sz="2000" kern="1200"/>
            <a:t>JAVNA UPRAVA</a:t>
          </a:r>
          <a:endParaRPr lang="en-US" sz="2000" kern="1200"/>
        </a:p>
      </dsp:txBody>
      <dsp:txXfrm>
        <a:off x="414060" y="898063"/>
        <a:ext cx="1999261" cy="108819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787E04-C33E-47A7-AE92-F4B5BE63278B}">
      <dsp:nvSpPr>
        <dsp:cNvPr id="0" name=""/>
        <dsp:cNvSpPr/>
      </dsp:nvSpPr>
      <dsp:spPr>
        <a:xfrm rot="16200000">
          <a:off x="-301405" y="304628"/>
          <a:ext cx="1740258" cy="1131000"/>
        </a:xfrm>
        <a:prstGeom prst="flowChartManualOperati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6276" bIns="0" numCol="1" spcCol="1270" anchor="ctr" anchorCtr="0">
          <a:noAutofit/>
        </a:bodyPr>
        <a:lstStyle/>
        <a:p>
          <a:pPr lvl="0" algn="ctr" defTabSz="400050">
            <a:lnSpc>
              <a:spcPct val="90000"/>
            </a:lnSpc>
            <a:spcBef>
              <a:spcPct val="0"/>
            </a:spcBef>
            <a:spcAft>
              <a:spcPct val="35000"/>
            </a:spcAft>
          </a:pPr>
          <a:r>
            <a:rPr lang="en-US" sz="900" kern="1200"/>
            <a:t>ORGANIZACIJA I RAD JAVNE UPRAVE U FUNKCIJI POTREBA GRAĐANA</a:t>
          </a:r>
        </a:p>
      </dsp:txBody>
      <dsp:txXfrm rot="5400000">
        <a:off x="3224" y="348051"/>
        <a:ext cx="1131000" cy="1044154"/>
      </dsp:txXfrm>
    </dsp:sp>
    <dsp:sp modelId="{386D8FF8-AB7A-48E0-8199-56B0DA6859F9}">
      <dsp:nvSpPr>
        <dsp:cNvPr id="0" name=""/>
        <dsp:cNvSpPr/>
      </dsp:nvSpPr>
      <dsp:spPr>
        <a:xfrm rot="16200000">
          <a:off x="914420" y="304628"/>
          <a:ext cx="1740258" cy="1131000"/>
        </a:xfrm>
        <a:prstGeom prst="flowChartManualOperation">
          <a:avLst/>
        </a:prstGeom>
        <a:solidFill>
          <a:schemeClr val="accent4">
            <a:hueOff val="2353328"/>
            <a:satOff val="-5819"/>
            <a:lumOff val="-308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6276" bIns="0" numCol="1" spcCol="1270" anchor="ctr" anchorCtr="0">
          <a:noAutofit/>
        </a:bodyPr>
        <a:lstStyle/>
        <a:p>
          <a:pPr lvl="0" algn="ctr" defTabSz="400050">
            <a:lnSpc>
              <a:spcPct val="90000"/>
            </a:lnSpc>
            <a:spcBef>
              <a:spcPct val="0"/>
            </a:spcBef>
            <a:spcAft>
              <a:spcPct val="35000"/>
            </a:spcAft>
          </a:pPr>
          <a:r>
            <a:rPr lang="en-US" sz="900" kern="1200"/>
            <a:t>GRAĐANI I PRIVREDA KORISTE KVALITET</a:t>
          </a:r>
          <a:r>
            <a:rPr lang="sr-Latn-ME" sz="900" kern="1200"/>
            <a:t>N</a:t>
          </a:r>
          <a:r>
            <a:rPr lang="en-US" sz="900" kern="1200"/>
            <a:t>E USLUGE JAVNE UPRAVE</a:t>
          </a:r>
        </a:p>
      </dsp:txBody>
      <dsp:txXfrm rot="5400000">
        <a:off x="1219049" y="348051"/>
        <a:ext cx="1131000" cy="1044154"/>
      </dsp:txXfrm>
    </dsp:sp>
    <dsp:sp modelId="{D28CA791-62F7-49D3-A21D-4A09E866FDBF}">
      <dsp:nvSpPr>
        <dsp:cNvPr id="0" name=""/>
        <dsp:cNvSpPr/>
      </dsp:nvSpPr>
      <dsp:spPr>
        <a:xfrm rot="16200000">
          <a:off x="2130246" y="304628"/>
          <a:ext cx="1740258" cy="1131000"/>
        </a:xfrm>
        <a:prstGeom prst="flowChartManualOperation">
          <a:avLst/>
        </a:prstGeom>
        <a:solidFill>
          <a:schemeClr val="accent4">
            <a:hueOff val="4706656"/>
            <a:satOff val="-11638"/>
            <a:lumOff val="-6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6276" bIns="0" numCol="1" spcCol="1270" anchor="ctr" anchorCtr="0">
          <a:noAutofit/>
        </a:bodyPr>
        <a:lstStyle/>
        <a:p>
          <a:pPr lvl="0" algn="ctr" defTabSz="400050">
            <a:lnSpc>
              <a:spcPct val="90000"/>
            </a:lnSpc>
            <a:spcBef>
              <a:spcPct val="0"/>
            </a:spcBef>
            <a:spcAft>
              <a:spcPct val="35000"/>
            </a:spcAft>
          </a:pPr>
          <a:r>
            <a:rPr lang="en-US" sz="900" kern="1200"/>
            <a:t>PROFESIONALNA JAVNA ADMINISTRACIJA</a:t>
          </a:r>
        </a:p>
      </dsp:txBody>
      <dsp:txXfrm rot="5400000">
        <a:off x="2434875" y="348051"/>
        <a:ext cx="1131000" cy="1044154"/>
      </dsp:txXfrm>
    </dsp:sp>
    <dsp:sp modelId="{BA726E4F-3B31-4D83-9AE0-332DC8F21BA0}">
      <dsp:nvSpPr>
        <dsp:cNvPr id="0" name=""/>
        <dsp:cNvSpPr/>
      </dsp:nvSpPr>
      <dsp:spPr>
        <a:xfrm rot="16200000">
          <a:off x="3346071" y="304628"/>
          <a:ext cx="1740258" cy="1131000"/>
        </a:xfrm>
        <a:prstGeom prst="flowChartManualOperation">
          <a:avLst/>
        </a:prstGeom>
        <a:solidFill>
          <a:schemeClr val="accent4">
            <a:hueOff val="7059984"/>
            <a:satOff val="-17457"/>
            <a:lumOff val="-926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6276" bIns="0" numCol="1" spcCol="1270" anchor="ctr" anchorCtr="0">
          <a:noAutofit/>
        </a:bodyPr>
        <a:lstStyle/>
        <a:p>
          <a:pPr lvl="0" algn="ctr" defTabSz="400050">
            <a:lnSpc>
              <a:spcPct val="90000"/>
            </a:lnSpc>
            <a:spcBef>
              <a:spcPct val="0"/>
            </a:spcBef>
            <a:spcAft>
              <a:spcPct val="35000"/>
            </a:spcAft>
          </a:pPr>
          <a:r>
            <a:rPr lang="en-US" sz="900" kern="1200"/>
            <a:t>TRANSPARENTNA I OTVORENA JAVNA UPRAVA</a:t>
          </a:r>
        </a:p>
      </dsp:txBody>
      <dsp:txXfrm rot="5400000">
        <a:off x="3650700" y="348051"/>
        <a:ext cx="1131000" cy="1044154"/>
      </dsp:txXfrm>
    </dsp:sp>
    <dsp:sp modelId="{FB892113-B57E-49BB-A541-6ADA78611B0C}">
      <dsp:nvSpPr>
        <dsp:cNvPr id="0" name=""/>
        <dsp:cNvSpPr/>
      </dsp:nvSpPr>
      <dsp:spPr>
        <a:xfrm rot="16200000">
          <a:off x="4561897" y="304628"/>
          <a:ext cx="1740258" cy="1131000"/>
        </a:xfrm>
        <a:prstGeom prst="flowChartManualOperation">
          <a:avLst/>
        </a:prstGeom>
        <a:solidFill>
          <a:schemeClr val="accent4">
            <a:hueOff val="9413312"/>
            <a:satOff val="-23276"/>
            <a:lumOff val="-1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6276" bIns="0" numCol="1" spcCol="1270" anchor="ctr" anchorCtr="0">
          <a:noAutofit/>
        </a:bodyPr>
        <a:lstStyle/>
        <a:p>
          <a:pPr lvl="0" algn="ctr" defTabSz="400050">
            <a:lnSpc>
              <a:spcPct val="90000"/>
            </a:lnSpc>
            <a:spcBef>
              <a:spcPct val="0"/>
            </a:spcBef>
            <a:spcAft>
              <a:spcPct val="35000"/>
            </a:spcAft>
          </a:pPr>
          <a:r>
            <a:rPr lang="en-US" sz="900" kern="1200"/>
            <a:t>PLANIRANJE POLITIKA SA GRAĐANIMA I ZA GRAĐANE</a:t>
          </a:r>
        </a:p>
      </dsp:txBody>
      <dsp:txXfrm rot="5400000">
        <a:off x="4866526" y="348051"/>
        <a:ext cx="1131000" cy="104415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AE29DA-CEBA-4413-B832-44D566F323F2}">
      <dsp:nvSpPr>
        <dsp:cNvPr id="0" name=""/>
        <dsp:cNvSpPr/>
      </dsp:nvSpPr>
      <dsp:spPr>
        <a:xfrm>
          <a:off x="-186109" y="0"/>
          <a:ext cx="3641198" cy="3208020"/>
        </a:xfrm>
        <a:prstGeom prst="quadArrow">
          <a:avLst>
            <a:gd name="adj1" fmla="val 2000"/>
            <a:gd name="adj2" fmla="val 4000"/>
            <a:gd name="adj3" fmla="val 5000"/>
          </a:avLst>
        </a:prstGeom>
        <a:solidFill>
          <a:srgbClr val="B4936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ACB74F3-7544-48C4-B3E4-16ECB83E2651}">
      <dsp:nvSpPr>
        <dsp:cNvPr id="0" name=""/>
        <dsp:cNvSpPr/>
      </dsp:nvSpPr>
      <dsp:spPr>
        <a:xfrm>
          <a:off x="0" y="73290"/>
          <a:ext cx="1507769" cy="1426170"/>
        </a:xfrm>
        <a:prstGeom prst="roundRect">
          <a:avLst/>
        </a:prstGeom>
        <a:solidFill>
          <a:srgbClr val="DC9E1F">
            <a:lumMod val="60000"/>
            <a:lumOff val="40000"/>
          </a:srgbClr>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kern="1200">
            <a:solidFill>
              <a:srgbClr val="FFFFFF"/>
            </a:solidFill>
            <a:latin typeface="Cambria"/>
            <a:ea typeface="+mn-ea"/>
            <a:cs typeface="+mn-cs"/>
          </a:endParaRPr>
        </a:p>
        <a:p>
          <a:pPr lvl="0" algn="ctr" defTabSz="533400">
            <a:lnSpc>
              <a:spcPct val="90000"/>
            </a:lnSpc>
            <a:spcBef>
              <a:spcPct val="0"/>
            </a:spcBef>
            <a:spcAft>
              <a:spcPct val="35000"/>
            </a:spcAft>
          </a:pPr>
          <a:r>
            <a:rPr lang="en-US" sz="1200" kern="1200">
              <a:solidFill>
                <a:srgbClr val="FFFFFF"/>
              </a:solidFill>
              <a:latin typeface="Cambria"/>
              <a:ea typeface="+mn-ea"/>
              <a:cs typeface="+mn-cs"/>
            </a:rPr>
            <a:t>Građani</a:t>
          </a:r>
          <a:endParaRPr lang="sr-Latn-ME" sz="1200" kern="1200">
            <a:solidFill>
              <a:srgbClr val="FFFFFF"/>
            </a:solidFill>
            <a:latin typeface="Cambria"/>
            <a:ea typeface="+mn-ea"/>
            <a:cs typeface="+mn-cs"/>
          </a:endParaRPr>
        </a:p>
        <a:p>
          <a:pPr lvl="0" algn="ctr" defTabSz="533400">
            <a:lnSpc>
              <a:spcPct val="90000"/>
            </a:lnSpc>
            <a:spcBef>
              <a:spcPct val="0"/>
            </a:spcBef>
            <a:spcAft>
              <a:spcPct val="35000"/>
            </a:spcAft>
          </a:pPr>
          <a:r>
            <a:rPr lang="sr-Latn-ME" sz="1200" kern="1200">
              <a:solidFill>
                <a:srgbClr val="FFFFFF"/>
              </a:solidFill>
              <a:latin typeface="Cambria"/>
              <a:ea typeface="+mn-ea"/>
              <a:cs typeface="+mn-cs"/>
            </a:rPr>
            <a:t>Privreda</a:t>
          </a:r>
          <a:r>
            <a:rPr lang="x-none" sz="1200" kern="1200">
              <a:solidFill>
                <a:srgbClr val="FFFFFF"/>
              </a:solidFill>
              <a:latin typeface="Cambria"/>
              <a:ea typeface="+mn-ea"/>
              <a:cs typeface="+mn-cs"/>
            </a:rPr>
            <a:t>                                  Sindikati</a:t>
          </a:r>
          <a:endParaRPr lang="en-US" sz="1200" kern="1200">
            <a:solidFill>
              <a:srgbClr val="FFFFFF"/>
            </a:solidFill>
            <a:latin typeface="Cambria"/>
            <a:ea typeface="+mn-ea"/>
            <a:cs typeface="+mn-cs"/>
          </a:endParaRPr>
        </a:p>
        <a:p>
          <a:pPr lvl="0" algn="ctr" defTabSz="533400">
            <a:lnSpc>
              <a:spcPct val="90000"/>
            </a:lnSpc>
            <a:spcBef>
              <a:spcPct val="0"/>
            </a:spcBef>
            <a:spcAft>
              <a:spcPct val="35000"/>
            </a:spcAft>
          </a:pPr>
          <a:r>
            <a:rPr lang="en-US" sz="1200" kern="1200">
              <a:solidFill>
                <a:srgbClr val="FFFFFF"/>
              </a:solidFill>
              <a:latin typeface="Cambria"/>
              <a:ea typeface="+mn-ea"/>
              <a:cs typeface="+mn-cs"/>
            </a:rPr>
            <a:t>Organi uprave</a:t>
          </a:r>
          <a:endParaRPr lang="x-none" sz="1200" kern="1200">
            <a:solidFill>
              <a:srgbClr val="FFFFFF"/>
            </a:solidFill>
            <a:latin typeface="Cambria"/>
            <a:ea typeface="+mn-ea"/>
            <a:cs typeface="+mn-cs"/>
          </a:endParaRPr>
        </a:p>
        <a:p>
          <a:pPr lvl="0" algn="ctr" defTabSz="533400">
            <a:lnSpc>
              <a:spcPct val="90000"/>
            </a:lnSpc>
            <a:spcBef>
              <a:spcPct val="0"/>
            </a:spcBef>
            <a:spcAft>
              <a:spcPct val="35000"/>
            </a:spcAft>
          </a:pPr>
          <a:r>
            <a:rPr lang="x-none" sz="1200" kern="1200">
              <a:solidFill>
                <a:srgbClr val="FFFFFF"/>
              </a:solidFill>
              <a:latin typeface="Cambria"/>
              <a:ea typeface="+mn-ea"/>
              <a:cs typeface="+mn-cs"/>
            </a:rPr>
            <a:t>Javne institucije</a:t>
          </a:r>
          <a:endParaRPr lang="en-US" sz="1200" kern="1200">
            <a:solidFill>
              <a:srgbClr val="FFFFFF"/>
            </a:solidFill>
            <a:latin typeface="Cambria"/>
            <a:ea typeface="+mn-ea"/>
            <a:cs typeface="+mn-cs"/>
          </a:endParaRPr>
        </a:p>
      </dsp:txBody>
      <dsp:txXfrm>
        <a:off x="69620" y="142910"/>
        <a:ext cx="1368529" cy="1286930"/>
      </dsp:txXfrm>
    </dsp:sp>
    <dsp:sp modelId="{1B4914EA-63DB-475D-9E50-3BFC0718B9DD}">
      <dsp:nvSpPr>
        <dsp:cNvPr id="0" name=""/>
        <dsp:cNvSpPr/>
      </dsp:nvSpPr>
      <dsp:spPr>
        <a:xfrm>
          <a:off x="1763892" y="84858"/>
          <a:ext cx="1505087" cy="1436294"/>
        </a:xfrm>
        <a:prstGeom prst="roundRect">
          <a:avLst/>
        </a:prstGeom>
        <a:solidFill>
          <a:srgbClr val="67BAF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x-none" sz="600" kern="1200">
              <a:solidFill>
                <a:srgbClr val="FFFFFF"/>
              </a:solidFill>
              <a:latin typeface="Cambria"/>
              <a:ea typeface="+mn-ea"/>
              <a:cs typeface="+mn-cs"/>
            </a:rPr>
            <a:t>Vlada                                   </a:t>
          </a:r>
          <a:r>
            <a:rPr lang="en-US" sz="600" kern="1200">
              <a:solidFill>
                <a:srgbClr val="FFFFFF"/>
              </a:solidFill>
              <a:latin typeface="Cambria"/>
              <a:ea typeface="+mn-ea"/>
              <a:cs typeface="+mn-cs"/>
            </a:rPr>
            <a:t>                          </a:t>
          </a:r>
          <a:r>
            <a:rPr lang="x-none" sz="600" kern="1200">
              <a:solidFill>
                <a:srgbClr val="FFFFFF"/>
              </a:solidFill>
              <a:latin typeface="Cambria"/>
              <a:ea typeface="+mn-ea"/>
              <a:cs typeface="+mn-cs"/>
            </a:rPr>
            <a:t>MJUDDM                                        </a:t>
          </a:r>
          <a:r>
            <a:rPr lang="en-US" sz="600" kern="1200">
              <a:solidFill>
                <a:srgbClr val="FFFFFF"/>
              </a:solidFill>
              <a:latin typeface="Cambria"/>
              <a:ea typeface="+mn-ea"/>
              <a:cs typeface="+mn-cs"/>
            </a:rPr>
            <a:t>               </a:t>
          </a:r>
          <a:r>
            <a:rPr lang="x-none" sz="600" kern="1200">
              <a:solidFill>
                <a:srgbClr val="FFFFFF"/>
              </a:solidFill>
              <a:latin typeface="Cambria"/>
              <a:ea typeface="+mn-ea"/>
              <a:cs typeface="+mn-cs"/>
            </a:rPr>
            <a:t>   MFSS                                            </a:t>
          </a:r>
          <a:r>
            <a:rPr lang="en-US" sz="600" kern="1200">
              <a:solidFill>
                <a:srgbClr val="FFFFFF"/>
              </a:solidFill>
              <a:latin typeface="Cambria"/>
              <a:ea typeface="+mn-ea"/>
              <a:cs typeface="+mn-cs"/>
            </a:rPr>
            <a:t>                      </a:t>
          </a:r>
          <a:r>
            <a:rPr lang="x-none" sz="600" kern="1200">
              <a:solidFill>
                <a:srgbClr val="FFFFFF"/>
              </a:solidFill>
              <a:latin typeface="Cambria"/>
              <a:ea typeface="+mn-ea"/>
              <a:cs typeface="+mn-cs"/>
            </a:rPr>
            <a:t>   MER    </a:t>
          </a:r>
        </a:p>
        <a:p>
          <a:pPr lvl="0" algn="ctr" defTabSz="266700">
            <a:lnSpc>
              <a:spcPct val="90000"/>
            </a:lnSpc>
            <a:spcBef>
              <a:spcPct val="0"/>
            </a:spcBef>
            <a:spcAft>
              <a:spcPct val="35000"/>
            </a:spcAft>
          </a:pPr>
          <a:r>
            <a:rPr lang="x-none" sz="600" kern="1200">
              <a:solidFill>
                <a:srgbClr val="FFFFFF"/>
              </a:solidFill>
              <a:latin typeface="Cambria"/>
              <a:ea typeface="+mn-ea"/>
              <a:cs typeface="+mn-cs"/>
            </a:rPr>
            <a:t>UzK                                </a:t>
          </a:r>
          <a:r>
            <a:rPr lang="en-US" sz="600" kern="1200">
              <a:solidFill>
                <a:srgbClr val="FFFFFF"/>
              </a:solidFill>
              <a:latin typeface="Cambria"/>
              <a:ea typeface="+mn-ea"/>
              <a:cs typeface="+mn-cs"/>
            </a:rPr>
            <a:t>                         </a:t>
          </a:r>
          <a:r>
            <a:rPr lang="x-none" sz="600" kern="1200">
              <a:solidFill>
                <a:srgbClr val="FFFFFF"/>
              </a:solidFill>
              <a:latin typeface="Cambria"/>
              <a:ea typeface="+mn-ea"/>
              <a:cs typeface="+mn-cs"/>
            </a:rPr>
            <a:t>  Upravna inspekcija                              </a:t>
          </a:r>
          <a:r>
            <a:rPr lang="en-US" sz="600" kern="1200">
              <a:solidFill>
                <a:srgbClr val="FFFFFF"/>
              </a:solidFill>
              <a:latin typeface="Cambria"/>
              <a:ea typeface="+mn-ea"/>
              <a:cs typeface="+mn-cs"/>
            </a:rPr>
            <a:t>                  </a:t>
          </a:r>
          <a:r>
            <a:rPr lang="x-none" sz="600" kern="1200">
              <a:solidFill>
                <a:srgbClr val="FFFFFF"/>
              </a:solidFill>
              <a:latin typeface="Cambria"/>
              <a:ea typeface="+mn-ea"/>
              <a:cs typeface="+mn-cs"/>
            </a:rPr>
            <a:t>Upravni sud                                </a:t>
          </a:r>
          <a:r>
            <a:rPr lang="en-US" sz="600" kern="1200">
              <a:solidFill>
                <a:srgbClr val="FFFFFF"/>
              </a:solidFill>
              <a:latin typeface="Cambria"/>
              <a:ea typeface="+mn-ea"/>
              <a:cs typeface="+mn-cs"/>
            </a:rPr>
            <a:t>                          </a:t>
          </a:r>
          <a:r>
            <a:rPr lang="x-none" sz="600" kern="1200">
              <a:solidFill>
                <a:srgbClr val="FFFFFF"/>
              </a:solidFill>
              <a:latin typeface="Cambria"/>
              <a:ea typeface="+mn-ea"/>
              <a:cs typeface="+mn-cs"/>
            </a:rPr>
            <a:t>  DRI                                      </a:t>
          </a:r>
          <a:r>
            <a:rPr lang="en-US" sz="600" kern="1200">
              <a:solidFill>
                <a:srgbClr val="FFFFFF"/>
              </a:solidFill>
              <a:latin typeface="Cambria"/>
              <a:ea typeface="+mn-ea"/>
              <a:cs typeface="+mn-cs"/>
            </a:rPr>
            <a:t>                    </a:t>
          </a:r>
          <a:r>
            <a:rPr lang="x-none" sz="600" kern="1200">
              <a:solidFill>
                <a:srgbClr val="FFFFFF"/>
              </a:solidFill>
              <a:latin typeface="Cambria"/>
              <a:ea typeface="+mn-ea"/>
              <a:cs typeface="+mn-cs"/>
            </a:rPr>
            <a:t>   Zaštitnik imovinsko pravnih odnosa                                              JLS i ZOCG                               </a:t>
          </a:r>
          <a:r>
            <a:rPr lang="en-US" sz="600" kern="1200">
              <a:solidFill>
                <a:srgbClr val="FFFFFF"/>
              </a:solidFill>
              <a:latin typeface="Cambria"/>
              <a:ea typeface="+mn-ea"/>
              <a:cs typeface="+mn-cs"/>
            </a:rPr>
            <a:t>             </a:t>
          </a:r>
          <a:r>
            <a:rPr lang="x-none" sz="600" kern="1200">
              <a:solidFill>
                <a:srgbClr val="FFFFFF"/>
              </a:solidFill>
              <a:latin typeface="Cambria"/>
              <a:ea typeface="+mn-ea"/>
              <a:cs typeface="+mn-cs"/>
            </a:rPr>
            <a:t>    Zaposleni u javnoj upravi</a:t>
          </a:r>
          <a:endParaRPr lang="en-US" sz="600" kern="1200">
            <a:solidFill>
              <a:srgbClr val="FFFFFF"/>
            </a:solidFill>
            <a:latin typeface="Cambria"/>
            <a:ea typeface="+mn-ea"/>
            <a:cs typeface="+mn-cs"/>
          </a:endParaRPr>
        </a:p>
        <a:p>
          <a:pPr lvl="0" algn="ctr" defTabSz="266700">
            <a:lnSpc>
              <a:spcPct val="90000"/>
            </a:lnSpc>
            <a:spcBef>
              <a:spcPct val="0"/>
            </a:spcBef>
            <a:spcAft>
              <a:spcPct val="35000"/>
            </a:spcAft>
          </a:pPr>
          <a:r>
            <a:rPr lang="en-US" sz="600" kern="1200">
              <a:solidFill>
                <a:srgbClr val="FFFFFF"/>
              </a:solidFill>
              <a:latin typeface="Cambria"/>
              <a:ea typeface="+mn-ea"/>
              <a:cs typeface="+mn-cs"/>
            </a:rPr>
            <a:t>ICT zajednica</a:t>
          </a:r>
        </a:p>
        <a:p>
          <a:pPr lvl="0" algn="ctr" defTabSz="266700">
            <a:lnSpc>
              <a:spcPct val="90000"/>
            </a:lnSpc>
            <a:spcBef>
              <a:spcPct val="0"/>
            </a:spcBef>
            <a:spcAft>
              <a:spcPct val="35000"/>
            </a:spcAft>
          </a:pPr>
          <a:r>
            <a:rPr lang="en-US" sz="600" kern="1200">
              <a:solidFill>
                <a:srgbClr val="FFFFFF"/>
              </a:solidFill>
              <a:latin typeface="Cambria"/>
              <a:ea typeface="+mn-ea"/>
              <a:cs typeface="+mn-cs"/>
            </a:rPr>
            <a:t>EK, DEU, SIGMA, OECD, UN, WB</a:t>
          </a:r>
        </a:p>
      </dsp:txBody>
      <dsp:txXfrm>
        <a:off x="1834006" y="154972"/>
        <a:ext cx="1364859" cy="1296066"/>
      </dsp:txXfrm>
    </dsp:sp>
    <dsp:sp modelId="{BA0188D3-BDA5-4CAB-9BF0-E90EF2930321}">
      <dsp:nvSpPr>
        <dsp:cNvPr id="0" name=""/>
        <dsp:cNvSpPr/>
      </dsp:nvSpPr>
      <dsp:spPr>
        <a:xfrm>
          <a:off x="15087" y="1720076"/>
          <a:ext cx="1443236" cy="1302507"/>
        </a:xfrm>
        <a:prstGeom prst="roundRect">
          <a:avLst/>
        </a:prstGeom>
        <a:solidFill>
          <a:srgbClr val="46E88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x-none" sz="1200" kern="1200">
              <a:solidFill>
                <a:srgbClr val="FFFFFF"/>
              </a:solidFill>
              <a:latin typeface="Cambria"/>
              <a:ea typeface="+mn-ea"/>
              <a:cs typeface="+mn-cs"/>
            </a:rPr>
            <a:t>Preduzetnici</a:t>
          </a:r>
          <a:endParaRPr lang="en-US" sz="1200" kern="1200">
            <a:solidFill>
              <a:srgbClr val="FFFFFF"/>
            </a:solidFill>
            <a:latin typeface="Cambria"/>
            <a:ea typeface="+mn-ea"/>
            <a:cs typeface="+mn-cs"/>
          </a:endParaRPr>
        </a:p>
      </dsp:txBody>
      <dsp:txXfrm>
        <a:off x="78670" y="1783659"/>
        <a:ext cx="1316070" cy="1175341"/>
      </dsp:txXfrm>
    </dsp:sp>
    <dsp:sp modelId="{A0C4A0DE-A96A-4B36-8D28-DEDC80D98084}">
      <dsp:nvSpPr>
        <dsp:cNvPr id="0" name=""/>
        <dsp:cNvSpPr/>
      </dsp:nvSpPr>
      <dsp:spPr>
        <a:xfrm>
          <a:off x="1775649" y="1718363"/>
          <a:ext cx="1401044" cy="1330648"/>
        </a:xfrm>
        <a:prstGeom prst="roundRect">
          <a:avLst/>
        </a:prstGeom>
        <a:solidFill>
          <a:srgbClr val="FB9DB1"/>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x-none" sz="1100" kern="1200">
              <a:solidFill>
                <a:srgbClr val="FFFFFF"/>
              </a:solidFill>
              <a:latin typeface="Cambria"/>
              <a:ea typeface="+mn-ea"/>
              <a:cs typeface="+mn-cs"/>
            </a:rPr>
            <a:t>Mediji</a:t>
          </a:r>
          <a:endParaRPr lang="en-US" sz="1100" kern="1200">
            <a:solidFill>
              <a:srgbClr val="FFFFFF"/>
            </a:solidFill>
            <a:latin typeface="Cambria"/>
            <a:ea typeface="+mn-ea"/>
            <a:cs typeface="+mn-cs"/>
          </a:endParaRPr>
        </a:p>
      </dsp:txBody>
      <dsp:txXfrm>
        <a:off x="1840606" y="1783320"/>
        <a:ext cx="1271130" cy="120073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286AA1-B54E-4738-BEDA-A1281D5D6126}">
      <dsp:nvSpPr>
        <dsp:cNvPr id="0" name=""/>
        <dsp:cNvSpPr/>
      </dsp:nvSpPr>
      <dsp:spPr>
        <a:xfrm>
          <a:off x="2842770" y="1409484"/>
          <a:ext cx="1254633" cy="1254633"/>
        </a:xfrm>
        <a:prstGeom prst="roundRect">
          <a:avLst/>
        </a:prstGeom>
        <a:solidFill>
          <a:srgbClr val="FACEC2"/>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en-US" sz="1050" kern="1200"/>
            <a:t>EFIKASNA I ODGOVORNA JAVNA UPRAV</a:t>
          </a:r>
          <a:r>
            <a:rPr lang="x-none" sz="1050" kern="1200"/>
            <a:t>A</a:t>
          </a:r>
          <a:endParaRPr lang="en-US" sz="1050" kern="1200"/>
        </a:p>
      </dsp:txBody>
      <dsp:txXfrm>
        <a:off x="2904016" y="1470730"/>
        <a:ext cx="1132141" cy="1132141"/>
      </dsp:txXfrm>
    </dsp:sp>
    <dsp:sp modelId="{F1137C53-D9B9-480D-AA6F-93ECED0910D8}">
      <dsp:nvSpPr>
        <dsp:cNvPr id="0" name=""/>
        <dsp:cNvSpPr/>
      </dsp:nvSpPr>
      <dsp:spPr>
        <a:xfrm rot="16138827">
          <a:off x="3274705" y="1228515"/>
          <a:ext cx="361995" cy="0"/>
        </a:xfrm>
        <a:custGeom>
          <a:avLst/>
          <a:gdLst/>
          <a:ahLst/>
          <a:cxnLst/>
          <a:rect l="0" t="0" r="0" b="0"/>
          <a:pathLst>
            <a:path>
              <a:moveTo>
                <a:pt x="0" y="0"/>
              </a:moveTo>
              <a:lnTo>
                <a:pt x="361995"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79F12A-AD30-4A35-8B79-FE505109F985}">
      <dsp:nvSpPr>
        <dsp:cNvPr id="0" name=""/>
        <dsp:cNvSpPr/>
      </dsp:nvSpPr>
      <dsp:spPr>
        <a:xfrm>
          <a:off x="1834234" y="-108847"/>
          <a:ext cx="3215915" cy="1156393"/>
        </a:xfrm>
        <a:prstGeom prst="roundRect">
          <a:avLst/>
        </a:prstGeom>
        <a:solidFill>
          <a:srgbClr val="C4E5EA"/>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l" defTabSz="466725">
            <a:lnSpc>
              <a:spcPct val="90000"/>
            </a:lnSpc>
            <a:spcBef>
              <a:spcPct val="0"/>
            </a:spcBef>
            <a:spcAft>
              <a:spcPct val="35000"/>
            </a:spcAft>
          </a:pPr>
          <a:r>
            <a:rPr lang="sr-Latn-ME" sz="1050" kern="1200"/>
            <a:t>- Reforma javne uprave obuhvata </a:t>
          </a:r>
          <a:r>
            <a:rPr lang="en-US" sz="1050" kern="1200"/>
            <a:t>462 instiucije na centalnom nivou i </a:t>
          </a:r>
          <a:r>
            <a:rPr lang="sr-Latn-ME" sz="1050" kern="1200"/>
            <a:t>332</a:t>
          </a:r>
          <a:r>
            <a:rPr lang="en-US" sz="1050" kern="1200"/>
            <a:t> na lokalnom nivou</a:t>
          </a:r>
          <a:endParaRPr lang="x-none" sz="1050" kern="1200"/>
        </a:p>
        <a:p>
          <a:pPr lvl="0" algn="l" defTabSz="466725">
            <a:lnSpc>
              <a:spcPct val="90000"/>
            </a:lnSpc>
            <a:spcBef>
              <a:spcPct val="0"/>
            </a:spcBef>
            <a:spcAft>
              <a:spcPct val="35000"/>
            </a:spcAft>
          </a:pPr>
          <a:r>
            <a:rPr lang="sr-Latn-ME" sz="1050" kern="1200"/>
            <a:t>- </a:t>
          </a:r>
          <a:r>
            <a:rPr lang="en-US" sz="1050" kern="1200"/>
            <a:t>Uspostavljen efikasan sistem nadzora</a:t>
          </a:r>
          <a:r>
            <a:rPr lang="sr-Latn-ME" sz="1050" kern="1200"/>
            <a:t> i odgovornosti</a:t>
          </a:r>
          <a:endParaRPr lang="en-US" sz="1050" kern="1200"/>
        </a:p>
      </dsp:txBody>
      <dsp:txXfrm>
        <a:off x="1890684" y="-52397"/>
        <a:ext cx="3103015" cy="1043493"/>
      </dsp:txXfrm>
    </dsp:sp>
    <dsp:sp modelId="{B51CBCDD-6280-4095-BE61-E48470F64C6F}">
      <dsp:nvSpPr>
        <dsp:cNvPr id="0" name=""/>
        <dsp:cNvSpPr/>
      </dsp:nvSpPr>
      <dsp:spPr>
        <a:xfrm rot="69290">
          <a:off x="4097396" y="2050167"/>
          <a:ext cx="71462" cy="0"/>
        </a:xfrm>
        <a:custGeom>
          <a:avLst/>
          <a:gdLst/>
          <a:ahLst/>
          <a:cxnLst/>
          <a:rect l="0" t="0" r="0" b="0"/>
          <a:pathLst>
            <a:path>
              <a:moveTo>
                <a:pt x="0" y="0"/>
              </a:moveTo>
              <a:lnTo>
                <a:pt x="71462"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419579-FE59-4C0E-A387-4F738FF06675}">
      <dsp:nvSpPr>
        <dsp:cNvPr id="0" name=""/>
        <dsp:cNvSpPr/>
      </dsp:nvSpPr>
      <dsp:spPr>
        <a:xfrm>
          <a:off x="4168851" y="1405559"/>
          <a:ext cx="2384348" cy="1338720"/>
        </a:xfrm>
        <a:prstGeom prst="roundRect">
          <a:avLst/>
        </a:prstGeom>
        <a:solidFill>
          <a:srgbClr val="F0EFB3"/>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l" defTabSz="466725">
            <a:lnSpc>
              <a:spcPct val="90000"/>
            </a:lnSpc>
            <a:spcBef>
              <a:spcPct val="0"/>
            </a:spcBef>
            <a:spcAft>
              <a:spcPct val="35000"/>
            </a:spcAft>
          </a:pPr>
          <a:r>
            <a:rPr lang="en-US" sz="1050" kern="1200"/>
            <a:t> Brza i efikasnija komunikacija, unutar i između organa, u cilju poboljšanja usluge za</a:t>
          </a:r>
          <a:r>
            <a:rPr lang="x-none" sz="1050" kern="1200"/>
            <a:t> e</a:t>
          </a:r>
          <a:r>
            <a:rPr lang="en-US" sz="1050" kern="1200"/>
            <a:t>lektronsko praćenje zahtjeva, od trenutka podnošenja zahtjeva do dobijanja rješenja</a:t>
          </a:r>
        </a:p>
      </dsp:txBody>
      <dsp:txXfrm>
        <a:off x="4234202" y="1470910"/>
        <a:ext cx="2253646" cy="1208018"/>
      </dsp:txXfrm>
    </dsp:sp>
    <dsp:sp modelId="{B7132642-82AF-44E0-BE36-AEC666B94715}">
      <dsp:nvSpPr>
        <dsp:cNvPr id="0" name=""/>
        <dsp:cNvSpPr/>
      </dsp:nvSpPr>
      <dsp:spPr>
        <a:xfrm rot="5323331">
          <a:off x="3253907" y="2899481"/>
          <a:ext cx="470844" cy="0"/>
        </a:xfrm>
        <a:custGeom>
          <a:avLst/>
          <a:gdLst/>
          <a:ahLst/>
          <a:cxnLst/>
          <a:rect l="0" t="0" r="0" b="0"/>
          <a:pathLst>
            <a:path>
              <a:moveTo>
                <a:pt x="0" y="0"/>
              </a:moveTo>
              <a:lnTo>
                <a:pt x="470844"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93DFEA-4549-45C0-9984-9239D03EADF0}">
      <dsp:nvSpPr>
        <dsp:cNvPr id="0" name=""/>
        <dsp:cNvSpPr/>
      </dsp:nvSpPr>
      <dsp:spPr>
        <a:xfrm>
          <a:off x="1874840" y="3134845"/>
          <a:ext cx="3266713" cy="1220935"/>
        </a:xfrm>
        <a:prstGeom prst="roundRect">
          <a:avLst/>
        </a:prstGeom>
        <a:solidFill>
          <a:srgbClr val="E8D0DF"/>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66725">
            <a:lnSpc>
              <a:spcPct val="90000"/>
            </a:lnSpc>
            <a:spcBef>
              <a:spcPct val="0"/>
            </a:spcBef>
            <a:spcAft>
              <a:spcPct val="35000"/>
            </a:spcAft>
          </a:pPr>
          <a:r>
            <a:rPr lang="x-none" sz="1050" kern="1200"/>
            <a:t>U</a:t>
          </a:r>
          <a:r>
            <a:rPr lang="en-US" sz="1050" kern="1200"/>
            <a:t> cilju unaprijeđenja učinka neophodno je da rukovodioci u javnoj upravi delegiraju ovlašćenja i omoguće </a:t>
          </a:r>
          <a:r>
            <a:rPr lang="x-none" sz="1050" kern="1200"/>
            <a:t>visoko-rukovodnom kadru </a:t>
          </a:r>
          <a:r>
            <a:rPr lang="en-US" sz="1050" kern="1200"/>
            <a:t>u organizaciji da donose odluke</a:t>
          </a:r>
          <a:r>
            <a:rPr lang="sr-Latn-ME" sz="1050" kern="1200"/>
            <a:t> i</a:t>
          </a:r>
          <a:r>
            <a:rPr lang="en-US" sz="1050" kern="1200"/>
            <a:t> upravljaju finansijama</a:t>
          </a:r>
          <a:endParaRPr lang="en-US" sz="1050" kern="1200">
            <a:solidFill>
              <a:srgbClr val="FF0000"/>
            </a:solidFill>
          </a:endParaRPr>
        </a:p>
      </dsp:txBody>
      <dsp:txXfrm>
        <a:off x="1934441" y="3194446"/>
        <a:ext cx="3147511" cy="1101733"/>
      </dsp:txXfrm>
    </dsp:sp>
    <dsp:sp modelId="{79F83151-B2F6-4DA6-B6E1-A311A248DFBD}">
      <dsp:nvSpPr>
        <dsp:cNvPr id="0" name=""/>
        <dsp:cNvSpPr/>
      </dsp:nvSpPr>
      <dsp:spPr>
        <a:xfrm rot="10738524">
          <a:off x="2677478" y="2049498"/>
          <a:ext cx="165305" cy="0"/>
        </a:xfrm>
        <a:custGeom>
          <a:avLst/>
          <a:gdLst/>
          <a:ahLst/>
          <a:cxnLst/>
          <a:rect l="0" t="0" r="0" b="0"/>
          <a:pathLst>
            <a:path>
              <a:moveTo>
                <a:pt x="0" y="0"/>
              </a:moveTo>
              <a:lnTo>
                <a:pt x="165305"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740132-F4FB-4071-95FE-E1D414EA9A74}">
      <dsp:nvSpPr>
        <dsp:cNvPr id="0" name=""/>
        <dsp:cNvSpPr/>
      </dsp:nvSpPr>
      <dsp:spPr>
        <a:xfrm>
          <a:off x="0" y="1338731"/>
          <a:ext cx="2677492" cy="1472376"/>
        </a:xfrm>
        <a:prstGeom prst="roundRect">
          <a:avLst/>
        </a:prstGeom>
        <a:solidFill>
          <a:srgbClr val="D0DDFC"/>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l" defTabSz="466725">
            <a:lnSpc>
              <a:spcPct val="90000"/>
            </a:lnSpc>
            <a:spcBef>
              <a:spcPct val="0"/>
            </a:spcBef>
            <a:spcAft>
              <a:spcPct val="35000"/>
            </a:spcAft>
          </a:pPr>
          <a:r>
            <a:rPr lang="sr-Latn-ME" sz="1050" kern="1200">
              <a:solidFill>
                <a:sysClr val="windowText" lastClr="000000"/>
              </a:solidFill>
            </a:rPr>
            <a:t>- </a:t>
          </a:r>
          <a:r>
            <a:rPr lang="en-US" sz="1050" kern="1200">
              <a:solidFill>
                <a:sysClr val="windowText" lastClr="000000"/>
              </a:solidFill>
            </a:rPr>
            <a:t>Ravnomjeran razvoj </a:t>
          </a:r>
          <a:r>
            <a:rPr lang="x-none" sz="1050" kern="1200">
              <a:solidFill>
                <a:sysClr val="windowText" lastClr="000000"/>
              </a:solidFill>
            </a:rPr>
            <a:t> JLS </a:t>
          </a:r>
          <a:r>
            <a:rPr lang="en-US" sz="1050" kern="1200">
              <a:solidFill>
                <a:sysClr val="windowText" lastClr="000000"/>
              </a:solidFill>
            </a:rPr>
            <a:t>uz jačanje funkcionalne i finasijske održivosti</a:t>
          </a:r>
          <a:r>
            <a:rPr lang="x-none" sz="1050" kern="1200">
              <a:solidFill>
                <a:sysClr val="windowText" lastClr="000000"/>
              </a:solidFill>
            </a:rPr>
            <a:t> </a:t>
          </a:r>
        </a:p>
        <a:p>
          <a:pPr lvl="0" algn="l" defTabSz="466725">
            <a:lnSpc>
              <a:spcPct val="90000"/>
            </a:lnSpc>
            <a:spcBef>
              <a:spcPct val="0"/>
            </a:spcBef>
            <a:spcAft>
              <a:spcPct val="35000"/>
            </a:spcAft>
          </a:pPr>
          <a:r>
            <a:rPr lang="sr-Latn-ME" sz="1050" kern="1200">
              <a:solidFill>
                <a:sysClr val="windowText" lastClr="000000"/>
              </a:solidFill>
            </a:rPr>
            <a:t>- </a:t>
          </a:r>
          <a:r>
            <a:rPr lang="en-US" sz="1050" kern="1200">
              <a:solidFill>
                <a:sysClr val="windowText" lastClr="000000"/>
              </a:solidFill>
            </a:rPr>
            <a:t>Efikasnije naplate sopstvenih prihoda</a:t>
          </a:r>
          <a:r>
            <a:rPr lang="x-none" sz="1050" kern="1200">
              <a:solidFill>
                <a:sysClr val="windowText" lastClr="000000"/>
              </a:solidFill>
            </a:rPr>
            <a:t> </a:t>
          </a:r>
        </a:p>
        <a:p>
          <a:pPr lvl="0" algn="l" defTabSz="466725">
            <a:lnSpc>
              <a:spcPct val="90000"/>
            </a:lnSpc>
            <a:spcBef>
              <a:spcPct val="0"/>
            </a:spcBef>
            <a:spcAft>
              <a:spcPct val="35000"/>
            </a:spcAft>
          </a:pPr>
          <a:r>
            <a:rPr lang="sr-Latn-ME" sz="1050" kern="1200">
              <a:solidFill>
                <a:sysClr val="windowText" lastClr="000000"/>
              </a:solidFill>
            </a:rPr>
            <a:t>- </a:t>
          </a:r>
          <a:r>
            <a:rPr lang="en-US" sz="1050" kern="1200">
              <a:solidFill>
                <a:sysClr val="windowText" lastClr="000000"/>
              </a:solidFill>
            </a:rPr>
            <a:t>Jačanje mehanizma međuopštinske saradnje </a:t>
          </a:r>
          <a:r>
            <a:rPr lang="x-none" sz="1050" kern="1200">
              <a:solidFill>
                <a:sysClr val="windowText" lastClr="000000"/>
              </a:solidFill>
            </a:rPr>
            <a:t> </a:t>
          </a:r>
        </a:p>
        <a:p>
          <a:pPr lvl="0" algn="l" defTabSz="466725">
            <a:lnSpc>
              <a:spcPct val="90000"/>
            </a:lnSpc>
            <a:spcBef>
              <a:spcPct val="0"/>
            </a:spcBef>
            <a:spcAft>
              <a:spcPct val="35000"/>
            </a:spcAft>
          </a:pPr>
          <a:r>
            <a:rPr lang="sr-Latn-ME" sz="1050" kern="1200">
              <a:solidFill>
                <a:sysClr val="windowText" lastClr="000000"/>
              </a:solidFill>
            </a:rPr>
            <a:t>- </a:t>
          </a:r>
          <a:r>
            <a:rPr lang="en-US" sz="1050" kern="1200">
              <a:solidFill>
                <a:sysClr val="windowText" lastClr="000000"/>
              </a:solidFill>
            </a:rPr>
            <a:t>Jačanj</a:t>
          </a:r>
          <a:r>
            <a:rPr lang="x-none" sz="1050" kern="1200">
              <a:solidFill>
                <a:sysClr val="windowText" lastClr="000000"/>
              </a:solidFill>
            </a:rPr>
            <a:t>e</a:t>
          </a:r>
          <a:r>
            <a:rPr lang="en-US" sz="1050" kern="1200">
              <a:solidFill>
                <a:sysClr val="windowText" lastClr="000000"/>
              </a:solidFill>
            </a:rPr>
            <a:t> budžetske i fiskalne discipline, intenzivira</a:t>
          </a:r>
          <a:r>
            <a:rPr lang="x-none" sz="1050" kern="1200">
              <a:solidFill>
                <a:sysClr val="windowText" lastClr="000000"/>
              </a:solidFill>
            </a:rPr>
            <a:t>nje</a:t>
          </a:r>
          <a:r>
            <a:rPr lang="en-US" sz="1050" kern="1200">
              <a:solidFill>
                <a:sysClr val="windowText" lastClr="000000"/>
              </a:solidFill>
            </a:rPr>
            <a:t> naplate sopstvenih prihoda </a:t>
          </a:r>
          <a:r>
            <a:rPr lang="sr-Latn-RS" sz="1050" kern="1200">
              <a:solidFill>
                <a:sysClr val="windowText" lastClr="000000"/>
              </a:solidFill>
            </a:rPr>
            <a:t>i</a:t>
          </a:r>
          <a:r>
            <a:rPr lang="en-US" sz="1050" kern="1200">
              <a:solidFill>
                <a:sysClr val="windowText" lastClr="000000"/>
              </a:solidFill>
            </a:rPr>
            <a:t> smanjenju neizmirenih obaveza</a:t>
          </a:r>
        </a:p>
      </dsp:txBody>
      <dsp:txXfrm>
        <a:off x="71875" y="1410606"/>
        <a:ext cx="2533742" cy="132862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AE29DA-CEBA-4413-B832-44D566F323F2}">
      <dsp:nvSpPr>
        <dsp:cNvPr id="0" name=""/>
        <dsp:cNvSpPr/>
      </dsp:nvSpPr>
      <dsp:spPr>
        <a:xfrm>
          <a:off x="75222" y="0"/>
          <a:ext cx="3347135" cy="2948940"/>
        </a:xfrm>
        <a:prstGeom prst="quadArrow">
          <a:avLst>
            <a:gd name="adj1" fmla="val 2000"/>
            <a:gd name="adj2" fmla="val 4000"/>
            <a:gd name="adj3" fmla="val 5000"/>
          </a:avLst>
        </a:prstGeom>
        <a:solidFill>
          <a:srgbClr val="B4936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ACB74F3-7544-48C4-B3E4-16ECB83E2651}">
      <dsp:nvSpPr>
        <dsp:cNvPr id="0" name=""/>
        <dsp:cNvSpPr/>
      </dsp:nvSpPr>
      <dsp:spPr>
        <a:xfrm>
          <a:off x="246930" y="67371"/>
          <a:ext cx="1386001" cy="1310992"/>
        </a:xfrm>
        <a:prstGeom prst="roundRect">
          <a:avLst/>
        </a:prstGeom>
        <a:solidFill>
          <a:srgbClr val="DC9E1F">
            <a:lumMod val="60000"/>
            <a:lumOff val="40000"/>
          </a:srgbClr>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US" sz="850" kern="1200">
              <a:solidFill>
                <a:srgbClr val="FFFFFF"/>
              </a:solidFill>
              <a:latin typeface="Cambria"/>
              <a:ea typeface="+mn-ea"/>
              <a:cs typeface="+mn-cs"/>
            </a:rPr>
            <a:t>Akademska zajednica, </a:t>
          </a:r>
        </a:p>
        <a:p>
          <a:pPr lvl="0" algn="ctr" defTabSz="377825">
            <a:lnSpc>
              <a:spcPct val="90000"/>
            </a:lnSpc>
            <a:spcBef>
              <a:spcPct val="0"/>
            </a:spcBef>
            <a:spcAft>
              <a:spcPct val="35000"/>
            </a:spcAft>
          </a:pPr>
          <a:r>
            <a:rPr lang="en-US" sz="850" kern="1200">
              <a:solidFill>
                <a:srgbClr val="FFFFFF"/>
              </a:solidFill>
              <a:latin typeface="Cambria"/>
              <a:ea typeface="+mn-ea"/>
              <a:cs typeface="+mn-cs"/>
            </a:rPr>
            <a:t>Lokalne samouprave Zajednica opština</a:t>
          </a:r>
        </a:p>
        <a:p>
          <a:pPr lvl="0" algn="ctr" defTabSz="377825">
            <a:lnSpc>
              <a:spcPct val="90000"/>
            </a:lnSpc>
            <a:spcBef>
              <a:spcPct val="0"/>
            </a:spcBef>
            <a:spcAft>
              <a:spcPct val="35000"/>
            </a:spcAft>
          </a:pPr>
          <a:r>
            <a:rPr lang="en-US" sz="850" kern="1200">
              <a:solidFill>
                <a:srgbClr val="FFFFFF"/>
              </a:solidFill>
              <a:latin typeface="Cambria"/>
              <a:ea typeface="+mn-ea"/>
              <a:cs typeface="+mn-cs"/>
            </a:rPr>
            <a:t>Građani</a:t>
          </a:r>
        </a:p>
      </dsp:txBody>
      <dsp:txXfrm>
        <a:off x="310927" y="131368"/>
        <a:ext cx="1258007" cy="1182998"/>
      </dsp:txXfrm>
    </dsp:sp>
    <dsp:sp modelId="{1B4914EA-63DB-475D-9E50-3BFC0718B9DD}">
      <dsp:nvSpPr>
        <dsp:cNvPr id="0" name=""/>
        <dsp:cNvSpPr/>
      </dsp:nvSpPr>
      <dsp:spPr>
        <a:xfrm>
          <a:off x="1873771" y="136364"/>
          <a:ext cx="1332437" cy="1229814"/>
        </a:xfrm>
        <a:prstGeom prst="roundRect">
          <a:avLst/>
        </a:prstGeom>
        <a:solidFill>
          <a:srgbClr val="67BAF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US" sz="850" kern="1200">
              <a:solidFill>
                <a:srgbClr val="FFFFFF"/>
              </a:solidFill>
              <a:latin typeface="Cambria"/>
              <a:ea typeface="+mn-ea"/>
              <a:cs typeface="+mn-cs"/>
            </a:rPr>
            <a:t>Vlada CG, GSV</a:t>
          </a:r>
        </a:p>
        <a:p>
          <a:pPr lvl="0" algn="ctr" defTabSz="377825">
            <a:lnSpc>
              <a:spcPct val="90000"/>
            </a:lnSpc>
            <a:spcBef>
              <a:spcPct val="0"/>
            </a:spcBef>
            <a:spcAft>
              <a:spcPct val="35000"/>
            </a:spcAft>
          </a:pPr>
          <a:r>
            <a:rPr lang="en-US" sz="850" kern="1200">
              <a:solidFill>
                <a:srgbClr val="FFFFFF"/>
              </a:solidFill>
              <a:latin typeface="Cambria"/>
              <a:ea typeface="+mn-ea"/>
              <a:cs typeface="+mn-cs"/>
            </a:rPr>
            <a:t>Sva ministarstva</a:t>
          </a:r>
        </a:p>
        <a:p>
          <a:pPr lvl="0" algn="ctr" defTabSz="377825">
            <a:lnSpc>
              <a:spcPct val="90000"/>
            </a:lnSpc>
            <a:spcBef>
              <a:spcPct val="0"/>
            </a:spcBef>
            <a:spcAft>
              <a:spcPct val="35000"/>
            </a:spcAft>
          </a:pPr>
          <a:r>
            <a:rPr lang="en-US" sz="850" kern="1200">
              <a:solidFill>
                <a:srgbClr val="FFFFFF"/>
              </a:solidFill>
              <a:latin typeface="Cambria"/>
              <a:ea typeface="+mn-ea"/>
              <a:cs typeface="+mn-cs"/>
            </a:rPr>
            <a:t> MONSTAT</a:t>
          </a:r>
        </a:p>
        <a:p>
          <a:pPr lvl="0" algn="ctr" defTabSz="377825">
            <a:lnSpc>
              <a:spcPct val="90000"/>
            </a:lnSpc>
            <a:spcBef>
              <a:spcPct val="0"/>
            </a:spcBef>
            <a:spcAft>
              <a:spcPct val="35000"/>
            </a:spcAft>
          </a:pPr>
          <a:r>
            <a:rPr lang="en-US" sz="850" kern="1200">
              <a:solidFill>
                <a:srgbClr val="FFFFFF"/>
              </a:solidFill>
              <a:latin typeface="Cambria"/>
              <a:ea typeface="+mn-ea"/>
              <a:cs typeface="+mn-cs"/>
            </a:rPr>
            <a:t>UzK</a:t>
          </a:r>
        </a:p>
        <a:p>
          <a:pPr lvl="0" algn="ctr" defTabSz="377825">
            <a:lnSpc>
              <a:spcPct val="90000"/>
            </a:lnSpc>
            <a:spcBef>
              <a:spcPct val="0"/>
            </a:spcBef>
            <a:spcAft>
              <a:spcPct val="35000"/>
            </a:spcAft>
          </a:pPr>
          <a:r>
            <a:rPr lang="en-US" sz="850" kern="1200">
              <a:solidFill>
                <a:srgbClr val="FFFFFF"/>
              </a:solidFill>
              <a:latin typeface="Cambria"/>
              <a:ea typeface="+mn-ea"/>
              <a:cs typeface="+mn-cs"/>
            </a:rPr>
            <a:t>EK, DEU, SIGMA, OECD, UNDP</a:t>
          </a:r>
        </a:p>
        <a:p>
          <a:pPr lvl="0" algn="ctr" defTabSz="377825">
            <a:lnSpc>
              <a:spcPct val="90000"/>
            </a:lnSpc>
            <a:spcBef>
              <a:spcPct val="0"/>
            </a:spcBef>
            <a:spcAft>
              <a:spcPct val="35000"/>
            </a:spcAft>
          </a:pPr>
          <a:r>
            <a:rPr lang="en-US" sz="850" kern="1200">
              <a:solidFill>
                <a:srgbClr val="FFFFFF"/>
              </a:solidFill>
              <a:latin typeface="Cambria"/>
              <a:ea typeface="+mn-ea"/>
              <a:cs typeface="+mn-cs"/>
            </a:rPr>
            <a:t>Poslovna zajedniica</a:t>
          </a:r>
        </a:p>
      </dsp:txBody>
      <dsp:txXfrm>
        <a:off x="1933806" y="196399"/>
        <a:ext cx="1212367" cy="1109744"/>
      </dsp:txXfrm>
    </dsp:sp>
    <dsp:sp modelId="{BA0188D3-BDA5-4CAB-9BF0-E90EF2930321}">
      <dsp:nvSpPr>
        <dsp:cNvPr id="0" name=""/>
        <dsp:cNvSpPr/>
      </dsp:nvSpPr>
      <dsp:spPr>
        <a:xfrm>
          <a:off x="260170" y="1581162"/>
          <a:ext cx="1326680" cy="1197316"/>
        </a:xfrm>
        <a:prstGeom prst="roundRect">
          <a:avLst/>
        </a:prstGeom>
        <a:solidFill>
          <a:srgbClr val="46E88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rgbClr val="FFFFFF"/>
              </a:solidFill>
              <a:latin typeface="Cambria"/>
              <a:ea typeface="+mn-ea"/>
              <a:cs typeface="+mn-cs"/>
            </a:rPr>
            <a:t>Istraživači i istraživačke institucije</a:t>
          </a:r>
        </a:p>
      </dsp:txBody>
      <dsp:txXfrm>
        <a:off x="318618" y="1639610"/>
        <a:ext cx="1209784" cy="1080420"/>
      </dsp:txXfrm>
    </dsp:sp>
    <dsp:sp modelId="{A0C4A0DE-A96A-4B36-8D28-DEDC80D98084}">
      <dsp:nvSpPr>
        <dsp:cNvPr id="0" name=""/>
        <dsp:cNvSpPr/>
      </dsp:nvSpPr>
      <dsp:spPr>
        <a:xfrm>
          <a:off x="1878549" y="1579587"/>
          <a:ext cx="1287896" cy="1223184"/>
        </a:xfrm>
        <a:prstGeom prst="roundRect">
          <a:avLst/>
        </a:prstGeom>
        <a:solidFill>
          <a:srgbClr val="FB9DB1"/>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x-none" sz="1100" kern="1200">
              <a:solidFill>
                <a:srgbClr val="FFFFFF"/>
              </a:solidFill>
              <a:latin typeface="Cambria"/>
              <a:ea typeface="+mn-ea"/>
              <a:cs typeface="+mn-cs"/>
            </a:rPr>
            <a:t>Mediji</a:t>
          </a:r>
          <a:endParaRPr lang="en-US" sz="1100" kern="1200">
            <a:solidFill>
              <a:srgbClr val="FFFFFF"/>
            </a:solidFill>
            <a:latin typeface="Cambria"/>
            <a:ea typeface="+mn-ea"/>
            <a:cs typeface="+mn-cs"/>
          </a:endParaRPr>
        </a:p>
      </dsp:txBody>
      <dsp:txXfrm>
        <a:off x="1938260" y="1639298"/>
        <a:ext cx="1168474" cy="110376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AE29DA-CEBA-4413-B832-44D566F323F2}">
      <dsp:nvSpPr>
        <dsp:cNvPr id="0" name=""/>
        <dsp:cNvSpPr/>
      </dsp:nvSpPr>
      <dsp:spPr>
        <a:xfrm>
          <a:off x="75222" y="0"/>
          <a:ext cx="3347135" cy="2948940"/>
        </a:xfrm>
        <a:prstGeom prst="quadArrow">
          <a:avLst>
            <a:gd name="adj1" fmla="val 2000"/>
            <a:gd name="adj2" fmla="val 4000"/>
            <a:gd name="adj3" fmla="val 5000"/>
          </a:avLst>
        </a:prstGeom>
        <a:solidFill>
          <a:srgbClr val="B4936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ACB74F3-7544-48C4-B3E4-16ECB83E2651}">
      <dsp:nvSpPr>
        <dsp:cNvPr id="0" name=""/>
        <dsp:cNvSpPr/>
      </dsp:nvSpPr>
      <dsp:spPr>
        <a:xfrm>
          <a:off x="246930" y="67371"/>
          <a:ext cx="1386001" cy="1310992"/>
        </a:xfrm>
        <a:prstGeom prst="roundRect">
          <a:avLst/>
        </a:prstGeom>
        <a:solidFill>
          <a:srgbClr val="DC9E1F">
            <a:lumMod val="60000"/>
            <a:lumOff val="40000"/>
          </a:srgbClr>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100000"/>
            </a:lnSpc>
            <a:spcBef>
              <a:spcPct val="0"/>
            </a:spcBef>
            <a:spcAft>
              <a:spcPts val="0"/>
            </a:spcAft>
          </a:pPr>
          <a:r>
            <a:rPr lang="x-none" sz="850" kern="1200">
              <a:solidFill>
                <a:srgbClr val="FFFFFF"/>
              </a:solidFill>
              <a:latin typeface="Cambria"/>
              <a:ea typeface="+mn-ea"/>
              <a:cs typeface="+mn-cs"/>
            </a:rPr>
            <a:t>Lokalna samouprava</a:t>
          </a:r>
          <a:endParaRPr lang="en-US" sz="850" kern="1200">
            <a:solidFill>
              <a:srgbClr val="FFFFFF"/>
            </a:solidFill>
            <a:latin typeface="Cambria"/>
            <a:ea typeface="+mn-ea"/>
            <a:cs typeface="+mn-cs"/>
          </a:endParaRPr>
        </a:p>
        <a:p>
          <a:pPr lvl="0" algn="ctr" defTabSz="377825">
            <a:lnSpc>
              <a:spcPct val="100000"/>
            </a:lnSpc>
            <a:spcBef>
              <a:spcPct val="0"/>
            </a:spcBef>
            <a:spcAft>
              <a:spcPts val="0"/>
            </a:spcAft>
          </a:pPr>
          <a:r>
            <a:rPr lang="x-none" sz="850" kern="1200">
              <a:solidFill>
                <a:srgbClr val="FFFFFF"/>
              </a:solidFill>
              <a:latin typeface="Cambria"/>
              <a:ea typeface="+mn-ea"/>
              <a:cs typeface="+mn-cs"/>
            </a:rPr>
            <a:t>ZOCG</a:t>
          </a:r>
          <a:endParaRPr lang="en-US" sz="850" kern="1200">
            <a:solidFill>
              <a:srgbClr val="FFFFFF"/>
            </a:solidFill>
            <a:latin typeface="Cambria"/>
            <a:ea typeface="+mn-ea"/>
            <a:cs typeface="+mn-cs"/>
          </a:endParaRPr>
        </a:p>
        <a:p>
          <a:pPr lvl="0" algn="ctr" defTabSz="377825">
            <a:lnSpc>
              <a:spcPct val="100000"/>
            </a:lnSpc>
            <a:spcBef>
              <a:spcPct val="0"/>
            </a:spcBef>
            <a:spcAft>
              <a:spcPts val="0"/>
            </a:spcAft>
          </a:pPr>
          <a:r>
            <a:rPr lang="x-none" sz="850" kern="1200">
              <a:solidFill>
                <a:srgbClr val="FFFFFF"/>
              </a:solidFill>
              <a:latin typeface="Cambria"/>
              <a:ea typeface="+mn-ea"/>
              <a:cs typeface="+mn-cs"/>
            </a:rPr>
            <a:t>Građani</a:t>
          </a:r>
          <a:endParaRPr lang="en-US" sz="850" kern="1200">
            <a:solidFill>
              <a:srgbClr val="FFFFFF"/>
            </a:solidFill>
            <a:latin typeface="Cambria"/>
            <a:ea typeface="+mn-ea"/>
            <a:cs typeface="+mn-cs"/>
          </a:endParaRPr>
        </a:p>
        <a:p>
          <a:pPr lvl="0" algn="ctr" defTabSz="377825">
            <a:lnSpc>
              <a:spcPct val="100000"/>
            </a:lnSpc>
            <a:spcBef>
              <a:spcPct val="0"/>
            </a:spcBef>
            <a:spcAft>
              <a:spcPts val="0"/>
            </a:spcAft>
          </a:pPr>
          <a:r>
            <a:rPr lang="x-none" sz="850" kern="1200">
              <a:solidFill>
                <a:srgbClr val="FFFFFF"/>
              </a:solidFill>
              <a:latin typeface="Cambria"/>
              <a:ea typeface="+mn-ea"/>
              <a:cs typeface="+mn-cs"/>
            </a:rPr>
            <a:t>NVO</a:t>
          </a:r>
          <a:endParaRPr lang="en-US" sz="850" kern="1200">
            <a:solidFill>
              <a:srgbClr val="FFFFFF"/>
            </a:solidFill>
            <a:latin typeface="Cambria"/>
            <a:ea typeface="+mn-ea"/>
            <a:cs typeface="+mn-cs"/>
          </a:endParaRPr>
        </a:p>
        <a:p>
          <a:pPr lvl="0" algn="ctr" defTabSz="377825">
            <a:lnSpc>
              <a:spcPct val="100000"/>
            </a:lnSpc>
            <a:spcBef>
              <a:spcPct val="0"/>
            </a:spcBef>
            <a:spcAft>
              <a:spcPts val="0"/>
            </a:spcAft>
          </a:pPr>
          <a:r>
            <a:rPr lang="x-none" sz="850" kern="1200">
              <a:solidFill>
                <a:srgbClr val="FFFFFF"/>
              </a:solidFill>
              <a:latin typeface="Cambria"/>
              <a:ea typeface="+mn-ea"/>
              <a:cs typeface="+mn-cs"/>
            </a:rPr>
            <a:t>Kandidati za posao</a:t>
          </a:r>
          <a:endParaRPr lang="en-US" sz="850" kern="1200">
            <a:solidFill>
              <a:srgbClr val="FFFFFF"/>
            </a:solidFill>
            <a:latin typeface="Cambria"/>
            <a:ea typeface="+mn-ea"/>
            <a:cs typeface="+mn-cs"/>
          </a:endParaRPr>
        </a:p>
        <a:p>
          <a:pPr lvl="0" algn="ctr" defTabSz="377825">
            <a:lnSpc>
              <a:spcPct val="100000"/>
            </a:lnSpc>
            <a:spcBef>
              <a:spcPct val="0"/>
            </a:spcBef>
            <a:spcAft>
              <a:spcPts val="0"/>
            </a:spcAft>
          </a:pPr>
          <a:r>
            <a:rPr lang="x-none" sz="850" kern="1200">
              <a:solidFill>
                <a:srgbClr val="FFFFFF"/>
              </a:solidFill>
              <a:latin typeface="Cambria"/>
              <a:ea typeface="+mn-ea"/>
              <a:cs typeface="+mn-cs"/>
            </a:rPr>
            <a:t>Državni službenici i namještenici</a:t>
          </a:r>
          <a:endParaRPr lang="en-US" sz="850" kern="1200">
            <a:solidFill>
              <a:srgbClr val="FFFFFF"/>
            </a:solidFill>
            <a:latin typeface="Cambria"/>
            <a:ea typeface="+mn-ea"/>
            <a:cs typeface="+mn-cs"/>
          </a:endParaRPr>
        </a:p>
        <a:p>
          <a:pPr lvl="0" algn="ctr" defTabSz="377825">
            <a:lnSpc>
              <a:spcPct val="100000"/>
            </a:lnSpc>
            <a:spcBef>
              <a:spcPct val="0"/>
            </a:spcBef>
            <a:spcAft>
              <a:spcPts val="0"/>
            </a:spcAft>
          </a:pPr>
          <a:r>
            <a:rPr lang="x-none" sz="850" kern="1200">
              <a:solidFill>
                <a:srgbClr val="FFFFFF"/>
              </a:solidFill>
              <a:latin typeface="Cambria"/>
              <a:ea typeface="+mn-ea"/>
              <a:cs typeface="+mn-cs"/>
            </a:rPr>
            <a:t>Akademska zajednica</a:t>
          </a:r>
          <a:endParaRPr lang="en-US" sz="850" kern="1200">
            <a:solidFill>
              <a:srgbClr val="FFFFFF"/>
            </a:solidFill>
            <a:latin typeface="Cambria"/>
            <a:ea typeface="+mn-ea"/>
            <a:cs typeface="+mn-cs"/>
          </a:endParaRPr>
        </a:p>
        <a:p>
          <a:pPr lvl="0" algn="ctr" defTabSz="377825">
            <a:lnSpc>
              <a:spcPct val="100000"/>
            </a:lnSpc>
            <a:spcBef>
              <a:spcPct val="0"/>
            </a:spcBef>
            <a:spcAft>
              <a:spcPts val="0"/>
            </a:spcAft>
          </a:pPr>
          <a:r>
            <a:rPr lang="x-none" sz="850" kern="1200">
              <a:solidFill>
                <a:srgbClr val="FFFFFF"/>
              </a:solidFill>
              <a:latin typeface="Cambria"/>
              <a:ea typeface="+mn-ea"/>
              <a:cs typeface="+mn-cs"/>
            </a:rPr>
            <a:t>Asocijacije, udruženja i sindikati</a:t>
          </a:r>
          <a:endParaRPr lang="en-US" sz="850" kern="1200">
            <a:solidFill>
              <a:srgbClr val="FFFFFF"/>
            </a:solidFill>
            <a:latin typeface="Cambria"/>
            <a:ea typeface="+mn-ea"/>
            <a:cs typeface="+mn-cs"/>
          </a:endParaRPr>
        </a:p>
      </dsp:txBody>
      <dsp:txXfrm>
        <a:off x="310927" y="131368"/>
        <a:ext cx="1258007" cy="1182998"/>
      </dsp:txXfrm>
    </dsp:sp>
    <dsp:sp modelId="{1B4914EA-63DB-475D-9E50-3BFC0718B9DD}">
      <dsp:nvSpPr>
        <dsp:cNvPr id="0" name=""/>
        <dsp:cNvSpPr/>
      </dsp:nvSpPr>
      <dsp:spPr>
        <a:xfrm>
          <a:off x="1873771" y="136364"/>
          <a:ext cx="1332437" cy="1229814"/>
        </a:xfrm>
        <a:prstGeom prst="roundRect">
          <a:avLst/>
        </a:prstGeom>
        <a:solidFill>
          <a:srgbClr val="67BAF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x-none" sz="850" kern="1200">
              <a:solidFill>
                <a:srgbClr val="FFFFFF"/>
              </a:solidFill>
              <a:latin typeface="Cambria"/>
              <a:ea typeface="+mn-ea"/>
              <a:cs typeface="+mn-cs"/>
            </a:rPr>
            <a:t>Svi državni organi</a:t>
          </a:r>
          <a:endParaRPr lang="en-US" sz="850" kern="1200">
            <a:solidFill>
              <a:srgbClr val="FFFFFF"/>
            </a:solidFill>
            <a:latin typeface="Cambria"/>
            <a:ea typeface="+mn-ea"/>
            <a:cs typeface="+mn-cs"/>
          </a:endParaRPr>
        </a:p>
        <a:p>
          <a:pPr lvl="0" algn="ctr" defTabSz="377825">
            <a:lnSpc>
              <a:spcPct val="90000"/>
            </a:lnSpc>
            <a:spcBef>
              <a:spcPct val="0"/>
            </a:spcBef>
            <a:spcAft>
              <a:spcPct val="35000"/>
            </a:spcAft>
          </a:pPr>
          <a:r>
            <a:rPr lang="x-none" sz="850" kern="1200">
              <a:solidFill>
                <a:srgbClr val="FFFFFF"/>
              </a:solidFill>
              <a:latin typeface="Cambria"/>
              <a:ea typeface="+mn-ea"/>
              <a:cs typeface="+mn-cs"/>
            </a:rPr>
            <a:t>MJUDDM</a:t>
          </a:r>
          <a:endParaRPr lang="en-US" sz="850" kern="1200">
            <a:solidFill>
              <a:srgbClr val="FFFFFF"/>
            </a:solidFill>
            <a:latin typeface="Cambria"/>
            <a:ea typeface="+mn-ea"/>
            <a:cs typeface="+mn-cs"/>
          </a:endParaRPr>
        </a:p>
        <a:p>
          <a:pPr lvl="0" algn="ctr" defTabSz="377825">
            <a:lnSpc>
              <a:spcPct val="90000"/>
            </a:lnSpc>
            <a:spcBef>
              <a:spcPct val="0"/>
            </a:spcBef>
            <a:spcAft>
              <a:spcPct val="35000"/>
            </a:spcAft>
          </a:pPr>
          <a:r>
            <a:rPr lang="x-none" sz="850" kern="1200">
              <a:solidFill>
                <a:srgbClr val="FFFFFF"/>
              </a:solidFill>
              <a:latin typeface="Cambria"/>
              <a:ea typeface="+mn-ea"/>
              <a:cs typeface="+mn-cs"/>
            </a:rPr>
            <a:t>MFSS</a:t>
          </a:r>
          <a:endParaRPr lang="en-US" sz="850" kern="1200">
            <a:solidFill>
              <a:srgbClr val="FFFFFF"/>
            </a:solidFill>
            <a:latin typeface="Cambria"/>
            <a:ea typeface="+mn-ea"/>
            <a:cs typeface="+mn-cs"/>
          </a:endParaRPr>
        </a:p>
        <a:p>
          <a:pPr lvl="0" algn="ctr" defTabSz="377825">
            <a:lnSpc>
              <a:spcPct val="90000"/>
            </a:lnSpc>
            <a:spcBef>
              <a:spcPct val="0"/>
            </a:spcBef>
            <a:spcAft>
              <a:spcPct val="35000"/>
            </a:spcAft>
          </a:pPr>
          <a:r>
            <a:rPr lang="x-none" sz="850" kern="1200">
              <a:solidFill>
                <a:srgbClr val="FFFFFF"/>
              </a:solidFill>
              <a:latin typeface="Cambria"/>
              <a:ea typeface="+mn-ea"/>
              <a:cs typeface="+mn-cs"/>
            </a:rPr>
            <a:t>Upravna inspekcija, Komisija za žalbe, Upravni sud</a:t>
          </a:r>
          <a:endParaRPr lang="en-US" sz="850" kern="1200">
            <a:solidFill>
              <a:srgbClr val="FFFFFF"/>
            </a:solidFill>
            <a:latin typeface="Cambria"/>
            <a:ea typeface="+mn-ea"/>
            <a:cs typeface="+mn-cs"/>
          </a:endParaRPr>
        </a:p>
        <a:p>
          <a:pPr lvl="0" algn="ctr" defTabSz="377825">
            <a:lnSpc>
              <a:spcPct val="90000"/>
            </a:lnSpc>
            <a:spcBef>
              <a:spcPct val="0"/>
            </a:spcBef>
            <a:spcAft>
              <a:spcPct val="35000"/>
            </a:spcAft>
          </a:pPr>
          <a:r>
            <a:rPr lang="x-none" sz="850" kern="1200">
              <a:solidFill>
                <a:srgbClr val="FFFFFF"/>
              </a:solidFill>
              <a:latin typeface="Cambria"/>
              <a:ea typeface="+mn-ea"/>
              <a:cs typeface="+mn-cs"/>
            </a:rPr>
            <a:t>EK, DEU,  OECD, SIGMA, UNDP, WB, Ambasade</a:t>
          </a:r>
          <a:endParaRPr lang="en-US" sz="850" kern="1200">
            <a:solidFill>
              <a:srgbClr val="FFFFFF"/>
            </a:solidFill>
            <a:latin typeface="Cambria"/>
            <a:ea typeface="+mn-ea"/>
            <a:cs typeface="+mn-cs"/>
          </a:endParaRPr>
        </a:p>
      </dsp:txBody>
      <dsp:txXfrm>
        <a:off x="1933806" y="196399"/>
        <a:ext cx="1212367" cy="1109744"/>
      </dsp:txXfrm>
    </dsp:sp>
    <dsp:sp modelId="{BA0188D3-BDA5-4CAB-9BF0-E90EF2930321}">
      <dsp:nvSpPr>
        <dsp:cNvPr id="0" name=""/>
        <dsp:cNvSpPr/>
      </dsp:nvSpPr>
      <dsp:spPr>
        <a:xfrm>
          <a:off x="260170" y="1581162"/>
          <a:ext cx="1326680" cy="1197316"/>
        </a:xfrm>
        <a:prstGeom prst="roundRect">
          <a:avLst/>
        </a:prstGeom>
        <a:solidFill>
          <a:srgbClr val="46E88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x-none" sz="1200" kern="1200">
              <a:solidFill>
                <a:srgbClr val="FFFFFF"/>
              </a:solidFill>
              <a:latin typeface="Cambria"/>
              <a:ea typeface="+mn-ea"/>
              <a:cs typeface="+mn-cs"/>
            </a:rPr>
            <a:t>ReSPA</a:t>
          </a:r>
          <a:endParaRPr lang="en-US" sz="1200" kern="1200">
            <a:solidFill>
              <a:srgbClr val="FFFFFF"/>
            </a:solidFill>
            <a:latin typeface="Cambria"/>
            <a:ea typeface="+mn-ea"/>
            <a:cs typeface="+mn-cs"/>
          </a:endParaRPr>
        </a:p>
      </dsp:txBody>
      <dsp:txXfrm>
        <a:off x="318618" y="1639610"/>
        <a:ext cx="1209784" cy="1080420"/>
      </dsp:txXfrm>
    </dsp:sp>
    <dsp:sp modelId="{A0C4A0DE-A96A-4B36-8D28-DEDC80D98084}">
      <dsp:nvSpPr>
        <dsp:cNvPr id="0" name=""/>
        <dsp:cNvSpPr/>
      </dsp:nvSpPr>
      <dsp:spPr>
        <a:xfrm>
          <a:off x="1878549" y="1579587"/>
          <a:ext cx="1287896" cy="1223184"/>
        </a:xfrm>
        <a:prstGeom prst="roundRect">
          <a:avLst/>
        </a:prstGeom>
        <a:solidFill>
          <a:srgbClr val="FB9DB1"/>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x-none" sz="1100" kern="1200">
              <a:solidFill>
                <a:srgbClr val="FFFFFF"/>
              </a:solidFill>
              <a:latin typeface="Cambria"/>
              <a:ea typeface="+mn-ea"/>
              <a:cs typeface="+mn-cs"/>
            </a:rPr>
            <a:t>Mediji</a:t>
          </a:r>
          <a:endParaRPr lang="en-US" sz="1100" kern="1200">
            <a:solidFill>
              <a:srgbClr val="FFFFFF"/>
            </a:solidFill>
            <a:latin typeface="Cambria"/>
            <a:ea typeface="+mn-ea"/>
            <a:cs typeface="+mn-cs"/>
          </a:endParaRPr>
        </a:p>
      </dsp:txBody>
      <dsp:txXfrm>
        <a:off x="1938260" y="1639298"/>
        <a:ext cx="1168474" cy="1103762"/>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AE29DA-CEBA-4413-B832-44D566F323F2}">
      <dsp:nvSpPr>
        <dsp:cNvPr id="0" name=""/>
        <dsp:cNvSpPr/>
      </dsp:nvSpPr>
      <dsp:spPr>
        <a:xfrm>
          <a:off x="-176334" y="0"/>
          <a:ext cx="3476869" cy="3063240"/>
        </a:xfrm>
        <a:prstGeom prst="quadArrow">
          <a:avLst>
            <a:gd name="adj1" fmla="val 2000"/>
            <a:gd name="adj2" fmla="val 4000"/>
            <a:gd name="adj3" fmla="val 5000"/>
          </a:avLst>
        </a:prstGeom>
        <a:solidFill>
          <a:srgbClr val="B4936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ACB74F3-7544-48C4-B3E4-16ECB83E2651}">
      <dsp:nvSpPr>
        <dsp:cNvPr id="0" name=""/>
        <dsp:cNvSpPr/>
      </dsp:nvSpPr>
      <dsp:spPr>
        <a:xfrm>
          <a:off x="0" y="69982"/>
          <a:ext cx="1439722" cy="1361806"/>
        </a:xfrm>
        <a:prstGeom prst="roundRect">
          <a:avLst/>
        </a:prstGeom>
        <a:solidFill>
          <a:srgbClr val="DC9E1F">
            <a:lumMod val="60000"/>
            <a:lumOff val="40000"/>
          </a:srgbClr>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300"/>
            </a:spcAft>
          </a:pPr>
          <a:r>
            <a:rPr lang="en-US" sz="1200" kern="1200">
              <a:solidFill>
                <a:srgbClr val="FFFFFF"/>
              </a:solidFill>
              <a:latin typeface="Cambria"/>
              <a:ea typeface="+mn-ea"/>
              <a:cs typeface="+mn-cs"/>
            </a:rPr>
            <a:t>OCD</a:t>
          </a:r>
        </a:p>
        <a:p>
          <a:pPr lvl="0" algn="ctr" defTabSz="533400">
            <a:lnSpc>
              <a:spcPct val="100000"/>
            </a:lnSpc>
            <a:spcBef>
              <a:spcPct val="0"/>
            </a:spcBef>
            <a:spcAft>
              <a:spcPts val="300"/>
            </a:spcAft>
          </a:pPr>
          <a:r>
            <a:rPr lang="en-US" sz="1200" kern="1200">
              <a:solidFill>
                <a:srgbClr val="FFFFFF"/>
              </a:solidFill>
              <a:latin typeface="Cambria"/>
              <a:ea typeface="+mn-ea"/>
              <a:cs typeface="+mn-cs"/>
            </a:rPr>
            <a:t>Građani</a:t>
          </a:r>
          <a:r>
            <a:rPr lang="x-none" sz="1200" kern="1200">
              <a:solidFill>
                <a:srgbClr val="FFFFFF"/>
              </a:solidFill>
              <a:latin typeface="Cambria"/>
              <a:ea typeface="+mn-ea"/>
              <a:cs typeface="+mn-cs"/>
            </a:rPr>
            <a:t> </a:t>
          </a:r>
        </a:p>
        <a:p>
          <a:pPr lvl="0" algn="ctr" defTabSz="533400">
            <a:lnSpc>
              <a:spcPct val="100000"/>
            </a:lnSpc>
            <a:spcBef>
              <a:spcPct val="0"/>
            </a:spcBef>
            <a:spcAft>
              <a:spcPts val="300"/>
            </a:spcAft>
          </a:pPr>
          <a:r>
            <a:rPr lang="x-none" sz="1200" kern="1200">
              <a:solidFill>
                <a:srgbClr val="FFFFFF"/>
              </a:solidFill>
              <a:latin typeface="Cambria"/>
              <a:ea typeface="+mn-ea"/>
              <a:cs typeface="+mn-cs"/>
            </a:rPr>
            <a:t>Privrednici</a:t>
          </a:r>
          <a:endParaRPr lang="en-US" sz="1200" kern="1200">
            <a:solidFill>
              <a:srgbClr val="FFFFFF"/>
            </a:solidFill>
            <a:latin typeface="Cambria"/>
            <a:ea typeface="+mn-ea"/>
            <a:cs typeface="+mn-cs"/>
          </a:endParaRPr>
        </a:p>
      </dsp:txBody>
      <dsp:txXfrm>
        <a:off x="66478" y="136460"/>
        <a:ext cx="1306766" cy="1228850"/>
      </dsp:txXfrm>
    </dsp:sp>
    <dsp:sp modelId="{1B4914EA-63DB-475D-9E50-3BFC0718B9DD}">
      <dsp:nvSpPr>
        <dsp:cNvPr id="0" name=""/>
        <dsp:cNvSpPr/>
      </dsp:nvSpPr>
      <dsp:spPr>
        <a:xfrm>
          <a:off x="1612074" y="128025"/>
          <a:ext cx="1512125" cy="1277481"/>
        </a:xfrm>
        <a:prstGeom prst="roundRect">
          <a:avLst/>
        </a:prstGeom>
        <a:solidFill>
          <a:srgbClr val="67BAF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rgbClr val="FFFFFF"/>
              </a:solidFill>
              <a:latin typeface="Cambria"/>
              <a:ea typeface="+mn-ea"/>
              <a:cs typeface="+mn-cs"/>
            </a:rPr>
            <a:t>Agencija za zaštitu ličnih podataka i slobodan pristup informacijama</a:t>
          </a:r>
          <a:endParaRPr lang="x-none" sz="900" kern="1200">
            <a:solidFill>
              <a:srgbClr val="FFFFFF"/>
            </a:solidFill>
            <a:latin typeface="Cambria"/>
            <a:ea typeface="+mn-ea"/>
            <a:cs typeface="+mn-cs"/>
          </a:endParaRPr>
        </a:p>
        <a:p>
          <a:pPr lvl="0" algn="ctr" defTabSz="400050">
            <a:lnSpc>
              <a:spcPct val="90000"/>
            </a:lnSpc>
            <a:spcBef>
              <a:spcPct val="0"/>
            </a:spcBef>
            <a:spcAft>
              <a:spcPct val="35000"/>
            </a:spcAft>
          </a:pPr>
          <a:r>
            <a:rPr lang="x-none" sz="900" kern="1200">
              <a:solidFill>
                <a:srgbClr val="FFFFFF"/>
              </a:solidFill>
              <a:latin typeface="Cambria"/>
              <a:ea typeface="+mn-ea"/>
              <a:cs typeface="+mn-cs"/>
            </a:rPr>
            <a:t>Upravni sud</a:t>
          </a:r>
        </a:p>
        <a:p>
          <a:pPr lvl="0" algn="ctr" defTabSz="400050">
            <a:lnSpc>
              <a:spcPct val="90000"/>
            </a:lnSpc>
            <a:spcBef>
              <a:spcPct val="0"/>
            </a:spcBef>
            <a:spcAft>
              <a:spcPct val="35000"/>
            </a:spcAft>
          </a:pPr>
          <a:r>
            <a:rPr lang="x-none" sz="900" kern="1200">
              <a:solidFill>
                <a:srgbClr val="FFFFFF"/>
              </a:solidFill>
              <a:latin typeface="Cambria"/>
              <a:ea typeface="+mn-ea"/>
              <a:cs typeface="+mn-cs"/>
            </a:rPr>
            <a:t>Upravna inspekcija</a:t>
          </a:r>
        </a:p>
        <a:p>
          <a:pPr lvl="0" algn="ctr" defTabSz="400050">
            <a:lnSpc>
              <a:spcPct val="90000"/>
            </a:lnSpc>
            <a:spcBef>
              <a:spcPct val="0"/>
            </a:spcBef>
            <a:spcAft>
              <a:spcPct val="35000"/>
            </a:spcAft>
          </a:pPr>
          <a:r>
            <a:rPr lang="x-none" sz="900" kern="1200">
              <a:solidFill>
                <a:srgbClr val="FFFFFF"/>
              </a:solidFill>
              <a:latin typeface="Cambria"/>
              <a:ea typeface="+mn-ea"/>
              <a:cs typeface="+mn-cs"/>
            </a:rPr>
            <a:t>Obveznici SPI</a:t>
          </a:r>
        </a:p>
      </dsp:txBody>
      <dsp:txXfrm>
        <a:off x="1674435" y="190386"/>
        <a:ext cx="1387403" cy="1152759"/>
      </dsp:txXfrm>
    </dsp:sp>
    <dsp:sp modelId="{BA0188D3-BDA5-4CAB-9BF0-E90EF2930321}">
      <dsp:nvSpPr>
        <dsp:cNvPr id="0" name=""/>
        <dsp:cNvSpPr/>
      </dsp:nvSpPr>
      <dsp:spPr>
        <a:xfrm>
          <a:off x="15782" y="1642448"/>
          <a:ext cx="1378102" cy="1243724"/>
        </a:xfrm>
        <a:prstGeom prst="roundRect">
          <a:avLst/>
        </a:prstGeom>
        <a:solidFill>
          <a:srgbClr val="46E88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en-US" sz="1200" kern="1200">
            <a:solidFill>
              <a:srgbClr val="FFFFFF"/>
            </a:solidFill>
            <a:latin typeface="Cambria"/>
            <a:ea typeface="+mn-ea"/>
            <a:cs typeface="+mn-cs"/>
          </a:endParaRPr>
        </a:p>
      </dsp:txBody>
      <dsp:txXfrm>
        <a:off x="76496" y="1703162"/>
        <a:ext cx="1256674" cy="1122296"/>
      </dsp:txXfrm>
    </dsp:sp>
    <dsp:sp modelId="{A0C4A0DE-A96A-4B36-8D28-DEDC80D98084}">
      <dsp:nvSpPr>
        <dsp:cNvPr id="0" name=""/>
        <dsp:cNvSpPr/>
      </dsp:nvSpPr>
      <dsp:spPr>
        <a:xfrm>
          <a:off x="1704093" y="1640812"/>
          <a:ext cx="1337814" cy="1270595"/>
        </a:xfrm>
        <a:prstGeom prst="roundRect">
          <a:avLst/>
        </a:prstGeom>
        <a:solidFill>
          <a:srgbClr val="FB9DB1"/>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x-none" sz="1100" kern="1200">
              <a:solidFill>
                <a:srgbClr val="FFFFFF"/>
              </a:solidFill>
              <a:latin typeface="Cambria"/>
              <a:ea typeface="+mn-ea"/>
              <a:cs typeface="+mn-cs"/>
            </a:rPr>
            <a:t>Prvostepeni organi uprave</a:t>
          </a:r>
        </a:p>
        <a:p>
          <a:pPr lvl="0" algn="ctr" defTabSz="488950">
            <a:lnSpc>
              <a:spcPct val="90000"/>
            </a:lnSpc>
            <a:spcBef>
              <a:spcPct val="0"/>
            </a:spcBef>
            <a:spcAft>
              <a:spcPts val="0"/>
            </a:spcAft>
          </a:pPr>
          <a:r>
            <a:rPr lang="x-none" sz="1100" kern="1200">
              <a:solidFill>
                <a:srgbClr val="FFFFFF"/>
              </a:solidFill>
              <a:latin typeface="Cambria"/>
              <a:ea typeface="+mn-ea"/>
              <a:cs typeface="+mn-cs"/>
            </a:rPr>
            <a:t>Mediji</a:t>
          </a:r>
          <a:endParaRPr lang="en-US" sz="1100" kern="1200">
            <a:solidFill>
              <a:srgbClr val="FFFFFF"/>
            </a:solidFill>
            <a:latin typeface="Cambria"/>
            <a:ea typeface="+mn-ea"/>
            <a:cs typeface="+mn-cs"/>
          </a:endParaRPr>
        </a:p>
      </dsp:txBody>
      <dsp:txXfrm>
        <a:off x="1766118" y="1702837"/>
        <a:ext cx="1213764" cy="114654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AE29DA-CEBA-4413-B832-44D566F323F2}">
      <dsp:nvSpPr>
        <dsp:cNvPr id="0" name=""/>
        <dsp:cNvSpPr/>
      </dsp:nvSpPr>
      <dsp:spPr>
        <a:xfrm>
          <a:off x="146903" y="0"/>
          <a:ext cx="3615252" cy="3185160"/>
        </a:xfrm>
        <a:prstGeom prst="quadArrow">
          <a:avLst>
            <a:gd name="adj1" fmla="val 2000"/>
            <a:gd name="adj2" fmla="val 4000"/>
            <a:gd name="adj3" fmla="val 5000"/>
          </a:avLst>
        </a:prstGeom>
        <a:solidFill>
          <a:srgbClr val="B4936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ACB74F3-7544-48C4-B3E4-16ECB83E2651}">
      <dsp:nvSpPr>
        <dsp:cNvPr id="0" name=""/>
        <dsp:cNvSpPr/>
      </dsp:nvSpPr>
      <dsp:spPr>
        <a:xfrm>
          <a:off x="332366" y="72768"/>
          <a:ext cx="1497025" cy="1416007"/>
        </a:xfrm>
        <a:prstGeom prst="roundRect">
          <a:avLst/>
        </a:prstGeom>
        <a:solidFill>
          <a:srgbClr val="DC9E1F">
            <a:lumMod val="60000"/>
            <a:lumOff val="40000"/>
          </a:srgbClr>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rgbClr val="FFFFFF"/>
              </a:solidFill>
              <a:latin typeface="Cambria"/>
              <a:ea typeface="+mn-ea"/>
              <a:cs typeface="+mn-cs"/>
            </a:rPr>
            <a:t>Akademska zajednica, OCD, istraživači i istraživačke institucije</a:t>
          </a:r>
          <a:r>
            <a:rPr lang="x-none" sz="800" kern="1200">
              <a:solidFill>
                <a:srgbClr val="FFFFFF"/>
              </a:solidFill>
              <a:latin typeface="Cambria"/>
              <a:ea typeface="+mn-ea"/>
              <a:cs typeface="+mn-cs"/>
            </a:rPr>
            <a:t>                                      </a:t>
          </a:r>
          <a:r>
            <a:rPr lang="en-US" sz="800" kern="1200">
              <a:solidFill>
                <a:srgbClr val="FFFFFF"/>
              </a:solidFill>
              <a:latin typeface="Cambria"/>
              <a:ea typeface="+mn-ea"/>
              <a:cs typeface="+mn-cs"/>
            </a:rPr>
            <a:t>Mreža, polaznici programa obrazovanja za strateško planiranje</a:t>
          </a:r>
          <a:r>
            <a:rPr lang="x-none" sz="800" kern="1200">
              <a:solidFill>
                <a:srgbClr val="FFFFFF"/>
              </a:solidFill>
              <a:latin typeface="Cambria"/>
              <a:ea typeface="+mn-ea"/>
              <a:cs typeface="+mn-cs"/>
            </a:rPr>
            <a:t>                            </a:t>
          </a:r>
          <a:r>
            <a:rPr lang="en-US" sz="800" kern="1200">
              <a:solidFill>
                <a:srgbClr val="FFFFFF"/>
              </a:solidFill>
              <a:latin typeface="Cambria"/>
              <a:ea typeface="+mn-ea"/>
              <a:cs typeface="+mn-cs"/>
            </a:rPr>
            <a:t>Lokalne samouprave, Zajednica opština</a:t>
          </a:r>
          <a:r>
            <a:rPr lang="x-none" sz="800" kern="1200">
              <a:solidFill>
                <a:srgbClr val="FFFFFF"/>
              </a:solidFill>
              <a:latin typeface="Cambria"/>
              <a:ea typeface="+mn-ea"/>
              <a:cs typeface="+mn-cs"/>
            </a:rPr>
            <a:t>                                  </a:t>
          </a:r>
          <a:r>
            <a:rPr lang="en-US" sz="800" kern="1200">
              <a:solidFill>
                <a:srgbClr val="FFFFFF"/>
              </a:solidFill>
              <a:latin typeface="Cambria"/>
              <a:ea typeface="+mn-ea"/>
              <a:cs typeface="+mn-cs"/>
            </a:rPr>
            <a:t>Građani</a:t>
          </a:r>
          <a:r>
            <a:rPr lang="x-none" sz="800" kern="1200">
              <a:solidFill>
                <a:srgbClr val="FFFFFF"/>
              </a:solidFill>
              <a:latin typeface="Cambria"/>
              <a:ea typeface="+mn-ea"/>
              <a:cs typeface="+mn-cs"/>
            </a:rPr>
            <a:t>                                    </a:t>
          </a:r>
          <a:r>
            <a:rPr lang="en-US" sz="800" kern="1200">
              <a:solidFill>
                <a:srgbClr val="FFFFFF"/>
              </a:solidFill>
              <a:latin typeface="Cambria"/>
              <a:ea typeface="+mn-ea"/>
              <a:cs typeface="+mn-cs"/>
            </a:rPr>
            <a:t>Poslovna zajedniica/preduzetnici</a:t>
          </a:r>
        </a:p>
      </dsp:txBody>
      <dsp:txXfrm>
        <a:off x="401490" y="141892"/>
        <a:ext cx="1358777" cy="1277759"/>
      </dsp:txXfrm>
    </dsp:sp>
    <dsp:sp modelId="{1B4914EA-63DB-475D-9E50-3BFC0718B9DD}">
      <dsp:nvSpPr>
        <dsp:cNvPr id="0" name=""/>
        <dsp:cNvSpPr/>
      </dsp:nvSpPr>
      <dsp:spPr>
        <a:xfrm>
          <a:off x="2089523" y="147288"/>
          <a:ext cx="1439169" cy="1328326"/>
        </a:xfrm>
        <a:prstGeom prst="roundRect">
          <a:avLst/>
        </a:prstGeom>
        <a:solidFill>
          <a:srgbClr val="67BAF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rgbClr val="FFFFFF"/>
              </a:solidFill>
              <a:latin typeface="Cambria"/>
              <a:ea typeface="+mn-ea"/>
              <a:cs typeface="+mn-cs"/>
            </a:rPr>
            <a:t>Vlada CG, GSV, MFSS, KEI, SZ</a:t>
          </a:r>
          <a:r>
            <a:rPr lang="x-none" sz="800" kern="1200">
              <a:solidFill>
                <a:srgbClr val="FFFFFF"/>
              </a:solidFill>
              <a:latin typeface="Cambria"/>
              <a:ea typeface="+mn-ea"/>
              <a:cs typeface="+mn-cs"/>
            </a:rPr>
            <a:t>                   </a:t>
          </a:r>
          <a:r>
            <a:rPr lang="en-US" sz="800" kern="1200">
              <a:solidFill>
                <a:srgbClr val="FFFFFF"/>
              </a:solidFill>
              <a:latin typeface="Cambria"/>
              <a:ea typeface="+mn-ea"/>
              <a:cs typeface="+mn-cs"/>
            </a:rPr>
            <a:t>MJUDDM, MONSTAT, UzK</a:t>
          </a:r>
          <a:r>
            <a:rPr lang="x-none" sz="800" kern="1200">
              <a:solidFill>
                <a:srgbClr val="FFFFFF"/>
              </a:solidFill>
              <a:latin typeface="Cambria"/>
              <a:ea typeface="+mn-ea"/>
              <a:cs typeface="+mn-cs"/>
            </a:rPr>
            <a:t>            </a:t>
          </a:r>
          <a:r>
            <a:rPr lang="en-US" sz="800" kern="1200">
              <a:solidFill>
                <a:srgbClr val="FFFFFF"/>
              </a:solidFill>
              <a:latin typeface="Cambria"/>
              <a:ea typeface="+mn-ea"/>
              <a:cs typeface="+mn-cs"/>
            </a:rPr>
            <a:t>Sva ministarstva</a:t>
          </a:r>
          <a:r>
            <a:rPr lang="x-none" sz="800" kern="1200">
              <a:solidFill>
                <a:srgbClr val="FFFFFF"/>
              </a:solidFill>
              <a:latin typeface="Cambria"/>
              <a:ea typeface="+mn-ea"/>
              <a:cs typeface="+mn-cs"/>
            </a:rPr>
            <a:t>                                                                                                                       </a:t>
          </a:r>
          <a:r>
            <a:rPr lang="en-US" sz="800" kern="1200">
              <a:solidFill>
                <a:srgbClr val="FFFFFF"/>
              </a:solidFill>
              <a:latin typeface="Cambria"/>
              <a:ea typeface="+mn-ea"/>
              <a:cs typeface="+mn-cs"/>
            </a:rPr>
            <a:t>EK, DEU,</a:t>
          </a:r>
          <a:r>
            <a:rPr lang="x-none" sz="800" kern="1200">
              <a:solidFill>
                <a:srgbClr val="FFFFFF"/>
              </a:solidFill>
              <a:latin typeface="Cambria"/>
              <a:ea typeface="+mn-ea"/>
              <a:cs typeface="+mn-cs"/>
            </a:rPr>
            <a:t> OECD,</a:t>
          </a:r>
          <a:r>
            <a:rPr lang="en-US" sz="800" kern="1200">
              <a:solidFill>
                <a:srgbClr val="FFFFFF"/>
              </a:solidFill>
              <a:latin typeface="Cambria"/>
              <a:ea typeface="+mn-ea"/>
              <a:cs typeface="+mn-cs"/>
            </a:rPr>
            <a:t> SIGMA, UNDP</a:t>
          </a:r>
        </a:p>
      </dsp:txBody>
      <dsp:txXfrm>
        <a:off x="2154367" y="212132"/>
        <a:ext cx="1309481" cy="1198638"/>
      </dsp:txXfrm>
    </dsp:sp>
    <dsp:sp modelId="{BA0188D3-BDA5-4CAB-9BF0-E90EF2930321}">
      <dsp:nvSpPr>
        <dsp:cNvPr id="0" name=""/>
        <dsp:cNvSpPr/>
      </dsp:nvSpPr>
      <dsp:spPr>
        <a:xfrm>
          <a:off x="346667" y="1707819"/>
          <a:ext cx="1432952" cy="1293225"/>
        </a:xfrm>
        <a:prstGeom prst="roundRect">
          <a:avLst/>
        </a:prstGeom>
        <a:solidFill>
          <a:srgbClr val="46E88F"/>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en-US" sz="800" kern="1200">
            <a:solidFill>
              <a:srgbClr val="FFFFFF"/>
            </a:solidFill>
            <a:latin typeface="Cambria"/>
            <a:ea typeface="+mn-ea"/>
            <a:cs typeface="+mn-cs"/>
          </a:endParaRPr>
        </a:p>
      </dsp:txBody>
      <dsp:txXfrm>
        <a:off x="409797" y="1770949"/>
        <a:ext cx="1306692" cy="1166965"/>
      </dsp:txXfrm>
    </dsp:sp>
    <dsp:sp modelId="{A0C4A0DE-A96A-4B36-8D28-DEDC80D98084}">
      <dsp:nvSpPr>
        <dsp:cNvPr id="0" name=""/>
        <dsp:cNvSpPr/>
      </dsp:nvSpPr>
      <dsp:spPr>
        <a:xfrm>
          <a:off x="2094683" y="1706118"/>
          <a:ext cx="1391061" cy="1321166"/>
        </a:xfrm>
        <a:prstGeom prst="roundRect">
          <a:avLst/>
        </a:prstGeom>
        <a:solidFill>
          <a:srgbClr val="FB9DB1"/>
        </a:solidFill>
        <a:ln w="38100" cap="flat" cmpd="sng" algn="ctr">
          <a:solidFill>
            <a:srgbClr val="FFFFFF">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x-none" sz="800" kern="1200">
              <a:solidFill>
                <a:srgbClr val="FFFFFF"/>
              </a:solidFill>
              <a:latin typeface="Cambria"/>
              <a:ea typeface="+mn-ea"/>
              <a:cs typeface="+mn-cs"/>
            </a:rPr>
            <a:t>Mediji</a:t>
          </a:r>
          <a:endParaRPr lang="en-US" sz="800" kern="1200">
            <a:solidFill>
              <a:srgbClr val="FFFFFF"/>
            </a:solidFill>
            <a:latin typeface="Cambria"/>
            <a:ea typeface="+mn-ea"/>
            <a:cs typeface="+mn-cs"/>
          </a:endParaRPr>
        </a:p>
      </dsp:txBody>
      <dsp:txXfrm>
        <a:off x="2159177" y="1770612"/>
        <a:ext cx="1262073" cy="119217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EE6F22-8B86-4265-85C0-FAF5F51ADBEA}">
      <dsp:nvSpPr>
        <dsp:cNvPr id="0" name=""/>
        <dsp:cNvSpPr/>
      </dsp:nvSpPr>
      <dsp:spPr>
        <a:xfrm>
          <a:off x="0" y="381773"/>
          <a:ext cx="1618059" cy="970835"/>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0" kern="1200"/>
            <a:t>+ pružena politička podrška procesu promjena i reforme</a:t>
          </a:r>
        </a:p>
      </dsp:txBody>
      <dsp:txXfrm>
        <a:off x="0" y="381773"/>
        <a:ext cx="1618059" cy="970835"/>
      </dsp:txXfrm>
    </dsp:sp>
    <dsp:sp modelId="{5076790E-1339-4862-B891-1ED45259B7D6}">
      <dsp:nvSpPr>
        <dsp:cNvPr id="0" name=""/>
        <dsp:cNvSpPr/>
      </dsp:nvSpPr>
      <dsp:spPr>
        <a:xfrm>
          <a:off x="1779865" y="381773"/>
          <a:ext cx="1618059" cy="970835"/>
        </a:xfrm>
        <a:prstGeom prst="rect">
          <a:avLst/>
        </a:prstGeom>
        <a:solidFill>
          <a:schemeClr val="accent4">
            <a:hueOff val="1882662"/>
            <a:satOff val="-4655"/>
            <a:lumOff val="-2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 funkcionalan i nije imao veliki broj članova</a:t>
          </a:r>
        </a:p>
      </dsp:txBody>
      <dsp:txXfrm>
        <a:off x="1779865" y="381773"/>
        <a:ext cx="1618059" cy="970835"/>
      </dsp:txXfrm>
    </dsp:sp>
    <dsp:sp modelId="{47DCBB25-FD45-4A57-8D42-24E37D1D8553}">
      <dsp:nvSpPr>
        <dsp:cNvPr id="0" name=""/>
        <dsp:cNvSpPr/>
      </dsp:nvSpPr>
      <dsp:spPr>
        <a:xfrm>
          <a:off x="3559730" y="381773"/>
          <a:ext cx="1618059" cy="970835"/>
        </a:xfrm>
        <a:prstGeom prst="rect">
          <a:avLst/>
        </a:prstGeom>
        <a:solidFill>
          <a:schemeClr val="accent4">
            <a:hueOff val="3765325"/>
            <a:satOff val="-9310"/>
            <a:lumOff val="-494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+uključena dva predstavnika nevladinih organizacija</a:t>
          </a:r>
        </a:p>
      </dsp:txBody>
      <dsp:txXfrm>
        <a:off x="3559730" y="381773"/>
        <a:ext cx="1618059" cy="970835"/>
      </dsp:txXfrm>
    </dsp:sp>
    <dsp:sp modelId="{9C85919B-481B-48FC-A540-B7B2C0B019D5}">
      <dsp:nvSpPr>
        <dsp:cNvPr id="0" name=""/>
        <dsp:cNvSpPr/>
      </dsp:nvSpPr>
      <dsp:spPr>
        <a:xfrm>
          <a:off x="0" y="1514415"/>
          <a:ext cx="1618059" cy="970835"/>
        </a:xfrm>
        <a:prstGeom prst="rect">
          <a:avLst/>
        </a:prstGeom>
        <a:solidFill>
          <a:schemeClr val="accent4">
            <a:hueOff val="5647988"/>
            <a:satOff val="-13966"/>
            <a:lumOff val="-741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1" kern="1200"/>
            <a:t>- </a:t>
          </a:r>
          <a:r>
            <a:rPr lang="en-US" sz="1300" b="0" kern="1200"/>
            <a:t>nije bio proaktivan u svom radu</a:t>
          </a:r>
        </a:p>
      </dsp:txBody>
      <dsp:txXfrm>
        <a:off x="0" y="1514415"/>
        <a:ext cx="1618059" cy="970835"/>
      </dsp:txXfrm>
    </dsp:sp>
    <dsp:sp modelId="{AE5BA7B4-42C7-4D44-ABFA-8DC3F7377FC9}">
      <dsp:nvSpPr>
        <dsp:cNvPr id="0" name=""/>
        <dsp:cNvSpPr/>
      </dsp:nvSpPr>
      <dsp:spPr>
        <a:xfrm>
          <a:off x="1779865" y="1514415"/>
          <a:ext cx="1618059" cy="970835"/>
        </a:xfrm>
        <a:prstGeom prst="rect">
          <a:avLst/>
        </a:prstGeom>
        <a:solidFill>
          <a:schemeClr val="accent4">
            <a:hueOff val="7530650"/>
            <a:satOff val="-18621"/>
            <a:lumOff val="-988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b="0" kern="1200"/>
            <a:t>- nijesu preduzimane mjere intervencije u implementaciji strategije</a:t>
          </a:r>
        </a:p>
      </dsp:txBody>
      <dsp:txXfrm>
        <a:off x="1779865" y="1514415"/>
        <a:ext cx="1618059" cy="970835"/>
      </dsp:txXfrm>
    </dsp:sp>
    <dsp:sp modelId="{551C8732-3B41-42CC-BAAA-424BE1681D5D}">
      <dsp:nvSpPr>
        <dsp:cNvPr id="0" name=""/>
        <dsp:cNvSpPr/>
      </dsp:nvSpPr>
      <dsp:spPr>
        <a:xfrm>
          <a:off x="3559730" y="1514415"/>
          <a:ext cx="1618059" cy="970835"/>
        </a:xfrm>
        <a:prstGeom prst="rect">
          <a:avLst/>
        </a:prstGeom>
        <a:solidFill>
          <a:schemeClr val="accent4">
            <a:hueOff val="9413312"/>
            <a:satOff val="-23276"/>
            <a:lumOff val="-1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fr-FR" sz="1300" b="0" kern="1200"/>
            <a:t>- ključni dokumenti koji su se odnosili na reformu javne uprave nijesu razmatrani na savjetu</a:t>
          </a:r>
          <a:endParaRPr lang="en-US" sz="1300" b="0" kern="1200"/>
        </a:p>
      </dsp:txBody>
      <dsp:txXfrm>
        <a:off x="3559730" y="1514415"/>
        <a:ext cx="1618059" cy="97083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21F0F2-660F-4D93-9D98-4C7E3395FEE2}">
      <dsp:nvSpPr>
        <dsp:cNvPr id="0" name=""/>
        <dsp:cNvSpPr/>
      </dsp:nvSpPr>
      <dsp:spPr>
        <a:xfrm>
          <a:off x="3329707" y="1752191"/>
          <a:ext cx="2731474" cy="1095781"/>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6275542"/>
              <a:satOff val="-15517"/>
              <a:lumOff val="-82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x-none" sz="800" kern="1200"/>
            <a:t>motivisanost zaposlenih u insitucijama</a:t>
          </a:r>
          <a:endParaRPr lang="en-US" sz="800" kern="1200"/>
        </a:p>
        <a:p>
          <a:pPr marL="57150" lvl="1" indent="-57150" algn="l" defTabSz="355600">
            <a:lnSpc>
              <a:spcPct val="90000"/>
            </a:lnSpc>
            <a:spcBef>
              <a:spcPct val="0"/>
            </a:spcBef>
            <a:spcAft>
              <a:spcPct val="15000"/>
            </a:spcAft>
            <a:buChar char="••"/>
          </a:pPr>
          <a:r>
            <a:rPr lang="x-none" sz="800" kern="1200"/>
            <a:t>pandemija COVID19</a:t>
          </a:r>
          <a:endParaRPr lang="en-US" sz="800" kern="1200"/>
        </a:p>
        <a:p>
          <a:pPr marL="57150" lvl="1" indent="-57150" algn="l" defTabSz="355600">
            <a:lnSpc>
              <a:spcPct val="90000"/>
            </a:lnSpc>
            <a:spcBef>
              <a:spcPct val="0"/>
            </a:spcBef>
            <a:spcAft>
              <a:spcPct val="15000"/>
            </a:spcAft>
            <a:buChar char="••"/>
          </a:pPr>
          <a:r>
            <a:rPr lang="x-none" sz="800" kern="1200"/>
            <a:t>finansijska neodrživost procesa reforme odnosno zavisnosti od evropskih fondova</a:t>
          </a:r>
          <a:endParaRPr lang="en-US" sz="800" kern="1200"/>
        </a:p>
      </dsp:txBody>
      <dsp:txXfrm>
        <a:off x="4173220" y="2050207"/>
        <a:ext cx="1863890" cy="773694"/>
      </dsp:txXfrm>
    </dsp:sp>
    <dsp:sp modelId="{07D25394-ABC5-41E9-B5BC-BE23AEE263CB}">
      <dsp:nvSpPr>
        <dsp:cNvPr id="0" name=""/>
        <dsp:cNvSpPr/>
      </dsp:nvSpPr>
      <dsp:spPr>
        <a:xfrm>
          <a:off x="274385" y="1774588"/>
          <a:ext cx="2760877" cy="1187721"/>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9413312"/>
              <a:satOff val="-23276"/>
              <a:lumOff val="-1235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x-none" sz="800" kern="1200"/>
            <a:t>veliki značaj reforme javne uprave u javnosti i političkoj agendi Valde i EK</a:t>
          </a:r>
          <a:endParaRPr lang="en-US" sz="800" kern="1200"/>
        </a:p>
        <a:p>
          <a:pPr marL="57150" lvl="1" indent="-57150" algn="l" defTabSz="355600">
            <a:lnSpc>
              <a:spcPct val="90000"/>
            </a:lnSpc>
            <a:spcBef>
              <a:spcPct val="0"/>
            </a:spcBef>
            <a:spcAft>
              <a:spcPct val="15000"/>
            </a:spcAft>
            <a:buChar char="••"/>
          </a:pPr>
          <a:r>
            <a:rPr lang="x-none" sz="800" kern="1200"/>
            <a:t>značajna podrška mešunarodnih partnera</a:t>
          </a:r>
          <a:endParaRPr lang="en-US" sz="800" kern="1200"/>
        </a:p>
        <a:p>
          <a:pPr marL="57150" lvl="1" indent="-57150" algn="l" defTabSz="355600">
            <a:lnSpc>
              <a:spcPct val="90000"/>
            </a:lnSpc>
            <a:spcBef>
              <a:spcPct val="0"/>
            </a:spcBef>
            <a:spcAft>
              <a:spcPct val="15000"/>
            </a:spcAft>
            <a:buChar char="••"/>
          </a:pPr>
          <a:r>
            <a:rPr lang="x-none" sz="800" kern="1200"/>
            <a:t>komuniciranje dobrih primjera reforme</a:t>
          </a:r>
          <a:endParaRPr lang="en-US" sz="800" kern="1200"/>
        </a:p>
        <a:p>
          <a:pPr marL="57150" lvl="1" indent="-57150" algn="l" defTabSz="355600">
            <a:lnSpc>
              <a:spcPct val="90000"/>
            </a:lnSpc>
            <a:spcBef>
              <a:spcPct val="0"/>
            </a:spcBef>
            <a:spcAft>
              <a:spcPct val="15000"/>
            </a:spcAft>
            <a:buChar char="••"/>
          </a:pPr>
          <a:r>
            <a:rPr lang="x-none" sz="800" kern="1200"/>
            <a:t>politička podrška odnosno jasan politički stav kada je u pitanju RJU</a:t>
          </a:r>
          <a:endParaRPr lang="en-US" sz="800" kern="1200"/>
        </a:p>
      </dsp:txBody>
      <dsp:txXfrm>
        <a:off x="300475" y="2097609"/>
        <a:ext cx="1880433" cy="838610"/>
      </dsp:txXfrm>
    </dsp:sp>
    <dsp:sp modelId="{252205ED-7A84-45D3-AA7C-740C0C8C77EE}">
      <dsp:nvSpPr>
        <dsp:cNvPr id="0" name=""/>
        <dsp:cNvSpPr/>
      </dsp:nvSpPr>
      <dsp:spPr>
        <a:xfrm>
          <a:off x="3397068" y="323852"/>
          <a:ext cx="2611453" cy="1187986"/>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3137771"/>
              <a:satOff val="-7759"/>
              <a:lumOff val="-411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x-none" sz="800" kern="1200"/>
            <a:t>dugotrajan i kompleksan proces reforme javne uprave</a:t>
          </a:r>
          <a:endParaRPr lang="en-US" sz="800" kern="1200"/>
        </a:p>
        <a:p>
          <a:pPr marL="57150" lvl="1" indent="-57150" algn="l" defTabSz="355600">
            <a:lnSpc>
              <a:spcPct val="90000"/>
            </a:lnSpc>
            <a:spcBef>
              <a:spcPct val="0"/>
            </a:spcBef>
            <a:spcAft>
              <a:spcPct val="15000"/>
            </a:spcAft>
            <a:buChar char="••"/>
          </a:pPr>
          <a:r>
            <a:rPr lang="x-none" sz="800" kern="1200"/>
            <a:t>nedovoljna vidjljivost rezultata reforme na životn građana</a:t>
          </a:r>
          <a:endParaRPr lang="en-US" sz="800" kern="1200"/>
        </a:p>
        <a:p>
          <a:pPr marL="57150" lvl="1" indent="-57150" algn="l" defTabSz="355600">
            <a:lnSpc>
              <a:spcPct val="90000"/>
            </a:lnSpc>
            <a:spcBef>
              <a:spcPct val="0"/>
            </a:spcBef>
            <a:spcAft>
              <a:spcPct val="15000"/>
            </a:spcAft>
            <a:buChar char="••"/>
          </a:pPr>
          <a:r>
            <a:rPr lang="x-none" sz="800" kern="1200"/>
            <a:t>nedovoljno razvijenih vještina službenika za proces transformacije</a:t>
          </a:r>
          <a:endParaRPr lang="en-US" sz="800" kern="1200"/>
        </a:p>
        <a:p>
          <a:pPr marL="57150" lvl="1" indent="-57150" algn="l" defTabSz="355600">
            <a:lnSpc>
              <a:spcPct val="90000"/>
            </a:lnSpc>
            <a:spcBef>
              <a:spcPct val="0"/>
            </a:spcBef>
            <a:spcAft>
              <a:spcPct val="15000"/>
            </a:spcAft>
            <a:buChar char="••"/>
          </a:pPr>
          <a:r>
            <a:rPr lang="x-none" sz="800" kern="1200"/>
            <a:t>otpor prema novinama u organizaciji</a:t>
          </a:r>
          <a:endParaRPr lang="en-US" sz="800" kern="1200"/>
        </a:p>
        <a:p>
          <a:pPr marL="57150" lvl="1" indent="-57150" algn="l" defTabSz="355600">
            <a:lnSpc>
              <a:spcPct val="90000"/>
            </a:lnSpc>
            <a:spcBef>
              <a:spcPct val="0"/>
            </a:spcBef>
            <a:spcAft>
              <a:spcPct val="15000"/>
            </a:spcAft>
            <a:buChar char="••"/>
          </a:pPr>
          <a:r>
            <a:rPr lang="x-none" sz="800" kern="1200"/>
            <a:t>neadekvatna finansijska satisfakcija zaposlenih koji učestvuju u procesu spovođenja reforme</a:t>
          </a:r>
          <a:endParaRPr lang="en-US" sz="800" kern="1200"/>
        </a:p>
      </dsp:txBody>
      <dsp:txXfrm>
        <a:off x="4206600" y="349948"/>
        <a:ext cx="1775825" cy="838798"/>
      </dsp:txXfrm>
    </dsp:sp>
    <dsp:sp modelId="{A586AAF6-95F9-4057-8350-E284C72FD465}">
      <dsp:nvSpPr>
        <dsp:cNvPr id="0" name=""/>
        <dsp:cNvSpPr/>
      </dsp:nvSpPr>
      <dsp:spPr>
        <a:xfrm>
          <a:off x="286680" y="318554"/>
          <a:ext cx="2591042" cy="1217137"/>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x-none" sz="1100" kern="1200"/>
            <a:t> stečeno iskustvo i naučene lekcije</a:t>
          </a:r>
          <a:endParaRPr lang="en-US" sz="1100" kern="1200"/>
        </a:p>
        <a:p>
          <a:pPr marL="57150" lvl="1" indent="-57150" algn="l" defTabSz="488950">
            <a:lnSpc>
              <a:spcPct val="90000"/>
            </a:lnSpc>
            <a:spcBef>
              <a:spcPct val="0"/>
            </a:spcBef>
            <a:spcAft>
              <a:spcPct val="15000"/>
            </a:spcAft>
            <a:buChar char="••"/>
          </a:pPr>
          <a:r>
            <a:rPr lang="x-none" sz="1100" kern="1200"/>
            <a:t> sprovedene edukacije</a:t>
          </a:r>
          <a:endParaRPr lang="en-US" sz="1100" kern="1200"/>
        </a:p>
        <a:p>
          <a:pPr marL="57150" lvl="1" indent="-57150" algn="l" defTabSz="488950">
            <a:lnSpc>
              <a:spcPct val="90000"/>
            </a:lnSpc>
            <a:spcBef>
              <a:spcPct val="0"/>
            </a:spcBef>
            <a:spcAft>
              <a:spcPct val="15000"/>
            </a:spcAft>
            <a:buChar char="••"/>
          </a:pPr>
          <a:r>
            <a:rPr lang="x-none" sz="1100" kern="1200"/>
            <a:t> timski rad</a:t>
          </a:r>
          <a:endParaRPr lang="en-US" sz="1100" kern="1200"/>
        </a:p>
      </dsp:txBody>
      <dsp:txXfrm>
        <a:off x="313417" y="345291"/>
        <a:ext cx="1760255" cy="859379"/>
      </dsp:txXfrm>
    </dsp:sp>
    <dsp:sp modelId="{D6A7EC5D-AFA5-4876-9C76-2DA96CE74D3D}">
      <dsp:nvSpPr>
        <dsp:cNvPr id="0" name=""/>
        <dsp:cNvSpPr/>
      </dsp:nvSpPr>
      <dsp:spPr>
        <a:xfrm>
          <a:off x="2197595" y="596530"/>
          <a:ext cx="953751" cy="984347"/>
        </a:xfrm>
        <a:prstGeom prst="pieWedge">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x-none" sz="800" kern="1200"/>
            <a:t>SNAGE</a:t>
          </a:r>
          <a:endParaRPr lang="en-US" sz="800" kern="1200"/>
        </a:p>
      </dsp:txBody>
      <dsp:txXfrm>
        <a:off x="2476942" y="884839"/>
        <a:ext cx="674404" cy="696038"/>
      </dsp:txXfrm>
    </dsp:sp>
    <dsp:sp modelId="{28A7B9A7-A797-49BC-B2DB-6F4C4B49169E}">
      <dsp:nvSpPr>
        <dsp:cNvPr id="0" name=""/>
        <dsp:cNvSpPr/>
      </dsp:nvSpPr>
      <dsp:spPr>
        <a:xfrm rot="5400000">
          <a:off x="3189574" y="634033"/>
          <a:ext cx="937962" cy="908927"/>
        </a:xfrm>
        <a:prstGeom prst="pieWedge">
          <a:avLst/>
        </a:prstGeom>
        <a:solidFill>
          <a:schemeClr val="accent4">
            <a:hueOff val="3137771"/>
            <a:satOff val="-7759"/>
            <a:lumOff val="-411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x-none" sz="800" kern="1200"/>
            <a:t>SLABOSTI</a:t>
          </a:r>
          <a:endParaRPr lang="en-US" sz="800" kern="1200"/>
        </a:p>
      </dsp:txBody>
      <dsp:txXfrm rot="-5400000">
        <a:off x="3204091" y="894239"/>
        <a:ext cx="642708" cy="663239"/>
      </dsp:txXfrm>
    </dsp:sp>
    <dsp:sp modelId="{037702EA-C0EF-4EC7-8CE3-2332BE5322E3}">
      <dsp:nvSpPr>
        <dsp:cNvPr id="0" name=""/>
        <dsp:cNvSpPr/>
      </dsp:nvSpPr>
      <dsp:spPr>
        <a:xfrm rot="10800000">
          <a:off x="3257791" y="1656104"/>
          <a:ext cx="893525" cy="940105"/>
        </a:xfrm>
        <a:prstGeom prst="pieWedge">
          <a:avLst/>
        </a:prstGeom>
        <a:solidFill>
          <a:schemeClr val="accent4">
            <a:hueOff val="6275542"/>
            <a:satOff val="-15517"/>
            <a:lumOff val="-823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x-none" sz="800" kern="1200"/>
            <a:t>PRIJETNJE</a:t>
          </a:r>
          <a:endParaRPr lang="en-US" sz="800" kern="1200"/>
        </a:p>
      </dsp:txBody>
      <dsp:txXfrm rot="10800000">
        <a:off x="3257791" y="1656104"/>
        <a:ext cx="631818" cy="664755"/>
      </dsp:txXfrm>
    </dsp:sp>
    <dsp:sp modelId="{104F1CBB-F8FC-4B62-972E-1E2F1AACF879}">
      <dsp:nvSpPr>
        <dsp:cNvPr id="0" name=""/>
        <dsp:cNvSpPr/>
      </dsp:nvSpPr>
      <dsp:spPr>
        <a:xfrm rot="16200000">
          <a:off x="2197125" y="1649094"/>
          <a:ext cx="985910" cy="954318"/>
        </a:xfrm>
        <a:prstGeom prst="pieWedge">
          <a:avLst/>
        </a:prstGeom>
        <a:solidFill>
          <a:schemeClr val="accent4">
            <a:hueOff val="9413312"/>
            <a:satOff val="-23276"/>
            <a:lumOff val="-1235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x-none" sz="800" kern="1200"/>
            <a:t>ŠANSE</a:t>
          </a:r>
          <a:endParaRPr lang="en-US" sz="800" kern="1200"/>
        </a:p>
      </dsp:txBody>
      <dsp:txXfrm rot="5400000">
        <a:off x="2492434" y="1633299"/>
        <a:ext cx="674805" cy="697144"/>
      </dsp:txXfrm>
    </dsp:sp>
    <dsp:sp modelId="{4753C80D-B522-40BC-83A6-D9C66F421FDA}">
      <dsp:nvSpPr>
        <dsp:cNvPr id="0" name=""/>
        <dsp:cNvSpPr/>
      </dsp:nvSpPr>
      <dsp:spPr>
        <a:xfrm>
          <a:off x="3032778" y="1638213"/>
          <a:ext cx="136844" cy="53219"/>
        </a:xfrm>
        <a:prstGeom prst="circularArrow">
          <a:avLst/>
        </a:prstGeom>
        <a:solidFill>
          <a:schemeClr val="accent4">
            <a:tint val="4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22058EC3-4968-4110-AC12-D7C6CE68C3C2}">
      <dsp:nvSpPr>
        <dsp:cNvPr id="0" name=""/>
        <dsp:cNvSpPr/>
      </dsp:nvSpPr>
      <dsp:spPr>
        <a:xfrm rot="10800000">
          <a:off x="3017571" y="1657218"/>
          <a:ext cx="45616" cy="45614"/>
        </a:xfrm>
        <a:prstGeom prst="circularArrow">
          <a:avLst/>
        </a:prstGeom>
        <a:solidFill>
          <a:schemeClr val="accent4">
            <a:tint val="4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A042E7-D5F9-4C3B-BB0E-B7D117A96F9E}">
      <dsp:nvSpPr>
        <dsp:cNvPr id="0" name=""/>
        <dsp:cNvSpPr/>
      </dsp:nvSpPr>
      <dsp:spPr>
        <a:xfrm>
          <a:off x="703" y="2394"/>
          <a:ext cx="6132692" cy="1158515"/>
        </a:xfrm>
        <a:prstGeom prst="roundRect">
          <a:avLst>
            <a:gd name="adj" fmla="val 10000"/>
          </a:avLst>
        </a:prstGeom>
        <a:solidFill>
          <a:srgbClr val="CC8E6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solidFill>
                <a:srgbClr val="FFFFFF"/>
              </a:solidFill>
              <a:latin typeface="Cambria"/>
              <a:ea typeface="+mn-ea"/>
              <a:cs typeface="+mn-cs"/>
            </a:rPr>
            <a:t>SAVJET ZA REFORMU JAVNE UPRAVE</a:t>
          </a:r>
        </a:p>
      </dsp:txBody>
      <dsp:txXfrm>
        <a:off x="34635" y="36326"/>
        <a:ext cx="6064828" cy="1090651"/>
      </dsp:txXfrm>
    </dsp:sp>
    <dsp:sp modelId="{128273B4-9389-4EAA-A33D-BAAF43979BF6}">
      <dsp:nvSpPr>
        <dsp:cNvPr id="0" name=""/>
        <dsp:cNvSpPr/>
      </dsp:nvSpPr>
      <dsp:spPr>
        <a:xfrm>
          <a:off x="703" y="1268592"/>
          <a:ext cx="5069378" cy="1158515"/>
        </a:xfrm>
        <a:prstGeom prst="roundRect">
          <a:avLst>
            <a:gd name="adj" fmla="val 10000"/>
          </a:avLst>
        </a:prstGeom>
        <a:solidFill>
          <a:srgbClr val="B4936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solidFill>
                <a:srgbClr val="FFFFFF"/>
              </a:solidFill>
              <a:latin typeface="Cambria"/>
              <a:ea typeface="+mn-ea"/>
              <a:cs typeface="+mn-cs"/>
            </a:rPr>
            <a:t>Sekreterijat </a:t>
          </a:r>
          <a:r>
            <a:rPr lang="sr-Latn-ME" sz="2000" kern="1200">
              <a:solidFill>
                <a:srgbClr val="FFFFFF"/>
              </a:solidFill>
              <a:latin typeface="Cambria"/>
              <a:ea typeface="+mn-ea"/>
              <a:cs typeface="+mn-cs"/>
            </a:rPr>
            <a:t>S</a:t>
          </a:r>
          <a:r>
            <a:rPr lang="en-US" sz="2000" kern="1200">
              <a:solidFill>
                <a:srgbClr val="FFFFFF"/>
              </a:solidFill>
              <a:latin typeface="Cambria"/>
              <a:ea typeface="+mn-ea"/>
              <a:cs typeface="+mn-cs"/>
            </a:rPr>
            <a:t>avjeta za reformu javne uprave</a:t>
          </a:r>
        </a:p>
      </dsp:txBody>
      <dsp:txXfrm>
        <a:off x="34635" y="1302524"/>
        <a:ext cx="5001514" cy="1090651"/>
      </dsp:txXfrm>
    </dsp:sp>
    <dsp:sp modelId="{671903E7-1CB9-4B6F-BDCB-73E9297373CC}">
      <dsp:nvSpPr>
        <dsp:cNvPr id="0" name=""/>
        <dsp:cNvSpPr/>
      </dsp:nvSpPr>
      <dsp:spPr>
        <a:xfrm>
          <a:off x="703"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rgbClr val="FFFFFF"/>
              </a:solidFill>
              <a:latin typeface="Cambria"/>
              <a:ea typeface="+mn-ea"/>
              <a:cs typeface="+mn-cs"/>
            </a:rPr>
            <a:t>I</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KOORDINACIONI TIM:</a:t>
          </a:r>
        </a:p>
        <a:p>
          <a:pPr lvl="0" algn="ctr" defTabSz="355600">
            <a:lnSpc>
              <a:spcPct val="90000"/>
            </a:lnSpc>
            <a:spcBef>
              <a:spcPct val="0"/>
            </a:spcBef>
            <a:spcAft>
              <a:spcPct val="35000"/>
            </a:spcAft>
          </a:pPr>
          <a:r>
            <a:rPr lang="en-US" sz="800" kern="1200">
              <a:solidFill>
                <a:srgbClr val="FFFFFF"/>
              </a:solidFill>
              <a:latin typeface="Cambria"/>
              <a:ea typeface="+mn-ea"/>
              <a:cs typeface="+mn-cs"/>
            </a:rPr>
            <a:t>OPTIMIZACIJA</a:t>
          </a:r>
        </a:p>
      </dsp:txBody>
      <dsp:txXfrm>
        <a:off x="29433" y="2563519"/>
        <a:ext cx="923456" cy="1101055"/>
      </dsp:txXfrm>
    </dsp:sp>
    <dsp:sp modelId="{8667100B-6FD7-4A73-A4A6-572F5E8343B9}">
      <dsp:nvSpPr>
        <dsp:cNvPr id="0" name=""/>
        <dsp:cNvSpPr/>
      </dsp:nvSpPr>
      <dsp:spPr>
        <a:xfrm>
          <a:off x="1022819"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rgbClr val="FFFFFF"/>
              </a:solidFill>
              <a:latin typeface="Cambria"/>
              <a:ea typeface="+mn-ea"/>
              <a:cs typeface="+mn-cs"/>
            </a:rPr>
            <a:t>II</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KOORDINACIONI TIM:</a:t>
          </a:r>
        </a:p>
        <a:p>
          <a:pPr lvl="0" algn="ctr" defTabSz="355600">
            <a:lnSpc>
              <a:spcPct val="90000"/>
            </a:lnSpc>
            <a:spcBef>
              <a:spcPct val="0"/>
            </a:spcBef>
            <a:spcAft>
              <a:spcPct val="35000"/>
            </a:spcAft>
          </a:pPr>
          <a:r>
            <a:rPr lang="sr-Latn-RS" sz="800" kern="1200">
              <a:solidFill>
                <a:srgbClr val="FFFFFF"/>
              </a:solidFill>
              <a:latin typeface="Cambria"/>
              <a:ea typeface="+mn-ea"/>
              <a:cs typeface="+mn-cs"/>
            </a:rPr>
            <a:t>ORGANIZACIJA I RAD JAVNE UPRAVE </a:t>
          </a:r>
          <a:endParaRPr lang="en-US" sz="800" kern="1200">
            <a:solidFill>
              <a:srgbClr val="FFFFFF"/>
            </a:solidFill>
            <a:latin typeface="Cambria"/>
            <a:ea typeface="+mn-ea"/>
            <a:cs typeface="+mn-cs"/>
          </a:endParaRPr>
        </a:p>
      </dsp:txBody>
      <dsp:txXfrm>
        <a:off x="1051549" y="2563519"/>
        <a:ext cx="923456" cy="1101055"/>
      </dsp:txXfrm>
    </dsp:sp>
    <dsp:sp modelId="{1BCFC623-1CE7-4838-8BD3-4BA32161B801}">
      <dsp:nvSpPr>
        <dsp:cNvPr id="0" name=""/>
        <dsp:cNvSpPr/>
      </dsp:nvSpPr>
      <dsp:spPr>
        <a:xfrm>
          <a:off x="2044934"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rgbClr val="FFFFFF"/>
              </a:solidFill>
              <a:latin typeface="Cambria"/>
              <a:ea typeface="+mn-ea"/>
              <a:cs typeface="+mn-cs"/>
            </a:rPr>
            <a:t>III</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KOORDINACIONI TIM:</a:t>
          </a:r>
        </a:p>
        <a:p>
          <a:pPr lvl="0" algn="ctr" defTabSz="355600">
            <a:lnSpc>
              <a:spcPct val="90000"/>
            </a:lnSpc>
            <a:spcBef>
              <a:spcPct val="0"/>
            </a:spcBef>
            <a:spcAft>
              <a:spcPct val="35000"/>
            </a:spcAft>
          </a:pPr>
          <a:r>
            <a:rPr lang="sr-Latn-RS" sz="800" kern="1200">
              <a:solidFill>
                <a:srgbClr val="FFFFFF"/>
              </a:solidFill>
              <a:latin typeface="Cambria"/>
              <a:ea typeface="+mn-ea"/>
              <a:cs typeface="+mn-cs"/>
            </a:rPr>
            <a:t>PROFESIONALNA JAVNA ADMINISTRACIJA</a:t>
          </a:r>
          <a:endParaRPr lang="en-US" sz="800" kern="1200">
            <a:solidFill>
              <a:srgbClr val="FFFFFF"/>
            </a:solidFill>
            <a:latin typeface="Cambria"/>
            <a:ea typeface="+mn-ea"/>
            <a:cs typeface="+mn-cs"/>
          </a:endParaRPr>
        </a:p>
      </dsp:txBody>
      <dsp:txXfrm>
        <a:off x="2073664" y="2563519"/>
        <a:ext cx="923456" cy="1101055"/>
      </dsp:txXfrm>
    </dsp:sp>
    <dsp:sp modelId="{33296F9A-ABB8-48D1-8848-8151CF0A8B55}">
      <dsp:nvSpPr>
        <dsp:cNvPr id="0" name=""/>
        <dsp:cNvSpPr/>
      </dsp:nvSpPr>
      <dsp:spPr>
        <a:xfrm>
          <a:off x="3067049"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rgbClr val="FFFFFF"/>
              </a:solidFill>
              <a:latin typeface="Cambria"/>
              <a:ea typeface="+mn-ea"/>
              <a:cs typeface="+mn-cs"/>
            </a:rPr>
            <a:t>IV</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KOORDINACIONI TIM:</a:t>
          </a:r>
        </a:p>
        <a:p>
          <a:pPr lvl="0" algn="ctr" defTabSz="355600">
            <a:lnSpc>
              <a:spcPct val="90000"/>
            </a:lnSpc>
            <a:spcBef>
              <a:spcPct val="0"/>
            </a:spcBef>
            <a:spcAft>
              <a:spcPct val="35000"/>
            </a:spcAft>
          </a:pPr>
          <a:r>
            <a:rPr lang="sr-Latn-RS" sz="800" kern="1200">
              <a:solidFill>
                <a:srgbClr val="FFFFFF"/>
              </a:solidFill>
              <a:latin typeface="Cambria"/>
              <a:ea typeface="+mn-ea"/>
              <a:cs typeface="+mn-cs"/>
            </a:rPr>
            <a:t>TRANSPARENTA I OTVORENA JAVNA UPRAVA </a:t>
          </a:r>
          <a:endParaRPr lang="en-US" sz="800" kern="1200">
            <a:solidFill>
              <a:srgbClr val="FFFFFF"/>
            </a:solidFill>
            <a:latin typeface="Cambria"/>
            <a:ea typeface="+mn-ea"/>
            <a:cs typeface="+mn-cs"/>
          </a:endParaRPr>
        </a:p>
      </dsp:txBody>
      <dsp:txXfrm>
        <a:off x="3095779" y="2563519"/>
        <a:ext cx="923456" cy="1101055"/>
      </dsp:txXfrm>
    </dsp:sp>
    <dsp:sp modelId="{47B06116-7347-4A13-8F9C-7F7AE433BD6F}">
      <dsp:nvSpPr>
        <dsp:cNvPr id="0" name=""/>
        <dsp:cNvSpPr/>
      </dsp:nvSpPr>
      <dsp:spPr>
        <a:xfrm>
          <a:off x="4089165"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rgbClr val="FFFFFF"/>
              </a:solidFill>
              <a:latin typeface="Cambria"/>
              <a:ea typeface="+mn-ea"/>
              <a:cs typeface="+mn-cs"/>
            </a:rPr>
            <a:t>V</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KOORDINACIONI TIM:</a:t>
          </a:r>
        </a:p>
        <a:p>
          <a:pPr lvl="0" algn="ctr" defTabSz="355600">
            <a:lnSpc>
              <a:spcPct val="90000"/>
            </a:lnSpc>
            <a:spcBef>
              <a:spcPct val="0"/>
            </a:spcBef>
            <a:spcAft>
              <a:spcPct val="35000"/>
            </a:spcAft>
          </a:pPr>
          <a:r>
            <a:rPr lang="sr-Latn-RS" sz="800" kern="1200">
              <a:solidFill>
                <a:srgbClr val="FFFFFF"/>
              </a:solidFill>
              <a:latin typeface="Cambria"/>
              <a:ea typeface="+mn-ea"/>
              <a:cs typeface="+mn-cs"/>
            </a:rPr>
            <a:t>PLANIRANJE POLITIKA</a:t>
          </a:r>
          <a:endParaRPr lang="en-US" sz="800" kern="1200">
            <a:solidFill>
              <a:srgbClr val="FFFFFF"/>
            </a:solidFill>
            <a:latin typeface="Cambria"/>
            <a:ea typeface="+mn-ea"/>
            <a:cs typeface="+mn-cs"/>
          </a:endParaRPr>
        </a:p>
      </dsp:txBody>
      <dsp:txXfrm>
        <a:off x="4117895" y="2563519"/>
        <a:ext cx="923456" cy="1101055"/>
      </dsp:txXfrm>
    </dsp:sp>
    <dsp:sp modelId="{C862A4FC-399F-4309-9A5D-BB2CD141FBDB}">
      <dsp:nvSpPr>
        <dsp:cNvPr id="0" name=""/>
        <dsp:cNvSpPr/>
      </dsp:nvSpPr>
      <dsp:spPr>
        <a:xfrm>
          <a:off x="5152479" y="1268592"/>
          <a:ext cx="980916" cy="1158515"/>
        </a:xfrm>
        <a:prstGeom prst="roundRect">
          <a:avLst>
            <a:gd name="adj" fmla="val 10000"/>
          </a:avLst>
        </a:prstGeom>
        <a:solidFill>
          <a:srgbClr val="B4936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rgbClr val="FFFFFF"/>
              </a:solidFill>
              <a:latin typeface="Cambria"/>
              <a:ea typeface="+mn-ea"/>
              <a:cs typeface="+mn-cs"/>
            </a:rPr>
            <a:t>Ministarstvo javne uprave, digitalnog društva i medija(Posebna radna grupa)</a:t>
          </a:r>
        </a:p>
      </dsp:txBody>
      <dsp:txXfrm>
        <a:off x="5181209" y="1297322"/>
        <a:ext cx="923456" cy="1101055"/>
      </dsp:txXfrm>
    </dsp:sp>
    <dsp:sp modelId="{21D719BC-364C-4B63-98AD-80E8321AE9AF}">
      <dsp:nvSpPr>
        <dsp:cNvPr id="0" name=""/>
        <dsp:cNvSpPr/>
      </dsp:nvSpPr>
      <dsp:spPr>
        <a:xfrm>
          <a:off x="5152479" y="2534789"/>
          <a:ext cx="980916" cy="1158515"/>
        </a:xfrm>
        <a:prstGeom prst="roundRect">
          <a:avLst>
            <a:gd name="adj" fmla="val 10000"/>
          </a:avLst>
        </a:prstGeom>
        <a:solidFill>
          <a:srgbClr val="67787B">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rgbClr val="FFFFFF"/>
              </a:solidFill>
              <a:latin typeface="Cambria"/>
              <a:ea typeface="+mn-ea"/>
              <a:cs typeface="+mn-cs"/>
            </a:rPr>
            <a:t>VI</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
          </a:r>
          <a:br>
            <a:rPr lang="en-US" sz="800" kern="1200">
              <a:solidFill>
                <a:srgbClr val="FFFFFF"/>
              </a:solidFill>
              <a:latin typeface="Cambria"/>
              <a:ea typeface="+mn-ea"/>
              <a:cs typeface="+mn-cs"/>
            </a:rPr>
          </a:br>
          <a:r>
            <a:rPr lang="en-US" sz="800" kern="1200">
              <a:solidFill>
                <a:srgbClr val="FFFFFF"/>
              </a:solidFill>
              <a:latin typeface="Cambria"/>
              <a:ea typeface="+mn-ea"/>
              <a:cs typeface="+mn-cs"/>
            </a:rPr>
            <a:t>KOORDINACIONI TIM:</a:t>
          </a:r>
        </a:p>
        <a:p>
          <a:pPr lvl="0" algn="ctr" defTabSz="355600">
            <a:lnSpc>
              <a:spcPct val="90000"/>
            </a:lnSpc>
            <a:spcBef>
              <a:spcPct val="0"/>
            </a:spcBef>
            <a:spcAft>
              <a:spcPct val="35000"/>
            </a:spcAft>
          </a:pPr>
          <a:r>
            <a:rPr lang="sr-Latn-RS" sz="800" kern="1200">
              <a:solidFill>
                <a:srgbClr val="FFFFFF"/>
              </a:solidFill>
              <a:latin typeface="Cambria"/>
              <a:ea typeface="+mn-ea"/>
              <a:cs typeface="+mn-cs"/>
            </a:rPr>
            <a:t>USLUGE JAVNE UPRAVE</a:t>
          </a:r>
          <a:endParaRPr lang="en-US" sz="800" kern="1200">
            <a:solidFill>
              <a:srgbClr val="FFFFFF"/>
            </a:solidFill>
            <a:latin typeface="Cambria"/>
            <a:ea typeface="+mn-ea"/>
            <a:cs typeface="+mn-cs"/>
          </a:endParaRPr>
        </a:p>
      </dsp:txBody>
      <dsp:txXfrm>
        <a:off x="5181209" y="2563519"/>
        <a:ext cx="923456" cy="11010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31F196-BA51-432A-AD71-17C5434FB0F2}">
      <dsp:nvSpPr>
        <dsp:cNvPr id="0" name=""/>
        <dsp:cNvSpPr/>
      </dsp:nvSpPr>
      <dsp:spPr>
        <a:xfrm>
          <a:off x="4219575" y="356810"/>
          <a:ext cx="3366178" cy="205789"/>
        </a:xfrm>
        <a:custGeom>
          <a:avLst/>
          <a:gdLst/>
          <a:ahLst/>
          <a:cxnLst/>
          <a:rect l="0" t="0" r="0" b="0"/>
          <a:pathLst>
            <a:path>
              <a:moveTo>
                <a:pt x="0" y="0"/>
              </a:moveTo>
              <a:lnTo>
                <a:pt x="0" y="102894"/>
              </a:lnTo>
              <a:lnTo>
                <a:pt x="3366178" y="102894"/>
              </a:lnTo>
              <a:lnTo>
                <a:pt x="3366178" y="20578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52BA2AF-6D87-4226-886D-1A7F839271ED}">
      <dsp:nvSpPr>
        <dsp:cNvPr id="0" name=""/>
        <dsp:cNvSpPr/>
      </dsp:nvSpPr>
      <dsp:spPr>
        <a:xfrm>
          <a:off x="4219575" y="356810"/>
          <a:ext cx="1546026" cy="205789"/>
        </a:xfrm>
        <a:custGeom>
          <a:avLst/>
          <a:gdLst/>
          <a:ahLst/>
          <a:cxnLst/>
          <a:rect l="0" t="0" r="0" b="0"/>
          <a:pathLst>
            <a:path>
              <a:moveTo>
                <a:pt x="0" y="0"/>
              </a:moveTo>
              <a:lnTo>
                <a:pt x="0" y="102894"/>
              </a:lnTo>
              <a:lnTo>
                <a:pt x="1546026" y="102894"/>
              </a:lnTo>
              <a:lnTo>
                <a:pt x="1546026" y="20578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C3CCCCE-3D20-4B15-84E8-1382F53ED691}">
      <dsp:nvSpPr>
        <dsp:cNvPr id="0" name=""/>
        <dsp:cNvSpPr/>
      </dsp:nvSpPr>
      <dsp:spPr>
        <a:xfrm>
          <a:off x="4126945" y="356810"/>
          <a:ext cx="92629" cy="205789"/>
        </a:xfrm>
        <a:custGeom>
          <a:avLst/>
          <a:gdLst/>
          <a:ahLst/>
          <a:cxnLst/>
          <a:rect l="0" t="0" r="0" b="0"/>
          <a:pathLst>
            <a:path>
              <a:moveTo>
                <a:pt x="92629" y="0"/>
              </a:moveTo>
              <a:lnTo>
                <a:pt x="92629" y="102894"/>
              </a:lnTo>
              <a:lnTo>
                <a:pt x="0" y="102894"/>
              </a:lnTo>
              <a:lnTo>
                <a:pt x="0" y="20578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A315489-94FF-4C4D-AB03-7174F206BB89}">
      <dsp:nvSpPr>
        <dsp:cNvPr id="0" name=""/>
        <dsp:cNvSpPr/>
      </dsp:nvSpPr>
      <dsp:spPr>
        <a:xfrm>
          <a:off x="2642729" y="356810"/>
          <a:ext cx="1576845" cy="238117"/>
        </a:xfrm>
        <a:custGeom>
          <a:avLst/>
          <a:gdLst/>
          <a:ahLst/>
          <a:cxnLst/>
          <a:rect l="0" t="0" r="0" b="0"/>
          <a:pathLst>
            <a:path>
              <a:moveTo>
                <a:pt x="1576845" y="0"/>
              </a:moveTo>
              <a:lnTo>
                <a:pt x="1576845" y="135223"/>
              </a:lnTo>
              <a:lnTo>
                <a:pt x="0" y="135223"/>
              </a:lnTo>
              <a:lnTo>
                <a:pt x="0" y="23811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FC1C018-7769-40C7-BDB4-F090ED1B978B}">
      <dsp:nvSpPr>
        <dsp:cNvPr id="0" name=""/>
        <dsp:cNvSpPr/>
      </dsp:nvSpPr>
      <dsp:spPr>
        <a:xfrm>
          <a:off x="848080" y="356810"/>
          <a:ext cx="3371494" cy="205789"/>
        </a:xfrm>
        <a:custGeom>
          <a:avLst/>
          <a:gdLst/>
          <a:ahLst/>
          <a:cxnLst/>
          <a:rect l="0" t="0" r="0" b="0"/>
          <a:pathLst>
            <a:path>
              <a:moveTo>
                <a:pt x="3371494" y="0"/>
              </a:moveTo>
              <a:lnTo>
                <a:pt x="3371494" y="102894"/>
              </a:lnTo>
              <a:lnTo>
                <a:pt x="0" y="102894"/>
              </a:lnTo>
              <a:lnTo>
                <a:pt x="0" y="20578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D5D1FC1-31B1-4E97-872F-00E96C77CFA8}">
      <dsp:nvSpPr>
        <dsp:cNvPr id="0" name=""/>
        <dsp:cNvSpPr/>
      </dsp:nvSpPr>
      <dsp:spPr>
        <a:xfrm>
          <a:off x="2878265" y="42800"/>
          <a:ext cx="2682619" cy="314009"/>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b="1" kern="1200"/>
            <a:t>STRATEGIJA REFORME JAVNE UPRAVE 2022-2026.</a:t>
          </a:r>
        </a:p>
      </dsp:txBody>
      <dsp:txXfrm>
        <a:off x="2878265" y="42800"/>
        <a:ext cx="2682619" cy="314009"/>
      </dsp:txXfrm>
    </dsp:sp>
    <dsp:sp modelId="{5F803A4A-7C8E-4811-9E64-6B1AF3521261}">
      <dsp:nvSpPr>
        <dsp:cNvPr id="0" name=""/>
        <dsp:cNvSpPr/>
      </dsp:nvSpPr>
      <dsp:spPr>
        <a:xfrm>
          <a:off x="2301" y="562599"/>
          <a:ext cx="1691558" cy="4899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r-Latn-RS" sz="800" b="0" kern="1200"/>
            <a:t>ORGANIZACIJA I RAD JAVNE UPRAVE U FUNKCIJI POTREBA GRAĐANA</a:t>
          </a:r>
          <a:endParaRPr lang="en-US" sz="800" b="0" kern="1200"/>
        </a:p>
      </dsp:txBody>
      <dsp:txXfrm>
        <a:off x="2301" y="562599"/>
        <a:ext cx="1691558" cy="489974"/>
      </dsp:txXfrm>
    </dsp:sp>
    <dsp:sp modelId="{FEBC9E9F-B886-449E-BB73-AE73BE761479}">
      <dsp:nvSpPr>
        <dsp:cNvPr id="0" name=""/>
        <dsp:cNvSpPr/>
      </dsp:nvSpPr>
      <dsp:spPr>
        <a:xfrm>
          <a:off x="1966775" y="594928"/>
          <a:ext cx="1351908" cy="4899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r-Latn-RS" sz="800" b="0" kern="1200"/>
            <a:t>GRAĐANI I PRIVREDA KORISTE KVALITETE USLUGE JAVNE UPRAVE</a:t>
          </a:r>
          <a:endParaRPr lang="en-US" sz="800" b="0" kern="1200"/>
        </a:p>
      </dsp:txBody>
      <dsp:txXfrm>
        <a:off x="1966775" y="594928"/>
        <a:ext cx="1351908" cy="489974"/>
      </dsp:txXfrm>
    </dsp:sp>
    <dsp:sp modelId="{2B5DE013-4671-4467-BD66-7E5DBDFDE698}">
      <dsp:nvSpPr>
        <dsp:cNvPr id="0" name=""/>
        <dsp:cNvSpPr/>
      </dsp:nvSpPr>
      <dsp:spPr>
        <a:xfrm>
          <a:off x="3457346" y="562599"/>
          <a:ext cx="1339198" cy="4899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r-Latn-RS" sz="800" b="0" kern="1200"/>
            <a:t>PROFESIONALNA JAVNA ADMINISTRACIJA</a:t>
          </a:r>
          <a:endParaRPr lang="en-US" sz="800" b="0" kern="1200"/>
        </a:p>
      </dsp:txBody>
      <dsp:txXfrm>
        <a:off x="3457346" y="562599"/>
        <a:ext cx="1339198" cy="489974"/>
      </dsp:txXfrm>
    </dsp:sp>
    <dsp:sp modelId="{FA8B1481-A35D-482F-87BE-E7D74A475B8F}">
      <dsp:nvSpPr>
        <dsp:cNvPr id="0" name=""/>
        <dsp:cNvSpPr/>
      </dsp:nvSpPr>
      <dsp:spPr>
        <a:xfrm>
          <a:off x="5002333" y="562599"/>
          <a:ext cx="1526535" cy="4899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r-Latn-RS" sz="800" b="0" kern="1200"/>
            <a:t>TRANSPARENTNA I OTVORENA JAVNA UPRAVA</a:t>
          </a:r>
          <a:endParaRPr lang="en-US" sz="800" b="0" kern="1200"/>
        </a:p>
      </dsp:txBody>
      <dsp:txXfrm>
        <a:off x="5002333" y="562599"/>
        <a:ext cx="1526535" cy="489974"/>
      </dsp:txXfrm>
    </dsp:sp>
    <dsp:sp modelId="{80EFF353-5F78-410B-ADB9-6E9EECE4414B}">
      <dsp:nvSpPr>
        <dsp:cNvPr id="0" name=""/>
        <dsp:cNvSpPr/>
      </dsp:nvSpPr>
      <dsp:spPr>
        <a:xfrm>
          <a:off x="6734657" y="562599"/>
          <a:ext cx="1702190" cy="48997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sr-Latn-RS" sz="800" b="0" kern="1200"/>
            <a:t>PLANIRANJE POLITIKA SA GRAĐANIMA I ZA GRAĐANE</a:t>
          </a:r>
          <a:endParaRPr lang="en-US" sz="800" b="0" kern="1200"/>
        </a:p>
      </dsp:txBody>
      <dsp:txXfrm>
        <a:off x="6734657" y="562599"/>
        <a:ext cx="1702190" cy="48997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18ADA2-81CF-4600-8496-33F0D6B30508}">
      <dsp:nvSpPr>
        <dsp:cNvPr id="0" name=""/>
        <dsp:cNvSpPr/>
      </dsp:nvSpPr>
      <dsp:spPr>
        <a:xfrm rot="16200000">
          <a:off x="-1506882" y="1509463"/>
          <a:ext cx="4038600" cy="1019672"/>
        </a:xfrm>
        <a:prstGeom prst="flowChartManualOperati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x-none" sz="1000" kern="1200"/>
            <a:t>Institucije </a:t>
          </a:r>
          <a:r>
            <a:rPr lang="en-US" sz="1000" kern="1200"/>
            <a:t>zadužene za monitoring i prikupljanje informacija </a:t>
          </a:r>
          <a:endParaRPr lang="x-none" sz="1000" kern="1200"/>
        </a:p>
        <a:p>
          <a:pPr lvl="0" algn="l" defTabSz="444500">
            <a:lnSpc>
              <a:spcPct val="90000"/>
            </a:lnSpc>
            <a:spcBef>
              <a:spcPct val="0"/>
            </a:spcBef>
            <a:spcAft>
              <a:spcPct val="35000"/>
            </a:spcAft>
          </a:pPr>
          <a:r>
            <a:rPr lang="x-none" sz="900" kern="1200"/>
            <a:t> </a:t>
          </a:r>
          <a:endParaRPr lang="en-US" sz="900" kern="1200"/>
        </a:p>
        <a:p>
          <a:pPr marL="57150" lvl="1" indent="-57150" algn="l" defTabSz="400050">
            <a:lnSpc>
              <a:spcPct val="90000"/>
            </a:lnSpc>
            <a:spcBef>
              <a:spcPct val="0"/>
            </a:spcBef>
            <a:spcAft>
              <a:spcPct val="15000"/>
            </a:spcAft>
            <a:buChar char="••"/>
          </a:pPr>
          <a:r>
            <a:rPr lang="x-none" sz="900" kern="1200"/>
            <a:t>MJUDDM</a:t>
          </a:r>
          <a:endParaRPr lang="en-US" sz="900" kern="1200"/>
        </a:p>
        <a:p>
          <a:pPr marL="57150" lvl="1" indent="-57150" algn="l" defTabSz="400050">
            <a:lnSpc>
              <a:spcPct val="90000"/>
            </a:lnSpc>
            <a:spcBef>
              <a:spcPct val="0"/>
            </a:spcBef>
            <a:spcAft>
              <a:spcPct val="15000"/>
            </a:spcAft>
            <a:buChar char="••"/>
          </a:pPr>
          <a:r>
            <a:rPr lang="x-none" sz="900" kern="1200"/>
            <a:t>MFSS</a:t>
          </a:r>
          <a:endParaRPr lang="en-US" sz="900" kern="1200"/>
        </a:p>
        <a:p>
          <a:pPr marL="57150" lvl="1" indent="-57150" algn="l" defTabSz="400050">
            <a:lnSpc>
              <a:spcPct val="90000"/>
            </a:lnSpc>
            <a:spcBef>
              <a:spcPct val="0"/>
            </a:spcBef>
            <a:spcAft>
              <a:spcPct val="15000"/>
            </a:spcAft>
            <a:buChar char="••"/>
          </a:pPr>
          <a:r>
            <a:rPr lang="x-none" sz="900" kern="1200"/>
            <a:t>MER</a:t>
          </a:r>
          <a:endParaRPr lang="en-US" sz="900" kern="1200"/>
        </a:p>
        <a:p>
          <a:pPr marL="57150" lvl="1" indent="-57150" algn="l" defTabSz="400050">
            <a:lnSpc>
              <a:spcPct val="90000"/>
            </a:lnSpc>
            <a:spcBef>
              <a:spcPct val="0"/>
            </a:spcBef>
            <a:spcAft>
              <a:spcPct val="15000"/>
            </a:spcAft>
            <a:buChar char="••"/>
          </a:pPr>
          <a:r>
            <a:rPr lang="x-none" sz="900" kern="1200"/>
            <a:t>Upravna inspekcija</a:t>
          </a:r>
          <a:endParaRPr lang="en-US" sz="900" kern="1200"/>
        </a:p>
        <a:p>
          <a:pPr marL="57150" lvl="1" indent="-57150" algn="l" defTabSz="400050">
            <a:lnSpc>
              <a:spcPct val="90000"/>
            </a:lnSpc>
            <a:spcBef>
              <a:spcPct val="0"/>
            </a:spcBef>
            <a:spcAft>
              <a:spcPct val="15000"/>
            </a:spcAft>
            <a:buChar char="••"/>
          </a:pPr>
          <a:r>
            <a:rPr lang="x-none" sz="900" kern="1200"/>
            <a:t>Agencija za slobodan pristup informacijama</a:t>
          </a:r>
          <a:endParaRPr lang="en-US" sz="900" kern="1200"/>
        </a:p>
        <a:p>
          <a:pPr marL="57150" lvl="1" indent="-57150" algn="l" defTabSz="400050">
            <a:lnSpc>
              <a:spcPct val="90000"/>
            </a:lnSpc>
            <a:spcBef>
              <a:spcPct val="0"/>
            </a:spcBef>
            <a:spcAft>
              <a:spcPct val="15000"/>
            </a:spcAft>
            <a:buChar char="••"/>
          </a:pPr>
          <a:r>
            <a:rPr lang="x-none" sz="900" kern="1200"/>
            <a:t>Upravni sud</a:t>
          </a:r>
          <a:endParaRPr lang="en-US" sz="900" kern="1200"/>
        </a:p>
        <a:p>
          <a:pPr marL="57150" lvl="1" indent="-57150" algn="l" defTabSz="400050">
            <a:lnSpc>
              <a:spcPct val="90000"/>
            </a:lnSpc>
            <a:spcBef>
              <a:spcPct val="0"/>
            </a:spcBef>
            <a:spcAft>
              <a:spcPct val="15000"/>
            </a:spcAft>
            <a:buChar char="••"/>
          </a:pPr>
          <a:r>
            <a:rPr lang="x-none" sz="900" kern="1200"/>
            <a:t>Zaštitnik imovinsko-pravnih odnosa</a:t>
          </a:r>
          <a:endParaRPr lang="en-US" sz="900" kern="1200"/>
        </a:p>
        <a:p>
          <a:pPr marL="57150" lvl="1" indent="-57150" algn="l" defTabSz="400050">
            <a:lnSpc>
              <a:spcPct val="90000"/>
            </a:lnSpc>
            <a:spcBef>
              <a:spcPct val="0"/>
            </a:spcBef>
            <a:spcAft>
              <a:spcPct val="15000"/>
            </a:spcAft>
            <a:buChar char="••"/>
          </a:pPr>
          <a:r>
            <a:rPr lang="x-none" sz="900" kern="1200"/>
            <a:t>Ombudsman</a:t>
          </a:r>
          <a:endParaRPr lang="en-US" sz="900" kern="1200"/>
        </a:p>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rot="5400000">
        <a:off x="2582" y="807719"/>
        <a:ext cx="1019672" cy="2423160"/>
      </dsp:txXfrm>
    </dsp:sp>
    <dsp:sp modelId="{72EF4295-9955-4B84-84D7-CFEBBFECDA78}">
      <dsp:nvSpPr>
        <dsp:cNvPr id="0" name=""/>
        <dsp:cNvSpPr/>
      </dsp:nvSpPr>
      <dsp:spPr>
        <a:xfrm rot="16200000">
          <a:off x="-410734" y="1509463"/>
          <a:ext cx="4038600" cy="1019672"/>
        </a:xfrm>
        <a:prstGeom prst="flowChartManualOperation">
          <a:avLst/>
        </a:prstGeom>
        <a:solidFill>
          <a:schemeClr val="accent4">
            <a:hueOff val="1882662"/>
            <a:satOff val="-4655"/>
            <a:lumOff val="-24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en-US" sz="1000" kern="1200"/>
            <a:t>Institucije zadužene za objedinjavanje podataka</a:t>
          </a:r>
          <a:r>
            <a:rPr lang="x-none" sz="1000" kern="1200"/>
            <a:t> i pisanje izvještaja</a:t>
          </a:r>
        </a:p>
        <a:p>
          <a:pPr lvl="0" algn="l" defTabSz="444500">
            <a:lnSpc>
              <a:spcPct val="90000"/>
            </a:lnSpc>
            <a:spcBef>
              <a:spcPct val="0"/>
            </a:spcBef>
            <a:spcAft>
              <a:spcPct val="35000"/>
            </a:spcAft>
          </a:pPr>
          <a:endParaRPr lang="x-none" sz="1100" kern="1200"/>
        </a:p>
        <a:p>
          <a:pPr lvl="0" algn="l" defTabSz="444500">
            <a:lnSpc>
              <a:spcPct val="90000"/>
            </a:lnSpc>
            <a:spcBef>
              <a:spcPct val="0"/>
            </a:spcBef>
            <a:spcAft>
              <a:spcPct val="35000"/>
            </a:spcAft>
          </a:pPr>
          <a:endParaRPr lang="en-US" sz="1100" kern="1200"/>
        </a:p>
        <a:p>
          <a:pPr marL="57150" lvl="1" indent="-57150" algn="l" defTabSz="488950">
            <a:lnSpc>
              <a:spcPct val="90000"/>
            </a:lnSpc>
            <a:spcBef>
              <a:spcPct val="0"/>
            </a:spcBef>
            <a:spcAft>
              <a:spcPct val="15000"/>
            </a:spcAft>
            <a:buChar char="••"/>
          </a:pPr>
          <a:r>
            <a:rPr lang="x-none" sz="1100" kern="1200"/>
            <a:t>MJUDDM</a:t>
          </a:r>
          <a:endParaRPr lang="en-US" sz="1100" kern="1200"/>
        </a:p>
      </dsp:txBody>
      <dsp:txXfrm rot="5400000">
        <a:off x="1098730" y="807719"/>
        <a:ext cx="1019672" cy="2423160"/>
      </dsp:txXfrm>
    </dsp:sp>
    <dsp:sp modelId="{7FB708D1-EECF-4B9B-BBA6-2F82314C235A}">
      <dsp:nvSpPr>
        <dsp:cNvPr id="0" name=""/>
        <dsp:cNvSpPr/>
      </dsp:nvSpPr>
      <dsp:spPr>
        <a:xfrm rot="16200000">
          <a:off x="685413" y="1509463"/>
          <a:ext cx="4038600" cy="1019672"/>
        </a:xfrm>
        <a:prstGeom prst="flowChartManualOperation">
          <a:avLst/>
        </a:prstGeom>
        <a:solidFill>
          <a:schemeClr val="accent4">
            <a:hueOff val="3765325"/>
            <a:satOff val="-9310"/>
            <a:lumOff val="-494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x-none" sz="1000" kern="1200"/>
            <a:t>Tijelo zaduženo za razmatranje izvještaja</a:t>
          </a:r>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en-US" sz="1000" kern="1200"/>
        </a:p>
        <a:p>
          <a:pPr marL="57150" lvl="1" indent="-57150" algn="l" defTabSz="444500">
            <a:lnSpc>
              <a:spcPct val="90000"/>
            </a:lnSpc>
            <a:spcBef>
              <a:spcPct val="0"/>
            </a:spcBef>
            <a:spcAft>
              <a:spcPct val="15000"/>
            </a:spcAft>
            <a:buChar char="••"/>
          </a:pPr>
          <a:r>
            <a:rPr lang="x-none" sz="1000" kern="1200"/>
            <a:t>Savjet RJU</a:t>
          </a:r>
          <a:endParaRPr lang="en-US" sz="1000" kern="1200"/>
        </a:p>
        <a:p>
          <a:pPr marL="57150" lvl="1" indent="-57150" algn="l" defTabSz="444500">
            <a:lnSpc>
              <a:spcPct val="90000"/>
            </a:lnSpc>
            <a:spcBef>
              <a:spcPct val="0"/>
            </a:spcBef>
            <a:spcAft>
              <a:spcPct val="15000"/>
            </a:spcAft>
            <a:buChar char="••"/>
          </a:pPr>
          <a:r>
            <a:rPr lang="x-none" sz="1000" kern="1200"/>
            <a:t>Vlada CG</a:t>
          </a:r>
          <a:endParaRPr lang="en-US" sz="1000" kern="1200"/>
        </a:p>
        <a:p>
          <a:pPr marL="57150" lvl="1" indent="-57150" algn="l" defTabSz="444500">
            <a:lnSpc>
              <a:spcPct val="90000"/>
            </a:lnSpc>
            <a:spcBef>
              <a:spcPct val="0"/>
            </a:spcBef>
            <a:spcAft>
              <a:spcPct val="15000"/>
            </a:spcAft>
            <a:buChar char="••"/>
          </a:pPr>
          <a:r>
            <a:rPr lang="x-none" sz="1000" kern="1200"/>
            <a:t>GSV</a:t>
          </a:r>
          <a:endParaRPr lang="en-US" sz="1000" kern="1200"/>
        </a:p>
        <a:p>
          <a:pPr marL="57150" lvl="1" indent="-57150" algn="l" defTabSz="222250">
            <a:lnSpc>
              <a:spcPct val="90000"/>
            </a:lnSpc>
            <a:spcBef>
              <a:spcPct val="0"/>
            </a:spcBef>
            <a:spcAft>
              <a:spcPct val="15000"/>
            </a:spcAft>
            <a:buChar char="••"/>
          </a:pPr>
          <a:endParaRPr lang="en-US" sz="500" kern="1200"/>
        </a:p>
      </dsp:txBody>
      <dsp:txXfrm rot="5400000">
        <a:off x="2194877" y="807719"/>
        <a:ext cx="1019672" cy="2423160"/>
      </dsp:txXfrm>
    </dsp:sp>
    <dsp:sp modelId="{23B8DF21-9C9C-4549-85EE-E0D258A6F231}">
      <dsp:nvSpPr>
        <dsp:cNvPr id="0" name=""/>
        <dsp:cNvSpPr/>
      </dsp:nvSpPr>
      <dsp:spPr>
        <a:xfrm rot="16200000">
          <a:off x="1781561" y="1509463"/>
          <a:ext cx="4038600" cy="1019672"/>
        </a:xfrm>
        <a:prstGeom prst="flowChartManualOperation">
          <a:avLst/>
        </a:prstGeom>
        <a:solidFill>
          <a:schemeClr val="accent4">
            <a:hueOff val="5647988"/>
            <a:satOff val="-13966"/>
            <a:lumOff val="-741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x-none" sz="1000" kern="1200"/>
            <a:t>Dinamika izvještavanja</a:t>
          </a:r>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r>
            <a:rPr lang="x-none" sz="1000" kern="1200"/>
            <a:t>Jednom u dvije godine, u skladu sa postavljenim vremenskim rokovima indikatora</a:t>
          </a:r>
          <a:endParaRPr lang="en-US" sz="1000" kern="1200"/>
        </a:p>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rot="5400000">
        <a:off x="3291025" y="807719"/>
        <a:ext cx="1019672" cy="2423160"/>
      </dsp:txXfrm>
    </dsp:sp>
    <dsp:sp modelId="{53618CBF-0FAD-4FB8-9D4E-68364A07C895}">
      <dsp:nvSpPr>
        <dsp:cNvPr id="0" name=""/>
        <dsp:cNvSpPr/>
      </dsp:nvSpPr>
      <dsp:spPr>
        <a:xfrm rot="16200000">
          <a:off x="2877709" y="1509463"/>
          <a:ext cx="4038600" cy="1019672"/>
        </a:xfrm>
        <a:prstGeom prst="flowChartManualOperation">
          <a:avLst/>
        </a:prstGeom>
        <a:solidFill>
          <a:schemeClr val="accent4">
            <a:hueOff val="7530650"/>
            <a:satOff val="-18621"/>
            <a:lumOff val="-988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x-none" sz="1000" kern="1200"/>
            <a:t>Izrada završnog izvještaja o sprovođenju strategije</a:t>
          </a:r>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en-US" sz="1000" kern="1200"/>
        </a:p>
        <a:p>
          <a:pPr marL="57150" lvl="1" indent="-57150" algn="l" defTabSz="444500">
            <a:lnSpc>
              <a:spcPct val="90000"/>
            </a:lnSpc>
            <a:spcBef>
              <a:spcPct val="0"/>
            </a:spcBef>
            <a:spcAft>
              <a:spcPct val="15000"/>
            </a:spcAft>
            <a:buChar char="••"/>
          </a:pPr>
          <a:r>
            <a:rPr lang="x-none" sz="1000" kern="1200"/>
            <a:t>MJUDDM</a:t>
          </a:r>
          <a:endParaRPr lang="en-US" sz="1000" kern="1200"/>
        </a:p>
        <a:p>
          <a:pPr marL="57150" lvl="1" indent="-57150" algn="l" defTabSz="222250">
            <a:lnSpc>
              <a:spcPct val="90000"/>
            </a:lnSpc>
            <a:spcBef>
              <a:spcPct val="0"/>
            </a:spcBef>
            <a:spcAft>
              <a:spcPct val="15000"/>
            </a:spcAft>
            <a:buChar char="••"/>
          </a:pPr>
          <a:endParaRPr lang="en-US" sz="500" kern="1200"/>
        </a:p>
        <a:p>
          <a:pPr marL="57150" lvl="1" indent="-57150" algn="l" defTabSz="222250">
            <a:lnSpc>
              <a:spcPct val="90000"/>
            </a:lnSpc>
            <a:spcBef>
              <a:spcPct val="0"/>
            </a:spcBef>
            <a:spcAft>
              <a:spcPct val="15000"/>
            </a:spcAft>
            <a:buChar char="••"/>
          </a:pPr>
          <a:endParaRPr lang="en-US" sz="500" kern="1200"/>
        </a:p>
      </dsp:txBody>
      <dsp:txXfrm rot="5400000">
        <a:off x="4387173" y="807719"/>
        <a:ext cx="1019672" cy="2423160"/>
      </dsp:txXfrm>
    </dsp:sp>
    <dsp:sp modelId="{FC880364-AA15-4185-879E-7C52614F0155}">
      <dsp:nvSpPr>
        <dsp:cNvPr id="0" name=""/>
        <dsp:cNvSpPr/>
      </dsp:nvSpPr>
      <dsp:spPr>
        <a:xfrm rot="16200000">
          <a:off x="3973857" y="1509463"/>
          <a:ext cx="4038600" cy="1019672"/>
        </a:xfrm>
        <a:prstGeom prst="flowChartManualOperation">
          <a:avLst/>
        </a:prstGeom>
        <a:solidFill>
          <a:schemeClr val="accent4">
            <a:hueOff val="9413312"/>
            <a:satOff val="-23276"/>
            <a:lumOff val="-1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x-none" sz="1000" kern="1200"/>
            <a:t>Dostupnost izvještaja</a:t>
          </a:r>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endParaRPr lang="x-none" sz="1000" kern="1200"/>
        </a:p>
        <a:p>
          <a:pPr lvl="0" algn="l" defTabSz="444500">
            <a:lnSpc>
              <a:spcPct val="90000"/>
            </a:lnSpc>
            <a:spcBef>
              <a:spcPct val="0"/>
            </a:spcBef>
            <a:spcAft>
              <a:spcPct val="35000"/>
            </a:spcAft>
          </a:pPr>
          <a:r>
            <a:rPr lang="x-none" sz="1000" kern="1200"/>
            <a:t>Na web-stranici MJUDDM</a:t>
          </a:r>
        </a:p>
        <a:p>
          <a:pPr lvl="0" algn="l" defTabSz="444500">
            <a:lnSpc>
              <a:spcPct val="90000"/>
            </a:lnSpc>
            <a:spcBef>
              <a:spcPct val="0"/>
            </a:spcBef>
            <a:spcAft>
              <a:spcPct val="35000"/>
            </a:spcAft>
          </a:pPr>
          <a:r>
            <a:rPr lang="en-US" sz="1000" kern="1200"/>
            <a:t>https://www.gov.me/mju</a:t>
          </a:r>
          <a:endParaRPr lang="x-none" sz="1000" kern="1200"/>
        </a:p>
        <a:p>
          <a:pPr marL="57150" lvl="1" indent="-57150" algn="l" defTabSz="444500">
            <a:lnSpc>
              <a:spcPct val="90000"/>
            </a:lnSpc>
            <a:spcBef>
              <a:spcPct val="0"/>
            </a:spcBef>
            <a:spcAft>
              <a:spcPct val="15000"/>
            </a:spcAft>
            <a:buChar char="••"/>
          </a:pPr>
          <a:endParaRPr lang="en-US" sz="1000" kern="1200"/>
        </a:p>
      </dsp:txBody>
      <dsp:txXfrm rot="5400000">
        <a:off x="5483321" y="807719"/>
        <a:ext cx="1019672" cy="24231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51BA67-5572-447C-BE3B-871EBBCA3322}">
      <dsp:nvSpPr>
        <dsp:cNvPr id="0" name=""/>
        <dsp:cNvSpPr/>
      </dsp:nvSpPr>
      <dsp:spPr>
        <a:xfrm>
          <a:off x="4304" y="50294"/>
          <a:ext cx="1137886" cy="536265"/>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b="1" kern="1200">
              <a:latin typeface="+mj-lt"/>
              <a:ea typeface="+mn-ea"/>
              <a:cs typeface="+mn-cs"/>
            </a:rPr>
            <a:t>Višegodišnji finansijski okvir EU 2021-2027</a:t>
          </a:r>
          <a:r>
            <a:rPr lang="sr-Latn-RS" sz="900" b="1" kern="1200">
              <a:latin typeface="+mj-lt"/>
              <a:ea typeface="+mn-ea"/>
              <a:cs typeface="+mn-cs"/>
            </a:rPr>
            <a:t>.</a:t>
          </a:r>
          <a:endParaRPr lang="en-US" sz="900" b="1" kern="1200">
            <a:latin typeface="+mj-lt"/>
          </a:endParaRPr>
        </a:p>
      </dsp:txBody>
      <dsp:txXfrm>
        <a:off x="30482" y="76472"/>
        <a:ext cx="1085530" cy="483909"/>
      </dsp:txXfrm>
    </dsp:sp>
    <dsp:sp modelId="{0BB7604B-8A30-4125-879C-FEE7AF72CFAC}">
      <dsp:nvSpPr>
        <dsp:cNvPr id="0" name=""/>
        <dsp:cNvSpPr/>
      </dsp:nvSpPr>
      <dsp:spPr>
        <a:xfrm rot="5400000">
          <a:off x="549371" y="609420"/>
          <a:ext cx="47751" cy="49782"/>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AA5E7B-0AE8-40E4-BC85-EF88E225D0DB}">
      <dsp:nvSpPr>
        <dsp:cNvPr id="0" name=""/>
        <dsp:cNvSpPr/>
      </dsp:nvSpPr>
      <dsp:spPr>
        <a:xfrm>
          <a:off x="4304" y="682062"/>
          <a:ext cx="1137886" cy="284471"/>
        </a:xfrm>
        <a:prstGeom prst="roundRect">
          <a:avLst>
            <a:gd name="adj" fmla="val 1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kern="1200">
              <a:latin typeface="+mj-lt"/>
              <a:ea typeface="+mn-ea"/>
              <a:cs typeface="+mn-cs"/>
            </a:rPr>
            <a:t>dodati ciljeve</a:t>
          </a:r>
          <a:endParaRPr lang="en-US" sz="900" kern="1200">
            <a:latin typeface="+mj-lt"/>
            <a:ea typeface="+mn-ea"/>
            <a:cs typeface="+mn-cs"/>
          </a:endParaRPr>
        </a:p>
      </dsp:txBody>
      <dsp:txXfrm>
        <a:off x="12636" y="690394"/>
        <a:ext cx="1121222" cy="267807"/>
      </dsp:txXfrm>
    </dsp:sp>
    <dsp:sp modelId="{1456ED9F-AC9D-4D36-ADEA-15279AD22766}">
      <dsp:nvSpPr>
        <dsp:cNvPr id="0" name=""/>
        <dsp:cNvSpPr/>
      </dsp:nvSpPr>
      <dsp:spPr>
        <a:xfrm>
          <a:off x="1301494" y="46231"/>
          <a:ext cx="1137886" cy="513627"/>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b="1" kern="1200">
              <a:latin typeface="+mj-lt"/>
              <a:ea typeface="+mn-ea"/>
              <a:cs typeface="+mn-cs"/>
            </a:rPr>
            <a:t>IPA III</a:t>
          </a:r>
          <a:endParaRPr lang="en-US" sz="900" b="1" kern="1200">
            <a:latin typeface="+mj-lt"/>
            <a:ea typeface="+mn-ea"/>
            <a:cs typeface="+mn-cs"/>
          </a:endParaRPr>
        </a:p>
      </dsp:txBody>
      <dsp:txXfrm>
        <a:off x="1316538" y="61275"/>
        <a:ext cx="1107798" cy="483539"/>
      </dsp:txXfrm>
    </dsp:sp>
    <dsp:sp modelId="{859DF52D-409F-48E0-BD34-7518B0AF15AC}">
      <dsp:nvSpPr>
        <dsp:cNvPr id="0" name=""/>
        <dsp:cNvSpPr/>
      </dsp:nvSpPr>
      <dsp:spPr>
        <a:xfrm rot="5400000">
          <a:off x="1845546" y="584750"/>
          <a:ext cx="49782" cy="49782"/>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965D2D-E2BE-4C63-8A73-13734E7BFBB7}">
      <dsp:nvSpPr>
        <dsp:cNvPr id="0" name=""/>
        <dsp:cNvSpPr/>
      </dsp:nvSpPr>
      <dsp:spPr>
        <a:xfrm>
          <a:off x="1301494" y="659424"/>
          <a:ext cx="1137886" cy="284471"/>
        </a:xfrm>
        <a:prstGeom prst="roundRect">
          <a:avLst>
            <a:gd name="adj" fmla="val 10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US" sz="900" kern="1200">
            <a:solidFill>
              <a:srgbClr val="000000">
                <a:hueOff val="0"/>
                <a:satOff val="0"/>
                <a:lumOff val="0"/>
                <a:alphaOff val="0"/>
              </a:srgbClr>
            </a:solidFill>
            <a:latin typeface="+mj-lt"/>
            <a:ea typeface="+mn-ea"/>
            <a:cs typeface="+mn-cs"/>
          </a:endParaRPr>
        </a:p>
      </dsp:txBody>
      <dsp:txXfrm>
        <a:off x="1309826" y="667756"/>
        <a:ext cx="1121222" cy="267807"/>
      </dsp:txXfrm>
    </dsp:sp>
    <dsp:sp modelId="{35AEF3B7-7775-42AD-A875-DFB70A4C6488}">
      <dsp:nvSpPr>
        <dsp:cNvPr id="0" name=""/>
        <dsp:cNvSpPr/>
      </dsp:nvSpPr>
      <dsp:spPr>
        <a:xfrm rot="5400000">
          <a:off x="1845546" y="968787"/>
          <a:ext cx="49782" cy="49782"/>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809AE20-89DD-4184-96E2-8D4701833664}">
      <dsp:nvSpPr>
        <dsp:cNvPr id="0" name=""/>
        <dsp:cNvSpPr/>
      </dsp:nvSpPr>
      <dsp:spPr>
        <a:xfrm>
          <a:off x="1301494" y="1043461"/>
          <a:ext cx="1137886" cy="284471"/>
        </a:xfrm>
        <a:prstGeom prst="roundRect">
          <a:avLst>
            <a:gd name="adj" fmla="val 10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US" sz="900" kern="1200">
            <a:solidFill>
              <a:srgbClr val="000000">
                <a:hueOff val="0"/>
                <a:satOff val="0"/>
                <a:lumOff val="0"/>
                <a:alphaOff val="0"/>
              </a:srgbClr>
            </a:solidFill>
            <a:latin typeface="+mj-lt"/>
            <a:ea typeface="+mn-ea"/>
            <a:cs typeface="+mn-cs"/>
          </a:endParaRPr>
        </a:p>
      </dsp:txBody>
      <dsp:txXfrm>
        <a:off x="1309826" y="1051793"/>
        <a:ext cx="1121222" cy="267807"/>
      </dsp:txXfrm>
    </dsp:sp>
    <dsp:sp modelId="{A7DA326E-7EDE-41A4-A711-4607564FEAF4}">
      <dsp:nvSpPr>
        <dsp:cNvPr id="0" name=""/>
        <dsp:cNvSpPr/>
      </dsp:nvSpPr>
      <dsp:spPr>
        <a:xfrm rot="5400000">
          <a:off x="1845546" y="1352824"/>
          <a:ext cx="49782" cy="49782"/>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1B6518-67E7-43F9-B41F-3C013098A309}">
      <dsp:nvSpPr>
        <dsp:cNvPr id="0" name=""/>
        <dsp:cNvSpPr/>
      </dsp:nvSpPr>
      <dsp:spPr>
        <a:xfrm>
          <a:off x="1301494" y="1427497"/>
          <a:ext cx="1137886" cy="284471"/>
        </a:xfrm>
        <a:prstGeom prst="roundRect">
          <a:avLst>
            <a:gd name="adj" fmla="val 1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endParaRPr lang="en-US" sz="900" kern="1200">
            <a:solidFill>
              <a:srgbClr val="000000">
                <a:hueOff val="0"/>
                <a:satOff val="0"/>
                <a:lumOff val="0"/>
                <a:alphaOff val="0"/>
              </a:srgbClr>
            </a:solidFill>
            <a:latin typeface="+mj-lt"/>
            <a:ea typeface="+mn-ea"/>
            <a:cs typeface="+mn-cs"/>
          </a:endParaRPr>
        </a:p>
      </dsp:txBody>
      <dsp:txXfrm>
        <a:off x="1309826" y="1435829"/>
        <a:ext cx="1121222" cy="267807"/>
      </dsp:txXfrm>
    </dsp:sp>
    <dsp:sp modelId="{E9032454-997A-4DF9-B368-C2C35DE35B53}">
      <dsp:nvSpPr>
        <dsp:cNvPr id="0" name=""/>
        <dsp:cNvSpPr/>
      </dsp:nvSpPr>
      <dsp:spPr>
        <a:xfrm rot="5400000">
          <a:off x="1845546" y="1736860"/>
          <a:ext cx="49782" cy="49782"/>
        </a:xfrm>
        <a:prstGeom prst="rightArrow">
          <a:avLst>
            <a:gd name="adj1" fmla="val 667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564CB94-27E1-49BE-9906-D7AD59557434}">
      <dsp:nvSpPr>
        <dsp:cNvPr id="0" name=""/>
        <dsp:cNvSpPr/>
      </dsp:nvSpPr>
      <dsp:spPr>
        <a:xfrm>
          <a:off x="1301494" y="1811534"/>
          <a:ext cx="1137886" cy="284471"/>
        </a:xfrm>
        <a:prstGeom prst="roundRect">
          <a:avLst>
            <a:gd name="adj" fmla="val 10000"/>
          </a:avLst>
        </a:prstGeom>
        <a:solidFill>
          <a:schemeClr val="accent6">
            <a:tint val="40000"/>
            <a:alpha val="90000"/>
            <a:hueOff val="0"/>
            <a:satOff val="0"/>
            <a:lumOff val="0"/>
            <a:alphaOff val="0"/>
          </a:schemeClr>
        </a:solidFill>
        <a:ln w="25400" cap="flat" cmpd="sng" algn="ctr">
          <a:solidFill>
            <a:schemeClr val="accent6">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kern="1200">
              <a:latin typeface="+mj-lt"/>
              <a:ea typeface="+mn-ea"/>
              <a:cs typeface="+mn-cs"/>
            </a:rPr>
            <a:t>dodati ciljeve</a:t>
          </a:r>
          <a:endParaRPr lang="en-US" sz="900" kern="1200">
            <a:latin typeface="+mj-lt"/>
            <a:ea typeface="+mn-ea"/>
            <a:cs typeface="+mn-cs"/>
          </a:endParaRPr>
        </a:p>
      </dsp:txBody>
      <dsp:txXfrm>
        <a:off x="1309826" y="1819866"/>
        <a:ext cx="1121222" cy="267807"/>
      </dsp:txXfrm>
    </dsp:sp>
    <dsp:sp modelId="{71B261FC-17FA-400A-A984-B375B5C6183E}">
      <dsp:nvSpPr>
        <dsp:cNvPr id="0" name=""/>
        <dsp:cNvSpPr/>
      </dsp:nvSpPr>
      <dsp:spPr>
        <a:xfrm>
          <a:off x="2598685" y="46231"/>
          <a:ext cx="1137886" cy="555314"/>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b="1" kern="1200">
              <a:latin typeface="+mj-lt"/>
              <a:ea typeface="+mn-ea"/>
              <a:cs typeface="+mn-cs"/>
            </a:rPr>
            <a:t>Program slovenskog predsjedništva EU</a:t>
          </a:r>
          <a:endParaRPr lang="en-US" sz="900" b="1" kern="1200">
            <a:latin typeface="+mj-lt"/>
            <a:ea typeface="+mn-ea"/>
            <a:cs typeface="+mn-cs"/>
          </a:endParaRPr>
        </a:p>
      </dsp:txBody>
      <dsp:txXfrm>
        <a:off x="2614950" y="62496"/>
        <a:ext cx="1105356" cy="522784"/>
      </dsp:txXfrm>
    </dsp:sp>
    <dsp:sp modelId="{EF758D17-7FC7-4565-91FF-7B53DF76B927}">
      <dsp:nvSpPr>
        <dsp:cNvPr id="0" name=""/>
        <dsp:cNvSpPr/>
      </dsp:nvSpPr>
      <dsp:spPr>
        <a:xfrm rot="5400000">
          <a:off x="3142737" y="626437"/>
          <a:ext cx="49782" cy="49782"/>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DA8DDD-9958-4C97-B7EB-52A843CB5F9D}">
      <dsp:nvSpPr>
        <dsp:cNvPr id="0" name=""/>
        <dsp:cNvSpPr/>
      </dsp:nvSpPr>
      <dsp:spPr>
        <a:xfrm>
          <a:off x="2598685" y="701110"/>
          <a:ext cx="1137886" cy="789030"/>
        </a:xfrm>
        <a:prstGeom prst="roundRect">
          <a:avLst>
            <a:gd name="adj" fmla="val 1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kern="1200">
              <a:latin typeface="+mj-lt"/>
              <a:ea typeface="+mn-ea"/>
              <a:cs typeface="+mn-cs"/>
            </a:rPr>
            <a:t> </a:t>
          </a:r>
          <a:r>
            <a:rPr lang="en-US" sz="900" kern="1200">
              <a:latin typeface="+mj-lt"/>
              <a:ea typeface="+mn-ea"/>
              <a:cs typeface="+mn-cs"/>
            </a:rPr>
            <a:t>Agilna javna uprava, bliža građanima i preduze</a:t>
          </a:r>
          <a:r>
            <a:rPr lang="x-none" sz="900" kern="1200">
              <a:latin typeface="+mj-lt"/>
              <a:ea typeface="+mn-ea"/>
              <a:cs typeface="+mn-cs"/>
            </a:rPr>
            <a:t>ćima, koja je</a:t>
          </a:r>
          <a:r>
            <a:rPr lang="en-US" sz="900" kern="1200">
              <a:latin typeface="+mj-lt"/>
              <a:ea typeface="+mn-ea"/>
              <a:cs typeface="+mn-cs"/>
            </a:rPr>
            <a:t> sposobn</a:t>
          </a:r>
          <a:r>
            <a:rPr lang="x-none" sz="900" kern="1200">
              <a:latin typeface="+mj-lt"/>
              <a:ea typeface="+mn-ea"/>
              <a:cs typeface="+mn-cs"/>
            </a:rPr>
            <a:t>a</a:t>
          </a:r>
          <a:r>
            <a:rPr lang="en-US" sz="900" kern="1200">
              <a:latin typeface="+mj-lt"/>
              <a:ea typeface="+mn-ea"/>
              <a:cs typeface="+mn-cs"/>
            </a:rPr>
            <a:t> da pruža bolje usluge</a:t>
          </a:r>
        </a:p>
      </dsp:txBody>
      <dsp:txXfrm>
        <a:off x="2621795" y="724220"/>
        <a:ext cx="1091666" cy="742810"/>
      </dsp:txXfrm>
    </dsp:sp>
    <dsp:sp modelId="{D8AADE8B-628B-4E4C-A61C-444EC8D4698F}">
      <dsp:nvSpPr>
        <dsp:cNvPr id="0" name=""/>
        <dsp:cNvSpPr/>
      </dsp:nvSpPr>
      <dsp:spPr>
        <a:xfrm rot="5400000">
          <a:off x="3142737" y="1515032"/>
          <a:ext cx="49782" cy="49782"/>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92F9B3-7018-495D-8BD4-2F409AD9FE82}">
      <dsp:nvSpPr>
        <dsp:cNvPr id="0" name=""/>
        <dsp:cNvSpPr/>
      </dsp:nvSpPr>
      <dsp:spPr>
        <a:xfrm>
          <a:off x="2598685" y="1589706"/>
          <a:ext cx="1137886" cy="981236"/>
        </a:xfrm>
        <a:prstGeom prst="roundRect">
          <a:avLst>
            <a:gd name="adj" fmla="val 10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kern="1200">
              <a:latin typeface="+mj-lt"/>
              <a:ea typeface="+mn-ea"/>
              <a:cs typeface="+mn-cs"/>
            </a:rPr>
            <a:t> P</a:t>
          </a:r>
          <a:r>
            <a:rPr lang="en-US" sz="900" kern="1200">
              <a:latin typeface="+mj-lt"/>
              <a:ea typeface="+mn-ea"/>
              <a:cs typeface="+mn-cs"/>
            </a:rPr>
            <a:t>rim</a:t>
          </a:r>
          <a:r>
            <a:rPr lang="x-none" sz="900" kern="1200">
              <a:latin typeface="+mj-lt"/>
              <a:ea typeface="+mn-ea"/>
              <a:cs typeface="+mn-cs"/>
            </a:rPr>
            <a:t>j</a:t>
          </a:r>
          <a:r>
            <a:rPr lang="en-US" sz="900" kern="1200">
              <a:latin typeface="+mj-lt"/>
              <a:ea typeface="+mn-ea"/>
              <a:cs typeface="+mn-cs"/>
            </a:rPr>
            <a:t>enu najboljih digitalnih praksi, u cilju modernizacije</a:t>
          </a:r>
          <a:r>
            <a:rPr lang="x-none" sz="900" kern="1200">
              <a:latin typeface="+mj-lt"/>
              <a:ea typeface="+mn-ea"/>
              <a:cs typeface="+mn-cs"/>
            </a:rPr>
            <a:t> </a:t>
          </a:r>
          <a:r>
            <a:rPr lang="en-US" sz="900" kern="1200">
              <a:latin typeface="+mj-lt"/>
              <a:ea typeface="+mn-ea"/>
              <a:cs typeface="+mn-cs"/>
            </a:rPr>
            <a:t>javna uprava, uključujući i upotrebu</a:t>
          </a:r>
          <a:r>
            <a:rPr lang="x-none" sz="900" kern="1200">
              <a:latin typeface="+mj-lt"/>
              <a:ea typeface="+mn-ea"/>
              <a:cs typeface="+mn-cs"/>
            </a:rPr>
            <a:t> vještačke inteligencije</a:t>
          </a:r>
          <a:endParaRPr lang="en-US" sz="900" kern="1200">
            <a:latin typeface="+mj-lt"/>
            <a:ea typeface="+mn-ea"/>
            <a:cs typeface="+mn-cs"/>
          </a:endParaRPr>
        </a:p>
      </dsp:txBody>
      <dsp:txXfrm>
        <a:off x="2627424" y="1618445"/>
        <a:ext cx="1080408" cy="923758"/>
      </dsp:txXfrm>
    </dsp:sp>
    <dsp:sp modelId="{CA50A3A3-B2FA-46A3-896C-5380018DD871}">
      <dsp:nvSpPr>
        <dsp:cNvPr id="0" name=""/>
        <dsp:cNvSpPr/>
      </dsp:nvSpPr>
      <dsp:spPr>
        <a:xfrm rot="5400000">
          <a:off x="3142737" y="2595834"/>
          <a:ext cx="49782" cy="49782"/>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6F48A19-D29F-4B7F-BBCF-5DE4254C3CAC}">
      <dsp:nvSpPr>
        <dsp:cNvPr id="0" name=""/>
        <dsp:cNvSpPr/>
      </dsp:nvSpPr>
      <dsp:spPr>
        <a:xfrm>
          <a:off x="2598685" y="2670507"/>
          <a:ext cx="1137886" cy="878835"/>
        </a:xfrm>
        <a:prstGeom prst="roundRect">
          <a:avLst>
            <a:gd name="adj" fmla="val 10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kern="1200">
              <a:latin typeface="+mj-lt"/>
              <a:ea typeface="+mn-ea"/>
              <a:cs typeface="+mn-cs"/>
            </a:rPr>
            <a:t> M</a:t>
          </a:r>
          <a:r>
            <a:rPr lang="en-US" sz="900" kern="1200">
              <a:latin typeface="+mj-lt"/>
              <a:ea typeface="+mn-ea"/>
              <a:cs typeface="+mn-cs"/>
            </a:rPr>
            <a:t>odernizacij</a:t>
          </a:r>
          <a:r>
            <a:rPr lang="x-none" sz="900" kern="1200">
              <a:latin typeface="+mj-lt"/>
              <a:ea typeface="+mn-ea"/>
              <a:cs typeface="+mn-cs"/>
            </a:rPr>
            <a:t>a </a:t>
          </a:r>
          <a:r>
            <a:rPr lang="en-US" sz="900" kern="1200">
              <a:latin typeface="+mj-lt"/>
              <a:ea typeface="+mn-ea"/>
              <a:cs typeface="+mn-cs"/>
            </a:rPr>
            <a:t>lokalne vlasti, ističući ulogu digitalizacije</a:t>
          </a:r>
          <a:r>
            <a:rPr lang="x-none" sz="900" kern="1200">
              <a:latin typeface="+mj-lt"/>
              <a:ea typeface="+mn-ea"/>
              <a:cs typeface="+mn-cs"/>
            </a:rPr>
            <a:t> </a:t>
          </a:r>
          <a:r>
            <a:rPr lang="en-US" sz="900" kern="1200">
              <a:latin typeface="+mj-lt"/>
              <a:ea typeface="+mn-ea"/>
              <a:cs typeface="+mn-cs"/>
            </a:rPr>
            <a:t>u razvoju „pametnih gradova“.</a:t>
          </a:r>
        </a:p>
      </dsp:txBody>
      <dsp:txXfrm>
        <a:off x="2624425" y="2696247"/>
        <a:ext cx="1086406" cy="827355"/>
      </dsp:txXfrm>
    </dsp:sp>
    <dsp:sp modelId="{96181BB9-70DE-4B78-B737-B92BAFFC2C97}">
      <dsp:nvSpPr>
        <dsp:cNvPr id="0" name=""/>
        <dsp:cNvSpPr/>
      </dsp:nvSpPr>
      <dsp:spPr>
        <a:xfrm>
          <a:off x="3895875" y="46231"/>
          <a:ext cx="1137886" cy="585948"/>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b="1" kern="1200">
              <a:latin typeface="+mj-lt"/>
              <a:ea typeface="+mn-ea"/>
              <a:cs typeface="+mn-cs"/>
            </a:rPr>
            <a:t>Berlinska deklaracija</a:t>
          </a:r>
          <a:endParaRPr lang="en-US" sz="900" b="1" kern="1200">
            <a:latin typeface="+mj-lt"/>
            <a:ea typeface="+mn-ea"/>
            <a:cs typeface="+mn-cs"/>
          </a:endParaRPr>
        </a:p>
      </dsp:txBody>
      <dsp:txXfrm>
        <a:off x="3913037" y="63393"/>
        <a:ext cx="1103562" cy="551624"/>
      </dsp:txXfrm>
    </dsp:sp>
    <dsp:sp modelId="{1642C4D9-51DF-436C-914C-2CD1D3A812CE}">
      <dsp:nvSpPr>
        <dsp:cNvPr id="0" name=""/>
        <dsp:cNvSpPr/>
      </dsp:nvSpPr>
      <dsp:spPr>
        <a:xfrm rot="5400000">
          <a:off x="4439927" y="657071"/>
          <a:ext cx="49782" cy="49782"/>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5B4BB6-0A57-48D1-AC8F-8DB164F00E38}">
      <dsp:nvSpPr>
        <dsp:cNvPr id="0" name=""/>
        <dsp:cNvSpPr/>
      </dsp:nvSpPr>
      <dsp:spPr>
        <a:xfrm>
          <a:off x="3895875" y="731745"/>
          <a:ext cx="1137886" cy="841330"/>
        </a:xfrm>
        <a:prstGeom prst="roundRect">
          <a:avLst>
            <a:gd name="adj" fmla="val 1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mj-lt"/>
              <a:ea typeface="+mn-ea"/>
              <a:cs typeface="+mn-cs"/>
            </a:rPr>
            <a:t>Građani i preduzeća </a:t>
          </a:r>
          <a:r>
            <a:rPr lang="x-none" sz="900" kern="1200">
              <a:latin typeface="+mj-lt"/>
              <a:ea typeface="+mn-ea"/>
              <a:cs typeface="+mn-cs"/>
            </a:rPr>
            <a:t>imaju mogućnost lake </a:t>
          </a:r>
          <a:r>
            <a:rPr lang="en-US" sz="900" kern="1200">
              <a:latin typeface="+mj-lt"/>
              <a:ea typeface="+mn-ea"/>
              <a:cs typeface="+mn-cs"/>
            </a:rPr>
            <a:t>interakcije s javnom upravom u skladu s pristupom digitalne postavk</a:t>
          </a:r>
          <a:r>
            <a:rPr lang="x-none" sz="900" kern="1200">
              <a:latin typeface="+mj-lt"/>
              <a:ea typeface="+mn-ea"/>
              <a:cs typeface="+mn-cs"/>
            </a:rPr>
            <a:t>e</a:t>
          </a:r>
          <a:endParaRPr lang="en-US" sz="900" kern="1200">
            <a:latin typeface="+mj-lt"/>
            <a:ea typeface="+mn-ea"/>
            <a:cs typeface="+mn-cs"/>
          </a:endParaRPr>
        </a:p>
      </dsp:txBody>
      <dsp:txXfrm>
        <a:off x="3920517" y="756387"/>
        <a:ext cx="1088602" cy="792046"/>
      </dsp:txXfrm>
    </dsp:sp>
    <dsp:sp modelId="{EF99B999-173C-4EB3-A272-FBE06EA850D9}">
      <dsp:nvSpPr>
        <dsp:cNvPr id="0" name=""/>
        <dsp:cNvSpPr/>
      </dsp:nvSpPr>
      <dsp:spPr>
        <a:xfrm rot="5400000">
          <a:off x="4439927" y="1597967"/>
          <a:ext cx="49782" cy="49782"/>
        </a:xfrm>
        <a:prstGeom prst="rightArrow">
          <a:avLst>
            <a:gd name="adj1" fmla="val 667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837B13-A031-4C43-9A7C-3D2E3746FC3D}">
      <dsp:nvSpPr>
        <dsp:cNvPr id="0" name=""/>
        <dsp:cNvSpPr/>
      </dsp:nvSpPr>
      <dsp:spPr>
        <a:xfrm>
          <a:off x="3895875" y="1672641"/>
          <a:ext cx="1137886" cy="1101812"/>
        </a:xfrm>
        <a:prstGeom prst="roundRect">
          <a:avLst>
            <a:gd name="adj" fmla="val 10000"/>
          </a:avLst>
        </a:prstGeom>
        <a:solidFill>
          <a:schemeClr val="accent6">
            <a:tint val="40000"/>
            <a:alpha val="90000"/>
            <a:hueOff val="0"/>
            <a:satOff val="0"/>
            <a:lumOff val="0"/>
            <a:alphaOff val="0"/>
          </a:schemeClr>
        </a:solidFill>
        <a:ln w="25400" cap="flat" cmpd="sng" algn="ctr">
          <a:solidFill>
            <a:schemeClr val="accent6">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mj-lt"/>
              <a:ea typeface="+mn-ea"/>
              <a:cs typeface="+mn-cs"/>
            </a:rPr>
            <a:t>Digitalni suverenitet je ključan u osiguravanju sposobnosti građana i javne uprave da donose odluke i djeluju na samoodređen način u digitalnom svijet</a:t>
          </a:r>
          <a:r>
            <a:rPr lang="x-none" sz="900" kern="1200">
              <a:latin typeface="+mj-lt"/>
              <a:ea typeface="+mn-ea"/>
              <a:cs typeface="+mn-cs"/>
            </a:rPr>
            <a:t>u</a:t>
          </a:r>
          <a:endParaRPr lang="en-US" sz="900" kern="1200">
            <a:latin typeface="+mj-lt"/>
            <a:ea typeface="+mn-ea"/>
            <a:cs typeface="+mn-cs"/>
          </a:endParaRPr>
        </a:p>
      </dsp:txBody>
      <dsp:txXfrm>
        <a:off x="3928146" y="1704912"/>
        <a:ext cx="1073344" cy="1037270"/>
      </dsp:txXfrm>
    </dsp:sp>
    <dsp:sp modelId="{A80B5965-517F-42E0-96C4-7EEA4CC63C86}">
      <dsp:nvSpPr>
        <dsp:cNvPr id="0" name=""/>
        <dsp:cNvSpPr/>
      </dsp:nvSpPr>
      <dsp:spPr>
        <a:xfrm rot="5400000">
          <a:off x="4439927" y="2799344"/>
          <a:ext cx="49782" cy="49782"/>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F77D1A-C6A3-43EC-B787-BA9C31EE2ED4}">
      <dsp:nvSpPr>
        <dsp:cNvPr id="0" name=""/>
        <dsp:cNvSpPr/>
      </dsp:nvSpPr>
      <dsp:spPr>
        <a:xfrm>
          <a:off x="3895875" y="2874018"/>
          <a:ext cx="1137886" cy="762454"/>
        </a:xfrm>
        <a:prstGeom prst="roundRect">
          <a:avLst>
            <a:gd name="adj" fmla="val 1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kern="1200">
              <a:latin typeface="+mj-lt"/>
              <a:ea typeface="+mn-ea"/>
              <a:cs typeface="+mn-cs"/>
            </a:rPr>
            <a:t>I</a:t>
          </a:r>
          <a:r>
            <a:rPr lang="en-US" sz="900" kern="1200">
              <a:latin typeface="+mj-lt"/>
              <a:ea typeface="+mn-ea"/>
              <a:cs typeface="+mn-cs"/>
            </a:rPr>
            <a:t>straž</a:t>
          </a:r>
          <a:r>
            <a:rPr lang="x-none" sz="900" kern="1200">
              <a:latin typeface="+mj-lt"/>
              <a:ea typeface="+mn-ea"/>
              <a:cs typeface="+mn-cs"/>
            </a:rPr>
            <a:t>iti</a:t>
          </a:r>
          <a:r>
            <a:rPr lang="en-US" sz="900" kern="1200">
              <a:latin typeface="+mj-lt"/>
              <a:ea typeface="+mn-ea"/>
              <a:cs typeface="+mn-cs"/>
            </a:rPr>
            <a:t> upotrebu digitalnih alata u oblikovanju političkog diskursa o digitalnoj transformaciji</a:t>
          </a:r>
        </a:p>
      </dsp:txBody>
      <dsp:txXfrm>
        <a:off x="3918207" y="2896350"/>
        <a:ext cx="1093222" cy="717790"/>
      </dsp:txXfrm>
    </dsp:sp>
    <dsp:sp modelId="{F05CA744-5B76-4A3A-8CF2-959FF7BFCE1E}">
      <dsp:nvSpPr>
        <dsp:cNvPr id="0" name=""/>
        <dsp:cNvSpPr/>
      </dsp:nvSpPr>
      <dsp:spPr>
        <a:xfrm rot="5400000">
          <a:off x="4439927" y="3661365"/>
          <a:ext cx="49782" cy="49782"/>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58E8B1-96B8-4417-977F-A14C01AE7213}">
      <dsp:nvSpPr>
        <dsp:cNvPr id="0" name=""/>
        <dsp:cNvSpPr/>
      </dsp:nvSpPr>
      <dsp:spPr>
        <a:xfrm>
          <a:off x="3895875" y="3736038"/>
          <a:ext cx="1137886" cy="1426758"/>
        </a:xfrm>
        <a:prstGeom prst="roundRect">
          <a:avLst>
            <a:gd name="adj" fmla="val 10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latin typeface="+mj-lt"/>
              <a:ea typeface="+mn-ea"/>
              <a:cs typeface="+mn-cs"/>
            </a:rPr>
            <a:t>Stimulisati razm</a:t>
          </a:r>
          <a:r>
            <a:rPr lang="x-none" sz="900" kern="1200">
              <a:latin typeface="+mj-lt"/>
              <a:ea typeface="+mn-ea"/>
              <a:cs typeface="+mn-cs"/>
            </a:rPr>
            <a:t>j</a:t>
          </a:r>
          <a:r>
            <a:rPr lang="en-US" sz="900" kern="1200">
              <a:latin typeface="+mj-lt"/>
              <a:ea typeface="+mn-ea"/>
              <a:cs typeface="+mn-cs"/>
            </a:rPr>
            <a:t>enu znanja među praktičarima strategija administrativnih inovacija i na prim</a:t>
          </a:r>
          <a:r>
            <a:rPr lang="x-none" sz="900" kern="1200">
              <a:latin typeface="+mj-lt"/>
              <a:ea typeface="+mn-ea"/>
              <a:cs typeface="+mn-cs"/>
            </a:rPr>
            <a:t>j</a:t>
          </a:r>
          <a:r>
            <a:rPr lang="en-US" sz="900" kern="1200">
              <a:latin typeface="+mj-lt"/>
              <a:ea typeface="+mn-ea"/>
              <a:cs typeface="+mn-cs"/>
            </a:rPr>
            <a:t>erima tehnologija usm</a:t>
          </a:r>
          <a:r>
            <a:rPr lang="x-none" sz="900" kern="1200">
              <a:latin typeface="+mj-lt"/>
              <a:ea typeface="+mn-ea"/>
              <a:cs typeface="+mn-cs"/>
            </a:rPr>
            <a:t>j</a:t>
          </a:r>
          <a:r>
            <a:rPr lang="en-US" sz="900" kern="1200">
              <a:latin typeface="+mj-lt"/>
              <a:ea typeface="+mn-ea"/>
              <a:cs typeface="+mn-cs"/>
            </a:rPr>
            <a:t>erenih na čoveka u javnim upravama</a:t>
          </a:r>
        </a:p>
      </dsp:txBody>
      <dsp:txXfrm>
        <a:off x="3929203" y="3769366"/>
        <a:ext cx="1071230" cy="1360102"/>
      </dsp:txXfrm>
    </dsp:sp>
    <dsp:sp modelId="{B0A870D9-895F-432D-8181-54D1E5C48DB6}">
      <dsp:nvSpPr>
        <dsp:cNvPr id="0" name=""/>
        <dsp:cNvSpPr/>
      </dsp:nvSpPr>
      <dsp:spPr>
        <a:xfrm>
          <a:off x="5193066" y="46231"/>
          <a:ext cx="1152223" cy="613067"/>
        </a:xfrm>
        <a:prstGeom prst="roundRect">
          <a:avLst/>
        </a:prstGeom>
        <a:solidFill>
          <a:srgbClr val="7373F9"/>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b="1" kern="1200">
              <a:solidFill>
                <a:srgbClr val="FFFFFF"/>
              </a:solidFill>
              <a:latin typeface="+mj-lt"/>
              <a:ea typeface="+mn-ea"/>
              <a:cs typeface="+mn-cs"/>
            </a:rPr>
            <a:t>Program rada Vlade</a:t>
          </a:r>
          <a:endParaRPr lang="en-US" sz="900" b="1" kern="1200">
            <a:latin typeface="+mj-lt"/>
            <a:ea typeface="+mn-ea"/>
            <a:cs typeface="+mn-cs"/>
          </a:endParaRPr>
        </a:p>
      </dsp:txBody>
      <dsp:txXfrm>
        <a:off x="5222993" y="76158"/>
        <a:ext cx="1092369" cy="553213"/>
      </dsp:txXfrm>
    </dsp:sp>
    <dsp:sp modelId="{419F3956-9D74-443E-B995-7091F720A143}">
      <dsp:nvSpPr>
        <dsp:cNvPr id="0" name=""/>
        <dsp:cNvSpPr/>
      </dsp:nvSpPr>
      <dsp:spPr>
        <a:xfrm rot="5400000">
          <a:off x="5744286" y="684190"/>
          <a:ext cx="49782" cy="49782"/>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75CD7DC-A65A-4909-B39C-40C87E8A12FC}">
      <dsp:nvSpPr>
        <dsp:cNvPr id="0" name=""/>
        <dsp:cNvSpPr/>
      </dsp:nvSpPr>
      <dsp:spPr>
        <a:xfrm>
          <a:off x="5200234" y="758864"/>
          <a:ext cx="1137886" cy="871012"/>
        </a:xfrm>
        <a:prstGeom prst="roundRect">
          <a:avLst>
            <a:gd name="adj" fmla="val 10000"/>
          </a:avLst>
        </a:prstGeom>
        <a:solidFill>
          <a:srgbClr val="B4936D">
            <a:tint val="40000"/>
            <a:alpha val="90000"/>
            <a:hueOff val="0"/>
            <a:satOff val="0"/>
            <a:lumOff val="0"/>
            <a:alphaOff val="0"/>
          </a:srgbClr>
        </a:solidFill>
        <a:ln w="25400" cap="flat" cmpd="sng" algn="ctr">
          <a:solidFill>
            <a:srgbClr val="B4936D">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Razvoj digitalnog društva, optimizovani procesi, usluge usmjerene na građane</a:t>
          </a:r>
        </a:p>
      </dsp:txBody>
      <dsp:txXfrm>
        <a:off x="5225745" y="784375"/>
        <a:ext cx="1086864" cy="819990"/>
      </dsp:txXfrm>
    </dsp:sp>
    <dsp:sp modelId="{041BDEFC-D7B2-4DCE-8BDC-3B1C9F748599}">
      <dsp:nvSpPr>
        <dsp:cNvPr id="0" name=""/>
        <dsp:cNvSpPr/>
      </dsp:nvSpPr>
      <dsp:spPr>
        <a:xfrm rot="5400000">
          <a:off x="5744286" y="1654767"/>
          <a:ext cx="49782" cy="49782"/>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FCE4173-AE15-4BD6-9C69-39BCEF452747}">
      <dsp:nvSpPr>
        <dsp:cNvPr id="0" name=""/>
        <dsp:cNvSpPr/>
      </dsp:nvSpPr>
      <dsp:spPr>
        <a:xfrm>
          <a:off x="5200234" y="1729441"/>
          <a:ext cx="1137886" cy="739136"/>
        </a:xfrm>
        <a:prstGeom prst="roundRect">
          <a:avLst>
            <a:gd name="adj" fmla="val 10000"/>
          </a:avLst>
        </a:prstGeom>
        <a:solidFill>
          <a:srgbClr val="B4936D">
            <a:tint val="40000"/>
            <a:alpha val="90000"/>
            <a:hueOff val="0"/>
            <a:satOff val="0"/>
            <a:lumOff val="0"/>
            <a:alphaOff val="0"/>
          </a:srgbClr>
        </a:solidFill>
        <a:ln w="25400" cap="flat" cmpd="sng" algn="ctr">
          <a:solidFill>
            <a:srgbClr val="B4936D">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Građani i privreda u centru aktivnosti, razvoja usluga i kreiranja javnih politika</a:t>
          </a:r>
        </a:p>
      </dsp:txBody>
      <dsp:txXfrm>
        <a:off x="5221883" y="1751090"/>
        <a:ext cx="1094588" cy="695838"/>
      </dsp:txXfrm>
    </dsp:sp>
    <dsp:sp modelId="{2810469D-A1FD-4C40-B0B7-93640892D1FD}">
      <dsp:nvSpPr>
        <dsp:cNvPr id="0" name=""/>
        <dsp:cNvSpPr/>
      </dsp:nvSpPr>
      <dsp:spPr>
        <a:xfrm rot="5400000">
          <a:off x="5744286" y="2493469"/>
          <a:ext cx="49782" cy="49782"/>
        </a:xfrm>
        <a:prstGeom prst="rightArrow">
          <a:avLst>
            <a:gd name="adj1" fmla="val 667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D1166E1-9AFB-4808-A4A8-1A6930A78234}">
      <dsp:nvSpPr>
        <dsp:cNvPr id="0" name=""/>
        <dsp:cNvSpPr/>
      </dsp:nvSpPr>
      <dsp:spPr>
        <a:xfrm>
          <a:off x="5200234" y="2568143"/>
          <a:ext cx="1137886" cy="734306"/>
        </a:xfrm>
        <a:prstGeom prst="roundRect">
          <a:avLst>
            <a:gd name="adj" fmla="val 10000"/>
          </a:avLst>
        </a:prstGeom>
        <a:solidFill>
          <a:srgbClr val="B4936D">
            <a:tint val="40000"/>
            <a:alpha val="90000"/>
            <a:hueOff val="0"/>
            <a:satOff val="0"/>
            <a:lumOff val="0"/>
            <a:alphaOff val="0"/>
          </a:srgbClr>
        </a:solidFill>
        <a:ln w="25400" cap="flat" cmpd="sng" algn="ctr">
          <a:solidFill>
            <a:srgbClr val="B4936D">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Poboljšanje pravnih okvira i infrastrukture, stvaranje moderne e-uprave</a:t>
          </a:r>
        </a:p>
      </dsp:txBody>
      <dsp:txXfrm>
        <a:off x="5221741" y="2589650"/>
        <a:ext cx="1094872" cy="691292"/>
      </dsp:txXfrm>
    </dsp:sp>
    <dsp:sp modelId="{D150E916-E5F5-4762-B846-A0A4C422A671}">
      <dsp:nvSpPr>
        <dsp:cNvPr id="0" name=""/>
        <dsp:cNvSpPr/>
      </dsp:nvSpPr>
      <dsp:spPr>
        <a:xfrm>
          <a:off x="6504593" y="46231"/>
          <a:ext cx="1137886" cy="613061"/>
        </a:xfrm>
        <a:prstGeom prst="roundRect">
          <a:avLst>
            <a:gd name="adj" fmla="val 10000"/>
          </a:avLst>
        </a:prstGeom>
        <a:solidFill>
          <a:srgbClr val="3ACA8C"/>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b="1" kern="1200">
              <a:solidFill>
                <a:srgbClr val="FFFFFF"/>
              </a:solidFill>
              <a:latin typeface="+mj-lt"/>
              <a:ea typeface="+mn-ea"/>
              <a:cs typeface="+mn-cs"/>
            </a:rPr>
            <a:t>Pravci razvoja </a:t>
          </a:r>
          <a:r>
            <a:rPr lang="en-US" sz="900" b="1" kern="1200">
              <a:solidFill>
                <a:srgbClr val="FFFFFF"/>
              </a:solidFill>
              <a:latin typeface="+mj-lt"/>
              <a:ea typeface="+mn-ea"/>
              <a:cs typeface="+mn-cs"/>
            </a:rPr>
            <a:t>Crne Gore 2018-2021 </a:t>
          </a:r>
          <a:r>
            <a:rPr lang="sr-Latn-RS" sz="900" b="1" kern="1200">
              <a:solidFill>
                <a:srgbClr val="FFFFFF"/>
              </a:solidFill>
              <a:latin typeface="+mj-lt"/>
              <a:ea typeface="+mn-ea"/>
              <a:cs typeface="+mn-cs"/>
            </a:rPr>
            <a:t>.</a:t>
          </a:r>
          <a:endParaRPr lang="en-US" sz="900" b="1" kern="1200">
            <a:solidFill>
              <a:srgbClr val="FFFFFF"/>
            </a:solidFill>
            <a:latin typeface="+mj-lt"/>
            <a:ea typeface="+mn-ea"/>
            <a:cs typeface="+mn-cs"/>
          </a:endParaRPr>
        </a:p>
      </dsp:txBody>
      <dsp:txXfrm>
        <a:off x="6522549" y="64187"/>
        <a:ext cx="1101974" cy="577149"/>
      </dsp:txXfrm>
    </dsp:sp>
    <dsp:sp modelId="{47D9EDAF-310F-4A5D-BFC9-0B6CBEC55EDC}">
      <dsp:nvSpPr>
        <dsp:cNvPr id="0" name=""/>
        <dsp:cNvSpPr/>
      </dsp:nvSpPr>
      <dsp:spPr>
        <a:xfrm rot="5400000">
          <a:off x="7048645" y="684184"/>
          <a:ext cx="49782" cy="49782"/>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65880A9-8F84-405E-B3DC-C1D078D5C2D7}">
      <dsp:nvSpPr>
        <dsp:cNvPr id="0" name=""/>
        <dsp:cNvSpPr/>
      </dsp:nvSpPr>
      <dsp:spPr>
        <a:xfrm>
          <a:off x="6504593" y="758858"/>
          <a:ext cx="1137886" cy="1276597"/>
        </a:xfrm>
        <a:prstGeom prst="roundRect">
          <a:avLst>
            <a:gd name="adj" fmla="val 10000"/>
          </a:avLst>
        </a:prstGeom>
        <a:solidFill>
          <a:srgbClr val="B4936D">
            <a:tint val="40000"/>
            <a:alpha val="90000"/>
            <a:hueOff val="4847172"/>
            <a:satOff val="-9865"/>
            <a:lumOff val="-1461"/>
            <a:alphaOff val="0"/>
          </a:srgbClr>
        </a:solidFill>
        <a:ln w="25400" cap="flat" cmpd="sng" algn="ctr">
          <a:solidFill>
            <a:srgbClr val="B4936D">
              <a:tint val="40000"/>
              <a:alpha val="90000"/>
              <a:hueOff val="4847172"/>
              <a:satOff val="-9865"/>
              <a:lumOff val="-1461"/>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kern="1200">
              <a:solidFill>
                <a:srgbClr val="000000">
                  <a:hueOff val="0"/>
                  <a:satOff val="0"/>
                  <a:lumOff val="0"/>
                  <a:alphaOff val="0"/>
                </a:srgbClr>
              </a:solidFill>
              <a:latin typeface="+mj-lt"/>
              <a:ea typeface="+mn-ea"/>
              <a:cs typeface="+mn-cs"/>
            </a:rPr>
            <a:t>Unapređenje administrativnih i ostalih kapaciteta, kreiranje poslovnog ambijenta podsticajnog za inverstiranje i razvoj preduzetništva  i stvaranje novih radnih mjesta</a:t>
          </a:r>
          <a:endParaRPr lang="en-US" sz="900" kern="1200">
            <a:solidFill>
              <a:srgbClr val="000000">
                <a:hueOff val="0"/>
                <a:satOff val="0"/>
                <a:lumOff val="0"/>
                <a:alphaOff val="0"/>
              </a:srgbClr>
            </a:solidFill>
            <a:latin typeface="+mj-lt"/>
            <a:ea typeface="+mn-ea"/>
            <a:cs typeface="+mn-cs"/>
          </a:endParaRPr>
        </a:p>
      </dsp:txBody>
      <dsp:txXfrm>
        <a:off x="6537921" y="792186"/>
        <a:ext cx="1071230" cy="1209941"/>
      </dsp:txXfrm>
    </dsp:sp>
    <dsp:sp modelId="{8FEB7813-9203-4621-9297-7DAF5A9D1B95}">
      <dsp:nvSpPr>
        <dsp:cNvPr id="0" name=""/>
        <dsp:cNvSpPr/>
      </dsp:nvSpPr>
      <dsp:spPr>
        <a:xfrm rot="5400000">
          <a:off x="7048645" y="2060347"/>
          <a:ext cx="49782" cy="49782"/>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0818EFA-2BF8-40D0-92D1-A02EF50059B2}">
      <dsp:nvSpPr>
        <dsp:cNvPr id="0" name=""/>
        <dsp:cNvSpPr/>
      </dsp:nvSpPr>
      <dsp:spPr>
        <a:xfrm>
          <a:off x="6504593" y="2135021"/>
          <a:ext cx="1137886" cy="555794"/>
        </a:xfrm>
        <a:prstGeom prst="roundRect">
          <a:avLst>
            <a:gd name="adj" fmla="val 10000"/>
          </a:avLst>
        </a:prstGeom>
        <a:solidFill>
          <a:srgbClr val="B4936D">
            <a:tint val="40000"/>
            <a:alpha val="90000"/>
            <a:hueOff val="4847172"/>
            <a:satOff val="-9865"/>
            <a:lumOff val="-1461"/>
            <a:alphaOff val="0"/>
          </a:srgbClr>
        </a:solidFill>
        <a:ln w="25400" cap="flat" cmpd="sng" algn="ctr">
          <a:solidFill>
            <a:srgbClr val="B4936D">
              <a:tint val="40000"/>
              <a:alpha val="90000"/>
              <a:hueOff val="4847172"/>
              <a:satOff val="-9865"/>
              <a:lumOff val="-1461"/>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kern="1200">
              <a:solidFill>
                <a:srgbClr val="000000">
                  <a:hueOff val="0"/>
                  <a:satOff val="0"/>
                  <a:lumOff val="0"/>
                  <a:alphaOff val="0"/>
                </a:srgbClr>
              </a:solidFill>
              <a:latin typeface="+mj-lt"/>
              <a:ea typeface="+mn-ea"/>
              <a:cs typeface="+mn-cs"/>
            </a:rPr>
            <a:t>Reforma javnog sektora u skladu sa Str</a:t>
          </a:r>
          <a:r>
            <a:rPr lang="sr-Latn-RS" sz="900" kern="1200">
              <a:solidFill>
                <a:srgbClr val="000000">
                  <a:hueOff val="0"/>
                  <a:satOff val="0"/>
                  <a:lumOff val="0"/>
                  <a:alphaOff val="0"/>
                </a:srgbClr>
              </a:solidFill>
              <a:latin typeface="+mj-lt"/>
              <a:ea typeface="+mn-ea"/>
              <a:cs typeface="+mn-cs"/>
            </a:rPr>
            <a:t>a</a:t>
          </a:r>
          <a:r>
            <a:rPr lang="x-none" sz="900" kern="1200">
              <a:solidFill>
                <a:srgbClr val="000000">
                  <a:hueOff val="0"/>
                  <a:satOff val="0"/>
                  <a:lumOff val="0"/>
                  <a:alphaOff val="0"/>
                </a:srgbClr>
              </a:solidFill>
              <a:latin typeface="+mj-lt"/>
              <a:ea typeface="+mn-ea"/>
              <a:cs typeface="+mn-cs"/>
            </a:rPr>
            <a:t>tegijom RJU</a:t>
          </a:r>
          <a:endParaRPr lang="en-US" sz="900" kern="1200">
            <a:solidFill>
              <a:srgbClr val="000000">
                <a:hueOff val="0"/>
                <a:satOff val="0"/>
                <a:lumOff val="0"/>
                <a:alphaOff val="0"/>
              </a:srgbClr>
            </a:solidFill>
            <a:latin typeface="+mj-lt"/>
            <a:ea typeface="+mn-ea"/>
            <a:cs typeface="+mn-cs"/>
          </a:endParaRPr>
        </a:p>
      </dsp:txBody>
      <dsp:txXfrm>
        <a:off x="6520872" y="2151300"/>
        <a:ext cx="1105328" cy="523236"/>
      </dsp:txXfrm>
    </dsp:sp>
    <dsp:sp modelId="{E573AADF-0C7E-444D-8195-4A4179194624}">
      <dsp:nvSpPr>
        <dsp:cNvPr id="0" name=""/>
        <dsp:cNvSpPr/>
      </dsp:nvSpPr>
      <dsp:spPr>
        <a:xfrm rot="5400000">
          <a:off x="7048645" y="2715707"/>
          <a:ext cx="49782" cy="49782"/>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90083B5-A232-4957-ACE0-75F9D6A65D93}">
      <dsp:nvSpPr>
        <dsp:cNvPr id="0" name=""/>
        <dsp:cNvSpPr/>
      </dsp:nvSpPr>
      <dsp:spPr>
        <a:xfrm>
          <a:off x="6504593" y="2790381"/>
          <a:ext cx="1137886" cy="721718"/>
        </a:xfrm>
        <a:prstGeom prst="roundRect">
          <a:avLst>
            <a:gd name="adj" fmla="val 10000"/>
          </a:avLst>
        </a:prstGeom>
        <a:solidFill>
          <a:srgbClr val="B4936D">
            <a:tint val="40000"/>
            <a:alpha val="90000"/>
            <a:hueOff val="4847172"/>
            <a:satOff val="-9865"/>
            <a:lumOff val="-1461"/>
            <a:alphaOff val="0"/>
          </a:srgbClr>
        </a:solidFill>
        <a:ln w="25400" cap="flat" cmpd="sng" algn="ctr">
          <a:solidFill>
            <a:srgbClr val="B4936D">
              <a:tint val="40000"/>
              <a:alpha val="90000"/>
              <a:hueOff val="4847172"/>
              <a:satOff val="-9865"/>
              <a:lumOff val="-1461"/>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kern="1200">
              <a:solidFill>
                <a:srgbClr val="000000">
                  <a:hueOff val="0"/>
                  <a:satOff val="0"/>
                  <a:lumOff val="0"/>
                  <a:alphaOff val="0"/>
                </a:srgbClr>
              </a:solidFill>
              <a:latin typeface="+mj-lt"/>
              <a:ea typeface="+mn-ea"/>
              <a:cs typeface="+mn-cs"/>
            </a:rPr>
            <a:t>Smanjenje administrativnih barijera kroz primjenu analize uticaja propisa RIA</a:t>
          </a:r>
          <a:endParaRPr lang="en-US" sz="900" kern="1200">
            <a:solidFill>
              <a:srgbClr val="000000">
                <a:hueOff val="0"/>
                <a:satOff val="0"/>
                <a:lumOff val="0"/>
                <a:alphaOff val="0"/>
              </a:srgbClr>
            </a:solidFill>
            <a:latin typeface="+mj-lt"/>
            <a:ea typeface="+mn-ea"/>
            <a:cs typeface="+mn-cs"/>
          </a:endParaRPr>
        </a:p>
      </dsp:txBody>
      <dsp:txXfrm>
        <a:off x="6525731" y="2811519"/>
        <a:ext cx="1095610" cy="679442"/>
      </dsp:txXfrm>
    </dsp:sp>
    <dsp:sp modelId="{9654EF6E-D26A-47FB-9EB5-D8B3D84931CF}">
      <dsp:nvSpPr>
        <dsp:cNvPr id="0" name=""/>
        <dsp:cNvSpPr/>
      </dsp:nvSpPr>
      <dsp:spPr>
        <a:xfrm rot="5400000">
          <a:off x="7048645" y="3536991"/>
          <a:ext cx="49782" cy="49782"/>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A1974A3-071F-4E5A-AFA5-393391548A74}">
      <dsp:nvSpPr>
        <dsp:cNvPr id="0" name=""/>
        <dsp:cNvSpPr/>
      </dsp:nvSpPr>
      <dsp:spPr>
        <a:xfrm>
          <a:off x="6504593" y="3611664"/>
          <a:ext cx="1137886" cy="715269"/>
        </a:xfrm>
        <a:prstGeom prst="roundRect">
          <a:avLst>
            <a:gd name="adj" fmla="val 10000"/>
          </a:avLst>
        </a:prstGeom>
        <a:solidFill>
          <a:srgbClr val="B4936D">
            <a:tint val="40000"/>
            <a:alpha val="90000"/>
            <a:hueOff val="4847172"/>
            <a:satOff val="-9865"/>
            <a:lumOff val="-1461"/>
            <a:alphaOff val="0"/>
          </a:srgbClr>
        </a:solidFill>
        <a:ln w="25400" cap="flat" cmpd="sng" algn="ctr">
          <a:solidFill>
            <a:srgbClr val="B4936D">
              <a:tint val="40000"/>
              <a:alpha val="90000"/>
              <a:hueOff val="4847172"/>
              <a:satOff val="-9865"/>
              <a:lumOff val="-1461"/>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kern="1200">
              <a:solidFill>
                <a:srgbClr val="000000">
                  <a:hueOff val="0"/>
                  <a:satOff val="0"/>
                  <a:lumOff val="0"/>
                  <a:alphaOff val="0"/>
                </a:srgbClr>
              </a:solidFill>
              <a:latin typeface="+mj-lt"/>
              <a:ea typeface="+mn-ea"/>
              <a:cs typeface="+mn-cs"/>
            </a:rPr>
            <a:t>Unapređenje tehničke predispozicije i informatičkih rešenja u državnim institucijama</a:t>
          </a:r>
          <a:endParaRPr lang="en-US" sz="900" kern="1200">
            <a:solidFill>
              <a:srgbClr val="000000">
                <a:hueOff val="0"/>
                <a:satOff val="0"/>
                <a:lumOff val="0"/>
                <a:alphaOff val="0"/>
              </a:srgbClr>
            </a:solidFill>
            <a:latin typeface="+mj-lt"/>
            <a:ea typeface="+mn-ea"/>
            <a:cs typeface="+mn-cs"/>
          </a:endParaRPr>
        </a:p>
      </dsp:txBody>
      <dsp:txXfrm>
        <a:off x="6525543" y="3632614"/>
        <a:ext cx="1095986" cy="673369"/>
      </dsp:txXfrm>
    </dsp:sp>
    <dsp:sp modelId="{0F266B82-8EFC-4C29-98FA-62FEE7F79793}">
      <dsp:nvSpPr>
        <dsp:cNvPr id="0" name=""/>
        <dsp:cNvSpPr/>
      </dsp:nvSpPr>
      <dsp:spPr>
        <a:xfrm rot="5400000">
          <a:off x="7048645" y="4351825"/>
          <a:ext cx="49782" cy="49782"/>
        </a:xfrm>
        <a:prstGeom prst="rightArrow">
          <a:avLst>
            <a:gd name="adj1" fmla="val 667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5053C61-5DA0-4EFD-B18B-CAA8B4AF4FC4}">
      <dsp:nvSpPr>
        <dsp:cNvPr id="0" name=""/>
        <dsp:cNvSpPr/>
      </dsp:nvSpPr>
      <dsp:spPr>
        <a:xfrm>
          <a:off x="6504593" y="4426499"/>
          <a:ext cx="1137886" cy="284471"/>
        </a:xfrm>
        <a:prstGeom prst="roundRect">
          <a:avLst>
            <a:gd name="adj" fmla="val 10000"/>
          </a:avLst>
        </a:prstGeom>
        <a:solidFill>
          <a:srgbClr val="B4936D">
            <a:tint val="40000"/>
            <a:alpha val="90000"/>
            <a:hueOff val="4847172"/>
            <a:satOff val="-9865"/>
            <a:lumOff val="-1461"/>
            <a:alphaOff val="0"/>
          </a:srgbClr>
        </a:solidFill>
        <a:ln w="25400" cap="flat" cmpd="sng" algn="ctr">
          <a:solidFill>
            <a:srgbClr val="B4936D">
              <a:tint val="40000"/>
              <a:alpha val="90000"/>
              <a:hueOff val="4847172"/>
              <a:satOff val="-9865"/>
              <a:lumOff val="-1461"/>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kern="1200">
              <a:solidFill>
                <a:srgbClr val="000000">
                  <a:hueOff val="0"/>
                  <a:satOff val="0"/>
                  <a:lumOff val="0"/>
                  <a:alphaOff val="0"/>
                </a:srgbClr>
              </a:solidFill>
              <a:latin typeface="+mj-lt"/>
              <a:ea typeface="+mn-ea"/>
              <a:cs typeface="+mn-cs"/>
            </a:rPr>
            <a:t>Povećanje efikasnosti državnog servisa</a:t>
          </a:r>
          <a:endParaRPr lang="en-US" sz="900" kern="1200">
            <a:solidFill>
              <a:srgbClr val="000000">
                <a:hueOff val="0"/>
                <a:satOff val="0"/>
                <a:lumOff val="0"/>
                <a:alphaOff val="0"/>
              </a:srgbClr>
            </a:solidFill>
            <a:latin typeface="+mj-lt"/>
            <a:ea typeface="+mn-ea"/>
            <a:cs typeface="+mn-cs"/>
          </a:endParaRPr>
        </a:p>
      </dsp:txBody>
      <dsp:txXfrm>
        <a:off x="6512925" y="4434831"/>
        <a:ext cx="1121222" cy="267807"/>
      </dsp:txXfrm>
    </dsp:sp>
    <dsp:sp modelId="{1C4CABE9-D49C-45BA-9AE5-5A7996B6B81D}">
      <dsp:nvSpPr>
        <dsp:cNvPr id="0" name=""/>
        <dsp:cNvSpPr/>
      </dsp:nvSpPr>
      <dsp:spPr>
        <a:xfrm rot="5400000">
          <a:off x="7048645" y="4735862"/>
          <a:ext cx="49782" cy="49782"/>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9E9C51-5A31-40DE-A054-387B1B913644}">
      <dsp:nvSpPr>
        <dsp:cNvPr id="0" name=""/>
        <dsp:cNvSpPr/>
      </dsp:nvSpPr>
      <dsp:spPr>
        <a:xfrm>
          <a:off x="6504593" y="4810536"/>
          <a:ext cx="1137886" cy="543906"/>
        </a:xfrm>
        <a:prstGeom prst="roundRect">
          <a:avLst>
            <a:gd name="adj" fmla="val 10000"/>
          </a:avLst>
        </a:prstGeom>
        <a:solidFill>
          <a:srgbClr val="B4936D">
            <a:tint val="40000"/>
            <a:alpha val="90000"/>
            <a:hueOff val="4847172"/>
            <a:satOff val="-9865"/>
            <a:lumOff val="-1461"/>
            <a:alphaOff val="0"/>
          </a:srgbClr>
        </a:solidFill>
        <a:ln w="25400" cap="flat" cmpd="sng" algn="ctr">
          <a:solidFill>
            <a:srgbClr val="B4936D">
              <a:tint val="40000"/>
              <a:alpha val="90000"/>
              <a:hueOff val="4847172"/>
              <a:satOff val="-9865"/>
              <a:lumOff val="-1461"/>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kern="1200">
              <a:solidFill>
                <a:srgbClr val="000000">
                  <a:hueOff val="0"/>
                  <a:satOff val="0"/>
                  <a:lumOff val="0"/>
                  <a:alphaOff val="0"/>
                </a:srgbClr>
              </a:solidFill>
              <a:latin typeface="+mj-lt"/>
              <a:ea typeface="+mn-ea"/>
              <a:cs typeface="+mn-cs"/>
            </a:rPr>
            <a:t>Veća transparentnost procedura </a:t>
          </a:r>
          <a:endParaRPr lang="en-US" sz="900" kern="1200">
            <a:solidFill>
              <a:srgbClr val="000000">
                <a:hueOff val="0"/>
                <a:satOff val="0"/>
                <a:lumOff val="0"/>
                <a:alphaOff val="0"/>
              </a:srgbClr>
            </a:solidFill>
            <a:latin typeface="+mj-lt"/>
            <a:ea typeface="+mn-ea"/>
            <a:cs typeface="+mn-cs"/>
          </a:endParaRPr>
        </a:p>
      </dsp:txBody>
      <dsp:txXfrm>
        <a:off x="6520523" y="4826466"/>
        <a:ext cx="1106026" cy="512046"/>
      </dsp:txXfrm>
    </dsp:sp>
    <dsp:sp modelId="{48C1BCBC-6D00-40EF-B251-8098381BF9DB}">
      <dsp:nvSpPr>
        <dsp:cNvPr id="0" name=""/>
        <dsp:cNvSpPr/>
      </dsp:nvSpPr>
      <dsp:spPr>
        <a:xfrm>
          <a:off x="7801784" y="46231"/>
          <a:ext cx="1137886" cy="648740"/>
        </a:xfrm>
        <a:prstGeom prst="roundRect">
          <a:avLst>
            <a:gd name="adj" fmla="val 10000"/>
          </a:avLst>
        </a:prstGeom>
        <a:solidFill>
          <a:srgbClr val="0D97B3"/>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solidFill>
                <a:srgbClr val="FFFFFF"/>
              </a:solidFill>
              <a:latin typeface="+mj-lt"/>
              <a:ea typeface="+mn-ea"/>
              <a:cs typeface="+mn-cs"/>
            </a:rPr>
            <a:t>Nacionalna strategija održivog razvoja do 2030</a:t>
          </a:r>
          <a:r>
            <a:rPr lang="sr-Latn-RS" sz="900" b="1" kern="1200">
              <a:solidFill>
                <a:srgbClr val="FFFFFF"/>
              </a:solidFill>
              <a:latin typeface="+mj-lt"/>
              <a:ea typeface="+mn-ea"/>
              <a:cs typeface="+mn-cs"/>
            </a:rPr>
            <a:t>.</a:t>
          </a:r>
          <a:endParaRPr lang="en-US" sz="900" b="1" kern="1200">
            <a:solidFill>
              <a:srgbClr val="FFFFFF"/>
            </a:solidFill>
            <a:latin typeface="+mj-lt"/>
            <a:ea typeface="+mn-ea"/>
            <a:cs typeface="+mn-cs"/>
          </a:endParaRPr>
        </a:p>
      </dsp:txBody>
      <dsp:txXfrm>
        <a:off x="7820785" y="65232"/>
        <a:ext cx="1099884" cy="610738"/>
      </dsp:txXfrm>
    </dsp:sp>
    <dsp:sp modelId="{82507FF1-44BB-4524-9841-59A9C7FB751A}">
      <dsp:nvSpPr>
        <dsp:cNvPr id="0" name=""/>
        <dsp:cNvSpPr/>
      </dsp:nvSpPr>
      <dsp:spPr>
        <a:xfrm rot="5400000">
          <a:off x="8345836" y="719863"/>
          <a:ext cx="49782" cy="49782"/>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8246C4-1470-4BF6-A26E-3EE41B06A0C3}">
      <dsp:nvSpPr>
        <dsp:cNvPr id="0" name=""/>
        <dsp:cNvSpPr/>
      </dsp:nvSpPr>
      <dsp:spPr>
        <a:xfrm>
          <a:off x="7801784" y="794537"/>
          <a:ext cx="1137886" cy="572214"/>
        </a:xfrm>
        <a:prstGeom prst="roundRect">
          <a:avLst>
            <a:gd name="adj" fmla="val 10000"/>
          </a:avLst>
        </a:prstGeom>
        <a:solidFill>
          <a:srgbClr val="B4936D">
            <a:tint val="40000"/>
            <a:alpha val="90000"/>
            <a:hueOff val="9694343"/>
            <a:satOff val="-19730"/>
            <a:lumOff val="-2923"/>
            <a:alphaOff val="0"/>
          </a:srgbClr>
        </a:solidFill>
        <a:ln w="25400" cap="flat" cmpd="sng" algn="ctr">
          <a:solidFill>
            <a:srgbClr val="B4936D">
              <a:tint val="40000"/>
              <a:alpha val="90000"/>
              <a:hueOff val="9694343"/>
              <a:satOff val="-19730"/>
              <a:lumOff val="-292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x-none" sz="900" kern="1200">
              <a:solidFill>
                <a:srgbClr val="000000">
                  <a:hueOff val="0"/>
                  <a:satOff val="0"/>
                  <a:lumOff val="0"/>
                  <a:alphaOff val="0"/>
                </a:srgbClr>
              </a:solidFill>
              <a:latin typeface="+mj-lt"/>
              <a:ea typeface="+mn-ea"/>
              <a:cs typeface="+mn-cs"/>
            </a:rPr>
            <a:t>Jačati povjerenje građana u demokratski politički sistem</a:t>
          </a:r>
          <a:endParaRPr lang="en-US" sz="900" kern="1200">
            <a:solidFill>
              <a:srgbClr val="000000">
                <a:hueOff val="0"/>
                <a:satOff val="0"/>
                <a:lumOff val="0"/>
                <a:alphaOff val="0"/>
              </a:srgbClr>
            </a:solidFill>
            <a:latin typeface="+mj-lt"/>
            <a:ea typeface="+mn-ea"/>
            <a:cs typeface="+mn-cs"/>
          </a:endParaRPr>
        </a:p>
      </dsp:txBody>
      <dsp:txXfrm>
        <a:off x="7818544" y="811297"/>
        <a:ext cx="1104366" cy="538694"/>
      </dsp:txXfrm>
    </dsp:sp>
    <dsp:sp modelId="{F3FE1389-171B-4D83-901F-7B4E02FB7E1F}">
      <dsp:nvSpPr>
        <dsp:cNvPr id="0" name=""/>
        <dsp:cNvSpPr/>
      </dsp:nvSpPr>
      <dsp:spPr>
        <a:xfrm rot="5400000">
          <a:off x="8345836" y="1391643"/>
          <a:ext cx="49782" cy="49782"/>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4DB01C2-3D12-4F08-9642-3E96D3796274}">
      <dsp:nvSpPr>
        <dsp:cNvPr id="0" name=""/>
        <dsp:cNvSpPr/>
      </dsp:nvSpPr>
      <dsp:spPr>
        <a:xfrm>
          <a:off x="7801784" y="1466316"/>
          <a:ext cx="1137886" cy="428493"/>
        </a:xfrm>
        <a:prstGeom prst="roundRect">
          <a:avLst>
            <a:gd name="adj" fmla="val 10000"/>
          </a:avLst>
        </a:prstGeom>
        <a:solidFill>
          <a:srgbClr val="B4936D">
            <a:tint val="40000"/>
            <a:alpha val="90000"/>
            <a:hueOff val="9694343"/>
            <a:satOff val="-19730"/>
            <a:lumOff val="-2923"/>
            <a:alphaOff val="0"/>
          </a:srgbClr>
        </a:solidFill>
        <a:ln w="25400" cap="flat" cmpd="sng" algn="ctr">
          <a:solidFill>
            <a:srgbClr val="B4936D">
              <a:tint val="40000"/>
              <a:alpha val="90000"/>
              <a:hueOff val="9694343"/>
              <a:satOff val="-19730"/>
              <a:lumOff val="-292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rgbClr val="000000">
                  <a:hueOff val="0"/>
                  <a:satOff val="0"/>
                  <a:lumOff val="0"/>
                  <a:alphaOff val="0"/>
                </a:srgbClr>
              </a:solidFill>
              <a:latin typeface="+mj-lt"/>
              <a:ea typeface="+mn-ea"/>
              <a:cs typeface="+mn-cs"/>
            </a:rPr>
            <a:t>Cjel</a:t>
          </a:r>
          <a:r>
            <a:rPr lang="x-none" sz="900" kern="1200">
              <a:solidFill>
                <a:srgbClr val="000000">
                  <a:hueOff val="0"/>
                  <a:satOff val="0"/>
                  <a:lumOff val="0"/>
                  <a:alphaOff val="0"/>
                </a:srgbClr>
              </a:solidFill>
              <a:latin typeface="+mj-lt"/>
              <a:ea typeface="+mn-ea"/>
              <a:cs typeface="+mn-cs"/>
            </a:rPr>
            <a:t>oživotno učenje</a:t>
          </a:r>
          <a:endParaRPr lang="en-US" sz="900" kern="1200">
            <a:solidFill>
              <a:srgbClr val="000000">
                <a:hueOff val="0"/>
                <a:satOff val="0"/>
                <a:lumOff val="0"/>
                <a:alphaOff val="0"/>
              </a:srgbClr>
            </a:solidFill>
            <a:latin typeface="+mj-lt"/>
            <a:ea typeface="+mn-ea"/>
            <a:cs typeface="+mn-cs"/>
          </a:endParaRPr>
        </a:p>
      </dsp:txBody>
      <dsp:txXfrm>
        <a:off x="7814334" y="1478866"/>
        <a:ext cx="1112786" cy="403393"/>
      </dsp:txXfrm>
    </dsp:sp>
    <dsp:sp modelId="{B1E5138E-33E2-4D81-83E6-5BBB1903C3C0}">
      <dsp:nvSpPr>
        <dsp:cNvPr id="0" name=""/>
        <dsp:cNvSpPr/>
      </dsp:nvSpPr>
      <dsp:spPr>
        <a:xfrm rot="5400000">
          <a:off x="8345836" y="1919701"/>
          <a:ext cx="49782" cy="49782"/>
        </a:xfrm>
        <a:prstGeom prst="rightArrow">
          <a:avLst>
            <a:gd name="adj1" fmla="val 667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1750C61-7A12-437C-8A1C-6DFCB9114D7D}">
      <dsp:nvSpPr>
        <dsp:cNvPr id="0" name=""/>
        <dsp:cNvSpPr/>
      </dsp:nvSpPr>
      <dsp:spPr>
        <a:xfrm>
          <a:off x="7801784" y="1994375"/>
          <a:ext cx="1137886" cy="735285"/>
        </a:xfrm>
        <a:prstGeom prst="roundRect">
          <a:avLst>
            <a:gd name="adj" fmla="val 10000"/>
          </a:avLst>
        </a:prstGeom>
        <a:solidFill>
          <a:srgbClr val="B4936D">
            <a:tint val="40000"/>
            <a:alpha val="90000"/>
            <a:hueOff val="9694343"/>
            <a:satOff val="-19730"/>
            <a:lumOff val="-2923"/>
            <a:alphaOff val="0"/>
          </a:srgbClr>
        </a:solidFill>
        <a:ln w="25400" cap="flat" cmpd="sng" algn="ctr">
          <a:solidFill>
            <a:srgbClr val="B4936D">
              <a:tint val="40000"/>
              <a:alpha val="90000"/>
              <a:hueOff val="9694343"/>
              <a:satOff val="-19730"/>
              <a:lumOff val="-292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rgbClr val="000000">
                  <a:hueOff val="0"/>
                  <a:satOff val="0"/>
                  <a:lumOff val="0"/>
                  <a:alphaOff val="0"/>
                </a:srgbClr>
              </a:solidFill>
              <a:latin typeface="+mj-lt"/>
              <a:ea typeface="+mn-ea"/>
              <a:cs typeface="+mn-cs"/>
            </a:rPr>
            <a:t>Podsticati</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istraživanje i</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razvoj u oblasti</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resursne</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efikasnosti i</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razvoj ljudskih</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resursa</a:t>
          </a:r>
        </a:p>
      </dsp:txBody>
      <dsp:txXfrm>
        <a:off x="7823320" y="2015911"/>
        <a:ext cx="1094814" cy="692213"/>
      </dsp:txXfrm>
    </dsp:sp>
    <dsp:sp modelId="{46F1B189-73D2-4070-BB84-E3184F505487}">
      <dsp:nvSpPr>
        <dsp:cNvPr id="0" name=""/>
        <dsp:cNvSpPr/>
      </dsp:nvSpPr>
      <dsp:spPr>
        <a:xfrm rot="5400000">
          <a:off x="8345836" y="2754552"/>
          <a:ext cx="49782" cy="49782"/>
        </a:xfrm>
        <a:prstGeom prst="rightArrow">
          <a:avLst>
            <a:gd name="adj1" fmla="val 667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318D0E-0624-456A-844C-245BC2A643C5}">
      <dsp:nvSpPr>
        <dsp:cNvPr id="0" name=""/>
        <dsp:cNvSpPr/>
      </dsp:nvSpPr>
      <dsp:spPr>
        <a:xfrm>
          <a:off x="7801784" y="2829225"/>
          <a:ext cx="1137886" cy="1027232"/>
        </a:xfrm>
        <a:prstGeom prst="roundRect">
          <a:avLst>
            <a:gd name="adj" fmla="val 10000"/>
          </a:avLst>
        </a:prstGeom>
        <a:solidFill>
          <a:srgbClr val="B4936D">
            <a:tint val="40000"/>
            <a:alpha val="90000"/>
            <a:hueOff val="9694343"/>
            <a:satOff val="-19730"/>
            <a:lumOff val="-2923"/>
            <a:alphaOff val="0"/>
          </a:srgbClr>
        </a:solidFill>
        <a:ln w="25400" cap="flat" cmpd="sng" algn="ctr">
          <a:solidFill>
            <a:srgbClr val="B4936D">
              <a:tint val="40000"/>
              <a:alpha val="90000"/>
              <a:hueOff val="9694343"/>
              <a:satOff val="-19730"/>
              <a:lumOff val="-292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rgbClr val="000000">
                  <a:hueOff val="0"/>
                  <a:satOff val="0"/>
                  <a:lumOff val="0"/>
                  <a:alphaOff val="0"/>
                </a:srgbClr>
              </a:solidFill>
              <a:latin typeface="+mj-lt"/>
              <a:ea typeface="+mn-ea"/>
              <a:cs typeface="+mn-cs"/>
            </a:rPr>
            <a:t>Promovisati</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koncept društvene</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odgovornosti (DO)</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i podizati svijest</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o vrijednostima</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i važnosti DO</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odnosno benefitima</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organizacija</a:t>
          </a:r>
        </a:p>
      </dsp:txBody>
      <dsp:txXfrm>
        <a:off x="7831871" y="2859312"/>
        <a:ext cx="1077712" cy="967058"/>
      </dsp:txXfrm>
    </dsp:sp>
    <dsp:sp modelId="{545B7BA2-97AC-4858-A419-EF4B361F0F00}">
      <dsp:nvSpPr>
        <dsp:cNvPr id="0" name=""/>
        <dsp:cNvSpPr/>
      </dsp:nvSpPr>
      <dsp:spPr>
        <a:xfrm rot="5400000">
          <a:off x="8345836" y="3881349"/>
          <a:ext cx="49782" cy="49782"/>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681505-5168-4FB3-87BE-19A4D648EFBF}">
      <dsp:nvSpPr>
        <dsp:cNvPr id="0" name=""/>
        <dsp:cNvSpPr/>
      </dsp:nvSpPr>
      <dsp:spPr>
        <a:xfrm>
          <a:off x="7801784" y="3956023"/>
          <a:ext cx="1137886" cy="415715"/>
        </a:xfrm>
        <a:prstGeom prst="roundRect">
          <a:avLst>
            <a:gd name="adj" fmla="val 10000"/>
          </a:avLst>
        </a:prstGeom>
        <a:solidFill>
          <a:srgbClr val="B4936D">
            <a:tint val="40000"/>
            <a:alpha val="90000"/>
            <a:hueOff val="9694343"/>
            <a:satOff val="-19730"/>
            <a:lumOff val="-2923"/>
            <a:alphaOff val="0"/>
          </a:srgbClr>
        </a:solidFill>
        <a:ln w="25400" cap="flat" cmpd="sng" algn="ctr">
          <a:solidFill>
            <a:srgbClr val="B4936D">
              <a:tint val="40000"/>
              <a:alpha val="90000"/>
              <a:hueOff val="9694343"/>
              <a:satOff val="-19730"/>
              <a:lumOff val="-292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rgbClr val="000000">
                  <a:hueOff val="0"/>
                  <a:satOff val="0"/>
                  <a:lumOff val="0"/>
                  <a:alphaOff val="0"/>
                </a:srgbClr>
              </a:solidFill>
              <a:latin typeface="+mj-lt"/>
              <a:ea typeface="+mn-ea"/>
              <a:cs typeface="+mn-cs"/>
            </a:rPr>
            <a:t>Uspostaviti</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mjerljivost</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rezultata rada</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javne uprave</a:t>
          </a:r>
        </a:p>
      </dsp:txBody>
      <dsp:txXfrm>
        <a:off x="7813960" y="3968199"/>
        <a:ext cx="1113534" cy="391363"/>
      </dsp:txXfrm>
    </dsp:sp>
    <dsp:sp modelId="{F55A9D75-91E1-4729-AFB2-E8B782A333C9}">
      <dsp:nvSpPr>
        <dsp:cNvPr id="0" name=""/>
        <dsp:cNvSpPr/>
      </dsp:nvSpPr>
      <dsp:spPr>
        <a:xfrm rot="5400000">
          <a:off x="8345836" y="4396630"/>
          <a:ext cx="49782" cy="49782"/>
        </a:xfrm>
        <a:prstGeom prst="rightArrow">
          <a:avLst>
            <a:gd name="adj1" fmla="val 667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1062235-77A1-4983-A205-87CCC87A614F}">
      <dsp:nvSpPr>
        <dsp:cNvPr id="0" name=""/>
        <dsp:cNvSpPr/>
      </dsp:nvSpPr>
      <dsp:spPr>
        <a:xfrm>
          <a:off x="7801784" y="4471304"/>
          <a:ext cx="1137886" cy="683559"/>
        </a:xfrm>
        <a:prstGeom prst="roundRect">
          <a:avLst>
            <a:gd name="adj" fmla="val 10000"/>
          </a:avLst>
        </a:prstGeom>
        <a:solidFill>
          <a:srgbClr val="B4936D">
            <a:tint val="40000"/>
            <a:alpha val="90000"/>
            <a:hueOff val="9694343"/>
            <a:satOff val="-19730"/>
            <a:lumOff val="-2923"/>
            <a:alphaOff val="0"/>
          </a:srgbClr>
        </a:solidFill>
        <a:ln w="25400" cap="flat" cmpd="sng" algn="ctr">
          <a:solidFill>
            <a:srgbClr val="B4936D">
              <a:tint val="40000"/>
              <a:alpha val="90000"/>
              <a:hueOff val="9694343"/>
              <a:satOff val="-19730"/>
              <a:lumOff val="-2923"/>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rgbClr val="000000">
                  <a:hueOff val="0"/>
                  <a:satOff val="0"/>
                  <a:lumOff val="0"/>
                  <a:alphaOff val="0"/>
                </a:srgbClr>
              </a:solidFill>
              <a:latin typeface="+mj-lt"/>
              <a:ea typeface="+mn-ea"/>
              <a:cs typeface="+mn-cs"/>
            </a:rPr>
            <a:t>Ojačati učešće</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zaiteresovane</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i stručne</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javnosti u</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donošenju i</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sprovođenju</a:t>
          </a:r>
          <a:r>
            <a:rPr lang="x-none" sz="900" kern="1200">
              <a:solidFill>
                <a:srgbClr val="000000">
                  <a:hueOff val="0"/>
                  <a:satOff val="0"/>
                  <a:lumOff val="0"/>
                  <a:alphaOff val="0"/>
                </a:srgbClr>
              </a:solidFill>
              <a:latin typeface="+mj-lt"/>
              <a:ea typeface="+mn-ea"/>
              <a:cs typeface="+mn-cs"/>
            </a:rPr>
            <a:t> </a:t>
          </a:r>
          <a:r>
            <a:rPr lang="en-US" sz="900" kern="1200">
              <a:solidFill>
                <a:srgbClr val="000000">
                  <a:hueOff val="0"/>
                  <a:satOff val="0"/>
                  <a:lumOff val="0"/>
                  <a:alphaOff val="0"/>
                </a:srgbClr>
              </a:solidFill>
              <a:latin typeface="+mj-lt"/>
              <a:ea typeface="+mn-ea"/>
              <a:cs typeface="+mn-cs"/>
            </a:rPr>
            <a:t>odluka</a:t>
          </a:r>
        </a:p>
      </dsp:txBody>
      <dsp:txXfrm>
        <a:off x="7821805" y="4491325"/>
        <a:ext cx="1097844" cy="6435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37A787-290E-4621-A15B-1B2F7197B078}">
      <dsp:nvSpPr>
        <dsp:cNvPr id="0" name=""/>
        <dsp:cNvSpPr/>
      </dsp:nvSpPr>
      <dsp:spPr>
        <a:xfrm>
          <a:off x="-3274756" y="-538502"/>
          <a:ext cx="4176440" cy="4176440"/>
        </a:xfrm>
        <a:prstGeom prst="blockArc">
          <a:avLst>
            <a:gd name="adj1" fmla="val 18900000"/>
            <a:gd name="adj2" fmla="val 2700000"/>
            <a:gd name="adj3" fmla="val 454"/>
          </a:avLst>
        </a:prstGeom>
        <a:noFill/>
        <a:ln w="25400" cap="flat" cmpd="sng" algn="ctr">
          <a:solidFill>
            <a:srgbClr val="67787B">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0DF77FE-A6CB-4921-819B-218A951FEC5E}">
      <dsp:nvSpPr>
        <dsp:cNvPr id="0" name=""/>
        <dsp:cNvSpPr/>
      </dsp:nvSpPr>
      <dsp:spPr>
        <a:xfrm>
          <a:off x="920035" y="282451"/>
          <a:ext cx="5131267" cy="619887"/>
        </a:xfrm>
        <a:prstGeom prst="rect">
          <a:avLst/>
        </a:prstGeom>
        <a:solidFill>
          <a:srgbClr val="B4936D">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2035" tIns="22860" rIns="22860" bIns="22860" numCol="1" spcCol="1270" anchor="ctr" anchorCtr="0">
          <a:noAutofit/>
        </a:bodyPr>
        <a:lstStyle/>
        <a:p>
          <a:pPr lvl="0" algn="l" defTabSz="400050">
            <a:lnSpc>
              <a:spcPct val="100000"/>
            </a:lnSpc>
            <a:spcBef>
              <a:spcPct val="0"/>
            </a:spcBef>
            <a:spcAft>
              <a:spcPts val="0"/>
            </a:spcAft>
          </a:pPr>
          <a:r>
            <a:rPr lang="x-none" sz="900" kern="1200">
              <a:solidFill>
                <a:srgbClr val="FFFFFF"/>
              </a:solidFill>
              <a:latin typeface="Cambria"/>
              <a:ea typeface="+mn-ea"/>
              <a:cs typeface="+mn-cs"/>
            </a:rPr>
            <a:t>Program rada Vlade</a:t>
          </a:r>
        </a:p>
        <a:p>
          <a:pPr lvl="0" algn="l" defTabSz="400050">
            <a:lnSpc>
              <a:spcPct val="100000"/>
            </a:lnSpc>
            <a:spcBef>
              <a:spcPct val="0"/>
            </a:spcBef>
            <a:spcAft>
              <a:spcPts val="0"/>
            </a:spcAft>
          </a:pPr>
          <a:r>
            <a:rPr lang="x-none" sz="900" kern="1200">
              <a:solidFill>
                <a:srgbClr val="FFFFFF"/>
              </a:solidFill>
              <a:latin typeface="Cambria"/>
              <a:ea typeface="+mn-ea"/>
              <a:cs typeface="+mn-cs"/>
            </a:rPr>
            <a:t>Razvojni pravci Crne Gore 2018-2021</a:t>
          </a:r>
        </a:p>
        <a:p>
          <a:pPr lvl="0" algn="l" defTabSz="400050">
            <a:lnSpc>
              <a:spcPct val="100000"/>
            </a:lnSpc>
            <a:spcBef>
              <a:spcPct val="0"/>
            </a:spcBef>
            <a:spcAft>
              <a:spcPts val="0"/>
            </a:spcAft>
          </a:pPr>
          <a:r>
            <a:rPr lang="x-none" sz="900" kern="1200">
              <a:solidFill>
                <a:srgbClr val="FFFFFF"/>
              </a:solidFill>
              <a:latin typeface="Cambria"/>
              <a:ea typeface="+mn-ea"/>
              <a:cs typeface="+mn-cs"/>
            </a:rPr>
            <a:t>Nacionalna strategija održivog razvoja do 2030</a:t>
          </a:r>
          <a:endParaRPr lang="en-US" sz="900" kern="1200">
            <a:solidFill>
              <a:srgbClr val="FFFFFF"/>
            </a:solidFill>
            <a:latin typeface="Cambria"/>
            <a:ea typeface="+mn-ea"/>
            <a:cs typeface="+mn-cs"/>
          </a:endParaRPr>
        </a:p>
      </dsp:txBody>
      <dsp:txXfrm>
        <a:off x="920035" y="282451"/>
        <a:ext cx="5131267" cy="619887"/>
      </dsp:txXfrm>
    </dsp:sp>
    <dsp:sp modelId="{5DEBA818-5BFB-4474-B3C6-86A5EDAC1028}">
      <dsp:nvSpPr>
        <dsp:cNvPr id="0" name=""/>
        <dsp:cNvSpPr/>
      </dsp:nvSpPr>
      <dsp:spPr>
        <a:xfrm>
          <a:off x="186293" y="208917"/>
          <a:ext cx="950031" cy="821939"/>
        </a:xfrm>
        <a:prstGeom prst="ellipse">
          <a:avLst/>
        </a:prstGeom>
        <a:solidFill>
          <a:srgbClr val="FFFFFF">
            <a:hueOff val="0"/>
            <a:satOff val="0"/>
            <a:lumOff val="0"/>
            <a:alphaOff val="0"/>
          </a:srgbClr>
        </a:solidFill>
        <a:ln w="25400" cap="flat" cmpd="sng" algn="ctr">
          <a:solidFill>
            <a:srgbClr val="B4936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BD18BDDB-6309-4EE2-B4A0-7E56B558D50C}">
      <dsp:nvSpPr>
        <dsp:cNvPr id="0" name=""/>
        <dsp:cNvSpPr/>
      </dsp:nvSpPr>
      <dsp:spPr>
        <a:xfrm>
          <a:off x="1010263" y="1246648"/>
          <a:ext cx="5026263" cy="619887"/>
        </a:xfrm>
        <a:prstGeom prst="rect">
          <a:avLst/>
        </a:prstGeom>
        <a:solidFill>
          <a:srgbClr val="B4936D">
            <a:hueOff val="4706656"/>
            <a:satOff val="-11638"/>
            <a:lumOff val="-6177"/>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2035" tIns="22860" rIns="22860" bIns="22860" numCol="1" spcCol="1270" anchor="ctr" anchorCtr="0">
          <a:noAutofit/>
        </a:bodyPr>
        <a:lstStyle/>
        <a:p>
          <a:pPr lvl="0" algn="l" defTabSz="400050">
            <a:lnSpc>
              <a:spcPct val="100000"/>
            </a:lnSpc>
            <a:spcBef>
              <a:spcPct val="0"/>
            </a:spcBef>
            <a:spcAft>
              <a:spcPts val="0"/>
            </a:spcAft>
          </a:pPr>
          <a:r>
            <a:rPr lang="x-none" sz="900" kern="1200">
              <a:solidFill>
                <a:srgbClr val="FFFFFF"/>
              </a:solidFill>
              <a:latin typeface="Cambria"/>
              <a:ea typeface="+mn-ea"/>
              <a:cs typeface="+mn-cs"/>
            </a:rPr>
            <a:t>Program reforme javnih finansija 2022-2026</a:t>
          </a:r>
        </a:p>
        <a:p>
          <a:pPr lvl="0" algn="l" defTabSz="400050">
            <a:lnSpc>
              <a:spcPct val="100000"/>
            </a:lnSpc>
            <a:spcBef>
              <a:spcPct val="0"/>
            </a:spcBef>
            <a:spcAft>
              <a:spcPts val="0"/>
            </a:spcAft>
          </a:pPr>
          <a:r>
            <a:rPr lang="x-none" sz="900" kern="1200">
              <a:solidFill>
                <a:srgbClr val="FFFFFF"/>
              </a:solidFill>
              <a:latin typeface="Cambria"/>
              <a:ea typeface="+mn-ea"/>
              <a:cs typeface="+mn-cs"/>
            </a:rPr>
            <a:t>Strategija digitalne transformacije 2022-2026</a:t>
          </a:r>
        </a:p>
        <a:p>
          <a:pPr lvl="0" algn="l" defTabSz="400050">
            <a:lnSpc>
              <a:spcPct val="100000"/>
            </a:lnSpc>
            <a:spcBef>
              <a:spcPct val="0"/>
            </a:spcBef>
            <a:spcAft>
              <a:spcPts val="0"/>
            </a:spcAft>
          </a:pPr>
          <a:r>
            <a:rPr lang="x-none" sz="900" kern="1200">
              <a:solidFill>
                <a:srgbClr val="FFFFFF"/>
              </a:solidFill>
              <a:latin typeface="Cambria"/>
              <a:ea typeface="+mn-ea"/>
              <a:cs typeface="+mn-cs"/>
            </a:rPr>
            <a:t>Strategija </a:t>
          </a:r>
          <a:r>
            <a:rPr lang="en-US" sz="900" kern="1200">
              <a:solidFill>
                <a:srgbClr val="FFFFFF"/>
              </a:solidFill>
              <a:latin typeface="Cambria"/>
              <a:ea typeface="+mn-ea"/>
              <a:cs typeface="+mn-cs"/>
            </a:rPr>
            <a:t>saradnje između organa državne uprave i nevladinih org</a:t>
          </a:r>
          <a:r>
            <a:rPr lang="x-none" sz="900" kern="1200">
              <a:solidFill>
                <a:srgbClr val="FFFFFF"/>
              </a:solidFill>
              <a:latin typeface="Cambria"/>
              <a:ea typeface="+mn-ea"/>
              <a:cs typeface="+mn-cs"/>
            </a:rPr>
            <a:t>a</a:t>
          </a:r>
          <a:r>
            <a:rPr lang="en-US" sz="900" kern="1200">
              <a:solidFill>
                <a:srgbClr val="FFFFFF"/>
              </a:solidFill>
              <a:latin typeface="Cambria"/>
              <a:ea typeface="+mn-ea"/>
              <a:cs typeface="+mn-cs"/>
            </a:rPr>
            <a:t>niazacija</a:t>
          </a:r>
          <a:r>
            <a:rPr lang="x-none" sz="900" kern="1200">
              <a:solidFill>
                <a:srgbClr val="FFFFFF"/>
              </a:solidFill>
              <a:latin typeface="Cambria"/>
              <a:ea typeface="+mn-ea"/>
              <a:cs typeface="+mn-cs"/>
            </a:rPr>
            <a:t> 2022-2026</a:t>
          </a:r>
          <a:endParaRPr lang="en-US" sz="900" kern="1200">
            <a:solidFill>
              <a:srgbClr val="FFFFFF"/>
            </a:solidFill>
            <a:latin typeface="Cambria"/>
            <a:ea typeface="+mn-ea"/>
            <a:cs typeface="+mn-cs"/>
          </a:endParaRPr>
        </a:p>
      </dsp:txBody>
      <dsp:txXfrm>
        <a:off x="1010263" y="1246648"/>
        <a:ext cx="5026263" cy="619887"/>
      </dsp:txXfrm>
    </dsp:sp>
    <dsp:sp modelId="{C0FCD9E0-F3BA-450E-96B4-3F24BCD65CD1}">
      <dsp:nvSpPr>
        <dsp:cNvPr id="0" name=""/>
        <dsp:cNvSpPr/>
      </dsp:nvSpPr>
      <dsp:spPr>
        <a:xfrm>
          <a:off x="417658" y="1113320"/>
          <a:ext cx="937958" cy="872793"/>
        </a:xfrm>
        <a:prstGeom prst="ellipse">
          <a:avLst/>
        </a:prstGeom>
        <a:solidFill>
          <a:srgbClr val="FFFFFF">
            <a:hueOff val="0"/>
            <a:satOff val="0"/>
            <a:lumOff val="0"/>
            <a:alphaOff val="0"/>
          </a:srgbClr>
        </a:solidFill>
        <a:ln w="25400" cap="flat" cmpd="sng" algn="ctr">
          <a:solidFill>
            <a:srgbClr val="B4936D">
              <a:hueOff val="4706656"/>
              <a:satOff val="-11638"/>
              <a:lumOff val="-6177"/>
              <a:alphaOff val="0"/>
            </a:srgbClr>
          </a:solidFill>
          <a:prstDash val="solid"/>
        </a:ln>
        <a:effectLst/>
      </dsp:spPr>
      <dsp:style>
        <a:lnRef idx="2">
          <a:scrgbClr r="0" g="0" b="0"/>
        </a:lnRef>
        <a:fillRef idx="1">
          <a:scrgbClr r="0" g="0" b="0"/>
        </a:fillRef>
        <a:effectRef idx="0">
          <a:scrgbClr r="0" g="0" b="0"/>
        </a:effectRef>
        <a:fontRef idx="minor"/>
      </dsp:style>
    </dsp:sp>
    <dsp:sp modelId="{977EEFD9-4113-4569-86AC-8086136F459E}">
      <dsp:nvSpPr>
        <dsp:cNvPr id="0" name=""/>
        <dsp:cNvSpPr/>
      </dsp:nvSpPr>
      <dsp:spPr>
        <a:xfrm>
          <a:off x="1097451" y="2197102"/>
          <a:ext cx="4974345" cy="619887"/>
        </a:xfrm>
        <a:prstGeom prst="rect">
          <a:avLst/>
        </a:prstGeom>
        <a:solidFill>
          <a:srgbClr val="B4936D">
            <a:hueOff val="9413312"/>
            <a:satOff val="-23276"/>
            <a:lumOff val="-12353"/>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2035" tIns="22860" rIns="22860" bIns="22860" numCol="1" spcCol="1270" anchor="ctr" anchorCtr="0">
          <a:noAutofit/>
        </a:bodyPr>
        <a:lstStyle/>
        <a:p>
          <a:pPr lvl="0" algn="l" defTabSz="400050">
            <a:lnSpc>
              <a:spcPct val="100000"/>
            </a:lnSpc>
            <a:spcBef>
              <a:spcPct val="0"/>
            </a:spcBef>
            <a:spcAft>
              <a:spcPts val="0"/>
            </a:spcAft>
          </a:pPr>
          <a:r>
            <a:rPr lang="x-none" sz="900" kern="1200">
              <a:solidFill>
                <a:srgbClr val="FFFFFF"/>
              </a:solidFill>
              <a:latin typeface="Cambria"/>
              <a:ea typeface="+mn-ea"/>
              <a:cs typeface="+mn-cs"/>
            </a:rPr>
            <a:t>Višegodišnji finansijski okvir EU 2020-2027</a:t>
          </a:r>
        </a:p>
        <a:p>
          <a:pPr lvl="0" algn="l" defTabSz="400050">
            <a:lnSpc>
              <a:spcPct val="100000"/>
            </a:lnSpc>
            <a:spcBef>
              <a:spcPct val="0"/>
            </a:spcBef>
            <a:spcAft>
              <a:spcPts val="0"/>
            </a:spcAft>
          </a:pPr>
          <a:r>
            <a:rPr lang="x-none" sz="900" kern="1200">
              <a:solidFill>
                <a:srgbClr val="FFFFFF"/>
              </a:solidFill>
              <a:latin typeface="Cambria"/>
              <a:ea typeface="+mn-ea"/>
              <a:cs typeface="+mn-cs"/>
            </a:rPr>
            <a:t>Nacrt IPA III</a:t>
          </a:r>
        </a:p>
        <a:p>
          <a:pPr lvl="0" algn="l" defTabSz="400050">
            <a:lnSpc>
              <a:spcPct val="100000"/>
            </a:lnSpc>
            <a:spcBef>
              <a:spcPct val="0"/>
            </a:spcBef>
            <a:spcAft>
              <a:spcPts val="0"/>
            </a:spcAft>
          </a:pPr>
          <a:r>
            <a:rPr lang="x-none" sz="900" kern="1200">
              <a:solidFill>
                <a:srgbClr val="FFFFFF"/>
              </a:solidFill>
              <a:latin typeface="Cambria"/>
              <a:ea typeface="+mn-ea"/>
              <a:cs typeface="+mn-cs"/>
            </a:rPr>
            <a:t>Program portugalskog predsjedništva Savjetom EU</a:t>
          </a:r>
        </a:p>
        <a:p>
          <a:pPr lvl="0" algn="l" defTabSz="400050">
            <a:lnSpc>
              <a:spcPct val="100000"/>
            </a:lnSpc>
            <a:spcBef>
              <a:spcPct val="0"/>
            </a:spcBef>
            <a:spcAft>
              <a:spcPts val="0"/>
            </a:spcAft>
          </a:pPr>
          <a:r>
            <a:rPr lang="x-none" sz="900" kern="1200">
              <a:solidFill>
                <a:srgbClr val="FFFFFF"/>
              </a:solidFill>
              <a:latin typeface="Cambria"/>
              <a:ea typeface="+mn-ea"/>
              <a:cs typeface="+mn-cs"/>
            </a:rPr>
            <a:t>Berlinska deklaracija</a:t>
          </a:r>
        </a:p>
      </dsp:txBody>
      <dsp:txXfrm>
        <a:off x="1097451" y="2197102"/>
        <a:ext cx="4974345" cy="619887"/>
      </dsp:txXfrm>
    </dsp:sp>
    <dsp:sp modelId="{5B7E447F-6F64-48DC-9B2B-35720BEA434E}">
      <dsp:nvSpPr>
        <dsp:cNvPr id="0" name=""/>
        <dsp:cNvSpPr/>
      </dsp:nvSpPr>
      <dsp:spPr>
        <a:xfrm>
          <a:off x="221278" y="2052085"/>
          <a:ext cx="880061" cy="854924"/>
        </a:xfrm>
        <a:prstGeom prst="ellipse">
          <a:avLst/>
        </a:prstGeom>
        <a:solidFill>
          <a:srgbClr val="FFFFFF">
            <a:hueOff val="0"/>
            <a:satOff val="0"/>
            <a:lumOff val="0"/>
            <a:alphaOff val="0"/>
          </a:srgbClr>
        </a:solidFill>
        <a:ln w="25400" cap="flat" cmpd="sng" algn="ctr">
          <a:solidFill>
            <a:srgbClr val="B4936D">
              <a:hueOff val="9413312"/>
              <a:satOff val="-23276"/>
              <a:lumOff val="-12353"/>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2AE6B1-A5E8-4EE4-BD67-AFF7FCC44BDB}">
      <dsp:nvSpPr>
        <dsp:cNvPr id="0" name=""/>
        <dsp:cNvSpPr/>
      </dsp:nvSpPr>
      <dsp:spPr>
        <a:xfrm>
          <a:off x="2165" y="39610"/>
          <a:ext cx="2717553" cy="532935"/>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100000"/>
            </a:lnSpc>
            <a:spcBef>
              <a:spcPct val="0"/>
            </a:spcBef>
            <a:spcAft>
              <a:spcPts val="0"/>
            </a:spcAft>
          </a:pPr>
          <a:r>
            <a:rPr lang="x-none" sz="1100" b="1" kern="1200">
              <a:latin typeface="+mj-lt"/>
            </a:rPr>
            <a:t>Strategija reforme javne uprave</a:t>
          </a:r>
        </a:p>
        <a:p>
          <a:pPr lvl="0" algn="ctr" defTabSz="488950">
            <a:lnSpc>
              <a:spcPct val="100000"/>
            </a:lnSpc>
            <a:spcBef>
              <a:spcPct val="0"/>
            </a:spcBef>
            <a:spcAft>
              <a:spcPts val="0"/>
            </a:spcAft>
          </a:pPr>
          <a:r>
            <a:rPr lang="x-none" sz="1100" b="1" kern="1200">
              <a:latin typeface="+mj-lt"/>
            </a:rPr>
            <a:t> 2022-2026</a:t>
          </a:r>
          <a:r>
            <a:rPr lang="en-US" sz="1100" b="1" kern="1200">
              <a:latin typeface="+mj-lt"/>
            </a:rPr>
            <a:t>.</a:t>
          </a:r>
        </a:p>
      </dsp:txBody>
      <dsp:txXfrm>
        <a:off x="17774" y="55219"/>
        <a:ext cx="2686335" cy="501717"/>
      </dsp:txXfrm>
    </dsp:sp>
    <dsp:sp modelId="{A7F8E8A4-9A41-4618-96D5-0B1F5A5FE567}">
      <dsp:nvSpPr>
        <dsp:cNvPr id="0" name=""/>
        <dsp:cNvSpPr/>
      </dsp:nvSpPr>
      <dsp:spPr>
        <a:xfrm>
          <a:off x="273921" y="572545"/>
          <a:ext cx="271755" cy="702953"/>
        </a:xfrm>
        <a:custGeom>
          <a:avLst/>
          <a:gdLst/>
          <a:ahLst/>
          <a:cxnLst/>
          <a:rect l="0" t="0" r="0" b="0"/>
          <a:pathLst>
            <a:path>
              <a:moveTo>
                <a:pt x="0" y="0"/>
              </a:moveTo>
              <a:lnTo>
                <a:pt x="0" y="702953"/>
              </a:lnTo>
              <a:lnTo>
                <a:pt x="271755" y="70295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F77715-FE19-41AC-84D2-AF9B182E9B45}">
      <dsp:nvSpPr>
        <dsp:cNvPr id="0" name=""/>
        <dsp:cNvSpPr/>
      </dsp:nvSpPr>
      <dsp:spPr>
        <a:xfrm>
          <a:off x="545676" y="700597"/>
          <a:ext cx="2269924" cy="1149801"/>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lvl="0" algn="l" defTabSz="444500">
            <a:lnSpc>
              <a:spcPct val="90000"/>
            </a:lnSpc>
            <a:spcBef>
              <a:spcPct val="0"/>
            </a:spcBef>
            <a:spcAft>
              <a:spcPct val="35000"/>
            </a:spcAft>
          </a:pPr>
          <a:r>
            <a:rPr lang="x-none" sz="1000" kern="1200">
              <a:latin typeface="+mj-lt"/>
            </a:rPr>
            <a:t>FUNKCIONALNOST I ODGOVORNOST</a:t>
          </a:r>
          <a:endParaRPr lang="en-US" sz="1000" kern="1200">
            <a:latin typeface="+mj-lt"/>
          </a:endParaRPr>
        </a:p>
        <a:p>
          <a:pPr marL="57150" lvl="1" indent="-57150" algn="just" defTabSz="444500">
            <a:lnSpc>
              <a:spcPct val="90000"/>
            </a:lnSpc>
            <a:spcBef>
              <a:spcPct val="0"/>
            </a:spcBef>
            <a:spcAft>
              <a:spcPct val="15000"/>
            </a:spcAft>
            <a:buChar char="••"/>
          </a:pPr>
          <a:r>
            <a:rPr lang="x-none" sz="1000" kern="1200">
              <a:latin typeface="+mj-lt"/>
            </a:rPr>
            <a:t> </a:t>
          </a:r>
          <a:r>
            <a:rPr lang="sr-Latn-ME" sz="1000" kern="1200">
              <a:latin typeface="+mj-lt"/>
            </a:rPr>
            <a:t>Planiranje i i</a:t>
          </a:r>
          <a:r>
            <a:rPr lang="en-US" sz="1000" b="1" kern="1200">
              <a:latin typeface="+mj-lt"/>
            </a:rPr>
            <a:t>zvještavanje</a:t>
          </a:r>
          <a:r>
            <a:rPr lang="en-US" sz="1000" kern="1200">
              <a:latin typeface="+mj-lt"/>
            </a:rPr>
            <a:t> o radu organa na osnovu realizacije ciljeva i indikatora uspješnosti</a:t>
          </a:r>
        </a:p>
        <a:p>
          <a:pPr marL="57150" lvl="1" indent="-57150" algn="just" defTabSz="444500">
            <a:lnSpc>
              <a:spcPct val="90000"/>
            </a:lnSpc>
            <a:spcBef>
              <a:spcPct val="0"/>
            </a:spcBef>
            <a:spcAft>
              <a:spcPct val="15000"/>
            </a:spcAft>
            <a:buChar char="••"/>
          </a:pPr>
          <a:r>
            <a:rPr lang="x-none" sz="1000" kern="1200">
              <a:latin typeface="+mj-lt"/>
            </a:rPr>
            <a:t> </a:t>
          </a:r>
          <a:r>
            <a:rPr lang="x-none" sz="1000" b="1" kern="1200">
              <a:solidFill>
                <a:sysClr val="windowText" lastClr="000000"/>
              </a:solidFill>
              <a:latin typeface="+mj-lt"/>
            </a:rPr>
            <a:t>Upravljačka odgovornost</a:t>
          </a:r>
          <a:endParaRPr lang="en-US" sz="1000" b="1" kern="1200">
            <a:solidFill>
              <a:sysClr val="windowText" lastClr="000000"/>
            </a:solidFill>
            <a:latin typeface="+mj-lt"/>
          </a:endParaRPr>
        </a:p>
        <a:p>
          <a:pPr marL="57150" lvl="1" indent="-57150" algn="just" defTabSz="444500">
            <a:lnSpc>
              <a:spcPct val="90000"/>
            </a:lnSpc>
            <a:spcBef>
              <a:spcPct val="0"/>
            </a:spcBef>
            <a:spcAft>
              <a:spcPct val="15000"/>
            </a:spcAft>
            <a:buChar char="••"/>
          </a:pPr>
          <a:r>
            <a:rPr lang="x-none" sz="1000" kern="1200">
              <a:latin typeface="+mj-lt"/>
            </a:rPr>
            <a:t> </a:t>
          </a:r>
          <a:r>
            <a:rPr lang="x-none" sz="1000" b="1" kern="1200">
              <a:latin typeface="+mj-lt"/>
            </a:rPr>
            <a:t>Upravno-inspekcijski nadzor</a:t>
          </a:r>
          <a:endParaRPr lang="en-US" sz="1000" b="1" kern="1200">
            <a:latin typeface="+mj-lt"/>
          </a:endParaRPr>
        </a:p>
        <a:p>
          <a:pPr marL="57150" lvl="1" indent="-57150" algn="l" defTabSz="444500">
            <a:lnSpc>
              <a:spcPct val="90000"/>
            </a:lnSpc>
            <a:spcBef>
              <a:spcPct val="0"/>
            </a:spcBef>
            <a:spcAft>
              <a:spcPct val="15000"/>
            </a:spcAft>
            <a:buChar char="••"/>
          </a:pPr>
          <a:r>
            <a:rPr lang="sr-Latn-RS" sz="1000" kern="1200">
              <a:latin typeface="+mj-lt"/>
            </a:rPr>
            <a:t> </a:t>
          </a:r>
          <a:r>
            <a:rPr lang="x-none" sz="1000" kern="1200">
              <a:latin typeface="+mj-lt"/>
            </a:rPr>
            <a:t>Sistem </a:t>
          </a:r>
          <a:r>
            <a:rPr lang="x-none" sz="1000" b="1" kern="1200">
              <a:latin typeface="+mj-lt"/>
            </a:rPr>
            <a:t>funkcionisanja</a:t>
          </a:r>
          <a:r>
            <a:rPr lang="x-none" sz="1000" kern="1200">
              <a:latin typeface="+mj-lt"/>
            </a:rPr>
            <a:t> </a:t>
          </a:r>
          <a:r>
            <a:rPr lang="en-US" sz="1000" kern="1200">
              <a:latin typeface="+mj-lt"/>
            </a:rPr>
            <a:t>JLS</a:t>
          </a:r>
        </a:p>
      </dsp:txBody>
      <dsp:txXfrm>
        <a:off x="579353" y="734274"/>
        <a:ext cx="2202570" cy="1082447"/>
      </dsp:txXfrm>
    </dsp:sp>
    <dsp:sp modelId="{C05468DE-EF30-4902-9DCB-6AF6A8402348}">
      <dsp:nvSpPr>
        <dsp:cNvPr id="0" name=""/>
        <dsp:cNvSpPr/>
      </dsp:nvSpPr>
      <dsp:spPr>
        <a:xfrm>
          <a:off x="273921" y="572545"/>
          <a:ext cx="271755" cy="1989290"/>
        </a:xfrm>
        <a:custGeom>
          <a:avLst/>
          <a:gdLst/>
          <a:ahLst/>
          <a:cxnLst/>
          <a:rect l="0" t="0" r="0" b="0"/>
          <a:pathLst>
            <a:path>
              <a:moveTo>
                <a:pt x="0" y="0"/>
              </a:moveTo>
              <a:lnTo>
                <a:pt x="0" y="1989290"/>
              </a:lnTo>
              <a:lnTo>
                <a:pt x="271755" y="198929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EE7BB4-E4EE-4366-BBBF-EF339CC350E5}">
      <dsp:nvSpPr>
        <dsp:cNvPr id="0" name=""/>
        <dsp:cNvSpPr/>
      </dsp:nvSpPr>
      <dsp:spPr>
        <a:xfrm>
          <a:off x="545676" y="1992993"/>
          <a:ext cx="2269924" cy="1137686"/>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1344759"/>
              <a:satOff val="-3325"/>
              <a:lumOff val="-176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lvl="0" algn="ctr" defTabSz="444500">
            <a:lnSpc>
              <a:spcPct val="90000"/>
            </a:lnSpc>
            <a:spcBef>
              <a:spcPct val="0"/>
            </a:spcBef>
            <a:spcAft>
              <a:spcPct val="35000"/>
            </a:spcAft>
          </a:pPr>
          <a:r>
            <a:rPr lang="x-none" sz="1000" kern="1200">
              <a:latin typeface="+mj-lt"/>
            </a:rPr>
            <a:t>USLUGE</a:t>
          </a:r>
          <a:endParaRPr lang="en-US" sz="1000" kern="1200">
            <a:latin typeface="+mj-lt"/>
          </a:endParaRPr>
        </a:p>
        <a:p>
          <a:pPr marL="57150" lvl="1" indent="-57150" algn="l" defTabSz="444500">
            <a:lnSpc>
              <a:spcPct val="90000"/>
            </a:lnSpc>
            <a:spcBef>
              <a:spcPct val="0"/>
            </a:spcBef>
            <a:spcAft>
              <a:spcPct val="15000"/>
            </a:spcAft>
            <a:buChar char="••"/>
          </a:pPr>
          <a:r>
            <a:rPr lang="sr-Latn-ME" sz="1000" kern="1200">
              <a:latin typeface="+mj-lt"/>
            </a:rPr>
            <a:t> </a:t>
          </a:r>
          <a:r>
            <a:rPr lang="x-none" sz="1000" kern="1200">
              <a:latin typeface="+mj-lt"/>
            </a:rPr>
            <a:t>Digitalizacija usluga </a:t>
          </a:r>
          <a:r>
            <a:rPr lang="x-none" sz="1000" b="1" kern="1200">
              <a:latin typeface="+mj-lt"/>
            </a:rPr>
            <a:t>za građane</a:t>
          </a:r>
          <a:endParaRPr lang="en-US" sz="1000" b="1" kern="1200">
            <a:latin typeface="+mj-lt"/>
          </a:endParaRPr>
        </a:p>
        <a:p>
          <a:pPr marL="57150" lvl="1" indent="-57150" algn="just" defTabSz="444500">
            <a:lnSpc>
              <a:spcPct val="90000"/>
            </a:lnSpc>
            <a:spcBef>
              <a:spcPct val="0"/>
            </a:spcBef>
            <a:spcAft>
              <a:spcPct val="15000"/>
            </a:spcAft>
            <a:buChar char="••"/>
          </a:pPr>
          <a:r>
            <a:rPr lang="sr-Latn-ME" sz="1000" b="1" kern="1200">
              <a:latin typeface="+mj-lt"/>
            </a:rPr>
            <a:t> </a:t>
          </a:r>
          <a:r>
            <a:rPr lang="x-none" sz="1000" b="1" kern="1200">
              <a:latin typeface="+mj-lt"/>
            </a:rPr>
            <a:t>Elektronsko upravljanje dokumentima </a:t>
          </a:r>
          <a:r>
            <a:rPr lang="x-none" sz="1000" kern="1200">
              <a:latin typeface="+mj-lt"/>
            </a:rPr>
            <a:t>(pilot MFSS i ostali subjekti)</a:t>
          </a:r>
          <a:endParaRPr lang="en-US" sz="1000" kern="1200">
            <a:latin typeface="+mj-lt"/>
          </a:endParaRPr>
        </a:p>
        <a:p>
          <a:pPr marL="57150" lvl="1" indent="-57150" algn="just" defTabSz="444500">
            <a:lnSpc>
              <a:spcPct val="90000"/>
            </a:lnSpc>
            <a:spcBef>
              <a:spcPct val="0"/>
            </a:spcBef>
            <a:spcAft>
              <a:spcPct val="15000"/>
            </a:spcAft>
            <a:buChar char="••"/>
          </a:pPr>
          <a:r>
            <a:rPr lang="x-none" sz="1000" kern="1200">
              <a:latin typeface="+mj-lt"/>
            </a:rPr>
            <a:t> </a:t>
          </a:r>
          <a:r>
            <a:rPr lang="x-none" sz="1000" b="1" kern="1200">
              <a:latin typeface="+mj-lt"/>
            </a:rPr>
            <a:t>Interoperabilnost informacionih sistema u cilju pojednostavljivanja razmjene podataka</a:t>
          </a:r>
          <a:endParaRPr lang="en-US" sz="1000" b="1" kern="1200">
            <a:latin typeface="+mj-lt"/>
          </a:endParaRPr>
        </a:p>
      </dsp:txBody>
      <dsp:txXfrm>
        <a:off x="578998" y="2026315"/>
        <a:ext cx="2203280" cy="1071042"/>
      </dsp:txXfrm>
    </dsp:sp>
    <dsp:sp modelId="{DAE75DAC-1D80-4E28-A9F0-575C0CFBD5C3}">
      <dsp:nvSpPr>
        <dsp:cNvPr id="0" name=""/>
        <dsp:cNvSpPr/>
      </dsp:nvSpPr>
      <dsp:spPr>
        <a:xfrm>
          <a:off x="273921" y="572545"/>
          <a:ext cx="271755" cy="3154840"/>
        </a:xfrm>
        <a:custGeom>
          <a:avLst/>
          <a:gdLst/>
          <a:ahLst/>
          <a:cxnLst/>
          <a:rect l="0" t="0" r="0" b="0"/>
          <a:pathLst>
            <a:path>
              <a:moveTo>
                <a:pt x="0" y="0"/>
              </a:moveTo>
              <a:lnTo>
                <a:pt x="0" y="3154840"/>
              </a:lnTo>
              <a:lnTo>
                <a:pt x="271755" y="315484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43679C-975C-4822-8454-A823594CC3E0}">
      <dsp:nvSpPr>
        <dsp:cNvPr id="0" name=""/>
        <dsp:cNvSpPr/>
      </dsp:nvSpPr>
      <dsp:spPr>
        <a:xfrm>
          <a:off x="545676" y="3290894"/>
          <a:ext cx="2269924" cy="872984"/>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2689518"/>
              <a:satOff val="-6650"/>
              <a:lumOff val="-352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lvl="0" algn="ctr" defTabSz="444500">
            <a:lnSpc>
              <a:spcPct val="90000"/>
            </a:lnSpc>
            <a:spcBef>
              <a:spcPct val="0"/>
            </a:spcBef>
            <a:spcAft>
              <a:spcPct val="35000"/>
            </a:spcAft>
          </a:pPr>
          <a:r>
            <a:rPr lang="x-none" sz="1000" kern="1200">
              <a:latin typeface="+mj-lt"/>
            </a:rPr>
            <a:t>TRANSPARENTNOST</a:t>
          </a:r>
          <a:endParaRPr lang="en-US" sz="1000" kern="1200">
            <a:latin typeface="+mj-lt"/>
          </a:endParaRPr>
        </a:p>
        <a:p>
          <a:pPr marL="57150" lvl="1" indent="-57150" algn="just" defTabSz="444500">
            <a:lnSpc>
              <a:spcPct val="90000"/>
            </a:lnSpc>
            <a:spcBef>
              <a:spcPct val="0"/>
            </a:spcBef>
            <a:spcAft>
              <a:spcPct val="15000"/>
            </a:spcAft>
            <a:buChar char="••"/>
          </a:pPr>
          <a:r>
            <a:rPr lang="x-none" sz="1000" kern="1200">
              <a:latin typeface="+mj-lt"/>
            </a:rPr>
            <a:t> </a:t>
          </a:r>
          <a:r>
            <a:rPr lang="x-none" sz="1000" b="1" kern="1200">
              <a:latin typeface="+mj-lt"/>
            </a:rPr>
            <a:t>Podaci dostupni na portalu otvorenih podataka</a:t>
          </a:r>
          <a:endParaRPr lang="en-US" sz="1000" b="1" kern="1200">
            <a:latin typeface="+mj-lt"/>
          </a:endParaRPr>
        </a:p>
        <a:p>
          <a:pPr marL="57150" lvl="1" indent="-57150" algn="just" defTabSz="444500">
            <a:lnSpc>
              <a:spcPct val="90000"/>
            </a:lnSpc>
            <a:spcBef>
              <a:spcPct val="0"/>
            </a:spcBef>
            <a:spcAft>
              <a:spcPct val="15000"/>
            </a:spcAft>
            <a:buChar char="••"/>
          </a:pPr>
          <a:r>
            <a:rPr lang="sr-Latn-ME" sz="1000" b="1" kern="1200">
              <a:latin typeface="+mj-lt"/>
            </a:rPr>
            <a:t> </a:t>
          </a:r>
          <a:r>
            <a:rPr lang="x-none" sz="1000" b="1" kern="1200">
              <a:latin typeface="+mj-lt"/>
            </a:rPr>
            <a:t>Proaktivno objavljivanje informacija u posjedu javnih organa</a:t>
          </a:r>
          <a:endParaRPr lang="en-US" sz="1000" b="1" kern="1200">
            <a:latin typeface="+mj-lt"/>
          </a:endParaRPr>
        </a:p>
      </dsp:txBody>
      <dsp:txXfrm>
        <a:off x="571245" y="3316463"/>
        <a:ext cx="2218786" cy="821846"/>
      </dsp:txXfrm>
    </dsp:sp>
    <dsp:sp modelId="{78CD2E55-0AFA-49E7-A884-F1132F463EED}">
      <dsp:nvSpPr>
        <dsp:cNvPr id="0" name=""/>
        <dsp:cNvSpPr/>
      </dsp:nvSpPr>
      <dsp:spPr>
        <a:xfrm>
          <a:off x="273921" y="572545"/>
          <a:ext cx="271755" cy="4081154"/>
        </a:xfrm>
        <a:custGeom>
          <a:avLst/>
          <a:gdLst/>
          <a:ahLst/>
          <a:cxnLst/>
          <a:rect l="0" t="0" r="0" b="0"/>
          <a:pathLst>
            <a:path>
              <a:moveTo>
                <a:pt x="0" y="0"/>
              </a:moveTo>
              <a:lnTo>
                <a:pt x="0" y="4081154"/>
              </a:lnTo>
              <a:lnTo>
                <a:pt x="271755" y="4081154"/>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6C0534-BA16-4474-9D95-3FE679543832}">
      <dsp:nvSpPr>
        <dsp:cNvPr id="0" name=""/>
        <dsp:cNvSpPr/>
      </dsp:nvSpPr>
      <dsp:spPr>
        <a:xfrm>
          <a:off x="545676" y="4306458"/>
          <a:ext cx="2269924" cy="694483"/>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4034277"/>
              <a:satOff val="-9975"/>
              <a:lumOff val="-5294"/>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lvl="0" algn="ctr" defTabSz="444500">
            <a:lnSpc>
              <a:spcPct val="90000"/>
            </a:lnSpc>
            <a:spcBef>
              <a:spcPct val="0"/>
            </a:spcBef>
            <a:spcAft>
              <a:spcPct val="35000"/>
            </a:spcAft>
          </a:pPr>
          <a:r>
            <a:rPr lang="x-none" sz="1000" kern="1200">
              <a:latin typeface="+mj-lt"/>
            </a:rPr>
            <a:t>JAVNE POLITIKE</a:t>
          </a:r>
          <a:endParaRPr lang="en-US" sz="1000" kern="1200">
            <a:latin typeface="+mj-lt"/>
          </a:endParaRPr>
        </a:p>
        <a:p>
          <a:pPr marL="57150" lvl="1" indent="-57150" algn="l" defTabSz="444500">
            <a:lnSpc>
              <a:spcPct val="90000"/>
            </a:lnSpc>
            <a:spcBef>
              <a:spcPct val="0"/>
            </a:spcBef>
            <a:spcAft>
              <a:spcPct val="15000"/>
            </a:spcAft>
            <a:buChar char="••"/>
          </a:pPr>
          <a:r>
            <a:rPr lang="sr-Latn-ME" sz="1000" kern="1200">
              <a:latin typeface="+mj-lt"/>
            </a:rPr>
            <a:t> </a:t>
          </a:r>
          <a:r>
            <a:rPr lang="x-none" sz="1000" kern="1200">
              <a:latin typeface="+mj-lt"/>
            </a:rPr>
            <a:t>Kvalitet održavanja </a:t>
          </a:r>
          <a:r>
            <a:rPr lang="x-none" sz="1000" b="1" kern="1200">
              <a:latin typeface="+mj-lt"/>
            </a:rPr>
            <a:t>javnih konsultacija</a:t>
          </a:r>
          <a:endParaRPr lang="en-US" sz="1000" b="1" kern="1200">
            <a:latin typeface="+mj-lt"/>
          </a:endParaRPr>
        </a:p>
        <a:p>
          <a:pPr marL="57150" lvl="1" indent="-57150" algn="just" defTabSz="444500">
            <a:lnSpc>
              <a:spcPct val="90000"/>
            </a:lnSpc>
            <a:spcBef>
              <a:spcPct val="0"/>
            </a:spcBef>
            <a:spcAft>
              <a:spcPct val="15000"/>
            </a:spcAft>
            <a:buChar char="••"/>
          </a:pPr>
          <a:r>
            <a:rPr lang="sr-Latn-ME" sz="1000" b="1" kern="1200">
              <a:latin typeface="+mj-lt"/>
            </a:rPr>
            <a:t> </a:t>
          </a:r>
          <a:r>
            <a:rPr lang="x-none" sz="1000" b="1" kern="1200">
              <a:latin typeface="+mj-lt"/>
            </a:rPr>
            <a:t>Portal e-participacija i e-peticija</a:t>
          </a:r>
          <a:endParaRPr lang="en-US" sz="1000" b="1" kern="1200">
            <a:latin typeface="+mj-lt"/>
          </a:endParaRPr>
        </a:p>
        <a:p>
          <a:pPr marL="57150" lvl="1" indent="-57150" algn="just" defTabSz="444500">
            <a:lnSpc>
              <a:spcPct val="90000"/>
            </a:lnSpc>
            <a:spcBef>
              <a:spcPct val="0"/>
            </a:spcBef>
            <a:spcAft>
              <a:spcPct val="15000"/>
            </a:spcAft>
            <a:buChar char="••"/>
          </a:pPr>
          <a:r>
            <a:rPr lang="sr-Latn-ME" sz="1000" b="1" kern="1200">
              <a:latin typeface="+mj-lt"/>
            </a:rPr>
            <a:t> </a:t>
          </a:r>
          <a:r>
            <a:rPr lang="x-none" sz="1000" b="1" kern="1200">
              <a:latin typeface="+mj-lt"/>
            </a:rPr>
            <a:t>Kvalitet kreiranja javnih politika sa RIA</a:t>
          </a:r>
          <a:endParaRPr lang="en-US" sz="1000" b="1" kern="1200">
            <a:latin typeface="+mj-lt"/>
          </a:endParaRPr>
        </a:p>
      </dsp:txBody>
      <dsp:txXfrm>
        <a:off x="566017" y="4326799"/>
        <a:ext cx="2229242" cy="653801"/>
      </dsp:txXfrm>
    </dsp:sp>
    <dsp:sp modelId="{FF692F53-A4F3-4CC9-B24C-55F1EC170A3E}">
      <dsp:nvSpPr>
        <dsp:cNvPr id="0" name=""/>
        <dsp:cNvSpPr/>
      </dsp:nvSpPr>
      <dsp:spPr>
        <a:xfrm>
          <a:off x="3429071" y="39610"/>
          <a:ext cx="2996867" cy="492474"/>
        </a:xfrm>
        <a:prstGeom prst="roundRect">
          <a:avLst>
            <a:gd name="adj" fmla="val 10000"/>
          </a:avLst>
        </a:prstGeom>
        <a:gradFill rotWithShape="0">
          <a:gsLst>
            <a:gs pos="0">
              <a:schemeClr val="accent4">
                <a:hueOff val="9413312"/>
                <a:satOff val="-23276"/>
                <a:lumOff val="-12353"/>
                <a:alphaOff val="0"/>
                <a:tint val="50000"/>
                <a:satMod val="300000"/>
              </a:schemeClr>
            </a:gs>
            <a:gs pos="35000">
              <a:schemeClr val="accent4">
                <a:hueOff val="9413312"/>
                <a:satOff val="-23276"/>
                <a:lumOff val="-12353"/>
                <a:alphaOff val="0"/>
                <a:tint val="37000"/>
                <a:satMod val="300000"/>
              </a:schemeClr>
            </a:gs>
            <a:gs pos="100000">
              <a:schemeClr val="accent4">
                <a:hueOff val="9413312"/>
                <a:satOff val="-23276"/>
                <a:lumOff val="-1235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x-none" sz="1100" b="1" kern="1200">
              <a:latin typeface="+mj-lt"/>
            </a:rPr>
            <a:t>Program reforme javnih finansija </a:t>
          </a:r>
        </a:p>
        <a:p>
          <a:pPr lvl="0" algn="ctr" defTabSz="488950">
            <a:lnSpc>
              <a:spcPct val="90000"/>
            </a:lnSpc>
            <a:spcBef>
              <a:spcPct val="0"/>
            </a:spcBef>
            <a:spcAft>
              <a:spcPct val="35000"/>
            </a:spcAft>
          </a:pPr>
          <a:r>
            <a:rPr lang="x-none" sz="1100" b="1" kern="1200">
              <a:latin typeface="+mj-lt"/>
            </a:rPr>
            <a:t>2022-2026</a:t>
          </a:r>
          <a:r>
            <a:rPr lang="en-US" sz="1100" b="1" kern="1200">
              <a:latin typeface="+mj-lt"/>
            </a:rPr>
            <a:t>.</a:t>
          </a:r>
        </a:p>
      </dsp:txBody>
      <dsp:txXfrm>
        <a:off x="3443495" y="54034"/>
        <a:ext cx="2968019" cy="463626"/>
      </dsp:txXfrm>
    </dsp:sp>
    <dsp:sp modelId="{DAB16451-CA98-4480-927D-DE12746120AF}">
      <dsp:nvSpPr>
        <dsp:cNvPr id="0" name=""/>
        <dsp:cNvSpPr/>
      </dsp:nvSpPr>
      <dsp:spPr>
        <a:xfrm>
          <a:off x="3728757" y="532084"/>
          <a:ext cx="299686" cy="657802"/>
        </a:xfrm>
        <a:custGeom>
          <a:avLst/>
          <a:gdLst/>
          <a:ahLst/>
          <a:cxnLst/>
          <a:rect l="0" t="0" r="0" b="0"/>
          <a:pathLst>
            <a:path>
              <a:moveTo>
                <a:pt x="0" y="0"/>
              </a:moveTo>
              <a:lnTo>
                <a:pt x="0" y="657802"/>
              </a:lnTo>
              <a:lnTo>
                <a:pt x="299686" y="65780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6FC1B4-187C-49F7-B30A-2B13329B8B05}">
      <dsp:nvSpPr>
        <dsp:cNvPr id="0" name=""/>
        <dsp:cNvSpPr/>
      </dsp:nvSpPr>
      <dsp:spPr>
        <a:xfrm>
          <a:off x="4028444" y="692312"/>
          <a:ext cx="2269924" cy="99514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5379036"/>
              <a:satOff val="-13301"/>
              <a:lumOff val="-705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lvl="0" algn="just" defTabSz="444500">
            <a:lnSpc>
              <a:spcPct val="90000"/>
            </a:lnSpc>
            <a:spcBef>
              <a:spcPct val="0"/>
            </a:spcBef>
            <a:spcAft>
              <a:spcPct val="35000"/>
            </a:spcAft>
          </a:pPr>
          <a:r>
            <a:rPr lang="x-none" sz="1000" kern="1200">
              <a:latin typeface="+mj-lt"/>
            </a:rPr>
            <a:t> </a:t>
          </a:r>
          <a:r>
            <a:rPr lang="x-none" sz="1000" kern="1200">
              <a:latin typeface="+mj-lt"/>
              <a:cs typeface="Calibri" panose="020F0502020204030204" pitchFamily="34" charset="0"/>
            </a:rPr>
            <a:t>•</a:t>
          </a:r>
          <a:r>
            <a:rPr lang="sr-Latn-RS" sz="1000" kern="1200">
              <a:latin typeface="+mj-lt"/>
              <a:cs typeface="Calibri" panose="020F0502020204030204" pitchFamily="34" charset="0"/>
            </a:rPr>
            <a:t> </a:t>
          </a:r>
          <a:r>
            <a:rPr lang="en-US" sz="1000" kern="1200">
              <a:latin typeface="+mj-lt"/>
            </a:rPr>
            <a:t>Srednjoročno </a:t>
          </a:r>
          <a:r>
            <a:rPr lang="en-US" sz="1000" b="1" kern="1200">
              <a:latin typeface="+mj-lt"/>
            </a:rPr>
            <a:t>planiranje</a:t>
          </a:r>
          <a:r>
            <a:rPr lang="en-US" sz="1000" kern="1200">
              <a:latin typeface="+mj-lt"/>
            </a:rPr>
            <a:t> programa rada + Programski budžet</a:t>
          </a:r>
        </a:p>
        <a:p>
          <a:pPr marL="57150" lvl="1" indent="-57150" algn="just" defTabSz="444500">
            <a:lnSpc>
              <a:spcPct val="90000"/>
            </a:lnSpc>
            <a:spcBef>
              <a:spcPct val="0"/>
            </a:spcBef>
            <a:spcAft>
              <a:spcPct val="15000"/>
            </a:spcAft>
            <a:buChar char="••"/>
          </a:pPr>
          <a:r>
            <a:rPr lang="sr-Latn-RS" sz="1000" kern="1200">
              <a:latin typeface="+mj-lt"/>
            </a:rPr>
            <a:t> Upravljačka odgovornost, </a:t>
          </a:r>
          <a:r>
            <a:rPr lang="en-US" sz="1000" b="1" kern="1200">
              <a:latin typeface="+mj-lt"/>
            </a:rPr>
            <a:t>Unutrašnje kontrole</a:t>
          </a:r>
          <a:r>
            <a:rPr lang="x-none" sz="1000" b="1" kern="1200">
              <a:latin typeface="+mj-lt"/>
            </a:rPr>
            <a:t> (PIFC)</a:t>
          </a:r>
          <a:r>
            <a:rPr lang="en-US" sz="1000" b="1" kern="1200">
              <a:latin typeface="+mj-lt"/>
            </a:rPr>
            <a:t>, revizija</a:t>
          </a:r>
          <a:endParaRPr lang="en-US" sz="1000" kern="1200">
            <a:solidFill>
              <a:srgbClr val="FF0000"/>
            </a:solidFill>
            <a:latin typeface="+mj-lt"/>
          </a:endParaRPr>
        </a:p>
        <a:p>
          <a:pPr marL="57150" lvl="1" indent="-57150" algn="just" defTabSz="444500">
            <a:lnSpc>
              <a:spcPct val="90000"/>
            </a:lnSpc>
            <a:spcBef>
              <a:spcPct val="0"/>
            </a:spcBef>
            <a:spcAft>
              <a:spcPct val="15000"/>
            </a:spcAft>
            <a:buChar char="••"/>
          </a:pPr>
          <a:r>
            <a:rPr lang="en-US" sz="1000" kern="1200">
              <a:latin typeface="+mj-lt"/>
            </a:rPr>
            <a:t> Rad </a:t>
          </a:r>
          <a:r>
            <a:rPr lang="en-US" sz="1000" b="1" kern="1200">
              <a:latin typeface="+mj-lt"/>
            </a:rPr>
            <a:t>Budžetske inspekcije</a:t>
          </a:r>
          <a:endParaRPr lang="en-US" sz="1000" kern="1200">
            <a:solidFill>
              <a:srgbClr val="FF0000"/>
            </a:solidFill>
            <a:latin typeface="+mj-lt"/>
          </a:endParaRPr>
        </a:p>
        <a:p>
          <a:pPr marL="57150" lvl="1" indent="-57150" algn="just" defTabSz="444500">
            <a:lnSpc>
              <a:spcPct val="90000"/>
            </a:lnSpc>
            <a:spcBef>
              <a:spcPct val="0"/>
            </a:spcBef>
            <a:spcAft>
              <a:spcPct val="15000"/>
            </a:spcAft>
            <a:buChar char="••"/>
          </a:pPr>
          <a:r>
            <a:rPr lang="sr-Latn-RS" sz="1000" kern="1200">
              <a:latin typeface="+mj-lt"/>
            </a:rPr>
            <a:t> </a:t>
          </a:r>
          <a:r>
            <a:rPr lang="en-US" sz="1000" kern="1200">
              <a:latin typeface="+mj-lt"/>
            </a:rPr>
            <a:t>Sistem </a:t>
          </a:r>
          <a:r>
            <a:rPr lang="en-US" sz="1000" b="1" kern="1200">
              <a:latin typeface="+mj-lt"/>
            </a:rPr>
            <a:t>finansiranja</a:t>
          </a:r>
          <a:r>
            <a:rPr lang="en-US" sz="1000" kern="1200">
              <a:latin typeface="+mj-lt"/>
            </a:rPr>
            <a:t> JLS</a:t>
          </a:r>
        </a:p>
      </dsp:txBody>
      <dsp:txXfrm>
        <a:off x="4057591" y="721459"/>
        <a:ext cx="2211630" cy="936855"/>
      </dsp:txXfrm>
    </dsp:sp>
    <dsp:sp modelId="{18662F23-1196-469E-B6FA-4535FB3CDA55}">
      <dsp:nvSpPr>
        <dsp:cNvPr id="0" name=""/>
        <dsp:cNvSpPr/>
      </dsp:nvSpPr>
      <dsp:spPr>
        <a:xfrm>
          <a:off x="3728757" y="532084"/>
          <a:ext cx="299686" cy="1952128"/>
        </a:xfrm>
        <a:custGeom>
          <a:avLst/>
          <a:gdLst/>
          <a:ahLst/>
          <a:cxnLst/>
          <a:rect l="0" t="0" r="0" b="0"/>
          <a:pathLst>
            <a:path>
              <a:moveTo>
                <a:pt x="0" y="0"/>
              </a:moveTo>
              <a:lnTo>
                <a:pt x="0" y="1952128"/>
              </a:lnTo>
              <a:lnTo>
                <a:pt x="299686" y="1952128"/>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983BF-D6DF-40FD-9472-1F0F4C675090}">
      <dsp:nvSpPr>
        <dsp:cNvPr id="0" name=""/>
        <dsp:cNvSpPr/>
      </dsp:nvSpPr>
      <dsp:spPr>
        <a:xfrm>
          <a:off x="4028444" y="1830084"/>
          <a:ext cx="2269924" cy="1308256"/>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6723794"/>
              <a:satOff val="-16626"/>
              <a:lumOff val="-8824"/>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lvl="0" algn="just" defTabSz="444500">
            <a:lnSpc>
              <a:spcPct val="90000"/>
            </a:lnSpc>
            <a:spcBef>
              <a:spcPct val="0"/>
            </a:spcBef>
            <a:spcAft>
              <a:spcPct val="35000"/>
            </a:spcAft>
          </a:pPr>
          <a:r>
            <a:rPr lang="x-none" sz="1000" kern="1200">
              <a:latin typeface="+mj-lt"/>
            </a:rPr>
            <a:t> </a:t>
          </a:r>
          <a:r>
            <a:rPr lang="x-none" sz="1000" kern="1200">
              <a:latin typeface="+mj-lt"/>
              <a:cs typeface="Calibri" panose="020F0502020204030204" pitchFamily="34" charset="0"/>
            </a:rPr>
            <a:t>•</a:t>
          </a:r>
          <a:r>
            <a:rPr lang="x-none" sz="1000" kern="1200">
              <a:latin typeface="+mj-lt"/>
            </a:rPr>
            <a:t>Digitalizacija usluga </a:t>
          </a:r>
          <a:r>
            <a:rPr lang="x-none" sz="1000" b="1" kern="1200">
              <a:latin typeface="+mj-lt"/>
            </a:rPr>
            <a:t>za privredne subjekte</a:t>
          </a:r>
          <a:endParaRPr lang="sr-Latn-RS" sz="1000" b="1" kern="1200">
            <a:latin typeface="+mj-lt"/>
          </a:endParaRPr>
        </a:p>
        <a:p>
          <a:pPr lvl="0" algn="just" defTabSz="444500">
            <a:lnSpc>
              <a:spcPct val="90000"/>
            </a:lnSpc>
            <a:spcBef>
              <a:spcPct val="0"/>
            </a:spcBef>
            <a:spcAft>
              <a:spcPct val="35000"/>
            </a:spcAft>
          </a:pPr>
          <a:r>
            <a:rPr lang="x-none" sz="1000" b="1" kern="1200">
              <a:latin typeface="+mj-lt"/>
              <a:cs typeface="Calibri" panose="020F0502020204030204" pitchFamily="34" charset="0"/>
            </a:rPr>
            <a:t>•</a:t>
          </a:r>
          <a:r>
            <a:rPr lang="x-none" sz="1000" kern="1200">
              <a:latin typeface="+mj-lt"/>
            </a:rPr>
            <a:t> Sistem elektronske razmjene podataka između MFSS i resornih organa (Uprava carina i prihoda, Uprava za Katarstar i MONSTAT)</a:t>
          </a:r>
          <a:endParaRPr lang="en-US" sz="1000" b="1" kern="1200">
            <a:latin typeface="+mj-lt"/>
          </a:endParaRPr>
        </a:p>
        <a:p>
          <a:pPr marL="57150" lvl="1" indent="-57150" algn="just" defTabSz="444500">
            <a:lnSpc>
              <a:spcPct val="90000"/>
            </a:lnSpc>
            <a:spcBef>
              <a:spcPct val="0"/>
            </a:spcBef>
            <a:spcAft>
              <a:spcPct val="15000"/>
            </a:spcAft>
            <a:buChar char="••"/>
          </a:pPr>
          <a:r>
            <a:rPr lang="x-none" sz="1000" kern="1200">
              <a:latin typeface="+mj-lt"/>
            </a:rPr>
            <a:t>Povezanost registara MFSS na GSB u cilju interoperabilnosti registara</a:t>
          </a:r>
          <a:endParaRPr lang="en-US" sz="1000" kern="1200">
            <a:latin typeface="+mj-lt"/>
          </a:endParaRPr>
        </a:p>
      </dsp:txBody>
      <dsp:txXfrm>
        <a:off x="4066762" y="1868402"/>
        <a:ext cx="2193288" cy="1231620"/>
      </dsp:txXfrm>
    </dsp:sp>
    <dsp:sp modelId="{AF7132FA-9AE6-4133-8C19-CE408976C7DD}">
      <dsp:nvSpPr>
        <dsp:cNvPr id="0" name=""/>
        <dsp:cNvSpPr/>
      </dsp:nvSpPr>
      <dsp:spPr>
        <a:xfrm>
          <a:off x="3728757" y="532084"/>
          <a:ext cx="299686" cy="3198926"/>
        </a:xfrm>
        <a:custGeom>
          <a:avLst/>
          <a:gdLst/>
          <a:ahLst/>
          <a:cxnLst/>
          <a:rect l="0" t="0" r="0" b="0"/>
          <a:pathLst>
            <a:path>
              <a:moveTo>
                <a:pt x="0" y="0"/>
              </a:moveTo>
              <a:lnTo>
                <a:pt x="0" y="3198926"/>
              </a:lnTo>
              <a:lnTo>
                <a:pt x="299686" y="3198926"/>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C44EB5A-0774-413E-BF12-73F732779350}">
      <dsp:nvSpPr>
        <dsp:cNvPr id="0" name=""/>
        <dsp:cNvSpPr/>
      </dsp:nvSpPr>
      <dsp:spPr>
        <a:xfrm>
          <a:off x="4028444" y="3298498"/>
          <a:ext cx="2269924" cy="865025"/>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8068553"/>
              <a:satOff val="-19951"/>
              <a:lumOff val="-1058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lvl="0" algn="l" defTabSz="444500">
            <a:lnSpc>
              <a:spcPct val="90000"/>
            </a:lnSpc>
            <a:spcBef>
              <a:spcPct val="0"/>
            </a:spcBef>
            <a:spcAft>
              <a:spcPct val="35000"/>
            </a:spcAft>
          </a:pPr>
          <a:endParaRPr lang="en-US" sz="1000" kern="1200">
            <a:latin typeface="+mj-lt"/>
          </a:endParaRPr>
        </a:p>
        <a:p>
          <a:pPr marL="57150" lvl="1" indent="-57150" algn="just" defTabSz="444500">
            <a:lnSpc>
              <a:spcPct val="90000"/>
            </a:lnSpc>
            <a:spcBef>
              <a:spcPct val="0"/>
            </a:spcBef>
            <a:spcAft>
              <a:spcPct val="15000"/>
            </a:spcAft>
            <a:buChar char="••"/>
          </a:pPr>
          <a:r>
            <a:rPr lang="x-none" sz="1000" b="1" kern="1200">
              <a:latin typeface="+mj-lt"/>
            </a:rPr>
            <a:t>Transparentnost budžeta</a:t>
          </a:r>
          <a:endParaRPr lang="en-US" sz="1000" b="1" kern="1200">
            <a:latin typeface="+mj-lt"/>
          </a:endParaRPr>
        </a:p>
        <a:p>
          <a:pPr marL="57150" lvl="1" indent="-57150" algn="just" defTabSz="444500">
            <a:lnSpc>
              <a:spcPct val="90000"/>
            </a:lnSpc>
            <a:spcBef>
              <a:spcPct val="0"/>
            </a:spcBef>
            <a:spcAft>
              <a:spcPct val="15000"/>
            </a:spcAft>
            <a:buChar char="••"/>
          </a:pPr>
          <a:r>
            <a:rPr lang="x-none" sz="1000" b="1" kern="1200">
              <a:latin typeface="+mj-lt"/>
            </a:rPr>
            <a:t>Budžet u mašinsko čitljivom formatu</a:t>
          </a:r>
          <a:endParaRPr lang="en-US" sz="1000" b="1" kern="1200">
            <a:latin typeface="+mj-lt"/>
          </a:endParaRPr>
        </a:p>
      </dsp:txBody>
      <dsp:txXfrm>
        <a:off x="4053780" y="3323834"/>
        <a:ext cx="2219252" cy="814353"/>
      </dsp:txXfrm>
    </dsp:sp>
    <dsp:sp modelId="{7998B841-2AA1-4C97-9E9F-33208AA6CAEB}">
      <dsp:nvSpPr>
        <dsp:cNvPr id="0" name=""/>
        <dsp:cNvSpPr/>
      </dsp:nvSpPr>
      <dsp:spPr>
        <a:xfrm>
          <a:off x="3728757" y="532084"/>
          <a:ext cx="299686" cy="4076472"/>
        </a:xfrm>
        <a:custGeom>
          <a:avLst/>
          <a:gdLst/>
          <a:ahLst/>
          <a:cxnLst/>
          <a:rect l="0" t="0" r="0" b="0"/>
          <a:pathLst>
            <a:path>
              <a:moveTo>
                <a:pt x="0" y="0"/>
              </a:moveTo>
              <a:lnTo>
                <a:pt x="0" y="4076472"/>
              </a:lnTo>
              <a:lnTo>
                <a:pt x="299686" y="4076472"/>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CFE280-7980-4410-8830-DB9D9D43BC4F}">
      <dsp:nvSpPr>
        <dsp:cNvPr id="0" name=""/>
        <dsp:cNvSpPr/>
      </dsp:nvSpPr>
      <dsp:spPr>
        <a:xfrm>
          <a:off x="4028444" y="4350892"/>
          <a:ext cx="2269924" cy="515329"/>
        </a:xfrm>
        <a:prstGeom prst="roundRect">
          <a:avLst>
            <a:gd name="adj" fmla="val 10000"/>
          </a:avLst>
        </a:prstGeom>
        <a:solidFill>
          <a:schemeClr val="lt1">
            <a:alpha val="90000"/>
            <a:hueOff val="0"/>
            <a:satOff val="0"/>
            <a:lumOff val="0"/>
            <a:alphaOff val="0"/>
          </a:schemeClr>
        </a:solidFill>
        <a:ln w="9525" cap="flat" cmpd="sng" algn="ctr">
          <a:solidFill>
            <a:schemeClr val="accent4">
              <a:hueOff val="9413312"/>
              <a:satOff val="-23276"/>
              <a:lumOff val="-12353"/>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t" anchorCtr="0">
          <a:noAutofit/>
        </a:bodyPr>
        <a:lstStyle/>
        <a:p>
          <a:pPr lvl="0" algn="just" defTabSz="444500">
            <a:lnSpc>
              <a:spcPct val="90000"/>
            </a:lnSpc>
            <a:spcBef>
              <a:spcPct val="0"/>
            </a:spcBef>
            <a:spcAft>
              <a:spcPct val="35000"/>
            </a:spcAft>
          </a:pPr>
          <a:r>
            <a:rPr lang="x-none" sz="1000" kern="1200">
              <a:latin typeface="+mj-lt"/>
              <a:cs typeface="Calibri" panose="020F0502020204030204" pitchFamily="34" charset="0"/>
            </a:rPr>
            <a:t>•</a:t>
          </a:r>
          <a:r>
            <a:rPr lang="sr-Latn-ME" sz="1000" kern="1200">
              <a:latin typeface="+mj-lt"/>
              <a:cs typeface="Calibri" panose="020F0502020204030204" pitchFamily="34" charset="0"/>
            </a:rPr>
            <a:t> </a:t>
          </a:r>
          <a:r>
            <a:rPr lang="en-US" sz="1000" b="1" kern="1200">
              <a:latin typeface="+mj-lt"/>
              <a:cs typeface="Calibri" panose="020F0502020204030204" pitchFamily="34" charset="0"/>
            </a:rPr>
            <a:t>Fiskalni deo RIA (FIA) </a:t>
          </a:r>
          <a:r>
            <a:rPr lang="x-none" sz="1000" kern="1200">
              <a:solidFill>
                <a:sysClr val="windowText" lastClr="000000"/>
              </a:solidFill>
              <a:latin typeface="+mj-lt"/>
            </a:rPr>
            <a:t>i primjena RIA na podzakonske akte</a:t>
          </a:r>
          <a:endParaRPr lang="en-US" sz="1000" kern="1200">
            <a:solidFill>
              <a:sysClr val="windowText" lastClr="000000"/>
            </a:solidFill>
            <a:latin typeface="+mj-lt"/>
          </a:endParaRPr>
        </a:p>
        <a:p>
          <a:pPr marL="57150" lvl="1" indent="-57150" algn="just" defTabSz="444500">
            <a:lnSpc>
              <a:spcPct val="90000"/>
            </a:lnSpc>
            <a:spcBef>
              <a:spcPct val="0"/>
            </a:spcBef>
            <a:spcAft>
              <a:spcPct val="15000"/>
            </a:spcAft>
            <a:buChar char="••"/>
          </a:pPr>
          <a:r>
            <a:rPr lang="sr-Latn-ME" sz="1000" kern="1200">
              <a:latin typeface="+mj-lt"/>
            </a:rPr>
            <a:t> </a:t>
          </a:r>
          <a:r>
            <a:rPr lang="x-none" sz="1000" kern="1200">
              <a:latin typeface="+mj-lt"/>
            </a:rPr>
            <a:t>Proces konsultacija pri izradi Budžeta</a:t>
          </a:r>
          <a:endParaRPr lang="en-US" sz="1000" kern="1200">
            <a:latin typeface="+mj-lt"/>
          </a:endParaRPr>
        </a:p>
      </dsp:txBody>
      <dsp:txXfrm>
        <a:off x="4043537" y="4365985"/>
        <a:ext cx="2239738" cy="48514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8F9A15-162D-47C7-8AB1-B73FE2DB8B96}">
      <dsp:nvSpPr>
        <dsp:cNvPr id="0" name=""/>
        <dsp:cNvSpPr/>
      </dsp:nvSpPr>
      <dsp:spPr>
        <a:xfrm>
          <a:off x="32644" y="696"/>
          <a:ext cx="2940343" cy="656813"/>
        </a:xfrm>
        <a:prstGeom prst="roundRect">
          <a:avLst>
            <a:gd name="adj" fmla="val 10000"/>
          </a:avLst>
        </a:prstGeom>
        <a:solidFill>
          <a:schemeClr val="accent4">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x-none" sz="1200" b="1" kern="1200">
              <a:latin typeface="+mj-lt"/>
            </a:rPr>
            <a:t>Strategija reforme javne uprave 2022-2026</a:t>
          </a:r>
          <a:r>
            <a:rPr lang="en-US" sz="1200" b="1" kern="1200">
              <a:latin typeface="+mj-lt"/>
            </a:rPr>
            <a:t>.</a:t>
          </a:r>
        </a:p>
      </dsp:txBody>
      <dsp:txXfrm>
        <a:off x="51881" y="19933"/>
        <a:ext cx="2901869" cy="618339"/>
      </dsp:txXfrm>
    </dsp:sp>
    <dsp:sp modelId="{916F2586-D18D-43ED-A2B2-E8E9D482A905}">
      <dsp:nvSpPr>
        <dsp:cNvPr id="0" name=""/>
        <dsp:cNvSpPr/>
      </dsp:nvSpPr>
      <dsp:spPr>
        <a:xfrm rot="5400000">
          <a:off x="1445345" y="714981"/>
          <a:ext cx="114942" cy="114942"/>
        </a:xfrm>
        <a:prstGeom prst="rightArrow">
          <a:avLst>
            <a:gd name="adj1" fmla="val 66700"/>
            <a:gd name="adj2" fmla="val 50000"/>
          </a:avLst>
        </a:prstGeom>
        <a:solidFill>
          <a:schemeClr val="accent4">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70C255C4-CB01-45DA-9AF5-28F6B5FAB42F}">
      <dsp:nvSpPr>
        <dsp:cNvPr id="0" name=""/>
        <dsp:cNvSpPr/>
      </dsp:nvSpPr>
      <dsp:spPr>
        <a:xfrm>
          <a:off x="189189" y="887394"/>
          <a:ext cx="2627253" cy="1060550"/>
        </a:xfrm>
        <a:prstGeom prst="roundRect">
          <a:avLst>
            <a:gd name="adj" fmla="val 1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100000"/>
            </a:lnSpc>
            <a:spcBef>
              <a:spcPct val="0"/>
            </a:spcBef>
            <a:spcAft>
              <a:spcPts val="0"/>
            </a:spcAft>
          </a:pPr>
          <a:r>
            <a:rPr lang="en-US" sz="1050" kern="1200">
              <a:latin typeface="+mj-lt"/>
            </a:rPr>
            <a:t>USLUGE</a:t>
          </a:r>
          <a:r>
            <a:rPr lang="x-none" sz="1050" kern="1200">
              <a:latin typeface="+mj-lt"/>
            </a:rPr>
            <a:t>                                                                           </a:t>
          </a:r>
          <a:r>
            <a:rPr lang="en-US" sz="1050" b="1" kern="1200">
              <a:latin typeface="+mj-lt"/>
            </a:rPr>
            <a:t>Digitalizacija usluga </a:t>
          </a:r>
          <a:r>
            <a:rPr lang="en-US" sz="1050" kern="1200">
              <a:latin typeface="+mj-lt"/>
            </a:rPr>
            <a:t>za građane</a:t>
          </a:r>
          <a:r>
            <a:rPr lang="x-none" sz="1050" kern="1200">
              <a:latin typeface="+mj-lt"/>
            </a:rPr>
            <a:t> </a:t>
          </a:r>
        </a:p>
        <a:p>
          <a:pPr lvl="0" algn="ctr" defTabSz="466725">
            <a:lnSpc>
              <a:spcPct val="100000"/>
            </a:lnSpc>
            <a:spcBef>
              <a:spcPct val="0"/>
            </a:spcBef>
            <a:spcAft>
              <a:spcPts val="0"/>
            </a:spcAft>
          </a:pPr>
          <a:r>
            <a:rPr lang="en-US" sz="1050" b="1" kern="1200">
              <a:latin typeface="+mj-lt"/>
            </a:rPr>
            <a:t>Elektronsko upravljanje dokumentima</a:t>
          </a:r>
          <a:endParaRPr lang="x-none" sz="1050" b="1" kern="1200">
            <a:latin typeface="+mj-lt"/>
          </a:endParaRPr>
        </a:p>
        <a:p>
          <a:pPr lvl="0" algn="ctr" defTabSz="466725">
            <a:lnSpc>
              <a:spcPct val="100000"/>
            </a:lnSpc>
            <a:spcBef>
              <a:spcPct val="0"/>
            </a:spcBef>
            <a:spcAft>
              <a:spcPts val="0"/>
            </a:spcAft>
          </a:pPr>
          <a:r>
            <a:rPr lang="en-US" sz="1050" kern="1200">
              <a:latin typeface="+mj-lt"/>
            </a:rPr>
            <a:t> </a:t>
          </a:r>
          <a:r>
            <a:rPr lang="en-US" sz="1050" b="1" kern="1200">
              <a:latin typeface="+mj-lt"/>
            </a:rPr>
            <a:t>Interoperabilnost informacionih sistema </a:t>
          </a:r>
          <a:r>
            <a:rPr lang="en-US" sz="1050" b="0" kern="1200">
              <a:latin typeface="+mj-lt"/>
            </a:rPr>
            <a:t>u cilju</a:t>
          </a:r>
          <a:r>
            <a:rPr lang="en-US" sz="1050" b="1" kern="1200">
              <a:latin typeface="+mj-lt"/>
            </a:rPr>
            <a:t> pojednostavljivanja razmjene podataka</a:t>
          </a:r>
        </a:p>
      </dsp:txBody>
      <dsp:txXfrm>
        <a:off x="220251" y="918456"/>
        <a:ext cx="2565129" cy="998426"/>
      </dsp:txXfrm>
    </dsp:sp>
    <dsp:sp modelId="{B137DA6F-75AC-42B1-B199-85DA3EBA2BB6}">
      <dsp:nvSpPr>
        <dsp:cNvPr id="0" name=""/>
        <dsp:cNvSpPr/>
      </dsp:nvSpPr>
      <dsp:spPr>
        <a:xfrm rot="5400000">
          <a:off x="1445345" y="2005416"/>
          <a:ext cx="114942" cy="114942"/>
        </a:xfrm>
        <a:prstGeom prst="rightArrow">
          <a:avLst>
            <a:gd name="adj1" fmla="val 66700"/>
            <a:gd name="adj2" fmla="val 50000"/>
          </a:avLst>
        </a:prstGeom>
        <a:solidFill>
          <a:schemeClr val="accent4">
            <a:hueOff val="3137771"/>
            <a:satOff val="-7759"/>
            <a:lumOff val="-4118"/>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C15D47F5-F468-4F31-AED2-C2CE19A22691}">
      <dsp:nvSpPr>
        <dsp:cNvPr id="0" name=""/>
        <dsp:cNvSpPr/>
      </dsp:nvSpPr>
      <dsp:spPr>
        <a:xfrm>
          <a:off x="189189" y="2177829"/>
          <a:ext cx="2627253" cy="840898"/>
        </a:xfrm>
        <a:prstGeom prst="roundRect">
          <a:avLst>
            <a:gd name="adj" fmla="val 10000"/>
          </a:avLst>
        </a:prstGeom>
        <a:solidFill>
          <a:schemeClr val="accent4">
            <a:tint val="40000"/>
            <a:alpha val="90000"/>
            <a:hueOff val="3231448"/>
            <a:satOff val="-6577"/>
            <a:lumOff val="-974"/>
            <a:alphaOff val="0"/>
          </a:schemeClr>
        </a:solidFill>
        <a:ln w="9525" cap="flat" cmpd="sng" algn="ctr">
          <a:solidFill>
            <a:schemeClr val="accent4">
              <a:tint val="40000"/>
              <a:alpha val="90000"/>
              <a:hueOff val="3231448"/>
              <a:satOff val="-6577"/>
              <a:lumOff val="-974"/>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100000"/>
            </a:lnSpc>
            <a:spcBef>
              <a:spcPct val="0"/>
            </a:spcBef>
            <a:spcAft>
              <a:spcPts val="0"/>
            </a:spcAft>
          </a:pPr>
          <a:r>
            <a:rPr lang="en-US" sz="1050" kern="1200">
              <a:latin typeface="+mj-lt"/>
            </a:rPr>
            <a:t>TRANSPARENTNOST</a:t>
          </a:r>
          <a:r>
            <a:rPr lang="x-none" sz="1050" kern="1200">
              <a:latin typeface="+mj-lt"/>
            </a:rPr>
            <a:t>                                                           </a:t>
          </a:r>
          <a:r>
            <a:rPr lang="en-US" sz="1050" kern="1200">
              <a:latin typeface="+mj-lt"/>
            </a:rPr>
            <a:t> </a:t>
          </a:r>
          <a:r>
            <a:rPr lang="en-US" sz="1050" b="1" kern="1200">
              <a:latin typeface="+mj-lt"/>
            </a:rPr>
            <a:t>Podaci dostupni na portalu otvorenih podataka</a:t>
          </a:r>
          <a:r>
            <a:rPr lang="x-none" sz="1050" b="1" kern="1200">
              <a:latin typeface="+mj-lt"/>
            </a:rPr>
            <a:t> </a:t>
          </a:r>
        </a:p>
        <a:p>
          <a:pPr lvl="0" algn="ctr" defTabSz="466725">
            <a:lnSpc>
              <a:spcPct val="100000"/>
            </a:lnSpc>
            <a:spcBef>
              <a:spcPct val="0"/>
            </a:spcBef>
            <a:spcAft>
              <a:spcPts val="0"/>
            </a:spcAft>
          </a:pPr>
          <a:r>
            <a:rPr lang="en-US" sz="1050" b="1" kern="1200">
              <a:latin typeface="+mj-lt"/>
            </a:rPr>
            <a:t>Proaktivno objavljivanje informacija u posjedu javnih organa</a:t>
          </a:r>
        </a:p>
      </dsp:txBody>
      <dsp:txXfrm>
        <a:off x="213818" y="2202458"/>
        <a:ext cx="2577995" cy="791640"/>
      </dsp:txXfrm>
    </dsp:sp>
    <dsp:sp modelId="{A35B7BE7-97F3-4723-BE63-C906560FEC46}">
      <dsp:nvSpPr>
        <dsp:cNvPr id="0" name=""/>
        <dsp:cNvSpPr/>
      </dsp:nvSpPr>
      <dsp:spPr>
        <a:xfrm>
          <a:off x="3340803" y="696"/>
          <a:ext cx="3114346" cy="656813"/>
        </a:xfrm>
        <a:prstGeom prst="roundRect">
          <a:avLst>
            <a:gd name="adj" fmla="val 10000"/>
          </a:avLst>
        </a:prstGeom>
        <a:solidFill>
          <a:schemeClr val="accent4">
            <a:hueOff val="9413312"/>
            <a:satOff val="-23276"/>
            <a:lumOff val="-1235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x-none" sz="1200" b="1" kern="1200">
              <a:latin typeface="+mj-lt"/>
            </a:rPr>
            <a:t>Str</a:t>
          </a:r>
          <a:r>
            <a:rPr lang="en-US" sz="1200" b="1" kern="1200">
              <a:latin typeface="+mj-lt"/>
            </a:rPr>
            <a:t>a</a:t>
          </a:r>
          <a:r>
            <a:rPr lang="x-none" sz="1200" b="1" kern="1200">
              <a:latin typeface="+mj-lt"/>
            </a:rPr>
            <a:t>tegija digitalne transformacije 2022-2026</a:t>
          </a:r>
          <a:r>
            <a:rPr lang="en-US" sz="1200" b="1" kern="1200">
              <a:latin typeface="+mj-lt"/>
            </a:rPr>
            <a:t>.</a:t>
          </a:r>
        </a:p>
      </dsp:txBody>
      <dsp:txXfrm>
        <a:off x="3360040" y="19933"/>
        <a:ext cx="3075872" cy="618339"/>
      </dsp:txXfrm>
    </dsp:sp>
    <dsp:sp modelId="{5770DC80-757E-443D-B4BD-76FB24E662F9}">
      <dsp:nvSpPr>
        <dsp:cNvPr id="0" name=""/>
        <dsp:cNvSpPr/>
      </dsp:nvSpPr>
      <dsp:spPr>
        <a:xfrm rot="5400000">
          <a:off x="4840505" y="714981"/>
          <a:ext cx="114942" cy="114942"/>
        </a:xfrm>
        <a:prstGeom prst="rightArrow">
          <a:avLst>
            <a:gd name="adj1" fmla="val 66700"/>
            <a:gd name="adj2" fmla="val 50000"/>
          </a:avLst>
        </a:prstGeom>
        <a:solidFill>
          <a:schemeClr val="accent4">
            <a:hueOff val="6275542"/>
            <a:satOff val="-15517"/>
            <a:lumOff val="-8235"/>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9628FC0F-F30A-48D9-ADCB-2E9F244CF65F}">
      <dsp:nvSpPr>
        <dsp:cNvPr id="0" name=""/>
        <dsp:cNvSpPr/>
      </dsp:nvSpPr>
      <dsp:spPr>
        <a:xfrm>
          <a:off x="3385650" y="887394"/>
          <a:ext cx="3024651" cy="1055623"/>
        </a:xfrm>
        <a:prstGeom prst="roundRect">
          <a:avLst>
            <a:gd name="adj" fmla="val 10000"/>
          </a:avLst>
        </a:prstGeom>
        <a:solidFill>
          <a:schemeClr val="accent4">
            <a:tint val="40000"/>
            <a:alpha val="90000"/>
            <a:hueOff val="6462896"/>
            <a:satOff val="-13153"/>
            <a:lumOff val="-1949"/>
            <a:alphaOff val="0"/>
          </a:schemeClr>
        </a:solidFill>
        <a:ln w="9525" cap="flat" cmpd="sng" algn="ctr">
          <a:solidFill>
            <a:schemeClr val="accent4">
              <a:tint val="40000"/>
              <a:alpha val="90000"/>
              <a:hueOff val="6462896"/>
              <a:satOff val="-13153"/>
              <a:lumOff val="-1949"/>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100000"/>
            </a:lnSpc>
            <a:spcBef>
              <a:spcPct val="0"/>
            </a:spcBef>
            <a:spcAft>
              <a:spcPts val="0"/>
            </a:spcAft>
          </a:pPr>
          <a:r>
            <a:rPr lang="x-none" sz="1050" kern="1200">
              <a:latin typeface="+mj-lt"/>
            </a:rPr>
            <a:t>Povećana pokrivenost i modernizacija </a:t>
          </a:r>
          <a:r>
            <a:rPr lang="sr-Latn-RS" sz="1050" kern="1200">
              <a:latin typeface="+mj-lt"/>
            </a:rPr>
            <a:t>IKT</a:t>
          </a:r>
          <a:r>
            <a:rPr lang="x-none" sz="1050" kern="1200">
              <a:latin typeface="+mj-lt"/>
            </a:rPr>
            <a:t> </a:t>
          </a:r>
          <a:r>
            <a:rPr lang="x-none" sz="1050" b="1" kern="1200">
              <a:latin typeface="+mj-lt"/>
            </a:rPr>
            <a:t>infrastrukture</a:t>
          </a:r>
          <a:r>
            <a:rPr lang="x-none" sz="1050" kern="1200">
              <a:latin typeface="+mj-lt"/>
            </a:rPr>
            <a:t> </a:t>
          </a:r>
        </a:p>
        <a:p>
          <a:pPr lvl="0" algn="ctr" defTabSz="466725">
            <a:lnSpc>
              <a:spcPct val="100000"/>
            </a:lnSpc>
            <a:spcBef>
              <a:spcPct val="0"/>
            </a:spcBef>
            <a:spcAft>
              <a:spcPts val="0"/>
            </a:spcAft>
          </a:pPr>
          <a:r>
            <a:rPr lang="sr-Latn-ME" sz="1050" b="1" kern="1200">
              <a:latin typeface="+mj-lt"/>
            </a:rPr>
            <a:t>Razvoj i unapređenje digitalnih vještina, p</a:t>
          </a:r>
          <a:r>
            <a:rPr lang="x-none" sz="1050" b="1" kern="1200">
              <a:latin typeface="+mj-lt"/>
            </a:rPr>
            <a:t>odizanje svijesti </a:t>
          </a:r>
          <a:r>
            <a:rPr lang="x-none" sz="1050" kern="1200">
              <a:latin typeface="+mj-lt"/>
            </a:rPr>
            <a:t>građana i privrede o važnosti digitalnog razvoja </a:t>
          </a:r>
        </a:p>
        <a:p>
          <a:pPr lvl="0" algn="ctr" defTabSz="466725">
            <a:lnSpc>
              <a:spcPct val="100000"/>
            </a:lnSpc>
            <a:spcBef>
              <a:spcPct val="0"/>
            </a:spcBef>
            <a:spcAft>
              <a:spcPts val="0"/>
            </a:spcAft>
          </a:pPr>
          <a:r>
            <a:rPr lang="x-none" sz="1050" kern="1200">
              <a:latin typeface="+mj-lt"/>
            </a:rPr>
            <a:t>Unapređenje </a:t>
          </a:r>
          <a:r>
            <a:rPr lang="x-none" sz="1050" b="1" kern="1200">
              <a:latin typeface="+mj-lt"/>
            </a:rPr>
            <a:t>kvaliteta, količine i upotrebe e-usluga</a:t>
          </a:r>
          <a:endParaRPr lang="en-US" sz="1050" b="1" kern="1200">
            <a:latin typeface="+mj-lt"/>
          </a:endParaRPr>
        </a:p>
      </dsp:txBody>
      <dsp:txXfrm>
        <a:off x="3416568" y="918312"/>
        <a:ext cx="2962815" cy="993787"/>
      </dsp:txXfrm>
    </dsp:sp>
    <dsp:sp modelId="{2D538AC4-FC40-41A3-8F15-444D5BD55932}">
      <dsp:nvSpPr>
        <dsp:cNvPr id="0" name=""/>
        <dsp:cNvSpPr/>
      </dsp:nvSpPr>
      <dsp:spPr>
        <a:xfrm rot="5400000">
          <a:off x="4840505" y="2000490"/>
          <a:ext cx="114942" cy="114942"/>
        </a:xfrm>
        <a:prstGeom prst="rightArrow">
          <a:avLst>
            <a:gd name="adj1" fmla="val 66700"/>
            <a:gd name="adj2" fmla="val 50000"/>
          </a:avLst>
        </a:prstGeom>
        <a:solidFill>
          <a:schemeClr val="accent4">
            <a:hueOff val="9413312"/>
            <a:satOff val="-23276"/>
            <a:lumOff val="-12353"/>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E50100B9-5E02-498C-826E-3AE0D2043603}">
      <dsp:nvSpPr>
        <dsp:cNvPr id="0" name=""/>
        <dsp:cNvSpPr/>
      </dsp:nvSpPr>
      <dsp:spPr>
        <a:xfrm>
          <a:off x="3416547" y="2172903"/>
          <a:ext cx="2962858" cy="822941"/>
        </a:xfrm>
        <a:prstGeom prst="roundRect">
          <a:avLst>
            <a:gd name="adj" fmla="val 10000"/>
          </a:avLst>
        </a:prstGeom>
        <a:solidFill>
          <a:schemeClr val="accent4">
            <a:tint val="40000"/>
            <a:alpha val="90000"/>
            <a:hueOff val="9694343"/>
            <a:satOff val="-19730"/>
            <a:lumOff val="-2923"/>
            <a:alphaOff val="0"/>
          </a:schemeClr>
        </a:solidFill>
        <a:ln w="9525" cap="flat" cmpd="sng" algn="ctr">
          <a:solidFill>
            <a:schemeClr val="accent4">
              <a:tint val="40000"/>
              <a:alpha val="90000"/>
              <a:hueOff val="9694343"/>
              <a:satOff val="-19730"/>
              <a:lumOff val="-2923"/>
              <a:alphaOff val="0"/>
            </a:schemeClr>
          </a:solidFill>
          <a:prstDash val="solid"/>
        </a:ln>
        <a:effectLst/>
        <a:scene3d>
          <a:camera prst="orthographicFront"/>
          <a:lightRig rig="chilly" dir="t"/>
        </a:scene3d>
        <a:sp3d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US" sz="1050" kern="1200">
              <a:solidFill>
                <a:sysClr val="windowText" lastClr="000000"/>
              </a:solidFill>
              <a:latin typeface="+mj-lt"/>
            </a:rPr>
            <a:t>Pove</a:t>
          </a:r>
          <a:r>
            <a:rPr lang="sr-Latn-RS" sz="1050" kern="1200">
              <a:solidFill>
                <a:sysClr val="windowText" lastClr="000000"/>
              </a:solidFill>
              <a:latin typeface="+mj-lt"/>
            </a:rPr>
            <a:t>ć</a:t>
          </a:r>
          <a:r>
            <a:rPr lang="en-US" sz="1050" kern="1200">
              <a:solidFill>
                <a:sysClr val="windowText" lastClr="000000"/>
              </a:solidFill>
              <a:latin typeface="+mj-lt"/>
            </a:rPr>
            <a:t>ana </a:t>
          </a:r>
          <a:r>
            <a:rPr lang="en-US" sz="1050" b="1" kern="1200">
              <a:solidFill>
                <a:sysClr val="windowText" lastClr="000000"/>
              </a:solidFill>
              <a:latin typeface="+mj-lt"/>
            </a:rPr>
            <a:t>digitalna svijest</a:t>
          </a:r>
          <a:r>
            <a:rPr lang="sr-Latn-RS" sz="1050" b="1" kern="1200">
              <a:solidFill>
                <a:sysClr val="windowText" lastClr="000000"/>
              </a:solidFill>
              <a:latin typeface="+mj-lt"/>
            </a:rPr>
            <a:t> i konkurentnost IKT sektora</a:t>
          </a:r>
          <a:endParaRPr lang="en-US" sz="1050" b="1" kern="1200">
            <a:solidFill>
              <a:sysClr val="windowText" lastClr="000000"/>
            </a:solidFill>
            <a:latin typeface="+mj-lt"/>
          </a:endParaRPr>
        </a:p>
      </dsp:txBody>
      <dsp:txXfrm>
        <a:off x="3440650" y="2197006"/>
        <a:ext cx="2914652" cy="77473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3E0C81-E8D4-4A73-ACCD-5E29362F5364}">
      <dsp:nvSpPr>
        <dsp:cNvPr id="0" name=""/>
        <dsp:cNvSpPr/>
      </dsp:nvSpPr>
      <dsp:spPr>
        <a:xfrm rot="16200000">
          <a:off x="725844" y="56714"/>
          <a:ext cx="2333094" cy="2425339"/>
        </a:xfrm>
        <a:prstGeom prst="round2SameRect">
          <a:avLst>
            <a:gd name="adj1" fmla="val 16670"/>
            <a:gd name="adj2" fmla="val 0"/>
          </a:avLst>
        </a:prstGeom>
        <a:solidFill>
          <a:schemeClr val="accent1">
            <a:tint val="50000"/>
            <a:hueOff val="0"/>
            <a:satOff val="0"/>
            <a:lumOff val="0"/>
            <a:alphaOff val="0"/>
          </a:schemeClr>
        </a:solidFill>
        <a:ln>
          <a:noFill/>
        </a:ln>
        <a:effectLst/>
        <a:scene3d>
          <a:camera prst="orthographicFront"/>
          <a:lightRig rig="threePt" dir="t">
            <a:rot lat="0" lon="0" rev="7500000"/>
          </a:lightRig>
        </a:scene3d>
        <a:sp3d z="-152400" extrusionH="63500" contourW="12700" prstMaterial="matte">
          <a:contourClr>
            <a:schemeClr val="lt1"/>
          </a:contourClr>
        </a:sp3d>
      </dsp:spPr>
      <dsp:style>
        <a:lnRef idx="0">
          <a:scrgbClr r="0" g="0" b="0"/>
        </a:lnRef>
        <a:fillRef idx="1">
          <a:scrgbClr r="0" g="0" b="0"/>
        </a:fillRef>
        <a:effectRef idx="0">
          <a:scrgbClr r="0" g="0" b="0"/>
        </a:effectRef>
        <a:fontRef idx="minor"/>
      </dsp:style>
      <dsp:txBody>
        <a:bodyPr spcFirstLastPara="0" vert="horz" wrap="square" lIns="41910" tIns="69850" rIns="62865" bIns="69850" numCol="1" spcCol="1270" anchor="t" anchorCtr="0">
          <a:noAutofit/>
        </a:bodyPr>
        <a:lstStyle/>
        <a:p>
          <a:pPr lvl="0" algn="l" defTabSz="488950">
            <a:lnSpc>
              <a:spcPct val="90000"/>
            </a:lnSpc>
            <a:spcBef>
              <a:spcPct val="0"/>
            </a:spcBef>
            <a:spcAft>
              <a:spcPct val="35000"/>
            </a:spcAft>
          </a:pPr>
          <a:r>
            <a:rPr lang="en-US" sz="1100" b="1" kern="1200">
              <a:latin typeface="+mj-lt"/>
            </a:rPr>
            <a:t>Str</a:t>
          </a:r>
          <a:r>
            <a:rPr lang="sr-Latn-RS" sz="1100" b="1" kern="1200">
              <a:latin typeface="+mj-lt"/>
            </a:rPr>
            <a:t>a</a:t>
          </a:r>
          <a:r>
            <a:rPr lang="en-US" sz="1100" b="1" kern="1200">
              <a:latin typeface="+mj-lt"/>
            </a:rPr>
            <a:t>tegija reforme javne uprave </a:t>
          </a:r>
          <a:endParaRPr lang="sr-Latn-RS" sz="1100" b="1" kern="1200">
            <a:latin typeface="+mj-lt"/>
          </a:endParaRPr>
        </a:p>
        <a:p>
          <a:pPr lvl="0" algn="l" defTabSz="488950">
            <a:lnSpc>
              <a:spcPct val="90000"/>
            </a:lnSpc>
            <a:spcBef>
              <a:spcPct val="0"/>
            </a:spcBef>
            <a:spcAft>
              <a:spcPct val="35000"/>
            </a:spcAft>
          </a:pPr>
          <a:r>
            <a:rPr lang="en-US" sz="1100" b="1" kern="1200">
              <a:latin typeface="+mj-lt"/>
            </a:rPr>
            <a:t>2022-2026.</a:t>
          </a:r>
        </a:p>
        <a:p>
          <a:pPr lvl="0" algn="l" defTabSz="488950">
            <a:lnSpc>
              <a:spcPct val="90000"/>
            </a:lnSpc>
            <a:spcBef>
              <a:spcPct val="0"/>
            </a:spcBef>
            <a:spcAft>
              <a:spcPct val="35000"/>
            </a:spcAft>
          </a:pPr>
          <a:endParaRPr lang="en-US" sz="300" kern="1200">
            <a:latin typeface="+mj-lt"/>
          </a:endParaRPr>
        </a:p>
        <a:p>
          <a:pPr lvl="0" algn="just" defTabSz="488950">
            <a:lnSpc>
              <a:spcPct val="90000"/>
            </a:lnSpc>
            <a:spcBef>
              <a:spcPct val="0"/>
            </a:spcBef>
            <a:spcAft>
              <a:spcPct val="35000"/>
            </a:spcAft>
          </a:pPr>
          <a:r>
            <a:rPr lang="en-US" sz="1000" kern="1200">
              <a:latin typeface="+mj-lt"/>
            </a:rPr>
            <a:t>USLUGE</a:t>
          </a:r>
        </a:p>
        <a:p>
          <a:pPr lvl="0" algn="just" defTabSz="488950">
            <a:lnSpc>
              <a:spcPct val="90000"/>
            </a:lnSpc>
            <a:spcBef>
              <a:spcPct val="0"/>
            </a:spcBef>
            <a:spcAft>
              <a:spcPct val="35000"/>
            </a:spcAft>
          </a:pPr>
          <a:r>
            <a:rPr lang="en-US" sz="1000" kern="1200">
              <a:latin typeface="+mj-lt"/>
            </a:rPr>
            <a:t>Efikasno pružanje usluga na osnovu potreba građana</a:t>
          </a:r>
        </a:p>
        <a:p>
          <a:pPr lvl="0" algn="just" defTabSz="488950">
            <a:lnSpc>
              <a:spcPct val="90000"/>
            </a:lnSpc>
            <a:spcBef>
              <a:spcPct val="0"/>
            </a:spcBef>
            <a:spcAft>
              <a:spcPct val="35000"/>
            </a:spcAft>
          </a:pPr>
          <a:r>
            <a:rPr lang="en-US" sz="1000" kern="1200">
              <a:latin typeface="+mj-lt"/>
            </a:rPr>
            <a:t>JAVNE POLITIKE</a:t>
          </a:r>
        </a:p>
        <a:p>
          <a:pPr lvl="0" algn="just" defTabSz="488950">
            <a:lnSpc>
              <a:spcPct val="90000"/>
            </a:lnSpc>
            <a:spcBef>
              <a:spcPct val="0"/>
            </a:spcBef>
            <a:spcAft>
              <a:spcPct val="35000"/>
            </a:spcAft>
          </a:pPr>
          <a:r>
            <a:rPr lang="en-US" sz="1000" kern="1200">
              <a:latin typeface="+mj-lt"/>
            </a:rPr>
            <a:t>Jačanje sistema planiranja zasnovanog na podacima koje vodi ka kreiranju održivih politika i postizanju prioriteta Vlade </a:t>
          </a:r>
        </a:p>
        <a:p>
          <a:pPr lvl="0" algn="just" defTabSz="488950">
            <a:lnSpc>
              <a:spcPct val="90000"/>
            </a:lnSpc>
            <a:spcBef>
              <a:spcPct val="0"/>
            </a:spcBef>
            <a:spcAft>
              <a:spcPct val="35000"/>
            </a:spcAft>
          </a:pPr>
          <a:r>
            <a:rPr lang="en-US" sz="1000" kern="1200">
              <a:latin typeface="+mj-lt"/>
            </a:rPr>
            <a:t>Unapređenje institucionalne koordinacije za snažnije efekte javnih politika </a:t>
          </a:r>
        </a:p>
      </dsp:txBody>
      <dsp:txXfrm rot="5400000">
        <a:off x="793635" y="216749"/>
        <a:ext cx="2311426" cy="2105268"/>
      </dsp:txXfrm>
    </dsp:sp>
    <dsp:sp modelId="{4ECC72AF-6E52-42CB-B903-FF80683D9214}">
      <dsp:nvSpPr>
        <dsp:cNvPr id="0" name=""/>
        <dsp:cNvSpPr/>
      </dsp:nvSpPr>
      <dsp:spPr>
        <a:xfrm rot="5400000">
          <a:off x="3138199" y="51432"/>
          <a:ext cx="2333094" cy="2425339"/>
        </a:xfrm>
        <a:prstGeom prst="round2SameRect">
          <a:avLst>
            <a:gd name="adj1" fmla="val 16670"/>
            <a:gd name="adj2" fmla="val 0"/>
          </a:avLst>
        </a:prstGeom>
        <a:solidFill>
          <a:schemeClr val="accent1">
            <a:tint val="50000"/>
            <a:hueOff val="-11462748"/>
            <a:satOff val="22126"/>
            <a:lumOff val="11143"/>
            <a:alphaOff val="0"/>
          </a:schemeClr>
        </a:solidFill>
        <a:ln>
          <a:noFill/>
        </a:ln>
        <a:effectLst/>
        <a:scene3d>
          <a:camera prst="orthographicFront"/>
          <a:lightRig rig="threePt" dir="t">
            <a:rot lat="0" lon="0" rev="7500000"/>
          </a:lightRig>
        </a:scene3d>
        <a:sp3d z="-152400" extrusionH="63500" contourW="12700" prstMaterial="matte">
          <a:contourClr>
            <a:schemeClr val="lt1"/>
          </a:contourClr>
        </a:sp3d>
      </dsp:spPr>
      <dsp:style>
        <a:lnRef idx="0">
          <a:scrgbClr r="0" g="0" b="0"/>
        </a:lnRef>
        <a:fillRef idx="1">
          <a:scrgbClr r="0" g="0" b="0"/>
        </a:fillRef>
        <a:effectRef idx="0">
          <a:scrgbClr r="0" g="0" b="0"/>
        </a:effectRef>
        <a:fontRef idx="minor"/>
      </dsp:style>
      <dsp:txBody>
        <a:bodyPr spcFirstLastPara="0" vert="horz" wrap="square" lIns="62865" tIns="69850" rIns="41910" bIns="69850" numCol="1" spcCol="1270" anchor="t" anchorCtr="0">
          <a:noAutofit/>
        </a:bodyPr>
        <a:lstStyle/>
        <a:p>
          <a:pPr lvl="0" algn="just" defTabSz="488950">
            <a:lnSpc>
              <a:spcPct val="90000"/>
            </a:lnSpc>
            <a:spcBef>
              <a:spcPct val="0"/>
            </a:spcBef>
            <a:spcAft>
              <a:spcPct val="35000"/>
            </a:spcAft>
          </a:pPr>
          <a:r>
            <a:rPr lang="en-US" sz="1100" b="1" kern="1200">
              <a:latin typeface="+mj-lt"/>
            </a:rPr>
            <a:t>Strategija saradnje između organa državne uprave i nevladinih organizacija 2022-2026. </a:t>
          </a:r>
        </a:p>
        <a:p>
          <a:pPr lvl="0" algn="just" defTabSz="488950">
            <a:lnSpc>
              <a:spcPct val="90000"/>
            </a:lnSpc>
            <a:spcBef>
              <a:spcPct val="0"/>
            </a:spcBef>
            <a:spcAft>
              <a:spcPct val="35000"/>
            </a:spcAft>
          </a:pPr>
          <a:r>
            <a:rPr lang="en-US" sz="1000" b="0" kern="1200">
              <a:latin typeface="+mj-lt"/>
            </a:rPr>
            <a:t>Unaprediti normativni okvir i strateško (dugoročno i srednjoročno) planiranje razvoja, saradnje i finansiranja NVO u ključnim oblastima javnih politika</a:t>
          </a:r>
          <a:endParaRPr lang="sr-Latn-RS" sz="1000" b="0" kern="1200">
            <a:latin typeface="+mj-lt"/>
          </a:endParaRPr>
        </a:p>
        <a:p>
          <a:pPr lvl="0" algn="just" defTabSz="488950">
            <a:lnSpc>
              <a:spcPct val="90000"/>
            </a:lnSpc>
            <a:spcBef>
              <a:spcPct val="0"/>
            </a:spcBef>
            <a:spcAft>
              <a:spcPct val="35000"/>
            </a:spcAft>
          </a:pPr>
          <a:endParaRPr lang="en-US" sz="1000" b="0" kern="1200">
            <a:latin typeface="+mj-lt"/>
          </a:endParaRPr>
        </a:p>
        <a:p>
          <a:pPr lvl="0" algn="just" defTabSz="488950">
            <a:lnSpc>
              <a:spcPct val="90000"/>
            </a:lnSpc>
            <a:spcBef>
              <a:spcPct val="0"/>
            </a:spcBef>
            <a:spcAft>
              <a:spcPct val="35000"/>
            </a:spcAft>
          </a:pPr>
          <a:r>
            <a:rPr lang="en-US" sz="1000" b="0" kern="1200">
              <a:latin typeface="+mj-lt"/>
            </a:rPr>
            <a:t>Operativni cilj 1.2 Ojačati kapacitete javne uprave za efikasno učešće nevladinih organizacija u pripremi i primjeni javnih</a:t>
          </a:r>
          <a:r>
            <a:rPr lang="x-none" sz="1000" b="0" kern="1200">
              <a:latin typeface="+mj-lt"/>
            </a:rPr>
            <a:t> politika</a:t>
          </a:r>
          <a:endParaRPr lang="en-US" sz="1000" b="0" kern="1200">
            <a:latin typeface="+mj-lt"/>
          </a:endParaRPr>
        </a:p>
      </dsp:txBody>
      <dsp:txXfrm rot="-5400000">
        <a:off x="3092077" y="211468"/>
        <a:ext cx="2311426" cy="2105268"/>
      </dsp:txXfrm>
    </dsp:sp>
    <dsp:sp modelId="{90D9C2FC-B1E3-4433-A50F-D68631D4252E}">
      <dsp:nvSpPr>
        <dsp:cNvPr id="0" name=""/>
        <dsp:cNvSpPr/>
      </dsp:nvSpPr>
      <dsp:spPr>
        <a:xfrm>
          <a:off x="2553266" y="-69514"/>
          <a:ext cx="1057833" cy="663155"/>
        </a:xfrm>
        <a:prstGeom prst="circularArrow">
          <a:avLst>
            <a:gd name="adj1" fmla="val 12500"/>
            <a:gd name="adj2" fmla="val 1142322"/>
            <a:gd name="adj3" fmla="val 20457678"/>
            <a:gd name="adj4" fmla="val 10800000"/>
            <a:gd name="adj5" fmla="val 12500"/>
          </a:avLst>
        </a:prstGeom>
        <a:solidFill>
          <a:schemeClr val="accent5">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5FD2907-BDB5-47D8-8661-884FFE4009CF}">
      <dsp:nvSpPr>
        <dsp:cNvPr id="0" name=""/>
        <dsp:cNvSpPr/>
      </dsp:nvSpPr>
      <dsp:spPr>
        <a:xfrm rot="10800000">
          <a:off x="2591369" y="2004519"/>
          <a:ext cx="1057833" cy="663155"/>
        </a:xfrm>
        <a:prstGeom prst="circularArrow">
          <a:avLst>
            <a:gd name="adj1" fmla="val 12500"/>
            <a:gd name="adj2" fmla="val 1142322"/>
            <a:gd name="adj3" fmla="val 20457678"/>
            <a:gd name="adj4" fmla="val 10800000"/>
            <a:gd name="adj5" fmla="val 12500"/>
          </a:avLst>
        </a:prstGeom>
        <a:solidFill>
          <a:schemeClr val="accent5">
            <a:lumMod val="40000"/>
            <a:lumOff val="60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FBB0A3-4AB1-4989-A248-20A753DFBD8E}">
      <dsp:nvSpPr>
        <dsp:cNvPr id="0" name=""/>
        <dsp:cNvSpPr/>
      </dsp:nvSpPr>
      <dsp:spPr>
        <a:xfrm>
          <a:off x="184308" y="892"/>
          <a:ext cx="1599307" cy="959584"/>
        </a:xfrm>
        <a:prstGeom prst="rect">
          <a:avLst/>
        </a:prstGeom>
        <a:solidFill>
          <a:srgbClr val="DC9E1F"/>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x-none" sz="1600" kern="1200">
              <a:solidFill>
                <a:srgbClr val="FFFFFF"/>
              </a:solidFill>
              <a:latin typeface="Cambria"/>
              <a:ea typeface="+mn-ea"/>
              <a:cs typeface="+mn-cs"/>
            </a:rPr>
            <a:t>Povjerenje</a:t>
          </a:r>
          <a:endParaRPr lang="en-US" sz="1600" kern="1200">
            <a:solidFill>
              <a:srgbClr val="FFFFFF"/>
            </a:solidFill>
            <a:latin typeface="Cambria"/>
            <a:ea typeface="+mn-ea"/>
            <a:cs typeface="+mn-cs"/>
          </a:endParaRPr>
        </a:p>
      </dsp:txBody>
      <dsp:txXfrm>
        <a:off x="184308" y="892"/>
        <a:ext cx="1599307" cy="959584"/>
      </dsp:txXfrm>
    </dsp:sp>
    <dsp:sp modelId="{B9F47FE1-6ECA-48EA-B4D3-4FB88B3B1D28}">
      <dsp:nvSpPr>
        <dsp:cNvPr id="0" name=""/>
        <dsp:cNvSpPr/>
      </dsp:nvSpPr>
      <dsp:spPr>
        <a:xfrm>
          <a:off x="1943546" y="892"/>
          <a:ext cx="1599307" cy="959584"/>
        </a:xfrm>
        <a:prstGeom prst="rect">
          <a:avLst/>
        </a:prstGeom>
        <a:solidFill>
          <a:srgbClr val="CC8E60">
            <a:lumMod val="60000"/>
            <a:lumOff val="4000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x-none" sz="1600" kern="1200">
              <a:solidFill>
                <a:srgbClr val="FFFFFF"/>
              </a:solidFill>
              <a:latin typeface="Cambria"/>
              <a:ea typeface="+mn-ea"/>
              <a:cs typeface="+mn-cs"/>
            </a:rPr>
            <a:t>Jednakost</a:t>
          </a:r>
          <a:endParaRPr lang="en-US" sz="1600" kern="1200">
            <a:solidFill>
              <a:srgbClr val="FFFFFF"/>
            </a:solidFill>
            <a:latin typeface="Cambria"/>
            <a:ea typeface="+mn-ea"/>
            <a:cs typeface="+mn-cs"/>
          </a:endParaRPr>
        </a:p>
      </dsp:txBody>
      <dsp:txXfrm>
        <a:off x="1943546" y="892"/>
        <a:ext cx="1599307" cy="959584"/>
      </dsp:txXfrm>
    </dsp:sp>
    <dsp:sp modelId="{C5F70BDB-E83C-469D-A51F-1A0853BD5A78}">
      <dsp:nvSpPr>
        <dsp:cNvPr id="0" name=""/>
        <dsp:cNvSpPr/>
      </dsp:nvSpPr>
      <dsp:spPr>
        <a:xfrm>
          <a:off x="3702784" y="892"/>
          <a:ext cx="1599307" cy="959584"/>
        </a:xfrm>
        <a:prstGeom prst="rect">
          <a:avLst/>
        </a:prstGeom>
        <a:solidFill>
          <a:srgbClr val="7A6A60">
            <a:lumMod val="60000"/>
            <a:lumOff val="4000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x-none" sz="1600" kern="1200">
              <a:solidFill>
                <a:srgbClr val="FFFFFF"/>
              </a:solidFill>
              <a:latin typeface="Cambria"/>
              <a:ea typeface="+mn-ea"/>
              <a:cs typeface="+mn-cs"/>
            </a:rPr>
            <a:t>Nepristranost</a:t>
          </a:r>
          <a:endParaRPr lang="en-US" sz="1600" kern="1200">
            <a:solidFill>
              <a:srgbClr val="FFFFFF"/>
            </a:solidFill>
            <a:latin typeface="Cambria"/>
            <a:ea typeface="+mn-ea"/>
            <a:cs typeface="+mn-cs"/>
          </a:endParaRPr>
        </a:p>
      </dsp:txBody>
      <dsp:txXfrm>
        <a:off x="3702784" y="892"/>
        <a:ext cx="1599307" cy="959584"/>
      </dsp:txXfrm>
    </dsp:sp>
    <dsp:sp modelId="{5CB10B6E-DF18-4CC6-BA29-C1A6C51EA6B4}">
      <dsp:nvSpPr>
        <dsp:cNvPr id="0" name=""/>
        <dsp:cNvSpPr/>
      </dsp:nvSpPr>
      <dsp:spPr>
        <a:xfrm>
          <a:off x="184308" y="1120407"/>
          <a:ext cx="1599307" cy="959584"/>
        </a:xfrm>
        <a:prstGeom prst="rect">
          <a:avLst/>
        </a:prstGeom>
        <a:solidFill>
          <a:srgbClr val="00B050"/>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x-none" sz="1600" kern="1200">
              <a:solidFill>
                <a:srgbClr val="FFFFFF"/>
              </a:solidFill>
              <a:latin typeface="Cambria"/>
              <a:ea typeface="+mn-ea"/>
              <a:cs typeface="+mn-cs"/>
            </a:rPr>
            <a:t>Transparentnost</a:t>
          </a:r>
          <a:endParaRPr lang="en-US" sz="1600" kern="1200">
            <a:solidFill>
              <a:srgbClr val="FFFFFF"/>
            </a:solidFill>
            <a:latin typeface="Cambria"/>
            <a:ea typeface="+mn-ea"/>
            <a:cs typeface="+mn-cs"/>
          </a:endParaRPr>
        </a:p>
      </dsp:txBody>
      <dsp:txXfrm>
        <a:off x="184308" y="1120407"/>
        <a:ext cx="1599307" cy="959584"/>
      </dsp:txXfrm>
    </dsp:sp>
    <dsp:sp modelId="{F78A71CA-D921-4281-8057-CC5C3D298B6B}">
      <dsp:nvSpPr>
        <dsp:cNvPr id="0" name=""/>
        <dsp:cNvSpPr/>
      </dsp:nvSpPr>
      <dsp:spPr>
        <a:xfrm>
          <a:off x="1943546" y="1120407"/>
          <a:ext cx="1599307" cy="959584"/>
        </a:xfrm>
        <a:prstGeom prst="rect">
          <a:avLst/>
        </a:prstGeom>
        <a:solidFill>
          <a:schemeClr val="accent1">
            <a:lumMod val="75000"/>
          </a:scheme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x-none" sz="1600" kern="1200">
              <a:solidFill>
                <a:srgbClr val="FFFFFF"/>
              </a:solidFill>
              <a:latin typeface="Cambria"/>
              <a:ea typeface="+mn-ea"/>
              <a:cs typeface="+mn-cs"/>
            </a:rPr>
            <a:t>Profesionalnost</a:t>
          </a:r>
          <a:endParaRPr lang="en-US" sz="1600" kern="1200">
            <a:solidFill>
              <a:srgbClr val="FFFFFF"/>
            </a:solidFill>
            <a:latin typeface="Cambria"/>
            <a:ea typeface="+mn-ea"/>
            <a:cs typeface="+mn-cs"/>
          </a:endParaRPr>
        </a:p>
      </dsp:txBody>
      <dsp:txXfrm>
        <a:off x="1943546" y="1120407"/>
        <a:ext cx="1599307" cy="959584"/>
      </dsp:txXfrm>
    </dsp:sp>
    <dsp:sp modelId="{BD06A593-4784-4F63-8307-8D310D7BA9D0}">
      <dsp:nvSpPr>
        <dsp:cNvPr id="0" name=""/>
        <dsp:cNvSpPr/>
      </dsp:nvSpPr>
      <dsp:spPr>
        <a:xfrm>
          <a:off x="3702784" y="1120407"/>
          <a:ext cx="1599307" cy="959584"/>
        </a:xfrm>
        <a:prstGeom prst="rect">
          <a:avLst/>
        </a:prstGeom>
        <a:solidFill>
          <a:srgbClr val="FFC000"/>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x-none" sz="1600" kern="1200">
              <a:solidFill>
                <a:srgbClr val="FFFFFF"/>
              </a:solidFill>
              <a:latin typeface="Cambria"/>
              <a:ea typeface="+mn-ea"/>
              <a:cs typeface="+mn-cs"/>
            </a:rPr>
            <a:t>Participacija i partnerstvo</a:t>
          </a:r>
          <a:endParaRPr lang="en-US" sz="1600" kern="1200">
            <a:solidFill>
              <a:srgbClr val="FFFFFF"/>
            </a:solidFill>
            <a:latin typeface="Cambria"/>
            <a:ea typeface="+mn-ea"/>
            <a:cs typeface="+mn-cs"/>
          </a:endParaRPr>
        </a:p>
      </dsp:txBody>
      <dsp:txXfrm>
        <a:off x="3702784" y="1120407"/>
        <a:ext cx="1599307" cy="959584"/>
      </dsp:txXfrm>
    </dsp:sp>
    <dsp:sp modelId="{0071A6EE-7B21-41ED-99C2-45B6F462B803}">
      <dsp:nvSpPr>
        <dsp:cNvPr id="0" name=""/>
        <dsp:cNvSpPr/>
      </dsp:nvSpPr>
      <dsp:spPr>
        <a:xfrm>
          <a:off x="1063927" y="2239922"/>
          <a:ext cx="1599307" cy="959584"/>
        </a:xfrm>
        <a:prstGeom prst="rect">
          <a:avLst/>
        </a:prstGeom>
        <a:solidFill>
          <a:srgbClr val="F0C6E8"/>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x-none" sz="1600" kern="1200">
              <a:solidFill>
                <a:srgbClr val="FFFFFF"/>
              </a:solidFill>
              <a:latin typeface="Cambria"/>
              <a:ea typeface="+mn-ea"/>
              <a:cs typeface="+mn-cs"/>
            </a:rPr>
            <a:t>Odlučivanje na temelju dokaza</a:t>
          </a:r>
          <a:endParaRPr lang="en-US" sz="1600" kern="1200">
            <a:solidFill>
              <a:srgbClr val="FFFFFF"/>
            </a:solidFill>
            <a:latin typeface="Cambria"/>
            <a:ea typeface="+mn-ea"/>
            <a:cs typeface="+mn-cs"/>
          </a:endParaRPr>
        </a:p>
      </dsp:txBody>
      <dsp:txXfrm>
        <a:off x="1063927" y="2239922"/>
        <a:ext cx="1599307" cy="959584"/>
      </dsp:txXfrm>
    </dsp:sp>
    <dsp:sp modelId="{29B14B35-9CFC-46D7-8D84-7C614B457EBC}">
      <dsp:nvSpPr>
        <dsp:cNvPr id="0" name=""/>
        <dsp:cNvSpPr/>
      </dsp:nvSpPr>
      <dsp:spPr>
        <a:xfrm>
          <a:off x="2823165" y="2239922"/>
          <a:ext cx="1599307" cy="959584"/>
        </a:xfrm>
        <a:prstGeom prst="rect">
          <a:avLst/>
        </a:prstGeom>
        <a:solidFill>
          <a:srgbClr val="E37D8C"/>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x-none" sz="1600" kern="1200">
              <a:solidFill>
                <a:srgbClr val="FFFFFF"/>
              </a:solidFill>
              <a:latin typeface="Cambria"/>
              <a:ea typeface="+mn-ea"/>
              <a:cs typeface="+mn-cs"/>
            </a:rPr>
            <a:t>Odgovorno i efikasno vođenje i upravljanje</a:t>
          </a:r>
          <a:endParaRPr lang="en-US" sz="1600" kern="1200">
            <a:solidFill>
              <a:srgbClr val="FFFFFF"/>
            </a:solidFill>
            <a:latin typeface="Cambria"/>
            <a:ea typeface="+mn-ea"/>
            <a:cs typeface="+mn-cs"/>
          </a:endParaRPr>
        </a:p>
      </dsp:txBody>
      <dsp:txXfrm>
        <a:off x="2823165" y="2239922"/>
        <a:ext cx="1599307" cy="95958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11FE0F-D4CB-489E-BC76-82C8AFC426EA}">
      <dsp:nvSpPr>
        <dsp:cNvPr id="0" name=""/>
        <dsp:cNvSpPr/>
      </dsp:nvSpPr>
      <dsp:spPr>
        <a:xfrm>
          <a:off x="74321" y="0"/>
          <a:ext cx="1102716" cy="570754"/>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x-none" sz="1000" kern="1200"/>
            <a:t>ŠTA RADIMO</a:t>
          </a:r>
          <a:endParaRPr lang="en-US" sz="1000" kern="1200"/>
        </a:p>
      </dsp:txBody>
      <dsp:txXfrm>
        <a:off x="74321" y="0"/>
        <a:ext cx="1102716" cy="380503"/>
      </dsp:txXfrm>
    </dsp:sp>
    <dsp:sp modelId="{D74CBA0B-2DF5-4F7F-97EC-6EF52FB26594}">
      <dsp:nvSpPr>
        <dsp:cNvPr id="0" name=""/>
        <dsp:cNvSpPr/>
      </dsp:nvSpPr>
      <dsp:spPr>
        <a:xfrm>
          <a:off x="3598" y="495834"/>
          <a:ext cx="1695878" cy="293417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x-none" sz="1050" kern="1200"/>
            <a:t> </a:t>
          </a:r>
          <a:r>
            <a:rPr lang="en-US" sz="1050" kern="1200"/>
            <a:t>Zajedno gradimo javnu upravu gra</a:t>
          </a:r>
          <a:r>
            <a:rPr lang="x-none" sz="1050" kern="1200"/>
            <a:t>đ</a:t>
          </a:r>
          <a:r>
            <a:rPr lang="en-US" sz="1050" kern="1200"/>
            <a:t>ana i gra</a:t>
          </a:r>
          <a:r>
            <a:rPr lang="x-none" sz="1050" kern="1200"/>
            <a:t>đ</a:t>
          </a:r>
          <a:r>
            <a:rPr lang="en-US" sz="1050" kern="1200"/>
            <a:t>anki - transparetnu, dostupnu, efikasnu, profesionalnu </a:t>
          </a:r>
        </a:p>
      </dsp:txBody>
      <dsp:txXfrm>
        <a:off x="53269" y="545505"/>
        <a:ext cx="1596536" cy="2834833"/>
      </dsp:txXfrm>
    </dsp:sp>
    <dsp:sp modelId="{5AD82761-EEA1-4174-A381-36EE93141383}">
      <dsp:nvSpPr>
        <dsp:cNvPr id="0" name=""/>
        <dsp:cNvSpPr/>
      </dsp:nvSpPr>
      <dsp:spPr>
        <a:xfrm>
          <a:off x="1498099" y="93117"/>
          <a:ext cx="680650" cy="27454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1498099" y="148026"/>
        <a:ext cx="598287" cy="164726"/>
      </dsp:txXfrm>
    </dsp:sp>
    <dsp:sp modelId="{A1BA4A36-98AE-40C3-9EAE-7BED2DD1E976}">
      <dsp:nvSpPr>
        <dsp:cNvPr id="0" name=""/>
        <dsp:cNvSpPr/>
      </dsp:nvSpPr>
      <dsp:spPr>
        <a:xfrm>
          <a:off x="2461284" y="0"/>
          <a:ext cx="1102716" cy="570754"/>
        </a:xfrm>
        <a:prstGeom prst="roundRect">
          <a:avLst>
            <a:gd name="adj" fmla="val 10000"/>
          </a:avLst>
        </a:prstGeom>
        <a:solidFill>
          <a:schemeClr val="accent4">
            <a:hueOff val="4706656"/>
            <a:satOff val="-11638"/>
            <a:lumOff val="-61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x-none" sz="1000" kern="1200"/>
            <a:t>KAKO RADIMO</a:t>
          </a:r>
          <a:endParaRPr lang="en-US" sz="1000" kern="1200"/>
        </a:p>
      </dsp:txBody>
      <dsp:txXfrm>
        <a:off x="2461284" y="0"/>
        <a:ext cx="1102716" cy="380503"/>
      </dsp:txXfrm>
    </dsp:sp>
    <dsp:sp modelId="{B03A8296-1AFD-4155-8979-628BFFDD7B2E}">
      <dsp:nvSpPr>
        <dsp:cNvPr id="0" name=""/>
        <dsp:cNvSpPr/>
      </dsp:nvSpPr>
      <dsp:spPr>
        <a:xfrm>
          <a:off x="2142289" y="456417"/>
          <a:ext cx="2192420" cy="318077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706656"/>
              <a:satOff val="-11638"/>
              <a:lumOff val="-61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x-none" sz="1000" kern="1200"/>
            <a:t> P</a:t>
          </a:r>
          <a:r>
            <a:rPr lang="en-US" sz="1000" kern="1200"/>
            <a:t>rilagođavanje i mijenjanje načina kreiranja javnih politika i zakona, kao i javnih usluga kako bi se omogućilo da one budu u potpunosti usmjerene na građane i privredu.</a:t>
          </a:r>
        </a:p>
        <a:p>
          <a:pPr marL="57150" lvl="1" indent="-57150" algn="l" defTabSz="444500">
            <a:lnSpc>
              <a:spcPct val="90000"/>
            </a:lnSpc>
            <a:spcBef>
              <a:spcPct val="0"/>
            </a:spcBef>
            <a:spcAft>
              <a:spcPct val="15000"/>
            </a:spcAft>
            <a:buChar char="••"/>
          </a:pPr>
          <a:r>
            <a:rPr lang="x-none" sz="1000" kern="1200"/>
            <a:t> Izmjena p</a:t>
          </a:r>
          <a:r>
            <a:rPr lang="en-US" sz="1000" kern="1200"/>
            <a:t>roces</a:t>
          </a:r>
          <a:r>
            <a:rPr lang="sr-Latn-RS" sz="1000" kern="1200"/>
            <a:t>a</a:t>
          </a:r>
          <a:r>
            <a:rPr lang="en-US" sz="1000" kern="1200"/>
            <a:t>, prakse i</a:t>
          </a:r>
          <a:r>
            <a:rPr lang="sr-Latn-RS" sz="1000" kern="1200"/>
            <a:t> organizacione</a:t>
          </a:r>
          <a:r>
            <a:rPr lang="en-US" sz="1000" kern="1200"/>
            <a:t> kultur</a:t>
          </a:r>
          <a:r>
            <a:rPr lang="x-none" sz="1000" kern="1200"/>
            <a:t>e</a:t>
          </a:r>
          <a:r>
            <a:rPr lang="en-US" sz="1000" kern="1200"/>
            <a:t> – obezbijediti modernizaciju javne uprave kroz optimizaciju unutrašnjih procesa i podsticajnih praksi, uvođenje pristupa koji u fokusu ima identifikovanje problema, dizajniranje rješenja za potrebe građana, a koji istovremenu utiču na promjenu svijesti i kulture u javnoj upravi.</a:t>
          </a:r>
        </a:p>
        <a:p>
          <a:pPr marL="57150" lvl="1" indent="-57150" algn="l" defTabSz="444500">
            <a:lnSpc>
              <a:spcPct val="90000"/>
            </a:lnSpc>
            <a:spcBef>
              <a:spcPct val="0"/>
            </a:spcBef>
            <a:spcAft>
              <a:spcPct val="15000"/>
            </a:spcAft>
            <a:buChar char="••"/>
          </a:pPr>
          <a:r>
            <a:rPr lang="x-none" sz="1000" kern="1200"/>
            <a:t> T</a:t>
          </a:r>
          <a:r>
            <a:rPr lang="en-US" sz="1000" kern="1200"/>
            <a:t>ransformacija proizvoda i usluga kako bi oni bili brži, jednostavniji, pristupačniji i funkcionalniji za građane i privredu.</a:t>
          </a:r>
        </a:p>
      </dsp:txBody>
      <dsp:txXfrm>
        <a:off x="2206503" y="520631"/>
        <a:ext cx="2063992" cy="3052345"/>
      </dsp:txXfrm>
    </dsp:sp>
    <dsp:sp modelId="{C565133D-A4AC-440F-B679-26D12655981E}">
      <dsp:nvSpPr>
        <dsp:cNvPr id="0" name=""/>
        <dsp:cNvSpPr/>
      </dsp:nvSpPr>
      <dsp:spPr>
        <a:xfrm>
          <a:off x="3885062" y="93117"/>
          <a:ext cx="680650" cy="274544"/>
        </a:xfrm>
        <a:prstGeom prst="rightArrow">
          <a:avLst>
            <a:gd name="adj1" fmla="val 60000"/>
            <a:gd name="adj2" fmla="val 50000"/>
          </a:avLst>
        </a:prstGeom>
        <a:solidFill>
          <a:schemeClr val="accent4">
            <a:hueOff val="9413312"/>
            <a:satOff val="-23276"/>
            <a:lumOff val="-1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77800">
            <a:lnSpc>
              <a:spcPct val="90000"/>
            </a:lnSpc>
            <a:spcBef>
              <a:spcPct val="0"/>
            </a:spcBef>
            <a:spcAft>
              <a:spcPct val="35000"/>
            </a:spcAft>
          </a:pPr>
          <a:endParaRPr lang="en-US" sz="400" kern="1200"/>
        </a:p>
      </dsp:txBody>
      <dsp:txXfrm>
        <a:off x="3885062" y="148026"/>
        <a:ext cx="598287" cy="164726"/>
      </dsp:txXfrm>
    </dsp:sp>
    <dsp:sp modelId="{29E7EC1B-4BA3-4487-8F91-782E43872A96}">
      <dsp:nvSpPr>
        <dsp:cNvPr id="0" name=""/>
        <dsp:cNvSpPr/>
      </dsp:nvSpPr>
      <dsp:spPr>
        <a:xfrm>
          <a:off x="4848247" y="0"/>
          <a:ext cx="1102716" cy="570754"/>
        </a:xfrm>
        <a:prstGeom prst="roundRect">
          <a:avLst>
            <a:gd name="adj" fmla="val 10000"/>
          </a:avLst>
        </a:prstGeom>
        <a:solidFill>
          <a:schemeClr val="accent4">
            <a:hueOff val="9413312"/>
            <a:satOff val="-23276"/>
            <a:lumOff val="-1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x-none" sz="1000" kern="1200"/>
            <a:t>ZA KOGA RADIMO</a:t>
          </a:r>
          <a:endParaRPr lang="en-US" sz="1000" kern="1200"/>
        </a:p>
      </dsp:txBody>
      <dsp:txXfrm>
        <a:off x="4848247" y="0"/>
        <a:ext cx="1102716" cy="380503"/>
      </dsp:txXfrm>
    </dsp:sp>
    <dsp:sp modelId="{6503F3E1-D528-4C5A-BBD3-64FF6142295C}">
      <dsp:nvSpPr>
        <dsp:cNvPr id="0" name=""/>
        <dsp:cNvSpPr/>
      </dsp:nvSpPr>
      <dsp:spPr>
        <a:xfrm>
          <a:off x="4777523" y="452883"/>
          <a:ext cx="1695878" cy="318628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9413312"/>
              <a:satOff val="-23276"/>
              <a:lumOff val="-1235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x-none" sz="1050" kern="1200"/>
            <a:t> O</a:t>
          </a:r>
          <a:r>
            <a:rPr lang="en-US" sz="1050" kern="1200"/>
            <a:t>pšta javnost</a:t>
          </a:r>
          <a:r>
            <a:rPr lang="x-none" sz="1050" kern="1200"/>
            <a:t> - građani </a:t>
          </a:r>
          <a:r>
            <a:rPr lang="en-US" sz="1050" kern="1200"/>
            <a:t> </a:t>
          </a:r>
        </a:p>
        <a:p>
          <a:pPr marL="57150" lvl="1" indent="-57150" algn="l" defTabSz="466725">
            <a:lnSpc>
              <a:spcPct val="90000"/>
            </a:lnSpc>
            <a:spcBef>
              <a:spcPct val="0"/>
            </a:spcBef>
            <a:spcAft>
              <a:spcPct val="15000"/>
            </a:spcAft>
            <a:buChar char="••"/>
          </a:pPr>
          <a:r>
            <a:rPr lang="x-none" sz="1050" kern="1200"/>
            <a:t> M</a:t>
          </a:r>
          <a:r>
            <a:rPr lang="en-US" sz="1050" kern="1200"/>
            <a:t>ediji</a:t>
          </a:r>
        </a:p>
        <a:p>
          <a:pPr marL="57150" lvl="1" indent="-57150" algn="l" defTabSz="466725">
            <a:lnSpc>
              <a:spcPct val="90000"/>
            </a:lnSpc>
            <a:spcBef>
              <a:spcPct val="0"/>
            </a:spcBef>
            <a:spcAft>
              <a:spcPct val="15000"/>
            </a:spcAft>
            <a:buChar char="••"/>
          </a:pPr>
          <a:r>
            <a:rPr lang="x-none" sz="1050" kern="1200"/>
            <a:t> </a:t>
          </a:r>
          <a:r>
            <a:rPr lang="en-US" sz="1050" kern="1200"/>
            <a:t>NVO</a:t>
          </a:r>
        </a:p>
        <a:p>
          <a:pPr marL="57150" lvl="1" indent="-57150" algn="l" defTabSz="466725">
            <a:lnSpc>
              <a:spcPct val="90000"/>
            </a:lnSpc>
            <a:spcBef>
              <a:spcPct val="0"/>
            </a:spcBef>
            <a:spcAft>
              <a:spcPct val="15000"/>
            </a:spcAft>
            <a:buChar char="••"/>
          </a:pPr>
          <a:r>
            <a:rPr lang="x-none" sz="1050" kern="1200"/>
            <a:t> P</a:t>
          </a:r>
          <a:r>
            <a:rPr lang="en-US" sz="1050" kern="1200"/>
            <a:t>rivredna i druga strukovna udruženja</a:t>
          </a:r>
        </a:p>
        <a:p>
          <a:pPr marL="57150" lvl="1" indent="-57150" algn="l" defTabSz="466725">
            <a:lnSpc>
              <a:spcPct val="90000"/>
            </a:lnSpc>
            <a:spcBef>
              <a:spcPct val="0"/>
            </a:spcBef>
            <a:spcAft>
              <a:spcPct val="15000"/>
            </a:spcAft>
            <a:buChar char="••"/>
          </a:pPr>
          <a:r>
            <a:rPr lang="x-none" sz="1050" kern="1200"/>
            <a:t> S</a:t>
          </a:r>
          <a:r>
            <a:rPr lang="en-US" sz="1050" kern="1200"/>
            <a:t>indikalne organizacije</a:t>
          </a:r>
        </a:p>
        <a:p>
          <a:pPr marL="57150" lvl="1" indent="-57150" algn="l" defTabSz="466725">
            <a:lnSpc>
              <a:spcPct val="90000"/>
            </a:lnSpc>
            <a:spcBef>
              <a:spcPct val="0"/>
            </a:spcBef>
            <a:spcAft>
              <a:spcPct val="15000"/>
            </a:spcAft>
            <a:buChar char="••"/>
          </a:pPr>
          <a:r>
            <a:rPr lang="x-none" sz="1050" kern="1200"/>
            <a:t> A</a:t>
          </a:r>
          <a:r>
            <a:rPr lang="en-US" sz="1050" kern="1200"/>
            <a:t>kademska zajednica</a:t>
          </a:r>
        </a:p>
        <a:p>
          <a:pPr marL="57150" lvl="1" indent="-57150" algn="l" defTabSz="466725">
            <a:lnSpc>
              <a:spcPct val="90000"/>
            </a:lnSpc>
            <a:spcBef>
              <a:spcPct val="0"/>
            </a:spcBef>
            <a:spcAft>
              <a:spcPct val="15000"/>
            </a:spcAft>
            <a:buChar char="••"/>
          </a:pPr>
          <a:r>
            <a:rPr lang="x-none" sz="1050" kern="1200"/>
            <a:t> M</a:t>
          </a:r>
          <a:r>
            <a:rPr lang="en-US" sz="1050" kern="1200"/>
            <a:t>eđunarodna javnost – EK i </a:t>
          </a:r>
          <a:r>
            <a:rPr lang="x-none" sz="1050" kern="1200"/>
            <a:t>druge </a:t>
          </a:r>
          <a:r>
            <a:rPr lang="en-US" sz="1050" kern="1200"/>
            <a:t>međunarodne organizacije</a:t>
          </a:r>
        </a:p>
        <a:p>
          <a:pPr marL="57150" lvl="1" indent="-57150" algn="l" defTabSz="466725">
            <a:lnSpc>
              <a:spcPct val="90000"/>
            </a:lnSpc>
            <a:spcBef>
              <a:spcPct val="0"/>
            </a:spcBef>
            <a:spcAft>
              <a:spcPct val="15000"/>
            </a:spcAft>
            <a:buChar char="••"/>
          </a:pPr>
          <a:r>
            <a:rPr lang="x-none" sz="1050" kern="1200"/>
            <a:t> Z</a:t>
          </a:r>
          <a:r>
            <a:rPr lang="en-US" sz="1050" kern="1200"/>
            <a:t>aposleni u državnoj i lokalnoj samoupravi – visokorukovodni kadar, srednje</a:t>
          </a:r>
          <a:r>
            <a:rPr lang="sr-Latn-ME" sz="1050" kern="1200"/>
            <a:t>-</a:t>
          </a:r>
          <a:r>
            <a:rPr lang="en-US" sz="1050" kern="1200"/>
            <a:t>rukovodni kadar, službenici i namještenici</a:t>
          </a:r>
        </a:p>
      </dsp:txBody>
      <dsp:txXfrm>
        <a:off x="4827194" y="502554"/>
        <a:ext cx="1596536" cy="3086943"/>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10.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4.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5.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6.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1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19.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7.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C57544-08A9-431D-B7E1-E223A81C4B52}">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86E5E6BF-1CBD-4236-9740-392C7574D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TimelessReport</Template>
  <TotalTime>1</TotalTime>
  <Pages>147</Pages>
  <Words>43949</Words>
  <Characters>250512</Characters>
  <Application>Microsoft Office Word</Application>
  <DocSecurity>0</DocSecurity>
  <Lines>2087</Lines>
  <Paragraphs>587</Paragraphs>
  <ScaleCrop>false</ScaleCrop>
  <HeadingPairs>
    <vt:vector size="2" baseType="variant">
      <vt:variant>
        <vt:lpstr>Title</vt:lpstr>
      </vt:variant>
      <vt:variant>
        <vt:i4>1</vt:i4>
      </vt:variant>
    </vt:vector>
  </HeadingPairs>
  <TitlesOfParts>
    <vt:vector size="1" baseType="lpstr">
      <vt:lpstr>STRATEGIJA REFORME JAVNE UPRAVE</vt:lpstr>
    </vt:vector>
  </TitlesOfParts>
  <Company/>
  <LinksUpToDate>false</LinksUpToDate>
  <CharactersWithSpaces>293874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STRATEGIJA REFORME JAVNE UPRAVE</dc:title>
  <dc:subject/>
  <dc:creator>Svetlana</dc:creator>
  <cp:keywords/>
  <dc:description/>
  <cp:lastModifiedBy>Zorica Zekovic</cp:lastModifiedBy>
  <cp:revision>2</cp:revision>
  <cp:lastPrinted>2021-11-01T08:30:00Z</cp:lastPrinted>
  <dcterms:created xsi:type="dcterms:W3CDTF">2021-11-09T11:50:00Z</dcterms:created>
  <dcterms:modified xsi:type="dcterms:W3CDTF">2021-11-09T11:50:00Z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