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2BA" w:rsidRDefault="00A272BA" w:rsidP="00A272BA">
      <w:pPr>
        <w:rPr>
          <w:rFonts w:ascii="Arial" w:hAnsi="Arial" w:cs="Arial"/>
          <w:lang w:val="sl-SI"/>
        </w:rPr>
      </w:pPr>
    </w:p>
    <w:p w:rsidR="00C921C3" w:rsidRDefault="00C921C3" w:rsidP="00C921C3">
      <w:pPr>
        <w:pStyle w:val="BodyText"/>
        <w:jc w:val="center"/>
        <w:outlineLvl w:val="0"/>
        <w:rPr>
          <w:rFonts w:ascii="Arial" w:hAnsi="Arial" w:cs="Arial"/>
          <w:b/>
          <w:sz w:val="32"/>
          <w:szCs w:val="32"/>
        </w:rPr>
      </w:pPr>
      <w:r w:rsidRPr="000E3ABA">
        <w:rPr>
          <w:rFonts w:ascii="Arial" w:hAnsi="Arial" w:cs="Arial"/>
          <w:b/>
          <w:sz w:val="32"/>
          <w:szCs w:val="32"/>
        </w:rPr>
        <w:t xml:space="preserve">Izvještaj o </w:t>
      </w:r>
      <w:r>
        <w:rPr>
          <w:rFonts w:ascii="Arial" w:hAnsi="Arial" w:cs="Arial"/>
          <w:b/>
          <w:sz w:val="32"/>
          <w:szCs w:val="32"/>
        </w:rPr>
        <w:t>javnom</w:t>
      </w:r>
      <w:r w:rsidRPr="000E3ABA">
        <w:rPr>
          <w:rFonts w:ascii="Arial" w:hAnsi="Arial" w:cs="Arial"/>
          <w:b/>
          <w:sz w:val="32"/>
          <w:szCs w:val="32"/>
        </w:rPr>
        <w:t xml:space="preserve"> dugu Crne Gore</w:t>
      </w:r>
      <w:r>
        <w:rPr>
          <w:rFonts w:ascii="Arial" w:hAnsi="Arial" w:cs="Arial"/>
          <w:b/>
          <w:sz w:val="32"/>
          <w:szCs w:val="32"/>
        </w:rPr>
        <w:t xml:space="preserve"> na 31. decembar 2014</w:t>
      </w:r>
      <w:r w:rsidRPr="000E3ABA">
        <w:rPr>
          <w:rFonts w:ascii="Arial" w:hAnsi="Arial" w:cs="Arial"/>
          <w:b/>
          <w:sz w:val="32"/>
          <w:szCs w:val="32"/>
        </w:rPr>
        <w:t xml:space="preserve">. </w:t>
      </w:r>
      <w:r>
        <w:rPr>
          <w:rFonts w:ascii="Arial" w:hAnsi="Arial" w:cs="Arial"/>
          <w:b/>
          <w:sz w:val="32"/>
          <w:szCs w:val="32"/>
        </w:rPr>
        <w:t>g</w:t>
      </w:r>
      <w:r w:rsidRPr="000E3ABA">
        <w:rPr>
          <w:rFonts w:ascii="Arial" w:hAnsi="Arial" w:cs="Arial"/>
          <w:b/>
          <w:sz w:val="32"/>
          <w:szCs w:val="32"/>
        </w:rPr>
        <w:t>odine</w:t>
      </w:r>
    </w:p>
    <w:p w:rsidR="00C921C3" w:rsidRDefault="00C921C3" w:rsidP="00C921C3">
      <w:pPr>
        <w:pStyle w:val="BodyText"/>
        <w:jc w:val="center"/>
        <w:outlineLvl w:val="0"/>
        <w:rPr>
          <w:b/>
          <w:sz w:val="32"/>
          <w:szCs w:val="32"/>
        </w:rPr>
      </w:pPr>
    </w:p>
    <w:p w:rsidR="00C921C3" w:rsidRPr="00AE479F" w:rsidRDefault="00C921C3" w:rsidP="00C921C3">
      <w:pPr>
        <w:pStyle w:val="BodyText"/>
        <w:rPr>
          <w:b/>
          <w:sz w:val="28"/>
          <w:szCs w:val="28"/>
        </w:rPr>
      </w:pPr>
    </w:p>
    <w:p w:rsidR="00C921C3" w:rsidRDefault="00C921C3" w:rsidP="00C921C3">
      <w:pPr>
        <w:pStyle w:val="BodyText"/>
        <w:ind w:firstLine="720"/>
        <w:rPr>
          <w:rFonts w:ascii="Arial" w:hAnsi="Arial" w:cs="Arial"/>
        </w:rPr>
      </w:pPr>
      <w:r>
        <w:rPr>
          <w:rFonts w:ascii="Arial" w:hAnsi="Arial" w:cs="Arial"/>
        </w:rPr>
        <w:t xml:space="preserve">Zakonska regulativa koja se odnosi na pitanje javnog duga Crne Gore definisana je odredbama Zakona o budžetu i fiskalnoj odgovornosti  („Sl. list Crne Gore“, br.20/14). </w:t>
      </w:r>
    </w:p>
    <w:p w:rsidR="00C921C3" w:rsidRDefault="00C921C3" w:rsidP="00C921C3">
      <w:pPr>
        <w:pStyle w:val="BodyText"/>
        <w:ind w:firstLine="720"/>
        <w:rPr>
          <w:rFonts w:ascii="Arial" w:hAnsi="Arial" w:cs="Arial"/>
        </w:rPr>
      </w:pPr>
    </w:p>
    <w:p w:rsidR="00C921C3" w:rsidRDefault="00C921C3" w:rsidP="00C921C3">
      <w:pPr>
        <w:pStyle w:val="BodyText"/>
        <w:ind w:firstLine="720"/>
        <w:rPr>
          <w:rFonts w:ascii="Arial" w:hAnsi="Arial" w:cs="Arial"/>
        </w:rPr>
      </w:pPr>
      <w:r>
        <w:rPr>
          <w:rFonts w:ascii="Arial" w:hAnsi="Arial" w:cs="Arial"/>
        </w:rPr>
        <w:t xml:space="preserve">Javni dug je, u skladu sa pomenutim Zakonom, definisan kao dug centralnog i lokalnog nivoa, odnosno opšteg nivoa države. Centralni nivo države su državni organi i organi državne uprave, pravna lica i privredna društva koja pretežno pružaju usluge od javnog interesa koja su pod upravljačkom kontrolom i najvećim dijelom finansirana od države. Lokalni nivo su organi opštine, pravna lica i privredna društva koja pretežno pružaju usluge od lokalnog interesa i koja su pod upravljačkom kontrolom i najvećim dijelom finansirana od opštine. </w:t>
      </w:r>
    </w:p>
    <w:p w:rsidR="00C921C3" w:rsidRDefault="00C921C3" w:rsidP="00C921C3">
      <w:pPr>
        <w:pStyle w:val="BodyText"/>
        <w:ind w:firstLine="720"/>
        <w:rPr>
          <w:rFonts w:ascii="Arial" w:hAnsi="Arial" w:cs="Arial"/>
        </w:rPr>
      </w:pPr>
    </w:p>
    <w:p w:rsidR="00C921C3" w:rsidRDefault="00C921C3" w:rsidP="00C921C3">
      <w:pPr>
        <w:pStyle w:val="BodyText"/>
        <w:ind w:firstLine="720"/>
        <w:rPr>
          <w:rFonts w:ascii="Arial" w:hAnsi="Arial" w:cs="Arial"/>
        </w:rPr>
      </w:pPr>
      <w:r>
        <w:rPr>
          <w:rFonts w:ascii="Arial" w:hAnsi="Arial" w:cs="Arial"/>
        </w:rPr>
        <w:t>Shodno odredbama Zakona, Državnim dugom upravlja i evidenciju o postojećem dugu države, uzetim dugoročnim i kratkoročnim pozajmicama i datim garancijama vodi Ministarstvo finansija.</w:t>
      </w:r>
    </w:p>
    <w:p w:rsidR="00C921C3" w:rsidRDefault="00C921C3" w:rsidP="00C921C3">
      <w:pPr>
        <w:pStyle w:val="BodyText"/>
        <w:ind w:firstLine="720"/>
        <w:rPr>
          <w:rFonts w:ascii="Arial" w:hAnsi="Arial" w:cs="Arial"/>
        </w:rPr>
      </w:pPr>
    </w:p>
    <w:p w:rsidR="00C921C3" w:rsidRDefault="00C921C3" w:rsidP="00C921C3">
      <w:pPr>
        <w:pStyle w:val="BodyText"/>
        <w:ind w:firstLine="720"/>
        <w:rPr>
          <w:rFonts w:ascii="Arial" w:hAnsi="Arial" w:cs="Arial"/>
        </w:rPr>
      </w:pPr>
      <w:r>
        <w:rPr>
          <w:rFonts w:ascii="Arial" w:hAnsi="Arial" w:cs="Arial"/>
        </w:rPr>
        <w:t xml:space="preserve"> Nadležni organ u opštini vodi evidenciju o postojećem dugu opštine, uzetim dugoročnim i kratkoričnim pozajmicama i datim garancijama i o tome dostavlja Ministarstvu finansija izvještaj kvartalno u roku od 30 dana, od isteka kvartala. </w:t>
      </w:r>
    </w:p>
    <w:p w:rsidR="00C921C3" w:rsidRDefault="00C921C3" w:rsidP="00C921C3">
      <w:pPr>
        <w:pStyle w:val="BodyText"/>
        <w:ind w:firstLine="720"/>
        <w:rPr>
          <w:rFonts w:ascii="Arial" w:hAnsi="Arial" w:cs="Arial"/>
        </w:rPr>
      </w:pPr>
    </w:p>
    <w:p w:rsidR="00C921C3" w:rsidRDefault="00C921C3" w:rsidP="00C921C3">
      <w:pPr>
        <w:pStyle w:val="BodyText"/>
        <w:ind w:firstLine="720"/>
        <w:rPr>
          <w:rFonts w:ascii="Arial" w:hAnsi="Arial" w:cs="Arial"/>
        </w:rPr>
      </w:pPr>
      <w:r>
        <w:rPr>
          <w:rFonts w:ascii="Arial" w:hAnsi="Arial" w:cs="Arial"/>
        </w:rPr>
        <w:t>Ministarstvo finansija objedinjava evidenciju o javnom dugu i godišnji izvještaj o javnom dugu dostavlja Vladi Crne Gore u roku od 90 dana od isteka fiskalne godine.</w:t>
      </w:r>
    </w:p>
    <w:p w:rsidR="00C921C3" w:rsidRDefault="00C921C3" w:rsidP="00C921C3">
      <w:pPr>
        <w:pStyle w:val="BodyText"/>
        <w:ind w:firstLine="720"/>
        <w:rPr>
          <w:rFonts w:ascii="Arial" w:hAnsi="Arial" w:cs="Arial"/>
        </w:rPr>
      </w:pPr>
    </w:p>
    <w:p w:rsidR="00C921C3" w:rsidRDefault="00C921C3" w:rsidP="00C921C3">
      <w:pPr>
        <w:pStyle w:val="BodyText"/>
        <w:ind w:firstLine="720"/>
        <w:rPr>
          <w:rFonts w:ascii="Arial" w:hAnsi="Arial" w:cs="Arial"/>
        </w:rPr>
      </w:pPr>
    </w:p>
    <w:p w:rsidR="00C921C3" w:rsidRPr="009F43DE" w:rsidRDefault="00C921C3" w:rsidP="00C921C3">
      <w:pPr>
        <w:pStyle w:val="BodyText"/>
        <w:rPr>
          <w:rFonts w:ascii="Arial" w:hAnsi="Arial" w:cs="Arial"/>
          <w:b/>
          <w:sz w:val="28"/>
          <w:szCs w:val="28"/>
        </w:rPr>
      </w:pPr>
      <w:r w:rsidRPr="009F43DE">
        <w:rPr>
          <w:rFonts w:ascii="Arial" w:hAnsi="Arial" w:cs="Arial"/>
          <w:b/>
          <w:sz w:val="28"/>
          <w:szCs w:val="28"/>
        </w:rPr>
        <w:t>Stanje i promjene u javnom dugu Crne Gore</w:t>
      </w:r>
    </w:p>
    <w:p w:rsidR="00C921C3" w:rsidRDefault="00C921C3" w:rsidP="00C921C3">
      <w:pPr>
        <w:pStyle w:val="BodyText"/>
        <w:ind w:firstLine="720"/>
        <w:rPr>
          <w:rFonts w:ascii="Arial" w:hAnsi="Arial" w:cs="Arial"/>
        </w:rPr>
      </w:pPr>
    </w:p>
    <w:p w:rsidR="00C921C3" w:rsidRPr="00C11E74" w:rsidRDefault="00C921C3" w:rsidP="00C921C3">
      <w:pPr>
        <w:pStyle w:val="BodyText"/>
        <w:ind w:firstLine="720"/>
        <w:rPr>
          <w:rFonts w:ascii="Arial" w:hAnsi="Arial" w:cs="Arial"/>
        </w:rPr>
      </w:pPr>
      <w:r>
        <w:rPr>
          <w:rFonts w:ascii="Arial" w:hAnsi="Arial" w:cs="Arial"/>
        </w:rPr>
        <w:t>Neto javni dug Crne Gore na dan 31.12.2014</w:t>
      </w:r>
      <w:r w:rsidRPr="008D20FA">
        <w:rPr>
          <w:rFonts w:ascii="Arial" w:hAnsi="Arial" w:cs="Arial"/>
        </w:rPr>
        <w:t>. godine</w:t>
      </w:r>
      <w:r>
        <w:rPr>
          <w:rFonts w:ascii="Arial" w:hAnsi="Arial" w:cs="Arial"/>
        </w:rPr>
        <w:t xml:space="preserve">, uzimajući u obzir   depozite Ministarsva finansija koji uključuju i 38.477 unci zlata,  iznosi </w:t>
      </w:r>
      <w:r>
        <w:rPr>
          <w:rFonts w:ascii="Arial" w:hAnsi="Arial" w:cs="Arial"/>
          <w:b/>
        </w:rPr>
        <w:t>2.022</w:t>
      </w:r>
      <w:r w:rsidRPr="00595418">
        <w:rPr>
          <w:rFonts w:ascii="Arial" w:hAnsi="Arial" w:cs="Arial"/>
          <w:b/>
        </w:rPr>
        <w:t>,</w:t>
      </w:r>
      <w:r>
        <w:rPr>
          <w:rFonts w:ascii="Arial" w:hAnsi="Arial" w:cs="Arial"/>
          <w:b/>
        </w:rPr>
        <w:t>21</w:t>
      </w:r>
      <w:r w:rsidRPr="00595418">
        <w:rPr>
          <w:rFonts w:ascii="Arial" w:hAnsi="Arial" w:cs="Arial"/>
          <w:b/>
        </w:rPr>
        <w:t xml:space="preserve"> mil. eura</w:t>
      </w:r>
      <w:r>
        <w:rPr>
          <w:rFonts w:ascii="Arial" w:hAnsi="Arial" w:cs="Arial"/>
          <w:b/>
        </w:rPr>
        <w:t xml:space="preserve">. </w:t>
      </w:r>
    </w:p>
    <w:p w:rsidR="00C921C3" w:rsidRDefault="00C921C3" w:rsidP="00C921C3">
      <w:pPr>
        <w:pStyle w:val="BodyText"/>
        <w:ind w:firstLine="720"/>
        <w:rPr>
          <w:rFonts w:ascii="Arial" w:hAnsi="Arial" w:cs="Arial"/>
          <w:b/>
        </w:rPr>
      </w:pPr>
    </w:p>
    <w:p w:rsidR="00C921C3" w:rsidRPr="00F34950" w:rsidRDefault="00C921C3" w:rsidP="00C921C3">
      <w:pPr>
        <w:pStyle w:val="BodyText"/>
        <w:ind w:firstLine="720"/>
        <w:rPr>
          <w:rFonts w:ascii="Arial" w:hAnsi="Arial" w:cs="Arial"/>
          <w:b/>
        </w:rPr>
      </w:pPr>
      <w:r w:rsidRPr="00BF7F88">
        <w:rPr>
          <w:rFonts w:ascii="Arial" w:hAnsi="Arial" w:cs="Arial"/>
        </w:rPr>
        <w:t>Posmatrajući</w:t>
      </w:r>
      <w:r>
        <w:rPr>
          <w:rFonts w:ascii="Arial" w:hAnsi="Arial" w:cs="Arial"/>
        </w:rPr>
        <w:t xml:space="preserve"> iznos neto javnog duga u odnosu na bruto domaći proizvod (BDP), javni dug na kraju 2014. godine iznosi </w:t>
      </w:r>
      <w:r w:rsidRPr="00F34950">
        <w:rPr>
          <w:rFonts w:ascii="Arial" w:hAnsi="Arial" w:cs="Arial"/>
          <w:b/>
        </w:rPr>
        <w:t>59,60% BDP-a</w:t>
      </w:r>
    </w:p>
    <w:p w:rsidR="00C921C3" w:rsidRDefault="00C921C3" w:rsidP="00C921C3">
      <w:pPr>
        <w:pStyle w:val="BodyText"/>
        <w:ind w:firstLine="720"/>
        <w:rPr>
          <w:rFonts w:ascii="Arial" w:hAnsi="Arial" w:cs="Arial"/>
        </w:rPr>
      </w:pPr>
    </w:p>
    <w:p w:rsidR="00C921C3" w:rsidRDefault="00C921C3" w:rsidP="00C921C3">
      <w:pPr>
        <w:rPr>
          <w:rFonts w:ascii="Arial" w:hAnsi="Arial" w:cs="Arial"/>
          <w:lang w:val="sr-Latn-CS"/>
        </w:rPr>
      </w:pPr>
      <w:r>
        <w:rPr>
          <w:rFonts w:ascii="Arial" w:hAnsi="Arial" w:cs="Arial"/>
        </w:rPr>
        <w:br w:type="page"/>
      </w:r>
    </w:p>
    <w:p w:rsidR="00C921C3" w:rsidRDefault="00C921C3" w:rsidP="00C921C3">
      <w:pPr>
        <w:pStyle w:val="BodyText"/>
        <w:ind w:firstLine="720"/>
        <w:rPr>
          <w:rFonts w:ascii="Arial" w:hAnsi="Arial" w:cs="Arial"/>
          <w:b/>
        </w:rPr>
      </w:pPr>
      <w:r w:rsidRPr="00D7648F">
        <w:rPr>
          <w:rFonts w:ascii="Arial" w:hAnsi="Arial" w:cs="Arial"/>
          <w:b/>
        </w:rPr>
        <w:lastRenderedPageBreak/>
        <w:t xml:space="preserve">Tabela 1. JAVNI DUG 31.12.2014. GODINE   </w:t>
      </w:r>
    </w:p>
    <w:p w:rsidR="00C921C3" w:rsidRPr="00D7648F" w:rsidRDefault="00C921C3" w:rsidP="00C921C3">
      <w:pPr>
        <w:pStyle w:val="BodyText"/>
        <w:ind w:firstLine="720"/>
        <w:rPr>
          <w:rFonts w:ascii="Arial" w:hAnsi="Arial" w:cs="Arial"/>
          <w:b/>
        </w:rPr>
      </w:pPr>
    </w:p>
    <w:tbl>
      <w:tblPr>
        <w:tblW w:w="5000" w:type="pct"/>
        <w:tblLayout w:type="fixed"/>
        <w:tblLook w:val="04A0" w:firstRow="1" w:lastRow="0" w:firstColumn="1" w:lastColumn="0" w:noHBand="0" w:noVBand="1"/>
      </w:tblPr>
      <w:tblGrid>
        <w:gridCol w:w="93"/>
        <w:gridCol w:w="3525"/>
        <w:gridCol w:w="9"/>
        <w:gridCol w:w="1314"/>
        <w:gridCol w:w="27"/>
        <w:gridCol w:w="990"/>
        <w:gridCol w:w="1160"/>
        <w:gridCol w:w="1738"/>
      </w:tblGrid>
      <w:tr w:rsidR="00C921C3" w:rsidRPr="00E21BD8" w:rsidTr="00760A53">
        <w:trPr>
          <w:trHeight w:val="315"/>
        </w:trPr>
        <w:tc>
          <w:tcPr>
            <w:tcW w:w="2048" w:type="pct"/>
            <w:gridSpan w:val="3"/>
            <w:tcBorders>
              <w:top w:val="nil"/>
              <w:left w:val="nil"/>
              <w:bottom w:val="nil"/>
              <w:right w:val="nil"/>
            </w:tcBorders>
            <w:shd w:val="clear" w:color="auto" w:fill="auto"/>
            <w:noWrap/>
            <w:vAlign w:val="bottom"/>
            <w:hideMark/>
          </w:tcPr>
          <w:p w:rsidR="00C921C3" w:rsidRPr="00E21BD8" w:rsidRDefault="00C921C3" w:rsidP="00760A53">
            <w:pPr>
              <w:rPr>
                <w:rFonts w:ascii="Calibri" w:hAnsi="Calibri"/>
                <w:b/>
                <w:bCs/>
                <w:color w:val="000000"/>
                <w:sz w:val="22"/>
                <w:szCs w:val="22"/>
              </w:rPr>
            </w:pPr>
            <w:proofErr w:type="spellStart"/>
            <w:r>
              <w:rPr>
                <w:rFonts w:ascii="Calibri" w:hAnsi="Calibri"/>
                <w:b/>
                <w:bCs/>
                <w:color w:val="000000"/>
                <w:sz w:val="22"/>
                <w:szCs w:val="22"/>
              </w:rPr>
              <w:t>Stanje</w:t>
            </w:r>
            <w:proofErr w:type="spellEnd"/>
            <w:r>
              <w:rPr>
                <w:rFonts w:ascii="Calibri" w:hAnsi="Calibri"/>
                <w:b/>
                <w:bCs/>
                <w:color w:val="000000"/>
                <w:sz w:val="22"/>
                <w:szCs w:val="22"/>
              </w:rPr>
              <w:t xml:space="preserve"> </w:t>
            </w:r>
            <w:proofErr w:type="spellStart"/>
            <w:r>
              <w:rPr>
                <w:rFonts w:ascii="Calibri" w:hAnsi="Calibri"/>
                <w:b/>
                <w:bCs/>
                <w:color w:val="000000"/>
                <w:sz w:val="22"/>
                <w:szCs w:val="22"/>
              </w:rPr>
              <w:t>državnog</w:t>
            </w:r>
            <w:proofErr w:type="spellEnd"/>
            <w:r>
              <w:rPr>
                <w:rFonts w:ascii="Calibri" w:hAnsi="Calibri"/>
                <w:b/>
                <w:bCs/>
                <w:color w:val="000000"/>
                <w:sz w:val="22"/>
                <w:szCs w:val="22"/>
              </w:rPr>
              <w:t xml:space="preserve"> </w:t>
            </w:r>
            <w:proofErr w:type="spellStart"/>
            <w:r>
              <w:rPr>
                <w:rFonts w:ascii="Calibri" w:hAnsi="Calibri"/>
                <w:b/>
                <w:bCs/>
                <w:color w:val="000000"/>
                <w:sz w:val="22"/>
                <w:szCs w:val="22"/>
              </w:rPr>
              <w:t>duga</w:t>
            </w:r>
            <w:proofErr w:type="spellEnd"/>
          </w:p>
        </w:tc>
        <w:tc>
          <w:tcPr>
            <w:tcW w:w="742" w:type="pct"/>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c>
          <w:tcPr>
            <w:tcW w:w="574" w:type="pct"/>
            <w:gridSpan w:val="2"/>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c>
          <w:tcPr>
            <w:tcW w:w="655" w:type="pct"/>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c>
          <w:tcPr>
            <w:tcW w:w="981" w:type="pct"/>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r>
      <w:tr w:rsidR="00C921C3" w:rsidRPr="00E21BD8" w:rsidTr="00760A53">
        <w:trPr>
          <w:trHeight w:val="300"/>
        </w:trPr>
        <w:tc>
          <w:tcPr>
            <w:tcW w:w="2048" w:type="pct"/>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Calibri" w:hAnsi="Calibri"/>
                <w:b/>
                <w:bCs/>
                <w:color w:val="000000"/>
                <w:sz w:val="22"/>
                <w:szCs w:val="22"/>
              </w:rPr>
            </w:pPr>
            <w:proofErr w:type="spellStart"/>
            <w:r w:rsidRPr="00E21BD8">
              <w:rPr>
                <w:rFonts w:ascii="Calibri" w:hAnsi="Calibri"/>
                <w:b/>
                <w:bCs/>
                <w:color w:val="000000"/>
                <w:sz w:val="22"/>
                <w:szCs w:val="22"/>
              </w:rPr>
              <w:t>Spoljni</w:t>
            </w:r>
            <w:proofErr w:type="spellEnd"/>
            <w:r w:rsidRPr="00E21BD8">
              <w:rPr>
                <w:rFonts w:ascii="Calibri" w:hAnsi="Calibri"/>
                <w:b/>
                <w:bCs/>
                <w:color w:val="000000"/>
                <w:sz w:val="22"/>
                <w:szCs w:val="22"/>
              </w:rPr>
              <w:t xml:space="preserve"> dug</w:t>
            </w:r>
          </w:p>
        </w:tc>
        <w:tc>
          <w:tcPr>
            <w:tcW w:w="742" w:type="pct"/>
            <w:tcBorders>
              <w:top w:val="single" w:sz="8" w:space="0" w:color="auto"/>
              <w:left w:val="nil"/>
              <w:bottom w:val="single" w:sz="4" w:space="0" w:color="auto"/>
              <w:right w:val="single" w:sz="4" w:space="0" w:color="auto"/>
            </w:tcBorders>
            <w:shd w:val="clear" w:color="auto" w:fill="auto"/>
            <w:noWrap/>
            <w:vAlign w:val="bottom"/>
            <w:hideMark/>
          </w:tcPr>
          <w:p w:rsidR="00C921C3" w:rsidRPr="00E21BD8" w:rsidRDefault="00C921C3" w:rsidP="00760A53">
            <w:pPr>
              <w:rPr>
                <w:rFonts w:ascii="Calibri" w:hAnsi="Calibri"/>
                <w:color w:val="000000"/>
                <w:sz w:val="22"/>
                <w:szCs w:val="22"/>
              </w:rPr>
            </w:pPr>
            <w:r w:rsidRPr="00E21BD8">
              <w:rPr>
                <w:rFonts w:ascii="Calibri" w:hAnsi="Calibri"/>
                <w:color w:val="000000"/>
                <w:sz w:val="22"/>
                <w:szCs w:val="22"/>
              </w:rPr>
              <w:t> </w:t>
            </w:r>
          </w:p>
        </w:tc>
        <w:tc>
          <w:tcPr>
            <w:tcW w:w="574" w:type="pct"/>
            <w:gridSpan w:val="2"/>
            <w:tcBorders>
              <w:top w:val="single" w:sz="8" w:space="0" w:color="auto"/>
              <w:left w:val="nil"/>
              <w:bottom w:val="single" w:sz="4" w:space="0" w:color="auto"/>
              <w:right w:val="single" w:sz="4" w:space="0" w:color="auto"/>
            </w:tcBorders>
            <w:shd w:val="clear" w:color="auto" w:fill="auto"/>
            <w:noWrap/>
            <w:vAlign w:val="bottom"/>
            <w:hideMark/>
          </w:tcPr>
          <w:p w:rsidR="00C921C3" w:rsidRPr="00E21BD8" w:rsidRDefault="00C921C3" w:rsidP="00760A53">
            <w:pPr>
              <w:rPr>
                <w:rFonts w:ascii="Calibri" w:hAnsi="Calibri"/>
                <w:color w:val="000000"/>
                <w:sz w:val="22"/>
                <w:szCs w:val="22"/>
              </w:rPr>
            </w:pPr>
            <w:r w:rsidRPr="00E21BD8">
              <w:rPr>
                <w:rFonts w:ascii="Calibri" w:hAnsi="Calibri"/>
                <w:color w:val="000000"/>
                <w:sz w:val="22"/>
                <w:szCs w:val="22"/>
              </w:rPr>
              <w:t> </w:t>
            </w:r>
          </w:p>
        </w:tc>
        <w:tc>
          <w:tcPr>
            <w:tcW w:w="655" w:type="pct"/>
            <w:tcBorders>
              <w:top w:val="single" w:sz="8" w:space="0" w:color="auto"/>
              <w:left w:val="nil"/>
              <w:bottom w:val="single" w:sz="4" w:space="0" w:color="auto"/>
              <w:right w:val="single" w:sz="4" w:space="0" w:color="auto"/>
            </w:tcBorders>
            <w:shd w:val="clear" w:color="auto" w:fill="auto"/>
            <w:noWrap/>
            <w:vAlign w:val="bottom"/>
            <w:hideMark/>
          </w:tcPr>
          <w:p w:rsidR="00C921C3" w:rsidRPr="00E21BD8" w:rsidRDefault="00C921C3" w:rsidP="00760A53">
            <w:pPr>
              <w:rPr>
                <w:rFonts w:ascii="Calibri" w:hAnsi="Calibri"/>
                <w:color w:val="000000"/>
                <w:sz w:val="22"/>
                <w:szCs w:val="22"/>
              </w:rPr>
            </w:pPr>
            <w:r w:rsidRPr="00E21BD8">
              <w:rPr>
                <w:rFonts w:ascii="Calibri" w:hAnsi="Calibri"/>
                <w:color w:val="000000"/>
                <w:sz w:val="22"/>
                <w:szCs w:val="22"/>
              </w:rPr>
              <w:t> </w:t>
            </w:r>
          </w:p>
        </w:tc>
        <w:tc>
          <w:tcPr>
            <w:tcW w:w="981" w:type="pct"/>
            <w:tcBorders>
              <w:top w:val="single" w:sz="8" w:space="0" w:color="auto"/>
              <w:left w:val="nil"/>
              <w:bottom w:val="single" w:sz="4" w:space="0" w:color="auto"/>
              <w:right w:val="single" w:sz="8" w:space="0" w:color="auto"/>
            </w:tcBorders>
            <w:shd w:val="clear" w:color="auto" w:fill="auto"/>
            <w:noWrap/>
            <w:vAlign w:val="bottom"/>
            <w:hideMark/>
          </w:tcPr>
          <w:p w:rsidR="00C921C3" w:rsidRPr="00E21BD8" w:rsidRDefault="00C921C3" w:rsidP="00760A53">
            <w:pPr>
              <w:rPr>
                <w:rFonts w:ascii="Calibri" w:hAnsi="Calibri"/>
                <w:color w:val="000000"/>
                <w:sz w:val="22"/>
                <w:szCs w:val="22"/>
              </w:rPr>
            </w:pPr>
            <w:r w:rsidRPr="00E21BD8">
              <w:rPr>
                <w:rFonts w:ascii="Calibri" w:hAnsi="Calibri"/>
                <w:color w:val="000000"/>
                <w:sz w:val="22"/>
                <w:szCs w:val="22"/>
              </w:rPr>
              <w:t> </w:t>
            </w:r>
          </w:p>
        </w:tc>
      </w:tr>
      <w:tr w:rsidR="00C921C3" w:rsidRPr="00E21BD8" w:rsidTr="00760A53">
        <w:trPr>
          <w:trHeight w:val="6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jc w:val="center"/>
              <w:rPr>
                <w:rFonts w:ascii="Calibri" w:hAnsi="Calibri"/>
                <w:b/>
                <w:bCs/>
                <w:color w:val="000000"/>
                <w:sz w:val="22"/>
                <w:szCs w:val="22"/>
              </w:rPr>
            </w:pPr>
            <w:proofErr w:type="spellStart"/>
            <w:r w:rsidRPr="00E21BD8">
              <w:rPr>
                <w:rFonts w:ascii="Calibri" w:hAnsi="Calibri"/>
                <w:b/>
                <w:bCs/>
                <w:color w:val="000000"/>
                <w:sz w:val="22"/>
                <w:szCs w:val="22"/>
              </w:rPr>
              <w:t>Kreditor</w:t>
            </w:r>
            <w:proofErr w:type="spellEnd"/>
          </w:p>
        </w:tc>
        <w:tc>
          <w:tcPr>
            <w:tcW w:w="742" w:type="pct"/>
            <w:tcBorders>
              <w:top w:val="nil"/>
              <w:left w:val="nil"/>
              <w:bottom w:val="single" w:sz="4" w:space="0" w:color="auto"/>
              <w:right w:val="single" w:sz="4" w:space="0" w:color="auto"/>
            </w:tcBorders>
            <w:shd w:val="clear" w:color="auto" w:fill="auto"/>
            <w:vAlign w:val="bottom"/>
            <w:hideMark/>
          </w:tcPr>
          <w:p w:rsidR="00C921C3" w:rsidRPr="00E21BD8" w:rsidRDefault="00C921C3" w:rsidP="00760A53">
            <w:pPr>
              <w:jc w:val="center"/>
              <w:rPr>
                <w:rFonts w:ascii="Arial" w:hAnsi="Arial" w:cs="Arial"/>
                <w:b/>
                <w:bCs/>
                <w:sz w:val="20"/>
                <w:szCs w:val="20"/>
              </w:rPr>
            </w:pPr>
            <w:proofErr w:type="spellStart"/>
            <w:r w:rsidRPr="00E21BD8">
              <w:rPr>
                <w:rFonts w:ascii="Arial" w:hAnsi="Arial" w:cs="Arial"/>
                <w:b/>
                <w:bCs/>
                <w:sz w:val="20"/>
                <w:szCs w:val="20"/>
              </w:rPr>
              <w:t>Stanje</w:t>
            </w:r>
            <w:proofErr w:type="spellEnd"/>
            <w:r>
              <w:rPr>
                <w:rFonts w:ascii="Arial" w:hAnsi="Arial" w:cs="Arial"/>
                <w:b/>
                <w:bCs/>
                <w:sz w:val="20"/>
                <w:szCs w:val="20"/>
              </w:rPr>
              <w:t xml:space="preserve"> </w:t>
            </w:r>
            <w:proofErr w:type="spellStart"/>
            <w:r w:rsidRPr="00E21BD8">
              <w:rPr>
                <w:rFonts w:ascii="Arial" w:hAnsi="Arial" w:cs="Arial"/>
                <w:b/>
                <w:bCs/>
                <w:sz w:val="20"/>
                <w:szCs w:val="20"/>
              </w:rPr>
              <w:t>duga</w:t>
            </w:r>
            <w:proofErr w:type="spellEnd"/>
            <w:r w:rsidR="00760A53">
              <w:rPr>
                <w:rFonts w:ascii="Arial" w:hAnsi="Arial" w:cs="Arial"/>
                <w:b/>
                <w:bCs/>
                <w:sz w:val="20"/>
                <w:szCs w:val="20"/>
              </w:rPr>
              <w:t xml:space="preserve"> u mil. </w:t>
            </w:r>
            <w:proofErr w:type="spellStart"/>
            <w:r w:rsidR="00760A53">
              <w:rPr>
                <w:rFonts w:ascii="Arial" w:hAnsi="Arial" w:cs="Arial"/>
                <w:b/>
                <w:bCs/>
                <w:sz w:val="20"/>
                <w:szCs w:val="20"/>
              </w:rPr>
              <w:t>eura</w:t>
            </w:r>
            <w:proofErr w:type="spellEnd"/>
          </w:p>
        </w:tc>
        <w:tc>
          <w:tcPr>
            <w:tcW w:w="574" w:type="pct"/>
            <w:gridSpan w:val="2"/>
            <w:tcBorders>
              <w:top w:val="nil"/>
              <w:left w:val="nil"/>
              <w:bottom w:val="single" w:sz="4" w:space="0" w:color="auto"/>
              <w:right w:val="single" w:sz="4" w:space="0" w:color="auto"/>
            </w:tcBorders>
            <w:shd w:val="clear" w:color="auto" w:fill="auto"/>
            <w:vAlign w:val="bottom"/>
            <w:hideMark/>
          </w:tcPr>
          <w:p w:rsidR="00C921C3" w:rsidRPr="00E21BD8" w:rsidRDefault="00C921C3" w:rsidP="00760A53">
            <w:pPr>
              <w:jc w:val="center"/>
              <w:rPr>
                <w:rFonts w:ascii="Arial" w:hAnsi="Arial" w:cs="Arial"/>
                <w:b/>
                <w:bCs/>
                <w:sz w:val="20"/>
                <w:szCs w:val="20"/>
              </w:rPr>
            </w:pPr>
            <w:r w:rsidRPr="00E21BD8">
              <w:rPr>
                <w:rFonts w:ascii="Arial" w:hAnsi="Arial" w:cs="Arial"/>
                <w:b/>
                <w:bCs/>
                <w:sz w:val="20"/>
                <w:szCs w:val="20"/>
              </w:rPr>
              <w:t>% BDP-a</w:t>
            </w:r>
          </w:p>
        </w:tc>
        <w:tc>
          <w:tcPr>
            <w:tcW w:w="655" w:type="pct"/>
            <w:tcBorders>
              <w:top w:val="nil"/>
              <w:left w:val="nil"/>
              <w:bottom w:val="single" w:sz="4" w:space="0" w:color="auto"/>
              <w:right w:val="single" w:sz="4" w:space="0" w:color="auto"/>
            </w:tcBorders>
            <w:shd w:val="clear" w:color="auto" w:fill="auto"/>
            <w:vAlign w:val="bottom"/>
            <w:hideMark/>
          </w:tcPr>
          <w:p w:rsidR="00C921C3" w:rsidRPr="00E21BD8" w:rsidRDefault="00C921C3" w:rsidP="00760A53">
            <w:pPr>
              <w:jc w:val="center"/>
              <w:rPr>
                <w:rFonts w:ascii="Arial" w:hAnsi="Arial" w:cs="Arial"/>
                <w:b/>
                <w:bCs/>
                <w:sz w:val="20"/>
                <w:szCs w:val="20"/>
              </w:rPr>
            </w:pPr>
            <w:r w:rsidRPr="00E21BD8">
              <w:rPr>
                <w:rFonts w:ascii="Arial" w:hAnsi="Arial" w:cs="Arial"/>
                <w:b/>
                <w:bCs/>
                <w:sz w:val="20"/>
                <w:szCs w:val="20"/>
              </w:rPr>
              <w:t xml:space="preserve">% </w:t>
            </w:r>
            <w:proofErr w:type="spellStart"/>
            <w:r w:rsidRPr="00E21BD8">
              <w:rPr>
                <w:rFonts w:ascii="Arial" w:hAnsi="Arial" w:cs="Arial"/>
                <w:b/>
                <w:bCs/>
                <w:sz w:val="20"/>
                <w:szCs w:val="20"/>
              </w:rPr>
              <w:t>Spoljneg</w:t>
            </w:r>
            <w:proofErr w:type="spellEnd"/>
            <w:r>
              <w:rPr>
                <w:rFonts w:ascii="Arial" w:hAnsi="Arial" w:cs="Arial"/>
                <w:b/>
                <w:bCs/>
                <w:sz w:val="20"/>
                <w:szCs w:val="20"/>
              </w:rPr>
              <w:t xml:space="preserve"> </w:t>
            </w:r>
            <w:proofErr w:type="spellStart"/>
            <w:r w:rsidRPr="00E21BD8">
              <w:rPr>
                <w:rFonts w:ascii="Arial" w:hAnsi="Arial" w:cs="Arial"/>
                <w:b/>
                <w:bCs/>
                <w:sz w:val="20"/>
                <w:szCs w:val="20"/>
              </w:rPr>
              <w:t>duga</w:t>
            </w:r>
            <w:proofErr w:type="spellEnd"/>
          </w:p>
        </w:tc>
        <w:tc>
          <w:tcPr>
            <w:tcW w:w="981" w:type="pct"/>
            <w:tcBorders>
              <w:top w:val="nil"/>
              <w:left w:val="nil"/>
              <w:bottom w:val="single" w:sz="4" w:space="0" w:color="auto"/>
              <w:right w:val="single" w:sz="8" w:space="0" w:color="auto"/>
            </w:tcBorders>
            <w:shd w:val="clear" w:color="auto" w:fill="auto"/>
            <w:vAlign w:val="bottom"/>
            <w:hideMark/>
          </w:tcPr>
          <w:p w:rsidR="00C921C3" w:rsidRPr="00E21BD8" w:rsidRDefault="00C921C3" w:rsidP="00760A53">
            <w:pPr>
              <w:jc w:val="center"/>
              <w:rPr>
                <w:rFonts w:ascii="Calibri" w:hAnsi="Calibri"/>
                <w:b/>
                <w:bCs/>
                <w:color w:val="000000"/>
                <w:sz w:val="22"/>
                <w:szCs w:val="22"/>
              </w:rPr>
            </w:pPr>
            <w:r w:rsidRPr="00E21BD8">
              <w:rPr>
                <w:rFonts w:ascii="Calibri" w:hAnsi="Calibri"/>
                <w:b/>
                <w:bCs/>
                <w:color w:val="000000"/>
                <w:sz w:val="22"/>
                <w:szCs w:val="22"/>
              </w:rPr>
              <w:t xml:space="preserve">% </w:t>
            </w:r>
            <w:proofErr w:type="spellStart"/>
            <w:r w:rsidRPr="00E21BD8">
              <w:rPr>
                <w:rFonts w:ascii="Calibri" w:hAnsi="Calibri"/>
                <w:b/>
                <w:bCs/>
                <w:color w:val="000000"/>
                <w:sz w:val="22"/>
                <w:szCs w:val="22"/>
              </w:rPr>
              <w:t>Ukupnog</w:t>
            </w:r>
            <w:proofErr w:type="spellEnd"/>
            <w:r>
              <w:rPr>
                <w:rFonts w:ascii="Calibri" w:hAnsi="Calibri"/>
                <w:b/>
                <w:bCs/>
                <w:color w:val="000000"/>
                <w:sz w:val="22"/>
                <w:szCs w:val="22"/>
              </w:rPr>
              <w:t xml:space="preserve"> </w:t>
            </w:r>
            <w:proofErr w:type="spellStart"/>
            <w:r w:rsidRPr="00E21BD8">
              <w:rPr>
                <w:rFonts w:ascii="Calibri" w:hAnsi="Calibri"/>
                <w:b/>
                <w:bCs/>
                <w:color w:val="000000"/>
                <w:sz w:val="22"/>
                <w:szCs w:val="22"/>
              </w:rPr>
              <w:t>javnog</w:t>
            </w:r>
            <w:proofErr w:type="spellEnd"/>
            <w:r>
              <w:rPr>
                <w:rFonts w:ascii="Calibri" w:hAnsi="Calibri"/>
                <w:b/>
                <w:bCs/>
                <w:color w:val="000000"/>
                <w:sz w:val="22"/>
                <w:szCs w:val="22"/>
              </w:rPr>
              <w:t xml:space="preserve"> </w:t>
            </w:r>
            <w:proofErr w:type="spellStart"/>
            <w:r w:rsidRPr="00E21BD8">
              <w:rPr>
                <w:rFonts w:ascii="Calibri" w:hAnsi="Calibri"/>
                <w:b/>
                <w:bCs/>
                <w:color w:val="000000"/>
                <w:sz w:val="22"/>
                <w:szCs w:val="22"/>
              </w:rPr>
              <w:t>duga</w:t>
            </w:r>
            <w:proofErr w:type="spellEnd"/>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jc w:val="center"/>
              <w:rPr>
                <w:rFonts w:ascii="Calibri" w:hAnsi="Calibri"/>
                <w:b/>
                <w:bCs/>
                <w:color w:val="000000"/>
                <w:sz w:val="22"/>
                <w:szCs w:val="22"/>
              </w:rPr>
            </w:pPr>
            <w:r w:rsidRPr="00E21BD8">
              <w:rPr>
                <w:rFonts w:ascii="Calibri" w:hAnsi="Calibri"/>
                <w:b/>
                <w:bCs/>
                <w:color w:val="000000"/>
                <w:sz w:val="22"/>
                <w:szCs w:val="22"/>
              </w:rPr>
              <w:t> </w:t>
            </w:r>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center"/>
              <w:rPr>
                <w:rFonts w:ascii="Calibri" w:hAnsi="Calibri"/>
                <w:b/>
                <w:bCs/>
                <w:color w:val="000000"/>
                <w:sz w:val="22"/>
                <w:szCs w:val="22"/>
              </w:rPr>
            </w:pPr>
            <w:r w:rsidRPr="00E21BD8">
              <w:rPr>
                <w:rFonts w:ascii="Calibri" w:hAnsi="Calibri"/>
                <w:b/>
                <w:bCs/>
                <w:color w:val="000000"/>
                <w:sz w:val="22"/>
                <w:szCs w:val="22"/>
              </w:rPr>
              <w:t>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Pr>
                <w:rFonts w:ascii="Calibri" w:hAnsi="Calibri"/>
                <w:color w:val="000000"/>
                <w:sz w:val="22"/>
                <w:szCs w:val="22"/>
              </w:rPr>
              <w:t>3,393.20</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rPr>
                <w:rFonts w:ascii="Calibri" w:hAnsi="Calibri"/>
                <w:color w:val="000000"/>
                <w:sz w:val="22"/>
                <w:szCs w:val="22"/>
              </w:rPr>
            </w:pPr>
            <w:r w:rsidRPr="00E21BD8">
              <w:rPr>
                <w:rFonts w:ascii="Calibri" w:hAnsi="Calibri"/>
                <w:color w:val="000000"/>
                <w:sz w:val="22"/>
                <w:szCs w:val="22"/>
              </w:rPr>
              <w:t> </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rPr>
                <w:rFonts w:ascii="Calibri" w:hAnsi="Calibri"/>
                <w:color w:val="000000"/>
                <w:sz w:val="22"/>
                <w:szCs w:val="22"/>
              </w:rPr>
            </w:pPr>
            <w:r w:rsidRPr="00E21BD8">
              <w:rPr>
                <w:rFonts w:ascii="Calibri" w:hAnsi="Calibri"/>
                <w:color w:val="000000"/>
                <w:sz w:val="22"/>
                <w:szCs w:val="22"/>
              </w:rPr>
              <w:t> </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Međunarodna</w:t>
            </w:r>
            <w:proofErr w:type="spellEnd"/>
            <w:r>
              <w:rPr>
                <w:rFonts w:ascii="Arial" w:hAnsi="Arial" w:cs="Arial"/>
                <w:sz w:val="20"/>
                <w:szCs w:val="20"/>
              </w:rPr>
              <w:t xml:space="preserve"> </w:t>
            </w:r>
            <w:r w:rsidRPr="00E21BD8">
              <w:rPr>
                <w:rFonts w:ascii="Arial" w:hAnsi="Arial" w:cs="Arial"/>
                <w:sz w:val="20"/>
                <w:szCs w:val="20"/>
              </w:rPr>
              <w:t>banka</w:t>
            </w:r>
            <w:r>
              <w:rPr>
                <w:rFonts w:ascii="Arial" w:hAnsi="Arial" w:cs="Arial"/>
                <w:sz w:val="20"/>
                <w:szCs w:val="20"/>
              </w:rPr>
              <w:t xml:space="preserve"> </w:t>
            </w:r>
            <w:proofErr w:type="spellStart"/>
            <w:r w:rsidRPr="00E21BD8">
              <w:rPr>
                <w:rFonts w:ascii="Arial" w:hAnsi="Arial" w:cs="Arial"/>
                <w:sz w:val="20"/>
                <w:szCs w:val="20"/>
              </w:rPr>
              <w:t>za</w:t>
            </w:r>
            <w:proofErr w:type="spellEnd"/>
            <w:r>
              <w:rPr>
                <w:rFonts w:ascii="Arial" w:hAnsi="Arial" w:cs="Arial"/>
                <w:sz w:val="20"/>
                <w:szCs w:val="20"/>
              </w:rPr>
              <w:t xml:space="preserve"> </w:t>
            </w:r>
            <w:proofErr w:type="spellStart"/>
            <w:r w:rsidRPr="00E21BD8">
              <w:rPr>
                <w:rFonts w:ascii="Arial" w:hAnsi="Arial" w:cs="Arial"/>
                <w:sz w:val="20"/>
                <w:szCs w:val="20"/>
              </w:rPr>
              <w:t>obnovu</w:t>
            </w:r>
            <w:proofErr w:type="spellEnd"/>
            <w:r w:rsidRPr="00E21BD8">
              <w:rPr>
                <w:rFonts w:ascii="Arial" w:hAnsi="Arial" w:cs="Arial"/>
                <w:sz w:val="20"/>
                <w:szCs w:val="20"/>
              </w:rPr>
              <w:t xml:space="preserve"> i </w:t>
            </w:r>
            <w:proofErr w:type="spellStart"/>
            <w:r w:rsidRPr="00E21BD8">
              <w:rPr>
                <w:rFonts w:ascii="Arial" w:hAnsi="Arial" w:cs="Arial"/>
                <w:sz w:val="20"/>
                <w:szCs w:val="20"/>
              </w:rPr>
              <w:t>razvoj</w:t>
            </w:r>
            <w:proofErr w:type="spellEnd"/>
            <w:r w:rsidRPr="00E21BD8">
              <w:rPr>
                <w:rFonts w:ascii="Arial" w:hAnsi="Arial" w:cs="Arial"/>
                <w:sz w:val="20"/>
                <w:szCs w:val="20"/>
              </w:rPr>
              <w:t xml:space="preserve">  (IBRD)</w:t>
            </w:r>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229.39</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6.76</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14.69</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11.0</w:t>
            </w:r>
            <w:r>
              <w:rPr>
                <w:rFonts w:ascii="Calibri" w:hAnsi="Calibri"/>
                <w:color w:val="000000"/>
                <w:sz w:val="22"/>
                <w:szCs w:val="22"/>
              </w:rPr>
              <w:t>7</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Pariski</w:t>
            </w:r>
            <w:proofErr w:type="spellEnd"/>
            <w:r>
              <w:rPr>
                <w:rFonts w:ascii="Arial" w:hAnsi="Arial" w:cs="Arial"/>
                <w:sz w:val="20"/>
                <w:szCs w:val="20"/>
              </w:rPr>
              <w:t xml:space="preserve"> </w:t>
            </w:r>
            <w:proofErr w:type="spellStart"/>
            <w:r w:rsidRPr="00E21BD8">
              <w:rPr>
                <w:rFonts w:ascii="Arial" w:hAnsi="Arial" w:cs="Arial"/>
                <w:sz w:val="20"/>
                <w:szCs w:val="20"/>
              </w:rPr>
              <w:t>klub</w:t>
            </w:r>
            <w:proofErr w:type="spellEnd"/>
            <w:r>
              <w:rPr>
                <w:rFonts w:ascii="Arial" w:hAnsi="Arial" w:cs="Arial"/>
                <w:sz w:val="20"/>
                <w:szCs w:val="20"/>
              </w:rPr>
              <w:t xml:space="preserve"> </w:t>
            </w:r>
            <w:proofErr w:type="spellStart"/>
            <w:r w:rsidRPr="00E21BD8">
              <w:rPr>
                <w:rFonts w:ascii="Arial" w:hAnsi="Arial" w:cs="Arial"/>
                <w:sz w:val="20"/>
                <w:szCs w:val="20"/>
              </w:rPr>
              <w:t>Povjerilac</w:t>
            </w:r>
            <w:proofErr w:type="spellEnd"/>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98.86</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2.91</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6.33</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4.77</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Međunarodna</w:t>
            </w:r>
            <w:proofErr w:type="spellEnd"/>
            <w:r>
              <w:rPr>
                <w:rFonts w:ascii="Arial" w:hAnsi="Arial" w:cs="Arial"/>
                <w:sz w:val="20"/>
                <w:szCs w:val="20"/>
              </w:rPr>
              <w:t xml:space="preserve"> </w:t>
            </w:r>
            <w:proofErr w:type="spellStart"/>
            <w:r w:rsidRPr="00E21BD8">
              <w:rPr>
                <w:rFonts w:ascii="Arial" w:hAnsi="Arial" w:cs="Arial"/>
                <w:sz w:val="20"/>
                <w:szCs w:val="20"/>
              </w:rPr>
              <w:t>Asocijacija</w:t>
            </w:r>
            <w:proofErr w:type="spellEnd"/>
            <w:r>
              <w:rPr>
                <w:rFonts w:ascii="Arial" w:hAnsi="Arial" w:cs="Arial"/>
                <w:sz w:val="20"/>
                <w:szCs w:val="20"/>
              </w:rPr>
              <w:t xml:space="preserve"> </w:t>
            </w:r>
            <w:proofErr w:type="spellStart"/>
            <w:r w:rsidRPr="00E21BD8">
              <w:rPr>
                <w:rFonts w:ascii="Arial" w:hAnsi="Arial" w:cs="Arial"/>
                <w:sz w:val="20"/>
                <w:szCs w:val="20"/>
              </w:rPr>
              <w:t>za</w:t>
            </w:r>
            <w:proofErr w:type="spellEnd"/>
            <w:r>
              <w:rPr>
                <w:rFonts w:ascii="Arial" w:hAnsi="Arial" w:cs="Arial"/>
                <w:sz w:val="20"/>
                <w:szCs w:val="20"/>
              </w:rPr>
              <w:t xml:space="preserve"> </w:t>
            </w:r>
            <w:proofErr w:type="spellStart"/>
            <w:r w:rsidRPr="00E21BD8">
              <w:rPr>
                <w:rFonts w:ascii="Arial" w:hAnsi="Arial" w:cs="Arial"/>
                <w:sz w:val="20"/>
                <w:szCs w:val="20"/>
              </w:rPr>
              <w:t>razvoj</w:t>
            </w:r>
            <w:proofErr w:type="spellEnd"/>
            <w:r w:rsidRPr="00E21BD8">
              <w:rPr>
                <w:rFonts w:ascii="Arial" w:hAnsi="Arial" w:cs="Arial"/>
                <w:sz w:val="20"/>
                <w:szCs w:val="20"/>
              </w:rPr>
              <w:t xml:space="preserve"> (IDA)</w:t>
            </w:r>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62.19</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1.83</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3.98</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3.00</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Evropska</w:t>
            </w:r>
            <w:proofErr w:type="spellEnd"/>
            <w:r>
              <w:rPr>
                <w:rFonts w:ascii="Arial" w:hAnsi="Arial" w:cs="Arial"/>
                <w:sz w:val="20"/>
                <w:szCs w:val="20"/>
              </w:rPr>
              <w:t xml:space="preserve"> </w:t>
            </w:r>
            <w:proofErr w:type="spellStart"/>
            <w:r w:rsidRPr="00E21BD8">
              <w:rPr>
                <w:rFonts w:ascii="Arial" w:hAnsi="Arial" w:cs="Arial"/>
                <w:sz w:val="20"/>
                <w:szCs w:val="20"/>
              </w:rPr>
              <w:t>Investiciona</w:t>
            </w:r>
            <w:proofErr w:type="spellEnd"/>
            <w:r w:rsidRPr="00E21BD8">
              <w:rPr>
                <w:rFonts w:ascii="Arial" w:hAnsi="Arial" w:cs="Arial"/>
                <w:sz w:val="20"/>
                <w:szCs w:val="20"/>
              </w:rPr>
              <w:t xml:space="preserve"> Banka (EIB)</w:t>
            </w:r>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103.78</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3.06</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6.65</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5.</w:t>
            </w:r>
            <w:r>
              <w:rPr>
                <w:rFonts w:ascii="Calibri" w:hAnsi="Calibri"/>
                <w:color w:val="000000"/>
                <w:sz w:val="22"/>
                <w:szCs w:val="22"/>
              </w:rPr>
              <w:t>01</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Evropska</w:t>
            </w:r>
            <w:proofErr w:type="spellEnd"/>
            <w:r>
              <w:rPr>
                <w:rFonts w:ascii="Arial" w:hAnsi="Arial" w:cs="Arial"/>
                <w:sz w:val="20"/>
                <w:szCs w:val="20"/>
              </w:rPr>
              <w:t xml:space="preserve"> </w:t>
            </w:r>
            <w:r w:rsidRPr="00E21BD8">
              <w:rPr>
                <w:rFonts w:ascii="Arial" w:hAnsi="Arial" w:cs="Arial"/>
                <w:sz w:val="20"/>
                <w:szCs w:val="20"/>
              </w:rPr>
              <w:t>banka</w:t>
            </w:r>
            <w:r>
              <w:rPr>
                <w:rFonts w:ascii="Arial" w:hAnsi="Arial" w:cs="Arial"/>
                <w:sz w:val="20"/>
                <w:szCs w:val="20"/>
              </w:rPr>
              <w:t xml:space="preserve"> </w:t>
            </w:r>
            <w:proofErr w:type="spellStart"/>
            <w:r w:rsidRPr="00E21BD8">
              <w:rPr>
                <w:rFonts w:ascii="Arial" w:hAnsi="Arial" w:cs="Arial"/>
                <w:sz w:val="20"/>
                <w:szCs w:val="20"/>
              </w:rPr>
              <w:t>za</w:t>
            </w:r>
            <w:proofErr w:type="spellEnd"/>
            <w:r>
              <w:rPr>
                <w:rFonts w:ascii="Arial" w:hAnsi="Arial" w:cs="Arial"/>
                <w:sz w:val="20"/>
                <w:szCs w:val="20"/>
              </w:rPr>
              <w:t xml:space="preserve"> </w:t>
            </w:r>
            <w:proofErr w:type="spellStart"/>
            <w:r w:rsidRPr="00E21BD8">
              <w:rPr>
                <w:rFonts w:ascii="Arial" w:hAnsi="Arial" w:cs="Arial"/>
                <w:sz w:val="20"/>
                <w:szCs w:val="20"/>
              </w:rPr>
              <w:t>obnovu</w:t>
            </w:r>
            <w:proofErr w:type="spellEnd"/>
            <w:r w:rsidRPr="00E21BD8">
              <w:rPr>
                <w:rFonts w:ascii="Arial" w:hAnsi="Arial" w:cs="Arial"/>
                <w:sz w:val="20"/>
                <w:szCs w:val="20"/>
              </w:rPr>
              <w:t xml:space="preserve"> i </w:t>
            </w:r>
            <w:proofErr w:type="spellStart"/>
            <w:r w:rsidRPr="00E21BD8">
              <w:rPr>
                <w:rFonts w:ascii="Arial" w:hAnsi="Arial" w:cs="Arial"/>
                <w:sz w:val="20"/>
                <w:szCs w:val="20"/>
              </w:rPr>
              <w:t>razvoj</w:t>
            </w:r>
            <w:proofErr w:type="spellEnd"/>
            <w:r w:rsidRPr="00E21BD8">
              <w:rPr>
                <w:rFonts w:ascii="Arial" w:hAnsi="Arial" w:cs="Arial"/>
                <w:sz w:val="20"/>
                <w:szCs w:val="20"/>
              </w:rPr>
              <w:t xml:space="preserve"> (EBRD)</w:t>
            </w:r>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16.13</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0.48</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1.03</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0.78</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r w:rsidRPr="00E21BD8">
              <w:rPr>
                <w:rFonts w:ascii="Arial" w:hAnsi="Arial" w:cs="Arial"/>
                <w:sz w:val="20"/>
                <w:szCs w:val="20"/>
              </w:rPr>
              <w:t xml:space="preserve">Banka </w:t>
            </w:r>
            <w:proofErr w:type="spellStart"/>
            <w:r w:rsidRPr="00E21BD8">
              <w:rPr>
                <w:rFonts w:ascii="Arial" w:hAnsi="Arial" w:cs="Arial"/>
                <w:sz w:val="20"/>
                <w:szCs w:val="20"/>
              </w:rPr>
              <w:t>zarazvoj</w:t>
            </w:r>
            <w:proofErr w:type="spellEnd"/>
            <w:r>
              <w:rPr>
                <w:rFonts w:ascii="Arial" w:hAnsi="Arial" w:cs="Arial"/>
                <w:sz w:val="20"/>
                <w:szCs w:val="20"/>
              </w:rPr>
              <w:t xml:space="preserve"> </w:t>
            </w:r>
            <w:proofErr w:type="spellStart"/>
            <w:r w:rsidRPr="00E21BD8">
              <w:rPr>
                <w:rFonts w:ascii="Arial" w:hAnsi="Arial" w:cs="Arial"/>
                <w:sz w:val="20"/>
                <w:szCs w:val="20"/>
              </w:rPr>
              <w:t>Savjeta</w:t>
            </w:r>
            <w:proofErr w:type="spellEnd"/>
            <w:r>
              <w:rPr>
                <w:rFonts w:ascii="Arial" w:hAnsi="Arial" w:cs="Arial"/>
                <w:sz w:val="20"/>
                <w:szCs w:val="20"/>
              </w:rPr>
              <w:t xml:space="preserve"> </w:t>
            </w:r>
            <w:proofErr w:type="spellStart"/>
            <w:r w:rsidRPr="00E21BD8">
              <w:rPr>
                <w:rFonts w:ascii="Arial" w:hAnsi="Arial" w:cs="Arial"/>
                <w:sz w:val="20"/>
                <w:szCs w:val="20"/>
              </w:rPr>
              <w:t>Evrope</w:t>
            </w:r>
            <w:proofErr w:type="spellEnd"/>
            <w:r w:rsidRPr="00E21BD8">
              <w:rPr>
                <w:rFonts w:ascii="Arial" w:hAnsi="Arial" w:cs="Arial"/>
                <w:sz w:val="20"/>
                <w:szCs w:val="20"/>
              </w:rPr>
              <w:t xml:space="preserve"> (CEB)</w:t>
            </w:r>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9.08</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0.27</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0.58</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0.44</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Evropska</w:t>
            </w:r>
            <w:proofErr w:type="spellEnd"/>
            <w:r>
              <w:rPr>
                <w:rFonts w:ascii="Arial" w:hAnsi="Arial" w:cs="Arial"/>
                <w:sz w:val="20"/>
                <w:szCs w:val="20"/>
              </w:rPr>
              <w:t xml:space="preserve"> </w:t>
            </w:r>
            <w:proofErr w:type="spellStart"/>
            <w:r w:rsidRPr="00E21BD8">
              <w:rPr>
                <w:rFonts w:ascii="Arial" w:hAnsi="Arial" w:cs="Arial"/>
                <w:sz w:val="20"/>
                <w:szCs w:val="20"/>
              </w:rPr>
              <w:t>Komisija</w:t>
            </w:r>
            <w:proofErr w:type="spellEnd"/>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4.70</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0.14</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0.30</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0.23</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Njemačka</w:t>
            </w:r>
            <w:proofErr w:type="spellEnd"/>
            <w:r>
              <w:rPr>
                <w:rFonts w:ascii="Arial" w:hAnsi="Arial" w:cs="Arial"/>
                <w:sz w:val="20"/>
                <w:szCs w:val="20"/>
              </w:rPr>
              <w:t xml:space="preserve"> </w:t>
            </w:r>
            <w:r w:rsidRPr="00E21BD8">
              <w:rPr>
                <w:rFonts w:ascii="Arial" w:hAnsi="Arial" w:cs="Arial"/>
                <w:sz w:val="20"/>
                <w:szCs w:val="20"/>
              </w:rPr>
              <w:t>banka</w:t>
            </w:r>
            <w:r>
              <w:rPr>
                <w:rFonts w:ascii="Arial" w:hAnsi="Arial" w:cs="Arial"/>
                <w:sz w:val="20"/>
                <w:szCs w:val="20"/>
              </w:rPr>
              <w:t xml:space="preserve"> </w:t>
            </w:r>
            <w:proofErr w:type="spellStart"/>
            <w:r w:rsidRPr="00E21BD8">
              <w:rPr>
                <w:rFonts w:ascii="Arial" w:hAnsi="Arial" w:cs="Arial"/>
                <w:sz w:val="20"/>
                <w:szCs w:val="20"/>
              </w:rPr>
              <w:t>za</w:t>
            </w:r>
            <w:proofErr w:type="spellEnd"/>
            <w:r>
              <w:rPr>
                <w:rFonts w:ascii="Arial" w:hAnsi="Arial" w:cs="Arial"/>
                <w:sz w:val="20"/>
                <w:szCs w:val="20"/>
              </w:rPr>
              <w:t xml:space="preserve"> </w:t>
            </w:r>
            <w:proofErr w:type="spellStart"/>
            <w:r w:rsidRPr="00E21BD8">
              <w:rPr>
                <w:rFonts w:ascii="Arial" w:hAnsi="Arial" w:cs="Arial"/>
                <w:sz w:val="20"/>
                <w:szCs w:val="20"/>
              </w:rPr>
              <w:t>razvoj</w:t>
            </w:r>
            <w:proofErr w:type="spellEnd"/>
            <w:r w:rsidRPr="00E21BD8">
              <w:rPr>
                <w:rFonts w:ascii="Arial" w:hAnsi="Arial" w:cs="Arial"/>
                <w:sz w:val="20"/>
                <w:szCs w:val="20"/>
              </w:rPr>
              <w:t xml:space="preserve"> (KFW)</w:t>
            </w:r>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25.22</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0.74</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1.61</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1.22</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Mađarski</w:t>
            </w:r>
            <w:proofErr w:type="spellEnd"/>
            <w:r>
              <w:rPr>
                <w:rFonts w:ascii="Arial" w:hAnsi="Arial" w:cs="Arial"/>
                <w:sz w:val="20"/>
                <w:szCs w:val="20"/>
              </w:rPr>
              <w:t xml:space="preserve"> </w:t>
            </w:r>
            <w:proofErr w:type="spellStart"/>
            <w:r w:rsidRPr="00E21BD8">
              <w:rPr>
                <w:rFonts w:ascii="Arial" w:hAnsi="Arial" w:cs="Arial"/>
                <w:sz w:val="20"/>
                <w:szCs w:val="20"/>
              </w:rPr>
              <w:t>zajam</w:t>
            </w:r>
            <w:proofErr w:type="spellEnd"/>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9.28</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0.27</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0.59</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0.45</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Poljski</w:t>
            </w:r>
            <w:proofErr w:type="spellEnd"/>
            <w:r>
              <w:rPr>
                <w:rFonts w:ascii="Arial" w:hAnsi="Arial" w:cs="Arial"/>
                <w:sz w:val="20"/>
                <w:szCs w:val="20"/>
              </w:rPr>
              <w:t xml:space="preserve"> </w:t>
            </w:r>
            <w:proofErr w:type="spellStart"/>
            <w:r w:rsidRPr="00E21BD8">
              <w:rPr>
                <w:rFonts w:ascii="Arial" w:hAnsi="Arial" w:cs="Arial"/>
                <w:sz w:val="20"/>
                <w:szCs w:val="20"/>
              </w:rPr>
              <w:t>zajam</w:t>
            </w:r>
            <w:proofErr w:type="spellEnd"/>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8.33</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0.25</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0.53</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0.40</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Francuski</w:t>
            </w:r>
            <w:proofErr w:type="spellEnd"/>
            <w:r>
              <w:rPr>
                <w:rFonts w:ascii="Arial" w:hAnsi="Arial" w:cs="Arial"/>
                <w:sz w:val="20"/>
                <w:szCs w:val="20"/>
              </w:rPr>
              <w:t xml:space="preserve"> </w:t>
            </w:r>
            <w:proofErr w:type="spellStart"/>
            <w:r w:rsidRPr="00E21BD8">
              <w:rPr>
                <w:rFonts w:ascii="Arial" w:hAnsi="Arial" w:cs="Arial"/>
                <w:sz w:val="20"/>
                <w:szCs w:val="20"/>
              </w:rPr>
              <w:t>kredit</w:t>
            </w:r>
            <w:proofErr w:type="spellEnd"/>
            <w:r w:rsidRPr="00E21BD8">
              <w:rPr>
                <w:rFonts w:ascii="Arial" w:hAnsi="Arial" w:cs="Arial"/>
                <w:sz w:val="20"/>
                <w:szCs w:val="20"/>
              </w:rPr>
              <w:t xml:space="preserve"> - NATIXIS</w:t>
            </w:r>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7.26</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0.21</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0.46</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0.35</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r w:rsidRPr="00E21BD8">
              <w:rPr>
                <w:rFonts w:ascii="Arial" w:hAnsi="Arial" w:cs="Arial"/>
                <w:sz w:val="20"/>
                <w:szCs w:val="20"/>
              </w:rPr>
              <w:t>EUROFIMA</w:t>
            </w:r>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17.05</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0.50</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1.09</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0.82</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Češka</w:t>
            </w:r>
            <w:proofErr w:type="spellEnd"/>
            <w:r w:rsidRPr="00E21BD8">
              <w:rPr>
                <w:rFonts w:ascii="Arial" w:hAnsi="Arial" w:cs="Arial"/>
                <w:sz w:val="20"/>
                <w:szCs w:val="20"/>
              </w:rPr>
              <w:t xml:space="preserve"> Exim Banka</w:t>
            </w:r>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14.61</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0.43</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0.94</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0.7</w:t>
            </w:r>
            <w:r>
              <w:rPr>
                <w:rFonts w:ascii="Calibri" w:hAnsi="Calibri"/>
                <w:color w:val="000000"/>
                <w:sz w:val="22"/>
                <w:szCs w:val="22"/>
              </w:rPr>
              <w:t>1</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Steiermarkische</w:t>
            </w:r>
            <w:proofErr w:type="spellEnd"/>
            <w:r w:rsidRPr="00E21BD8">
              <w:rPr>
                <w:rFonts w:ascii="Calibri" w:hAnsi="Calibri"/>
                <w:color w:val="000000"/>
                <w:sz w:val="22"/>
                <w:szCs w:val="22"/>
              </w:rPr>
              <w:t xml:space="preserve"> Bank und </w:t>
            </w:r>
            <w:proofErr w:type="spellStart"/>
            <w:r w:rsidRPr="00E21BD8">
              <w:rPr>
                <w:rFonts w:ascii="Calibri" w:hAnsi="Calibri"/>
                <w:color w:val="000000"/>
                <w:sz w:val="22"/>
                <w:szCs w:val="22"/>
              </w:rPr>
              <w:t>Sparkassen</w:t>
            </w:r>
            <w:proofErr w:type="spellEnd"/>
            <w:r w:rsidRPr="00E21BD8">
              <w:rPr>
                <w:rFonts w:ascii="Calibri" w:hAnsi="Calibri"/>
                <w:color w:val="000000"/>
                <w:sz w:val="22"/>
                <w:szCs w:val="22"/>
              </w:rPr>
              <w:t xml:space="preserve"> AG</w:t>
            </w:r>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14.30</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0.42</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0.92</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0.69</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Erste</w:t>
            </w:r>
            <w:proofErr w:type="spellEnd"/>
            <w:r w:rsidRPr="00E21BD8">
              <w:rPr>
                <w:rFonts w:ascii="Arial" w:hAnsi="Arial" w:cs="Arial"/>
                <w:sz w:val="20"/>
                <w:szCs w:val="20"/>
              </w:rPr>
              <w:t xml:space="preserve"> Banka</w:t>
            </w:r>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18.00</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0.53</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1.15</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0.87</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r w:rsidRPr="00E21BD8">
              <w:rPr>
                <w:rFonts w:ascii="Arial" w:hAnsi="Arial" w:cs="Arial"/>
                <w:sz w:val="20"/>
                <w:szCs w:val="20"/>
              </w:rPr>
              <w:t>Credit Suisse Banka</w:t>
            </w:r>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204.00</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6.01</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13.06</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9.8</w:t>
            </w:r>
            <w:r>
              <w:rPr>
                <w:rFonts w:ascii="Calibri" w:hAnsi="Calibri"/>
                <w:color w:val="000000"/>
                <w:sz w:val="22"/>
                <w:szCs w:val="22"/>
              </w:rPr>
              <w:t>5</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Španski</w:t>
            </w:r>
            <w:proofErr w:type="spellEnd"/>
            <w:r>
              <w:rPr>
                <w:rFonts w:ascii="Arial" w:hAnsi="Arial" w:cs="Arial"/>
                <w:sz w:val="20"/>
                <w:szCs w:val="20"/>
              </w:rPr>
              <w:t xml:space="preserve"> </w:t>
            </w:r>
            <w:proofErr w:type="spellStart"/>
            <w:r w:rsidRPr="00E21BD8">
              <w:rPr>
                <w:rFonts w:ascii="Arial" w:hAnsi="Arial" w:cs="Arial"/>
                <w:sz w:val="20"/>
                <w:szCs w:val="20"/>
              </w:rPr>
              <w:t>kredit</w:t>
            </w:r>
            <w:proofErr w:type="spellEnd"/>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4.75</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0.14</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0.30</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0.23</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31253E" w:rsidP="00760A53">
            <w:pPr>
              <w:rPr>
                <w:rFonts w:ascii="Arial" w:hAnsi="Arial" w:cs="Arial"/>
                <w:sz w:val="20"/>
                <w:szCs w:val="20"/>
              </w:rPr>
            </w:pPr>
            <w:proofErr w:type="spellStart"/>
            <w:r>
              <w:rPr>
                <w:rFonts w:ascii="Arial" w:hAnsi="Arial" w:cs="Arial"/>
                <w:sz w:val="20"/>
                <w:szCs w:val="20"/>
              </w:rPr>
              <w:t>Erste</w:t>
            </w:r>
            <w:proofErr w:type="spellEnd"/>
            <w:r>
              <w:rPr>
                <w:rFonts w:ascii="Arial" w:hAnsi="Arial" w:cs="Arial"/>
                <w:sz w:val="20"/>
                <w:szCs w:val="20"/>
              </w:rPr>
              <w:t xml:space="preserve"> Banka – Fonda </w:t>
            </w:r>
            <w:proofErr w:type="spellStart"/>
            <w:r>
              <w:rPr>
                <w:rFonts w:ascii="Arial" w:hAnsi="Arial" w:cs="Arial"/>
                <w:sz w:val="20"/>
                <w:szCs w:val="20"/>
              </w:rPr>
              <w:t>zdravstva</w:t>
            </w:r>
            <w:proofErr w:type="spellEnd"/>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7.40</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0.22</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0.47</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0.36</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Calibri" w:hAnsi="Calibri"/>
                <w:color w:val="000000"/>
                <w:sz w:val="22"/>
                <w:szCs w:val="22"/>
              </w:rPr>
            </w:pPr>
            <w:r w:rsidRPr="00E21BD8">
              <w:rPr>
                <w:rFonts w:ascii="Calibri" w:hAnsi="Calibri"/>
                <w:color w:val="000000"/>
                <w:sz w:val="22"/>
                <w:szCs w:val="22"/>
              </w:rPr>
              <w:t>EUROBOND</w:t>
            </w:r>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647.36</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19.08</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41.45</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31.2</w:t>
            </w:r>
            <w:r>
              <w:rPr>
                <w:rFonts w:ascii="Calibri" w:hAnsi="Calibri"/>
                <w:color w:val="000000"/>
                <w:sz w:val="22"/>
                <w:szCs w:val="22"/>
              </w:rPr>
              <w:t>5</w:t>
            </w:r>
          </w:p>
        </w:tc>
      </w:tr>
      <w:tr w:rsidR="00C921C3" w:rsidRPr="00E21BD8" w:rsidTr="00760A53">
        <w:trPr>
          <w:trHeight w:val="315"/>
        </w:trPr>
        <w:tc>
          <w:tcPr>
            <w:tcW w:w="2048" w:type="pct"/>
            <w:gridSpan w:val="3"/>
            <w:tcBorders>
              <w:top w:val="nil"/>
              <w:left w:val="single" w:sz="8" w:space="0" w:color="auto"/>
              <w:bottom w:val="nil"/>
              <w:right w:val="single" w:sz="4" w:space="0" w:color="auto"/>
            </w:tcBorders>
            <w:shd w:val="clear" w:color="auto" w:fill="auto"/>
            <w:noWrap/>
            <w:vAlign w:val="bottom"/>
            <w:hideMark/>
          </w:tcPr>
          <w:p w:rsidR="00C921C3" w:rsidRPr="00E21BD8" w:rsidRDefault="00C921C3" w:rsidP="00760A53">
            <w:pPr>
              <w:rPr>
                <w:rFonts w:ascii="Calibri" w:hAnsi="Calibri"/>
                <w:color w:val="000000"/>
                <w:sz w:val="22"/>
                <w:szCs w:val="22"/>
              </w:rPr>
            </w:pPr>
            <w:r w:rsidRPr="00E21BD8">
              <w:rPr>
                <w:rFonts w:ascii="Calibri" w:hAnsi="Calibri"/>
                <w:color w:val="000000"/>
                <w:sz w:val="22"/>
                <w:szCs w:val="22"/>
              </w:rPr>
              <w:t>Deutsche Bank</w:t>
            </w:r>
          </w:p>
        </w:tc>
        <w:tc>
          <w:tcPr>
            <w:tcW w:w="742" w:type="pct"/>
            <w:tcBorders>
              <w:top w:val="nil"/>
              <w:left w:val="nil"/>
              <w:bottom w:val="nil"/>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60.00</w:t>
            </w:r>
          </w:p>
        </w:tc>
        <w:tc>
          <w:tcPr>
            <w:tcW w:w="574" w:type="pct"/>
            <w:gridSpan w:val="2"/>
            <w:tcBorders>
              <w:top w:val="nil"/>
              <w:left w:val="nil"/>
              <w:bottom w:val="nil"/>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1.77</w:t>
            </w:r>
          </w:p>
        </w:tc>
        <w:tc>
          <w:tcPr>
            <w:tcW w:w="655" w:type="pct"/>
            <w:tcBorders>
              <w:top w:val="nil"/>
              <w:left w:val="nil"/>
              <w:bottom w:val="nil"/>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3.84</w:t>
            </w:r>
          </w:p>
        </w:tc>
        <w:tc>
          <w:tcPr>
            <w:tcW w:w="981" w:type="pct"/>
            <w:tcBorders>
              <w:top w:val="nil"/>
              <w:left w:val="nil"/>
              <w:bottom w:val="nil"/>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2.</w:t>
            </w:r>
            <w:r>
              <w:rPr>
                <w:rFonts w:ascii="Calibri" w:hAnsi="Calibri"/>
                <w:color w:val="000000"/>
                <w:sz w:val="22"/>
                <w:szCs w:val="22"/>
              </w:rPr>
              <w:t>90</w:t>
            </w:r>
          </w:p>
        </w:tc>
      </w:tr>
      <w:tr w:rsidR="00C921C3" w:rsidRPr="00E21BD8" w:rsidTr="00760A53">
        <w:trPr>
          <w:trHeight w:val="330"/>
        </w:trPr>
        <w:tc>
          <w:tcPr>
            <w:tcW w:w="2048" w:type="pct"/>
            <w:gridSpan w:val="3"/>
            <w:tcBorders>
              <w:top w:val="double" w:sz="6" w:space="0" w:color="auto"/>
              <w:left w:val="single" w:sz="8" w:space="0" w:color="auto"/>
              <w:bottom w:val="double" w:sz="6" w:space="0" w:color="auto"/>
              <w:right w:val="single" w:sz="4" w:space="0" w:color="auto"/>
            </w:tcBorders>
            <w:shd w:val="clear" w:color="auto" w:fill="auto"/>
            <w:noWrap/>
            <w:vAlign w:val="bottom"/>
            <w:hideMark/>
          </w:tcPr>
          <w:p w:rsidR="00C921C3" w:rsidRPr="00E21BD8" w:rsidRDefault="00C921C3" w:rsidP="00760A53">
            <w:pPr>
              <w:rPr>
                <w:rFonts w:ascii="Calibri" w:hAnsi="Calibri"/>
                <w:b/>
                <w:bCs/>
                <w:color w:val="000000"/>
                <w:sz w:val="22"/>
                <w:szCs w:val="22"/>
              </w:rPr>
            </w:pPr>
            <w:proofErr w:type="spellStart"/>
            <w:r w:rsidRPr="00E21BD8">
              <w:rPr>
                <w:rFonts w:ascii="Calibri" w:hAnsi="Calibri"/>
                <w:b/>
                <w:bCs/>
                <w:color w:val="000000"/>
                <w:sz w:val="22"/>
                <w:szCs w:val="22"/>
              </w:rPr>
              <w:t>Ukupno</w:t>
            </w:r>
            <w:proofErr w:type="spellEnd"/>
            <w:r>
              <w:rPr>
                <w:rFonts w:ascii="Calibri" w:hAnsi="Calibri"/>
                <w:b/>
                <w:bCs/>
                <w:color w:val="000000"/>
                <w:sz w:val="22"/>
                <w:szCs w:val="22"/>
              </w:rPr>
              <w:t xml:space="preserve"> </w:t>
            </w:r>
            <w:proofErr w:type="spellStart"/>
            <w:r w:rsidRPr="00E21BD8">
              <w:rPr>
                <w:rFonts w:ascii="Calibri" w:hAnsi="Calibri"/>
                <w:b/>
                <w:bCs/>
                <w:color w:val="000000"/>
                <w:sz w:val="22"/>
                <w:szCs w:val="22"/>
              </w:rPr>
              <w:t>spoljni</w:t>
            </w:r>
            <w:proofErr w:type="spellEnd"/>
            <w:r w:rsidRPr="00E21BD8">
              <w:rPr>
                <w:rFonts w:ascii="Calibri" w:hAnsi="Calibri"/>
                <w:b/>
                <w:bCs/>
                <w:color w:val="000000"/>
                <w:sz w:val="22"/>
                <w:szCs w:val="22"/>
              </w:rPr>
              <w:t xml:space="preserve"> dug</w:t>
            </w:r>
          </w:p>
        </w:tc>
        <w:tc>
          <w:tcPr>
            <w:tcW w:w="742" w:type="pct"/>
            <w:tcBorders>
              <w:top w:val="double" w:sz="6" w:space="0" w:color="auto"/>
              <w:left w:val="nil"/>
              <w:bottom w:val="double" w:sz="6"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b/>
                <w:bCs/>
                <w:color w:val="000000"/>
                <w:sz w:val="22"/>
                <w:szCs w:val="22"/>
              </w:rPr>
            </w:pPr>
            <w:r w:rsidRPr="00E21BD8">
              <w:rPr>
                <w:rFonts w:ascii="Calibri" w:hAnsi="Calibri"/>
                <w:b/>
                <w:bCs/>
                <w:color w:val="000000"/>
                <w:sz w:val="22"/>
                <w:szCs w:val="22"/>
              </w:rPr>
              <w:t>1,561.69</w:t>
            </w:r>
          </w:p>
        </w:tc>
        <w:tc>
          <w:tcPr>
            <w:tcW w:w="574" w:type="pct"/>
            <w:gridSpan w:val="2"/>
            <w:tcBorders>
              <w:top w:val="double" w:sz="6" w:space="0" w:color="auto"/>
              <w:left w:val="nil"/>
              <w:bottom w:val="double" w:sz="6"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b/>
                <w:bCs/>
                <w:color w:val="000000"/>
                <w:sz w:val="22"/>
                <w:szCs w:val="22"/>
              </w:rPr>
            </w:pPr>
            <w:r>
              <w:rPr>
                <w:rFonts w:ascii="Calibri" w:hAnsi="Calibri"/>
                <w:b/>
                <w:bCs/>
                <w:color w:val="000000"/>
                <w:sz w:val="22"/>
                <w:szCs w:val="22"/>
              </w:rPr>
              <w:t>46.02</w:t>
            </w:r>
          </w:p>
        </w:tc>
        <w:tc>
          <w:tcPr>
            <w:tcW w:w="655" w:type="pct"/>
            <w:tcBorders>
              <w:top w:val="double" w:sz="6" w:space="0" w:color="auto"/>
              <w:left w:val="nil"/>
              <w:bottom w:val="double" w:sz="6"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b/>
                <w:bCs/>
                <w:color w:val="000000"/>
                <w:sz w:val="22"/>
                <w:szCs w:val="22"/>
              </w:rPr>
            </w:pPr>
            <w:r w:rsidRPr="00E21BD8">
              <w:rPr>
                <w:rFonts w:ascii="Calibri" w:hAnsi="Calibri"/>
                <w:b/>
                <w:bCs/>
                <w:color w:val="000000"/>
                <w:sz w:val="22"/>
                <w:szCs w:val="22"/>
              </w:rPr>
              <w:t>100.00</w:t>
            </w:r>
          </w:p>
        </w:tc>
        <w:tc>
          <w:tcPr>
            <w:tcW w:w="981" w:type="pct"/>
            <w:tcBorders>
              <w:top w:val="double" w:sz="6" w:space="0" w:color="auto"/>
              <w:left w:val="nil"/>
              <w:bottom w:val="double" w:sz="6"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b/>
                <w:bCs/>
                <w:color w:val="000000"/>
                <w:sz w:val="22"/>
                <w:szCs w:val="22"/>
              </w:rPr>
            </w:pPr>
            <w:r>
              <w:rPr>
                <w:rFonts w:ascii="Calibri" w:hAnsi="Calibri"/>
                <w:b/>
                <w:bCs/>
                <w:color w:val="000000"/>
                <w:sz w:val="22"/>
                <w:szCs w:val="22"/>
              </w:rPr>
              <w:t>75.38</w:t>
            </w:r>
          </w:p>
        </w:tc>
      </w:tr>
      <w:tr w:rsidR="00C921C3" w:rsidRPr="00E21BD8" w:rsidTr="00760A53">
        <w:trPr>
          <w:trHeight w:val="330"/>
        </w:trPr>
        <w:tc>
          <w:tcPr>
            <w:tcW w:w="2048" w:type="pct"/>
            <w:gridSpan w:val="3"/>
            <w:tcBorders>
              <w:top w:val="nil"/>
              <w:left w:val="single" w:sz="8" w:space="0" w:color="auto"/>
              <w:bottom w:val="double" w:sz="6" w:space="0" w:color="auto"/>
              <w:right w:val="single" w:sz="4" w:space="0" w:color="auto"/>
            </w:tcBorders>
            <w:shd w:val="clear" w:color="auto" w:fill="auto"/>
            <w:noWrap/>
            <w:vAlign w:val="bottom"/>
            <w:hideMark/>
          </w:tcPr>
          <w:p w:rsidR="00C921C3" w:rsidRPr="00E21BD8" w:rsidRDefault="00C921C3" w:rsidP="00760A53">
            <w:pPr>
              <w:rPr>
                <w:rFonts w:ascii="Calibri" w:hAnsi="Calibri"/>
                <w:b/>
                <w:bCs/>
                <w:color w:val="000000"/>
                <w:sz w:val="22"/>
                <w:szCs w:val="22"/>
              </w:rPr>
            </w:pPr>
            <w:r w:rsidRPr="00E21BD8">
              <w:rPr>
                <w:rFonts w:ascii="Calibri" w:hAnsi="Calibri"/>
                <w:b/>
                <w:bCs/>
                <w:color w:val="000000"/>
                <w:sz w:val="22"/>
                <w:szCs w:val="22"/>
              </w:rPr>
              <w:t> </w:t>
            </w:r>
          </w:p>
        </w:tc>
        <w:tc>
          <w:tcPr>
            <w:tcW w:w="742" w:type="pct"/>
            <w:tcBorders>
              <w:top w:val="nil"/>
              <w:left w:val="nil"/>
              <w:bottom w:val="double" w:sz="6"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b/>
                <w:bCs/>
                <w:color w:val="000000"/>
                <w:sz w:val="22"/>
                <w:szCs w:val="22"/>
              </w:rPr>
            </w:pPr>
            <w:r w:rsidRPr="00E21BD8">
              <w:rPr>
                <w:rFonts w:ascii="Calibri" w:hAnsi="Calibri"/>
                <w:b/>
                <w:bCs/>
                <w:color w:val="000000"/>
                <w:sz w:val="22"/>
                <w:szCs w:val="22"/>
              </w:rPr>
              <w:t> </w:t>
            </w:r>
          </w:p>
        </w:tc>
        <w:tc>
          <w:tcPr>
            <w:tcW w:w="574" w:type="pct"/>
            <w:gridSpan w:val="2"/>
            <w:tcBorders>
              <w:top w:val="nil"/>
              <w:left w:val="nil"/>
              <w:bottom w:val="double" w:sz="6" w:space="0" w:color="auto"/>
              <w:right w:val="single" w:sz="4" w:space="0" w:color="auto"/>
            </w:tcBorders>
            <w:shd w:val="clear" w:color="auto" w:fill="auto"/>
            <w:noWrap/>
            <w:vAlign w:val="bottom"/>
            <w:hideMark/>
          </w:tcPr>
          <w:p w:rsidR="00C921C3" w:rsidRPr="00E21BD8" w:rsidRDefault="00C921C3" w:rsidP="00760A53">
            <w:pPr>
              <w:rPr>
                <w:rFonts w:ascii="Calibri" w:hAnsi="Calibri"/>
                <w:b/>
                <w:bCs/>
                <w:color w:val="000000"/>
                <w:sz w:val="22"/>
                <w:szCs w:val="22"/>
              </w:rPr>
            </w:pPr>
            <w:r w:rsidRPr="00E21BD8">
              <w:rPr>
                <w:rFonts w:ascii="Calibri" w:hAnsi="Calibri"/>
                <w:b/>
                <w:bCs/>
                <w:color w:val="000000"/>
                <w:sz w:val="22"/>
                <w:szCs w:val="22"/>
              </w:rPr>
              <w:t> </w:t>
            </w:r>
          </w:p>
        </w:tc>
        <w:tc>
          <w:tcPr>
            <w:tcW w:w="655" w:type="pct"/>
            <w:tcBorders>
              <w:top w:val="nil"/>
              <w:left w:val="nil"/>
              <w:bottom w:val="double" w:sz="6" w:space="0" w:color="auto"/>
              <w:right w:val="single" w:sz="4" w:space="0" w:color="auto"/>
            </w:tcBorders>
            <w:shd w:val="clear" w:color="auto" w:fill="auto"/>
            <w:noWrap/>
            <w:vAlign w:val="bottom"/>
            <w:hideMark/>
          </w:tcPr>
          <w:p w:rsidR="00C921C3" w:rsidRPr="00E21BD8" w:rsidRDefault="00C921C3" w:rsidP="00760A53">
            <w:pPr>
              <w:rPr>
                <w:rFonts w:ascii="Calibri" w:hAnsi="Calibri"/>
                <w:b/>
                <w:bCs/>
                <w:color w:val="000000"/>
                <w:sz w:val="22"/>
                <w:szCs w:val="22"/>
              </w:rPr>
            </w:pPr>
            <w:r w:rsidRPr="00E21BD8">
              <w:rPr>
                <w:rFonts w:ascii="Calibri" w:hAnsi="Calibri"/>
                <w:b/>
                <w:bCs/>
                <w:color w:val="000000"/>
                <w:sz w:val="22"/>
                <w:szCs w:val="22"/>
              </w:rPr>
              <w:t> </w:t>
            </w:r>
          </w:p>
        </w:tc>
        <w:tc>
          <w:tcPr>
            <w:tcW w:w="981" w:type="pct"/>
            <w:tcBorders>
              <w:top w:val="nil"/>
              <w:left w:val="nil"/>
              <w:bottom w:val="double" w:sz="6" w:space="0" w:color="auto"/>
              <w:right w:val="single" w:sz="8" w:space="0" w:color="auto"/>
            </w:tcBorders>
            <w:shd w:val="clear" w:color="auto" w:fill="auto"/>
            <w:noWrap/>
            <w:vAlign w:val="bottom"/>
            <w:hideMark/>
          </w:tcPr>
          <w:p w:rsidR="00C921C3" w:rsidRPr="00E21BD8" w:rsidRDefault="00C921C3" w:rsidP="00760A53">
            <w:pPr>
              <w:rPr>
                <w:rFonts w:ascii="Calibri" w:hAnsi="Calibri"/>
                <w:b/>
                <w:bCs/>
                <w:color w:val="000000"/>
                <w:sz w:val="22"/>
                <w:szCs w:val="22"/>
              </w:rPr>
            </w:pPr>
            <w:r w:rsidRPr="00E21BD8">
              <w:rPr>
                <w:rFonts w:ascii="Calibri" w:hAnsi="Calibri"/>
                <w:b/>
                <w:bCs/>
                <w:color w:val="000000"/>
                <w:sz w:val="22"/>
                <w:szCs w:val="22"/>
              </w:rPr>
              <w:t> </w:t>
            </w:r>
          </w:p>
        </w:tc>
      </w:tr>
      <w:tr w:rsidR="00C921C3" w:rsidRPr="00E21BD8" w:rsidTr="00760A53">
        <w:trPr>
          <w:trHeight w:val="330"/>
        </w:trPr>
        <w:tc>
          <w:tcPr>
            <w:tcW w:w="2048" w:type="pct"/>
            <w:gridSpan w:val="3"/>
            <w:tcBorders>
              <w:top w:val="nil"/>
              <w:left w:val="single" w:sz="8" w:space="0" w:color="auto"/>
              <w:bottom w:val="double" w:sz="6" w:space="0" w:color="auto"/>
              <w:right w:val="single" w:sz="4" w:space="0" w:color="auto"/>
            </w:tcBorders>
            <w:shd w:val="clear" w:color="auto" w:fill="auto"/>
            <w:vAlign w:val="bottom"/>
            <w:hideMark/>
          </w:tcPr>
          <w:p w:rsidR="00C921C3" w:rsidRPr="00E21BD8" w:rsidRDefault="00C921C3" w:rsidP="00760A53">
            <w:pPr>
              <w:rPr>
                <w:rFonts w:ascii="Calibri" w:hAnsi="Calibri"/>
                <w:b/>
                <w:bCs/>
                <w:color w:val="000000"/>
                <w:sz w:val="22"/>
                <w:szCs w:val="22"/>
              </w:rPr>
            </w:pPr>
            <w:proofErr w:type="spellStart"/>
            <w:r w:rsidRPr="00E21BD8">
              <w:rPr>
                <w:rFonts w:ascii="Calibri" w:hAnsi="Calibri"/>
                <w:b/>
                <w:bCs/>
                <w:color w:val="000000"/>
                <w:sz w:val="22"/>
                <w:szCs w:val="22"/>
              </w:rPr>
              <w:t>Unutrašnji</w:t>
            </w:r>
            <w:proofErr w:type="spellEnd"/>
            <w:r w:rsidRPr="00E21BD8">
              <w:rPr>
                <w:rFonts w:ascii="Calibri" w:hAnsi="Calibri"/>
                <w:b/>
                <w:bCs/>
                <w:color w:val="000000"/>
                <w:sz w:val="22"/>
                <w:szCs w:val="22"/>
              </w:rPr>
              <w:t xml:space="preserve"> dug</w:t>
            </w:r>
          </w:p>
        </w:tc>
        <w:tc>
          <w:tcPr>
            <w:tcW w:w="742" w:type="pct"/>
            <w:tcBorders>
              <w:top w:val="nil"/>
              <w:left w:val="nil"/>
              <w:bottom w:val="double" w:sz="6" w:space="0" w:color="auto"/>
              <w:right w:val="single" w:sz="4" w:space="0" w:color="auto"/>
            </w:tcBorders>
            <w:shd w:val="clear" w:color="auto" w:fill="auto"/>
            <w:vAlign w:val="bottom"/>
            <w:hideMark/>
          </w:tcPr>
          <w:p w:rsidR="00C921C3" w:rsidRPr="00E21BD8" w:rsidRDefault="00C921C3" w:rsidP="00760A53">
            <w:pPr>
              <w:rPr>
                <w:rFonts w:ascii="Calibri" w:hAnsi="Calibri"/>
                <w:color w:val="000000"/>
                <w:sz w:val="22"/>
                <w:szCs w:val="22"/>
              </w:rPr>
            </w:pPr>
            <w:r w:rsidRPr="00E21BD8">
              <w:rPr>
                <w:rFonts w:ascii="Calibri" w:hAnsi="Calibri"/>
                <w:color w:val="000000"/>
                <w:sz w:val="22"/>
                <w:szCs w:val="22"/>
              </w:rPr>
              <w:t> </w:t>
            </w:r>
          </w:p>
        </w:tc>
        <w:tc>
          <w:tcPr>
            <w:tcW w:w="574" w:type="pct"/>
            <w:gridSpan w:val="2"/>
            <w:tcBorders>
              <w:top w:val="nil"/>
              <w:left w:val="nil"/>
              <w:bottom w:val="double" w:sz="6" w:space="0" w:color="auto"/>
              <w:right w:val="single" w:sz="4" w:space="0" w:color="auto"/>
            </w:tcBorders>
            <w:shd w:val="clear" w:color="auto" w:fill="auto"/>
            <w:noWrap/>
            <w:vAlign w:val="bottom"/>
            <w:hideMark/>
          </w:tcPr>
          <w:p w:rsidR="00C921C3" w:rsidRPr="00E21BD8" w:rsidRDefault="00C921C3" w:rsidP="00760A53">
            <w:pPr>
              <w:rPr>
                <w:rFonts w:ascii="Calibri" w:hAnsi="Calibri"/>
                <w:color w:val="000000"/>
                <w:sz w:val="22"/>
                <w:szCs w:val="22"/>
              </w:rPr>
            </w:pPr>
            <w:r w:rsidRPr="00E21BD8">
              <w:rPr>
                <w:rFonts w:ascii="Calibri" w:hAnsi="Calibri"/>
                <w:color w:val="000000"/>
                <w:sz w:val="22"/>
                <w:szCs w:val="22"/>
              </w:rPr>
              <w:t> </w:t>
            </w:r>
          </w:p>
        </w:tc>
        <w:tc>
          <w:tcPr>
            <w:tcW w:w="655" w:type="pct"/>
            <w:tcBorders>
              <w:top w:val="nil"/>
              <w:left w:val="nil"/>
              <w:bottom w:val="double" w:sz="6" w:space="0" w:color="auto"/>
              <w:right w:val="single" w:sz="4" w:space="0" w:color="auto"/>
            </w:tcBorders>
            <w:shd w:val="clear" w:color="auto" w:fill="auto"/>
            <w:noWrap/>
            <w:vAlign w:val="bottom"/>
            <w:hideMark/>
          </w:tcPr>
          <w:p w:rsidR="00C921C3" w:rsidRPr="00E21BD8" w:rsidRDefault="00C921C3" w:rsidP="00760A53">
            <w:pPr>
              <w:rPr>
                <w:rFonts w:ascii="Calibri" w:hAnsi="Calibri"/>
                <w:color w:val="000000"/>
                <w:sz w:val="22"/>
                <w:szCs w:val="22"/>
              </w:rPr>
            </w:pPr>
            <w:r w:rsidRPr="00E21BD8">
              <w:rPr>
                <w:rFonts w:ascii="Calibri" w:hAnsi="Calibri"/>
                <w:color w:val="000000"/>
                <w:sz w:val="22"/>
                <w:szCs w:val="22"/>
              </w:rPr>
              <w:t> </w:t>
            </w:r>
          </w:p>
        </w:tc>
        <w:tc>
          <w:tcPr>
            <w:tcW w:w="981" w:type="pct"/>
            <w:tcBorders>
              <w:top w:val="nil"/>
              <w:left w:val="nil"/>
              <w:bottom w:val="double" w:sz="6" w:space="0" w:color="auto"/>
              <w:right w:val="single" w:sz="8" w:space="0" w:color="auto"/>
            </w:tcBorders>
            <w:shd w:val="clear" w:color="auto" w:fill="auto"/>
            <w:noWrap/>
            <w:vAlign w:val="bottom"/>
            <w:hideMark/>
          </w:tcPr>
          <w:p w:rsidR="00C921C3" w:rsidRPr="00E21BD8" w:rsidRDefault="00C921C3" w:rsidP="00760A53">
            <w:pPr>
              <w:rPr>
                <w:rFonts w:ascii="Calibri" w:hAnsi="Calibri"/>
                <w:color w:val="000000"/>
                <w:sz w:val="22"/>
                <w:szCs w:val="22"/>
              </w:rPr>
            </w:pPr>
            <w:r w:rsidRPr="00E21BD8">
              <w:rPr>
                <w:rFonts w:ascii="Calibri" w:hAnsi="Calibri"/>
                <w:color w:val="000000"/>
                <w:sz w:val="22"/>
                <w:szCs w:val="22"/>
              </w:rPr>
              <w:t> </w:t>
            </w:r>
          </w:p>
        </w:tc>
      </w:tr>
      <w:tr w:rsidR="00C921C3" w:rsidRPr="00E21BD8" w:rsidTr="00760A53">
        <w:trPr>
          <w:trHeight w:val="615"/>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jc w:val="center"/>
              <w:rPr>
                <w:rFonts w:ascii="Calibri" w:hAnsi="Calibri"/>
                <w:b/>
                <w:bCs/>
                <w:color w:val="000000"/>
                <w:sz w:val="22"/>
                <w:szCs w:val="22"/>
              </w:rPr>
            </w:pPr>
            <w:proofErr w:type="spellStart"/>
            <w:r w:rsidRPr="00E21BD8">
              <w:rPr>
                <w:rFonts w:ascii="Calibri" w:hAnsi="Calibri"/>
                <w:b/>
                <w:bCs/>
                <w:color w:val="000000"/>
                <w:sz w:val="22"/>
                <w:szCs w:val="22"/>
              </w:rPr>
              <w:t>Kreditor</w:t>
            </w:r>
            <w:proofErr w:type="spellEnd"/>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center"/>
              <w:rPr>
                <w:rFonts w:ascii="Arial" w:hAnsi="Arial" w:cs="Arial"/>
                <w:b/>
                <w:bCs/>
                <w:sz w:val="20"/>
                <w:szCs w:val="20"/>
              </w:rPr>
            </w:pPr>
            <w:proofErr w:type="spellStart"/>
            <w:r w:rsidRPr="00E21BD8">
              <w:rPr>
                <w:rFonts w:ascii="Arial" w:hAnsi="Arial" w:cs="Arial"/>
                <w:b/>
                <w:bCs/>
                <w:sz w:val="20"/>
                <w:szCs w:val="20"/>
              </w:rPr>
              <w:t>Stanje</w:t>
            </w:r>
            <w:proofErr w:type="spellEnd"/>
            <w:r>
              <w:rPr>
                <w:rFonts w:ascii="Arial" w:hAnsi="Arial" w:cs="Arial"/>
                <w:b/>
                <w:bCs/>
                <w:sz w:val="20"/>
                <w:szCs w:val="20"/>
              </w:rPr>
              <w:t xml:space="preserve"> </w:t>
            </w:r>
            <w:proofErr w:type="spellStart"/>
            <w:r w:rsidRPr="00E21BD8">
              <w:rPr>
                <w:rFonts w:ascii="Arial" w:hAnsi="Arial" w:cs="Arial"/>
                <w:b/>
                <w:bCs/>
                <w:sz w:val="20"/>
                <w:szCs w:val="20"/>
              </w:rPr>
              <w:t>duga</w:t>
            </w:r>
            <w:proofErr w:type="spellEnd"/>
            <w:r w:rsidR="00760A53">
              <w:rPr>
                <w:rFonts w:ascii="Arial" w:hAnsi="Arial" w:cs="Arial"/>
                <w:b/>
                <w:bCs/>
                <w:sz w:val="20"/>
                <w:szCs w:val="20"/>
              </w:rPr>
              <w:t xml:space="preserve"> u mil. </w:t>
            </w:r>
            <w:proofErr w:type="spellStart"/>
            <w:r w:rsidR="00760A53">
              <w:rPr>
                <w:rFonts w:ascii="Arial" w:hAnsi="Arial" w:cs="Arial"/>
                <w:b/>
                <w:bCs/>
                <w:sz w:val="20"/>
                <w:szCs w:val="20"/>
              </w:rPr>
              <w:t>eura</w:t>
            </w:r>
            <w:proofErr w:type="spellEnd"/>
          </w:p>
        </w:tc>
        <w:tc>
          <w:tcPr>
            <w:tcW w:w="574" w:type="pct"/>
            <w:gridSpan w:val="2"/>
            <w:tcBorders>
              <w:top w:val="single" w:sz="4" w:space="0" w:color="auto"/>
              <w:left w:val="nil"/>
              <w:bottom w:val="single" w:sz="4" w:space="0" w:color="auto"/>
              <w:right w:val="single" w:sz="4" w:space="0" w:color="auto"/>
            </w:tcBorders>
            <w:shd w:val="clear" w:color="auto" w:fill="auto"/>
            <w:vAlign w:val="bottom"/>
            <w:hideMark/>
          </w:tcPr>
          <w:p w:rsidR="00C921C3" w:rsidRPr="00E21BD8" w:rsidRDefault="00C921C3" w:rsidP="00760A53">
            <w:pPr>
              <w:jc w:val="center"/>
              <w:rPr>
                <w:rFonts w:ascii="Arial" w:hAnsi="Arial" w:cs="Arial"/>
                <w:b/>
                <w:bCs/>
                <w:sz w:val="20"/>
                <w:szCs w:val="20"/>
              </w:rPr>
            </w:pPr>
            <w:r w:rsidRPr="00E21BD8">
              <w:rPr>
                <w:rFonts w:ascii="Arial" w:hAnsi="Arial" w:cs="Arial"/>
                <w:b/>
                <w:bCs/>
                <w:sz w:val="20"/>
                <w:szCs w:val="20"/>
              </w:rPr>
              <w:t>% BDP-a</w:t>
            </w:r>
          </w:p>
        </w:tc>
        <w:tc>
          <w:tcPr>
            <w:tcW w:w="655" w:type="pct"/>
            <w:tcBorders>
              <w:top w:val="nil"/>
              <w:left w:val="nil"/>
              <w:bottom w:val="single" w:sz="4" w:space="0" w:color="auto"/>
              <w:right w:val="single" w:sz="4" w:space="0" w:color="auto"/>
            </w:tcBorders>
            <w:shd w:val="clear" w:color="auto" w:fill="auto"/>
            <w:vAlign w:val="bottom"/>
            <w:hideMark/>
          </w:tcPr>
          <w:p w:rsidR="00C921C3" w:rsidRPr="00E21BD8" w:rsidRDefault="00C921C3" w:rsidP="00760A53">
            <w:pPr>
              <w:jc w:val="center"/>
              <w:rPr>
                <w:rFonts w:ascii="Arial" w:hAnsi="Arial" w:cs="Arial"/>
                <w:b/>
                <w:bCs/>
                <w:sz w:val="20"/>
                <w:szCs w:val="20"/>
              </w:rPr>
            </w:pPr>
            <w:r w:rsidRPr="00E21BD8">
              <w:rPr>
                <w:rFonts w:ascii="Arial" w:hAnsi="Arial" w:cs="Arial"/>
                <w:b/>
                <w:bCs/>
                <w:sz w:val="20"/>
                <w:szCs w:val="20"/>
              </w:rPr>
              <w:t xml:space="preserve">% </w:t>
            </w:r>
            <w:proofErr w:type="spellStart"/>
            <w:r w:rsidRPr="00E21BD8">
              <w:rPr>
                <w:rFonts w:ascii="Arial" w:hAnsi="Arial" w:cs="Arial"/>
                <w:b/>
                <w:bCs/>
                <w:sz w:val="20"/>
                <w:szCs w:val="20"/>
              </w:rPr>
              <w:t>Domaćegduga</w:t>
            </w:r>
            <w:proofErr w:type="spellEnd"/>
          </w:p>
        </w:tc>
        <w:tc>
          <w:tcPr>
            <w:tcW w:w="981" w:type="pct"/>
            <w:tcBorders>
              <w:top w:val="single" w:sz="4" w:space="0" w:color="auto"/>
              <w:left w:val="nil"/>
              <w:bottom w:val="single" w:sz="4" w:space="0" w:color="auto"/>
              <w:right w:val="single" w:sz="8" w:space="0" w:color="auto"/>
            </w:tcBorders>
            <w:shd w:val="clear" w:color="auto" w:fill="auto"/>
            <w:vAlign w:val="bottom"/>
            <w:hideMark/>
          </w:tcPr>
          <w:p w:rsidR="00C921C3" w:rsidRPr="00E21BD8" w:rsidRDefault="00C921C3" w:rsidP="00760A53">
            <w:pPr>
              <w:jc w:val="center"/>
              <w:rPr>
                <w:rFonts w:ascii="Calibri" w:hAnsi="Calibri"/>
                <w:b/>
                <w:bCs/>
                <w:color w:val="000000"/>
                <w:sz w:val="22"/>
                <w:szCs w:val="22"/>
              </w:rPr>
            </w:pPr>
            <w:r w:rsidRPr="00E21BD8">
              <w:rPr>
                <w:rFonts w:ascii="Calibri" w:hAnsi="Calibri"/>
                <w:b/>
                <w:bCs/>
                <w:color w:val="000000"/>
                <w:sz w:val="22"/>
                <w:szCs w:val="22"/>
              </w:rPr>
              <w:t xml:space="preserve">% </w:t>
            </w:r>
            <w:proofErr w:type="spellStart"/>
            <w:r w:rsidRPr="00E21BD8">
              <w:rPr>
                <w:rFonts w:ascii="Calibri" w:hAnsi="Calibri"/>
                <w:b/>
                <w:bCs/>
                <w:color w:val="000000"/>
                <w:sz w:val="22"/>
                <w:szCs w:val="22"/>
              </w:rPr>
              <w:t>Ukupnog</w:t>
            </w:r>
            <w:proofErr w:type="spellEnd"/>
            <w:r>
              <w:rPr>
                <w:rFonts w:ascii="Calibri" w:hAnsi="Calibri"/>
                <w:b/>
                <w:bCs/>
                <w:color w:val="000000"/>
                <w:sz w:val="22"/>
                <w:szCs w:val="22"/>
              </w:rPr>
              <w:t xml:space="preserve"> </w:t>
            </w:r>
            <w:proofErr w:type="spellStart"/>
            <w:r w:rsidRPr="00E21BD8">
              <w:rPr>
                <w:rFonts w:ascii="Calibri" w:hAnsi="Calibri"/>
                <w:b/>
                <w:bCs/>
                <w:color w:val="000000"/>
                <w:sz w:val="22"/>
                <w:szCs w:val="22"/>
              </w:rPr>
              <w:t>javnog</w:t>
            </w:r>
            <w:proofErr w:type="spellEnd"/>
            <w:r>
              <w:rPr>
                <w:rFonts w:ascii="Calibri" w:hAnsi="Calibri"/>
                <w:b/>
                <w:bCs/>
                <w:color w:val="000000"/>
                <w:sz w:val="22"/>
                <w:szCs w:val="22"/>
              </w:rPr>
              <w:t xml:space="preserve"> </w:t>
            </w:r>
            <w:proofErr w:type="spellStart"/>
            <w:r w:rsidRPr="00E21BD8">
              <w:rPr>
                <w:rFonts w:ascii="Calibri" w:hAnsi="Calibri"/>
                <w:b/>
                <w:bCs/>
                <w:color w:val="000000"/>
                <w:sz w:val="22"/>
                <w:szCs w:val="22"/>
              </w:rPr>
              <w:t>duga</w:t>
            </w:r>
            <w:proofErr w:type="spellEnd"/>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Devizna</w:t>
            </w:r>
            <w:proofErr w:type="spellEnd"/>
            <w:r>
              <w:rPr>
                <w:rFonts w:ascii="Arial" w:hAnsi="Arial" w:cs="Arial"/>
                <w:sz w:val="20"/>
                <w:szCs w:val="20"/>
              </w:rPr>
              <w:t xml:space="preserve"> </w:t>
            </w:r>
            <w:proofErr w:type="spellStart"/>
            <w:r w:rsidRPr="00E21BD8">
              <w:rPr>
                <w:rFonts w:ascii="Arial" w:hAnsi="Arial" w:cs="Arial"/>
                <w:sz w:val="20"/>
                <w:szCs w:val="20"/>
              </w:rPr>
              <w:t>štednja</w:t>
            </w:r>
            <w:proofErr w:type="spellEnd"/>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Tahoma" w:hAnsi="Tahoma" w:cs="Tahoma"/>
                <w:sz w:val="20"/>
                <w:szCs w:val="20"/>
              </w:rPr>
            </w:pPr>
            <w:r w:rsidRPr="00E21BD8">
              <w:rPr>
                <w:rFonts w:ascii="Tahoma" w:hAnsi="Tahoma" w:cs="Tahoma"/>
                <w:sz w:val="20"/>
                <w:szCs w:val="20"/>
              </w:rPr>
              <w:t>55.68</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1.64</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14.61</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2.69</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Restitucija</w:t>
            </w:r>
            <w:proofErr w:type="spellEnd"/>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Tahoma" w:hAnsi="Tahoma" w:cs="Tahoma"/>
                <w:sz w:val="20"/>
                <w:szCs w:val="20"/>
              </w:rPr>
            </w:pPr>
            <w:r w:rsidRPr="00E21BD8">
              <w:rPr>
                <w:rFonts w:ascii="Tahoma" w:hAnsi="Tahoma" w:cs="Tahoma"/>
                <w:sz w:val="20"/>
                <w:szCs w:val="20"/>
              </w:rPr>
              <w:t>89.91</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2.65</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23.58</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4.34</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Krediti</w:t>
            </w:r>
            <w:proofErr w:type="spellEnd"/>
            <w:r>
              <w:rPr>
                <w:rFonts w:ascii="Arial" w:hAnsi="Arial" w:cs="Arial"/>
                <w:sz w:val="20"/>
                <w:szCs w:val="20"/>
              </w:rPr>
              <w:t xml:space="preserve"> </w:t>
            </w:r>
            <w:proofErr w:type="spellStart"/>
            <w:r w:rsidRPr="00E21BD8">
              <w:rPr>
                <w:rFonts w:ascii="Arial" w:hAnsi="Arial" w:cs="Arial"/>
                <w:sz w:val="20"/>
                <w:szCs w:val="20"/>
              </w:rPr>
              <w:t>kod</w:t>
            </w:r>
            <w:proofErr w:type="spellEnd"/>
            <w:r>
              <w:rPr>
                <w:rFonts w:ascii="Arial" w:hAnsi="Arial" w:cs="Arial"/>
                <w:sz w:val="20"/>
                <w:szCs w:val="20"/>
              </w:rPr>
              <w:t xml:space="preserve"> </w:t>
            </w:r>
            <w:proofErr w:type="spellStart"/>
            <w:r w:rsidRPr="00E21BD8">
              <w:rPr>
                <w:rFonts w:ascii="Arial" w:hAnsi="Arial" w:cs="Arial"/>
                <w:sz w:val="20"/>
                <w:szCs w:val="20"/>
              </w:rPr>
              <w:t>komercijalnih</w:t>
            </w:r>
            <w:proofErr w:type="spellEnd"/>
            <w:r>
              <w:rPr>
                <w:rFonts w:ascii="Arial" w:hAnsi="Arial" w:cs="Arial"/>
                <w:sz w:val="20"/>
                <w:szCs w:val="20"/>
              </w:rPr>
              <w:t xml:space="preserve"> </w:t>
            </w:r>
            <w:proofErr w:type="spellStart"/>
            <w:r w:rsidRPr="00E21BD8">
              <w:rPr>
                <w:rFonts w:ascii="Arial" w:hAnsi="Arial" w:cs="Arial"/>
                <w:sz w:val="20"/>
                <w:szCs w:val="20"/>
              </w:rPr>
              <w:t>banaka</w:t>
            </w:r>
            <w:proofErr w:type="spellEnd"/>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Tahoma" w:hAnsi="Tahoma" w:cs="Tahoma"/>
                <w:sz w:val="20"/>
                <w:szCs w:val="20"/>
              </w:rPr>
            </w:pPr>
            <w:r w:rsidRPr="00E21BD8">
              <w:rPr>
                <w:rFonts w:ascii="Tahoma" w:hAnsi="Tahoma" w:cs="Tahoma"/>
                <w:sz w:val="20"/>
                <w:szCs w:val="20"/>
              </w:rPr>
              <w:t>71.37</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2.10</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18.72</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3.44</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Krediti</w:t>
            </w:r>
            <w:proofErr w:type="spellEnd"/>
            <w:r>
              <w:rPr>
                <w:rFonts w:ascii="Arial" w:hAnsi="Arial" w:cs="Arial"/>
                <w:sz w:val="20"/>
                <w:szCs w:val="20"/>
              </w:rPr>
              <w:t xml:space="preserve"> </w:t>
            </w:r>
            <w:proofErr w:type="spellStart"/>
            <w:r w:rsidRPr="00E21BD8">
              <w:rPr>
                <w:rFonts w:ascii="Arial" w:hAnsi="Arial" w:cs="Arial"/>
                <w:sz w:val="20"/>
                <w:szCs w:val="20"/>
              </w:rPr>
              <w:t>kod</w:t>
            </w:r>
            <w:proofErr w:type="spellEnd"/>
            <w:r>
              <w:rPr>
                <w:rFonts w:ascii="Arial" w:hAnsi="Arial" w:cs="Arial"/>
                <w:sz w:val="20"/>
                <w:szCs w:val="20"/>
              </w:rPr>
              <w:t xml:space="preserve"> </w:t>
            </w:r>
            <w:proofErr w:type="spellStart"/>
            <w:r w:rsidRPr="00E21BD8">
              <w:rPr>
                <w:rFonts w:ascii="Arial" w:hAnsi="Arial" w:cs="Arial"/>
                <w:sz w:val="20"/>
                <w:szCs w:val="20"/>
              </w:rPr>
              <w:t>nefinansijskih</w:t>
            </w:r>
            <w:proofErr w:type="spellEnd"/>
            <w:r>
              <w:rPr>
                <w:rFonts w:ascii="Arial" w:hAnsi="Arial" w:cs="Arial"/>
                <w:sz w:val="20"/>
                <w:szCs w:val="20"/>
              </w:rPr>
              <w:t xml:space="preserve"> </w:t>
            </w:r>
            <w:proofErr w:type="spellStart"/>
            <w:r w:rsidRPr="00E21BD8">
              <w:rPr>
                <w:rFonts w:ascii="Arial" w:hAnsi="Arial" w:cs="Arial"/>
                <w:sz w:val="20"/>
                <w:szCs w:val="20"/>
              </w:rPr>
              <w:t>institucija</w:t>
            </w:r>
            <w:proofErr w:type="spellEnd"/>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Tahoma" w:hAnsi="Tahoma" w:cs="Tahoma"/>
                <w:sz w:val="20"/>
                <w:szCs w:val="20"/>
              </w:rPr>
            </w:pPr>
            <w:r w:rsidRPr="00E21BD8">
              <w:rPr>
                <w:rFonts w:ascii="Tahoma" w:hAnsi="Tahoma" w:cs="Tahoma"/>
                <w:sz w:val="20"/>
                <w:szCs w:val="20"/>
              </w:rPr>
              <w:t>6.66</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0.20</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1.75</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0.32</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Zaostale</w:t>
            </w:r>
            <w:proofErr w:type="spellEnd"/>
            <w:r>
              <w:rPr>
                <w:rFonts w:ascii="Arial" w:hAnsi="Arial" w:cs="Arial"/>
                <w:sz w:val="20"/>
                <w:szCs w:val="20"/>
              </w:rPr>
              <w:t xml:space="preserve"> </w:t>
            </w:r>
            <w:proofErr w:type="spellStart"/>
            <w:r w:rsidRPr="00E21BD8">
              <w:rPr>
                <w:rFonts w:ascii="Arial" w:hAnsi="Arial" w:cs="Arial"/>
                <w:sz w:val="20"/>
                <w:szCs w:val="20"/>
              </w:rPr>
              <w:t>penzije</w:t>
            </w:r>
            <w:proofErr w:type="spellEnd"/>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Tahoma" w:hAnsi="Tahoma" w:cs="Tahoma"/>
                <w:sz w:val="20"/>
                <w:szCs w:val="20"/>
              </w:rPr>
            </w:pPr>
            <w:r w:rsidRPr="00E21BD8">
              <w:rPr>
                <w:rFonts w:ascii="Tahoma" w:hAnsi="Tahoma" w:cs="Tahoma"/>
                <w:sz w:val="20"/>
                <w:szCs w:val="20"/>
              </w:rPr>
              <w:t>1.80</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0.05</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0.47</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0.09</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Državni</w:t>
            </w:r>
            <w:proofErr w:type="spellEnd"/>
            <w:r>
              <w:rPr>
                <w:rFonts w:ascii="Arial" w:hAnsi="Arial" w:cs="Arial"/>
                <w:sz w:val="20"/>
                <w:szCs w:val="20"/>
              </w:rPr>
              <w:t xml:space="preserve"> </w:t>
            </w:r>
            <w:proofErr w:type="spellStart"/>
            <w:r w:rsidRPr="00E21BD8">
              <w:rPr>
                <w:rFonts w:ascii="Arial" w:hAnsi="Arial" w:cs="Arial"/>
                <w:sz w:val="20"/>
                <w:szCs w:val="20"/>
              </w:rPr>
              <w:t>zapisi</w:t>
            </w:r>
            <w:proofErr w:type="spellEnd"/>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Tahoma" w:hAnsi="Tahoma" w:cs="Tahoma"/>
                <w:sz w:val="20"/>
                <w:szCs w:val="20"/>
              </w:rPr>
            </w:pPr>
            <w:r w:rsidRPr="00E21BD8">
              <w:rPr>
                <w:rFonts w:ascii="Tahoma" w:hAnsi="Tahoma" w:cs="Tahoma"/>
                <w:sz w:val="20"/>
                <w:szCs w:val="20"/>
              </w:rPr>
              <w:t>77.71</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2.29</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20.38</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3.75</w:t>
            </w:r>
          </w:p>
        </w:tc>
      </w:tr>
      <w:tr w:rsidR="00C921C3" w:rsidRPr="00E21BD8" w:rsidTr="00760A53">
        <w:trPr>
          <w:trHeight w:val="300"/>
        </w:trPr>
        <w:tc>
          <w:tcPr>
            <w:tcW w:w="2048" w:type="pct"/>
            <w:gridSpan w:val="3"/>
            <w:tcBorders>
              <w:top w:val="nil"/>
              <w:left w:val="single" w:sz="8" w:space="0" w:color="auto"/>
              <w:bottom w:val="nil"/>
              <w:right w:val="single" w:sz="4" w:space="0" w:color="auto"/>
            </w:tcBorders>
            <w:shd w:val="clear" w:color="auto" w:fill="auto"/>
            <w:noWrap/>
            <w:vAlign w:val="bottom"/>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lastRenderedPageBreak/>
              <w:t>Državne</w:t>
            </w:r>
            <w:proofErr w:type="spellEnd"/>
            <w:r>
              <w:rPr>
                <w:rFonts w:ascii="Calibri" w:hAnsi="Calibri"/>
                <w:color w:val="000000"/>
                <w:sz w:val="22"/>
                <w:szCs w:val="22"/>
              </w:rPr>
              <w:t xml:space="preserve"> </w:t>
            </w:r>
            <w:proofErr w:type="spellStart"/>
            <w:r w:rsidRPr="00E21BD8">
              <w:rPr>
                <w:rFonts w:ascii="Calibri" w:hAnsi="Calibri"/>
                <w:color w:val="000000"/>
                <w:sz w:val="22"/>
                <w:szCs w:val="22"/>
              </w:rPr>
              <w:t>obveznice</w:t>
            </w:r>
            <w:proofErr w:type="spellEnd"/>
            <w:r>
              <w:rPr>
                <w:rFonts w:ascii="Calibri" w:hAnsi="Calibri"/>
                <w:color w:val="000000"/>
                <w:sz w:val="22"/>
                <w:szCs w:val="22"/>
              </w:rPr>
              <w:t xml:space="preserve"> </w:t>
            </w:r>
            <w:proofErr w:type="spellStart"/>
            <w:r w:rsidRPr="00E21BD8">
              <w:rPr>
                <w:rFonts w:ascii="Calibri" w:hAnsi="Calibri"/>
                <w:color w:val="000000"/>
                <w:sz w:val="22"/>
                <w:szCs w:val="22"/>
              </w:rPr>
              <w:t>za</w:t>
            </w:r>
            <w:proofErr w:type="spellEnd"/>
            <w:r w:rsidRPr="00E21BD8">
              <w:rPr>
                <w:rFonts w:ascii="Calibri" w:hAnsi="Calibri"/>
                <w:color w:val="000000"/>
                <w:sz w:val="22"/>
                <w:szCs w:val="22"/>
              </w:rPr>
              <w:t xml:space="preserve"> Fond </w:t>
            </w:r>
            <w:proofErr w:type="spellStart"/>
            <w:r w:rsidRPr="00E21BD8">
              <w:rPr>
                <w:rFonts w:ascii="Calibri" w:hAnsi="Calibri"/>
                <w:color w:val="000000"/>
                <w:sz w:val="22"/>
                <w:szCs w:val="22"/>
              </w:rPr>
              <w:t>rada</w:t>
            </w:r>
            <w:proofErr w:type="spellEnd"/>
          </w:p>
        </w:tc>
        <w:tc>
          <w:tcPr>
            <w:tcW w:w="742" w:type="pct"/>
            <w:tcBorders>
              <w:top w:val="nil"/>
              <w:left w:val="nil"/>
              <w:bottom w:val="nil"/>
              <w:right w:val="single" w:sz="4" w:space="0" w:color="auto"/>
            </w:tcBorders>
            <w:shd w:val="clear" w:color="auto" w:fill="auto"/>
            <w:noWrap/>
            <w:vAlign w:val="bottom"/>
            <w:hideMark/>
          </w:tcPr>
          <w:p w:rsidR="00C921C3" w:rsidRPr="00E21BD8" w:rsidRDefault="00C921C3" w:rsidP="00760A53">
            <w:pPr>
              <w:jc w:val="right"/>
              <w:rPr>
                <w:rFonts w:ascii="Tahoma" w:hAnsi="Tahoma" w:cs="Tahoma"/>
                <w:sz w:val="20"/>
                <w:szCs w:val="20"/>
              </w:rPr>
            </w:pPr>
            <w:r w:rsidRPr="00E21BD8">
              <w:rPr>
                <w:rFonts w:ascii="Tahoma" w:hAnsi="Tahoma" w:cs="Tahoma"/>
                <w:sz w:val="20"/>
                <w:szCs w:val="20"/>
              </w:rPr>
              <w:t>3.84</w:t>
            </w:r>
          </w:p>
        </w:tc>
        <w:tc>
          <w:tcPr>
            <w:tcW w:w="574" w:type="pct"/>
            <w:gridSpan w:val="2"/>
            <w:tcBorders>
              <w:top w:val="nil"/>
              <w:left w:val="nil"/>
              <w:bottom w:val="nil"/>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0.11</w:t>
            </w:r>
          </w:p>
        </w:tc>
        <w:tc>
          <w:tcPr>
            <w:tcW w:w="655" w:type="pct"/>
            <w:tcBorders>
              <w:top w:val="nil"/>
              <w:left w:val="nil"/>
              <w:bottom w:val="nil"/>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1.01</w:t>
            </w:r>
          </w:p>
        </w:tc>
        <w:tc>
          <w:tcPr>
            <w:tcW w:w="981" w:type="pct"/>
            <w:tcBorders>
              <w:top w:val="nil"/>
              <w:left w:val="nil"/>
              <w:bottom w:val="nil"/>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0.19</w:t>
            </w:r>
          </w:p>
        </w:tc>
      </w:tr>
      <w:tr w:rsidR="00C921C3" w:rsidRPr="00E21BD8" w:rsidTr="00760A53">
        <w:trPr>
          <w:trHeight w:val="300"/>
        </w:trPr>
        <w:tc>
          <w:tcPr>
            <w:tcW w:w="2048"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rPr>
                <w:rFonts w:ascii="Arial" w:hAnsi="Arial" w:cs="Arial"/>
                <w:sz w:val="20"/>
                <w:szCs w:val="20"/>
              </w:rPr>
            </w:pPr>
            <w:proofErr w:type="spellStart"/>
            <w:r w:rsidRPr="00E21BD8">
              <w:rPr>
                <w:rFonts w:ascii="Arial" w:hAnsi="Arial" w:cs="Arial"/>
                <w:sz w:val="20"/>
                <w:szCs w:val="20"/>
              </w:rPr>
              <w:t>Domaće</w:t>
            </w:r>
            <w:proofErr w:type="spellEnd"/>
            <w:r>
              <w:rPr>
                <w:rFonts w:ascii="Arial" w:hAnsi="Arial" w:cs="Arial"/>
                <w:sz w:val="20"/>
                <w:szCs w:val="20"/>
              </w:rPr>
              <w:t xml:space="preserve"> </w:t>
            </w:r>
            <w:proofErr w:type="spellStart"/>
            <w:r w:rsidRPr="00E21BD8">
              <w:rPr>
                <w:rFonts w:ascii="Arial" w:hAnsi="Arial" w:cs="Arial"/>
                <w:sz w:val="20"/>
                <w:szCs w:val="20"/>
              </w:rPr>
              <w:t>obveznice</w:t>
            </w:r>
            <w:proofErr w:type="spellEnd"/>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Tahoma" w:hAnsi="Tahoma" w:cs="Tahoma"/>
                <w:sz w:val="20"/>
                <w:szCs w:val="20"/>
              </w:rPr>
            </w:pPr>
            <w:r w:rsidRPr="00E21BD8">
              <w:rPr>
                <w:rFonts w:ascii="Tahoma" w:hAnsi="Tahoma" w:cs="Tahoma"/>
                <w:sz w:val="20"/>
                <w:szCs w:val="20"/>
              </w:rPr>
              <w:t>38.20</w:t>
            </w:r>
          </w:p>
        </w:tc>
        <w:tc>
          <w:tcPr>
            <w:tcW w:w="574" w:type="pct"/>
            <w:gridSpan w:val="2"/>
            <w:tcBorders>
              <w:top w:val="single" w:sz="4" w:space="0" w:color="auto"/>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1.13</w:t>
            </w: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10.02</w:t>
            </w:r>
          </w:p>
        </w:tc>
        <w:tc>
          <w:tcPr>
            <w:tcW w:w="981" w:type="pct"/>
            <w:tcBorders>
              <w:top w:val="single" w:sz="4" w:space="0" w:color="auto"/>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1.84</w:t>
            </w:r>
          </w:p>
        </w:tc>
      </w:tr>
      <w:tr w:rsidR="00C921C3" w:rsidRPr="00E21BD8" w:rsidTr="00760A53">
        <w:trPr>
          <w:trHeight w:val="315"/>
        </w:trPr>
        <w:tc>
          <w:tcPr>
            <w:tcW w:w="2048" w:type="pct"/>
            <w:gridSpan w:val="3"/>
            <w:tcBorders>
              <w:top w:val="nil"/>
              <w:left w:val="single" w:sz="8" w:space="0" w:color="auto"/>
              <w:bottom w:val="nil"/>
              <w:right w:val="single" w:sz="4" w:space="0" w:color="auto"/>
            </w:tcBorders>
            <w:shd w:val="clear" w:color="auto" w:fill="auto"/>
            <w:noWrap/>
            <w:vAlign w:val="bottom"/>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Pravna</w:t>
            </w:r>
            <w:proofErr w:type="spellEnd"/>
            <w:r>
              <w:rPr>
                <w:rFonts w:ascii="Calibri" w:hAnsi="Calibri"/>
                <w:color w:val="000000"/>
                <w:sz w:val="22"/>
                <w:szCs w:val="22"/>
              </w:rPr>
              <w:t xml:space="preserve"> </w:t>
            </w:r>
            <w:proofErr w:type="spellStart"/>
            <w:r w:rsidRPr="00E21BD8">
              <w:rPr>
                <w:rFonts w:ascii="Calibri" w:hAnsi="Calibri"/>
                <w:color w:val="000000"/>
                <w:sz w:val="22"/>
                <w:szCs w:val="22"/>
              </w:rPr>
              <w:t>lica</w:t>
            </w:r>
            <w:proofErr w:type="spellEnd"/>
            <w:r w:rsidRPr="00E21BD8">
              <w:rPr>
                <w:rFonts w:ascii="Calibri" w:hAnsi="Calibri"/>
                <w:color w:val="000000"/>
                <w:sz w:val="22"/>
                <w:szCs w:val="22"/>
              </w:rPr>
              <w:t xml:space="preserve"> i </w:t>
            </w:r>
            <w:proofErr w:type="spellStart"/>
            <w:r w:rsidRPr="00E21BD8">
              <w:rPr>
                <w:rFonts w:ascii="Calibri" w:hAnsi="Calibri"/>
                <w:color w:val="000000"/>
                <w:sz w:val="22"/>
                <w:szCs w:val="22"/>
              </w:rPr>
              <w:t>privredna</w:t>
            </w:r>
            <w:proofErr w:type="spellEnd"/>
            <w:r>
              <w:rPr>
                <w:rFonts w:ascii="Calibri" w:hAnsi="Calibri"/>
                <w:color w:val="000000"/>
                <w:sz w:val="22"/>
                <w:szCs w:val="22"/>
              </w:rPr>
              <w:t xml:space="preserve"> </w:t>
            </w:r>
            <w:proofErr w:type="spellStart"/>
            <w:r w:rsidRPr="00E21BD8">
              <w:rPr>
                <w:rFonts w:ascii="Calibri" w:hAnsi="Calibri"/>
                <w:color w:val="000000"/>
                <w:sz w:val="22"/>
                <w:szCs w:val="22"/>
              </w:rPr>
              <w:t>drustva</w:t>
            </w:r>
            <w:proofErr w:type="spellEnd"/>
          </w:p>
        </w:tc>
        <w:tc>
          <w:tcPr>
            <w:tcW w:w="742" w:type="pct"/>
            <w:tcBorders>
              <w:top w:val="nil"/>
              <w:left w:val="nil"/>
              <w:bottom w:val="nil"/>
              <w:right w:val="single" w:sz="4" w:space="0" w:color="auto"/>
            </w:tcBorders>
            <w:shd w:val="clear" w:color="auto" w:fill="auto"/>
            <w:noWrap/>
            <w:vAlign w:val="bottom"/>
            <w:hideMark/>
          </w:tcPr>
          <w:p w:rsidR="00C921C3" w:rsidRPr="00E21BD8" w:rsidRDefault="00C921C3" w:rsidP="00760A53">
            <w:pPr>
              <w:jc w:val="right"/>
              <w:rPr>
                <w:rFonts w:ascii="Tahoma" w:hAnsi="Tahoma" w:cs="Tahoma"/>
                <w:sz w:val="20"/>
                <w:szCs w:val="20"/>
              </w:rPr>
            </w:pPr>
            <w:r w:rsidRPr="00E21BD8">
              <w:rPr>
                <w:rFonts w:ascii="Tahoma" w:hAnsi="Tahoma" w:cs="Tahoma"/>
                <w:sz w:val="20"/>
                <w:szCs w:val="20"/>
              </w:rPr>
              <w:t>36.05</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1.06</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9.46</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sidRPr="00E21BD8">
              <w:rPr>
                <w:rFonts w:ascii="Calibri" w:hAnsi="Calibri"/>
                <w:color w:val="000000"/>
                <w:sz w:val="22"/>
                <w:szCs w:val="22"/>
              </w:rPr>
              <w:t>1.86</w:t>
            </w:r>
          </w:p>
        </w:tc>
      </w:tr>
      <w:tr w:rsidR="00C921C3" w:rsidRPr="00E21BD8" w:rsidTr="00760A53">
        <w:trPr>
          <w:trHeight w:val="330"/>
        </w:trPr>
        <w:tc>
          <w:tcPr>
            <w:tcW w:w="2048" w:type="pct"/>
            <w:gridSpan w:val="3"/>
            <w:tcBorders>
              <w:top w:val="double" w:sz="6" w:space="0" w:color="auto"/>
              <w:left w:val="single" w:sz="8" w:space="0" w:color="auto"/>
              <w:bottom w:val="double" w:sz="6" w:space="0" w:color="auto"/>
              <w:right w:val="single" w:sz="4" w:space="0" w:color="auto"/>
            </w:tcBorders>
            <w:shd w:val="clear" w:color="auto" w:fill="auto"/>
            <w:noWrap/>
            <w:vAlign w:val="bottom"/>
            <w:hideMark/>
          </w:tcPr>
          <w:p w:rsidR="00C921C3" w:rsidRPr="00E21BD8" w:rsidRDefault="00C921C3" w:rsidP="00760A53">
            <w:pPr>
              <w:rPr>
                <w:rFonts w:ascii="Calibri" w:hAnsi="Calibri"/>
                <w:b/>
                <w:bCs/>
                <w:color w:val="000000"/>
                <w:sz w:val="22"/>
                <w:szCs w:val="22"/>
              </w:rPr>
            </w:pPr>
            <w:proofErr w:type="spellStart"/>
            <w:r w:rsidRPr="00E21BD8">
              <w:rPr>
                <w:rFonts w:ascii="Calibri" w:hAnsi="Calibri"/>
                <w:b/>
                <w:bCs/>
                <w:color w:val="000000"/>
                <w:sz w:val="22"/>
                <w:szCs w:val="22"/>
              </w:rPr>
              <w:t>Ukupno</w:t>
            </w:r>
            <w:proofErr w:type="spellEnd"/>
            <w:r>
              <w:rPr>
                <w:rFonts w:ascii="Calibri" w:hAnsi="Calibri"/>
                <w:b/>
                <w:bCs/>
                <w:color w:val="000000"/>
                <w:sz w:val="22"/>
                <w:szCs w:val="22"/>
              </w:rPr>
              <w:t xml:space="preserve"> </w:t>
            </w:r>
            <w:proofErr w:type="spellStart"/>
            <w:r w:rsidRPr="00E21BD8">
              <w:rPr>
                <w:rFonts w:ascii="Calibri" w:hAnsi="Calibri"/>
                <w:b/>
                <w:bCs/>
                <w:color w:val="000000"/>
                <w:sz w:val="22"/>
                <w:szCs w:val="22"/>
              </w:rPr>
              <w:t>domaći</w:t>
            </w:r>
            <w:proofErr w:type="spellEnd"/>
            <w:r w:rsidRPr="00E21BD8">
              <w:rPr>
                <w:rFonts w:ascii="Calibri" w:hAnsi="Calibri"/>
                <w:b/>
                <w:bCs/>
                <w:color w:val="000000"/>
                <w:sz w:val="22"/>
                <w:szCs w:val="22"/>
              </w:rPr>
              <w:t xml:space="preserve"> dug</w:t>
            </w:r>
          </w:p>
        </w:tc>
        <w:tc>
          <w:tcPr>
            <w:tcW w:w="742" w:type="pct"/>
            <w:tcBorders>
              <w:top w:val="double" w:sz="6" w:space="0" w:color="auto"/>
              <w:left w:val="nil"/>
              <w:bottom w:val="double" w:sz="6"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b/>
                <w:bCs/>
                <w:color w:val="000000"/>
                <w:sz w:val="22"/>
                <w:szCs w:val="22"/>
              </w:rPr>
            </w:pPr>
            <w:r w:rsidRPr="00E21BD8">
              <w:rPr>
                <w:rFonts w:ascii="Calibri" w:hAnsi="Calibri"/>
                <w:b/>
                <w:bCs/>
                <w:color w:val="000000"/>
                <w:sz w:val="22"/>
                <w:szCs w:val="22"/>
              </w:rPr>
              <w:t>381.22</w:t>
            </w:r>
          </w:p>
        </w:tc>
        <w:tc>
          <w:tcPr>
            <w:tcW w:w="574" w:type="pct"/>
            <w:gridSpan w:val="2"/>
            <w:tcBorders>
              <w:top w:val="double" w:sz="6" w:space="0" w:color="auto"/>
              <w:left w:val="nil"/>
              <w:bottom w:val="double" w:sz="6"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b/>
                <w:bCs/>
                <w:color w:val="000000"/>
                <w:sz w:val="22"/>
                <w:szCs w:val="22"/>
              </w:rPr>
            </w:pPr>
            <w:r w:rsidRPr="00E21BD8">
              <w:rPr>
                <w:rFonts w:ascii="Calibri" w:hAnsi="Calibri"/>
                <w:b/>
                <w:bCs/>
                <w:color w:val="000000"/>
                <w:sz w:val="22"/>
                <w:szCs w:val="22"/>
              </w:rPr>
              <w:t>11.2</w:t>
            </w:r>
            <w:r>
              <w:rPr>
                <w:rFonts w:ascii="Calibri" w:hAnsi="Calibri"/>
                <w:b/>
                <w:bCs/>
                <w:color w:val="000000"/>
                <w:sz w:val="22"/>
                <w:szCs w:val="22"/>
              </w:rPr>
              <w:t>3</w:t>
            </w:r>
          </w:p>
        </w:tc>
        <w:tc>
          <w:tcPr>
            <w:tcW w:w="655" w:type="pct"/>
            <w:tcBorders>
              <w:top w:val="double" w:sz="6" w:space="0" w:color="auto"/>
              <w:left w:val="nil"/>
              <w:bottom w:val="double" w:sz="6"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b/>
                <w:bCs/>
                <w:color w:val="000000"/>
                <w:sz w:val="22"/>
                <w:szCs w:val="22"/>
              </w:rPr>
            </w:pPr>
            <w:r w:rsidRPr="00E21BD8">
              <w:rPr>
                <w:rFonts w:ascii="Calibri" w:hAnsi="Calibri"/>
                <w:b/>
                <w:bCs/>
                <w:color w:val="000000"/>
                <w:sz w:val="22"/>
                <w:szCs w:val="22"/>
              </w:rPr>
              <w:t>100.00</w:t>
            </w:r>
          </w:p>
        </w:tc>
        <w:tc>
          <w:tcPr>
            <w:tcW w:w="981" w:type="pct"/>
            <w:tcBorders>
              <w:top w:val="double" w:sz="6" w:space="0" w:color="auto"/>
              <w:left w:val="nil"/>
              <w:bottom w:val="double" w:sz="6"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b/>
                <w:bCs/>
                <w:color w:val="000000"/>
                <w:sz w:val="22"/>
                <w:szCs w:val="22"/>
              </w:rPr>
            </w:pPr>
            <w:r>
              <w:rPr>
                <w:rFonts w:ascii="Calibri" w:hAnsi="Calibri"/>
                <w:b/>
                <w:bCs/>
                <w:color w:val="000000"/>
                <w:sz w:val="22"/>
                <w:szCs w:val="22"/>
              </w:rPr>
              <w:t>18.40</w:t>
            </w:r>
          </w:p>
        </w:tc>
      </w:tr>
      <w:tr w:rsidR="00C921C3" w:rsidRPr="00E21BD8" w:rsidTr="00760A53">
        <w:trPr>
          <w:trHeight w:val="330"/>
        </w:trPr>
        <w:tc>
          <w:tcPr>
            <w:tcW w:w="2048" w:type="pct"/>
            <w:gridSpan w:val="3"/>
            <w:tcBorders>
              <w:top w:val="nil"/>
              <w:left w:val="single" w:sz="8" w:space="0" w:color="auto"/>
              <w:bottom w:val="double" w:sz="6" w:space="0" w:color="auto"/>
              <w:right w:val="single" w:sz="4" w:space="0" w:color="auto"/>
            </w:tcBorders>
            <w:shd w:val="clear" w:color="auto" w:fill="auto"/>
            <w:noWrap/>
            <w:vAlign w:val="bottom"/>
            <w:hideMark/>
          </w:tcPr>
          <w:p w:rsidR="00C921C3" w:rsidRPr="00E21BD8" w:rsidRDefault="00C921C3" w:rsidP="00760A53">
            <w:pPr>
              <w:rPr>
                <w:rFonts w:ascii="Calibri" w:hAnsi="Calibri"/>
                <w:b/>
                <w:bCs/>
                <w:color w:val="000000"/>
                <w:sz w:val="22"/>
                <w:szCs w:val="22"/>
              </w:rPr>
            </w:pPr>
            <w:r w:rsidRPr="00E21BD8">
              <w:rPr>
                <w:rFonts w:ascii="Calibri" w:hAnsi="Calibri"/>
                <w:b/>
                <w:bCs/>
                <w:color w:val="000000"/>
                <w:sz w:val="22"/>
                <w:szCs w:val="22"/>
              </w:rPr>
              <w:t> </w:t>
            </w:r>
          </w:p>
        </w:tc>
        <w:tc>
          <w:tcPr>
            <w:tcW w:w="742" w:type="pct"/>
            <w:tcBorders>
              <w:top w:val="nil"/>
              <w:left w:val="nil"/>
              <w:bottom w:val="double" w:sz="6"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b/>
                <w:bCs/>
                <w:color w:val="000000"/>
                <w:sz w:val="22"/>
                <w:szCs w:val="22"/>
              </w:rPr>
            </w:pPr>
            <w:r w:rsidRPr="00E21BD8">
              <w:rPr>
                <w:rFonts w:ascii="Calibri" w:hAnsi="Calibri"/>
                <w:b/>
                <w:bCs/>
                <w:color w:val="000000"/>
                <w:sz w:val="22"/>
                <w:szCs w:val="22"/>
              </w:rPr>
              <w:t> </w:t>
            </w:r>
          </w:p>
        </w:tc>
        <w:tc>
          <w:tcPr>
            <w:tcW w:w="574" w:type="pct"/>
            <w:gridSpan w:val="2"/>
            <w:tcBorders>
              <w:top w:val="nil"/>
              <w:left w:val="nil"/>
              <w:bottom w:val="double" w:sz="6" w:space="0" w:color="auto"/>
              <w:right w:val="single" w:sz="4" w:space="0" w:color="auto"/>
            </w:tcBorders>
            <w:shd w:val="clear" w:color="auto" w:fill="auto"/>
            <w:noWrap/>
            <w:vAlign w:val="bottom"/>
            <w:hideMark/>
          </w:tcPr>
          <w:p w:rsidR="00C921C3" w:rsidRPr="00E21BD8" w:rsidRDefault="00C921C3" w:rsidP="00760A53">
            <w:pPr>
              <w:rPr>
                <w:rFonts w:ascii="Calibri" w:hAnsi="Calibri"/>
                <w:b/>
                <w:bCs/>
                <w:color w:val="000000"/>
                <w:sz w:val="22"/>
                <w:szCs w:val="22"/>
              </w:rPr>
            </w:pPr>
            <w:r w:rsidRPr="00E21BD8">
              <w:rPr>
                <w:rFonts w:ascii="Calibri" w:hAnsi="Calibri"/>
                <w:b/>
                <w:bCs/>
                <w:color w:val="000000"/>
                <w:sz w:val="22"/>
                <w:szCs w:val="22"/>
              </w:rPr>
              <w:t> </w:t>
            </w:r>
          </w:p>
        </w:tc>
        <w:tc>
          <w:tcPr>
            <w:tcW w:w="655" w:type="pct"/>
            <w:tcBorders>
              <w:top w:val="nil"/>
              <w:left w:val="nil"/>
              <w:bottom w:val="double" w:sz="6" w:space="0" w:color="auto"/>
              <w:right w:val="single" w:sz="4" w:space="0" w:color="auto"/>
            </w:tcBorders>
            <w:shd w:val="clear" w:color="auto" w:fill="auto"/>
            <w:noWrap/>
            <w:vAlign w:val="bottom"/>
            <w:hideMark/>
          </w:tcPr>
          <w:p w:rsidR="00C921C3" w:rsidRPr="00E21BD8" w:rsidRDefault="00C921C3" w:rsidP="00760A53">
            <w:pPr>
              <w:rPr>
                <w:rFonts w:ascii="Calibri" w:hAnsi="Calibri"/>
                <w:b/>
                <w:bCs/>
                <w:color w:val="000000"/>
                <w:sz w:val="22"/>
                <w:szCs w:val="22"/>
              </w:rPr>
            </w:pPr>
            <w:r w:rsidRPr="00E21BD8">
              <w:rPr>
                <w:rFonts w:ascii="Calibri" w:hAnsi="Calibri"/>
                <w:b/>
                <w:bCs/>
                <w:color w:val="000000"/>
                <w:sz w:val="22"/>
                <w:szCs w:val="22"/>
              </w:rPr>
              <w:t> </w:t>
            </w:r>
          </w:p>
        </w:tc>
        <w:tc>
          <w:tcPr>
            <w:tcW w:w="981" w:type="pct"/>
            <w:tcBorders>
              <w:top w:val="nil"/>
              <w:left w:val="nil"/>
              <w:bottom w:val="double" w:sz="6" w:space="0" w:color="auto"/>
              <w:right w:val="single" w:sz="8" w:space="0" w:color="auto"/>
            </w:tcBorders>
            <w:shd w:val="clear" w:color="auto" w:fill="auto"/>
            <w:noWrap/>
            <w:vAlign w:val="bottom"/>
            <w:hideMark/>
          </w:tcPr>
          <w:p w:rsidR="00C921C3" w:rsidRPr="00E21BD8" w:rsidRDefault="00C921C3" w:rsidP="00760A53">
            <w:pPr>
              <w:rPr>
                <w:rFonts w:ascii="Calibri" w:hAnsi="Calibri"/>
                <w:b/>
                <w:bCs/>
                <w:color w:val="000000"/>
                <w:sz w:val="22"/>
                <w:szCs w:val="22"/>
              </w:rPr>
            </w:pPr>
            <w:r w:rsidRPr="00E21BD8">
              <w:rPr>
                <w:rFonts w:ascii="Calibri" w:hAnsi="Calibri"/>
                <w:b/>
                <w:bCs/>
                <w:color w:val="000000"/>
                <w:sz w:val="22"/>
                <w:szCs w:val="22"/>
              </w:rPr>
              <w:t> </w:t>
            </w:r>
          </w:p>
        </w:tc>
      </w:tr>
      <w:tr w:rsidR="00C921C3" w:rsidRPr="00E21BD8" w:rsidTr="00760A53">
        <w:trPr>
          <w:trHeight w:val="345"/>
        </w:trPr>
        <w:tc>
          <w:tcPr>
            <w:tcW w:w="2048" w:type="pct"/>
            <w:gridSpan w:val="3"/>
            <w:tcBorders>
              <w:top w:val="nil"/>
              <w:left w:val="single" w:sz="8" w:space="0" w:color="auto"/>
              <w:bottom w:val="single" w:sz="8" w:space="0" w:color="auto"/>
              <w:right w:val="single" w:sz="4" w:space="0" w:color="auto"/>
            </w:tcBorders>
            <w:shd w:val="clear" w:color="auto" w:fill="auto"/>
            <w:noWrap/>
            <w:vAlign w:val="bottom"/>
            <w:hideMark/>
          </w:tcPr>
          <w:p w:rsidR="00C921C3" w:rsidRPr="00E21BD8" w:rsidRDefault="00C921C3" w:rsidP="00760A53">
            <w:pPr>
              <w:rPr>
                <w:rFonts w:ascii="Arial" w:hAnsi="Arial" w:cs="Arial"/>
                <w:b/>
                <w:bCs/>
                <w:color w:val="000000"/>
              </w:rPr>
            </w:pPr>
            <w:proofErr w:type="spellStart"/>
            <w:r w:rsidRPr="00E21BD8">
              <w:rPr>
                <w:rFonts w:ascii="Arial" w:hAnsi="Arial" w:cs="Arial"/>
                <w:b/>
                <w:bCs/>
                <w:color w:val="000000"/>
              </w:rPr>
              <w:t>Ukupno</w:t>
            </w:r>
            <w:proofErr w:type="spellEnd"/>
            <w:r>
              <w:rPr>
                <w:rFonts w:ascii="Arial" w:hAnsi="Arial" w:cs="Arial"/>
                <w:b/>
                <w:bCs/>
                <w:color w:val="000000"/>
              </w:rPr>
              <w:t xml:space="preserve"> </w:t>
            </w:r>
            <w:proofErr w:type="spellStart"/>
            <w:r w:rsidRPr="00E21BD8">
              <w:rPr>
                <w:rFonts w:ascii="Arial" w:hAnsi="Arial" w:cs="Arial"/>
                <w:b/>
                <w:bCs/>
                <w:color w:val="000000"/>
              </w:rPr>
              <w:t>državni</w:t>
            </w:r>
            <w:proofErr w:type="spellEnd"/>
            <w:r w:rsidRPr="00E21BD8">
              <w:rPr>
                <w:rFonts w:ascii="Arial" w:hAnsi="Arial" w:cs="Arial"/>
                <w:b/>
                <w:bCs/>
                <w:color w:val="000000"/>
              </w:rPr>
              <w:t xml:space="preserve"> dug</w:t>
            </w:r>
          </w:p>
        </w:tc>
        <w:tc>
          <w:tcPr>
            <w:tcW w:w="742" w:type="pct"/>
            <w:tcBorders>
              <w:top w:val="nil"/>
              <w:left w:val="nil"/>
              <w:bottom w:val="single" w:sz="8"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b/>
                <w:bCs/>
                <w:color w:val="000000"/>
                <w:sz w:val="22"/>
                <w:szCs w:val="22"/>
              </w:rPr>
            </w:pPr>
            <w:r w:rsidRPr="00E21BD8">
              <w:rPr>
                <w:rFonts w:ascii="Calibri" w:hAnsi="Calibri"/>
                <w:b/>
                <w:bCs/>
                <w:color w:val="000000"/>
                <w:sz w:val="22"/>
                <w:szCs w:val="22"/>
              </w:rPr>
              <w:t>1,942.91</w:t>
            </w:r>
          </w:p>
        </w:tc>
        <w:tc>
          <w:tcPr>
            <w:tcW w:w="574" w:type="pct"/>
            <w:gridSpan w:val="2"/>
            <w:tcBorders>
              <w:top w:val="nil"/>
              <w:left w:val="nil"/>
              <w:bottom w:val="single" w:sz="8"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b/>
                <w:bCs/>
                <w:color w:val="000000"/>
                <w:sz w:val="22"/>
                <w:szCs w:val="22"/>
              </w:rPr>
            </w:pPr>
            <w:r w:rsidRPr="00E21BD8">
              <w:rPr>
                <w:rFonts w:ascii="Calibri" w:hAnsi="Calibri"/>
                <w:b/>
                <w:bCs/>
                <w:color w:val="000000"/>
                <w:sz w:val="22"/>
                <w:szCs w:val="22"/>
              </w:rPr>
              <w:t>57.2</w:t>
            </w:r>
            <w:r>
              <w:rPr>
                <w:rFonts w:ascii="Calibri" w:hAnsi="Calibri"/>
                <w:b/>
                <w:bCs/>
                <w:color w:val="000000"/>
                <w:sz w:val="22"/>
                <w:szCs w:val="22"/>
              </w:rPr>
              <w:t>5</w:t>
            </w:r>
          </w:p>
        </w:tc>
        <w:tc>
          <w:tcPr>
            <w:tcW w:w="655" w:type="pct"/>
            <w:tcBorders>
              <w:top w:val="nil"/>
              <w:left w:val="nil"/>
              <w:bottom w:val="single" w:sz="8" w:space="0" w:color="auto"/>
              <w:right w:val="single" w:sz="4" w:space="0" w:color="auto"/>
            </w:tcBorders>
            <w:shd w:val="clear" w:color="auto" w:fill="auto"/>
            <w:noWrap/>
            <w:vAlign w:val="bottom"/>
            <w:hideMark/>
          </w:tcPr>
          <w:p w:rsidR="00C921C3" w:rsidRPr="00E21BD8" w:rsidRDefault="00C921C3" w:rsidP="00760A53">
            <w:pPr>
              <w:rPr>
                <w:rFonts w:ascii="Calibri" w:hAnsi="Calibri"/>
                <w:b/>
                <w:bCs/>
                <w:color w:val="000000"/>
                <w:sz w:val="22"/>
                <w:szCs w:val="22"/>
              </w:rPr>
            </w:pPr>
            <w:r w:rsidRPr="00E21BD8">
              <w:rPr>
                <w:rFonts w:ascii="Calibri" w:hAnsi="Calibri"/>
                <w:b/>
                <w:bCs/>
                <w:color w:val="000000"/>
                <w:sz w:val="22"/>
                <w:szCs w:val="22"/>
              </w:rPr>
              <w:t> </w:t>
            </w:r>
          </w:p>
        </w:tc>
        <w:tc>
          <w:tcPr>
            <w:tcW w:w="981" w:type="pct"/>
            <w:tcBorders>
              <w:top w:val="nil"/>
              <w:left w:val="nil"/>
              <w:bottom w:val="single" w:sz="8" w:space="0" w:color="auto"/>
              <w:right w:val="single" w:sz="8" w:space="0" w:color="auto"/>
            </w:tcBorders>
            <w:shd w:val="clear" w:color="auto" w:fill="auto"/>
            <w:noWrap/>
            <w:vAlign w:val="bottom"/>
            <w:hideMark/>
          </w:tcPr>
          <w:p w:rsidR="00C921C3" w:rsidRPr="00E21BD8" w:rsidRDefault="00C921C3" w:rsidP="00760A53">
            <w:pPr>
              <w:jc w:val="right"/>
              <w:rPr>
                <w:rFonts w:ascii="Calibri" w:hAnsi="Calibri"/>
                <w:b/>
                <w:bCs/>
                <w:color w:val="000000"/>
                <w:sz w:val="22"/>
                <w:szCs w:val="22"/>
              </w:rPr>
            </w:pPr>
            <w:r>
              <w:rPr>
                <w:rFonts w:ascii="Calibri" w:hAnsi="Calibri"/>
                <w:b/>
                <w:bCs/>
                <w:color w:val="000000"/>
                <w:sz w:val="22"/>
                <w:szCs w:val="22"/>
              </w:rPr>
              <w:t>93.78</w:t>
            </w:r>
          </w:p>
        </w:tc>
      </w:tr>
      <w:tr w:rsidR="00C921C3" w:rsidRPr="00E21BD8" w:rsidTr="00760A53">
        <w:trPr>
          <w:trHeight w:val="300"/>
        </w:trPr>
        <w:tc>
          <w:tcPr>
            <w:tcW w:w="2048" w:type="pct"/>
            <w:gridSpan w:val="3"/>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c>
          <w:tcPr>
            <w:tcW w:w="742" w:type="pct"/>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c>
          <w:tcPr>
            <w:tcW w:w="574" w:type="pct"/>
            <w:gridSpan w:val="2"/>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c>
          <w:tcPr>
            <w:tcW w:w="655" w:type="pct"/>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c>
          <w:tcPr>
            <w:tcW w:w="981" w:type="pct"/>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r>
      <w:tr w:rsidR="00C921C3" w:rsidRPr="00E21BD8" w:rsidTr="00760A53">
        <w:trPr>
          <w:trHeight w:val="315"/>
        </w:trPr>
        <w:tc>
          <w:tcPr>
            <w:tcW w:w="2048" w:type="pct"/>
            <w:gridSpan w:val="3"/>
            <w:tcBorders>
              <w:top w:val="nil"/>
              <w:left w:val="nil"/>
              <w:bottom w:val="nil"/>
              <w:right w:val="nil"/>
            </w:tcBorders>
            <w:shd w:val="clear" w:color="auto" w:fill="auto"/>
            <w:noWrap/>
            <w:vAlign w:val="bottom"/>
            <w:hideMark/>
          </w:tcPr>
          <w:p w:rsidR="00C921C3" w:rsidRPr="00E21BD8" w:rsidRDefault="00C921C3" w:rsidP="00760A53">
            <w:pPr>
              <w:rPr>
                <w:rFonts w:ascii="Calibri" w:hAnsi="Calibri"/>
                <w:b/>
                <w:bCs/>
                <w:color w:val="000000"/>
                <w:sz w:val="22"/>
                <w:szCs w:val="22"/>
              </w:rPr>
            </w:pPr>
            <w:proofErr w:type="spellStart"/>
            <w:r w:rsidRPr="00E21BD8">
              <w:rPr>
                <w:rFonts w:ascii="Calibri" w:hAnsi="Calibri"/>
                <w:b/>
                <w:bCs/>
                <w:color w:val="000000"/>
                <w:sz w:val="22"/>
                <w:szCs w:val="22"/>
              </w:rPr>
              <w:t>Stanje</w:t>
            </w:r>
            <w:proofErr w:type="spellEnd"/>
            <w:r>
              <w:rPr>
                <w:rFonts w:ascii="Calibri" w:hAnsi="Calibri"/>
                <w:b/>
                <w:bCs/>
                <w:color w:val="000000"/>
                <w:sz w:val="22"/>
                <w:szCs w:val="22"/>
              </w:rPr>
              <w:t xml:space="preserve"> </w:t>
            </w:r>
            <w:proofErr w:type="spellStart"/>
            <w:r w:rsidRPr="00E21BD8">
              <w:rPr>
                <w:rFonts w:ascii="Calibri" w:hAnsi="Calibri"/>
                <w:b/>
                <w:bCs/>
                <w:color w:val="000000"/>
                <w:sz w:val="22"/>
                <w:szCs w:val="22"/>
              </w:rPr>
              <w:t>duga</w:t>
            </w:r>
            <w:proofErr w:type="spellEnd"/>
            <w:r>
              <w:rPr>
                <w:rFonts w:ascii="Calibri" w:hAnsi="Calibri"/>
                <w:b/>
                <w:bCs/>
                <w:color w:val="000000"/>
                <w:sz w:val="22"/>
                <w:szCs w:val="22"/>
              </w:rPr>
              <w:t xml:space="preserve"> </w:t>
            </w:r>
            <w:proofErr w:type="spellStart"/>
            <w:r w:rsidRPr="00E21BD8">
              <w:rPr>
                <w:rFonts w:ascii="Calibri" w:hAnsi="Calibri"/>
                <w:b/>
                <w:bCs/>
                <w:color w:val="000000"/>
                <w:sz w:val="22"/>
                <w:szCs w:val="22"/>
              </w:rPr>
              <w:t>lokalne</w:t>
            </w:r>
            <w:proofErr w:type="spellEnd"/>
            <w:r>
              <w:rPr>
                <w:rFonts w:ascii="Calibri" w:hAnsi="Calibri"/>
                <w:b/>
                <w:bCs/>
                <w:color w:val="000000"/>
                <w:sz w:val="22"/>
                <w:szCs w:val="22"/>
              </w:rPr>
              <w:t xml:space="preserve"> </w:t>
            </w:r>
            <w:proofErr w:type="spellStart"/>
            <w:r>
              <w:rPr>
                <w:rFonts w:ascii="Calibri" w:hAnsi="Calibri"/>
                <w:b/>
                <w:bCs/>
                <w:color w:val="000000"/>
                <w:sz w:val="22"/>
                <w:szCs w:val="22"/>
              </w:rPr>
              <w:t>samouprave</w:t>
            </w:r>
            <w:proofErr w:type="spellEnd"/>
          </w:p>
        </w:tc>
        <w:tc>
          <w:tcPr>
            <w:tcW w:w="742" w:type="pct"/>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c>
          <w:tcPr>
            <w:tcW w:w="574" w:type="pct"/>
            <w:gridSpan w:val="2"/>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c>
          <w:tcPr>
            <w:tcW w:w="655" w:type="pct"/>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c>
          <w:tcPr>
            <w:tcW w:w="981" w:type="pct"/>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r>
      <w:tr w:rsidR="00C921C3" w:rsidRPr="00E21BD8" w:rsidTr="00760A53">
        <w:trPr>
          <w:trHeight w:val="475"/>
        </w:trPr>
        <w:tc>
          <w:tcPr>
            <w:tcW w:w="2048" w:type="pct"/>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jc w:val="center"/>
              <w:rPr>
                <w:rFonts w:ascii="Calibri" w:hAnsi="Calibri"/>
                <w:b/>
                <w:bCs/>
                <w:color w:val="000000"/>
                <w:sz w:val="22"/>
                <w:szCs w:val="22"/>
              </w:rPr>
            </w:pPr>
            <w:proofErr w:type="spellStart"/>
            <w:r w:rsidRPr="00E21BD8">
              <w:rPr>
                <w:rFonts w:ascii="Calibri" w:hAnsi="Calibri"/>
                <w:b/>
                <w:bCs/>
                <w:color w:val="000000"/>
                <w:sz w:val="22"/>
                <w:szCs w:val="22"/>
              </w:rPr>
              <w:t>Naziv</w:t>
            </w:r>
            <w:proofErr w:type="spellEnd"/>
            <w:r>
              <w:rPr>
                <w:rFonts w:ascii="Calibri" w:hAnsi="Calibri"/>
                <w:b/>
                <w:bCs/>
                <w:color w:val="000000"/>
                <w:sz w:val="22"/>
                <w:szCs w:val="22"/>
              </w:rPr>
              <w:t xml:space="preserve"> </w:t>
            </w:r>
            <w:proofErr w:type="spellStart"/>
            <w:r w:rsidRPr="00E21BD8">
              <w:rPr>
                <w:rFonts w:ascii="Calibri" w:hAnsi="Calibri"/>
                <w:b/>
                <w:bCs/>
                <w:color w:val="000000"/>
                <w:sz w:val="22"/>
                <w:szCs w:val="22"/>
              </w:rPr>
              <w:t>opštine</w:t>
            </w:r>
            <w:proofErr w:type="spellEnd"/>
          </w:p>
        </w:tc>
        <w:tc>
          <w:tcPr>
            <w:tcW w:w="742" w:type="pct"/>
            <w:tcBorders>
              <w:top w:val="single" w:sz="8" w:space="0" w:color="auto"/>
              <w:left w:val="nil"/>
              <w:bottom w:val="single" w:sz="4" w:space="0" w:color="auto"/>
              <w:right w:val="single" w:sz="4" w:space="0" w:color="auto"/>
            </w:tcBorders>
            <w:shd w:val="clear" w:color="auto" w:fill="auto"/>
            <w:vAlign w:val="bottom"/>
            <w:hideMark/>
          </w:tcPr>
          <w:p w:rsidR="00C921C3" w:rsidRPr="00E21BD8" w:rsidRDefault="00C921C3" w:rsidP="00760A53">
            <w:pPr>
              <w:jc w:val="center"/>
              <w:rPr>
                <w:rFonts w:ascii="Arial" w:hAnsi="Arial" w:cs="Arial"/>
                <w:b/>
                <w:bCs/>
                <w:sz w:val="20"/>
                <w:szCs w:val="20"/>
              </w:rPr>
            </w:pPr>
            <w:proofErr w:type="spellStart"/>
            <w:r w:rsidRPr="00E21BD8">
              <w:rPr>
                <w:rFonts w:ascii="Arial" w:hAnsi="Arial" w:cs="Arial"/>
                <w:b/>
                <w:bCs/>
                <w:sz w:val="20"/>
                <w:szCs w:val="20"/>
              </w:rPr>
              <w:t>Stanje</w:t>
            </w:r>
            <w:proofErr w:type="spellEnd"/>
            <w:r>
              <w:rPr>
                <w:rFonts w:ascii="Arial" w:hAnsi="Arial" w:cs="Arial"/>
                <w:b/>
                <w:bCs/>
                <w:sz w:val="20"/>
                <w:szCs w:val="20"/>
              </w:rPr>
              <w:t xml:space="preserve"> </w:t>
            </w:r>
            <w:proofErr w:type="spellStart"/>
            <w:r w:rsidRPr="00E21BD8">
              <w:rPr>
                <w:rFonts w:ascii="Arial" w:hAnsi="Arial" w:cs="Arial"/>
                <w:b/>
                <w:bCs/>
                <w:sz w:val="20"/>
                <w:szCs w:val="20"/>
              </w:rPr>
              <w:t>duga</w:t>
            </w:r>
            <w:proofErr w:type="spellEnd"/>
            <w:r w:rsidR="00760A53">
              <w:rPr>
                <w:rFonts w:ascii="Arial" w:hAnsi="Arial" w:cs="Arial"/>
                <w:b/>
                <w:bCs/>
                <w:sz w:val="20"/>
                <w:szCs w:val="20"/>
              </w:rPr>
              <w:t xml:space="preserve"> u mil. </w:t>
            </w:r>
            <w:proofErr w:type="spellStart"/>
            <w:r w:rsidR="00760A53">
              <w:rPr>
                <w:rFonts w:ascii="Arial" w:hAnsi="Arial" w:cs="Arial"/>
                <w:b/>
                <w:bCs/>
                <w:sz w:val="20"/>
                <w:szCs w:val="20"/>
              </w:rPr>
              <w:t>eura</w:t>
            </w:r>
            <w:proofErr w:type="spellEnd"/>
          </w:p>
        </w:tc>
        <w:tc>
          <w:tcPr>
            <w:tcW w:w="574" w:type="pct"/>
            <w:gridSpan w:val="2"/>
            <w:tcBorders>
              <w:top w:val="single" w:sz="4" w:space="0" w:color="auto"/>
              <w:left w:val="nil"/>
              <w:bottom w:val="single" w:sz="4" w:space="0" w:color="auto"/>
              <w:right w:val="single" w:sz="4" w:space="0" w:color="auto"/>
            </w:tcBorders>
            <w:shd w:val="clear" w:color="auto" w:fill="auto"/>
            <w:vAlign w:val="bottom"/>
            <w:hideMark/>
          </w:tcPr>
          <w:p w:rsidR="00C921C3" w:rsidRPr="00E21BD8" w:rsidRDefault="00C921C3" w:rsidP="00760A53">
            <w:pPr>
              <w:jc w:val="center"/>
              <w:rPr>
                <w:rFonts w:ascii="Arial" w:hAnsi="Arial" w:cs="Arial"/>
                <w:b/>
                <w:bCs/>
                <w:sz w:val="20"/>
                <w:szCs w:val="20"/>
              </w:rPr>
            </w:pPr>
            <w:r w:rsidRPr="00E21BD8">
              <w:rPr>
                <w:rFonts w:ascii="Arial" w:hAnsi="Arial" w:cs="Arial"/>
                <w:b/>
                <w:bCs/>
                <w:sz w:val="20"/>
                <w:szCs w:val="20"/>
              </w:rPr>
              <w:t>% BDP-a</w:t>
            </w:r>
          </w:p>
        </w:tc>
        <w:tc>
          <w:tcPr>
            <w:tcW w:w="655" w:type="pct"/>
            <w:tcBorders>
              <w:top w:val="single" w:sz="8" w:space="0" w:color="auto"/>
              <w:left w:val="nil"/>
              <w:bottom w:val="single" w:sz="4" w:space="0" w:color="auto"/>
              <w:right w:val="single" w:sz="4" w:space="0" w:color="auto"/>
            </w:tcBorders>
            <w:shd w:val="clear" w:color="auto" w:fill="auto"/>
            <w:vAlign w:val="bottom"/>
            <w:hideMark/>
          </w:tcPr>
          <w:p w:rsidR="00C921C3" w:rsidRPr="00E21BD8" w:rsidRDefault="00C921C3" w:rsidP="00760A53">
            <w:pPr>
              <w:jc w:val="center"/>
              <w:rPr>
                <w:rFonts w:ascii="Arial" w:hAnsi="Arial" w:cs="Arial"/>
                <w:b/>
                <w:bCs/>
                <w:sz w:val="20"/>
                <w:szCs w:val="20"/>
              </w:rPr>
            </w:pPr>
            <w:r w:rsidRPr="00E21BD8">
              <w:rPr>
                <w:rFonts w:ascii="Arial" w:hAnsi="Arial" w:cs="Arial"/>
                <w:b/>
                <w:bCs/>
                <w:sz w:val="20"/>
                <w:szCs w:val="20"/>
              </w:rPr>
              <w:t xml:space="preserve">% </w:t>
            </w:r>
            <w:proofErr w:type="spellStart"/>
            <w:r w:rsidRPr="00E21BD8">
              <w:rPr>
                <w:rFonts w:ascii="Arial" w:hAnsi="Arial" w:cs="Arial"/>
                <w:b/>
                <w:bCs/>
                <w:sz w:val="20"/>
                <w:szCs w:val="20"/>
              </w:rPr>
              <w:t>Lokalnogduga</w:t>
            </w:r>
            <w:proofErr w:type="spellEnd"/>
          </w:p>
        </w:tc>
        <w:tc>
          <w:tcPr>
            <w:tcW w:w="981" w:type="pct"/>
            <w:tcBorders>
              <w:top w:val="single" w:sz="8" w:space="0" w:color="auto"/>
              <w:left w:val="nil"/>
              <w:bottom w:val="single" w:sz="4" w:space="0" w:color="auto"/>
              <w:right w:val="single" w:sz="8" w:space="0" w:color="auto"/>
            </w:tcBorders>
            <w:shd w:val="clear" w:color="auto" w:fill="auto"/>
            <w:vAlign w:val="bottom"/>
            <w:hideMark/>
          </w:tcPr>
          <w:p w:rsidR="00C921C3" w:rsidRPr="00E21BD8" w:rsidRDefault="00C921C3" w:rsidP="00760A53">
            <w:pPr>
              <w:jc w:val="center"/>
              <w:rPr>
                <w:rFonts w:ascii="Calibri" w:hAnsi="Calibri"/>
                <w:b/>
                <w:bCs/>
                <w:color w:val="000000"/>
                <w:sz w:val="22"/>
                <w:szCs w:val="22"/>
              </w:rPr>
            </w:pPr>
            <w:r w:rsidRPr="00E21BD8">
              <w:rPr>
                <w:rFonts w:ascii="Calibri" w:hAnsi="Calibri"/>
                <w:b/>
                <w:bCs/>
                <w:color w:val="000000"/>
                <w:sz w:val="22"/>
                <w:szCs w:val="22"/>
              </w:rPr>
              <w:t xml:space="preserve">% </w:t>
            </w:r>
            <w:proofErr w:type="spellStart"/>
            <w:r w:rsidRPr="00E21BD8">
              <w:rPr>
                <w:rFonts w:ascii="Calibri" w:hAnsi="Calibri"/>
                <w:b/>
                <w:bCs/>
                <w:color w:val="000000"/>
                <w:sz w:val="22"/>
                <w:szCs w:val="22"/>
              </w:rPr>
              <w:t>Ukupnog</w:t>
            </w:r>
            <w:proofErr w:type="spellEnd"/>
            <w:r>
              <w:rPr>
                <w:rFonts w:ascii="Calibri" w:hAnsi="Calibri"/>
                <w:b/>
                <w:bCs/>
                <w:color w:val="000000"/>
                <w:sz w:val="22"/>
                <w:szCs w:val="22"/>
              </w:rPr>
              <w:t xml:space="preserve"> </w:t>
            </w:r>
            <w:proofErr w:type="spellStart"/>
            <w:r w:rsidRPr="00E21BD8">
              <w:rPr>
                <w:rFonts w:ascii="Calibri" w:hAnsi="Calibri"/>
                <w:b/>
                <w:bCs/>
                <w:color w:val="000000"/>
                <w:sz w:val="22"/>
                <w:szCs w:val="22"/>
              </w:rPr>
              <w:t>javnog</w:t>
            </w:r>
            <w:proofErr w:type="spellEnd"/>
            <w:r>
              <w:rPr>
                <w:rFonts w:ascii="Calibri" w:hAnsi="Calibri"/>
                <w:b/>
                <w:bCs/>
                <w:color w:val="000000"/>
                <w:sz w:val="22"/>
                <w:szCs w:val="22"/>
              </w:rPr>
              <w:t xml:space="preserve"> </w:t>
            </w:r>
            <w:proofErr w:type="spellStart"/>
            <w:r w:rsidRPr="00E21BD8">
              <w:rPr>
                <w:rFonts w:ascii="Calibri" w:hAnsi="Calibri"/>
                <w:b/>
                <w:bCs/>
                <w:color w:val="000000"/>
                <w:sz w:val="22"/>
                <w:szCs w:val="22"/>
              </w:rPr>
              <w:t>duga</w:t>
            </w:r>
            <w:proofErr w:type="spellEnd"/>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noWrap/>
            <w:vAlign w:val="bottom"/>
            <w:hideMark/>
          </w:tcPr>
          <w:p w:rsidR="00C921C3" w:rsidRPr="00E21BD8" w:rsidRDefault="00C921C3" w:rsidP="00760A53">
            <w:pPr>
              <w:jc w:val="center"/>
              <w:rPr>
                <w:rFonts w:ascii="Calibri" w:hAnsi="Calibri"/>
                <w:b/>
                <w:bCs/>
                <w:color w:val="000000"/>
                <w:sz w:val="22"/>
                <w:szCs w:val="22"/>
              </w:rPr>
            </w:pPr>
            <w:r w:rsidRPr="00E21BD8">
              <w:rPr>
                <w:rFonts w:ascii="Calibri" w:hAnsi="Calibri"/>
                <w:b/>
                <w:bCs/>
                <w:color w:val="000000"/>
                <w:sz w:val="22"/>
                <w:szCs w:val="22"/>
              </w:rPr>
              <w:t> </w:t>
            </w:r>
          </w:p>
        </w:tc>
        <w:tc>
          <w:tcPr>
            <w:tcW w:w="742" w:type="pct"/>
            <w:tcBorders>
              <w:top w:val="nil"/>
              <w:left w:val="nil"/>
              <w:bottom w:val="single" w:sz="4" w:space="0" w:color="auto"/>
              <w:right w:val="single" w:sz="4" w:space="0" w:color="auto"/>
            </w:tcBorders>
            <w:shd w:val="clear" w:color="auto" w:fill="auto"/>
            <w:vAlign w:val="bottom"/>
            <w:hideMark/>
          </w:tcPr>
          <w:p w:rsidR="00C921C3" w:rsidRPr="00E21BD8" w:rsidRDefault="00C921C3" w:rsidP="00760A53">
            <w:pPr>
              <w:jc w:val="center"/>
              <w:rPr>
                <w:rFonts w:ascii="Arial" w:hAnsi="Arial" w:cs="Arial"/>
                <w:b/>
                <w:bCs/>
                <w:sz w:val="20"/>
                <w:szCs w:val="20"/>
              </w:rPr>
            </w:pPr>
            <w:r w:rsidRPr="00E21BD8">
              <w:rPr>
                <w:rFonts w:ascii="Arial" w:hAnsi="Arial" w:cs="Arial"/>
                <w:b/>
                <w:bCs/>
                <w:sz w:val="20"/>
                <w:szCs w:val="20"/>
              </w:rPr>
              <w:t>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760A53">
            <w:pPr>
              <w:jc w:val="right"/>
              <w:rPr>
                <w:rFonts w:ascii="Calibri" w:hAnsi="Calibri"/>
                <w:color w:val="000000"/>
                <w:sz w:val="22"/>
                <w:szCs w:val="22"/>
              </w:rPr>
            </w:pPr>
            <w:r>
              <w:rPr>
                <w:rFonts w:ascii="Calibri" w:hAnsi="Calibri"/>
                <w:color w:val="000000"/>
                <w:sz w:val="22"/>
                <w:szCs w:val="22"/>
              </w:rPr>
              <w:t>3,393.20</w:t>
            </w:r>
          </w:p>
        </w:tc>
        <w:tc>
          <w:tcPr>
            <w:tcW w:w="655" w:type="pct"/>
            <w:tcBorders>
              <w:top w:val="nil"/>
              <w:left w:val="nil"/>
              <w:bottom w:val="single" w:sz="4" w:space="0" w:color="auto"/>
              <w:right w:val="single" w:sz="4" w:space="0" w:color="auto"/>
            </w:tcBorders>
            <w:shd w:val="clear" w:color="auto" w:fill="auto"/>
            <w:vAlign w:val="bottom"/>
            <w:hideMark/>
          </w:tcPr>
          <w:p w:rsidR="00C921C3" w:rsidRPr="00E21BD8" w:rsidRDefault="00C921C3" w:rsidP="00760A53">
            <w:pPr>
              <w:jc w:val="center"/>
              <w:rPr>
                <w:rFonts w:ascii="Arial" w:hAnsi="Arial" w:cs="Arial"/>
                <w:b/>
                <w:bCs/>
                <w:sz w:val="20"/>
                <w:szCs w:val="20"/>
              </w:rPr>
            </w:pPr>
            <w:r w:rsidRPr="00E21BD8">
              <w:rPr>
                <w:rFonts w:ascii="Arial" w:hAnsi="Arial" w:cs="Arial"/>
                <w:b/>
                <w:bCs/>
                <w:sz w:val="20"/>
                <w:szCs w:val="20"/>
              </w:rPr>
              <w:t> </w:t>
            </w:r>
          </w:p>
        </w:tc>
        <w:tc>
          <w:tcPr>
            <w:tcW w:w="981" w:type="pct"/>
            <w:tcBorders>
              <w:top w:val="nil"/>
              <w:left w:val="nil"/>
              <w:bottom w:val="single" w:sz="4" w:space="0" w:color="auto"/>
              <w:right w:val="single" w:sz="8" w:space="0" w:color="auto"/>
            </w:tcBorders>
            <w:shd w:val="clear" w:color="auto" w:fill="auto"/>
            <w:vAlign w:val="bottom"/>
            <w:hideMark/>
          </w:tcPr>
          <w:p w:rsidR="00C921C3" w:rsidRPr="00E21BD8" w:rsidRDefault="00C921C3" w:rsidP="00760A53">
            <w:pPr>
              <w:jc w:val="center"/>
              <w:rPr>
                <w:rFonts w:ascii="Calibri" w:hAnsi="Calibri"/>
                <w:b/>
                <w:bCs/>
                <w:color w:val="000000"/>
                <w:sz w:val="22"/>
                <w:szCs w:val="22"/>
              </w:rPr>
            </w:pPr>
            <w:r w:rsidRPr="00E21BD8">
              <w:rPr>
                <w:rFonts w:ascii="Calibri" w:hAnsi="Calibri"/>
                <w:b/>
                <w:bCs/>
                <w:color w:val="000000"/>
                <w:sz w:val="22"/>
                <w:szCs w:val="22"/>
              </w:rPr>
              <w:t> </w:t>
            </w:r>
          </w:p>
        </w:tc>
      </w:tr>
      <w:tr w:rsidR="00C921C3" w:rsidRPr="00E21BD8" w:rsidTr="00760A53">
        <w:trPr>
          <w:trHeight w:val="332"/>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Andrijevica</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0.05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0.00</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0.04</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0.00</w:t>
            </w:r>
          </w:p>
        </w:tc>
      </w:tr>
      <w:tr w:rsidR="00C921C3" w:rsidRPr="00E21BD8" w:rsidTr="00760A53">
        <w:trPr>
          <w:trHeight w:val="422"/>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r w:rsidRPr="00E21BD8">
              <w:rPr>
                <w:rFonts w:ascii="Calibri" w:hAnsi="Calibri"/>
                <w:color w:val="000000"/>
                <w:sz w:val="22"/>
                <w:szCs w:val="22"/>
              </w:rPr>
              <w:t>Bar</w:t>
            </w:r>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0.08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0.00</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0.06</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0.00</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Berane</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2.77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0.08</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2.12</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0.13</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Bijelo</w:t>
            </w:r>
            <w:proofErr w:type="spellEnd"/>
            <w:r>
              <w:rPr>
                <w:rFonts w:ascii="Calibri" w:hAnsi="Calibri"/>
                <w:color w:val="000000"/>
                <w:sz w:val="22"/>
                <w:szCs w:val="22"/>
              </w:rPr>
              <w:t xml:space="preserve"> </w:t>
            </w:r>
            <w:proofErr w:type="spellStart"/>
            <w:r w:rsidRPr="00E21BD8">
              <w:rPr>
                <w:rFonts w:ascii="Calibri" w:hAnsi="Calibri"/>
                <w:color w:val="000000"/>
                <w:sz w:val="22"/>
                <w:szCs w:val="22"/>
              </w:rPr>
              <w:t>Polje</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6.86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0.20</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5.24</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0.33</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Budva</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Pr>
                <w:rFonts w:ascii="Calibri" w:hAnsi="Calibri"/>
                <w:color w:val="000000"/>
                <w:sz w:val="22"/>
                <w:szCs w:val="22"/>
              </w:rPr>
              <w:t>65.39</w:t>
            </w:r>
            <w:r w:rsidRPr="00E21BD8">
              <w:rPr>
                <w:rFonts w:ascii="Calibri" w:hAnsi="Calibri"/>
                <w:color w:val="000000"/>
                <w:sz w:val="22"/>
                <w:szCs w:val="22"/>
              </w:rPr>
              <w:t xml:space="preserve">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Pr>
                <w:rFonts w:ascii="Calibri" w:hAnsi="Calibri"/>
                <w:color w:val="000000"/>
                <w:sz w:val="22"/>
                <w:szCs w:val="22"/>
              </w:rPr>
              <w:t>1.93</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Pr>
                <w:rFonts w:ascii="Calibri" w:hAnsi="Calibri"/>
                <w:color w:val="000000"/>
                <w:sz w:val="22"/>
                <w:szCs w:val="22"/>
              </w:rPr>
              <w:t>50.77</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Pr>
                <w:rFonts w:ascii="Calibri" w:hAnsi="Calibri"/>
                <w:color w:val="000000"/>
                <w:sz w:val="22"/>
                <w:szCs w:val="22"/>
              </w:rPr>
              <w:t>3.16</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Cetinje</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3.97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0.12</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3.03</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0.19</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Danilovgrad</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0.74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0.02</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0.57</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0.04</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Gusinje</w:t>
            </w:r>
            <w:proofErr w:type="spellEnd"/>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0.00</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0.00</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0.00</w:t>
            </w:r>
          </w:p>
        </w:tc>
      </w:tr>
      <w:tr w:rsidR="00C921C3" w:rsidRPr="00E21BD8" w:rsidTr="00760A53">
        <w:trPr>
          <w:trHeight w:val="422"/>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Herceg</w:t>
            </w:r>
            <w:proofErr w:type="spellEnd"/>
            <w:r w:rsidRPr="00E21BD8">
              <w:rPr>
                <w:rFonts w:ascii="Calibri" w:hAnsi="Calibri"/>
                <w:color w:val="000000"/>
                <w:sz w:val="22"/>
                <w:szCs w:val="22"/>
              </w:rPr>
              <w:t xml:space="preserve"> Novi</w:t>
            </w:r>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0.77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0.02</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0.59</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0.04</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Kolašin</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3.78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0.11</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2.89</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0.18</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Kotor</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0.41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0.01</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0.31</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0.02</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Mojkovac</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0.28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0.01</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0.21</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0.01</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Nikšić</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5.88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0.17</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4.49</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0.28</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Petnjica</w:t>
            </w:r>
            <w:proofErr w:type="spellEnd"/>
          </w:p>
        </w:tc>
        <w:tc>
          <w:tcPr>
            <w:tcW w:w="742"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0.00</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0.00</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0.00</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Plav</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0.89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0.03</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0.68</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0.04</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Plužine</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0.48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0.01</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0.37</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0.02</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Pljevlja</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5.81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0.17</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4.44</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0.28</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Podgorica</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26.12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0.77</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19.97</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1.26</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Rožaje</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0.54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0.02</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0.41</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0.03</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Šavnik</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0.24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0.01</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0.18</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0.01</w:t>
            </w:r>
          </w:p>
        </w:tc>
      </w:tr>
      <w:tr w:rsidR="00C921C3" w:rsidRPr="00E21BD8" w:rsidTr="00760A53">
        <w:trPr>
          <w:trHeight w:val="300"/>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Ulcinj</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3.55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0.10</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2.71</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0.17</w:t>
            </w:r>
          </w:p>
        </w:tc>
      </w:tr>
      <w:tr w:rsidR="00C921C3" w:rsidRPr="00E21BD8" w:rsidTr="00760A53">
        <w:trPr>
          <w:trHeight w:val="315"/>
        </w:trPr>
        <w:tc>
          <w:tcPr>
            <w:tcW w:w="2048" w:type="pct"/>
            <w:gridSpan w:val="3"/>
            <w:tcBorders>
              <w:top w:val="nil"/>
              <w:left w:val="single" w:sz="8" w:space="0" w:color="auto"/>
              <w:bottom w:val="single" w:sz="4" w:space="0" w:color="auto"/>
              <w:right w:val="single" w:sz="4" w:space="0" w:color="auto"/>
            </w:tcBorders>
            <w:shd w:val="clear" w:color="auto" w:fill="auto"/>
            <w:vAlign w:val="center"/>
            <w:hideMark/>
          </w:tcPr>
          <w:p w:rsidR="00C921C3" w:rsidRPr="00E21BD8" w:rsidRDefault="00C921C3" w:rsidP="00760A53">
            <w:pPr>
              <w:rPr>
                <w:rFonts w:ascii="Calibri" w:hAnsi="Calibri"/>
                <w:color w:val="000000"/>
                <w:sz w:val="22"/>
                <w:szCs w:val="22"/>
              </w:rPr>
            </w:pPr>
            <w:proofErr w:type="spellStart"/>
            <w:r w:rsidRPr="00E21BD8">
              <w:rPr>
                <w:rFonts w:ascii="Calibri" w:hAnsi="Calibri"/>
                <w:color w:val="000000"/>
                <w:sz w:val="22"/>
                <w:szCs w:val="22"/>
              </w:rPr>
              <w:t>Žabljak</w:t>
            </w:r>
            <w:proofErr w:type="spellEnd"/>
          </w:p>
        </w:tc>
        <w:tc>
          <w:tcPr>
            <w:tcW w:w="742" w:type="pct"/>
            <w:tcBorders>
              <w:top w:val="nil"/>
              <w:left w:val="nil"/>
              <w:bottom w:val="single" w:sz="4" w:space="0" w:color="auto"/>
              <w:right w:val="single" w:sz="4" w:space="0" w:color="auto"/>
            </w:tcBorders>
            <w:shd w:val="clear" w:color="auto" w:fill="auto"/>
            <w:vAlign w:val="center"/>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 xml:space="preserve">0.19   </w:t>
            </w:r>
          </w:p>
        </w:tc>
        <w:tc>
          <w:tcPr>
            <w:tcW w:w="574" w:type="pct"/>
            <w:gridSpan w:val="2"/>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0.01</w:t>
            </w:r>
          </w:p>
        </w:tc>
        <w:tc>
          <w:tcPr>
            <w:tcW w:w="655" w:type="pct"/>
            <w:tcBorders>
              <w:top w:val="nil"/>
              <w:left w:val="nil"/>
              <w:bottom w:val="single" w:sz="4"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0.15</w:t>
            </w:r>
          </w:p>
        </w:tc>
        <w:tc>
          <w:tcPr>
            <w:tcW w:w="981" w:type="pct"/>
            <w:tcBorders>
              <w:top w:val="nil"/>
              <w:left w:val="nil"/>
              <w:bottom w:val="single" w:sz="4"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color w:val="000000"/>
                <w:sz w:val="22"/>
                <w:szCs w:val="22"/>
              </w:rPr>
            </w:pPr>
            <w:r w:rsidRPr="00E21BD8">
              <w:rPr>
                <w:rFonts w:ascii="Calibri" w:hAnsi="Calibri"/>
                <w:color w:val="000000"/>
                <w:sz w:val="22"/>
                <w:szCs w:val="22"/>
              </w:rPr>
              <w:t>0.01</w:t>
            </w:r>
          </w:p>
        </w:tc>
      </w:tr>
      <w:tr w:rsidR="00C921C3" w:rsidRPr="00E21BD8" w:rsidTr="00760A53">
        <w:trPr>
          <w:trHeight w:val="330"/>
        </w:trPr>
        <w:tc>
          <w:tcPr>
            <w:tcW w:w="2048" w:type="pct"/>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921C3" w:rsidRPr="00E21BD8" w:rsidRDefault="00C921C3" w:rsidP="00760A53">
            <w:pPr>
              <w:rPr>
                <w:rFonts w:ascii="Arial" w:hAnsi="Arial" w:cs="Arial"/>
                <w:b/>
                <w:bCs/>
                <w:color w:val="000000"/>
              </w:rPr>
            </w:pPr>
            <w:proofErr w:type="spellStart"/>
            <w:r w:rsidRPr="00E21BD8">
              <w:rPr>
                <w:rFonts w:ascii="Arial" w:hAnsi="Arial" w:cs="Arial"/>
                <w:b/>
                <w:bCs/>
                <w:color w:val="000000"/>
              </w:rPr>
              <w:t>Ukupno</w:t>
            </w:r>
            <w:proofErr w:type="spellEnd"/>
            <w:r w:rsidRPr="00E21BD8">
              <w:rPr>
                <w:rFonts w:ascii="Arial" w:hAnsi="Arial" w:cs="Arial"/>
                <w:b/>
                <w:bCs/>
                <w:color w:val="000000"/>
              </w:rPr>
              <w:t xml:space="preserve"> dug </w:t>
            </w:r>
            <w:proofErr w:type="spellStart"/>
            <w:r w:rsidRPr="00E21BD8">
              <w:rPr>
                <w:rFonts w:ascii="Arial" w:hAnsi="Arial" w:cs="Arial"/>
                <w:b/>
                <w:bCs/>
                <w:color w:val="000000"/>
              </w:rPr>
              <w:t>lokalne</w:t>
            </w:r>
            <w:proofErr w:type="spellEnd"/>
            <w:r>
              <w:rPr>
                <w:rFonts w:ascii="Arial" w:hAnsi="Arial" w:cs="Arial"/>
                <w:b/>
                <w:bCs/>
                <w:color w:val="000000"/>
              </w:rPr>
              <w:t xml:space="preserve"> </w:t>
            </w:r>
            <w:proofErr w:type="spellStart"/>
            <w:r w:rsidRPr="00E21BD8">
              <w:rPr>
                <w:rFonts w:ascii="Arial" w:hAnsi="Arial" w:cs="Arial"/>
                <w:b/>
                <w:bCs/>
                <w:color w:val="000000"/>
              </w:rPr>
              <w:t>samouprave</w:t>
            </w:r>
            <w:proofErr w:type="spellEnd"/>
          </w:p>
        </w:tc>
        <w:tc>
          <w:tcPr>
            <w:tcW w:w="742" w:type="pct"/>
            <w:tcBorders>
              <w:top w:val="single" w:sz="8" w:space="0" w:color="auto"/>
              <w:left w:val="nil"/>
              <w:bottom w:val="single" w:sz="8"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b/>
                <w:bCs/>
                <w:color w:val="000000"/>
                <w:sz w:val="22"/>
                <w:szCs w:val="22"/>
              </w:rPr>
            </w:pPr>
            <w:r>
              <w:rPr>
                <w:rFonts w:ascii="Calibri" w:hAnsi="Calibri"/>
                <w:b/>
                <w:bCs/>
                <w:color w:val="000000"/>
                <w:sz w:val="22"/>
                <w:szCs w:val="22"/>
              </w:rPr>
              <w:t>128.80</w:t>
            </w:r>
          </w:p>
        </w:tc>
        <w:tc>
          <w:tcPr>
            <w:tcW w:w="574" w:type="pct"/>
            <w:gridSpan w:val="2"/>
            <w:tcBorders>
              <w:top w:val="single" w:sz="8" w:space="0" w:color="auto"/>
              <w:left w:val="nil"/>
              <w:bottom w:val="single" w:sz="8"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b/>
                <w:bCs/>
                <w:color w:val="000000"/>
                <w:sz w:val="22"/>
                <w:szCs w:val="22"/>
              </w:rPr>
            </w:pPr>
            <w:r>
              <w:rPr>
                <w:rFonts w:ascii="Calibri" w:hAnsi="Calibri"/>
                <w:b/>
                <w:bCs/>
                <w:color w:val="000000"/>
                <w:sz w:val="22"/>
                <w:szCs w:val="22"/>
              </w:rPr>
              <w:t>3.80</w:t>
            </w:r>
          </w:p>
        </w:tc>
        <w:tc>
          <w:tcPr>
            <w:tcW w:w="655" w:type="pct"/>
            <w:tcBorders>
              <w:top w:val="single" w:sz="8" w:space="0" w:color="auto"/>
              <w:left w:val="nil"/>
              <w:bottom w:val="single" w:sz="8" w:space="0" w:color="auto"/>
              <w:right w:val="single" w:sz="4" w:space="0" w:color="auto"/>
            </w:tcBorders>
            <w:shd w:val="clear" w:color="auto" w:fill="auto"/>
            <w:noWrap/>
            <w:vAlign w:val="bottom"/>
            <w:hideMark/>
          </w:tcPr>
          <w:p w:rsidR="00C921C3" w:rsidRPr="00E21BD8" w:rsidRDefault="00C921C3" w:rsidP="008E34E9">
            <w:pPr>
              <w:jc w:val="right"/>
              <w:rPr>
                <w:rFonts w:ascii="Calibri" w:hAnsi="Calibri"/>
                <w:b/>
                <w:bCs/>
                <w:color w:val="000000"/>
                <w:sz w:val="22"/>
                <w:szCs w:val="22"/>
              </w:rPr>
            </w:pPr>
            <w:r w:rsidRPr="00E21BD8">
              <w:rPr>
                <w:rFonts w:ascii="Calibri" w:hAnsi="Calibri"/>
                <w:b/>
                <w:bCs/>
                <w:color w:val="000000"/>
                <w:sz w:val="22"/>
                <w:szCs w:val="22"/>
              </w:rPr>
              <w:t>100.00</w:t>
            </w:r>
          </w:p>
        </w:tc>
        <w:tc>
          <w:tcPr>
            <w:tcW w:w="981" w:type="pct"/>
            <w:tcBorders>
              <w:top w:val="single" w:sz="8" w:space="0" w:color="auto"/>
              <w:left w:val="nil"/>
              <w:bottom w:val="single" w:sz="8" w:space="0" w:color="auto"/>
              <w:right w:val="single" w:sz="8" w:space="0" w:color="auto"/>
            </w:tcBorders>
            <w:shd w:val="clear" w:color="auto" w:fill="auto"/>
            <w:noWrap/>
            <w:vAlign w:val="bottom"/>
            <w:hideMark/>
          </w:tcPr>
          <w:p w:rsidR="00C921C3" w:rsidRPr="00E21BD8" w:rsidRDefault="00C921C3" w:rsidP="008E34E9">
            <w:pPr>
              <w:jc w:val="right"/>
              <w:rPr>
                <w:rFonts w:ascii="Calibri" w:hAnsi="Calibri"/>
                <w:b/>
                <w:bCs/>
                <w:color w:val="000000"/>
                <w:sz w:val="22"/>
                <w:szCs w:val="22"/>
              </w:rPr>
            </w:pPr>
            <w:r w:rsidRPr="00E21BD8">
              <w:rPr>
                <w:rFonts w:ascii="Calibri" w:hAnsi="Calibri"/>
                <w:b/>
                <w:bCs/>
                <w:color w:val="000000"/>
                <w:sz w:val="22"/>
                <w:szCs w:val="22"/>
              </w:rPr>
              <w:t>6.</w:t>
            </w:r>
            <w:r>
              <w:rPr>
                <w:rFonts w:ascii="Calibri" w:hAnsi="Calibri"/>
                <w:b/>
                <w:bCs/>
                <w:color w:val="000000"/>
                <w:sz w:val="22"/>
                <w:szCs w:val="22"/>
              </w:rPr>
              <w:t>22</w:t>
            </w:r>
          </w:p>
        </w:tc>
      </w:tr>
      <w:tr w:rsidR="00C921C3" w:rsidRPr="00E21BD8" w:rsidTr="00760A53">
        <w:trPr>
          <w:trHeight w:val="315"/>
        </w:trPr>
        <w:tc>
          <w:tcPr>
            <w:tcW w:w="2048" w:type="pct"/>
            <w:gridSpan w:val="3"/>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c>
          <w:tcPr>
            <w:tcW w:w="742" w:type="pct"/>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c>
          <w:tcPr>
            <w:tcW w:w="574" w:type="pct"/>
            <w:gridSpan w:val="2"/>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c>
          <w:tcPr>
            <w:tcW w:w="655" w:type="pct"/>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c>
          <w:tcPr>
            <w:tcW w:w="981" w:type="pct"/>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r>
      <w:tr w:rsidR="00C921C3" w:rsidRPr="00E21BD8" w:rsidTr="00760A53">
        <w:trPr>
          <w:trHeight w:val="315"/>
        </w:trPr>
        <w:tc>
          <w:tcPr>
            <w:tcW w:w="2048" w:type="pct"/>
            <w:gridSpan w:val="3"/>
            <w:tcBorders>
              <w:top w:val="nil"/>
              <w:left w:val="nil"/>
              <w:bottom w:val="nil"/>
              <w:right w:val="nil"/>
            </w:tcBorders>
            <w:shd w:val="clear" w:color="auto" w:fill="auto"/>
            <w:noWrap/>
            <w:vAlign w:val="bottom"/>
            <w:hideMark/>
          </w:tcPr>
          <w:p w:rsidR="00C921C3" w:rsidRDefault="00C921C3" w:rsidP="00760A53">
            <w:pPr>
              <w:rPr>
                <w:rFonts w:ascii="Calibri" w:hAnsi="Calibri"/>
                <w:color w:val="000000"/>
                <w:sz w:val="22"/>
                <w:szCs w:val="22"/>
              </w:rPr>
            </w:pPr>
          </w:p>
          <w:p w:rsidR="00C921C3" w:rsidRDefault="00C921C3" w:rsidP="00760A53">
            <w:pPr>
              <w:rPr>
                <w:rFonts w:ascii="Calibri" w:hAnsi="Calibri"/>
                <w:color w:val="000000"/>
                <w:sz w:val="22"/>
                <w:szCs w:val="22"/>
              </w:rPr>
            </w:pPr>
          </w:p>
          <w:p w:rsidR="00C921C3" w:rsidRDefault="00C921C3" w:rsidP="00760A53">
            <w:pPr>
              <w:rPr>
                <w:rFonts w:ascii="Calibri" w:hAnsi="Calibri"/>
                <w:color w:val="000000"/>
                <w:sz w:val="22"/>
                <w:szCs w:val="22"/>
              </w:rPr>
            </w:pPr>
          </w:p>
        </w:tc>
        <w:tc>
          <w:tcPr>
            <w:tcW w:w="742" w:type="pct"/>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c>
          <w:tcPr>
            <w:tcW w:w="574" w:type="pct"/>
            <w:gridSpan w:val="2"/>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c>
          <w:tcPr>
            <w:tcW w:w="655" w:type="pct"/>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c>
          <w:tcPr>
            <w:tcW w:w="981" w:type="pct"/>
            <w:tcBorders>
              <w:top w:val="nil"/>
              <w:left w:val="nil"/>
              <w:bottom w:val="nil"/>
              <w:right w:val="nil"/>
            </w:tcBorders>
            <w:shd w:val="clear" w:color="auto" w:fill="auto"/>
            <w:noWrap/>
            <w:vAlign w:val="bottom"/>
            <w:hideMark/>
          </w:tcPr>
          <w:p w:rsidR="00C921C3" w:rsidRPr="00E21BD8" w:rsidRDefault="00C921C3" w:rsidP="00760A53">
            <w:pPr>
              <w:rPr>
                <w:rFonts w:ascii="Calibri" w:hAnsi="Calibri"/>
                <w:color w:val="000000"/>
                <w:sz w:val="22"/>
                <w:szCs w:val="22"/>
              </w:rPr>
            </w:pPr>
          </w:p>
        </w:tc>
      </w:tr>
      <w:tr w:rsidR="00C921C3" w:rsidRPr="00FE0944" w:rsidTr="00760A53">
        <w:trPr>
          <w:gridBefore w:val="1"/>
          <w:gridAfter w:val="2"/>
          <w:wBefore w:w="53" w:type="pct"/>
          <w:wAfter w:w="1636" w:type="pct"/>
          <w:trHeight w:val="930"/>
        </w:trPr>
        <w:tc>
          <w:tcPr>
            <w:tcW w:w="1990"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C921C3" w:rsidRPr="00FE0944" w:rsidRDefault="00C921C3" w:rsidP="00760A53">
            <w:pPr>
              <w:rPr>
                <w:rFonts w:ascii="Arial" w:hAnsi="Arial" w:cs="Arial"/>
                <w:b/>
                <w:bCs/>
                <w:color w:val="000000"/>
              </w:rPr>
            </w:pPr>
            <w:r w:rsidRPr="00FE0944">
              <w:rPr>
                <w:rFonts w:ascii="Arial" w:hAnsi="Arial" w:cs="Arial"/>
                <w:b/>
                <w:bCs/>
                <w:color w:val="000000"/>
              </w:rPr>
              <w:lastRenderedPageBreak/>
              <w:t xml:space="preserve">UKUPNO JAVNI DUG:                     </w:t>
            </w:r>
            <w:r w:rsidRPr="00FE0944">
              <w:rPr>
                <w:rFonts w:ascii="Arial" w:hAnsi="Arial" w:cs="Arial"/>
                <w:b/>
                <w:bCs/>
                <w:color w:val="000000"/>
                <w:sz w:val="22"/>
                <w:szCs w:val="22"/>
              </w:rPr>
              <w:t>DRŽAVNI DUG + DUG LOKALNE SAMOUPRAVE</w:t>
            </w:r>
          </w:p>
        </w:tc>
        <w:tc>
          <w:tcPr>
            <w:tcW w:w="762" w:type="pct"/>
            <w:gridSpan w:val="3"/>
            <w:tcBorders>
              <w:top w:val="single" w:sz="8" w:space="0" w:color="auto"/>
              <w:left w:val="nil"/>
              <w:bottom w:val="single" w:sz="8" w:space="0" w:color="auto"/>
              <w:right w:val="single" w:sz="4" w:space="0" w:color="auto"/>
            </w:tcBorders>
            <w:shd w:val="clear" w:color="auto" w:fill="auto"/>
            <w:noWrap/>
            <w:vAlign w:val="bottom"/>
            <w:hideMark/>
          </w:tcPr>
          <w:p w:rsidR="00C921C3" w:rsidRPr="00FE0944" w:rsidRDefault="00C921C3" w:rsidP="00760A53">
            <w:pPr>
              <w:rPr>
                <w:rFonts w:ascii="Calibri" w:hAnsi="Calibri"/>
                <w:b/>
                <w:bCs/>
                <w:color w:val="000000"/>
              </w:rPr>
            </w:pPr>
            <w:r>
              <w:rPr>
                <w:rFonts w:ascii="Calibri" w:hAnsi="Calibri"/>
                <w:b/>
                <w:bCs/>
                <w:color w:val="000000"/>
              </w:rPr>
              <w:t>2,071.71</w:t>
            </w:r>
          </w:p>
        </w:tc>
        <w:tc>
          <w:tcPr>
            <w:tcW w:w="559" w:type="pct"/>
            <w:tcBorders>
              <w:top w:val="single" w:sz="8" w:space="0" w:color="auto"/>
              <w:left w:val="nil"/>
              <w:bottom w:val="single" w:sz="8" w:space="0" w:color="auto"/>
              <w:right w:val="single" w:sz="4" w:space="0" w:color="auto"/>
            </w:tcBorders>
            <w:shd w:val="clear" w:color="auto" w:fill="auto"/>
            <w:noWrap/>
            <w:vAlign w:val="bottom"/>
            <w:hideMark/>
          </w:tcPr>
          <w:p w:rsidR="00C921C3" w:rsidRPr="00FE0944" w:rsidRDefault="00C921C3" w:rsidP="00760A53">
            <w:pPr>
              <w:jc w:val="center"/>
              <w:rPr>
                <w:rFonts w:ascii="Calibri" w:hAnsi="Calibri"/>
                <w:b/>
                <w:bCs/>
                <w:color w:val="000000"/>
              </w:rPr>
            </w:pPr>
            <w:r>
              <w:rPr>
                <w:rFonts w:ascii="Calibri" w:hAnsi="Calibri"/>
                <w:b/>
                <w:bCs/>
                <w:color w:val="000000"/>
              </w:rPr>
              <w:t>61.05</w:t>
            </w:r>
          </w:p>
        </w:tc>
      </w:tr>
      <w:tr w:rsidR="00C921C3" w:rsidRPr="00FE0944" w:rsidTr="00760A53">
        <w:trPr>
          <w:gridBefore w:val="1"/>
          <w:gridAfter w:val="2"/>
          <w:wBefore w:w="53" w:type="pct"/>
          <w:wAfter w:w="1636" w:type="pct"/>
          <w:trHeight w:val="315"/>
        </w:trPr>
        <w:tc>
          <w:tcPr>
            <w:tcW w:w="1990" w:type="pct"/>
            <w:tcBorders>
              <w:top w:val="nil"/>
              <w:left w:val="nil"/>
              <w:bottom w:val="nil"/>
              <w:right w:val="nil"/>
            </w:tcBorders>
            <w:shd w:val="clear" w:color="auto" w:fill="auto"/>
            <w:noWrap/>
            <w:vAlign w:val="bottom"/>
            <w:hideMark/>
          </w:tcPr>
          <w:p w:rsidR="00C921C3" w:rsidRPr="00FE0944" w:rsidRDefault="00C921C3" w:rsidP="00760A53">
            <w:pPr>
              <w:rPr>
                <w:rFonts w:ascii="Calibri" w:hAnsi="Calibri"/>
                <w:color w:val="000000"/>
                <w:sz w:val="22"/>
                <w:szCs w:val="22"/>
              </w:rPr>
            </w:pPr>
          </w:p>
        </w:tc>
        <w:tc>
          <w:tcPr>
            <w:tcW w:w="762" w:type="pct"/>
            <w:gridSpan w:val="3"/>
            <w:tcBorders>
              <w:top w:val="nil"/>
              <w:left w:val="nil"/>
              <w:bottom w:val="nil"/>
              <w:right w:val="nil"/>
            </w:tcBorders>
            <w:shd w:val="clear" w:color="auto" w:fill="auto"/>
            <w:noWrap/>
            <w:vAlign w:val="bottom"/>
            <w:hideMark/>
          </w:tcPr>
          <w:p w:rsidR="00C921C3" w:rsidRPr="00FE0944" w:rsidRDefault="00C921C3" w:rsidP="00760A53">
            <w:pPr>
              <w:rPr>
                <w:rFonts w:ascii="Calibri" w:hAnsi="Calibri"/>
                <w:color w:val="000000"/>
                <w:sz w:val="22"/>
                <w:szCs w:val="22"/>
              </w:rPr>
            </w:pPr>
          </w:p>
        </w:tc>
        <w:tc>
          <w:tcPr>
            <w:tcW w:w="559" w:type="pct"/>
            <w:tcBorders>
              <w:top w:val="nil"/>
              <w:left w:val="nil"/>
              <w:bottom w:val="nil"/>
              <w:right w:val="nil"/>
            </w:tcBorders>
            <w:shd w:val="clear" w:color="auto" w:fill="auto"/>
            <w:noWrap/>
            <w:vAlign w:val="bottom"/>
            <w:hideMark/>
          </w:tcPr>
          <w:p w:rsidR="00C921C3" w:rsidRPr="00FE0944" w:rsidRDefault="00C921C3" w:rsidP="00760A53">
            <w:pPr>
              <w:rPr>
                <w:rFonts w:ascii="Calibri" w:hAnsi="Calibri"/>
                <w:color w:val="000000"/>
                <w:sz w:val="22"/>
                <w:szCs w:val="22"/>
              </w:rPr>
            </w:pPr>
          </w:p>
        </w:tc>
      </w:tr>
      <w:tr w:rsidR="00C921C3" w:rsidRPr="00FE0944" w:rsidTr="00760A53">
        <w:trPr>
          <w:gridBefore w:val="1"/>
          <w:gridAfter w:val="2"/>
          <w:wBefore w:w="53" w:type="pct"/>
          <w:wAfter w:w="1636" w:type="pct"/>
          <w:trHeight w:val="645"/>
        </w:trPr>
        <w:tc>
          <w:tcPr>
            <w:tcW w:w="1990"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C921C3" w:rsidRPr="00FE0944" w:rsidRDefault="00C921C3" w:rsidP="00760A53">
            <w:pPr>
              <w:rPr>
                <w:rFonts w:ascii="Arial" w:hAnsi="Arial" w:cs="Arial"/>
                <w:b/>
                <w:bCs/>
                <w:color w:val="000000"/>
              </w:rPr>
            </w:pPr>
            <w:r w:rsidRPr="00FE0944">
              <w:rPr>
                <w:rFonts w:ascii="Arial" w:hAnsi="Arial" w:cs="Arial"/>
                <w:b/>
                <w:bCs/>
                <w:color w:val="000000"/>
              </w:rPr>
              <w:t xml:space="preserve">DEPOZITI Ministarstva finansija </w:t>
            </w:r>
            <w:proofErr w:type="spellStart"/>
            <w:r w:rsidRPr="00FE0944">
              <w:rPr>
                <w:rFonts w:ascii="Arial" w:hAnsi="Arial" w:cs="Arial"/>
                <w:b/>
                <w:bCs/>
                <w:color w:val="000000"/>
              </w:rPr>
              <w:t>uključujući</w:t>
            </w:r>
            <w:proofErr w:type="spellEnd"/>
            <w:r w:rsidRPr="00FE0944">
              <w:rPr>
                <w:rFonts w:ascii="Arial" w:hAnsi="Arial" w:cs="Arial"/>
                <w:b/>
                <w:bCs/>
                <w:color w:val="000000"/>
              </w:rPr>
              <w:t xml:space="preserve"> i 38.477 </w:t>
            </w:r>
            <w:proofErr w:type="spellStart"/>
            <w:r w:rsidRPr="00FE0944">
              <w:rPr>
                <w:rFonts w:ascii="Arial" w:hAnsi="Arial" w:cs="Arial"/>
                <w:b/>
                <w:bCs/>
                <w:color w:val="000000"/>
              </w:rPr>
              <w:t>unci</w:t>
            </w:r>
            <w:proofErr w:type="spellEnd"/>
            <w:r w:rsidRPr="00FE0944">
              <w:rPr>
                <w:rFonts w:ascii="Arial" w:hAnsi="Arial" w:cs="Arial"/>
                <w:b/>
                <w:bCs/>
                <w:color w:val="000000"/>
              </w:rPr>
              <w:t xml:space="preserve"> </w:t>
            </w:r>
            <w:proofErr w:type="spellStart"/>
            <w:r w:rsidRPr="00FE0944">
              <w:rPr>
                <w:rFonts w:ascii="Arial" w:hAnsi="Arial" w:cs="Arial"/>
                <w:b/>
                <w:bCs/>
                <w:color w:val="000000"/>
              </w:rPr>
              <w:t>zlata</w:t>
            </w:r>
            <w:proofErr w:type="spellEnd"/>
          </w:p>
        </w:tc>
        <w:tc>
          <w:tcPr>
            <w:tcW w:w="762" w:type="pct"/>
            <w:gridSpan w:val="3"/>
            <w:tcBorders>
              <w:top w:val="single" w:sz="8" w:space="0" w:color="auto"/>
              <w:left w:val="nil"/>
              <w:bottom w:val="single" w:sz="8" w:space="0" w:color="auto"/>
              <w:right w:val="single" w:sz="4" w:space="0" w:color="auto"/>
            </w:tcBorders>
            <w:shd w:val="clear" w:color="auto" w:fill="auto"/>
            <w:noWrap/>
            <w:vAlign w:val="bottom"/>
            <w:hideMark/>
          </w:tcPr>
          <w:p w:rsidR="00C921C3" w:rsidRPr="00FE0944" w:rsidRDefault="00C921C3" w:rsidP="00760A53">
            <w:pPr>
              <w:jc w:val="center"/>
              <w:rPr>
                <w:rFonts w:ascii="Calibri" w:hAnsi="Calibri"/>
                <w:b/>
                <w:bCs/>
                <w:color w:val="000000"/>
              </w:rPr>
            </w:pPr>
            <w:r w:rsidRPr="00FE0944">
              <w:rPr>
                <w:rFonts w:ascii="Calibri" w:hAnsi="Calibri"/>
                <w:b/>
                <w:bCs/>
                <w:color w:val="000000"/>
              </w:rPr>
              <w:t>49.50</w:t>
            </w:r>
          </w:p>
        </w:tc>
        <w:tc>
          <w:tcPr>
            <w:tcW w:w="559" w:type="pct"/>
            <w:tcBorders>
              <w:top w:val="nil"/>
              <w:left w:val="nil"/>
              <w:bottom w:val="nil"/>
              <w:right w:val="nil"/>
            </w:tcBorders>
            <w:shd w:val="clear" w:color="auto" w:fill="auto"/>
            <w:noWrap/>
            <w:vAlign w:val="bottom"/>
            <w:hideMark/>
          </w:tcPr>
          <w:p w:rsidR="00C921C3" w:rsidRPr="00FE0944" w:rsidRDefault="00C921C3" w:rsidP="00760A53">
            <w:pPr>
              <w:rPr>
                <w:rFonts w:ascii="Calibri" w:hAnsi="Calibri"/>
                <w:b/>
                <w:bCs/>
                <w:color w:val="000000"/>
              </w:rPr>
            </w:pPr>
          </w:p>
        </w:tc>
      </w:tr>
      <w:tr w:rsidR="00C921C3" w:rsidRPr="00FE0944" w:rsidTr="00760A53">
        <w:trPr>
          <w:gridBefore w:val="1"/>
          <w:gridAfter w:val="2"/>
          <w:wBefore w:w="53" w:type="pct"/>
          <w:wAfter w:w="1636" w:type="pct"/>
          <w:trHeight w:val="315"/>
        </w:trPr>
        <w:tc>
          <w:tcPr>
            <w:tcW w:w="1990" w:type="pct"/>
            <w:tcBorders>
              <w:top w:val="nil"/>
              <w:left w:val="nil"/>
              <w:bottom w:val="nil"/>
              <w:right w:val="nil"/>
            </w:tcBorders>
            <w:shd w:val="clear" w:color="auto" w:fill="auto"/>
            <w:noWrap/>
            <w:vAlign w:val="bottom"/>
            <w:hideMark/>
          </w:tcPr>
          <w:p w:rsidR="00C921C3" w:rsidRPr="00FE0944" w:rsidRDefault="00C921C3" w:rsidP="00760A53">
            <w:pPr>
              <w:rPr>
                <w:rFonts w:ascii="Calibri" w:hAnsi="Calibri"/>
                <w:color w:val="000000"/>
                <w:sz w:val="22"/>
                <w:szCs w:val="22"/>
              </w:rPr>
            </w:pPr>
          </w:p>
        </w:tc>
        <w:tc>
          <w:tcPr>
            <w:tcW w:w="762" w:type="pct"/>
            <w:gridSpan w:val="3"/>
            <w:tcBorders>
              <w:top w:val="nil"/>
              <w:left w:val="nil"/>
              <w:bottom w:val="nil"/>
              <w:right w:val="nil"/>
            </w:tcBorders>
            <w:shd w:val="clear" w:color="auto" w:fill="auto"/>
            <w:noWrap/>
            <w:vAlign w:val="bottom"/>
            <w:hideMark/>
          </w:tcPr>
          <w:p w:rsidR="00C921C3" w:rsidRPr="00FE0944" w:rsidRDefault="00C921C3" w:rsidP="00760A53">
            <w:pPr>
              <w:rPr>
                <w:rFonts w:ascii="Calibri" w:hAnsi="Calibri"/>
                <w:color w:val="000000"/>
                <w:sz w:val="22"/>
                <w:szCs w:val="22"/>
              </w:rPr>
            </w:pPr>
          </w:p>
        </w:tc>
        <w:tc>
          <w:tcPr>
            <w:tcW w:w="559" w:type="pct"/>
            <w:tcBorders>
              <w:top w:val="nil"/>
              <w:left w:val="nil"/>
              <w:bottom w:val="nil"/>
              <w:right w:val="nil"/>
            </w:tcBorders>
            <w:shd w:val="clear" w:color="auto" w:fill="auto"/>
            <w:noWrap/>
            <w:vAlign w:val="bottom"/>
            <w:hideMark/>
          </w:tcPr>
          <w:p w:rsidR="00C921C3" w:rsidRPr="00FE0944" w:rsidRDefault="00C921C3" w:rsidP="00760A53">
            <w:pPr>
              <w:rPr>
                <w:rFonts w:ascii="Calibri" w:hAnsi="Calibri"/>
                <w:color w:val="000000"/>
                <w:sz w:val="22"/>
                <w:szCs w:val="22"/>
              </w:rPr>
            </w:pPr>
          </w:p>
        </w:tc>
      </w:tr>
      <w:tr w:rsidR="00C921C3" w:rsidRPr="00FE0944" w:rsidTr="00760A53">
        <w:trPr>
          <w:gridBefore w:val="1"/>
          <w:gridAfter w:val="2"/>
          <w:wBefore w:w="53" w:type="pct"/>
          <w:wAfter w:w="1636" w:type="pct"/>
          <w:trHeight w:val="540"/>
        </w:trPr>
        <w:tc>
          <w:tcPr>
            <w:tcW w:w="1990" w:type="pct"/>
            <w:tcBorders>
              <w:top w:val="single" w:sz="8" w:space="0" w:color="auto"/>
              <w:left w:val="single" w:sz="8" w:space="0" w:color="auto"/>
              <w:bottom w:val="single" w:sz="8" w:space="0" w:color="auto"/>
              <w:right w:val="single" w:sz="4" w:space="0" w:color="auto"/>
            </w:tcBorders>
            <w:shd w:val="clear" w:color="auto" w:fill="auto"/>
            <w:vAlign w:val="bottom"/>
            <w:hideMark/>
          </w:tcPr>
          <w:p w:rsidR="00C921C3" w:rsidRPr="00FE0944" w:rsidRDefault="00C921C3" w:rsidP="00760A53">
            <w:pPr>
              <w:rPr>
                <w:rFonts w:ascii="Arial" w:hAnsi="Arial" w:cs="Arial"/>
                <w:b/>
                <w:bCs/>
                <w:color w:val="000000"/>
              </w:rPr>
            </w:pPr>
            <w:r w:rsidRPr="00FE0944">
              <w:rPr>
                <w:rFonts w:ascii="Arial" w:hAnsi="Arial" w:cs="Arial"/>
                <w:b/>
                <w:bCs/>
                <w:color w:val="000000"/>
              </w:rPr>
              <w:t xml:space="preserve">UKUPNO: </w:t>
            </w:r>
            <w:r>
              <w:rPr>
                <w:rFonts w:ascii="Arial" w:hAnsi="Arial" w:cs="Arial"/>
                <w:b/>
                <w:bCs/>
                <w:color w:val="000000"/>
              </w:rPr>
              <w:t xml:space="preserve">NETO </w:t>
            </w:r>
            <w:r w:rsidRPr="00FE0944">
              <w:rPr>
                <w:rFonts w:ascii="Arial" w:hAnsi="Arial" w:cs="Arial"/>
                <w:b/>
                <w:bCs/>
                <w:color w:val="000000"/>
              </w:rPr>
              <w:t>JAVNI DUG - DEPOZITI</w:t>
            </w:r>
          </w:p>
        </w:tc>
        <w:tc>
          <w:tcPr>
            <w:tcW w:w="762" w:type="pct"/>
            <w:gridSpan w:val="3"/>
            <w:tcBorders>
              <w:top w:val="single" w:sz="8" w:space="0" w:color="auto"/>
              <w:left w:val="nil"/>
              <w:bottom w:val="single" w:sz="8" w:space="0" w:color="auto"/>
              <w:right w:val="single" w:sz="4" w:space="0" w:color="auto"/>
            </w:tcBorders>
            <w:shd w:val="clear" w:color="auto" w:fill="auto"/>
            <w:noWrap/>
            <w:vAlign w:val="bottom"/>
            <w:hideMark/>
          </w:tcPr>
          <w:p w:rsidR="00C921C3" w:rsidRPr="00FE0944" w:rsidRDefault="00C921C3" w:rsidP="00760A53">
            <w:pPr>
              <w:jc w:val="center"/>
              <w:rPr>
                <w:rFonts w:ascii="Calibri" w:hAnsi="Calibri"/>
                <w:b/>
                <w:bCs/>
                <w:color w:val="000000"/>
              </w:rPr>
            </w:pPr>
            <w:r>
              <w:rPr>
                <w:rFonts w:ascii="Calibri" w:hAnsi="Calibri"/>
                <w:b/>
                <w:bCs/>
                <w:color w:val="000000"/>
              </w:rPr>
              <w:t>2,022.21</w:t>
            </w:r>
          </w:p>
        </w:tc>
        <w:tc>
          <w:tcPr>
            <w:tcW w:w="559" w:type="pct"/>
            <w:tcBorders>
              <w:top w:val="single" w:sz="8" w:space="0" w:color="auto"/>
              <w:left w:val="nil"/>
              <w:bottom w:val="single" w:sz="8" w:space="0" w:color="auto"/>
              <w:right w:val="single" w:sz="4" w:space="0" w:color="auto"/>
            </w:tcBorders>
            <w:shd w:val="clear" w:color="auto" w:fill="auto"/>
            <w:noWrap/>
            <w:vAlign w:val="bottom"/>
            <w:hideMark/>
          </w:tcPr>
          <w:p w:rsidR="00C921C3" w:rsidRPr="00FE0944" w:rsidRDefault="00C921C3" w:rsidP="00760A53">
            <w:pPr>
              <w:jc w:val="center"/>
              <w:rPr>
                <w:rFonts w:ascii="Calibri" w:hAnsi="Calibri"/>
                <w:b/>
                <w:bCs/>
                <w:color w:val="000000"/>
                <w:sz w:val="28"/>
                <w:szCs w:val="28"/>
              </w:rPr>
            </w:pPr>
            <w:r>
              <w:rPr>
                <w:rFonts w:ascii="Calibri" w:hAnsi="Calibri"/>
                <w:b/>
                <w:bCs/>
                <w:color w:val="000000"/>
                <w:sz w:val="28"/>
                <w:szCs w:val="28"/>
              </w:rPr>
              <w:t>59.60</w:t>
            </w:r>
          </w:p>
        </w:tc>
      </w:tr>
    </w:tbl>
    <w:p w:rsidR="00C921C3" w:rsidRDefault="00C921C3" w:rsidP="00C921C3">
      <w:pPr>
        <w:rPr>
          <w:lang w:val="pl-PL"/>
        </w:rPr>
      </w:pPr>
    </w:p>
    <w:p w:rsidR="00C921C3" w:rsidRDefault="00C921C3" w:rsidP="00C921C3">
      <w:pPr>
        <w:rPr>
          <w:rFonts w:ascii="Arial" w:hAnsi="Arial" w:cs="Arial"/>
          <w:b/>
          <w:i/>
        </w:rPr>
      </w:pPr>
      <w:r>
        <w:rPr>
          <w:noProof/>
        </w:rPr>
        <w:drawing>
          <wp:inline distT="0" distB="0" distL="0" distR="0">
            <wp:extent cx="5617029" cy="2660073"/>
            <wp:effectExtent l="19050" t="0" r="21771" b="6927"/>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921C3" w:rsidRPr="00942C57" w:rsidRDefault="00C921C3" w:rsidP="00C921C3">
      <w:pPr>
        <w:jc w:val="center"/>
        <w:rPr>
          <w:rFonts w:ascii="Arial" w:hAnsi="Arial" w:cs="Arial"/>
          <w:i/>
          <w:lang w:val="sr-Latn-CS"/>
        </w:rPr>
      </w:pPr>
      <w:r>
        <w:rPr>
          <w:rFonts w:ascii="Arial" w:hAnsi="Arial" w:cs="Arial"/>
          <w:i/>
          <w:lang w:val="sr-Latn-CS"/>
        </w:rPr>
        <w:t xml:space="preserve">Grafikon 1. </w:t>
      </w:r>
      <w:r w:rsidRPr="00942C57">
        <w:rPr>
          <w:rFonts w:ascii="Arial" w:hAnsi="Arial" w:cs="Arial"/>
          <w:i/>
          <w:lang w:val="sr-Latn-CS"/>
        </w:rPr>
        <w:t>Grafički prikaz odnosa državnog duga i duga lokalne samouprave na dan 31.12.2014. godine</w:t>
      </w:r>
    </w:p>
    <w:p w:rsidR="00C921C3" w:rsidRDefault="00C921C3" w:rsidP="00C921C3">
      <w:pPr>
        <w:rPr>
          <w:lang w:val="pl-PL"/>
        </w:rPr>
      </w:pPr>
    </w:p>
    <w:p w:rsidR="00C921C3" w:rsidRDefault="00C921C3" w:rsidP="00C921C3">
      <w:pPr>
        <w:pStyle w:val="BodyText"/>
        <w:ind w:firstLine="720"/>
        <w:rPr>
          <w:rFonts w:ascii="Arial" w:hAnsi="Arial" w:cs="Arial"/>
        </w:rPr>
      </w:pPr>
    </w:p>
    <w:p w:rsidR="00C921C3" w:rsidRDefault="00C921C3" w:rsidP="00C921C3">
      <w:pPr>
        <w:pStyle w:val="BodyText"/>
        <w:ind w:firstLine="720"/>
        <w:rPr>
          <w:rFonts w:ascii="Arial" w:hAnsi="Arial" w:cs="Arial"/>
        </w:rPr>
      </w:pPr>
      <w:r>
        <w:rPr>
          <w:rFonts w:ascii="Arial" w:hAnsi="Arial" w:cs="Arial"/>
        </w:rPr>
        <w:t xml:space="preserve">Javni dug Crne Gore na dan 31.12.2014. godine, bez depozita na 31.12.2014. godine iznosi 2.071,71 </w:t>
      </w:r>
      <w:r w:rsidR="00760A53">
        <w:rPr>
          <w:rFonts w:ascii="Arial" w:hAnsi="Arial" w:cs="Arial"/>
        </w:rPr>
        <w:t>m</w:t>
      </w:r>
      <w:r>
        <w:rPr>
          <w:rFonts w:ascii="Arial" w:hAnsi="Arial" w:cs="Arial"/>
        </w:rPr>
        <w:t>il. eura</w:t>
      </w:r>
      <w:r>
        <w:rPr>
          <w:rFonts w:ascii="Arial" w:hAnsi="Arial" w:cs="Arial"/>
          <w:b/>
        </w:rPr>
        <w:t xml:space="preserve">  </w:t>
      </w:r>
      <w:r w:rsidRPr="008D20FA">
        <w:rPr>
          <w:rFonts w:ascii="Arial" w:hAnsi="Arial" w:cs="Arial"/>
        </w:rPr>
        <w:t xml:space="preserve">i sastoji se od </w:t>
      </w:r>
      <w:r>
        <w:rPr>
          <w:rFonts w:ascii="Arial" w:hAnsi="Arial" w:cs="Arial"/>
        </w:rPr>
        <w:t>državnog duga koji iznosi 1.942,91</w:t>
      </w:r>
      <w:r w:rsidRPr="008D20FA">
        <w:rPr>
          <w:rFonts w:ascii="Arial" w:hAnsi="Arial" w:cs="Arial"/>
        </w:rPr>
        <w:t xml:space="preserve"> mil. eura</w:t>
      </w:r>
      <w:r>
        <w:rPr>
          <w:rFonts w:ascii="Arial" w:hAnsi="Arial" w:cs="Arial"/>
        </w:rPr>
        <w:t xml:space="preserve"> (u koji je uključen dio duga lokalne samouprave u iznosu od 38,14 mil.eura, po ugovorima za koje je Ministarstvo finansija zaključilo ugovore sa ino kreditorima, a sa opštinama podkreditne ugovore. Obzirom da se Ministarstvo finansija pojavljuje kao direktni zajmoprimac pomenuti iznos je uključen u stanje državnog duga)</w:t>
      </w:r>
      <w:r w:rsidRPr="008D20FA">
        <w:rPr>
          <w:rFonts w:ascii="Arial" w:hAnsi="Arial" w:cs="Arial"/>
        </w:rPr>
        <w:t xml:space="preserve"> i </w:t>
      </w:r>
      <w:r>
        <w:rPr>
          <w:rFonts w:ascii="Arial" w:hAnsi="Arial" w:cs="Arial"/>
        </w:rPr>
        <w:t>duga lokalne samouprave koji iznosi 128,80</w:t>
      </w:r>
      <w:r w:rsidRPr="008D20FA">
        <w:rPr>
          <w:rFonts w:ascii="Arial" w:hAnsi="Arial" w:cs="Arial"/>
        </w:rPr>
        <w:t xml:space="preserve"> mil. eura (Tabela br.1 i Grafikon br. 1).</w:t>
      </w:r>
    </w:p>
    <w:p w:rsidR="00C921C3" w:rsidRDefault="00C921C3" w:rsidP="00C921C3">
      <w:pPr>
        <w:pStyle w:val="BodyText"/>
      </w:pPr>
    </w:p>
    <w:p w:rsidR="00C921C3" w:rsidRPr="00E40B69" w:rsidRDefault="00C921C3" w:rsidP="00C921C3">
      <w:pPr>
        <w:pStyle w:val="BodyText"/>
        <w:ind w:firstLine="720"/>
        <w:rPr>
          <w:rFonts w:ascii="Arial" w:hAnsi="Arial" w:cs="Arial"/>
        </w:rPr>
      </w:pPr>
      <w:r w:rsidRPr="00E40B69">
        <w:rPr>
          <w:rFonts w:ascii="Arial" w:hAnsi="Arial" w:cs="Arial"/>
        </w:rPr>
        <w:t xml:space="preserve">Posmatrajući iznos duga, bez depozita u odnosu na bruto domaći proizvod (BDP), javni dug na kraju 2014. godine iznosi 61,05% BDP-a, </w:t>
      </w:r>
      <w:r>
        <w:rPr>
          <w:rFonts w:ascii="Arial" w:hAnsi="Arial" w:cs="Arial"/>
        </w:rPr>
        <w:t xml:space="preserve">od čega </w:t>
      </w:r>
      <w:r w:rsidRPr="00E40B69">
        <w:rPr>
          <w:rFonts w:ascii="Arial" w:hAnsi="Arial" w:cs="Arial"/>
        </w:rPr>
        <w:t>državni dug iznosi 57,25% BDP-a, dok dug lokalne samouprave iznosi 3.80% BDP-a.</w:t>
      </w:r>
    </w:p>
    <w:p w:rsidR="00C921C3" w:rsidRPr="00E40B69" w:rsidRDefault="00C921C3" w:rsidP="00C921C3">
      <w:pPr>
        <w:rPr>
          <w:rFonts w:ascii="Arial" w:hAnsi="Arial" w:cs="Arial"/>
          <w:i/>
        </w:rPr>
      </w:pPr>
    </w:p>
    <w:p w:rsidR="00C921C3" w:rsidRDefault="00C921C3" w:rsidP="00C921C3">
      <w:pPr>
        <w:jc w:val="center"/>
        <w:rPr>
          <w:rFonts w:ascii="Arial" w:hAnsi="Arial" w:cs="Arial"/>
          <w:b/>
          <w:i/>
        </w:rPr>
      </w:pPr>
    </w:p>
    <w:p w:rsidR="00C921C3" w:rsidRDefault="00C921C3" w:rsidP="00C921C3">
      <w:pPr>
        <w:rPr>
          <w:rFonts w:ascii="Arial" w:hAnsi="Arial" w:cs="Arial"/>
          <w:b/>
          <w:i/>
        </w:rPr>
      </w:pPr>
    </w:p>
    <w:p w:rsidR="00C921C3" w:rsidRPr="00976D53" w:rsidRDefault="00C921C3" w:rsidP="00C921C3">
      <w:pPr>
        <w:pStyle w:val="ListParagraph"/>
        <w:numPr>
          <w:ilvl w:val="0"/>
          <w:numId w:val="15"/>
        </w:numPr>
        <w:jc w:val="center"/>
        <w:rPr>
          <w:rFonts w:ascii="Arial" w:hAnsi="Arial" w:cs="Arial"/>
          <w:sz w:val="24"/>
          <w:szCs w:val="24"/>
        </w:rPr>
      </w:pPr>
      <w:proofErr w:type="spellStart"/>
      <w:r w:rsidRPr="00976D53">
        <w:rPr>
          <w:rFonts w:ascii="Arial" w:hAnsi="Arial" w:cs="Arial"/>
          <w:b/>
          <w:i/>
          <w:sz w:val="24"/>
          <w:szCs w:val="24"/>
        </w:rPr>
        <w:t>Kretanje</w:t>
      </w:r>
      <w:proofErr w:type="spellEnd"/>
      <w:r w:rsidRPr="00976D53">
        <w:rPr>
          <w:rFonts w:ascii="Arial" w:hAnsi="Arial" w:cs="Arial"/>
          <w:b/>
          <w:i/>
          <w:sz w:val="24"/>
          <w:szCs w:val="24"/>
        </w:rPr>
        <w:t xml:space="preserve"> </w:t>
      </w:r>
      <w:proofErr w:type="spellStart"/>
      <w:r w:rsidRPr="00976D53">
        <w:rPr>
          <w:rFonts w:ascii="Arial" w:hAnsi="Arial" w:cs="Arial"/>
          <w:b/>
          <w:i/>
          <w:sz w:val="24"/>
          <w:szCs w:val="24"/>
        </w:rPr>
        <w:t>državnog</w:t>
      </w:r>
      <w:proofErr w:type="spellEnd"/>
      <w:r w:rsidRPr="00976D53">
        <w:rPr>
          <w:rFonts w:ascii="Arial" w:hAnsi="Arial" w:cs="Arial"/>
          <w:b/>
          <w:i/>
          <w:sz w:val="24"/>
          <w:szCs w:val="24"/>
        </w:rPr>
        <w:t xml:space="preserve"> </w:t>
      </w:r>
      <w:proofErr w:type="spellStart"/>
      <w:r w:rsidRPr="00976D53">
        <w:rPr>
          <w:rFonts w:ascii="Arial" w:hAnsi="Arial" w:cs="Arial"/>
          <w:b/>
          <w:i/>
          <w:sz w:val="24"/>
          <w:szCs w:val="24"/>
        </w:rPr>
        <w:t>duga</w:t>
      </w:r>
      <w:proofErr w:type="spellEnd"/>
      <w:r w:rsidRPr="00976D53">
        <w:rPr>
          <w:rFonts w:ascii="Arial" w:hAnsi="Arial" w:cs="Arial"/>
          <w:b/>
          <w:i/>
          <w:sz w:val="24"/>
          <w:szCs w:val="24"/>
        </w:rPr>
        <w:t xml:space="preserve"> u </w:t>
      </w:r>
      <w:proofErr w:type="spellStart"/>
      <w:r w:rsidRPr="00976D53">
        <w:rPr>
          <w:rFonts w:ascii="Arial" w:hAnsi="Arial" w:cs="Arial"/>
          <w:b/>
          <w:i/>
          <w:sz w:val="24"/>
          <w:szCs w:val="24"/>
        </w:rPr>
        <w:t>toku</w:t>
      </w:r>
      <w:proofErr w:type="spellEnd"/>
      <w:r w:rsidRPr="00976D53">
        <w:rPr>
          <w:rFonts w:ascii="Arial" w:hAnsi="Arial" w:cs="Arial"/>
          <w:b/>
          <w:i/>
          <w:sz w:val="24"/>
          <w:szCs w:val="24"/>
        </w:rPr>
        <w:t xml:space="preserve"> 2014. </w:t>
      </w:r>
      <w:proofErr w:type="spellStart"/>
      <w:r w:rsidRPr="00976D53">
        <w:rPr>
          <w:rFonts w:ascii="Arial" w:hAnsi="Arial" w:cs="Arial"/>
          <w:b/>
          <w:i/>
          <w:sz w:val="24"/>
          <w:szCs w:val="24"/>
        </w:rPr>
        <w:t>godine</w:t>
      </w:r>
      <w:proofErr w:type="spellEnd"/>
    </w:p>
    <w:p w:rsidR="00C921C3" w:rsidRPr="008D20FA" w:rsidRDefault="00C921C3" w:rsidP="00C921C3">
      <w:pPr>
        <w:pStyle w:val="BodyText"/>
        <w:jc w:val="center"/>
        <w:rPr>
          <w:rFonts w:ascii="Arial" w:hAnsi="Arial" w:cs="Arial"/>
          <w:b/>
          <w:i/>
        </w:rPr>
      </w:pPr>
    </w:p>
    <w:p w:rsidR="00C921C3" w:rsidRDefault="00C921C3" w:rsidP="00C921C3">
      <w:pPr>
        <w:pStyle w:val="BodyText"/>
        <w:ind w:firstLine="720"/>
        <w:rPr>
          <w:rFonts w:ascii="Arial" w:hAnsi="Arial" w:cs="Arial"/>
        </w:rPr>
      </w:pPr>
      <w:r w:rsidRPr="008D20FA">
        <w:rPr>
          <w:rFonts w:ascii="Arial" w:hAnsi="Arial" w:cs="Arial"/>
        </w:rPr>
        <w:t>Državni dug Crne Gore na</w:t>
      </w:r>
      <w:r>
        <w:rPr>
          <w:rFonts w:ascii="Arial" w:hAnsi="Arial" w:cs="Arial"/>
        </w:rPr>
        <w:t xml:space="preserve"> dan 31.12.2014</w:t>
      </w:r>
      <w:r w:rsidRPr="008D20FA">
        <w:rPr>
          <w:rFonts w:ascii="Arial" w:hAnsi="Arial" w:cs="Arial"/>
        </w:rPr>
        <w:t>. godine</w:t>
      </w:r>
      <w:r>
        <w:rPr>
          <w:rFonts w:ascii="Arial" w:hAnsi="Arial" w:cs="Arial"/>
        </w:rPr>
        <w:t xml:space="preserve">  iznosi 1.942,91</w:t>
      </w:r>
      <w:r w:rsidRPr="008D20FA">
        <w:rPr>
          <w:rFonts w:ascii="Arial" w:hAnsi="Arial" w:cs="Arial"/>
        </w:rPr>
        <w:t xml:space="preserve"> mil. eura i sastoji se od u</w:t>
      </w:r>
      <w:r>
        <w:rPr>
          <w:rFonts w:ascii="Arial" w:hAnsi="Arial" w:cs="Arial"/>
        </w:rPr>
        <w:t>nutrašnjeg duga koji iznosi 381,22</w:t>
      </w:r>
      <w:r w:rsidRPr="008D20FA">
        <w:rPr>
          <w:rFonts w:ascii="Arial" w:hAnsi="Arial" w:cs="Arial"/>
        </w:rPr>
        <w:t xml:space="preserve"> mil. eura i sp</w:t>
      </w:r>
      <w:r>
        <w:rPr>
          <w:rFonts w:ascii="Arial" w:hAnsi="Arial" w:cs="Arial"/>
        </w:rPr>
        <w:t>oljnjeg duga koji iznosi 1.561,69</w:t>
      </w:r>
      <w:r w:rsidRPr="008D20FA">
        <w:rPr>
          <w:rFonts w:ascii="Arial" w:hAnsi="Arial" w:cs="Arial"/>
        </w:rPr>
        <w:t xml:space="preserve"> mil. eura (Tabela br.</w:t>
      </w:r>
      <w:r>
        <w:rPr>
          <w:rFonts w:ascii="Arial" w:hAnsi="Arial" w:cs="Arial"/>
        </w:rPr>
        <w:t>1</w:t>
      </w:r>
      <w:r w:rsidRPr="008D20FA">
        <w:rPr>
          <w:rFonts w:ascii="Arial" w:hAnsi="Arial" w:cs="Arial"/>
        </w:rPr>
        <w:t xml:space="preserve"> i </w:t>
      </w:r>
      <w:r>
        <w:rPr>
          <w:rFonts w:ascii="Arial" w:hAnsi="Arial" w:cs="Arial"/>
        </w:rPr>
        <w:t xml:space="preserve">Grafikon br.2 </w:t>
      </w:r>
      <w:r w:rsidRPr="008D20FA">
        <w:rPr>
          <w:rFonts w:ascii="Arial" w:hAnsi="Arial" w:cs="Arial"/>
        </w:rPr>
        <w:t>).</w:t>
      </w:r>
    </w:p>
    <w:p w:rsidR="00C921C3" w:rsidRDefault="00C921C3" w:rsidP="00C921C3">
      <w:pPr>
        <w:pStyle w:val="BodyText"/>
        <w:rPr>
          <w:rFonts w:ascii="Arial" w:hAnsi="Arial" w:cs="Arial"/>
        </w:rPr>
      </w:pPr>
    </w:p>
    <w:p w:rsidR="00C921C3" w:rsidRDefault="00C921C3" w:rsidP="00C921C3">
      <w:pPr>
        <w:pStyle w:val="BodyText"/>
        <w:jc w:val="left"/>
        <w:rPr>
          <w:rFonts w:ascii="Arial" w:hAnsi="Arial" w:cs="Arial"/>
        </w:rPr>
      </w:pPr>
      <w:r>
        <w:rPr>
          <w:noProof/>
          <w:lang w:val="en-US"/>
        </w:rPr>
        <w:drawing>
          <wp:inline distT="0" distB="0" distL="0" distR="0">
            <wp:extent cx="5510151" cy="2505693"/>
            <wp:effectExtent l="19050" t="0" r="14349" b="8907"/>
            <wp:docPr id="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921C3" w:rsidRPr="00942C57" w:rsidRDefault="00C921C3" w:rsidP="00C921C3">
      <w:pPr>
        <w:pStyle w:val="BodyText"/>
        <w:jc w:val="center"/>
        <w:rPr>
          <w:rFonts w:ascii="Arial" w:hAnsi="Arial" w:cs="Arial"/>
          <w:i/>
          <w:sz w:val="22"/>
        </w:rPr>
      </w:pPr>
      <w:r>
        <w:rPr>
          <w:rFonts w:ascii="Arial" w:hAnsi="Arial" w:cs="Arial"/>
          <w:i/>
          <w:sz w:val="22"/>
        </w:rPr>
        <w:t xml:space="preserve">Grafikon br.2 </w:t>
      </w:r>
      <w:r w:rsidRPr="00942C57">
        <w:rPr>
          <w:rFonts w:ascii="Arial" w:hAnsi="Arial" w:cs="Arial"/>
          <w:i/>
          <w:sz w:val="22"/>
        </w:rPr>
        <w:t>Grafički prikaz odnosa spoljašnjeg i unutrašnjeg duga na dan 31.12.2014. godine</w:t>
      </w:r>
    </w:p>
    <w:p w:rsidR="00C921C3" w:rsidRDefault="00C921C3" w:rsidP="0031253E">
      <w:pPr>
        <w:rPr>
          <w:rFonts w:ascii="Arial" w:hAnsi="Arial" w:cs="Arial"/>
          <w:lang w:val="sr-Latn-CS"/>
        </w:rPr>
      </w:pPr>
    </w:p>
    <w:p w:rsidR="0031253E" w:rsidRDefault="0031253E" w:rsidP="0031253E">
      <w:pPr>
        <w:rPr>
          <w:rFonts w:ascii="Arial" w:hAnsi="Arial" w:cs="Arial"/>
          <w:b/>
        </w:rPr>
      </w:pPr>
    </w:p>
    <w:p w:rsidR="00C921C3" w:rsidRPr="00976D53" w:rsidRDefault="00C921C3" w:rsidP="00C921C3">
      <w:pPr>
        <w:pStyle w:val="ListParagraph"/>
        <w:numPr>
          <w:ilvl w:val="1"/>
          <w:numId w:val="16"/>
        </w:numPr>
        <w:jc w:val="center"/>
        <w:rPr>
          <w:rFonts w:ascii="Arial" w:hAnsi="Arial" w:cs="Arial"/>
          <w:b/>
          <w:sz w:val="24"/>
          <w:szCs w:val="24"/>
          <w:lang w:val="sr-Latn-CS"/>
        </w:rPr>
      </w:pPr>
      <w:r w:rsidRPr="00976D53">
        <w:rPr>
          <w:rFonts w:ascii="Arial" w:hAnsi="Arial" w:cs="Arial"/>
          <w:b/>
          <w:sz w:val="24"/>
          <w:szCs w:val="24"/>
        </w:rPr>
        <w:t xml:space="preserve"> </w:t>
      </w:r>
      <w:proofErr w:type="spellStart"/>
      <w:r w:rsidRPr="00976D53">
        <w:rPr>
          <w:rFonts w:ascii="Arial" w:hAnsi="Arial" w:cs="Arial"/>
          <w:b/>
          <w:sz w:val="24"/>
          <w:szCs w:val="24"/>
        </w:rPr>
        <w:t>Spoljni</w:t>
      </w:r>
      <w:proofErr w:type="spellEnd"/>
      <w:r w:rsidRPr="00976D53">
        <w:rPr>
          <w:rFonts w:ascii="Arial" w:hAnsi="Arial" w:cs="Arial"/>
          <w:b/>
          <w:sz w:val="24"/>
          <w:szCs w:val="24"/>
        </w:rPr>
        <w:t xml:space="preserve"> dug</w:t>
      </w:r>
    </w:p>
    <w:p w:rsidR="00C921C3" w:rsidRPr="008D20FA" w:rsidRDefault="00C921C3" w:rsidP="00C921C3">
      <w:pPr>
        <w:pStyle w:val="BodyText"/>
        <w:ind w:firstLine="720"/>
        <w:jc w:val="center"/>
        <w:rPr>
          <w:rFonts w:ascii="Arial" w:hAnsi="Arial" w:cs="Arial"/>
        </w:rPr>
      </w:pPr>
    </w:p>
    <w:p w:rsidR="00C921C3" w:rsidRPr="00207F25" w:rsidRDefault="00C921C3" w:rsidP="00C921C3">
      <w:pPr>
        <w:pStyle w:val="BodyText"/>
        <w:ind w:firstLine="720"/>
        <w:rPr>
          <w:rFonts w:ascii="Arial" w:hAnsi="Arial" w:cs="Arial"/>
        </w:rPr>
      </w:pPr>
      <w:r w:rsidRPr="00207F25">
        <w:rPr>
          <w:rFonts w:ascii="Arial" w:hAnsi="Arial" w:cs="Arial"/>
        </w:rPr>
        <w:t xml:space="preserve">Spoljni dug je u toku 2014. godine porastao </w:t>
      </w:r>
      <w:r>
        <w:rPr>
          <w:rFonts w:ascii="Arial" w:hAnsi="Arial" w:cs="Arial"/>
        </w:rPr>
        <w:t xml:space="preserve">je </w:t>
      </w:r>
      <w:r w:rsidRPr="00207F25">
        <w:rPr>
          <w:rFonts w:ascii="Arial" w:hAnsi="Arial" w:cs="Arial"/>
        </w:rPr>
        <w:t xml:space="preserve">za </w:t>
      </w:r>
      <w:r w:rsidRPr="00E301DD">
        <w:rPr>
          <w:rFonts w:ascii="Arial" w:hAnsi="Arial" w:cs="Arial"/>
        </w:rPr>
        <w:t>128,69 mil</w:t>
      </w:r>
      <w:r w:rsidRPr="00207F25">
        <w:rPr>
          <w:rFonts w:ascii="Arial" w:hAnsi="Arial" w:cs="Arial"/>
        </w:rPr>
        <w:t>. eura u odnosu na kraj 2013. godine.</w:t>
      </w:r>
    </w:p>
    <w:p w:rsidR="00C921C3" w:rsidRPr="00207F25" w:rsidRDefault="00C921C3" w:rsidP="00C921C3">
      <w:pPr>
        <w:pStyle w:val="BodyText"/>
        <w:ind w:firstLine="720"/>
        <w:rPr>
          <w:rFonts w:ascii="Arial" w:hAnsi="Arial" w:cs="Arial"/>
        </w:rPr>
      </w:pPr>
    </w:p>
    <w:p w:rsidR="00C921C3" w:rsidRPr="00E867F6" w:rsidRDefault="00C921C3" w:rsidP="00C921C3">
      <w:pPr>
        <w:pStyle w:val="BodyText"/>
        <w:ind w:firstLine="720"/>
        <w:rPr>
          <w:rFonts w:ascii="Arial" w:hAnsi="Arial" w:cs="Arial"/>
        </w:rPr>
      </w:pPr>
      <w:r w:rsidRPr="00207F25">
        <w:rPr>
          <w:rFonts w:ascii="Arial" w:hAnsi="Arial" w:cs="Arial"/>
        </w:rPr>
        <w:t>Stanje ino duga uvećano je, najvećim dijelom, emisijom euroobveznica u iznosu od 280 mil. eura, od čega je oko 84 miliona služilo za refinasiranje bondova iz 2010. i 2011. godine. Ostatak sredstava namijenjen je za finansiranje budžetskog deficita.</w:t>
      </w:r>
    </w:p>
    <w:p w:rsidR="00C921C3" w:rsidRPr="00E867F6" w:rsidRDefault="00C921C3" w:rsidP="00C921C3">
      <w:pPr>
        <w:pStyle w:val="BodyText"/>
        <w:ind w:firstLine="360"/>
        <w:rPr>
          <w:rFonts w:ascii="Arial" w:hAnsi="Arial" w:cs="Arial"/>
        </w:rPr>
      </w:pPr>
    </w:p>
    <w:p w:rsidR="00C921C3" w:rsidRPr="00E867F6" w:rsidRDefault="00C921C3" w:rsidP="00C921C3">
      <w:pPr>
        <w:pStyle w:val="BodyText"/>
        <w:ind w:firstLine="360"/>
        <w:rPr>
          <w:rFonts w:ascii="Arial" w:hAnsi="Arial" w:cs="Arial"/>
        </w:rPr>
      </w:pPr>
      <w:r w:rsidRPr="00E867F6">
        <w:rPr>
          <w:rFonts w:ascii="Arial" w:hAnsi="Arial" w:cs="Arial"/>
        </w:rPr>
        <w:t xml:space="preserve">Pored navedenog aranžmana, u toku 2014. godine, potpisani su i sljedeći kreditni aranžmani: </w:t>
      </w:r>
    </w:p>
    <w:p w:rsidR="00C921C3" w:rsidRPr="00E867F6" w:rsidRDefault="00C921C3" w:rsidP="00C921C3">
      <w:pPr>
        <w:tabs>
          <w:tab w:val="left" w:pos="915"/>
        </w:tabs>
        <w:jc w:val="both"/>
        <w:rPr>
          <w:rFonts w:ascii="Arial" w:hAnsi="Arial" w:cs="Arial"/>
        </w:rPr>
      </w:pPr>
    </w:p>
    <w:p w:rsidR="00C921C3" w:rsidRPr="00E867F6" w:rsidRDefault="00C921C3" w:rsidP="00C921C3">
      <w:pPr>
        <w:tabs>
          <w:tab w:val="left" w:pos="915"/>
        </w:tabs>
        <w:jc w:val="both"/>
        <w:rPr>
          <w:rFonts w:ascii="Arial" w:hAnsi="Arial" w:cs="Arial"/>
        </w:rPr>
      </w:pPr>
      <w:r w:rsidRPr="00E867F6">
        <w:rPr>
          <w:rFonts w:ascii="Arial" w:hAnsi="Arial" w:cs="Arial"/>
        </w:rPr>
        <w:t xml:space="preserve">- </w:t>
      </w:r>
      <w:proofErr w:type="spellStart"/>
      <w:r w:rsidRPr="00E867F6">
        <w:rPr>
          <w:rFonts w:ascii="Arial" w:hAnsi="Arial" w:cs="Arial"/>
        </w:rPr>
        <w:t>Kredit</w:t>
      </w:r>
      <w:proofErr w:type="spellEnd"/>
      <w:r>
        <w:rPr>
          <w:rFonts w:ascii="Arial" w:hAnsi="Arial" w:cs="Arial"/>
        </w:rPr>
        <w:t xml:space="preserve"> </w:t>
      </w:r>
      <w:proofErr w:type="spellStart"/>
      <w:r w:rsidR="0031253E">
        <w:rPr>
          <w:rFonts w:ascii="Arial" w:hAnsi="Arial" w:cs="Arial"/>
        </w:rPr>
        <w:t>Banke</w:t>
      </w:r>
      <w:proofErr w:type="spellEnd"/>
      <w:r w:rsidR="0031253E">
        <w:rPr>
          <w:rFonts w:ascii="Arial" w:hAnsi="Arial" w:cs="Arial"/>
        </w:rPr>
        <w:t xml:space="preserve"> </w:t>
      </w:r>
      <w:proofErr w:type="spellStart"/>
      <w:r w:rsidR="0031253E">
        <w:rPr>
          <w:rFonts w:ascii="Arial" w:hAnsi="Arial" w:cs="Arial"/>
        </w:rPr>
        <w:t>za</w:t>
      </w:r>
      <w:proofErr w:type="spellEnd"/>
      <w:r w:rsidR="0031253E">
        <w:rPr>
          <w:rFonts w:ascii="Arial" w:hAnsi="Arial" w:cs="Arial"/>
        </w:rPr>
        <w:t xml:space="preserve"> </w:t>
      </w:r>
      <w:proofErr w:type="spellStart"/>
      <w:r w:rsidR="0031253E">
        <w:rPr>
          <w:rFonts w:ascii="Arial" w:hAnsi="Arial" w:cs="Arial"/>
        </w:rPr>
        <w:t>razvoj</w:t>
      </w:r>
      <w:proofErr w:type="spellEnd"/>
      <w:r w:rsidR="0031253E">
        <w:rPr>
          <w:rFonts w:ascii="Arial" w:hAnsi="Arial" w:cs="Arial"/>
        </w:rPr>
        <w:t xml:space="preserve"> </w:t>
      </w:r>
      <w:proofErr w:type="spellStart"/>
      <w:r w:rsidR="0031253E">
        <w:rPr>
          <w:rFonts w:ascii="Arial" w:hAnsi="Arial" w:cs="Arial"/>
        </w:rPr>
        <w:t>Savjeta</w:t>
      </w:r>
      <w:proofErr w:type="spellEnd"/>
      <w:r w:rsidR="0031253E">
        <w:rPr>
          <w:rFonts w:ascii="Arial" w:hAnsi="Arial" w:cs="Arial"/>
        </w:rPr>
        <w:t xml:space="preserve"> </w:t>
      </w:r>
      <w:proofErr w:type="spellStart"/>
      <w:r w:rsidR="0031253E">
        <w:rPr>
          <w:rFonts w:ascii="Arial" w:hAnsi="Arial" w:cs="Arial"/>
        </w:rPr>
        <w:t>Evrope</w:t>
      </w:r>
      <w:proofErr w:type="spellEnd"/>
      <w:r w:rsidRPr="00E867F6">
        <w:rPr>
          <w:rFonts w:ascii="Arial" w:hAnsi="Arial" w:cs="Arial"/>
        </w:rPr>
        <w:t xml:space="preserve"> </w:t>
      </w:r>
      <w:r>
        <w:rPr>
          <w:rFonts w:ascii="Arial" w:hAnsi="Arial" w:cs="Arial"/>
        </w:rPr>
        <w:t>–</w:t>
      </w:r>
      <w:r w:rsidRPr="00E867F6">
        <w:rPr>
          <w:rFonts w:ascii="Arial" w:hAnsi="Arial" w:cs="Arial"/>
        </w:rPr>
        <w:t xml:space="preserve"> </w:t>
      </w:r>
      <w:proofErr w:type="spellStart"/>
      <w:r w:rsidRPr="00E867F6">
        <w:rPr>
          <w:rFonts w:ascii="Arial" w:hAnsi="Arial" w:cs="Arial"/>
        </w:rPr>
        <w:t>za</w:t>
      </w:r>
      <w:proofErr w:type="spellEnd"/>
      <w:r>
        <w:rPr>
          <w:rFonts w:ascii="Arial" w:hAnsi="Arial" w:cs="Arial"/>
        </w:rPr>
        <w:t xml:space="preserve"> </w:t>
      </w:r>
      <w:proofErr w:type="spellStart"/>
      <w:r w:rsidRPr="00E867F6">
        <w:rPr>
          <w:rFonts w:ascii="Arial" w:hAnsi="Arial" w:cs="Arial"/>
        </w:rPr>
        <w:t>projekat</w:t>
      </w:r>
      <w:proofErr w:type="spellEnd"/>
      <w:r w:rsidRPr="00E867F6">
        <w:rPr>
          <w:rFonts w:ascii="Arial" w:hAnsi="Arial" w:cs="Arial"/>
        </w:rPr>
        <w:t xml:space="preserve"> „</w:t>
      </w:r>
      <w:proofErr w:type="spellStart"/>
      <w:r w:rsidRPr="00E867F6">
        <w:rPr>
          <w:rFonts w:ascii="Arial" w:hAnsi="Arial" w:cs="Arial"/>
        </w:rPr>
        <w:t>Izgradnja</w:t>
      </w:r>
      <w:proofErr w:type="spellEnd"/>
      <w:r w:rsidRPr="00E867F6">
        <w:rPr>
          <w:rFonts w:ascii="Arial" w:hAnsi="Arial" w:cs="Arial"/>
        </w:rPr>
        <w:t xml:space="preserve"> i </w:t>
      </w:r>
      <w:proofErr w:type="spellStart"/>
      <w:r w:rsidRPr="00E867F6">
        <w:rPr>
          <w:rFonts w:ascii="Arial" w:hAnsi="Arial" w:cs="Arial"/>
        </w:rPr>
        <w:t>rekonstrukcija</w:t>
      </w:r>
      <w:proofErr w:type="spellEnd"/>
      <w:r>
        <w:rPr>
          <w:rFonts w:ascii="Arial" w:hAnsi="Arial" w:cs="Arial"/>
        </w:rPr>
        <w:t xml:space="preserve"> </w:t>
      </w:r>
      <w:proofErr w:type="spellStart"/>
      <w:r w:rsidRPr="00E867F6">
        <w:rPr>
          <w:rFonts w:ascii="Arial" w:hAnsi="Arial" w:cs="Arial"/>
        </w:rPr>
        <w:t>predškolskih</w:t>
      </w:r>
      <w:proofErr w:type="spellEnd"/>
      <w:r>
        <w:rPr>
          <w:rFonts w:ascii="Arial" w:hAnsi="Arial" w:cs="Arial"/>
        </w:rPr>
        <w:t xml:space="preserve"> </w:t>
      </w:r>
      <w:proofErr w:type="spellStart"/>
      <w:r w:rsidRPr="00E867F6">
        <w:rPr>
          <w:rFonts w:ascii="Arial" w:hAnsi="Arial" w:cs="Arial"/>
        </w:rPr>
        <w:t>ustanova</w:t>
      </w:r>
      <w:proofErr w:type="spellEnd"/>
      <w:r w:rsidRPr="00E867F6">
        <w:rPr>
          <w:rFonts w:ascii="Arial" w:hAnsi="Arial" w:cs="Arial"/>
        </w:rPr>
        <w:t xml:space="preserve">“, u </w:t>
      </w:r>
      <w:proofErr w:type="spellStart"/>
      <w:r w:rsidRPr="00E867F6">
        <w:rPr>
          <w:rFonts w:ascii="Arial" w:hAnsi="Arial" w:cs="Arial"/>
        </w:rPr>
        <w:t>iznos</w:t>
      </w:r>
      <w:proofErr w:type="spellEnd"/>
      <w:r>
        <w:rPr>
          <w:rFonts w:ascii="Arial" w:hAnsi="Arial" w:cs="Arial"/>
        </w:rPr>
        <w:t xml:space="preserve"> </w:t>
      </w:r>
      <w:proofErr w:type="spellStart"/>
      <w:proofErr w:type="gramStart"/>
      <w:r w:rsidRPr="00E867F6">
        <w:rPr>
          <w:rFonts w:ascii="Arial" w:hAnsi="Arial" w:cs="Arial"/>
        </w:rPr>
        <w:t>uod</w:t>
      </w:r>
      <w:proofErr w:type="spellEnd"/>
      <w:r w:rsidRPr="00E867F6">
        <w:rPr>
          <w:rFonts w:ascii="Arial" w:hAnsi="Arial" w:cs="Arial"/>
        </w:rPr>
        <w:t xml:space="preserve">  10</w:t>
      </w:r>
      <w:proofErr w:type="gramEnd"/>
      <w:r>
        <w:rPr>
          <w:rFonts w:ascii="Arial" w:hAnsi="Arial" w:cs="Arial"/>
        </w:rPr>
        <w:t xml:space="preserve"> </w:t>
      </w:r>
      <w:proofErr w:type="spellStart"/>
      <w:r w:rsidRPr="00E867F6">
        <w:rPr>
          <w:rFonts w:ascii="Arial" w:hAnsi="Arial" w:cs="Arial"/>
        </w:rPr>
        <w:t>miliona</w:t>
      </w:r>
      <w:proofErr w:type="spellEnd"/>
      <w:r>
        <w:rPr>
          <w:rFonts w:ascii="Arial" w:hAnsi="Arial" w:cs="Arial"/>
        </w:rPr>
        <w:t xml:space="preserve"> </w:t>
      </w:r>
      <w:proofErr w:type="spellStart"/>
      <w:r w:rsidRPr="00E867F6">
        <w:rPr>
          <w:rFonts w:ascii="Arial" w:hAnsi="Arial" w:cs="Arial"/>
        </w:rPr>
        <w:t>eura</w:t>
      </w:r>
      <w:proofErr w:type="spellEnd"/>
    </w:p>
    <w:p w:rsidR="00C921C3" w:rsidRPr="00E867F6" w:rsidRDefault="00C921C3" w:rsidP="00C921C3">
      <w:pPr>
        <w:tabs>
          <w:tab w:val="left" w:pos="915"/>
        </w:tabs>
        <w:jc w:val="both"/>
        <w:rPr>
          <w:rFonts w:ascii="Arial" w:hAnsi="Arial" w:cs="Arial"/>
        </w:rPr>
      </w:pPr>
    </w:p>
    <w:p w:rsidR="00C921C3" w:rsidRPr="00E867F6" w:rsidRDefault="00C921C3" w:rsidP="00C921C3">
      <w:pPr>
        <w:tabs>
          <w:tab w:val="left" w:pos="915"/>
        </w:tabs>
        <w:jc w:val="both"/>
        <w:rPr>
          <w:rFonts w:ascii="Arial" w:hAnsi="Arial" w:cs="Arial"/>
        </w:rPr>
      </w:pPr>
      <w:r w:rsidRPr="00E867F6">
        <w:rPr>
          <w:rFonts w:ascii="Arial" w:hAnsi="Arial" w:cs="Arial"/>
        </w:rPr>
        <w:t xml:space="preserve">- </w:t>
      </w:r>
      <w:proofErr w:type="spellStart"/>
      <w:r w:rsidRPr="00E867F6">
        <w:rPr>
          <w:rFonts w:ascii="Arial" w:hAnsi="Arial" w:cs="Arial"/>
        </w:rPr>
        <w:t>Kredit</w:t>
      </w:r>
      <w:proofErr w:type="spellEnd"/>
      <w:r>
        <w:rPr>
          <w:rFonts w:ascii="Arial" w:hAnsi="Arial" w:cs="Arial"/>
        </w:rPr>
        <w:t xml:space="preserve"> </w:t>
      </w:r>
      <w:proofErr w:type="spellStart"/>
      <w:r w:rsidRPr="00E867F6">
        <w:rPr>
          <w:rFonts w:ascii="Arial" w:hAnsi="Arial" w:cs="Arial"/>
        </w:rPr>
        <w:t>Evropske</w:t>
      </w:r>
      <w:proofErr w:type="spellEnd"/>
      <w:r>
        <w:rPr>
          <w:rFonts w:ascii="Arial" w:hAnsi="Arial" w:cs="Arial"/>
        </w:rPr>
        <w:t xml:space="preserve"> </w:t>
      </w:r>
      <w:proofErr w:type="spellStart"/>
      <w:r w:rsidRPr="00E867F6">
        <w:rPr>
          <w:rFonts w:ascii="Arial" w:hAnsi="Arial" w:cs="Arial"/>
        </w:rPr>
        <w:t>Investicione</w:t>
      </w:r>
      <w:proofErr w:type="spellEnd"/>
      <w:r>
        <w:rPr>
          <w:rFonts w:ascii="Arial" w:hAnsi="Arial" w:cs="Arial"/>
        </w:rPr>
        <w:t xml:space="preserve"> </w:t>
      </w:r>
      <w:proofErr w:type="spellStart"/>
      <w:r w:rsidRPr="00E867F6">
        <w:rPr>
          <w:rFonts w:ascii="Arial" w:hAnsi="Arial" w:cs="Arial"/>
        </w:rPr>
        <w:t>Banke</w:t>
      </w:r>
      <w:proofErr w:type="spellEnd"/>
      <w:r w:rsidRPr="00E867F6">
        <w:rPr>
          <w:rFonts w:ascii="Arial" w:hAnsi="Arial" w:cs="Arial"/>
        </w:rPr>
        <w:t xml:space="preserve"> – </w:t>
      </w:r>
      <w:proofErr w:type="spellStart"/>
      <w:r w:rsidRPr="00E867F6">
        <w:rPr>
          <w:rFonts w:ascii="Arial" w:hAnsi="Arial" w:cs="Arial"/>
        </w:rPr>
        <w:t>za</w:t>
      </w:r>
      <w:proofErr w:type="spellEnd"/>
      <w:r>
        <w:rPr>
          <w:rFonts w:ascii="Arial" w:hAnsi="Arial" w:cs="Arial"/>
        </w:rPr>
        <w:t xml:space="preserve"> </w:t>
      </w:r>
      <w:proofErr w:type="spellStart"/>
      <w:r w:rsidRPr="00E867F6">
        <w:rPr>
          <w:rFonts w:ascii="Arial" w:hAnsi="Arial" w:cs="Arial"/>
        </w:rPr>
        <w:t>projekat</w:t>
      </w:r>
      <w:proofErr w:type="spellEnd"/>
      <w:r w:rsidRPr="00E867F6">
        <w:rPr>
          <w:rFonts w:ascii="Arial" w:hAnsi="Arial" w:cs="Arial"/>
        </w:rPr>
        <w:t xml:space="preserve"> „</w:t>
      </w:r>
      <w:proofErr w:type="spellStart"/>
      <w:r w:rsidRPr="00E867F6">
        <w:rPr>
          <w:rFonts w:ascii="Arial" w:hAnsi="Arial" w:cs="Arial"/>
        </w:rPr>
        <w:t>Rehabilitacija</w:t>
      </w:r>
      <w:proofErr w:type="spellEnd"/>
      <w:r>
        <w:rPr>
          <w:rFonts w:ascii="Arial" w:hAnsi="Arial" w:cs="Arial"/>
        </w:rPr>
        <w:t xml:space="preserve"> </w:t>
      </w:r>
      <w:proofErr w:type="spellStart"/>
      <w:r w:rsidRPr="00E867F6">
        <w:rPr>
          <w:rFonts w:ascii="Arial" w:hAnsi="Arial" w:cs="Arial"/>
        </w:rPr>
        <w:t>puteva</w:t>
      </w:r>
      <w:proofErr w:type="spellEnd"/>
      <w:r w:rsidRPr="00E867F6">
        <w:rPr>
          <w:rFonts w:ascii="Arial" w:hAnsi="Arial" w:cs="Arial"/>
        </w:rPr>
        <w:t xml:space="preserve"> i </w:t>
      </w:r>
      <w:proofErr w:type="spellStart"/>
      <w:r w:rsidRPr="00E867F6">
        <w:rPr>
          <w:rFonts w:ascii="Arial" w:hAnsi="Arial" w:cs="Arial"/>
        </w:rPr>
        <w:t>zaobilaznica</w:t>
      </w:r>
      <w:proofErr w:type="spellEnd"/>
      <w:r w:rsidRPr="00E867F6">
        <w:rPr>
          <w:rFonts w:ascii="Arial" w:hAnsi="Arial" w:cs="Arial"/>
        </w:rPr>
        <w:t xml:space="preserve">“, u </w:t>
      </w:r>
      <w:proofErr w:type="spellStart"/>
      <w:r w:rsidRPr="00E867F6">
        <w:rPr>
          <w:rFonts w:ascii="Arial" w:hAnsi="Arial" w:cs="Arial"/>
        </w:rPr>
        <w:t>iznosu</w:t>
      </w:r>
      <w:proofErr w:type="spellEnd"/>
      <w:r w:rsidRPr="00E867F6">
        <w:rPr>
          <w:rFonts w:ascii="Arial" w:hAnsi="Arial" w:cs="Arial"/>
        </w:rPr>
        <w:t xml:space="preserve"> </w:t>
      </w:r>
      <w:proofErr w:type="gramStart"/>
      <w:r w:rsidRPr="00E867F6">
        <w:rPr>
          <w:rFonts w:ascii="Arial" w:hAnsi="Arial" w:cs="Arial"/>
        </w:rPr>
        <w:t>od</w:t>
      </w:r>
      <w:proofErr w:type="gramEnd"/>
      <w:r w:rsidRPr="00E867F6">
        <w:rPr>
          <w:rFonts w:ascii="Arial" w:hAnsi="Arial" w:cs="Arial"/>
        </w:rPr>
        <w:t xml:space="preserve"> 30 </w:t>
      </w:r>
      <w:proofErr w:type="spellStart"/>
      <w:r w:rsidRPr="00E867F6">
        <w:rPr>
          <w:rFonts w:ascii="Arial" w:hAnsi="Arial" w:cs="Arial"/>
        </w:rPr>
        <w:t>miliona</w:t>
      </w:r>
      <w:proofErr w:type="spellEnd"/>
      <w:r>
        <w:rPr>
          <w:rFonts w:ascii="Arial" w:hAnsi="Arial" w:cs="Arial"/>
        </w:rPr>
        <w:t xml:space="preserve"> </w:t>
      </w:r>
      <w:proofErr w:type="spellStart"/>
      <w:r w:rsidRPr="00E867F6">
        <w:rPr>
          <w:rFonts w:ascii="Arial" w:hAnsi="Arial" w:cs="Arial"/>
        </w:rPr>
        <w:t>eura</w:t>
      </w:r>
      <w:proofErr w:type="spellEnd"/>
    </w:p>
    <w:p w:rsidR="00C921C3" w:rsidRPr="00E867F6" w:rsidRDefault="00C921C3" w:rsidP="00C921C3">
      <w:pPr>
        <w:tabs>
          <w:tab w:val="left" w:pos="915"/>
        </w:tabs>
        <w:jc w:val="both"/>
        <w:rPr>
          <w:rFonts w:ascii="Arial" w:hAnsi="Arial" w:cs="Arial"/>
        </w:rPr>
      </w:pPr>
    </w:p>
    <w:p w:rsidR="00C921C3" w:rsidRPr="00E867F6" w:rsidRDefault="00C921C3" w:rsidP="00C921C3">
      <w:pPr>
        <w:tabs>
          <w:tab w:val="left" w:pos="915"/>
        </w:tabs>
        <w:jc w:val="both"/>
        <w:rPr>
          <w:rFonts w:ascii="Arial" w:hAnsi="Arial" w:cs="Arial"/>
        </w:rPr>
      </w:pPr>
      <w:r w:rsidRPr="00E867F6">
        <w:rPr>
          <w:rFonts w:ascii="Arial" w:hAnsi="Arial" w:cs="Arial"/>
        </w:rPr>
        <w:lastRenderedPageBreak/>
        <w:t xml:space="preserve">- </w:t>
      </w:r>
      <w:proofErr w:type="spellStart"/>
      <w:r w:rsidRPr="00E867F6">
        <w:rPr>
          <w:rFonts w:ascii="Arial" w:hAnsi="Arial" w:cs="Arial"/>
        </w:rPr>
        <w:t>Kredit</w:t>
      </w:r>
      <w:proofErr w:type="spellEnd"/>
      <w:r>
        <w:rPr>
          <w:rFonts w:ascii="Arial" w:hAnsi="Arial" w:cs="Arial"/>
        </w:rPr>
        <w:t xml:space="preserve"> </w:t>
      </w:r>
      <w:proofErr w:type="spellStart"/>
      <w:r w:rsidRPr="00E867F6">
        <w:rPr>
          <w:rFonts w:ascii="Arial" w:hAnsi="Arial" w:cs="Arial"/>
        </w:rPr>
        <w:t>KfW</w:t>
      </w:r>
      <w:proofErr w:type="spellEnd"/>
      <w:r w:rsidRPr="00E867F6">
        <w:rPr>
          <w:rFonts w:ascii="Arial" w:hAnsi="Arial" w:cs="Arial"/>
        </w:rPr>
        <w:t xml:space="preserve">-a – </w:t>
      </w:r>
      <w:proofErr w:type="spellStart"/>
      <w:r w:rsidRPr="00E867F6">
        <w:rPr>
          <w:rFonts w:ascii="Arial" w:hAnsi="Arial" w:cs="Arial"/>
        </w:rPr>
        <w:t>za</w:t>
      </w:r>
      <w:proofErr w:type="spellEnd"/>
      <w:r>
        <w:rPr>
          <w:rFonts w:ascii="Arial" w:hAnsi="Arial" w:cs="Arial"/>
        </w:rPr>
        <w:t xml:space="preserve"> </w:t>
      </w:r>
      <w:proofErr w:type="spellStart"/>
      <w:r w:rsidRPr="00E867F6">
        <w:rPr>
          <w:rFonts w:ascii="Arial" w:hAnsi="Arial" w:cs="Arial"/>
        </w:rPr>
        <w:t>projekat</w:t>
      </w:r>
      <w:proofErr w:type="spellEnd"/>
      <w:r w:rsidRPr="00E867F6">
        <w:rPr>
          <w:rFonts w:ascii="Arial" w:hAnsi="Arial" w:cs="Arial"/>
        </w:rPr>
        <w:t xml:space="preserve"> „</w:t>
      </w:r>
      <w:proofErr w:type="spellStart"/>
      <w:r w:rsidRPr="00E867F6">
        <w:rPr>
          <w:rFonts w:ascii="Arial" w:hAnsi="Arial" w:cs="Arial"/>
        </w:rPr>
        <w:t>Energetska</w:t>
      </w:r>
      <w:proofErr w:type="spellEnd"/>
      <w:r>
        <w:rPr>
          <w:rFonts w:ascii="Arial" w:hAnsi="Arial" w:cs="Arial"/>
        </w:rPr>
        <w:t xml:space="preserve"> </w:t>
      </w:r>
      <w:proofErr w:type="spellStart"/>
      <w:r w:rsidRPr="00E867F6">
        <w:rPr>
          <w:rFonts w:ascii="Arial" w:hAnsi="Arial" w:cs="Arial"/>
        </w:rPr>
        <w:t>efikasnost</w:t>
      </w:r>
      <w:proofErr w:type="spellEnd"/>
      <w:r w:rsidRPr="00E867F6">
        <w:rPr>
          <w:rFonts w:ascii="Arial" w:hAnsi="Arial" w:cs="Arial"/>
        </w:rPr>
        <w:t xml:space="preserve"> u </w:t>
      </w:r>
      <w:proofErr w:type="spellStart"/>
      <w:r w:rsidRPr="00E867F6">
        <w:rPr>
          <w:rFonts w:ascii="Arial" w:hAnsi="Arial" w:cs="Arial"/>
        </w:rPr>
        <w:t>javnim</w:t>
      </w:r>
      <w:proofErr w:type="spellEnd"/>
      <w:r>
        <w:rPr>
          <w:rFonts w:ascii="Arial" w:hAnsi="Arial" w:cs="Arial"/>
        </w:rPr>
        <w:t xml:space="preserve"> </w:t>
      </w:r>
      <w:proofErr w:type="spellStart"/>
      <w:r w:rsidRPr="00E867F6">
        <w:rPr>
          <w:rFonts w:ascii="Arial" w:hAnsi="Arial" w:cs="Arial"/>
        </w:rPr>
        <w:t>ustanovama</w:t>
      </w:r>
      <w:proofErr w:type="spellEnd"/>
      <w:r>
        <w:rPr>
          <w:rFonts w:ascii="Arial" w:hAnsi="Arial" w:cs="Arial"/>
        </w:rPr>
        <w:t xml:space="preserve"> </w:t>
      </w:r>
      <w:proofErr w:type="spellStart"/>
      <w:r w:rsidRPr="00E867F6">
        <w:rPr>
          <w:rFonts w:ascii="Arial" w:hAnsi="Arial" w:cs="Arial"/>
        </w:rPr>
        <w:t>faza</w:t>
      </w:r>
      <w:proofErr w:type="spellEnd"/>
      <w:r w:rsidRPr="00E867F6">
        <w:rPr>
          <w:rFonts w:ascii="Arial" w:hAnsi="Arial" w:cs="Arial"/>
        </w:rPr>
        <w:t xml:space="preserve"> 2</w:t>
      </w:r>
      <w:proofErr w:type="gramStart"/>
      <w:r w:rsidRPr="00E867F6">
        <w:rPr>
          <w:rFonts w:ascii="Arial" w:hAnsi="Arial" w:cs="Arial"/>
        </w:rPr>
        <w:t>“ u</w:t>
      </w:r>
      <w:proofErr w:type="gramEnd"/>
      <w:r>
        <w:rPr>
          <w:rFonts w:ascii="Arial" w:hAnsi="Arial" w:cs="Arial"/>
        </w:rPr>
        <w:t xml:space="preserve"> </w:t>
      </w:r>
      <w:proofErr w:type="spellStart"/>
      <w:r w:rsidRPr="00E867F6">
        <w:rPr>
          <w:rFonts w:ascii="Arial" w:hAnsi="Arial" w:cs="Arial"/>
        </w:rPr>
        <w:t>iznosu</w:t>
      </w:r>
      <w:proofErr w:type="spellEnd"/>
      <w:r w:rsidRPr="00E867F6">
        <w:rPr>
          <w:rFonts w:ascii="Arial" w:hAnsi="Arial" w:cs="Arial"/>
        </w:rPr>
        <w:t xml:space="preserve"> od 20 </w:t>
      </w:r>
      <w:proofErr w:type="spellStart"/>
      <w:r w:rsidRPr="00E867F6">
        <w:rPr>
          <w:rFonts w:ascii="Arial" w:hAnsi="Arial" w:cs="Arial"/>
        </w:rPr>
        <w:t>miliona</w:t>
      </w:r>
      <w:proofErr w:type="spellEnd"/>
      <w:r>
        <w:rPr>
          <w:rFonts w:ascii="Arial" w:hAnsi="Arial" w:cs="Arial"/>
        </w:rPr>
        <w:t xml:space="preserve"> </w:t>
      </w:r>
      <w:proofErr w:type="spellStart"/>
      <w:r w:rsidRPr="00E867F6">
        <w:rPr>
          <w:rFonts w:ascii="Arial" w:hAnsi="Arial" w:cs="Arial"/>
        </w:rPr>
        <w:t>eura</w:t>
      </w:r>
      <w:proofErr w:type="spellEnd"/>
    </w:p>
    <w:p w:rsidR="00C921C3" w:rsidRPr="00E867F6" w:rsidRDefault="00C921C3" w:rsidP="00C921C3">
      <w:pPr>
        <w:tabs>
          <w:tab w:val="left" w:pos="915"/>
        </w:tabs>
        <w:jc w:val="both"/>
        <w:rPr>
          <w:rFonts w:ascii="Arial" w:hAnsi="Arial" w:cs="Arial"/>
        </w:rPr>
      </w:pPr>
    </w:p>
    <w:p w:rsidR="00C921C3" w:rsidRDefault="00C921C3" w:rsidP="00C921C3">
      <w:pPr>
        <w:tabs>
          <w:tab w:val="left" w:pos="915"/>
        </w:tabs>
        <w:jc w:val="both"/>
        <w:rPr>
          <w:rFonts w:ascii="Arial" w:hAnsi="Arial" w:cs="Arial"/>
        </w:rPr>
      </w:pPr>
      <w:r w:rsidRPr="00E867F6">
        <w:rPr>
          <w:rFonts w:ascii="Arial" w:hAnsi="Arial" w:cs="Arial"/>
        </w:rPr>
        <w:t xml:space="preserve">- </w:t>
      </w:r>
      <w:proofErr w:type="spellStart"/>
      <w:r w:rsidRPr="00E867F6">
        <w:rPr>
          <w:rFonts w:ascii="Arial" w:hAnsi="Arial" w:cs="Arial"/>
        </w:rPr>
        <w:t>Kredit</w:t>
      </w:r>
      <w:proofErr w:type="spellEnd"/>
      <w:r w:rsidRPr="00E867F6">
        <w:rPr>
          <w:rFonts w:ascii="Arial" w:hAnsi="Arial" w:cs="Arial"/>
        </w:rPr>
        <w:t xml:space="preserve"> IBRD-a – </w:t>
      </w:r>
      <w:proofErr w:type="spellStart"/>
      <w:r w:rsidRPr="00E867F6">
        <w:rPr>
          <w:rFonts w:ascii="Arial" w:hAnsi="Arial" w:cs="Arial"/>
        </w:rPr>
        <w:t>za</w:t>
      </w:r>
      <w:proofErr w:type="spellEnd"/>
      <w:r>
        <w:rPr>
          <w:rFonts w:ascii="Arial" w:hAnsi="Arial" w:cs="Arial"/>
        </w:rPr>
        <w:t xml:space="preserve"> </w:t>
      </w:r>
      <w:proofErr w:type="spellStart"/>
      <w:r w:rsidRPr="00E867F6">
        <w:rPr>
          <w:rFonts w:ascii="Arial" w:hAnsi="Arial" w:cs="Arial"/>
        </w:rPr>
        <w:t>projekat</w:t>
      </w:r>
      <w:proofErr w:type="spellEnd"/>
      <w:r w:rsidRPr="00E867F6">
        <w:rPr>
          <w:rFonts w:ascii="Arial" w:hAnsi="Arial" w:cs="Arial"/>
        </w:rPr>
        <w:t xml:space="preserve"> „</w:t>
      </w:r>
      <w:proofErr w:type="spellStart"/>
      <w:r w:rsidRPr="00E867F6">
        <w:rPr>
          <w:rFonts w:ascii="Arial" w:hAnsi="Arial" w:cs="Arial"/>
        </w:rPr>
        <w:t>Upravljanje</w:t>
      </w:r>
      <w:proofErr w:type="spellEnd"/>
      <w:r>
        <w:rPr>
          <w:rFonts w:ascii="Arial" w:hAnsi="Arial" w:cs="Arial"/>
        </w:rPr>
        <w:t xml:space="preserve"> </w:t>
      </w:r>
      <w:proofErr w:type="spellStart"/>
      <w:r w:rsidRPr="00E867F6">
        <w:rPr>
          <w:rFonts w:ascii="Arial" w:hAnsi="Arial" w:cs="Arial"/>
        </w:rPr>
        <w:t>industrijskim</w:t>
      </w:r>
      <w:proofErr w:type="spellEnd"/>
      <w:r>
        <w:rPr>
          <w:rFonts w:ascii="Arial" w:hAnsi="Arial" w:cs="Arial"/>
        </w:rPr>
        <w:t xml:space="preserve"> </w:t>
      </w:r>
      <w:proofErr w:type="spellStart"/>
      <w:r w:rsidRPr="00E867F6">
        <w:rPr>
          <w:rFonts w:ascii="Arial" w:hAnsi="Arial" w:cs="Arial"/>
        </w:rPr>
        <w:t>otpadom</w:t>
      </w:r>
      <w:proofErr w:type="spellEnd"/>
      <w:r w:rsidRPr="00E867F6">
        <w:rPr>
          <w:rFonts w:ascii="Arial" w:hAnsi="Arial" w:cs="Arial"/>
        </w:rPr>
        <w:t xml:space="preserve">“, u </w:t>
      </w:r>
      <w:proofErr w:type="spellStart"/>
      <w:r w:rsidRPr="00E867F6">
        <w:rPr>
          <w:rFonts w:ascii="Arial" w:hAnsi="Arial" w:cs="Arial"/>
        </w:rPr>
        <w:t>iznosu</w:t>
      </w:r>
      <w:proofErr w:type="spellEnd"/>
      <w:r>
        <w:rPr>
          <w:rFonts w:ascii="Arial" w:hAnsi="Arial" w:cs="Arial"/>
        </w:rPr>
        <w:t xml:space="preserve"> </w:t>
      </w:r>
      <w:proofErr w:type="gramStart"/>
      <w:r w:rsidRPr="00E867F6">
        <w:rPr>
          <w:rFonts w:ascii="Arial" w:hAnsi="Arial" w:cs="Arial"/>
        </w:rPr>
        <w:t>od</w:t>
      </w:r>
      <w:proofErr w:type="gramEnd"/>
      <w:r w:rsidRPr="00E867F6">
        <w:rPr>
          <w:rFonts w:ascii="Arial" w:hAnsi="Arial" w:cs="Arial"/>
        </w:rPr>
        <w:t xml:space="preserve"> 50 </w:t>
      </w:r>
      <w:proofErr w:type="spellStart"/>
      <w:r w:rsidRPr="00E867F6">
        <w:rPr>
          <w:rFonts w:ascii="Arial" w:hAnsi="Arial" w:cs="Arial"/>
        </w:rPr>
        <w:t>miliona</w:t>
      </w:r>
      <w:proofErr w:type="spellEnd"/>
      <w:r>
        <w:rPr>
          <w:rFonts w:ascii="Arial" w:hAnsi="Arial" w:cs="Arial"/>
        </w:rPr>
        <w:t xml:space="preserve"> </w:t>
      </w:r>
      <w:proofErr w:type="spellStart"/>
      <w:r w:rsidRPr="00E867F6">
        <w:rPr>
          <w:rFonts w:ascii="Arial" w:hAnsi="Arial" w:cs="Arial"/>
        </w:rPr>
        <w:t>eura</w:t>
      </w:r>
      <w:proofErr w:type="spellEnd"/>
    </w:p>
    <w:p w:rsidR="00C921C3" w:rsidRPr="00E867F6" w:rsidRDefault="00C921C3" w:rsidP="00C921C3">
      <w:pPr>
        <w:tabs>
          <w:tab w:val="left" w:pos="915"/>
        </w:tabs>
        <w:jc w:val="both"/>
        <w:rPr>
          <w:rFonts w:ascii="Arial" w:hAnsi="Arial" w:cs="Arial"/>
        </w:rPr>
      </w:pPr>
    </w:p>
    <w:p w:rsidR="00C921C3" w:rsidRPr="00CA4423" w:rsidRDefault="00C921C3" w:rsidP="00C921C3">
      <w:pPr>
        <w:jc w:val="both"/>
        <w:rPr>
          <w:rFonts w:ascii="Arial" w:hAnsi="Arial" w:cs="Arial"/>
        </w:rPr>
      </w:pPr>
      <w:r>
        <w:rPr>
          <w:color w:val="333333"/>
          <w:shd w:val="clear" w:color="auto" w:fill="FFFFFF"/>
        </w:rPr>
        <w:t xml:space="preserve">- </w:t>
      </w:r>
      <w:proofErr w:type="spellStart"/>
      <w:r w:rsidRPr="00CA4423">
        <w:rPr>
          <w:rFonts w:ascii="Arial" w:hAnsi="Arial" w:cs="Arial"/>
          <w:color w:val="333333"/>
          <w:shd w:val="clear" w:color="auto" w:fill="FFFFFF"/>
        </w:rPr>
        <w:t>Vlada</w:t>
      </w:r>
      <w:proofErr w:type="spellEnd"/>
      <w:r w:rsidRPr="00CA4423">
        <w:rPr>
          <w:rFonts w:ascii="Arial" w:hAnsi="Arial" w:cs="Arial"/>
          <w:color w:val="333333"/>
          <w:shd w:val="clear" w:color="auto" w:fill="FFFFFF"/>
        </w:rPr>
        <w:t xml:space="preserve"> </w:t>
      </w:r>
      <w:proofErr w:type="spellStart"/>
      <w:r w:rsidRPr="00CA4423">
        <w:rPr>
          <w:rFonts w:ascii="Arial" w:hAnsi="Arial" w:cs="Arial"/>
          <w:color w:val="333333"/>
          <w:shd w:val="clear" w:color="auto" w:fill="FFFFFF"/>
        </w:rPr>
        <w:t>Crne</w:t>
      </w:r>
      <w:proofErr w:type="spellEnd"/>
      <w:r w:rsidRPr="00CA4423">
        <w:rPr>
          <w:rFonts w:ascii="Arial" w:hAnsi="Arial" w:cs="Arial"/>
          <w:color w:val="333333"/>
          <w:shd w:val="clear" w:color="auto" w:fill="FFFFFF"/>
        </w:rPr>
        <w:t xml:space="preserve"> Gore i </w:t>
      </w:r>
      <w:proofErr w:type="spellStart"/>
      <w:r w:rsidRPr="00CA4423">
        <w:rPr>
          <w:rFonts w:ascii="Arial" w:hAnsi="Arial" w:cs="Arial"/>
          <w:color w:val="333333"/>
          <w:shd w:val="clear" w:color="auto" w:fill="FFFFFF"/>
        </w:rPr>
        <w:t>kineska</w:t>
      </w:r>
      <w:proofErr w:type="spellEnd"/>
      <w:r w:rsidRPr="00CA4423">
        <w:rPr>
          <w:rFonts w:ascii="Arial" w:hAnsi="Arial" w:cs="Arial"/>
          <w:color w:val="333333"/>
          <w:shd w:val="clear" w:color="auto" w:fill="FFFFFF"/>
        </w:rPr>
        <w:t xml:space="preserve"> Exim </w:t>
      </w:r>
      <w:proofErr w:type="gramStart"/>
      <w:r w:rsidRPr="00CA4423">
        <w:rPr>
          <w:rFonts w:ascii="Arial" w:hAnsi="Arial" w:cs="Arial"/>
          <w:color w:val="333333"/>
          <w:shd w:val="clear" w:color="auto" w:fill="FFFFFF"/>
        </w:rPr>
        <w:t>banka</w:t>
      </w:r>
      <w:proofErr w:type="gramEnd"/>
      <w:r w:rsidRPr="00CA4423">
        <w:rPr>
          <w:rFonts w:ascii="Arial" w:hAnsi="Arial" w:cs="Arial"/>
          <w:color w:val="333333"/>
          <w:shd w:val="clear" w:color="auto" w:fill="FFFFFF"/>
        </w:rPr>
        <w:t xml:space="preserve"> </w:t>
      </w:r>
      <w:proofErr w:type="spellStart"/>
      <w:r w:rsidRPr="00CA4423">
        <w:rPr>
          <w:rFonts w:ascii="Arial" w:hAnsi="Arial" w:cs="Arial"/>
          <w:color w:val="333333"/>
          <w:shd w:val="clear" w:color="auto" w:fill="FFFFFF"/>
        </w:rPr>
        <w:t>potpisale</w:t>
      </w:r>
      <w:proofErr w:type="spellEnd"/>
      <w:r w:rsidRPr="00CA4423">
        <w:rPr>
          <w:rFonts w:ascii="Arial" w:hAnsi="Arial" w:cs="Arial"/>
          <w:color w:val="333333"/>
          <w:shd w:val="clear" w:color="auto" w:fill="FFFFFF"/>
        </w:rPr>
        <w:t xml:space="preserve"> </w:t>
      </w:r>
      <w:proofErr w:type="spellStart"/>
      <w:r w:rsidRPr="00CA4423">
        <w:rPr>
          <w:rFonts w:ascii="Arial" w:hAnsi="Arial" w:cs="Arial"/>
          <w:color w:val="333333"/>
          <w:shd w:val="clear" w:color="auto" w:fill="FFFFFF"/>
        </w:rPr>
        <w:t>su</w:t>
      </w:r>
      <w:proofErr w:type="spellEnd"/>
      <w:r w:rsidRPr="00CA4423">
        <w:rPr>
          <w:rFonts w:ascii="Arial" w:hAnsi="Arial" w:cs="Arial"/>
          <w:color w:val="333333"/>
          <w:shd w:val="clear" w:color="auto" w:fill="FFFFFF"/>
        </w:rPr>
        <w:t xml:space="preserve"> 30</w:t>
      </w:r>
      <w:r>
        <w:rPr>
          <w:rFonts w:ascii="Arial" w:hAnsi="Arial" w:cs="Arial"/>
          <w:color w:val="333333"/>
          <w:shd w:val="clear" w:color="auto" w:fill="FFFFFF"/>
        </w:rPr>
        <w:t xml:space="preserve">.10.2014. </w:t>
      </w:r>
      <w:proofErr w:type="spellStart"/>
      <w:r>
        <w:rPr>
          <w:rFonts w:ascii="Arial" w:hAnsi="Arial" w:cs="Arial"/>
          <w:color w:val="333333"/>
          <w:shd w:val="clear" w:color="auto" w:fill="FFFFFF"/>
        </w:rPr>
        <w:t>U</w:t>
      </w:r>
      <w:r w:rsidRPr="00CA4423">
        <w:rPr>
          <w:rFonts w:ascii="Arial" w:hAnsi="Arial" w:cs="Arial"/>
          <w:color w:val="333333"/>
          <w:shd w:val="clear" w:color="auto" w:fill="FFFFFF"/>
        </w:rPr>
        <w:t>govor</w:t>
      </w:r>
      <w:proofErr w:type="spellEnd"/>
      <w:r w:rsidRPr="00CA4423">
        <w:rPr>
          <w:rFonts w:ascii="Arial" w:hAnsi="Arial" w:cs="Arial"/>
          <w:color w:val="333333"/>
          <w:shd w:val="clear" w:color="auto" w:fill="FFFFFF"/>
        </w:rPr>
        <w:t xml:space="preserve"> o </w:t>
      </w:r>
      <w:proofErr w:type="spellStart"/>
      <w:r w:rsidRPr="00CA4423">
        <w:rPr>
          <w:rFonts w:ascii="Arial" w:hAnsi="Arial" w:cs="Arial"/>
          <w:color w:val="333333"/>
          <w:shd w:val="clear" w:color="auto" w:fill="FFFFFF"/>
        </w:rPr>
        <w:t>finansiranju</w:t>
      </w:r>
      <w:proofErr w:type="spellEnd"/>
      <w:r w:rsidRPr="00CA4423">
        <w:rPr>
          <w:rFonts w:ascii="Arial" w:hAnsi="Arial" w:cs="Arial"/>
          <w:color w:val="333333"/>
          <w:shd w:val="clear" w:color="auto" w:fill="FFFFFF"/>
        </w:rPr>
        <w:t xml:space="preserve"> </w:t>
      </w:r>
      <w:proofErr w:type="spellStart"/>
      <w:r w:rsidRPr="00CA4423">
        <w:rPr>
          <w:rFonts w:ascii="Arial" w:hAnsi="Arial" w:cs="Arial"/>
          <w:color w:val="333333"/>
          <w:shd w:val="clear" w:color="auto" w:fill="FFFFFF"/>
        </w:rPr>
        <w:t>autoputa</w:t>
      </w:r>
      <w:proofErr w:type="spellEnd"/>
      <w:r w:rsidRPr="00CA4423">
        <w:rPr>
          <w:rFonts w:ascii="Arial" w:hAnsi="Arial" w:cs="Arial"/>
          <w:color w:val="333333"/>
          <w:shd w:val="clear" w:color="auto" w:fill="FFFFFF"/>
        </w:rPr>
        <w:t xml:space="preserve"> Bar – </w:t>
      </w:r>
      <w:proofErr w:type="spellStart"/>
      <w:r w:rsidRPr="00CA4423">
        <w:rPr>
          <w:rFonts w:ascii="Arial" w:hAnsi="Arial" w:cs="Arial"/>
          <w:color w:val="333333"/>
          <w:shd w:val="clear" w:color="auto" w:fill="FFFFFF"/>
        </w:rPr>
        <w:t>Boljare</w:t>
      </w:r>
      <w:proofErr w:type="spellEnd"/>
      <w:r w:rsidRPr="00CA4423">
        <w:rPr>
          <w:rFonts w:ascii="Arial" w:hAnsi="Arial" w:cs="Arial"/>
          <w:color w:val="333333"/>
          <w:shd w:val="clear" w:color="auto" w:fill="FFFFFF"/>
        </w:rPr>
        <w:t xml:space="preserve"> (</w:t>
      </w:r>
      <w:proofErr w:type="spellStart"/>
      <w:r w:rsidRPr="00CA4423">
        <w:rPr>
          <w:rFonts w:ascii="Arial" w:hAnsi="Arial" w:cs="Arial"/>
          <w:color w:val="333333"/>
          <w:shd w:val="clear" w:color="auto" w:fill="FFFFFF"/>
        </w:rPr>
        <w:t>Smokovac-Mateševo</w:t>
      </w:r>
      <w:proofErr w:type="spellEnd"/>
      <w:r w:rsidRPr="00CA4423">
        <w:rPr>
          <w:rFonts w:ascii="Arial" w:hAnsi="Arial" w:cs="Arial"/>
          <w:color w:val="333333"/>
          <w:shd w:val="clear" w:color="auto" w:fill="FFFFFF"/>
        </w:rPr>
        <w:t>)</w:t>
      </w:r>
      <w:r>
        <w:rPr>
          <w:rFonts w:ascii="Arial" w:hAnsi="Arial" w:cs="Arial"/>
          <w:color w:val="333333"/>
          <w:shd w:val="clear" w:color="auto" w:fill="FFFFFF"/>
        </w:rPr>
        <w:t xml:space="preserve">, </w:t>
      </w:r>
      <w:proofErr w:type="spellStart"/>
      <w:r>
        <w:rPr>
          <w:rFonts w:ascii="Arial" w:hAnsi="Arial" w:cs="Arial"/>
          <w:color w:val="333333"/>
          <w:shd w:val="clear" w:color="auto" w:fill="FFFFFF"/>
        </w:rPr>
        <w:t>na</w:t>
      </w:r>
      <w:proofErr w:type="spellEnd"/>
      <w:r>
        <w:rPr>
          <w:rFonts w:ascii="Arial" w:hAnsi="Arial" w:cs="Arial"/>
          <w:color w:val="333333"/>
          <w:shd w:val="clear" w:color="auto" w:fill="FFFFFF"/>
        </w:rPr>
        <w:t xml:space="preserve"> </w:t>
      </w:r>
      <w:proofErr w:type="spellStart"/>
      <w:r>
        <w:rPr>
          <w:rFonts w:ascii="Arial" w:hAnsi="Arial" w:cs="Arial"/>
          <w:color w:val="333333"/>
          <w:shd w:val="clear" w:color="auto" w:fill="FFFFFF"/>
        </w:rPr>
        <w:t>iznos</w:t>
      </w:r>
      <w:proofErr w:type="spellEnd"/>
      <w:r>
        <w:rPr>
          <w:rFonts w:ascii="Arial" w:hAnsi="Arial" w:cs="Arial"/>
          <w:color w:val="333333"/>
          <w:shd w:val="clear" w:color="auto" w:fill="FFFFFF"/>
        </w:rPr>
        <w:t xml:space="preserve"> od 943.991.500</w:t>
      </w:r>
      <w:proofErr w:type="gramStart"/>
      <w:r>
        <w:rPr>
          <w:rFonts w:ascii="Arial" w:hAnsi="Arial" w:cs="Arial"/>
          <w:color w:val="333333"/>
          <w:shd w:val="clear" w:color="auto" w:fill="FFFFFF"/>
        </w:rPr>
        <w:t>,00</w:t>
      </w:r>
      <w:proofErr w:type="gramEnd"/>
      <w:r>
        <w:rPr>
          <w:rFonts w:ascii="Arial" w:hAnsi="Arial" w:cs="Arial"/>
          <w:color w:val="333333"/>
          <w:shd w:val="clear" w:color="auto" w:fill="FFFFFF"/>
        </w:rPr>
        <w:t xml:space="preserve"> USD</w:t>
      </w:r>
      <w:r w:rsidRPr="00CA4423">
        <w:rPr>
          <w:rFonts w:ascii="Arial" w:hAnsi="Arial" w:cs="Arial"/>
          <w:color w:val="333333"/>
          <w:shd w:val="clear" w:color="auto" w:fill="FFFFFF"/>
        </w:rPr>
        <w:t>.</w:t>
      </w:r>
      <w:r w:rsidRPr="00CA4423">
        <w:rPr>
          <w:rFonts w:ascii="Arial" w:hAnsi="Arial" w:cs="Arial"/>
        </w:rPr>
        <w:t xml:space="preserve"> </w:t>
      </w:r>
      <w:proofErr w:type="spellStart"/>
      <w:r>
        <w:rPr>
          <w:rFonts w:ascii="Arial" w:hAnsi="Arial" w:cs="Arial"/>
        </w:rPr>
        <w:t>Kredit</w:t>
      </w:r>
      <w:proofErr w:type="spellEnd"/>
      <w:r>
        <w:rPr>
          <w:rFonts w:ascii="Arial" w:hAnsi="Arial" w:cs="Arial"/>
        </w:rPr>
        <w:t xml:space="preserve"> </w:t>
      </w:r>
      <w:proofErr w:type="spellStart"/>
      <w:proofErr w:type="gramStart"/>
      <w:r>
        <w:rPr>
          <w:rFonts w:ascii="Arial" w:hAnsi="Arial" w:cs="Arial"/>
        </w:rPr>
        <w:t>će</w:t>
      </w:r>
      <w:proofErr w:type="spellEnd"/>
      <w:proofErr w:type="gramEnd"/>
      <w:r>
        <w:rPr>
          <w:rFonts w:ascii="Arial" w:hAnsi="Arial" w:cs="Arial"/>
        </w:rPr>
        <w:t xml:space="preserve"> </w:t>
      </w:r>
      <w:proofErr w:type="spellStart"/>
      <w:r>
        <w:rPr>
          <w:rFonts w:ascii="Arial" w:hAnsi="Arial" w:cs="Arial"/>
        </w:rPr>
        <w:t>postati</w:t>
      </w:r>
      <w:proofErr w:type="spellEnd"/>
      <w:r>
        <w:rPr>
          <w:rFonts w:ascii="Arial" w:hAnsi="Arial" w:cs="Arial"/>
        </w:rPr>
        <w:t xml:space="preserve"> </w:t>
      </w:r>
      <w:proofErr w:type="spellStart"/>
      <w:r>
        <w:rPr>
          <w:rFonts w:ascii="Arial" w:hAnsi="Arial" w:cs="Arial"/>
        </w:rPr>
        <w:t>efektivan</w:t>
      </w:r>
      <w:proofErr w:type="spellEnd"/>
      <w:r>
        <w:rPr>
          <w:rFonts w:ascii="Arial" w:hAnsi="Arial" w:cs="Arial"/>
        </w:rPr>
        <w:t xml:space="preserve"> u 2015. </w:t>
      </w:r>
      <w:proofErr w:type="spellStart"/>
      <w:proofErr w:type="gramStart"/>
      <w:r>
        <w:rPr>
          <w:rFonts w:ascii="Arial" w:hAnsi="Arial" w:cs="Arial"/>
        </w:rPr>
        <w:t>godini</w:t>
      </w:r>
      <w:proofErr w:type="spellEnd"/>
      <w:proofErr w:type="gramEnd"/>
      <w:r>
        <w:rPr>
          <w:rFonts w:ascii="Arial" w:hAnsi="Arial" w:cs="Arial"/>
        </w:rPr>
        <w:t>.</w:t>
      </w:r>
    </w:p>
    <w:p w:rsidR="00C921C3" w:rsidRPr="00E867F6" w:rsidRDefault="00C921C3" w:rsidP="00C921C3">
      <w:pPr>
        <w:tabs>
          <w:tab w:val="left" w:pos="915"/>
        </w:tabs>
        <w:jc w:val="both"/>
        <w:rPr>
          <w:rFonts w:ascii="Arial" w:hAnsi="Arial" w:cs="Arial"/>
        </w:rPr>
      </w:pPr>
    </w:p>
    <w:p w:rsidR="00C921C3" w:rsidRPr="00E867F6" w:rsidRDefault="00C921C3" w:rsidP="00C921C3">
      <w:pPr>
        <w:pStyle w:val="BodyText"/>
        <w:ind w:firstLine="708"/>
        <w:rPr>
          <w:rFonts w:ascii="Arial" w:hAnsi="Arial" w:cs="Arial"/>
        </w:rPr>
      </w:pPr>
      <w:r w:rsidRPr="00E867F6">
        <w:rPr>
          <w:rFonts w:ascii="Arial" w:hAnsi="Arial" w:cs="Arial"/>
        </w:rPr>
        <w:t xml:space="preserve">Osim toga, tokom 2014. godine, angažovana su sredstva u ukupnom iznosu od </w:t>
      </w:r>
      <w:r w:rsidRPr="00E301DD">
        <w:rPr>
          <w:rFonts w:ascii="Arial" w:hAnsi="Arial" w:cs="Arial"/>
        </w:rPr>
        <w:t>32,3 miliona eura i to</w:t>
      </w:r>
      <w:r w:rsidRPr="00E867F6">
        <w:rPr>
          <w:rFonts w:ascii="Arial" w:hAnsi="Arial" w:cs="Arial"/>
        </w:rPr>
        <w:t xml:space="preserve">: </w:t>
      </w:r>
    </w:p>
    <w:p w:rsidR="00C921C3" w:rsidRPr="00E867F6" w:rsidRDefault="00C921C3" w:rsidP="00C921C3">
      <w:pPr>
        <w:pStyle w:val="BodyText"/>
        <w:ind w:firstLine="708"/>
        <w:rPr>
          <w:rFonts w:ascii="Arial" w:hAnsi="Arial" w:cs="Arial"/>
        </w:rPr>
      </w:pPr>
    </w:p>
    <w:p w:rsidR="00C921C3" w:rsidRPr="00E867F6" w:rsidRDefault="00C921C3" w:rsidP="00C921C3">
      <w:pPr>
        <w:pStyle w:val="BodyText"/>
        <w:numPr>
          <w:ilvl w:val="0"/>
          <w:numId w:val="6"/>
        </w:numPr>
        <w:rPr>
          <w:rFonts w:ascii="Arial" w:hAnsi="Arial" w:cs="Arial"/>
        </w:rPr>
      </w:pPr>
      <w:r w:rsidRPr="00E867F6">
        <w:rPr>
          <w:rFonts w:ascii="Arial" w:hAnsi="Arial" w:cs="Arial"/>
        </w:rPr>
        <w:t>za projekat Svjetske banke „Energetska efikasnost – dodatno finansiranje”, u iznosu od oko 0,5 mil. eura</w:t>
      </w:r>
    </w:p>
    <w:p w:rsidR="00C921C3" w:rsidRPr="00E867F6" w:rsidRDefault="00C921C3" w:rsidP="00C921C3">
      <w:pPr>
        <w:pStyle w:val="BodyText"/>
        <w:numPr>
          <w:ilvl w:val="0"/>
          <w:numId w:val="6"/>
        </w:numPr>
        <w:rPr>
          <w:rFonts w:ascii="Arial" w:hAnsi="Arial" w:cs="Arial"/>
        </w:rPr>
      </w:pPr>
      <w:r w:rsidRPr="00E867F6">
        <w:rPr>
          <w:rFonts w:ascii="Arial" w:hAnsi="Arial" w:cs="Arial"/>
        </w:rPr>
        <w:t xml:space="preserve">projekat „LAMP“ u iznosu od oko 1,4 mil. eura, </w:t>
      </w:r>
    </w:p>
    <w:p w:rsidR="00C921C3" w:rsidRPr="00E867F6" w:rsidRDefault="00C921C3" w:rsidP="00C921C3">
      <w:pPr>
        <w:pStyle w:val="BodyText"/>
        <w:numPr>
          <w:ilvl w:val="0"/>
          <w:numId w:val="6"/>
        </w:numPr>
        <w:rPr>
          <w:rFonts w:ascii="Arial" w:hAnsi="Arial" w:cs="Arial"/>
        </w:rPr>
      </w:pPr>
      <w:r w:rsidRPr="00E867F6">
        <w:rPr>
          <w:rFonts w:ascii="Arial" w:hAnsi="Arial" w:cs="Arial"/>
        </w:rPr>
        <w:t xml:space="preserve">projekat „Energetska efikasnost” u iznosu od 0,25 mil. eura, </w:t>
      </w:r>
    </w:p>
    <w:p w:rsidR="00C921C3" w:rsidRPr="00E867F6" w:rsidRDefault="00C921C3" w:rsidP="00C921C3">
      <w:pPr>
        <w:pStyle w:val="BodyText"/>
        <w:numPr>
          <w:ilvl w:val="0"/>
          <w:numId w:val="6"/>
        </w:numPr>
        <w:rPr>
          <w:rFonts w:ascii="Arial" w:hAnsi="Arial" w:cs="Arial"/>
        </w:rPr>
      </w:pPr>
      <w:r w:rsidRPr="00E867F6">
        <w:rPr>
          <w:rFonts w:ascii="Arial" w:hAnsi="Arial" w:cs="Arial"/>
        </w:rPr>
        <w:t>projekat „MIDAS“ u iznosu od 1,7 mil. eura,</w:t>
      </w:r>
    </w:p>
    <w:p w:rsidR="00C921C3" w:rsidRPr="00E867F6" w:rsidRDefault="00C921C3" w:rsidP="00C921C3">
      <w:pPr>
        <w:pStyle w:val="BodyText"/>
        <w:numPr>
          <w:ilvl w:val="0"/>
          <w:numId w:val="6"/>
        </w:numPr>
        <w:rPr>
          <w:rFonts w:ascii="Arial" w:hAnsi="Arial" w:cs="Arial"/>
        </w:rPr>
      </w:pPr>
      <w:r w:rsidRPr="00E867F6">
        <w:rPr>
          <w:rFonts w:ascii="Arial" w:hAnsi="Arial" w:cs="Arial"/>
        </w:rPr>
        <w:t xml:space="preserve">za projekat , za projekat „Upravljanje industrijskim otpadom“, u iznosu od 0,95 miliona eura, </w:t>
      </w:r>
    </w:p>
    <w:p w:rsidR="00C921C3" w:rsidRPr="00E867F6" w:rsidRDefault="00C921C3" w:rsidP="00C921C3">
      <w:pPr>
        <w:pStyle w:val="BodyText"/>
        <w:numPr>
          <w:ilvl w:val="0"/>
          <w:numId w:val="6"/>
        </w:numPr>
        <w:rPr>
          <w:rFonts w:ascii="Arial" w:hAnsi="Arial" w:cs="Arial"/>
        </w:rPr>
      </w:pPr>
      <w:r w:rsidRPr="00E867F6">
        <w:rPr>
          <w:rFonts w:ascii="Arial" w:hAnsi="Arial" w:cs="Arial"/>
        </w:rPr>
        <w:t xml:space="preserve">projekat Visoko obrazovanje i istraživanje za inovacije i konkurentnost u iznosu od 2,4 mil. eura, </w:t>
      </w:r>
    </w:p>
    <w:p w:rsidR="00C921C3" w:rsidRPr="00E867F6" w:rsidRDefault="00C921C3" w:rsidP="00C921C3">
      <w:pPr>
        <w:pStyle w:val="BodyText"/>
        <w:numPr>
          <w:ilvl w:val="0"/>
          <w:numId w:val="6"/>
        </w:numPr>
        <w:rPr>
          <w:rFonts w:ascii="Arial" w:hAnsi="Arial" w:cs="Arial"/>
        </w:rPr>
      </w:pPr>
      <w:r w:rsidRPr="00E867F6">
        <w:rPr>
          <w:rFonts w:ascii="Arial" w:hAnsi="Arial" w:cs="Arial"/>
        </w:rPr>
        <w:t xml:space="preserve">KfW kredita za Projekat „Vodosnabdijevanja i sanacija otpadnih voda“ (faza III,  faza IV i faza V), u ukupnom iznosu od oko 8,8 mil. eura </w:t>
      </w:r>
    </w:p>
    <w:p w:rsidR="00C921C3" w:rsidRPr="00E867F6" w:rsidRDefault="00C921C3" w:rsidP="00C921C3">
      <w:pPr>
        <w:pStyle w:val="BodyText"/>
        <w:numPr>
          <w:ilvl w:val="0"/>
          <w:numId w:val="6"/>
        </w:numPr>
        <w:rPr>
          <w:rFonts w:ascii="Arial" w:hAnsi="Arial" w:cs="Arial"/>
        </w:rPr>
      </w:pPr>
      <w:r w:rsidRPr="00E867F6">
        <w:rPr>
          <w:rFonts w:ascii="Arial" w:hAnsi="Arial" w:cs="Arial"/>
        </w:rPr>
        <w:t xml:space="preserve">i za projekat „Energetska efikasnost u javnim ustanovama“ u iznosu od oko 4,1 mil. eura, </w:t>
      </w:r>
    </w:p>
    <w:p w:rsidR="00C921C3" w:rsidRPr="00E867F6" w:rsidRDefault="00C921C3" w:rsidP="00C921C3">
      <w:pPr>
        <w:pStyle w:val="BodyText"/>
        <w:numPr>
          <w:ilvl w:val="0"/>
          <w:numId w:val="6"/>
        </w:numPr>
        <w:rPr>
          <w:rFonts w:ascii="Arial" w:hAnsi="Arial" w:cs="Arial"/>
        </w:rPr>
      </w:pPr>
      <w:r w:rsidRPr="00E867F6">
        <w:rPr>
          <w:rFonts w:ascii="Arial" w:hAnsi="Arial" w:cs="Arial"/>
        </w:rPr>
        <w:t xml:space="preserve">zatim EBRD kredita namijenjenih za Projekte „Pred-privatizacija kontejnerskih terminala“ i „Infrastrukturni projekti u SO Danilovgrad“ u ukupnom iznosu od 0,7 mil. eura </w:t>
      </w:r>
    </w:p>
    <w:p w:rsidR="00C921C3" w:rsidRPr="00E867F6" w:rsidRDefault="00C921C3" w:rsidP="00C921C3">
      <w:pPr>
        <w:pStyle w:val="BodyText"/>
        <w:numPr>
          <w:ilvl w:val="0"/>
          <w:numId w:val="6"/>
        </w:numPr>
        <w:rPr>
          <w:rFonts w:ascii="Arial" w:hAnsi="Arial" w:cs="Arial"/>
        </w:rPr>
      </w:pPr>
      <w:r w:rsidRPr="00E867F6">
        <w:rPr>
          <w:rFonts w:ascii="Arial" w:hAnsi="Arial" w:cs="Arial"/>
        </w:rPr>
        <w:t>EIB kredita za Projekat „Otpadne vode C“, u ukupnom iznosu od 11,5 mil. eura</w:t>
      </w:r>
    </w:p>
    <w:p w:rsidR="00C921C3" w:rsidRPr="00E867F6" w:rsidRDefault="00C921C3" w:rsidP="00C921C3">
      <w:pPr>
        <w:pStyle w:val="BodyText"/>
        <w:rPr>
          <w:rFonts w:ascii="Arial" w:hAnsi="Arial" w:cs="Arial"/>
        </w:rPr>
      </w:pPr>
    </w:p>
    <w:p w:rsidR="00C921C3" w:rsidRPr="00E867F6" w:rsidRDefault="00C921C3" w:rsidP="00C921C3">
      <w:pPr>
        <w:pStyle w:val="BodyText"/>
        <w:ind w:firstLine="360"/>
        <w:rPr>
          <w:rFonts w:ascii="Arial" w:hAnsi="Arial" w:cs="Arial"/>
        </w:rPr>
      </w:pPr>
      <w:r>
        <w:rPr>
          <w:rFonts w:ascii="Arial" w:hAnsi="Arial" w:cs="Arial"/>
        </w:rPr>
        <w:t>Otplata ino duga u 2014. godini izvršena je u iznosu od 195 miliona eura, od čega se na smanjenje i otplatu ino duga odnosi oko 111,0 miliona eura, dok se ostatak u iznosu od 84,0 miliona eura odnosi na refinansiranje euroobveznica koje dospijevaju 2015. I 2016. godine.</w:t>
      </w:r>
    </w:p>
    <w:p w:rsidR="00C921C3" w:rsidRPr="00E867F6" w:rsidRDefault="00C921C3" w:rsidP="00C921C3">
      <w:pPr>
        <w:pStyle w:val="BodyText"/>
        <w:ind w:firstLine="360"/>
        <w:rPr>
          <w:rFonts w:ascii="Arial" w:hAnsi="Arial" w:cs="Arial"/>
        </w:rPr>
      </w:pPr>
    </w:p>
    <w:p w:rsidR="00C921C3" w:rsidRPr="00E867F6" w:rsidRDefault="00C921C3" w:rsidP="00C921C3">
      <w:pPr>
        <w:pStyle w:val="BodyText"/>
        <w:ind w:firstLine="360"/>
        <w:rPr>
          <w:rFonts w:ascii="Arial" w:hAnsi="Arial" w:cs="Arial"/>
        </w:rPr>
      </w:pPr>
      <w:r w:rsidRPr="00E867F6">
        <w:rPr>
          <w:rFonts w:ascii="Arial" w:hAnsi="Arial" w:cs="Arial"/>
        </w:rPr>
        <w:t xml:space="preserve">U iznos spoljnjeg duga nijesu uključene obaveze po osnovu neriješenih dužničkih pitanja prema Libiji, Kuvajtu, Češkoj i Slovačkoj. Dug prema vladama ove četiri zemlje Crnoj Gori je pripao po osnovu raspodjele nealociranog duga (5,88% od 38% za Srbiju i Crnu Goru), i shodno Sporazumu o pitanjima sukcesije iz Beča 29. juna 2001. godine rješava se usaglašenim stavovima u okviru Komiteta za podjelu finansijske aktive i pasive bivše SFRJ. </w:t>
      </w:r>
    </w:p>
    <w:p w:rsidR="00C921C3" w:rsidRPr="00E867F6" w:rsidRDefault="00C921C3" w:rsidP="00C921C3">
      <w:pPr>
        <w:pStyle w:val="BodyText"/>
        <w:ind w:firstLine="360"/>
        <w:rPr>
          <w:rFonts w:ascii="Arial" w:hAnsi="Arial" w:cs="Arial"/>
        </w:rPr>
      </w:pPr>
    </w:p>
    <w:p w:rsidR="00C921C3" w:rsidRPr="00E867F6" w:rsidRDefault="00C921C3" w:rsidP="00C921C3">
      <w:pPr>
        <w:pStyle w:val="BodyText"/>
        <w:ind w:firstLine="360"/>
        <w:rPr>
          <w:rFonts w:ascii="Arial" w:hAnsi="Arial" w:cs="Arial"/>
        </w:rPr>
      </w:pPr>
      <w:r w:rsidRPr="00E867F6">
        <w:rPr>
          <w:rFonts w:ascii="Arial" w:hAnsi="Arial" w:cs="Arial"/>
        </w:rPr>
        <w:lastRenderedPageBreak/>
        <w:t xml:space="preserve">Tokom 2013. godine održani su pregovori sa predstavnicima Češke i Slovačke Republike. Nove runde pregovora, na kojima će se definitivno riješiti pitanje zaostalog duga kao i način otplate, očekuju se u toku 2015. godine.  </w:t>
      </w:r>
    </w:p>
    <w:p w:rsidR="00C921C3" w:rsidRPr="00E867F6" w:rsidRDefault="00C921C3" w:rsidP="00C921C3">
      <w:pPr>
        <w:pStyle w:val="BodyText"/>
        <w:ind w:firstLine="360"/>
        <w:rPr>
          <w:rFonts w:ascii="Arial" w:hAnsi="Arial" w:cs="Arial"/>
        </w:rPr>
      </w:pPr>
    </w:p>
    <w:p w:rsidR="00C921C3" w:rsidRPr="00E867F6" w:rsidRDefault="00C921C3" w:rsidP="00C921C3">
      <w:pPr>
        <w:pStyle w:val="BodyText"/>
        <w:ind w:firstLine="360"/>
        <w:rPr>
          <w:rFonts w:ascii="Arial" w:hAnsi="Arial" w:cs="Arial"/>
        </w:rPr>
      </w:pPr>
      <w:r w:rsidRPr="00E867F6">
        <w:rPr>
          <w:rFonts w:ascii="Arial" w:hAnsi="Arial" w:cs="Arial"/>
        </w:rPr>
        <w:t xml:space="preserve">Navedeni podatak o stanju ino duga podrazumijeva iznose angažovanih (povučenih) kreditnih sredstava po pojedinim kreditima (Tabela br.2 </w:t>
      </w:r>
      <w:r>
        <w:rPr>
          <w:rFonts w:ascii="Arial" w:hAnsi="Arial" w:cs="Arial"/>
        </w:rPr>
        <w:t>i Grafikon br.3</w:t>
      </w:r>
      <w:r w:rsidRPr="00E867F6">
        <w:rPr>
          <w:rFonts w:ascii="Arial" w:hAnsi="Arial" w:cs="Arial"/>
        </w:rPr>
        <w:t xml:space="preserve">), kao i podatak o nepovučenim sredstvima (Tabela br.2). </w:t>
      </w:r>
    </w:p>
    <w:p w:rsidR="00C921C3" w:rsidRPr="00E867F6" w:rsidRDefault="00C921C3" w:rsidP="00C921C3">
      <w:pPr>
        <w:pStyle w:val="BodyText"/>
        <w:ind w:firstLine="360"/>
        <w:rPr>
          <w:rFonts w:ascii="Arial" w:hAnsi="Arial" w:cs="Arial"/>
        </w:rPr>
      </w:pPr>
    </w:p>
    <w:p w:rsidR="00C921C3" w:rsidRPr="00E867F6" w:rsidRDefault="00C921C3" w:rsidP="00C921C3">
      <w:pPr>
        <w:pStyle w:val="BodyText"/>
        <w:rPr>
          <w:rFonts w:ascii="Arial" w:hAnsi="Arial" w:cs="Arial"/>
        </w:rPr>
      </w:pPr>
    </w:p>
    <w:p w:rsidR="00C921C3" w:rsidRPr="00E867F6" w:rsidRDefault="00C921C3" w:rsidP="00C921C3">
      <w:pPr>
        <w:pStyle w:val="BodyText"/>
        <w:jc w:val="center"/>
        <w:rPr>
          <w:rFonts w:ascii="Arial" w:hAnsi="Arial" w:cs="Arial"/>
          <w:u w:val="single"/>
        </w:rPr>
      </w:pPr>
      <w:r w:rsidRPr="00E867F6">
        <w:rPr>
          <w:rFonts w:ascii="Arial" w:hAnsi="Arial" w:cs="Arial"/>
          <w:u w:val="single"/>
        </w:rPr>
        <w:t>Tabela 2. Podaci o stanju ino duga i iznosu nepovučenih sredstava kredita (u mil. eura)</w:t>
      </w:r>
    </w:p>
    <w:p w:rsidR="00C921C3" w:rsidRPr="00E867F6" w:rsidRDefault="00C921C3" w:rsidP="00C921C3">
      <w:pPr>
        <w:pStyle w:val="BodyText"/>
        <w:jc w:val="center"/>
        <w:rPr>
          <w:rFonts w:ascii="Arial" w:hAnsi="Arial" w:cs="Arial"/>
          <w:u w:val="single"/>
        </w:rPr>
      </w:pPr>
    </w:p>
    <w:tbl>
      <w:tblPr>
        <w:tblW w:w="8340" w:type="dxa"/>
        <w:jc w:val="center"/>
        <w:tblInd w:w="93" w:type="dxa"/>
        <w:tblLook w:val="0000" w:firstRow="0" w:lastRow="0" w:firstColumn="0" w:lastColumn="0" w:noHBand="0" w:noVBand="0"/>
      </w:tblPr>
      <w:tblGrid>
        <w:gridCol w:w="4420"/>
        <w:gridCol w:w="1677"/>
        <w:gridCol w:w="2243"/>
      </w:tblGrid>
      <w:tr w:rsidR="00C921C3" w:rsidRPr="00E867F6" w:rsidTr="00760A53">
        <w:trPr>
          <w:trHeight w:val="270"/>
          <w:jc w:val="center"/>
        </w:trPr>
        <w:tc>
          <w:tcPr>
            <w:tcW w:w="4420" w:type="dxa"/>
            <w:tcBorders>
              <w:top w:val="double" w:sz="2" w:space="0" w:color="auto"/>
              <w:left w:val="double" w:sz="2" w:space="0" w:color="auto"/>
              <w:bottom w:val="single" w:sz="8" w:space="0" w:color="auto"/>
              <w:right w:val="single" w:sz="8" w:space="0" w:color="auto"/>
            </w:tcBorders>
            <w:shd w:val="clear" w:color="auto" w:fill="auto"/>
            <w:noWrap/>
            <w:vAlign w:val="bottom"/>
          </w:tcPr>
          <w:p w:rsidR="00C921C3" w:rsidRPr="00E867F6" w:rsidRDefault="00C921C3" w:rsidP="00760A53">
            <w:pPr>
              <w:rPr>
                <w:rFonts w:ascii="Arial" w:hAnsi="Arial" w:cs="Arial"/>
                <w:b/>
                <w:bCs/>
              </w:rPr>
            </w:pPr>
            <w:proofErr w:type="spellStart"/>
            <w:r w:rsidRPr="00E867F6">
              <w:rPr>
                <w:rFonts w:ascii="Arial" w:hAnsi="Arial" w:cs="Arial"/>
                <w:b/>
                <w:bCs/>
              </w:rPr>
              <w:t>Inostrani</w:t>
            </w:r>
            <w:proofErr w:type="spellEnd"/>
            <w:r w:rsidRPr="00E867F6">
              <w:rPr>
                <w:rFonts w:ascii="Arial" w:hAnsi="Arial" w:cs="Arial"/>
                <w:b/>
                <w:bCs/>
              </w:rPr>
              <w:t xml:space="preserve"> dug</w:t>
            </w:r>
          </w:p>
        </w:tc>
        <w:tc>
          <w:tcPr>
            <w:tcW w:w="1677" w:type="dxa"/>
            <w:tcBorders>
              <w:top w:val="double" w:sz="2" w:space="0" w:color="auto"/>
              <w:left w:val="single" w:sz="8" w:space="0" w:color="auto"/>
              <w:bottom w:val="single" w:sz="8" w:space="0" w:color="auto"/>
              <w:right w:val="single" w:sz="8" w:space="0" w:color="auto"/>
            </w:tcBorders>
            <w:shd w:val="clear" w:color="auto" w:fill="auto"/>
            <w:noWrap/>
            <w:vAlign w:val="bottom"/>
          </w:tcPr>
          <w:p w:rsidR="00C921C3" w:rsidRPr="00E867F6" w:rsidRDefault="00C921C3" w:rsidP="00760A53">
            <w:pPr>
              <w:rPr>
                <w:rFonts w:ascii="Arial" w:hAnsi="Arial" w:cs="Arial"/>
              </w:rPr>
            </w:pPr>
            <w:r w:rsidRPr="00E867F6">
              <w:rPr>
                <w:rFonts w:ascii="Arial" w:hAnsi="Arial" w:cs="Arial"/>
              </w:rPr>
              <w:t>31.12.2014.</w:t>
            </w:r>
          </w:p>
        </w:tc>
        <w:tc>
          <w:tcPr>
            <w:tcW w:w="2243" w:type="dxa"/>
            <w:tcBorders>
              <w:top w:val="double" w:sz="2" w:space="0" w:color="auto"/>
              <w:left w:val="single" w:sz="8" w:space="0" w:color="auto"/>
              <w:bottom w:val="single" w:sz="8" w:space="0" w:color="auto"/>
              <w:right w:val="double" w:sz="2" w:space="0" w:color="auto"/>
            </w:tcBorders>
            <w:shd w:val="clear" w:color="auto" w:fill="auto"/>
            <w:noWrap/>
            <w:vAlign w:val="bottom"/>
          </w:tcPr>
          <w:p w:rsidR="00C921C3" w:rsidRPr="00E867F6" w:rsidRDefault="00C921C3" w:rsidP="00760A53">
            <w:pPr>
              <w:rPr>
                <w:rFonts w:ascii="Arial" w:hAnsi="Arial" w:cs="Arial"/>
              </w:rPr>
            </w:pPr>
            <w:r w:rsidRPr="00E867F6">
              <w:rPr>
                <w:rFonts w:ascii="Arial" w:hAnsi="Arial" w:cs="Arial"/>
              </w:rPr>
              <w:t>31.12.2014.</w:t>
            </w:r>
          </w:p>
        </w:tc>
      </w:tr>
      <w:tr w:rsidR="00C921C3" w:rsidRPr="00E867F6" w:rsidTr="00760A53">
        <w:trPr>
          <w:trHeight w:val="525"/>
          <w:jc w:val="center"/>
        </w:trPr>
        <w:tc>
          <w:tcPr>
            <w:tcW w:w="4420" w:type="dxa"/>
            <w:tcBorders>
              <w:top w:val="single" w:sz="8" w:space="0" w:color="auto"/>
              <w:left w:val="double" w:sz="2" w:space="0" w:color="auto"/>
              <w:bottom w:val="single" w:sz="8" w:space="0" w:color="auto"/>
              <w:right w:val="single" w:sz="8" w:space="0" w:color="auto"/>
            </w:tcBorders>
            <w:shd w:val="clear" w:color="auto" w:fill="auto"/>
            <w:noWrap/>
            <w:vAlign w:val="bottom"/>
          </w:tcPr>
          <w:p w:rsidR="00C921C3" w:rsidRPr="00E867F6" w:rsidRDefault="00C921C3" w:rsidP="00760A53">
            <w:pPr>
              <w:jc w:val="center"/>
              <w:rPr>
                <w:rFonts w:ascii="Arial" w:hAnsi="Arial" w:cs="Arial"/>
                <w:b/>
                <w:bCs/>
              </w:rPr>
            </w:pPr>
            <w:proofErr w:type="spellStart"/>
            <w:r w:rsidRPr="00E867F6">
              <w:rPr>
                <w:rFonts w:ascii="Arial" w:hAnsi="Arial" w:cs="Arial"/>
                <w:b/>
                <w:bCs/>
              </w:rPr>
              <w:t>Kreditor</w:t>
            </w:r>
            <w:proofErr w:type="spellEnd"/>
          </w:p>
        </w:tc>
        <w:tc>
          <w:tcPr>
            <w:tcW w:w="1677" w:type="dxa"/>
            <w:tcBorders>
              <w:top w:val="single" w:sz="8" w:space="0" w:color="auto"/>
              <w:left w:val="nil"/>
              <w:bottom w:val="single" w:sz="8" w:space="0" w:color="auto"/>
              <w:right w:val="single" w:sz="8" w:space="0" w:color="auto"/>
            </w:tcBorders>
            <w:shd w:val="clear" w:color="auto" w:fill="auto"/>
            <w:noWrap/>
            <w:vAlign w:val="bottom"/>
          </w:tcPr>
          <w:p w:rsidR="00C921C3" w:rsidRPr="00E867F6" w:rsidRDefault="00C921C3" w:rsidP="00760A53">
            <w:pPr>
              <w:jc w:val="center"/>
              <w:rPr>
                <w:rFonts w:ascii="Arial" w:hAnsi="Arial" w:cs="Arial"/>
                <w:b/>
                <w:bCs/>
              </w:rPr>
            </w:pPr>
            <w:proofErr w:type="spellStart"/>
            <w:r w:rsidRPr="00E867F6">
              <w:rPr>
                <w:rFonts w:ascii="Arial" w:hAnsi="Arial" w:cs="Arial"/>
                <w:b/>
                <w:bCs/>
              </w:rPr>
              <w:t>Stanje</w:t>
            </w:r>
            <w:proofErr w:type="spellEnd"/>
            <w:r>
              <w:rPr>
                <w:rFonts w:ascii="Arial" w:hAnsi="Arial" w:cs="Arial"/>
                <w:b/>
                <w:bCs/>
              </w:rPr>
              <w:t xml:space="preserve"> </w:t>
            </w:r>
            <w:proofErr w:type="spellStart"/>
            <w:r w:rsidRPr="00E867F6">
              <w:rPr>
                <w:rFonts w:ascii="Arial" w:hAnsi="Arial" w:cs="Arial"/>
                <w:b/>
                <w:bCs/>
              </w:rPr>
              <w:t>duga</w:t>
            </w:r>
            <w:proofErr w:type="spellEnd"/>
          </w:p>
        </w:tc>
        <w:tc>
          <w:tcPr>
            <w:tcW w:w="2243" w:type="dxa"/>
            <w:tcBorders>
              <w:top w:val="single" w:sz="8" w:space="0" w:color="auto"/>
              <w:left w:val="nil"/>
              <w:bottom w:val="single" w:sz="8" w:space="0" w:color="auto"/>
              <w:right w:val="double" w:sz="2" w:space="0" w:color="auto"/>
            </w:tcBorders>
            <w:shd w:val="clear" w:color="auto" w:fill="auto"/>
            <w:vAlign w:val="bottom"/>
          </w:tcPr>
          <w:p w:rsidR="00C921C3" w:rsidRPr="00E867F6" w:rsidRDefault="00C921C3" w:rsidP="00760A53">
            <w:pPr>
              <w:jc w:val="center"/>
              <w:rPr>
                <w:rFonts w:ascii="Arial" w:hAnsi="Arial" w:cs="Arial"/>
                <w:b/>
                <w:bCs/>
              </w:rPr>
            </w:pPr>
            <w:proofErr w:type="spellStart"/>
            <w:r w:rsidRPr="00E867F6">
              <w:rPr>
                <w:rFonts w:ascii="Arial" w:hAnsi="Arial" w:cs="Arial"/>
                <w:b/>
                <w:bCs/>
              </w:rPr>
              <w:t>Nepovučena</w:t>
            </w:r>
            <w:proofErr w:type="spellEnd"/>
            <w:r>
              <w:rPr>
                <w:rFonts w:ascii="Arial" w:hAnsi="Arial" w:cs="Arial"/>
                <w:b/>
                <w:bCs/>
              </w:rPr>
              <w:t xml:space="preserve"> </w:t>
            </w:r>
            <w:proofErr w:type="spellStart"/>
            <w:r w:rsidRPr="00E867F6">
              <w:rPr>
                <w:rFonts w:ascii="Arial" w:hAnsi="Arial" w:cs="Arial"/>
                <w:b/>
                <w:bCs/>
              </w:rPr>
              <w:t>sredstva</w:t>
            </w:r>
            <w:proofErr w:type="spellEnd"/>
          </w:p>
        </w:tc>
      </w:tr>
      <w:tr w:rsidR="00C921C3" w:rsidRPr="00E867F6" w:rsidTr="00760A53">
        <w:trPr>
          <w:trHeight w:val="255"/>
          <w:jc w:val="center"/>
        </w:trPr>
        <w:tc>
          <w:tcPr>
            <w:tcW w:w="4420" w:type="dxa"/>
            <w:tcBorders>
              <w:top w:val="single" w:sz="8" w:space="0" w:color="auto"/>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b/>
                <w:bCs/>
              </w:rPr>
            </w:pPr>
          </w:p>
        </w:tc>
        <w:tc>
          <w:tcPr>
            <w:tcW w:w="1677" w:type="dxa"/>
            <w:tcBorders>
              <w:top w:val="single" w:sz="8" w:space="0" w:color="auto"/>
              <w:left w:val="single" w:sz="4" w:space="0" w:color="auto"/>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b/>
                <w:bCs/>
              </w:rPr>
            </w:pPr>
          </w:p>
        </w:tc>
        <w:tc>
          <w:tcPr>
            <w:tcW w:w="2243" w:type="dxa"/>
            <w:tcBorders>
              <w:top w:val="single" w:sz="8" w:space="0" w:color="auto"/>
              <w:left w:val="single" w:sz="4" w:space="0" w:color="auto"/>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b/>
                <w:bCs/>
              </w:rPr>
            </w:pPr>
          </w:p>
        </w:tc>
      </w:tr>
      <w:tr w:rsidR="00C921C3" w:rsidRPr="00E867F6" w:rsidTr="00760A53">
        <w:trPr>
          <w:trHeight w:val="255"/>
          <w:jc w:val="center"/>
        </w:trPr>
        <w:tc>
          <w:tcPr>
            <w:tcW w:w="4420" w:type="dxa"/>
            <w:tcBorders>
              <w:top w:val="single" w:sz="4" w:space="0" w:color="auto"/>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bCs/>
              </w:rPr>
            </w:pPr>
            <w:proofErr w:type="spellStart"/>
            <w:r w:rsidRPr="00E867F6">
              <w:rPr>
                <w:rFonts w:ascii="Arial" w:hAnsi="Arial" w:cs="Arial"/>
                <w:bCs/>
              </w:rPr>
              <w:t>Međunarodna</w:t>
            </w:r>
            <w:proofErr w:type="spellEnd"/>
            <w:r>
              <w:rPr>
                <w:rFonts w:ascii="Arial" w:hAnsi="Arial" w:cs="Arial"/>
                <w:bCs/>
              </w:rPr>
              <w:t xml:space="preserve"> </w:t>
            </w:r>
            <w:r w:rsidRPr="00E867F6">
              <w:rPr>
                <w:rFonts w:ascii="Arial" w:hAnsi="Arial" w:cs="Arial"/>
                <w:bCs/>
              </w:rPr>
              <w:t>banka</w:t>
            </w:r>
            <w:r>
              <w:rPr>
                <w:rFonts w:ascii="Arial" w:hAnsi="Arial" w:cs="Arial"/>
                <w:bCs/>
              </w:rPr>
              <w:t xml:space="preserve"> </w:t>
            </w:r>
            <w:proofErr w:type="spellStart"/>
            <w:r w:rsidRPr="00E867F6">
              <w:rPr>
                <w:rFonts w:ascii="Arial" w:hAnsi="Arial" w:cs="Arial"/>
                <w:bCs/>
              </w:rPr>
              <w:t>za</w:t>
            </w:r>
            <w:proofErr w:type="spellEnd"/>
            <w:r>
              <w:rPr>
                <w:rFonts w:ascii="Arial" w:hAnsi="Arial" w:cs="Arial"/>
                <w:bCs/>
              </w:rPr>
              <w:t xml:space="preserve"> </w:t>
            </w:r>
            <w:proofErr w:type="spellStart"/>
            <w:r w:rsidRPr="00E867F6">
              <w:rPr>
                <w:rFonts w:ascii="Arial" w:hAnsi="Arial" w:cs="Arial"/>
                <w:bCs/>
              </w:rPr>
              <w:t>obnovu</w:t>
            </w:r>
            <w:proofErr w:type="spellEnd"/>
            <w:r w:rsidRPr="00E867F6">
              <w:rPr>
                <w:rFonts w:ascii="Arial" w:hAnsi="Arial" w:cs="Arial"/>
                <w:bCs/>
              </w:rPr>
              <w:t xml:space="preserve"> i </w:t>
            </w:r>
            <w:proofErr w:type="spellStart"/>
            <w:r w:rsidRPr="00E867F6">
              <w:rPr>
                <w:rFonts w:ascii="Arial" w:hAnsi="Arial" w:cs="Arial"/>
                <w:bCs/>
              </w:rPr>
              <w:t>razvoj</w:t>
            </w:r>
            <w:proofErr w:type="spellEnd"/>
            <w:r w:rsidRPr="00E867F6">
              <w:rPr>
                <w:rFonts w:ascii="Arial" w:hAnsi="Arial" w:cs="Arial"/>
                <w:bCs/>
              </w:rPr>
              <w:t xml:space="preserve"> (IBRD)</w:t>
            </w:r>
          </w:p>
        </w:tc>
        <w:tc>
          <w:tcPr>
            <w:tcW w:w="1677" w:type="dxa"/>
            <w:tcBorders>
              <w:top w:val="single" w:sz="4" w:space="0" w:color="auto"/>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bCs/>
              </w:rPr>
            </w:pPr>
            <w:r w:rsidRPr="00E867F6">
              <w:rPr>
                <w:rFonts w:ascii="Arial" w:hAnsi="Arial" w:cs="Arial"/>
                <w:bCs/>
              </w:rPr>
              <w:t>229,39</w:t>
            </w:r>
          </w:p>
        </w:tc>
        <w:tc>
          <w:tcPr>
            <w:tcW w:w="2243" w:type="dxa"/>
            <w:tcBorders>
              <w:top w:val="single" w:sz="4" w:space="0" w:color="auto"/>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b/>
              </w:rPr>
            </w:pPr>
            <w:r w:rsidRPr="00E867F6">
              <w:rPr>
                <w:rFonts w:ascii="Arial" w:hAnsi="Arial" w:cs="Arial"/>
                <w:b/>
              </w:rPr>
              <w:t>66,06</w:t>
            </w:r>
          </w:p>
        </w:tc>
      </w:tr>
      <w:tr w:rsidR="00C921C3" w:rsidRPr="00E867F6" w:rsidTr="00760A53">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bCs/>
              </w:rPr>
            </w:pPr>
            <w:proofErr w:type="spellStart"/>
            <w:r w:rsidRPr="00E867F6">
              <w:rPr>
                <w:rFonts w:ascii="Arial" w:hAnsi="Arial" w:cs="Arial"/>
                <w:bCs/>
              </w:rPr>
              <w:t>Zemlje</w:t>
            </w:r>
            <w:proofErr w:type="spellEnd"/>
            <w:r>
              <w:rPr>
                <w:rFonts w:ascii="Arial" w:hAnsi="Arial" w:cs="Arial"/>
                <w:bCs/>
              </w:rPr>
              <w:t xml:space="preserve"> </w:t>
            </w:r>
            <w:proofErr w:type="spellStart"/>
            <w:r w:rsidRPr="00E867F6">
              <w:rPr>
                <w:rFonts w:ascii="Arial" w:hAnsi="Arial" w:cs="Arial"/>
                <w:bCs/>
              </w:rPr>
              <w:t>članice</w:t>
            </w:r>
            <w:proofErr w:type="spellEnd"/>
            <w:r>
              <w:rPr>
                <w:rFonts w:ascii="Arial" w:hAnsi="Arial" w:cs="Arial"/>
                <w:bCs/>
              </w:rPr>
              <w:t xml:space="preserve"> </w:t>
            </w:r>
            <w:proofErr w:type="spellStart"/>
            <w:r w:rsidRPr="00E867F6">
              <w:rPr>
                <w:rFonts w:ascii="Arial" w:hAnsi="Arial" w:cs="Arial"/>
                <w:bCs/>
              </w:rPr>
              <w:t>Pariskog</w:t>
            </w:r>
            <w:proofErr w:type="spellEnd"/>
            <w:r>
              <w:rPr>
                <w:rFonts w:ascii="Arial" w:hAnsi="Arial" w:cs="Arial"/>
                <w:bCs/>
              </w:rPr>
              <w:t xml:space="preserve"> </w:t>
            </w:r>
            <w:proofErr w:type="spellStart"/>
            <w:r w:rsidRPr="00E867F6">
              <w:rPr>
                <w:rFonts w:ascii="Arial" w:hAnsi="Arial" w:cs="Arial"/>
                <w:bCs/>
              </w:rPr>
              <w:t>kluba</w:t>
            </w:r>
            <w:proofErr w:type="spellEnd"/>
            <w:r>
              <w:rPr>
                <w:rFonts w:ascii="Arial" w:hAnsi="Arial" w:cs="Arial"/>
                <w:bCs/>
              </w:rPr>
              <w:t xml:space="preserve"> </w:t>
            </w:r>
            <w:proofErr w:type="spellStart"/>
            <w:r w:rsidRPr="00E867F6">
              <w:rPr>
                <w:rFonts w:ascii="Arial" w:hAnsi="Arial" w:cs="Arial"/>
                <w:bCs/>
              </w:rPr>
              <w:t>kreditora</w:t>
            </w:r>
            <w:proofErr w:type="spellEnd"/>
            <w:r w:rsidRPr="00E867F6">
              <w:rPr>
                <w:rFonts w:ascii="Arial" w:hAnsi="Arial" w:cs="Arial"/>
                <w:bCs/>
              </w:rPr>
              <w:t>*</w:t>
            </w:r>
          </w:p>
        </w:tc>
        <w:tc>
          <w:tcPr>
            <w:tcW w:w="1677" w:type="dxa"/>
            <w:tcBorders>
              <w:top w:val="nil"/>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bCs/>
              </w:rPr>
            </w:pPr>
            <w:r w:rsidRPr="00E867F6">
              <w:rPr>
                <w:rFonts w:ascii="Arial" w:hAnsi="Arial" w:cs="Arial"/>
                <w:bCs/>
              </w:rPr>
              <w:t>98,86</w:t>
            </w:r>
          </w:p>
        </w:tc>
        <w:tc>
          <w:tcPr>
            <w:tcW w:w="2243" w:type="dxa"/>
            <w:tcBorders>
              <w:top w:val="nil"/>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0,00</w:t>
            </w:r>
          </w:p>
        </w:tc>
      </w:tr>
      <w:tr w:rsidR="00C921C3" w:rsidRPr="00E867F6" w:rsidTr="00760A53">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bCs/>
              </w:rPr>
            </w:pPr>
            <w:proofErr w:type="spellStart"/>
            <w:r w:rsidRPr="00E867F6">
              <w:rPr>
                <w:rFonts w:ascii="Arial" w:hAnsi="Arial" w:cs="Arial"/>
                <w:bCs/>
              </w:rPr>
              <w:t>Međunarodna</w:t>
            </w:r>
            <w:proofErr w:type="spellEnd"/>
            <w:r>
              <w:rPr>
                <w:rFonts w:ascii="Arial" w:hAnsi="Arial" w:cs="Arial"/>
                <w:bCs/>
              </w:rPr>
              <w:t xml:space="preserve"> </w:t>
            </w:r>
            <w:proofErr w:type="spellStart"/>
            <w:r w:rsidRPr="00E867F6">
              <w:rPr>
                <w:rFonts w:ascii="Arial" w:hAnsi="Arial" w:cs="Arial"/>
                <w:bCs/>
              </w:rPr>
              <w:t>organizacija</w:t>
            </w:r>
            <w:proofErr w:type="spellEnd"/>
            <w:r>
              <w:rPr>
                <w:rFonts w:ascii="Arial" w:hAnsi="Arial" w:cs="Arial"/>
                <w:bCs/>
              </w:rPr>
              <w:t xml:space="preserve"> </w:t>
            </w:r>
            <w:proofErr w:type="spellStart"/>
            <w:r w:rsidRPr="00E867F6">
              <w:rPr>
                <w:rFonts w:ascii="Arial" w:hAnsi="Arial" w:cs="Arial"/>
                <w:bCs/>
              </w:rPr>
              <w:t>za</w:t>
            </w:r>
            <w:proofErr w:type="spellEnd"/>
            <w:r>
              <w:rPr>
                <w:rFonts w:ascii="Arial" w:hAnsi="Arial" w:cs="Arial"/>
                <w:bCs/>
              </w:rPr>
              <w:t xml:space="preserve"> </w:t>
            </w:r>
            <w:proofErr w:type="spellStart"/>
            <w:r w:rsidRPr="00E867F6">
              <w:rPr>
                <w:rFonts w:ascii="Arial" w:hAnsi="Arial" w:cs="Arial"/>
                <w:bCs/>
              </w:rPr>
              <w:t>razvoj</w:t>
            </w:r>
            <w:proofErr w:type="spellEnd"/>
            <w:r w:rsidRPr="00E867F6">
              <w:rPr>
                <w:rFonts w:ascii="Arial" w:hAnsi="Arial" w:cs="Arial"/>
                <w:bCs/>
              </w:rPr>
              <w:t xml:space="preserve"> (IDA)**</w:t>
            </w:r>
          </w:p>
        </w:tc>
        <w:tc>
          <w:tcPr>
            <w:tcW w:w="1677" w:type="dxa"/>
            <w:tcBorders>
              <w:top w:val="nil"/>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bCs/>
              </w:rPr>
            </w:pPr>
            <w:r w:rsidRPr="00E867F6">
              <w:rPr>
                <w:rFonts w:ascii="Arial" w:hAnsi="Arial" w:cs="Arial"/>
                <w:bCs/>
              </w:rPr>
              <w:t>62,19</w:t>
            </w:r>
          </w:p>
        </w:tc>
        <w:tc>
          <w:tcPr>
            <w:tcW w:w="2243" w:type="dxa"/>
            <w:tcBorders>
              <w:top w:val="nil"/>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0,00</w:t>
            </w:r>
          </w:p>
        </w:tc>
      </w:tr>
      <w:tr w:rsidR="00C921C3" w:rsidRPr="00E867F6" w:rsidTr="00760A53">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bCs/>
              </w:rPr>
            </w:pPr>
            <w:proofErr w:type="spellStart"/>
            <w:r w:rsidRPr="00E867F6">
              <w:rPr>
                <w:rFonts w:ascii="Arial" w:hAnsi="Arial" w:cs="Arial"/>
                <w:bCs/>
              </w:rPr>
              <w:t>Evropska</w:t>
            </w:r>
            <w:proofErr w:type="spellEnd"/>
            <w:r>
              <w:rPr>
                <w:rFonts w:ascii="Arial" w:hAnsi="Arial" w:cs="Arial"/>
                <w:bCs/>
              </w:rPr>
              <w:t xml:space="preserve"> </w:t>
            </w:r>
            <w:proofErr w:type="spellStart"/>
            <w:r w:rsidRPr="00E867F6">
              <w:rPr>
                <w:rFonts w:ascii="Arial" w:hAnsi="Arial" w:cs="Arial"/>
                <w:bCs/>
              </w:rPr>
              <w:t>investiciona</w:t>
            </w:r>
            <w:proofErr w:type="spellEnd"/>
            <w:r>
              <w:rPr>
                <w:rFonts w:ascii="Arial" w:hAnsi="Arial" w:cs="Arial"/>
                <w:bCs/>
              </w:rPr>
              <w:t xml:space="preserve"> </w:t>
            </w:r>
            <w:r w:rsidRPr="00E867F6">
              <w:rPr>
                <w:rFonts w:ascii="Arial" w:hAnsi="Arial" w:cs="Arial"/>
                <w:bCs/>
              </w:rPr>
              <w:t>banka (EIB)</w:t>
            </w:r>
          </w:p>
        </w:tc>
        <w:tc>
          <w:tcPr>
            <w:tcW w:w="1677" w:type="dxa"/>
            <w:tcBorders>
              <w:top w:val="nil"/>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bCs/>
              </w:rPr>
            </w:pPr>
            <w:r w:rsidRPr="00E867F6">
              <w:rPr>
                <w:rFonts w:ascii="Arial" w:hAnsi="Arial" w:cs="Arial"/>
                <w:bCs/>
              </w:rPr>
              <w:t>103,78</w:t>
            </w:r>
          </w:p>
        </w:tc>
        <w:tc>
          <w:tcPr>
            <w:tcW w:w="2243" w:type="dxa"/>
            <w:tcBorders>
              <w:top w:val="nil"/>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b/>
              </w:rPr>
            </w:pPr>
            <w:r w:rsidRPr="00E867F6">
              <w:rPr>
                <w:rFonts w:ascii="Arial" w:hAnsi="Arial" w:cs="Arial"/>
                <w:b/>
              </w:rPr>
              <w:t>58,00</w:t>
            </w:r>
          </w:p>
        </w:tc>
      </w:tr>
      <w:tr w:rsidR="00C921C3" w:rsidRPr="00E867F6" w:rsidTr="00760A53">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bCs/>
              </w:rPr>
            </w:pPr>
            <w:r w:rsidRPr="00E867F6">
              <w:rPr>
                <w:rFonts w:ascii="Arial" w:hAnsi="Arial" w:cs="Arial"/>
                <w:bCs/>
              </w:rPr>
              <w:t>EBRD</w:t>
            </w:r>
          </w:p>
        </w:tc>
        <w:tc>
          <w:tcPr>
            <w:tcW w:w="1677" w:type="dxa"/>
            <w:tcBorders>
              <w:top w:val="nil"/>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bCs/>
              </w:rPr>
            </w:pPr>
            <w:r w:rsidRPr="00E867F6">
              <w:rPr>
                <w:rFonts w:ascii="Arial" w:hAnsi="Arial" w:cs="Arial"/>
                <w:bCs/>
              </w:rPr>
              <w:t>16,13</w:t>
            </w:r>
          </w:p>
        </w:tc>
        <w:tc>
          <w:tcPr>
            <w:tcW w:w="2243" w:type="dxa"/>
            <w:tcBorders>
              <w:top w:val="nil"/>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b/>
              </w:rPr>
            </w:pPr>
            <w:r w:rsidRPr="00E867F6">
              <w:rPr>
                <w:rFonts w:ascii="Arial" w:hAnsi="Arial" w:cs="Arial"/>
                <w:b/>
              </w:rPr>
              <w:t>13,61</w:t>
            </w:r>
          </w:p>
        </w:tc>
      </w:tr>
      <w:tr w:rsidR="00C921C3" w:rsidRPr="00E867F6" w:rsidTr="00760A53">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rPr>
            </w:pPr>
            <w:proofErr w:type="spellStart"/>
            <w:r w:rsidRPr="00E867F6">
              <w:rPr>
                <w:rFonts w:ascii="Arial" w:hAnsi="Arial" w:cs="Arial"/>
              </w:rPr>
              <w:t>Razvojna</w:t>
            </w:r>
            <w:proofErr w:type="spellEnd"/>
            <w:r>
              <w:rPr>
                <w:rFonts w:ascii="Arial" w:hAnsi="Arial" w:cs="Arial"/>
              </w:rPr>
              <w:t xml:space="preserve"> </w:t>
            </w:r>
            <w:r w:rsidRPr="00E867F6">
              <w:rPr>
                <w:rFonts w:ascii="Arial" w:hAnsi="Arial" w:cs="Arial"/>
              </w:rPr>
              <w:t>banka</w:t>
            </w:r>
            <w:r>
              <w:rPr>
                <w:rFonts w:ascii="Arial" w:hAnsi="Arial" w:cs="Arial"/>
              </w:rPr>
              <w:t xml:space="preserve"> </w:t>
            </w:r>
            <w:proofErr w:type="spellStart"/>
            <w:r w:rsidRPr="00E867F6">
              <w:rPr>
                <w:rFonts w:ascii="Arial" w:hAnsi="Arial" w:cs="Arial"/>
              </w:rPr>
              <w:t>Savjeta</w:t>
            </w:r>
            <w:proofErr w:type="spellEnd"/>
            <w:r>
              <w:rPr>
                <w:rFonts w:ascii="Arial" w:hAnsi="Arial" w:cs="Arial"/>
              </w:rPr>
              <w:t xml:space="preserve"> </w:t>
            </w:r>
            <w:proofErr w:type="spellStart"/>
            <w:r w:rsidRPr="00E867F6">
              <w:rPr>
                <w:rFonts w:ascii="Arial" w:hAnsi="Arial" w:cs="Arial"/>
              </w:rPr>
              <w:t>Evrope</w:t>
            </w:r>
            <w:proofErr w:type="spellEnd"/>
          </w:p>
        </w:tc>
        <w:tc>
          <w:tcPr>
            <w:tcW w:w="1677" w:type="dxa"/>
            <w:tcBorders>
              <w:top w:val="nil"/>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9,08</w:t>
            </w:r>
          </w:p>
        </w:tc>
        <w:tc>
          <w:tcPr>
            <w:tcW w:w="2243" w:type="dxa"/>
            <w:tcBorders>
              <w:top w:val="nil"/>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b/>
              </w:rPr>
            </w:pPr>
            <w:r w:rsidRPr="00E867F6">
              <w:rPr>
                <w:rFonts w:ascii="Arial" w:hAnsi="Arial" w:cs="Arial"/>
                <w:b/>
              </w:rPr>
              <w:t>10,00</w:t>
            </w:r>
          </w:p>
        </w:tc>
      </w:tr>
      <w:tr w:rsidR="00C921C3" w:rsidRPr="00E867F6" w:rsidTr="00760A53">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rPr>
            </w:pPr>
            <w:proofErr w:type="spellStart"/>
            <w:r w:rsidRPr="00E867F6">
              <w:rPr>
                <w:rFonts w:ascii="Arial" w:hAnsi="Arial" w:cs="Arial"/>
              </w:rPr>
              <w:t>Evropska</w:t>
            </w:r>
            <w:proofErr w:type="spellEnd"/>
            <w:r>
              <w:rPr>
                <w:rFonts w:ascii="Arial" w:hAnsi="Arial" w:cs="Arial"/>
              </w:rPr>
              <w:t xml:space="preserve"> </w:t>
            </w:r>
            <w:proofErr w:type="spellStart"/>
            <w:r w:rsidRPr="00E867F6">
              <w:rPr>
                <w:rFonts w:ascii="Arial" w:hAnsi="Arial" w:cs="Arial"/>
              </w:rPr>
              <w:t>Zajednica</w:t>
            </w:r>
            <w:proofErr w:type="spellEnd"/>
          </w:p>
        </w:tc>
        <w:tc>
          <w:tcPr>
            <w:tcW w:w="1677" w:type="dxa"/>
            <w:tcBorders>
              <w:top w:val="nil"/>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4,70</w:t>
            </w:r>
          </w:p>
        </w:tc>
        <w:tc>
          <w:tcPr>
            <w:tcW w:w="2243" w:type="dxa"/>
            <w:tcBorders>
              <w:top w:val="nil"/>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0,00</w:t>
            </w:r>
          </w:p>
        </w:tc>
      </w:tr>
      <w:tr w:rsidR="00C921C3" w:rsidRPr="00E867F6" w:rsidTr="00760A53">
        <w:trPr>
          <w:trHeight w:val="255"/>
          <w:jc w:val="center"/>
        </w:trPr>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bCs/>
              </w:rPr>
            </w:pPr>
            <w:proofErr w:type="spellStart"/>
            <w:r w:rsidRPr="00E867F6">
              <w:rPr>
                <w:rFonts w:ascii="Arial" w:hAnsi="Arial" w:cs="Arial"/>
                <w:bCs/>
              </w:rPr>
              <w:t>Kreditna</w:t>
            </w:r>
            <w:proofErr w:type="spellEnd"/>
            <w:r>
              <w:rPr>
                <w:rFonts w:ascii="Arial" w:hAnsi="Arial" w:cs="Arial"/>
                <w:bCs/>
              </w:rPr>
              <w:t xml:space="preserve"> </w:t>
            </w:r>
            <w:r w:rsidRPr="00E867F6">
              <w:rPr>
                <w:rFonts w:ascii="Arial" w:hAnsi="Arial" w:cs="Arial"/>
                <w:bCs/>
              </w:rPr>
              <w:t>banka</w:t>
            </w:r>
            <w:r>
              <w:rPr>
                <w:rFonts w:ascii="Arial" w:hAnsi="Arial" w:cs="Arial"/>
                <w:bCs/>
              </w:rPr>
              <w:t xml:space="preserve"> </w:t>
            </w:r>
            <w:proofErr w:type="spellStart"/>
            <w:r w:rsidRPr="00E867F6">
              <w:rPr>
                <w:rFonts w:ascii="Arial" w:hAnsi="Arial" w:cs="Arial"/>
                <w:bCs/>
              </w:rPr>
              <w:t>za</w:t>
            </w:r>
            <w:proofErr w:type="spellEnd"/>
            <w:r>
              <w:rPr>
                <w:rFonts w:ascii="Arial" w:hAnsi="Arial" w:cs="Arial"/>
                <w:bCs/>
              </w:rPr>
              <w:t xml:space="preserve"> </w:t>
            </w:r>
            <w:proofErr w:type="spellStart"/>
            <w:r w:rsidRPr="00E867F6">
              <w:rPr>
                <w:rFonts w:ascii="Arial" w:hAnsi="Arial" w:cs="Arial"/>
                <w:bCs/>
              </w:rPr>
              <w:t>obnovu</w:t>
            </w:r>
            <w:proofErr w:type="spellEnd"/>
            <w:r w:rsidRPr="00E867F6">
              <w:rPr>
                <w:rFonts w:ascii="Arial" w:hAnsi="Arial" w:cs="Arial"/>
                <w:bCs/>
              </w:rPr>
              <w:t xml:space="preserve"> - </w:t>
            </w:r>
            <w:proofErr w:type="spellStart"/>
            <w:r w:rsidRPr="00E867F6">
              <w:rPr>
                <w:rFonts w:ascii="Arial" w:hAnsi="Arial" w:cs="Arial"/>
                <w:bCs/>
              </w:rPr>
              <w:t>Njemačka</w:t>
            </w:r>
            <w:proofErr w:type="spellEnd"/>
            <w:r w:rsidRPr="00E867F6">
              <w:rPr>
                <w:rFonts w:ascii="Arial" w:hAnsi="Arial" w:cs="Arial"/>
                <w:bCs/>
              </w:rPr>
              <w:t xml:space="preserve"> (KFW)</w:t>
            </w:r>
          </w:p>
        </w:tc>
        <w:tc>
          <w:tcPr>
            <w:tcW w:w="1677" w:type="dxa"/>
            <w:tcBorders>
              <w:top w:val="single" w:sz="4" w:space="0" w:color="auto"/>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bCs/>
              </w:rPr>
            </w:pPr>
            <w:r>
              <w:rPr>
                <w:rFonts w:ascii="Arial" w:hAnsi="Arial" w:cs="Arial"/>
                <w:bCs/>
              </w:rPr>
              <w:t>25,22</w:t>
            </w:r>
          </w:p>
        </w:tc>
        <w:tc>
          <w:tcPr>
            <w:tcW w:w="2243" w:type="dxa"/>
            <w:tcBorders>
              <w:top w:val="single" w:sz="4" w:space="0" w:color="auto"/>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b/>
              </w:rPr>
            </w:pPr>
            <w:r w:rsidRPr="00E867F6">
              <w:rPr>
                <w:rFonts w:ascii="Arial" w:hAnsi="Arial" w:cs="Arial"/>
                <w:b/>
              </w:rPr>
              <w:t>85,61</w:t>
            </w:r>
          </w:p>
        </w:tc>
      </w:tr>
      <w:tr w:rsidR="00C921C3" w:rsidRPr="00E867F6" w:rsidTr="00760A53">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rPr>
            </w:pPr>
            <w:proofErr w:type="spellStart"/>
            <w:r w:rsidRPr="00E867F6">
              <w:rPr>
                <w:rFonts w:ascii="Arial" w:hAnsi="Arial" w:cs="Arial"/>
              </w:rPr>
              <w:t>Mađarski</w:t>
            </w:r>
            <w:proofErr w:type="spellEnd"/>
            <w:r>
              <w:rPr>
                <w:rFonts w:ascii="Arial" w:hAnsi="Arial" w:cs="Arial"/>
              </w:rPr>
              <w:t xml:space="preserve"> </w:t>
            </w:r>
            <w:proofErr w:type="spellStart"/>
            <w:r w:rsidRPr="00E867F6">
              <w:rPr>
                <w:rFonts w:ascii="Arial" w:hAnsi="Arial" w:cs="Arial"/>
              </w:rPr>
              <w:t>kredit</w:t>
            </w:r>
            <w:proofErr w:type="spellEnd"/>
          </w:p>
        </w:tc>
        <w:tc>
          <w:tcPr>
            <w:tcW w:w="1677" w:type="dxa"/>
            <w:tcBorders>
              <w:top w:val="nil"/>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9,28</w:t>
            </w:r>
          </w:p>
        </w:tc>
        <w:tc>
          <w:tcPr>
            <w:tcW w:w="2243" w:type="dxa"/>
            <w:tcBorders>
              <w:top w:val="nil"/>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0,00</w:t>
            </w:r>
          </w:p>
        </w:tc>
      </w:tr>
      <w:tr w:rsidR="00C921C3" w:rsidRPr="00E867F6" w:rsidTr="00760A53">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rPr>
            </w:pPr>
            <w:proofErr w:type="spellStart"/>
            <w:r w:rsidRPr="00E867F6">
              <w:rPr>
                <w:rFonts w:ascii="Arial" w:hAnsi="Arial" w:cs="Arial"/>
              </w:rPr>
              <w:t>Poljski</w:t>
            </w:r>
            <w:proofErr w:type="spellEnd"/>
            <w:r>
              <w:rPr>
                <w:rFonts w:ascii="Arial" w:hAnsi="Arial" w:cs="Arial"/>
              </w:rPr>
              <w:t xml:space="preserve"> </w:t>
            </w:r>
            <w:proofErr w:type="spellStart"/>
            <w:r w:rsidRPr="00E867F6">
              <w:rPr>
                <w:rFonts w:ascii="Arial" w:hAnsi="Arial" w:cs="Arial"/>
              </w:rPr>
              <w:t>kredit</w:t>
            </w:r>
            <w:proofErr w:type="spellEnd"/>
          </w:p>
        </w:tc>
        <w:tc>
          <w:tcPr>
            <w:tcW w:w="1677" w:type="dxa"/>
            <w:tcBorders>
              <w:top w:val="nil"/>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8,33</w:t>
            </w:r>
          </w:p>
        </w:tc>
        <w:tc>
          <w:tcPr>
            <w:tcW w:w="2243" w:type="dxa"/>
            <w:tcBorders>
              <w:top w:val="nil"/>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0,00</w:t>
            </w:r>
          </w:p>
        </w:tc>
      </w:tr>
      <w:tr w:rsidR="00C921C3" w:rsidRPr="00E867F6" w:rsidTr="00760A53">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rPr>
            </w:pPr>
            <w:proofErr w:type="spellStart"/>
            <w:r w:rsidRPr="00E867F6">
              <w:rPr>
                <w:rFonts w:ascii="Arial" w:hAnsi="Arial" w:cs="Arial"/>
              </w:rPr>
              <w:t>Francuski</w:t>
            </w:r>
            <w:proofErr w:type="spellEnd"/>
            <w:r>
              <w:rPr>
                <w:rFonts w:ascii="Arial" w:hAnsi="Arial" w:cs="Arial"/>
              </w:rPr>
              <w:t xml:space="preserve"> </w:t>
            </w:r>
            <w:proofErr w:type="spellStart"/>
            <w:r w:rsidRPr="00E867F6">
              <w:rPr>
                <w:rFonts w:ascii="Arial" w:hAnsi="Arial" w:cs="Arial"/>
              </w:rPr>
              <w:t>kredit</w:t>
            </w:r>
            <w:proofErr w:type="spellEnd"/>
            <w:r w:rsidRPr="00E867F6">
              <w:rPr>
                <w:rFonts w:ascii="Arial" w:hAnsi="Arial" w:cs="Arial"/>
              </w:rPr>
              <w:t xml:space="preserve"> - </w:t>
            </w:r>
            <w:proofErr w:type="spellStart"/>
            <w:r w:rsidRPr="00E867F6">
              <w:rPr>
                <w:rFonts w:ascii="Arial" w:hAnsi="Arial" w:cs="Arial"/>
              </w:rPr>
              <w:t>Natixis</w:t>
            </w:r>
            <w:proofErr w:type="spellEnd"/>
          </w:p>
        </w:tc>
        <w:tc>
          <w:tcPr>
            <w:tcW w:w="1677" w:type="dxa"/>
            <w:tcBorders>
              <w:top w:val="nil"/>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7,26</w:t>
            </w:r>
          </w:p>
        </w:tc>
        <w:tc>
          <w:tcPr>
            <w:tcW w:w="2243" w:type="dxa"/>
            <w:tcBorders>
              <w:top w:val="nil"/>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0,00</w:t>
            </w:r>
          </w:p>
        </w:tc>
      </w:tr>
      <w:tr w:rsidR="00C921C3" w:rsidRPr="00E867F6" w:rsidTr="00760A53">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rPr>
            </w:pPr>
            <w:r w:rsidRPr="00E867F6">
              <w:rPr>
                <w:rFonts w:ascii="Arial" w:hAnsi="Arial" w:cs="Arial"/>
              </w:rPr>
              <w:t>EUROFIMA</w:t>
            </w:r>
          </w:p>
        </w:tc>
        <w:tc>
          <w:tcPr>
            <w:tcW w:w="1677" w:type="dxa"/>
            <w:tcBorders>
              <w:top w:val="nil"/>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17,05</w:t>
            </w:r>
          </w:p>
        </w:tc>
        <w:tc>
          <w:tcPr>
            <w:tcW w:w="2243" w:type="dxa"/>
            <w:tcBorders>
              <w:top w:val="nil"/>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0,00</w:t>
            </w:r>
          </w:p>
        </w:tc>
      </w:tr>
      <w:tr w:rsidR="00C921C3" w:rsidRPr="00E867F6" w:rsidTr="00760A53">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rPr>
            </w:pPr>
            <w:proofErr w:type="spellStart"/>
            <w:r w:rsidRPr="00E867F6">
              <w:rPr>
                <w:rFonts w:ascii="Arial" w:hAnsi="Arial" w:cs="Arial"/>
              </w:rPr>
              <w:t>Česka</w:t>
            </w:r>
            <w:proofErr w:type="spellEnd"/>
            <w:r w:rsidRPr="00E867F6">
              <w:rPr>
                <w:rFonts w:ascii="Arial" w:hAnsi="Arial" w:cs="Arial"/>
              </w:rPr>
              <w:t xml:space="preserve"> Exim banka</w:t>
            </w:r>
          </w:p>
        </w:tc>
        <w:tc>
          <w:tcPr>
            <w:tcW w:w="1677" w:type="dxa"/>
            <w:tcBorders>
              <w:top w:val="nil"/>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14,61</w:t>
            </w:r>
          </w:p>
        </w:tc>
        <w:tc>
          <w:tcPr>
            <w:tcW w:w="2243" w:type="dxa"/>
            <w:tcBorders>
              <w:top w:val="nil"/>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0,00</w:t>
            </w:r>
          </w:p>
        </w:tc>
      </w:tr>
      <w:tr w:rsidR="00C921C3" w:rsidRPr="00E867F6" w:rsidTr="00760A53">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rPr>
            </w:pPr>
            <w:proofErr w:type="spellStart"/>
            <w:r w:rsidRPr="00E867F6">
              <w:rPr>
                <w:rFonts w:ascii="Arial" w:hAnsi="Arial" w:cs="Arial"/>
              </w:rPr>
              <w:t>Steiermarkische</w:t>
            </w:r>
            <w:proofErr w:type="spellEnd"/>
            <w:r>
              <w:rPr>
                <w:rFonts w:ascii="Arial" w:hAnsi="Arial" w:cs="Arial"/>
              </w:rPr>
              <w:t xml:space="preserve"> </w:t>
            </w:r>
            <w:proofErr w:type="spellStart"/>
            <w:r w:rsidRPr="00E867F6">
              <w:rPr>
                <w:rFonts w:ascii="Arial" w:hAnsi="Arial" w:cs="Arial"/>
              </w:rPr>
              <w:t>Sparkassen</w:t>
            </w:r>
            <w:proofErr w:type="spellEnd"/>
          </w:p>
        </w:tc>
        <w:tc>
          <w:tcPr>
            <w:tcW w:w="1677" w:type="dxa"/>
            <w:tcBorders>
              <w:top w:val="nil"/>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14,30</w:t>
            </w:r>
          </w:p>
        </w:tc>
        <w:tc>
          <w:tcPr>
            <w:tcW w:w="2243" w:type="dxa"/>
            <w:tcBorders>
              <w:top w:val="nil"/>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0,00</w:t>
            </w:r>
          </w:p>
        </w:tc>
      </w:tr>
      <w:tr w:rsidR="00C921C3" w:rsidRPr="00E867F6" w:rsidTr="00760A53">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bCs/>
              </w:rPr>
            </w:pPr>
            <w:proofErr w:type="spellStart"/>
            <w:r w:rsidRPr="00E867F6">
              <w:rPr>
                <w:rFonts w:ascii="Arial" w:hAnsi="Arial" w:cs="Arial"/>
                <w:bCs/>
              </w:rPr>
              <w:t>Erste</w:t>
            </w:r>
            <w:proofErr w:type="spellEnd"/>
            <w:r>
              <w:rPr>
                <w:rFonts w:ascii="Arial" w:hAnsi="Arial" w:cs="Arial"/>
                <w:bCs/>
              </w:rPr>
              <w:t xml:space="preserve"> </w:t>
            </w:r>
            <w:r w:rsidRPr="00E867F6">
              <w:rPr>
                <w:rFonts w:ascii="Arial" w:hAnsi="Arial" w:cs="Arial"/>
                <w:bCs/>
              </w:rPr>
              <w:t xml:space="preserve">banka AG </w:t>
            </w:r>
            <w:proofErr w:type="spellStart"/>
            <w:r w:rsidRPr="00E867F6">
              <w:rPr>
                <w:rFonts w:ascii="Arial" w:hAnsi="Arial" w:cs="Arial"/>
                <w:bCs/>
              </w:rPr>
              <w:t>Beč</w:t>
            </w:r>
            <w:proofErr w:type="spellEnd"/>
          </w:p>
        </w:tc>
        <w:tc>
          <w:tcPr>
            <w:tcW w:w="1677" w:type="dxa"/>
            <w:tcBorders>
              <w:top w:val="nil"/>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bCs/>
              </w:rPr>
            </w:pPr>
            <w:r w:rsidRPr="00E867F6">
              <w:rPr>
                <w:rFonts w:ascii="Arial" w:hAnsi="Arial" w:cs="Arial"/>
                <w:bCs/>
              </w:rPr>
              <w:t>18,00</w:t>
            </w:r>
          </w:p>
        </w:tc>
        <w:tc>
          <w:tcPr>
            <w:tcW w:w="2243" w:type="dxa"/>
            <w:tcBorders>
              <w:top w:val="nil"/>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0,00</w:t>
            </w:r>
          </w:p>
        </w:tc>
      </w:tr>
      <w:tr w:rsidR="00C921C3" w:rsidRPr="00E867F6" w:rsidTr="00760A53">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rPr>
            </w:pPr>
            <w:r w:rsidRPr="00E867F6">
              <w:rPr>
                <w:rFonts w:ascii="Arial" w:hAnsi="Arial" w:cs="Arial"/>
              </w:rPr>
              <w:t>Credit Suisse</w:t>
            </w:r>
          </w:p>
        </w:tc>
        <w:tc>
          <w:tcPr>
            <w:tcW w:w="1677" w:type="dxa"/>
            <w:tcBorders>
              <w:top w:val="nil"/>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204,00</w:t>
            </w:r>
          </w:p>
        </w:tc>
        <w:tc>
          <w:tcPr>
            <w:tcW w:w="2243" w:type="dxa"/>
            <w:tcBorders>
              <w:top w:val="nil"/>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0,00</w:t>
            </w:r>
          </w:p>
        </w:tc>
      </w:tr>
      <w:tr w:rsidR="00C921C3" w:rsidRPr="00E867F6" w:rsidTr="00760A53">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rPr>
            </w:pPr>
            <w:proofErr w:type="spellStart"/>
            <w:r w:rsidRPr="00E867F6">
              <w:rPr>
                <w:rFonts w:ascii="Arial" w:hAnsi="Arial" w:cs="Arial"/>
              </w:rPr>
              <w:t>Španski</w:t>
            </w:r>
            <w:proofErr w:type="spellEnd"/>
            <w:r>
              <w:rPr>
                <w:rFonts w:ascii="Arial" w:hAnsi="Arial" w:cs="Arial"/>
              </w:rPr>
              <w:t xml:space="preserve"> </w:t>
            </w:r>
            <w:proofErr w:type="spellStart"/>
            <w:r w:rsidRPr="00E867F6">
              <w:rPr>
                <w:rFonts w:ascii="Arial" w:hAnsi="Arial" w:cs="Arial"/>
              </w:rPr>
              <w:t>kredit</w:t>
            </w:r>
            <w:proofErr w:type="spellEnd"/>
            <w:r>
              <w:rPr>
                <w:rFonts w:ascii="Arial" w:hAnsi="Arial" w:cs="Arial"/>
              </w:rPr>
              <w:t xml:space="preserve"> </w:t>
            </w:r>
            <w:proofErr w:type="spellStart"/>
            <w:r w:rsidRPr="00E867F6">
              <w:rPr>
                <w:rFonts w:ascii="Arial" w:hAnsi="Arial" w:cs="Arial"/>
              </w:rPr>
              <w:t>Deponija</w:t>
            </w:r>
            <w:proofErr w:type="spellEnd"/>
          </w:p>
        </w:tc>
        <w:tc>
          <w:tcPr>
            <w:tcW w:w="1677" w:type="dxa"/>
            <w:tcBorders>
              <w:top w:val="nil"/>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rPr>
            </w:pPr>
            <w:r>
              <w:rPr>
                <w:rFonts w:ascii="Arial" w:hAnsi="Arial" w:cs="Arial"/>
              </w:rPr>
              <w:t>4,75</w:t>
            </w:r>
          </w:p>
        </w:tc>
        <w:tc>
          <w:tcPr>
            <w:tcW w:w="2243" w:type="dxa"/>
            <w:tcBorders>
              <w:top w:val="nil"/>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0,00</w:t>
            </w:r>
          </w:p>
        </w:tc>
      </w:tr>
      <w:tr w:rsidR="00C921C3" w:rsidRPr="00E867F6" w:rsidTr="00760A53">
        <w:trPr>
          <w:trHeight w:val="255"/>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bCs/>
              </w:rPr>
            </w:pPr>
            <w:proofErr w:type="spellStart"/>
            <w:r w:rsidRPr="00E867F6">
              <w:rPr>
                <w:rFonts w:ascii="Arial" w:hAnsi="Arial" w:cs="Arial"/>
                <w:bCs/>
              </w:rPr>
              <w:t>Erste</w:t>
            </w:r>
            <w:proofErr w:type="spellEnd"/>
            <w:r w:rsidR="0031253E">
              <w:rPr>
                <w:rFonts w:ascii="Arial" w:hAnsi="Arial" w:cs="Arial"/>
                <w:bCs/>
              </w:rPr>
              <w:t xml:space="preserve"> banka -</w:t>
            </w:r>
            <w:r w:rsidRPr="00E867F6">
              <w:rPr>
                <w:rFonts w:ascii="Arial" w:hAnsi="Arial" w:cs="Arial"/>
                <w:bCs/>
              </w:rPr>
              <w:t xml:space="preserve"> Fond </w:t>
            </w:r>
            <w:proofErr w:type="spellStart"/>
            <w:r w:rsidRPr="00E867F6">
              <w:rPr>
                <w:rFonts w:ascii="Arial" w:hAnsi="Arial" w:cs="Arial"/>
                <w:bCs/>
              </w:rPr>
              <w:t>zdravstva</w:t>
            </w:r>
            <w:proofErr w:type="spellEnd"/>
          </w:p>
        </w:tc>
        <w:tc>
          <w:tcPr>
            <w:tcW w:w="1677" w:type="dxa"/>
            <w:tcBorders>
              <w:top w:val="nil"/>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bCs/>
              </w:rPr>
            </w:pPr>
            <w:r w:rsidRPr="00E867F6">
              <w:rPr>
                <w:rFonts w:ascii="Arial" w:hAnsi="Arial" w:cs="Arial"/>
                <w:bCs/>
              </w:rPr>
              <w:t>7,40</w:t>
            </w:r>
          </w:p>
        </w:tc>
        <w:tc>
          <w:tcPr>
            <w:tcW w:w="2243" w:type="dxa"/>
            <w:tcBorders>
              <w:top w:val="nil"/>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0,00</w:t>
            </w:r>
          </w:p>
        </w:tc>
      </w:tr>
      <w:tr w:rsidR="00C921C3" w:rsidRPr="00E867F6" w:rsidTr="00760A53">
        <w:trPr>
          <w:trHeight w:val="270"/>
          <w:jc w:val="center"/>
        </w:trPr>
        <w:tc>
          <w:tcPr>
            <w:tcW w:w="4420" w:type="dxa"/>
            <w:tcBorders>
              <w:top w:val="nil"/>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bCs/>
              </w:rPr>
            </w:pPr>
            <w:r w:rsidRPr="00E867F6">
              <w:rPr>
                <w:rFonts w:ascii="Arial" w:hAnsi="Arial" w:cs="Arial"/>
                <w:bCs/>
              </w:rPr>
              <w:t>EUROBOND</w:t>
            </w:r>
          </w:p>
        </w:tc>
        <w:tc>
          <w:tcPr>
            <w:tcW w:w="1677" w:type="dxa"/>
            <w:tcBorders>
              <w:top w:val="nil"/>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bCs/>
              </w:rPr>
            </w:pPr>
            <w:r w:rsidRPr="00E867F6">
              <w:rPr>
                <w:rFonts w:ascii="Arial" w:hAnsi="Arial" w:cs="Arial"/>
                <w:bCs/>
              </w:rPr>
              <w:t>647,36</w:t>
            </w:r>
          </w:p>
        </w:tc>
        <w:tc>
          <w:tcPr>
            <w:tcW w:w="2243" w:type="dxa"/>
            <w:tcBorders>
              <w:top w:val="nil"/>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0,00</w:t>
            </w:r>
          </w:p>
        </w:tc>
      </w:tr>
      <w:tr w:rsidR="00C921C3" w:rsidRPr="00E867F6" w:rsidTr="00760A53">
        <w:trPr>
          <w:trHeight w:val="270"/>
          <w:jc w:val="center"/>
        </w:trPr>
        <w:tc>
          <w:tcPr>
            <w:tcW w:w="4420" w:type="dxa"/>
            <w:tcBorders>
              <w:top w:val="single" w:sz="4" w:space="0" w:color="auto"/>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rPr>
                <w:rFonts w:ascii="Arial" w:hAnsi="Arial" w:cs="Arial"/>
              </w:rPr>
            </w:pPr>
            <w:r w:rsidRPr="00E867F6">
              <w:rPr>
                <w:rFonts w:ascii="Arial" w:hAnsi="Arial" w:cs="Arial"/>
              </w:rPr>
              <w:t>Deutsche bank</w:t>
            </w:r>
          </w:p>
        </w:tc>
        <w:tc>
          <w:tcPr>
            <w:tcW w:w="1677" w:type="dxa"/>
            <w:tcBorders>
              <w:top w:val="single" w:sz="4" w:space="0" w:color="auto"/>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60,00</w:t>
            </w:r>
          </w:p>
        </w:tc>
        <w:tc>
          <w:tcPr>
            <w:tcW w:w="2243" w:type="dxa"/>
            <w:tcBorders>
              <w:top w:val="single" w:sz="4" w:space="0" w:color="auto"/>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rPr>
            </w:pPr>
            <w:r w:rsidRPr="00E867F6">
              <w:rPr>
                <w:rFonts w:ascii="Arial" w:hAnsi="Arial" w:cs="Arial"/>
              </w:rPr>
              <w:t>0,00</w:t>
            </w:r>
          </w:p>
        </w:tc>
      </w:tr>
      <w:tr w:rsidR="00C921C3" w:rsidRPr="00E867F6" w:rsidTr="00760A53">
        <w:trPr>
          <w:trHeight w:val="270"/>
          <w:jc w:val="center"/>
        </w:trPr>
        <w:tc>
          <w:tcPr>
            <w:tcW w:w="4420" w:type="dxa"/>
            <w:tcBorders>
              <w:top w:val="single" w:sz="4" w:space="0" w:color="auto"/>
              <w:left w:val="double" w:sz="2" w:space="0" w:color="auto"/>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b/>
                <w:bCs/>
                <w:color w:val="000000"/>
              </w:rPr>
            </w:pPr>
            <w:proofErr w:type="spellStart"/>
            <w:r w:rsidRPr="00E867F6">
              <w:rPr>
                <w:rFonts w:ascii="Arial" w:hAnsi="Arial" w:cs="Arial"/>
                <w:b/>
                <w:bCs/>
                <w:color w:val="000000"/>
              </w:rPr>
              <w:t>Ukupno</w:t>
            </w:r>
            <w:proofErr w:type="spellEnd"/>
            <w:r>
              <w:rPr>
                <w:rFonts w:ascii="Arial" w:hAnsi="Arial" w:cs="Arial"/>
                <w:b/>
                <w:bCs/>
                <w:color w:val="000000"/>
              </w:rPr>
              <w:t xml:space="preserve"> </w:t>
            </w:r>
            <w:proofErr w:type="spellStart"/>
            <w:r w:rsidRPr="00E867F6">
              <w:rPr>
                <w:rFonts w:ascii="Arial" w:hAnsi="Arial" w:cs="Arial"/>
                <w:b/>
                <w:bCs/>
                <w:color w:val="000000"/>
              </w:rPr>
              <w:t>spoljni</w:t>
            </w:r>
            <w:proofErr w:type="spellEnd"/>
            <w:r w:rsidRPr="00E867F6">
              <w:rPr>
                <w:rFonts w:ascii="Arial" w:hAnsi="Arial" w:cs="Arial"/>
                <w:b/>
                <w:bCs/>
                <w:color w:val="000000"/>
              </w:rPr>
              <w:t xml:space="preserve"> dug</w:t>
            </w:r>
          </w:p>
        </w:tc>
        <w:tc>
          <w:tcPr>
            <w:tcW w:w="1677" w:type="dxa"/>
            <w:tcBorders>
              <w:top w:val="single" w:sz="4" w:space="0" w:color="auto"/>
              <w:left w:val="nil"/>
              <w:bottom w:val="single" w:sz="4" w:space="0" w:color="auto"/>
              <w:right w:val="single" w:sz="4" w:space="0" w:color="auto"/>
            </w:tcBorders>
            <w:shd w:val="clear" w:color="auto" w:fill="auto"/>
            <w:noWrap/>
            <w:vAlign w:val="bottom"/>
          </w:tcPr>
          <w:p w:rsidR="00C921C3" w:rsidRPr="00E867F6" w:rsidRDefault="00C921C3" w:rsidP="00760A53">
            <w:pPr>
              <w:jc w:val="center"/>
              <w:rPr>
                <w:rFonts w:ascii="Arial" w:hAnsi="Arial" w:cs="Arial"/>
                <w:b/>
                <w:bCs/>
                <w:color w:val="000000"/>
              </w:rPr>
            </w:pPr>
            <w:r w:rsidRPr="00E867F6">
              <w:rPr>
                <w:rFonts w:ascii="Arial" w:hAnsi="Arial" w:cs="Arial"/>
                <w:b/>
                <w:bCs/>
                <w:color w:val="000000"/>
              </w:rPr>
              <w:t>1.561,69</w:t>
            </w:r>
          </w:p>
        </w:tc>
        <w:tc>
          <w:tcPr>
            <w:tcW w:w="2243" w:type="dxa"/>
            <w:tcBorders>
              <w:top w:val="single" w:sz="4" w:space="0" w:color="auto"/>
              <w:left w:val="nil"/>
              <w:bottom w:val="single" w:sz="4" w:space="0" w:color="auto"/>
              <w:right w:val="double" w:sz="2" w:space="0" w:color="auto"/>
            </w:tcBorders>
            <w:shd w:val="clear" w:color="auto" w:fill="auto"/>
            <w:noWrap/>
            <w:vAlign w:val="bottom"/>
          </w:tcPr>
          <w:p w:rsidR="00C921C3" w:rsidRPr="00E867F6" w:rsidRDefault="00C921C3" w:rsidP="00760A53">
            <w:pPr>
              <w:jc w:val="center"/>
              <w:rPr>
                <w:rFonts w:ascii="Arial" w:hAnsi="Arial" w:cs="Arial"/>
                <w:b/>
              </w:rPr>
            </w:pPr>
            <w:r w:rsidRPr="00E867F6">
              <w:rPr>
                <w:rFonts w:ascii="Arial" w:hAnsi="Arial" w:cs="Arial"/>
                <w:b/>
              </w:rPr>
              <w:t>233,28</w:t>
            </w:r>
          </w:p>
        </w:tc>
      </w:tr>
    </w:tbl>
    <w:p w:rsidR="00C921C3" w:rsidRDefault="00C921C3" w:rsidP="00C921C3">
      <w:pPr>
        <w:pStyle w:val="FootnoteText"/>
        <w:ind w:firstLine="720"/>
        <w:jc w:val="both"/>
        <w:rPr>
          <w:rFonts w:ascii="Arial" w:hAnsi="Arial" w:cs="Arial"/>
          <w:sz w:val="24"/>
          <w:szCs w:val="24"/>
          <w:lang w:val="sr-Latn-CS"/>
        </w:rPr>
      </w:pPr>
    </w:p>
    <w:p w:rsidR="00C921C3" w:rsidRPr="00E867F6" w:rsidRDefault="00C921C3" w:rsidP="00C921C3">
      <w:pPr>
        <w:pStyle w:val="FootnoteText"/>
        <w:ind w:firstLine="720"/>
        <w:jc w:val="both"/>
        <w:rPr>
          <w:rFonts w:ascii="Arial" w:hAnsi="Arial" w:cs="Arial"/>
          <w:sz w:val="24"/>
          <w:szCs w:val="24"/>
          <w:lang w:val="sr-Latn-CS"/>
        </w:rPr>
      </w:pPr>
    </w:p>
    <w:p w:rsidR="00C921C3" w:rsidRPr="00942C57" w:rsidRDefault="00C921C3" w:rsidP="00C921C3">
      <w:pPr>
        <w:pStyle w:val="BodyText"/>
        <w:jc w:val="center"/>
        <w:rPr>
          <w:rFonts w:ascii="Arial" w:hAnsi="Arial" w:cs="Arial"/>
          <w:i/>
          <w:sz w:val="22"/>
          <w:szCs w:val="22"/>
        </w:rPr>
      </w:pPr>
      <w:r>
        <w:rPr>
          <w:noProof/>
          <w:lang w:val="en-US"/>
        </w:rPr>
        <w:lastRenderedPageBreak/>
        <w:drawing>
          <wp:inline distT="0" distB="0" distL="0" distR="0">
            <wp:extent cx="6019800" cy="3667125"/>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br/>
      </w:r>
      <w:r>
        <w:rPr>
          <w:rFonts w:ascii="Arial" w:hAnsi="Arial" w:cs="Arial"/>
          <w:i/>
          <w:sz w:val="22"/>
          <w:szCs w:val="22"/>
        </w:rPr>
        <w:t xml:space="preserve">Grafikon 3. </w:t>
      </w:r>
      <w:r w:rsidRPr="00942C57">
        <w:rPr>
          <w:rFonts w:ascii="Arial" w:hAnsi="Arial" w:cs="Arial"/>
          <w:i/>
          <w:sz w:val="22"/>
          <w:szCs w:val="22"/>
        </w:rPr>
        <w:t>Grafički prikaz spoljšnjeg duga u milionima eura na dan 31.12.2014. godine</w:t>
      </w:r>
    </w:p>
    <w:p w:rsidR="00C921C3" w:rsidRPr="00E867F6" w:rsidRDefault="00C921C3" w:rsidP="00C921C3">
      <w:pPr>
        <w:pStyle w:val="FootnoteText"/>
        <w:ind w:firstLine="720"/>
        <w:jc w:val="both"/>
        <w:rPr>
          <w:rFonts w:ascii="Arial" w:hAnsi="Arial" w:cs="Arial"/>
          <w:sz w:val="24"/>
          <w:szCs w:val="24"/>
          <w:lang w:val="sr-Latn-CS"/>
        </w:rPr>
      </w:pPr>
    </w:p>
    <w:p w:rsidR="00C921C3" w:rsidRPr="00C74C0B" w:rsidRDefault="00C921C3" w:rsidP="00C921C3">
      <w:pPr>
        <w:pStyle w:val="FootnoteText"/>
        <w:ind w:firstLine="720"/>
        <w:jc w:val="both"/>
        <w:rPr>
          <w:rFonts w:ascii="Arial" w:hAnsi="Arial" w:cs="Arial"/>
          <w:sz w:val="24"/>
          <w:szCs w:val="24"/>
          <w:lang w:val="sr-Latn-CS"/>
        </w:rPr>
      </w:pPr>
      <w:r w:rsidRPr="00C74C0B">
        <w:rPr>
          <w:rFonts w:ascii="Arial" w:hAnsi="Arial" w:cs="Arial"/>
          <w:sz w:val="24"/>
          <w:szCs w:val="24"/>
          <w:lang w:val="sr-Latn-CS"/>
        </w:rPr>
        <w:t>Prema navedenim podacima, dug kod međunarodnih finansijskih institucija (Svjetska banka i njene afilijacije - IBRD, IFC, IDA, zatim Pariski klub, EIB, EBRD, CEB, Evropska zajednica i KfW) iznosi oko 16,19 % BDP-a, dug po bilateralnim (mekim) zajmovima (ugovori sa Vladama Austrije, Mađarske, Poljske, Francuske, Španije, Eurofima, Češka Exim Banka, Mađarska Exim banka i Steiermarkische Bank und Sparkassen AG) iznosi oko 2,45 % BDP-a dok dug po osnovu kreditnih aranžmana za potrebe budžeta (Eurobond, Credit Suisse, Erste Bank i Deutsche bank) iznosi oko 27,39 % BDP-a.</w:t>
      </w:r>
      <w:r>
        <w:rPr>
          <w:rFonts w:ascii="Arial" w:hAnsi="Arial" w:cs="Arial"/>
          <w:b/>
        </w:rPr>
        <w:br w:type="page"/>
      </w:r>
    </w:p>
    <w:p w:rsidR="00C921C3" w:rsidRPr="0077402C" w:rsidRDefault="00C921C3" w:rsidP="00C921C3">
      <w:pPr>
        <w:pStyle w:val="BodyText"/>
        <w:numPr>
          <w:ilvl w:val="1"/>
          <w:numId w:val="15"/>
        </w:numPr>
        <w:jc w:val="center"/>
        <w:outlineLvl w:val="0"/>
        <w:rPr>
          <w:rFonts w:ascii="Arial" w:hAnsi="Arial" w:cs="Arial"/>
          <w:b/>
        </w:rPr>
      </w:pPr>
      <w:r w:rsidRPr="0077402C">
        <w:rPr>
          <w:rFonts w:ascii="Arial" w:hAnsi="Arial" w:cs="Arial"/>
          <w:b/>
        </w:rPr>
        <w:lastRenderedPageBreak/>
        <w:t>Unutrašnji dug</w:t>
      </w:r>
    </w:p>
    <w:p w:rsidR="00C921C3" w:rsidRPr="0021211D" w:rsidRDefault="00C921C3" w:rsidP="00C921C3">
      <w:pPr>
        <w:pStyle w:val="BodyText"/>
        <w:rPr>
          <w:rFonts w:ascii="Arial" w:hAnsi="Arial" w:cs="Arial"/>
        </w:rPr>
      </w:pPr>
    </w:p>
    <w:p w:rsidR="00C921C3" w:rsidRDefault="00C921C3" w:rsidP="00C921C3">
      <w:pPr>
        <w:ind w:firstLine="720"/>
        <w:jc w:val="both"/>
        <w:rPr>
          <w:rFonts w:ascii="Arial" w:hAnsi="Arial" w:cs="Arial"/>
          <w:lang w:val="pl-PL"/>
        </w:rPr>
      </w:pPr>
      <w:r>
        <w:rPr>
          <w:rFonts w:ascii="Arial" w:hAnsi="Arial" w:cs="Arial"/>
          <w:lang w:val="pl-PL"/>
        </w:rPr>
        <w:t>Unutrašnji dug je u toku 2014</w:t>
      </w:r>
      <w:r w:rsidRPr="0021211D">
        <w:rPr>
          <w:rFonts w:ascii="Arial" w:hAnsi="Arial" w:cs="Arial"/>
          <w:lang w:val="pl-PL"/>
        </w:rPr>
        <w:t xml:space="preserve">. godine </w:t>
      </w:r>
      <w:proofErr w:type="spellStart"/>
      <w:r w:rsidRPr="0021211D">
        <w:rPr>
          <w:rFonts w:ascii="Arial" w:hAnsi="Arial" w:cs="Arial"/>
        </w:rPr>
        <w:t>povećan</w:t>
      </w:r>
      <w:proofErr w:type="spellEnd"/>
      <w:r w:rsidRPr="0021211D">
        <w:rPr>
          <w:rFonts w:ascii="Arial" w:hAnsi="Arial" w:cs="Arial"/>
          <w:lang w:val="pl-PL"/>
        </w:rPr>
        <w:t xml:space="preserve"> za oko </w:t>
      </w:r>
      <w:r>
        <w:rPr>
          <w:rFonts w:ascii="Arial" w:hAnsi="Arial" w:cs="Arial"/>
          <w:lang w:val="pl-PL"/>
        </w:rPr>
        <w:t>17,1</w:t>
      </w:r>
      <w:r w:rsidRPr="0021211D">
        <w:rPr>
          <w:rFonts w:ascii="Arial" w:hAnsi="Arial" w:cs="Arial"/>
          <w:lang w:val="pl-PL"/>
        </w:rPr>
        <w:t xml:space="preserve">  mil.</w:t>
      </w:r>
      <w:r>
        <w:rPr>
          <w:rFonts w:ascii="Arial" w:hAnsi="Arial" w:cs="Arial"/>
          <w:lang w:val="pl-PL"/>
        </w:rPr>
        <w:t xml:space="preserve"> eura u odnosu na kraj 2013</w:t>
      </w:r>
      <w:r w:rsidRPr="0021211D">
        <w:rPr>
          <w:rFonts w:ascii="Arial" w:hAnsi="Arial" w:cs="Arial"/>
          <w:lang w:val="pl-PL"/>
        </w:rPr>
        <w:t>.godine</w:t>
      </w:r>
      <w:r>
        <w:rPr>
          <w:rFonts w:ascii="Arial" w:hAnsi="Arial" w:cs="Arial"/>
          <w:lang w:val="pl-PL"/>
        </w:rPr>
        <w:t xml:space="preserve"> i iznosi oko 381,22 mil. eura</w:t>
      </w:r>
      <w:r w:rsidRPr="0021211D">
        <w:rPr>
          <w:rFonts w:ascii="Arial" w:hAnsi="Arial" w:cs="Arial"/>
          <w:lang w:val="pl-PL"/>
        </w:rPr>
        <w:t xml:space="preserve">. </w:t>
      </w:r>
      <w:r>
        <w:rPr>
          <w:rFonts w:ascii="Arial" w:hAnsi="Arial" w:cs="Arial"/>
          <w:lang w:val="pl-PL"/>
        </w:rPr>
        <w:t xml:space="preserve">(Tabela br. 3 i Grafikon. br. 4). </w:t>
      </w:r>
    </w:p>
    <w:p w:rsidR="00C921C3" w:rsidRPr="0021211D" w:rsidRDefault="00C921C3" w:rsidP="00C921C3">
      <w:pPr>
        <w:ind w:firstLine="720"/>
        <w:jc w:val="both"/>
        <w:rPr>
          <w:rFonts w:ascii="Arial" w:hAnsi="Arial" w:cs="Arial"/>
        </w:rPr>
      </w:pPr>
      <w:r w:rsidRPr="0021211D">
        <w:rPr>
          <w:rFonts w:ascii="Arial" w:hAnsi="Arial" w:cs="Arial"/>
          <w:lang w:val="pl-PL"/>
        </w:rPr>
        <w:t xml:space="preserve">Povećanje unutrašnjeg duga, prije svega  uzrokovano je povećanjem duga po osnovu </w:t>
      </w:r>
      <w:r>
        <w:rPr>
          <w:rFonts w:ascii="Arial" w:hAnsi="Arial" w:cs="Arial"/>
          <w:lang w:val="pl-PL"/>
        </w:rPr>
        <w:t>emisije domaćih obveznica u iznosu od 43,15</w:t>
      </w:r>
      <w:r w:rsidRPr="0021211D">
        <w:rPr>
          <w:rFonts w:ascii="Arial" w:hAnsi="Arial" w:cs="Arial"/>
          <w:lang w:val="pl-PL"/>
        </w:rPr>
        <w:t xml:space="preserve"> mil. eura,  </w:t>
      </w:r>
      <w:r>
        <w:rPr>
          <w:rFonts w:ascii="Arial" w:hAnsi="Arial" w:cs="Arial"/>
          <w:lang w:val="pl-PL"/>
        </w:rPr>
        <w:t xml:space="preserve">uključivanjem duga pravnih lica i privrednih društava koja se najvećim dijelom finansiraju iz budžeta u većinskom su vlasništvu i pod upravljačkom kontrolom države u iznosu od oko 36,05 mil.eura (zdravstvene ustanove, obrazovne ustanove, ustanove kulture, RTCG, Željeznički prevoz Crne Gore AD Podgorica, Željeznička infrastruktura AD Podgorica isl.), </w:t>
      </w:r>
      <w:r w:rsidRPr="0021211D">
        <w:rPr>
          <w:rFonts w:ascii="Arial" w:hAnsi="Arial" w:cs="Arial"/>
          <w:lang w:val="pl-PL"/>
        </w:rPr>
        <w:t xml:space="preserve">povećanjem duga po osnovu obeštećenja </w:t>
      </w:r>
      <w:proofErr w:type="spellStart"/>
      <w:r>
        <w:rPr>
          <w:rFonts w:ascii="Arial" w:hAnsi="Arial" w:cs="Arial"/>
        </w:rPr>
        <w:t>za</w:t>
      </w:r>
      <w:proofErr w:type="spellEnd"/>
      <w:r>
        <w:rPr>
          <w:rFonts w:ascii="Arial" w:hAnsi="Arial" w:cs="Arial"/>
        </w:rPr>
        <w:t xml:space="preserve"> </w:t>
      </w:r>
      <w:proofErr w:type="spellStart"/>
      <w:r>
        <w:rPr>
          <w:rFonts w:ascii="Arial" w:hAnsi="Arial" w:cs="Arial"/>
        </w:rPr>
        <w:t>oko</w:t>
      </w:r>
      <w:proofErr w:type="spellEnd"/>
      <w:r>
        <w:rPr>
          <w:rFonts w:ascii="Arial" w:hAnsi="Arial" w:cs="Arial"/>
        </w:rPr>
        <w:t xml:space="preserve"> 2,3</w:t>
      </w:r>
      <w:r w:rsidRPr="0021211D">
        <w:rPr>
          <w:rFonts w:ascii="Arial" w:hAnsi="Arial" w:cs="Arial"/>
        </w:rPr>
        <w:t xml:space="preserve"> </w:t>
      </w:r>
      <w:proofErr w:type="spellStart"/>
      <w:r w:rsidRPr="0021211D">
        <w:rPr>
          <w:rFonts w:ascii="Arial" w:hAnsi="Arial" w:cs="Arial"/>
        </w:rPr>
        <w:t>mil.Eura</w:t>
      </w:r>
      <w:proofErr w:type="spellEnd"/>
      <w:r>
        <w:rPr>
          <w:rFonts w:ascii="Arial" w:hAnsi="Arial" w:cs="Arial"/>
        </w:rPr>
        <w:t>.</w:t>
      </w:r>
    </w:p>
    <w:p w:rsidR="00C921C3" w:rsidRPr="0021211D" w:rsidRDefault="00C921C3" w:rsidP="00C921C3">
      <w:pPr>
        <w:jc w:val="both"/>
        <w:rPr>
          <w:rFonts w:ascii="Arial" w:hAnsi="Arial" w:cs="Arial"/>
        </w:rPr>
      </w:pPr>
    </w:p>
    <w:p w:rsidR="00C921C3" w:rsidRPr="0021211D" w:rsidRDefault="00C921C3" w:rsidP="00C921C3">
      <w:pPr>
        <w:ind w:firstLine="720"/>
        <w:jc w:val="both"/>
        <w:rPr>
          <w:rFonts w:ascii="Arial" w:hAnsi="Arial" w:cs="Arial"/>
          <w:lang w:val="pl-PL"/>
        </w:rPr>
      </w:pPr>
      <w:r w:rsidRPr="0021211D">
        <w:rPr>
          <w:rFonts w:ascii="Arial" w:hAnsi="Arial" w:cs="Arial"/>
        </w:rPr>
        <w:t xml:space="preserve">S </w:t>
      </w:r>
      <w:proofErr w:type="spellStart"/>
      <w:r w:rsidRPr="0021211D">
        <w:rPr>
          <w:rFonts w:ascii="Arial" w:hAnsi="Arial" w:cs="Arial"/>
        </w:rPr>
        <w:t>druge</w:t>
      </w:r>
      <w:proofErr w:type="spellEnd"/>
      <w:r>
        <w:rPr>
          <w:rFonts w:ascii="Arial" w:hAnsi="Arial" w:cs="Arial"/>
        </w:rPr>
        <w:t xml:space="preserve"> </w:t>
      </w:r>
      <w:proofErr w:type="spellStart"/>
      <w:r w:rsidRPr="0021211D">
        <w:rPr>
          <w:rFonts w:ascii="Arial" w:hAnsi="Arial" w:cs="Arial"/>
        </w:rPr>
        <w:t>strane</w:t>
      </w:r>
      <w:proofErr w:type="spellEnd"/>
      <w:r w:rsidRPr="0021211D">
        <w:rPr>
          <w:rFonts w:ascii="Arial" w:hAnsi="Arial" w:cs="Arial"/>
        </w:rPr>
        <w:t xml:space="preserve">, u </w:t>
      </w:r>
      <w:proofErr w:type="spellStart"/>
      <w:r w:rsidRPr="0021211D">
        <w:rPr>
          <w:rFonts w:ascii="Arial" w:hAnsi="Arial" w:cs="Arial"/>
        </w:rPr>
        <w:t>toku</w:t>
      </w:r>
      <w:proofErr w:type="spellEnd"/>
      <w:r>
        <w:rPr>
          <w:rFonts w:ascii="Arial" w:hAnsi="Arial" w:cs="Arial"/>
        </w:rPr>
        <w:t xml:space="preserve"> 2014</w:t>
      </w:r>
      <w:r w:rsidRPr="0021211D">
        <w:rPr>
          <w:rFonts w:ascii="Arial" w:hAnsi="Arial" w:cs="Arial"/>
        </w:rPr>
        <w:t>.godine</w:t>
      </w:r>
      <w:r>
        <w:rPr>
          <w:rFonts w:ascii="Arial" w:hAnsi="Arial" w:cs="Arial"/>
        </w:rPr>
        <w:t xml:space="preserve"> </w:t>
      </w:r>
      <w:proofErr w:type="spellStart"/>
      <w:r w:rsidRPr="0021211D">
        <w:rPr>
          <w:rFonts w:ascii="Arial" w:hAnsi="Arial" w:cs="Arial"/>
        </w:rPr>
        <w:t>izvršena</w:t>
      </w:r>
      <w:proofErr w:type="spellEnd"/>
      <w:r w:rsidRPr="0021211D">
        <w:rPr>
          <w:rFonts w:ascii="Arial" w:hAnsi="Arial" w:cs="Arial"/>
        </w:rPr>
        <w:t xml:space="preserve"> je </w:t>
      </w:r>
      <w:proofErr w:type="spellStart"/>
      <w:r w:rsidRPr="0021211D">
        <w:rPr>
          <w:rFonts w:ascii="Arial" w:hAnsi="Arial" w:cs="Arial"/>
        </w:rPr>
        <w:t>otplata</w:t>
      </w:r>
      <w:proofErr w:type="spellEnd"/>
      <w:r>
        <w:rPr>
          <w:rFonts w:ascii="Arial" w:hAnsi="Arial" w:cs="Arial"/>
        </w:rPr>
        <w:t xml:space="preserve"> </w:t>
      </w:r>
      <w:proofErr w:type="spellStart"/>
      <w:r w:rsidRPr="0021211D">
        <w:rPr>
          <w:rFonts w:ascii="Arial" w:hAnsi="Arial" w:cs="Arial"/>
        </w:rPr>
        <w:t>duga</w:t>
      </w:r>
      <w:proofErr w:type="spellEnd"/>
      <w:r>
        <w:rPr>
          <w:rFonts w:ascii="Arial" w:hAnsi="Arial" w:cs="Arial"/>
        </w:rPr>
        <w:t xml:space="preserve"> </w:t>
      </w:r>
      <w:r w:rsidRPr="0021211D">
        <w:rPr>
          <w:rFonts w:ascii="Arial" w:hAnsi="Arial" w:cs="Arial"/>
          <w:lang w:val="pl-PL"/>
        </w:rPr>
        <w:t xml:space="preserve">po osnovu </w:t>
      </w:r>
      <w:r>
        <w:rPr>
          <w:rFonts w:ascii="Arial" w:hAnsi="Arial" w:cs="Arial"/>
          <w:lang w:val="pl-PL"/>
        </w:rPr>
        <w:t xml:space="preserve">dugoročnih </w:t>
      </w:r>
      <w:r w:rsidRPr="0021211D">
        <w:rPr>
          <w:rFonts w:ascii="Arial" w:hAnsi="Arial" w:cs="Arial"/>
          <w:lang w:val="pl-PL"/>
        </w:rPr>
        <w:t>kredita kod komercijalnih banaka</w:t>
      </w:r>
      <w:r>
        <w:rPr>
          <w:rFonts w:ascii="Arial" w:hAnsi="Arial" w:cs="Arial"/>
          <w:lang w:val="pl-PL"/>
        </w:rPr>
        <w:t xml:space="preserve"> u iznosu od 30</w:t>
      </w:r>
      <w:proofErr w:type="gramStart"/>
      <w:r>
        <w:rPr>
          <w:rFonts w:ascii="Arial" w:hAnsi="Arial" w:cs="Arial"/>
          <w:lang w:val="pl-PL"/>
        </w:rPr>
        <w:t>,0</w:t>
      </w:r>
      <w:proofErr w:type="gramEnd"/>
      <w:r>
        <w:rPr>
          <w:rFonts w:ascii="Arial" w:hAnsi="Arial" w:cs="Arial"/>
          <w:lang w:val="pl-PL"/>
        </w:rPr>
        <w:t xml:space="preserve"> mil. eura, zatim tokom godine je bilo zaduženja i otplate kratkoročnih kredita </w:t>
      </w:r>
      <w:r w:rsidRPr="0021211D">
        <w:rPr>
          <w:rFonts w:ascii="Arial" w:hAnsi="Arial" w:cs="Arial"/>
          <w:lang w:val="pl-PL"/>
        </w:rPr>
        <w:t>koji su korišćeni za tekuću likvidnost</w:t>
      </w:r>
      <w:r>
        <w:rPr>
          <w:rFonts w:ascii="Arial" w:hAnsi="Arial" w:cs="Arial"/>
          <w:lang w:val="pl-PL"/>
        </w:rPr>
        <w:t xml:space="preserve"> u iznosu od oko 17,0 mil. eura i državnih zapisa </w:t>
      </w:r>
      <w:r w:rsidRPr="0021211D">
        <w:rPr>
          <w:rFonts w:ascii="Arial" w:hAnsi="Arial" w:cs="Arial"/>
          <w:lang w:val="pl-PL"/>
        </w:rPr>
        <w:t xml:space="preserve">koji su </w:t>
      </w:r>
      <w:r>
        <w:rPr>
          <w:rFonts w:ascii="Arial" w:hAnsi="Arial" w:cs="Arial"/>
          <w:lang w:val="pl-PL"/>
        </w:rPr>
        <w:t xml:space="preserve">refinansirani i </w:t>
      </w:r>
      <w:r w:rsidRPr="0021211D">
        <w:rPr>
          <w:rFonts w:ascii="Arial" w:hAnsi="Arial" w:cs="Arial"/>
          <w:lang w:val="pl-PL"/>
        </w:rPr>
        <w:t>korišćeni za tekuću likvidnost</w:t>
      </w:r>
      <w:r>
        <w:rPr>
          <w:rFonts w:ascii="Arial" w:hAnsi="Arial" w:cs="Arial"/>
          <w:lang w:val="pl-PL"/>
        </w:rPr>
        <w:t xml:space="preserve"> tokom godine u iznosu od oko 186,46 mil.eura</w:t>
      </w:r>
      <w:r w:rsidRPr="0021211D">
        <w:rPr>
          <w:rFonts w:ascii="Arial" w:hAnsi="Arial" w:cs="Arial"/>
          <w:lang w:val="pl-PL"/>
        </w:rPr>
        <w:t>, otplata duga po osnovu obveznica Crne Gore za isplatu neisplaćenih potraživanja zaposlenih za čijim radom je prestala potreba u iz</w:t>
      </w:r>
      <w:r>
        <w:rPr>
          <w:rFonts w:ascii="Arial" w:hAnsi="Arial" w:cs="Arial"/>
          <w:lang w:val="pl-PL"/>
        </w:rPr>
        <w:t>nosu od oko 0,8</w:t>
      </w:r>
      <w:r w:rsidRPr="0021211D">
        <w:rPr>
          <w:rFonts w:ascii="Arial" w:hAnsi="Arial" w:cs="Arial"/>
          <w:lang w:val="pl-PL"/>
        </w:rPr>
        <w:t xml:space="preserve"> mil. eura  i otplatu oko 1</w:t>
      </w:r>
      <w:r>
        <w:rPr>
          <w:rFonts w:ascii="Arial" w:hAnsi="Arial" w:cs="Arial"/>
          <w:lang w:val="pl-PL"/>
        </w:rPr>
        <w:t>2,1</w:t>
      </w:r>
      <w:r w:rsidRPr="0021211D">
        <w:rPr>
          <w:rFonts w:ascii="Arial" w:hAnsi="Arial" w:cs="Arial"/>
          <w:lang w:val="pl-PL"/>
        </w:rPr>
        <w:t xml:space="preserve"> mil. eura kredita nefinansijskih institucija uslijed nastavka realizacije projekata Direkcije za saobraćaj, otplatom redovne rate za restituciju u iznosu od oko 2,</w:t>
      </w:r>
      <w:r>
        <w:rPr>
          <w:rFonts w:ascii="Arial" w:hAnsi="Arial" w:cs="Arial"/>
          <w:lang w:val="pl-PL"/>
        </w:rPr>
        <w:t>1</w:t>
      </w:r>
      <w:r w:rsidRPr="0021211D">
        <w:rPr>
          <w:rFonts w:ascii="Arial" w:hAnsi="Arial" w:cs="Arial"/>
          <w:lang w:val="pl-PL"/>
        </w:rPr>
        <w:t xml:space="preserve"> mil. eura, </w:t>
      </w:r>
      <w:r>
        <w:rPr>
          <w:rFonts w:ascii="Arial" w:hAnsi="Arial" w:cs="Arial"/>
          <w:lang w:val="pl-PL"/>
        </w:rPr>
        <w:t xml:space="preserve">otplatom prve rate domaćih obveznica u iznosu od oko 4,9 mil. eura </w:t>
      </w:r>
      <w:r w:rsidRPr="0021211D">
        <w:rPr>
          <w:rFonts w:ascii="Arial" w:hAnsi="Arial" w:cs="Arial"/>
          <w:lang w:val="pl-PL"/>
        </w:rPr>
        <w:t>kao i otplatom redovne rate za dev</w:t>
      </w:r>
      <w:r>
        <w:rPr>
          <w:rFonts w:ascii="Arial" w:hAnsi="Arial" w:cs="Arial"/>
          <w:lang w:val="pl-PL"/>
        </w:rPr>
        <w:t>iznu štednju u iznosu od oko 13</w:t>
      </w:r>
      <w:r w:rsidRPr="0021211D">
        <w:rPr>
          <w:rFonts w:ascii="Arial" w:hAnsi="Arial" w:cs="Arial"/>
          <w:lang w:val="pl-PL"/>
        </w:rPr>
        <w:t>,</w:t>
      </w:r>
      <w:r>
        <w:rPr>
          <w:rFonts w:ascii="Arial" w:hAnsi="Arial" w:cs="Arial"/>
          <w:lang w:val="pl-PL"/>
        </w:rPr>
        <w:t>2</w:t>
      </w:r>
      <w:r w:rsidRPr="0021211D">
        <w:rPr>
          <w:rFonts w:ascii="Arial" w:hAnsi="Arial" w:cs="Arial"/>
          <w:lang w:val="pl-PL"/>
        </w:rPr>
        <w:t xml:space="preserve"> mil. eura.</w:t>
      </w:r>
    </w:p>
    <w:p w:rsidR="00C921C3" w:rsidRPr="0021211D" w:rsidRDefault="00C921C3" w:rsidP="00C921C3">
      <w:pPr>
        <w:jc w:val="both"/>
        <w:rPr>
          <w:rFonts w:ascii="Arial" w:hAnsi="Arial" w:cs="Arial"/>
          <w:lang w:val="pl-PL"/>
        </w:rPr>
      </w:pPr>
    </w:p>
    <w:p w:rsidR="00C921C3" w:rsidRPr="0021211D" w:rsidRDefault="00C921C3" w:rsidP="00C921C3">
      <w:pPr>
        <w:jc w:val="both"/>
        <w:rPr>
          <w:rFonts w:ascii="Arial" w:hAnsi="Arial" w:cs="Arial"/>
          <w:lang w:val="pl-PL"/>
        </w:rPr>
      </w:pPr>
      <w:r w:rsidRPr="0021211D">
        <w:rPr>
          <w:rFonts w:ascii="Arial" w:hAnsi="Arial" w:cs="Arial"/>
          <w:lang w:val="pl-PL"/>
        </w:rPr>
        <w:tab/>
        <w:t xml:space="preserve">Ukupna obaveza po </w:t>
      </w:r>
      <w:r>
        <w:rPr>
          <w:rFonts w:ascii="Arial" w:hAnsi="Arial" w:cs="Arial"/>
          <w:lang w:val="pl-PL"/>
        </w:rPr>
        <w:t>osnovu restitucije iznosi oko 89,9 miliona eura, što je za 0,3</w:t>
      </w:r>
      <w:r w:rsidRPr="0021211D">
        <w:rPr>
          <w:rFonts w:ascii="Arial" w:hAnsi="Arial" w:cs="Arial"/>
          <w:lang w:val="pl-PL"/>
        </w:rPr>
        <w:t xml:space="preserve"> mil. eura više nego na kraju</w:t>
      </w:r>
      <w:r>
        <w:rPr>
          <w:rFonts w:ascii="Arial" w:hAnsi="Arial" w:cs="Arial"/>
          <w:lang w:val="pl-PL"/>
        </w:rPr>
        <w:t xml:space="preserve"> 2013</w:t>
      </w:r>
      <w:r w:rsidRPr="0021211D">
        <w:rPr>
          <w:rFonts w:ascii="Arial" w:hAnsi="Arial" w:cs="Arial"/>
          <w:lang w:val="pl-PL"/>
        </w:rPr>
        <w:t>. godine. Povećanje iznosa duga po osnovu restitucije uzrokovano je donošenjem novih rješenja za povraćaj oduzetih imovinskih prava.</w:t>
      </w:r>
    </w:p>
    <w:p w:rsidR="00C921C3" w:rsidRPr="0021211D" w:rsidRDefault="00C921C3" w:rsidP="00C921C3">
      <w:pPr>
        <w:jc w:val="both"/>
        <w:rPr>
          <w:rFonts w:ascii="Arial" w:hAnsi="Arial" w:cs="Arial"/>
          <w:lang w:val="pl-PL"/>
        </w:rPr>
      </w:pPr>
    </w:p>
    <w:p w:rsidR="00C921C3" w:rsidRPr="0021211D" w:rsidRDefault="00C921C3" w:rsidP="00C921C3">
      <w:pPr>
        <w:ind w:firstLine="720"/>
        <w:jc w:val="both"/>
        <w:rPr>
          <w:rFonts w:ascii="Arial" w:hAnsi="Arial" w:cs="Arial"/>
          <w:lang w:val="pl-PL"/>
        </w:rPr>
      </w:pPr>
      <w:r w:rsidRPr="0021211D">
        <w:rPr>
          <w:rFonts w:ascii="Arial" w:hAnsi="Arial" w:cs="Arial"/>
          <w:lang w:val="pl-PL"/>
        </w:rPr>
        <w:t xml:space="preserve">Ukupna obaveza po osnovu stare </w:t>
      </w:r>
      <w:r>
        <w:rPr>
          <w:rFonts w:ascii="Arial" w:hAnsi="Arial" w:cs="Arial"/>
          <w:lang w:val="pl-PL"/>
        </w:rPr>
        <w:t>devizne štednje na kraju 2014</w:t>
      </w:r>
      <w:r w:rsidRPr="0021211D">
        <w:rPr>
          <w:rFonts w:ascii="Arial" w:hAnsi="Arial" w:cs="Arial"/>
          <w:lang w:val="pl-PL"/>
        </w:rPr>
        <w:t xml:space="preserve">. godine </w:t>
      </w:r>
      <w:proofErr w:type="spellStart"/>
      <w:r>
        <w:rPr>
          <w:rFonts w:ascii="Arial" w:hAnsi="Arial" w:cs="Arial"/>
        </w:rPr>
        <w:t>iznosi</w:t>
      </w:r>
      <w:proofErr w:type="spellEnd"/>
      <w:r>
        <w:rPr>
          <w:rFonts w:ascii="Arial" w:hAnsi="Arial" w:cs="Arial"/>
        </w:rPr>
        <w:t xml:space="preserve"> </w:t>
      </w:r>
      <w:proofErr w:type="spellStart"/>
      <w:r>
        <w:rPr>
          <w:rFonts w:ascii="Arial" w:hAnsi="Arial" w:cs="Arial"/>
        </w:rPr>
        <w:t>oko</w:t>
      </w:r>
      <w:proofErr w:type="spellEnd"/>
      <w:r>
        <w:rPr>
          <w:rFonts w:ascii="Arial" w:hAnsi="Arial" w:cs="Arial"/>
        </w:rPr>
        <w:t xml:space="preserve"> 55,7</w:t>
      </w:r>
      <w:r w:rsidRPr="0021211D">
        <w:rPr>
          <w:rFonts w:ascii="Arial" w:hAnsi="Arial" w:cs="Arial"/>
        </w:rPr>
        <w:t xml:space="preserve"> </w:t>
      </w:r>
      <w:proofErr w:type="spellStart"/>
      <w:r w:rsidRPr="0021211D">
        <w:rPr>
          <w:rFonts w:ascii="Arial" w:hAnsi="Arial" w:cs="Arial"/>
        </w:rPr>
        <w:t>mil.eura</w:t>
      </w:r>
      <w:proofErr w:type="spellEnd"/>
      <w:r w:rsidRPr="0021211D">
        <w:rPr>
          <w:rFonts w:ascii="Arial" w:hAnsi="Arial" w:cs="Arial"/>
          <w:lang w:val="pl-PL"/>
        </w:rPr>
        <w:t xml:space="preserve">,  </w:t>
      </w:r>
      <w:r>
        <w:rPr>
          <w:rFonts w:ascii="Arial" w:hAnsi="Arial" w:cs="Arial"/>
          <w:lang w:val="pl-PL"/>
        </w:rPr>
        <w:t>što je za oko 13,2</w:t>
      </w:r>
      <w:r w:rsidRPr="0021211D">
        <w:rPr>
          <w:rFonts w:ascii="Arial" w:hAnsi="Arial" w:cs="Arial"/>
          <w:lang w:val="pl-PL"/>
        </w:rPr>
        <w:t xml:space="preserve"> mil.</w:t>
      </w:r>
      <w:r>
        <w:rPr>
          <w:rFonts w:ascii="Arial" w:hAnsi="Arial" w:cs="Arial"/>
          <w:lang w:val="pl-PL"/>
        </w:rPr>
        <w:t xml:space="preserve"> eura manje nego na kraju 2013</w:t>
      </w:r>
      <w:r w:rsidRPr="0021211D">
        <w:rPr>
          <w:rFonts w:ascii="Arial" w:hAnsi="Arial" w:cs="Arial"/>
          <w:lang w:val="pl-PL"/>
        </w:rPr>
        <w:t xml:space="preserve">. godine. </w:t>
      </w:r>
    </w:p>
    <w:p w:rsidR="00C921C3" w:rsidRPr="0021211D" w:rsidRDefault="00C921C3" w:rsidP="00C921C3">
      <w:pPr>
        <w:jc w:val="both"/>
        <w:rPr>
          <w:rFonts w:ascii="Arial" w:hAnsi="Arial" w:cs="Arial"/>
          <w:lang w:val="pl-PL"/>
        </w:rPr>
      </w:pPr>
    </w:p>
    <w:p w:rsidR="00C921C3" w:rsidRPr="0021211D" w:rsidRDefault="00C921C3" w:rsidP="00C921C3">
      <w:pPr>
        <w:ind w:firstLine="720"/>
        <w:jc w:val="both"/>
        <w:rPr>
          <w:rFonts w:ascii="Arial" w:hAnsi="Arial" w:cs="Arial"/>
          <w:lang w:val="pl-PL"/>
        </w:rPr>
      </w:pPr>
      <w:r w:rsidRPr="0021211D">
        <w:rPr>
          <w:rFonts w:ascii="Arial" w:hAnsi="Arial" w:cs="Arial"/>
          <w:lang w:val="pl-PL"/>
        </w:rPr>
        <w:t xml:space="preserve">Takođe, naglašavamo da u stanje duga nijesu uključene neizmirene obaveze budžetskih </w:t>
      </w:r>
      <w:r>
        <w:rPr>
          <w:rFonts w:ascii="Arial" w:hAnsi="Arial" w:cs="Arial"/>
          <w:lang w:val="pl-PL"/>
        </w:rPr>
        <w:t>korisnika na 31.12.2014</w:t>
      </w:r>
      <w:r w:rsidRPr="0021211D">
        <w:rPr>
          <w:rFonts w:ascii="Arial" w:hAnsi="Arial" w:cs="Arial"/>
          <w:lang w:val="pl-PL"/>
        </w:rPr>
        <w:t>. godine, a biće prikazane kr</w:t>
      </w:r>
      <w:r>
        <w:rPr>
          <w:rFonts w:ascii="Arial" w:hAnsi="Arial" w:cs="Arial"/>
          <w:lang w:val="pl-PL"/>
        </w:rPr>
        <w:t>oz završni račun budžeta za 2014</w:t>
      </w:r>
      <w:r w:rsidRPr="0021211D">
        <w:rPr>
          <w:rFonts w:ascii="Arial" w:hAnsi="Arial" w:cs="Arial"/>
          <w:lang w:val="pl-PL"/>
        </w:rPr>
        <w:t>. godinu.</w:t>
      </w:r>
    </w:p>
    <w:p w:rsidR="00C921C3" w:rsidRPr="0021211D" w:rsidRDefault="00C921C3" w:rsidP="00C921C3">
      <w:pPr>
        <w:jc w:val="both"/>
        <w:rPr>
          <w:rFonts w:ascii="Arial" w:hAnsi="Arial" w:cs="Arial"/>
          <w:lang w:val="pl-PL"/>
        </w:rPr>
      </w:pPr>
    </w:p>
    <w:p w:rsidR="00C921C3" w:rsidRDefault="00C921C3" w:rsidP="00C921C3">
      <w:r>
        <w:br w:type="page"/>
      </w:r>
    </w:p>
    <w:tbl>
      <w:tblPr>
        <w:tblW w:w="8662" w:type="dxa"/>
        <w:tblInd w:w="93" w:type="dxa"/>
        <w:tblLook w:val="04A0" w:firstRow="1" w:lastRow="0" w:firstColumn="1" w:lastColumn="0" w:noHBand="0" w:noVBand="1"/>
      </w:tblPr>
      <w:tblGrid>
        <w:gridCol w:w="6045"/>
        <w:gridCol w:w="2617"/>
      </w:tblGrid>
      <w:tr w:rsidR="00C921C3" w:rsidRPr="0021211D" w:rsidTr="00760A53">
        <w:trPr>
          <w:trHeight w:val="300"/>
        </w:trPr>
        <w:tc>
          <w:tcPr>
            <w:tcW w:w="6045" w:type="dxa"/>
            <w:tcBorders>
              <w:top w:val="nil"/>
              <w:left w:val="nil"/>
              <w:bottom w:val="single" w:sz="8" w:space="0" w:color="auto"/>
              <w:right w:val="nil"/>
            </w:tcBorders>
            <w:shd w:val="clear" w:color="auto" w:fill="auto"/>
            <w:vAlign w:val="bottom"/>
            <w:hideMark/>
          </w:tcPr>
          <w:p w:rsidR="00C921C3" w:rsidRPr="00A71214" w:rsidRDefault="00C921C3" w:rsidP="00760A53">
            <w:pPr>
              <w:pStyle w:val="BodyText"/>
              <w:rPr>
                <w:rFonts w:ascii="Arial" w:hAnsi="Arial" w:cs="Arial"/>
                <w:sz w:val="22"/>
                <w:szCs w:val="22"/>
                <w:u w:val="single"/>
              </w:rPr>
            </w:pPr>
            <w:r>
              <w:lastRenderedPageBreak/>
              <w:br w:type="page"/>
            </w:r>
            <w:r w:rsidRPr="00A71214">
              <w:rPr>
                <w:rFonts w:ascii="Arial" w:hAnsi="Arial" w:cs="Arial"/>
                <w:sz w:val="22"/>
                <w:szCs w:val="22"/>
                <w:u w:val="single"/>
              </w:rPr>
              <w:t>Tabela 3. Podaci o stanju domaćeg duga (u mil. eura)</w:t>
            </w:r>
          </w:p>
        </w:tc>
        <w:tc>
          <w:tcPr>
            <w:tcW w:w="2617" w:type="dxa"/>
            <w:tcBorders>
              <w:top w:val="nil"/>
              <w:left w:val="nil"/>
              <w:bottom w:val="single" w:sz="8" w:space="0" w:color="auto"/>
              <w:right w:val="nil"/>
            </w:tcBorders>
            <w:shd w:val="clear" w:color="auto" w:fill="auto"/>
            <w:vAlign w:val="bottom"/>
            <w:hideMark/>
          </w:tcPr>
          <w:p w:rsidR="00C921C3" w:rsidRPr="00A71214" w:rsidRDefault="00C921C3" w:rsidP="00760A53">
            <w:pPr>
              <w:rPr>
                <w:rFonts w:ascii="Arial" w:hAnsi="Arial" w:cs="Arial"/>
                <w:sz w:val="22"/>
                <w:szCs w:val="22"/>
              </w:rPr>
            </w:pPr>
          </w:p>
        </w:tc>
      </w:tr>
      <w:tr w:rsidR="00C921C3" w:rsidRPr="0021211D" w:rsidTr="00760A53">
        <w:trPr>
          <w:trHeight w:val="270"/>
        </w:trPr>
        <w:tc>
          <w:tcPr>
            <w:tcW w:w="6045" w:type="dxa"/>
            <w:tcBorders>
              <w:top w:val="nil"/>
              <w:left w:val="single" w:sz="8" w:space="0" w:color="auto"/>
              <w:bottom w:val="single" w:sz="8" w:space="0" w:color="auto"/>
              <w:right w:val="single" w:sz="8" w:space="0" w:color="auto"/>
            </w:tcBorders>
            <w:shd w:val="clear" w:color="auto" w:fill="auto"/>
            <w:noWrap/>
            <w:vAlign w:val="bottom"/>
            <w:hideMark/>
          </w:tcPr>
          <w:p w:rsidR="00C921C3" w:rsidRPr="0021211D" w:rsidRDefault="00C921C3" w:rsidP="00760A53">
            <w:pPr>
              <w:jc w:val="center"/>
              <w:rPr>
                <w:rFonts w:ascii="Arial" w:hAnsi="Arial" w:cs="Arial"/>
                <w:b/>
                <w:bCs/>
              </w:rPr>
            </w:pPr>
            <w:proofErr w:type="spellStart"/>
            <w:r w:rsidRPr="0021211D">
              <w:rPr>
                <w:rFonts w:ascii="Arial" w:hAnsi="Arial" w:cs="Arial"/>
                <w:b/>
                <w:bCs/>
              </w:rPr>
              <w:t>Kreditor</w:t>
            </w:r>
            <w:proofErr w:type="spellEnd"/>
          </w:p>
        </w:tc>
        <w:tc>
          <w:tcPr>
            <w:tcW w:w="2617" w:type="dxa"/>
            <w:tcBorders>
              <w:top w:val="nil"/>
              <w:left w:val="nil"/>
              <w:bottom w:val="single" w:sz="8" w:space="0" w:color="auto"/>
              <w:right w:val="single" w:sz="8" w:space="0" w:color="auto"/>
            </w:tcBorders>
            <w:shd w:val="clear" w:color="auto" w:fill="auto"/>
            <w:noWrap/>
            <w:vAlign w:val="bottom"/>
            <w:hideMark/>
          </w:tcPr>
          <w:p w:rsidR="00C921C3" w:rsidRPr="0021211D" w:rsidRDefault="00C921C3" w:rsidP="00760A53">
            <w:pPr>
              <w:jc w:val="center"/>
              <w:rPr>
                <w:rFonts w:ascii="Arial" w:hAnsi="Arial" w:cs="Arial"/>
                <w:b/>
                <w:bCs/>
              </w:rPr>
            </w:pPr>
            <w:proofErr w:type="spellStart"/>
            <w:r w:rsidRPr="0021211D">
              <w:rPr>
                <w:rFonts w:ascii="Arial" w:hAnsi="Arial" w:cs="Arial"/>
                <w:b/>
                <w:bCs/>
              </w:rPr>
              <w:t>Stanje</w:t>
            </w:r>
            <w:proofErr w:type="spellEnd"/>
            <w:r>
              <w:rPr>
                <w:rFonts w:ascii="Arial" w:hAnsi="Arial" w:cs="Arial"/>
                <w:b/>
                <w:bCs/>
              </w:rPr>
              <w:t xml:space="preserve"> </w:t>
            </w:r>
            <w:proofErr w:type="spellStart"/>
            <w:r>
              <w:rPr>
                <w:rFonts w:ascii="Arial" w:hAnsi="Arial" w:cs="Arial"/>
                <w:b/>
                <w:bCs/>
              </w:rPr>
              <w:t>domaćeg</w:t>
            </w:r>
            <w:proofErr w:type="spellEnd"/>
            <w:r>
              <w:rPr>
                <w:rFonts w:ascii="Arial" w:hAnsi="Arial" w:cs="Arial"/>
                <w:b/>
                <w:bCs/>
              </w:rPr>
              <w:t xml:space="preserve"> </w:t>
            </w:r>
            <w:proofErr w:type="spellStart"/>
            <w:r>
              <w:rPr>
                <w:rFonts w:ascii="Arial" w:hAnsi="Arial" w:cs="Arial"/>
                <w:b/>
                <w:bCs/>
              </w:rPr>
              <w:t>duga</w:t>
            </w:r>
            <w:proofErr w:type="spellEnd"/>
            <w:r>
              <w:rPr>
                <w:rFonts w:ascii="Arial" w:hAnsi="Arial" w:cs="Arial"/>
                <w:b/>
                <w:bCs/>
              </w:rPr>
              <w:t xml:space="preserve"> </w:t>
            </w:r>
            <w:proofErr w:type="spellStart"/>
            <w:r>
              <w:rPr>
                <w:rFonts w:ascii="Arial" w:hAnsi="Arial" w:cs="Arial"/>
                <w:b/>
                <w:bCs/>
              </w:rPr>
              <w:t>na</w:t>
            </w:r>
            <w:proofErr w:type="spellEnd"/>
            <w:r>
              <w:rPr>
                <w:rFonts w:ascii="Arial" w:hAnsi="Arial" w:cs="Arial"/>
                <w:b/>
                <w:bCs/>
              </w:rPr>
              <w:t xml:space="preserve"> 31.12.2014</w:t>
            </w:r>
            <w:r w:rsidRPr="0021211D">
              <w:rPr>
                <w:rFonts w:ascii="Arial" w:hAnsi="Arial" w:cs="Arial"/>
                <w:b/>
                <w:bCs/>
              </w:rPr>
              <w:t>.</w:t>
            </w:r>
          </w:p>
        </w:tc>
      </w:tr>
      <w:tr w:rsidR="00C921C3" w:rsidRPr="0021211D" w:rsidTr="00760A53">
        <w:trPr>
          <w:trHeight w:val="255"/>
        </w:trPr>
        <w:tc>
          <w:tcPr>
            <w:tcW w:w="6045" w:type="dxa"/>
            <w:tcBorders>
              <w:top w:val="nil"/>
              <w:left w:val="nil"/>
              <w:bottom w:val="nil"/>
              <w:right w:val="nil"/>
            </w:tcBorders>
            <w:shd w:val="clear" w:color="auto" w:fill="auto"/>
            <w:noWrap/>
            <w:vAlign w:val="bottom"/>
            <w:hideMark/>
          </w:tcPr>
          <w:p w:rsidR="00C921C3" w:rsidRPr="0021211D" w:rsidRDefault="00C921C3" w:rsidP="00760A53">
            <w:pPr>
              <w:jc w:val="center"/>
              <w:rPr>
                <w:rFonts w:ascii="Arial" w:hAnsi="Arial" w:cs="Arial"/>
                <w:b/>
                <w:bCs/>
              </w:rPr>
            </w:pPr>
          </w:p>
        </w:tc>
        <w:tc>
          <w:tcPr>
            <w:tcW w:w="2617" w:type="dxa"/>
            <w:tcBorders>
              <w:top w:val="nil"/>
              <w:left w:val="nil"/>
              <w:bottom w:val="nil"/>
              <w:right w:val="nil"/>
            </w:tcBorders>
            <w:shd w:val="clear" w:color="auto" w:fill="auto"/>
            <w:noWrap/>
            <w:vAlign w:val="bottom"/>
            <w:hideMark/>
          </w:tcPr>
          <w:p w:rsidR="00C921C3" w:rsidRPr="0021211D" w:rsidRDefault="00C921C3" w:rsidP="00760A53">
            <w:pPr>
              <w:jc w:val="center"/>
              <w:rPr>
                <w:rFonts w:ascii="Arial" w:hAnsi="Arial" w:cs="Arial"/>
                <w:b/>
                <w:bCs/>
              </w:rPr>
            </w:pPr>
          </w:p>
        </w:tc>
      </w:tr>
      <w:tr w:rsidR="00C921C3" w:rsidRPr="0021211D" w:rsidTr="00760A53">
        <w:trPr>
          <w:trHeight w:val="255"/>
        </w:trPr>
        <w:tc>
          <w:tcPr>
            <w:tcW w:w="6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1C3" w:rsidRPr="0021211D" w:rsidRDefault="00C921C3" w:rsidP="00760A53">
            <w:pPr>
              <w:rPr>
                <w:rFonts w:ascii="Arial" w:hAnsi="Arial" w:cs="Arial"/>
              </w:rPr>
            </w:pPr>
            <w:proofErr w:type="spellStart"/>
            <w:r w:rsidRPr="0021211D">
              <w:rPr>
                <w:rFonts w:ascii="Arial" w:hAnsi="Arial" w:cs="Arial"/>
              </w:rPr>
              <w:t>Stara</w:t>
            </w:r>
            <w:proofErr w:type="spellEnd"/>
            <w:r>
              <w:rPr>
                <w:rFonts w:ascii="Arial" w:hAnsi="Arial" w:cs="Arial"/>
              </w:rPr>
              <w:t xml:space="preserve"> </w:t>
            </w:r>
            <w:proofErr w:type="spellStart"/>
            <w:r w:rsidRPr="0021211D">
              <w:rPr>
                <w:rFonts w:ascii="Arial" w:hAnsi="Arial" w:cs="Arial"/>
              </w:rPr>
              <w:t>devizna</w:t>
            </w:r>
            <w:proofErr w:type="spellEnd"/>
            <w:r>
              <w:rPr>
                <w:rFonts w:ascii="Arial" w:hAnsi="Arial" w:cs="Arial"/>
              </w:rPr>
              <w:t xml:space="preserve"> </w:t>
            </w:r>
            <w:proofErr w:type="spellStart"/>
            <w:r w:rsidRPr="0021211D">
              <w:rPr>
                <w:rFonts w:ascii="Arial" w:hAnsi="Arial" w:cs="Arial"/>
              </w:rPr>
              <w:t>štednja</w:t>
            </w:r>
            <w:proofErr w:type="spellEnd"/>
          </w:p>
        </w:tc>
        <w:tc>
          <w:tcPr>
            <w:tcW w:w="2617" w:type="dxa"/>
            <w:tcBorders>
              <w:top w:val="single" w:sz="4" w:space="0" w:color="auto"/>
              <w:left w:val="nil"/>
              <w:bottom w:val="single" w:sz="4" w:space="0" w:color="auto"/>
              <w:right w:val="single" w:sz="4" w:space="0" w:color="auto"/>
            </w:tcBorders>
            <w:shd w:val="clear" w:color="auto" w:fill="auto"/>
            <w:noWrap/>
            <w:vAlign w:val="bottom"/>
            <w:hideMark/>
          </w:tcPr>
          <w:p w:rsidR="00C921C3" w:rsidRPr="0021211D" w:rsidRDefault="00C921C3" w:rsidP="00760A53">
            <w:pPr>
              <w:jc w:val="right"/>
              <w:rPr>
                <w:rFonts w:ascii="Arial" w:hAnsi="Arial" w:cs="Arial"/>
              </w:rPr>
            </w:pPr>
            <w:r>
              <w:rPr>
                <w:rFonts w:ascii="Arial" w:hAnsi="Arial" w:cs="Arial"/>
              </w:rPr>
              <w:t>55.68</w:t>
            </w:r>
          </w:p>
        </w:tc>
      </w:tr>
      <w:tr w:rsidR="00C921C3" w:rsidRPr="0021211D" w:rsidTr="00760A53">
        <w:trPr>
          <w:trHeight w:val="255"/>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C921C3" w:rsidRPr="0021211D" w:rsidRDefault="00C921C3" w:rsidP="00760A53">
            <w:pPr>
              <w:rPr>
                <w:rFonts w:ascii="Arial" w:hAnsi="Arial" w:cs="Arial"/>
              </w:rPr>
            </w:pPr>
            <w:proofErr w:type="spellStart"/>
            <w:r w:rsidRPr="0021211D">
              <w:rPr>
                <w:rFonts w:ascii="Arial" w:hAnsi="Arial" w:cs="Arial"/>
              </w:rPr>
              <w:t>Obaveze</w:t>
            </w:r>
            <w:proofErr w:type="spellEnd"/>
            <w:r>
              <w:rPr>
                <w:rFonts w:ascii="Arial" w:hAnsi="Arial" w:cs="Arial"/>
              </w:rPr>
              <w:t xml:space="preserve"> </w:t>
            </w:r>
            <w:proofErr w:type="spellStart"/>
            <w:r w:rsidRPr="0021211D">
              <w:rPr>
                <w:rFonts w:ascii="Arial" w:hAnsi="Arial" w:cs="Arial"/>
              </w:rPr>
              <w:t>po</w:t>
            </w:r>
            <w:proofErr w:type="spellEnd"/>
            <w:r>
              <w:rPr>
                <w:rFonts w:ascii="Arial" w:hAnsi="Arial" w:cs="Arial"/>
              </w:rPr>
              <w:t xml:space="preserve"> </w:t>
            </w:r>
            <w:proofErr w:type="spellStart"/>
            <w:r w:rsidRPr="0021211D">
              <w:rPr>
                <w:rFonts w:ascii="Arial" w:hAnsi="Arial" w:cs="Arial"/>
              </w:rPr>
              <w:t>osnovu</w:t>
            </w:r>
            <w:proofErr w:type="spellEnd"/>
            <w:r>
              <w:rPr>
                <w:rFonts w:ascii="Arial" w:hAnsi="Arial" w:cs="Arial"/>
              </w:rPr>
              <w:t xml:space="preserve"> </w:t>
            </w:r>
            <w:proofErr w:type="spellStart"/>
            <w:r w:rsidRPr="0021211D">
              <w:rPr>
                <w:rFonts w:ascii="Arial" w:hAnsi="Arial" w:cs="Arial"/>
              </w:rPr>
              <w:t>obeštećenja</w:t>
            </w:r>
            <w:proofErr w:type="spellEnd"/>
          </w:p>
        </w:tc>
        <w:tc>
          <w:tcPr>
            <w:tcW w:w="2617" w:type="dxa"/>
            <w:tcBorders>
              <w:top w:val="nil"/>
              <w:left w:val="nil"/>
              <w:bottom w:val="single" w:sz="4" w:space="0" w:color="auto"/>
              <w:right w:val="single" w:sz="4" w:space="0" w:color="auto"/>
            </w:tcBorders>
            <w:shd w:val="clear" w:color="auto" w:fill="auto"/>
            <w:noWrap/>
            <w:vAlign w:val="bottom"/>
            <w:hideMark/>
          </w:tcPr>
          <w:p w:rsidR="00C921C3" w:rsidRPr="0021211D" w:rsidRDefault="00C921C3" w:rsidP="00760A53">
            <w:pPr>
              <w:jc w:val="right"/>
              <w:rPr>
                <w:rFonts w:ascii="Arial" w:hAnsi="Arial" w:cs="Arial"/>
              </w:rPr>
            </w:pPr>
            <w:r>
              <w:rPr>
                <w:rFonts w:ascii="Arial" w:hAnsi="Arial" w:cs="Arial"/>
              </w:rPr>
              <w:t>89.91</w:t>
            </w:r>
          </w:p>
        </w:tc>
      </w:tr>
      <w:tr w:rsidR="00C921C3" w:rsidRPr="0021211D" w:rsidTr="00760A53">
        <w:trPr>
          <w:trHeight w:val="255"/>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C921C3" w:rsidRPr="0021211D" w:rsidRDefault="00C921C3" w:rsidP="00760A53">
            <w:pPr>
              <w:rPr>
                <w:rFonts w:ascii="Arial" w:hAnsi="Arial" w:cs="Arial"/>
              </w:rPr>
            </w:pPr>
            <w:proofErr w:type="spellStart"/>
            <w:r w:rsidRPr="0021211D">
              <w:rPr>
                <w:rFonts w:ascii="Arial" w:hAnsi="Arial" w:cs="Arial"/>
              </w:rPr>
              <w:t>Krediti</w:t>
            </w:r>
            <w:proofErr w:type="spellEnd"/>
            <w:r>
              <w:rPr>
                <w:rFonts w:ascii="Arial" w:hAnsi="Arial" w:cs="Arial"/>
              </w:rPr>
              <w:t xml:space="preserve"> </w:t>
            </w:r>
            <w:proofErr w:type="spellStart"/>
            <w:r w:rsidRPr="0021211D">
              <w:rPr>
                <w:rFonts w:ascii="Arial" w:hAnsi="Arial" w:cs="Arial"/>
              </w:rPr>
              <w:t>kod</w:t>
            </w:r>
            <w:proofErr w:type="spellEnd"/>
            <w:r>
              <w:rPr>
                <w:rFonts w:ascii="Arial" w:hAnsi="Arial" w:cs="Arial"/>
              </w:rPr>
              <w:t xml:space="preserve"> </w:t>
            </w:r>
            <w:proofErr w:type="spellStart"/>
            <w:r w:rsidRPr="0021211D">
              <w:rPr>
                <w:rFonts w:ascii="Arial" w:hAnsi="Arial" w:cs="Arial"/>
              </w:rPr>
              <w:t>poslovnih</w:t>
            </w:r>
            <w:proofErr w:type="spellEnd"/>
            <w:r>
              <w:rPr>
                <w:rFonts w:ascii="Arial" w:hAnsi="Arial" w:cs="Arial"/>
              </w:rPr>
              <w:t xml:space="preserve"> </w:t>
            </w:r>
            <w:proofErr w:type="spellStart"/>
            <w:r w:rsidRPr="0021211D">
              <w:rPr>
                <w:rFonts w:ascii="Arial" w:hAnsi="Arial" w:cs="Arial"/>
              </w:rPr>
              <w:t>banaka</w:t>
            </w:r>
            <w:proofErr w:type="spellEnd"/>
          </w:p>
        </w:tc>
        <w:tc>
          <w:tcPr>
            <w:tcW w:w="2617" w:type="dxa"/>
            <w:tcBorders>
              <w:top w:val="nil"/>
              <w:left w:val="nil"/>
              <w:bottom w:val="single" w:sz="4" w:space="0" w:color="auto"/>
              <w:right w:val="single" w:sz="4" w:space="0" w:color="auto"/>
            </w:tcBorders>
            <w:shd w:val="clear" w:color="auto" w:fill="auto"/>
            <w:noWrap/>
            <w:vAlign w:val="bottom"/>
            <w:hideMark/>
          </w:tcPr>
          <w:p w:rsidR="00C921C3" w:rsidRPr="0021211D" w:rsidRDefault="00C921C3" w:rsidP="00760A53">
            <w:pPr>
              <w:jc w:val="right"/>
              <w:rPr>
                <w:rFonts w:ascii="Arial" w:hAnsi="Arial" w:cs="Arial"/>
              </w:rPr>
            </w:pPr>
            <w:r>
              <w:rPr>
                <w:rFonts w:ascii="Arial" w:hAnsi="Arial" w:cs="Arial"/>
              </w:rPr>
              <w:t>71.37</w:t>
            </w:r>
          </w:p>
        </w:tc>
      </w:tr>
      <w:tr w:rsidR="00C921C3" w:rsidRPr="0021211D" w:rsidTr="00760A53">
        <w:trPr>
          <w:trHeight w:val="255"/>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C921C3" w:rsidRPr="0021211D" w:rsidRDefault="00C921C3" w:rsidP="00760A53">
            <w:pPr>
              <w:rPr>
                <w:rFonts w:ascii="Arial" w:hAnsi="Arial" w:cs="Arial"/>
              </w:rPr>
            </w:pPr>
            <w:proofErr w:type="spellStart"/>
            <w:r w:rsidRPr="0021211D">
              <w:rPr>
                <w:rFonts w:ascii="Arial" w:hAnsi="Arial" w:cs="Arial"/>
              </w:rPr>
              <w:t>Krediti</w:t>
            </w:r>
            <w:proofErr w:type="spellEnd"/>
            <w:r>
              <w:rPr>
                <w:rFonts w:ascii="Arial" w:hAnsi="Arial" w:cs="Arial"/>
              </w:rPr>
              <w:t xml:space="preserve"> </w:t>
            </w:r>
            <w:proofErr w:type="spellStart"/>
            <w:r w:rsidRPr="0021211D">
              <w:rPr>
                <w:rFonts w:ascii="Arial" w:hAnsi="Arial" w:cs="Arial"/>
              </w:rPr>
              <w:t>nefinansijskih</w:t>
            </w:r>
            <w:proofErr w:type="spellEnd"/>
            <w:r>
              <w:rPr>
                <w:rFonts w:ascii="Arial" w:hAnsi="Arial" w:cs="Arial"/>
              </w:rPr>
              <w:t xml:space="preserve"> </w:t>
            </w:r>
            <w:proofErr w:type="spellStart"/>
            <w:r w:rsidRPr="0021211D">
              <w:rPr>
                <w:rFonts w:ascii="Arial" w:hAnsi="Arial" w:cs="Arial"/>
              </w:rPr>
              <w:t>institucija</w:t>
            </w:r>
            <w:proofErr w:type="spellEnd"/>
          </w:p>
        </w:tc>
        <w:tc>
          <w:tcPr>
            <w:tcW w:w="2617" w:type="dxa"/>
            <w:tcBorders>
              <w:top w:val="nil"/>
              <w:left w:val="nil"/>
              <w:bottom w:val="single" w:sz="4" w:space="0" w:color="auto"/>
              <w:right w:val="single" w:sz="4" w:space="0" w:color="auto"/>
            </w:tcBorders>
            <w:shd w:val="clear" w:color="auto" w:fill="auto"/>
            <w:noWrap/>
            <w:vAlign w:val="bottom"/>
            <w:hideMark/>
          </w:tcPr>
          <w:p w:rsidR="00C921C3" w:rsidRPr="0021211D" w:rsidRDefault="00C921C3" w:rsidP="00760A53">
            <w:pPr>
              <w:jc w:val="right"/>
              <w:rPr>
                <w:rFonts w:ascii="Arial" w:hAnsi="Arial" w:cs="Arial"/>
              </w:rPr>
            </w:pPr>
            <w:r>
              <w:rPr>
                <w:rFonts w:ascii="Arial" w:hAnsi="Arial" w:cs="Arial"/>
              </w:rPr>
              <w:t>6.66</w:t>
            </w:r>
          </w:p>
        </w:tc>
      </w:tr>
      <w:tr w:rsidR="00C921C3" w:rsidRPr="0021211D" w:rsidTr="00760A53">
        <w:trPr>
          <w:trHeight w:val="255"/>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C921C3" w:rsidRPr="0021211D" w:rsidRDefault="00C921C3" w:rsidP="00760A53">
            <w:pPr>
              <w:rPr>
                <w:rFonts w:ascii="Arial" w:hAnsi="Arial" w:cs="Arial"/>
              </w:rPr>
            </w:pPr>
            <w:proofErr w:type="spellStart"/>
            <w:r w:rsidRPr="0021211D">
              <w:rPr>
                <w:rFonts w:ascii="Arial" w:hAnsi="Arial" w:cs="Arial"/>
              </w:rPr>
              <w:t>Zaostale</w:t>
            </w:r>
            <w:proofErr w:type="spellEnd"/>
            <w:r>
              <w:rPr>
                <w:rFonts w:ascii="Arial" w:hAnsi="Arial" w:cs="Arial"/>
              </w:rPr>
              <w:t xml:space="preserve"> </w:t>
            </w:r>
            <w:proofErr w:type="spellStart"/>
            <w:r w:rsidRPr="0021211D">
              <w:rPr>
                <w:rFonts w:ascii="Arial" w:hAnsi="Arial" w:cs="Arial"/>
              </w:rPr>
              <w:t>penzije</w:t>
            </w:r>
            <w:proofErr w:type="spellEnd"/>
          </w:p>
        </w:tc>
        <w:tc>
          <w:tcPr>
            <w:tcW w:w="2617" w:type="dxa"/>
            <w:tcBorders>
              <w:top w:val="nil"/>
              <w:left w:val="nil"/>
              <w:bottom w:val="single" w:sz="4" w:space="0" w:color="auto"/>
              <w:right w:val="single" w:sz="4" w:space="0" w:color="auto"/>
            </w:tcBorders>
            <w:shd w:val="clear" w:color="auto" w:fill="auto"/>
            <w:noWrap/>
            <w:vAlign w:val="bottom"/>
            <w:hideMark/>
          </w:tcPr>
          <w:p w:rsidR="00C921C3" w:rsidRPr="0021211D" w:rsidRDefault="00C921C3" w:rsidP="00760A53">
            <w:pPr>
              <w:jc w:val="right"/>
              <w:rPr>
                <w:rFonts w:ascii="Arial" w:hAnsi="Arial" w:cs="Arial"/>
              </w:rPr>
            </w:pPr>
            <w:r>
              <w:rPr>
                <w:rFonts w:ascii="Arial" w:hAnsi="Arial" w:cs="Arial"/>
              </w:rPr>
              <w:t>1.80</w:t>
            </w:r>
          </w:p>
        </w:tc>
      </w:tr>
      <w:tr w:rsidR="00C921C3" w:rsidRPr="0021211D" w:rsidTr="00760A53">
        <w:trPr>
          <w:trHeight w:val="255"/>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C921C3" w:rsidRPr="0021211D" w:rsidRDefault="00C921C3" w:rsidP="00760A53">
            <w:pPr>
              <w:rPr>
                <w:rFonts w:ascii="Arial" w:hAnsi="Arial" w:cs="Arial"/>
              </w:rPr>
            </w:pPr>
            <w:proofErr w:type="spellStart"/>
            <w:r w:rsidRPr="0021211D">
              <w:rPr>
                <w:rFonts w:ascii="Arial" w:hAnsi="Arial" w:cs="Arial"/>
              </w:rPr>
              <w:t>Državni</w:t>
            </w:r>
            <w:proofErr w:type="spellEnd"/>
            <w:r>
              <w:rPr>
                <w:rFonts w:ascii="Arial" w:hAnsi="Arial" w:cs="Arial"/>
              </w:rPr>
              <w:t xml:space="preserve"> </w:t>
            </w:r>
            <w:proofErr w:type="spellStart"/>
            <w:r w:rsidRPr="0021211D">
              <w:rPr>
                <w:rFonts w:ascii="Arial" w:hAnsi="Arial" w:cs="Arial"/>
              </w:rPr>
              <w:t>zapisi</w:t>
            </w:r>
            <w:proofErr w:type="spellEnd"/>
          </w:p>
        </w:tc>
        <w:tc>
          <w:tcPr>
            <w:tcW w:w="2617" w:type="dxa"/>
            <w:tcBorders>
              <w:top w:val="nil"/>
              <w:left w:val="nil"/>
              <w:bottom w:val="single" w:sz="4" w:space="0" w:color="auto"/>
              <w:right w:val="single" w:sz="4" w:space="0" w:color="auto"/>
            </w:tcBorders>
            <w:shd w:val="clear" w:color="auto" w:fill="auto"/>
            <w:noWrap/>
            <w:vAlign w:val="bottom"/>
            <w:hideMark/>
          </w:tcPr>
          <w:p w:rsidR="00C921C3" w:rsidRPr="0021211D" w:rsidRDefault="00C921C3" w:rsidP="00760A53">
            <w:pPr>
              <w:jc w:val="right"/>
              <w:rPr>
                <w:rFonts w:ascii="Arial" w:hAnsi="Arial" w:cs="Arial"/>
              </w:rPr>
            </w:pPr>
            <w:r>
              <w:rPr>
                <w:rFonts w:ascii="Arial" w:hAnsi="Arial" w:cs="Arial"/>
              </w:rPr>
              <w:t>77.71</w:t>
            </w:r>
          </w:p>
        </w:tc>
      </w:tr>
      <w:tr w:rsidR="00C921C3" w:rsidRPr="0021211D" w:rsidTr="00760A53">
        <w:trPr>
          <w:trHeight w:val="255"/>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C921C3" w:rsidRPr="0021211D" w:rsidRDefault="00C921C3" w:rsidP="00760A53">
            <w:pPr>
              <w:rPr>
                <w:rFonts w:ascii="Arial" w:hAnsi="Arial" w:cs="Arial"/>
              </w:rPr>
            </w:pPr>
            <w:proofErr w:type="spellStart"/>
            <w:r w:rsidRPr="0021211D">
              <w:rPr>
                <w:rFonts w:ascii="Arial" w:hAnsi="Arial" w:cs="Arial"/>
              </w:rPr>
              <w:t>Obveznice</w:t>
            </w:r>
            <w:proofErr w:type="spellEnd"/>
            <w:r w:rsidRPr="0021211D">
              <w:rPr>
                <w:rFonts w:ascii="Arial" w:hAnsi="Arial" w:cs="Arial"/>
              </w:rPr>
              <w:t xml:space="preserve"> Fonda </w:t>
            </w:r>
            <w:proofErr w:type="spellStart"/>
            <w:r w:rsidRPr="0021211D">
              <w:rPr>
                <w:rFonts w:ascii="Arial" w:hAnsi="Arial" w:cs="Arial"/>
              </w:rPr>
              <w:t>rada</w:t>
            </w:r>
            <w:proofErr w:type="spellEnd"/>
          </w:p>
        </w:tc>
        <w:tc>
          <w:tcPr>
            <w:tcW w:w="2617" w:type="dxa"/>
            <w:tcBorders>
              <w:top w:val="nil"/>
              <w:left w:val="nil"/>
              <w:bottom w:val="single" w:sz="4" w:space="0" w:color="auto"/>
              <w:right w:val="single" w:sz="4" w:space="0" w:color="auto"/>
            </w:tcBorders>
            <w:shd w:val="clear" w:color="auto" w:fill="auto"/>
            <w:noWrap/>
            <w:vAlign w:val="bottom"/>
            <w:hideMark/>
          </w:tcPr>
          <w:p w:rsidR="00C921C3" w:rsidRPr="0021211D" w:rsidRDefault="00C921C3" w:rsidP="00760A53">
            <w:pPr>
              <w:jc w:val="right"/>
              <w:rPr>
                <w:rFonts w:ascii="Arial" w:hAnsi="Arial" w:cs="Arial"/>
              </w:rPr>
            </w:pPr>
            <w:r>
              <w:rPr>
                <w:rFonts w:ascii="Arial" w:hAnsi="Arial" w:cs="Arial"/>
              </w:rPr>
              <w:t>3.84</w:t>
            </w:r>
          </w:p>
        </w:tc>
      </w:tr>
      <w:tr w:rsidR="00C921C3" w:rsidRPr="0021211D" w:rsidTr="00760A53">
        <w:trPr>
          <w:trHeight w:val="255"/>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C921C3" w:rsidRPr="0021211D" w:rsidRDefault="00C921C3" w:rsidP="00760A53">
            <w:pPr>
              <w:rPr>
                <w:rFonts w:ascii="Arial" w:hAnsi="Arial" w:cs="Arial"/>
              </w:rPr>
            </w:pPr>
            <w:proofErr w:type="spellStart"/>
            <w:r>
              <w:rPr>
                <w:rFonts w:ascii="Arial" w:hAnsi="Arial" w:cs="Arial"/>
              </w:rPr>
              <w:t>Domaće</w:t>
            </w:r>
            <w:proofErr w:type="spellEnd"/>
            <w:r>
              <w:rPr>
                <w:rFonts w:ascii="Arial" w:hAnsi="Arial" w:cs="Arial"/>
              </w:rPr>
              <w:t xml:space="preserve"> </w:t>
            </w:r>
            <w:proofErr w:type="spellStart"/>
            <w:r>
              <w:rPr>
                <w:rFonts w:ascii="Arial" w:hAnsi="Arial" w:cs="Arial"/>
              </w:rPr>
              <w:t>obveznice</w:t>
            </w:r>
            <w:proofErr w:type="spellEnd"/>
          </w:p>
        </w:tc>
        <w:tc>
          <w:tcPr>
            <w:tcW w:w="2617" w:type="dxa"/>
            <w:tcBorders>
              <w:top w:val="nil"/>
              <w:left w:val="nil"/>
              <w:bottom w:val="single" w:sz="4" w:space="0" w:color="auto"/>
              <w:right w:val="single" w:sz="4" w:space="0" w:color="auto"/>
            </w:tcBorders>
            <w:shd w:val="clear" w:color="auto" w:fill="auto"/>
            <w:noWrap/>
            <w:vAlign w:val="bottom"/>
            <w:hideMark/>
          </w:tcPr>
          <w:p w:rsidR="00C921C3" w:rsidRDefault="00C921C3" w:rsidP="00760A53">
            <w:pPr>
              <w:jc w:val="right"/>
              <w:rPr>
                <w:rFonts w:ascii="Arial" w:hAnsi="Arial" w:cs="Arial"/>
              </w:rPr>
            </w:pPr>
            <w:r>
              <w:rPr>
                <w:rFonts w:ascii="Arial" w:hAnsi="Arial" w:cs="Arial"/>
              </w:rPr>
              <w:t>38.20</w:t>
            </w:r>
          </w:p>
        </w:tc>
      </w:tr>
      <w:tr w:rsidR="00C921C3" w:rsidRPr="0021211D" w:rsidTr="00760A53">
        <w:trPr>
          <w:trHeight w:val="255"/>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C921C3" w:rsidRPr="0056167C" w:rsidRDefault="00C921C3" w:rsidP="00760A53">
            <w:pPr>
              <w:rPr>
                <w:rFonts w:ascii="Arial" w:hAnsi="Arial" w:cs="Arial"/>
              </w:rPr>
            </w:pPr>
            <w:proofErr w:type="spellStart"/>
            <w:r>
              <w:rPr>
                <w:rFonts w:ascii="Arial" w:hAnsi="Arial" w:cs="Arial"/>
              </w:rPr>
              <w:t>Pravnalica</w:t>
            </w:r>
            <w:proofErr w:type="spellEnd"/>
            <w:r>
              <w:rPr>
                <w:rFonts w:ascii="Arial" w:hAnsi="Arial" w:cs="Arial"/>
              </w:rPr>
              <w:t xml:space="preserve"> i </w:t>
            </w:r>
            <w:proofErr w:type="spellStart"/>
            <w:r>
              <w:rPr>
                <w:rFonts w:ascii="Arial" w:hAnsi="Arial" w:cs="Arial"/>
              </w:rPr>
              <w:t>privredna</w:t>
            </w:r>
            <w:proofErr w:type="spellEnd"/>
            <w:r>
              <w:rPr>
                <w:rFonts w:ascii="Arial" w:hAnsi="Arial" w:cs="Arial"/>
              </w:rPr>
              <w:t xml:space="preserve"> </w:t>
            </w:r>
            <w:proofErr w:type="spellStart"/>
            <w:r>
              <w:rPr>
                <w:rFonts w:ascii="Arial" w:hAnsi="Arial" w:cs="Arial"/>
              </w:rPr>
              <w:t>društva</w:t>
            </w:r>
            <w:proofErr w:type="spellEnd"/>
          </w:p>
        </w:tc>
        <w:tc>
          <w:tcPr>
            <w:tcW w:w="2617" w:type="dxa"/>
            <w:tcBorders>
              <w:top w:val="nil"/>
              <w:left w:val="nil"/>
              <w:bottom w:val="single" w:sz="4" w:space="0" w:color="auto"/>
              <w:right w:val="single" w:sz="4" w:space="0" w:color="auto"/>
            </w:tcBorders>
            <w:shd w:val="clear" w:color="auto" w:fill="auto"/>
            <w:noWrap/>
            <w:vAlign w:val="bottom"/>
            <w:hideMark/>
          </w:tcPr>
          <w:p w:rsidR="00C921C3" w:rsidRPr="0021211D" w:rsidRDefault="00C921C3" w:rsidP="00760A53">
            <w:pPr>
              <w:jc w:val="right"/>
              <w:rPr>
                <w:rFonts w:ascii="Arial" w:hAnsi="Arial" w:cs="Arial"/>
              </w:rPr>
            </w:pPr>
            <w:r>
              <w:rPr>
                <w:rFonts w:ascii="Arial" w:hAnsi="Arial" w:cs="Arial"/>
              </w:rPr>
              <w:t>36.05</w:t>
            </w:r>
          </w:p>
        </w:tc>
      </w:tr>
      <w:tr w:rsidR="00C921C3" w:rsidRPr="0021211D" w:rsidTr="00760A53">
        <w:trPr>
          <w:trHeight w:val="270"/>
        </w:trPr>
        <w:tc>
          <w:tcPr>
            <w:tcW w:w="6045" w:type="dxa"/>
            <w:tcBorders>
              <w:top w:val="nil"/>
              <w:left w:val="single" w:sz="4" w:space="0" w:color="auto"/>
              <w:bottom w:val="single" w:sz="4" w:space="0" w:color="auto"/>
              <w:right w:val="single" w:sz="4" w:space="0" w:color="auto"/>
            </w:tcBorders>
            <w:shd w:val="clear" w:color="auto" w:fill="auto"/>
            <w:noWrap/>
            <w:vAlign w:val="bottom"/>
            <w:hideMark/>
          </w:tcPr>
          <w:p w:rsidR="00C921C3" w:rsidRPr="0021211D" w:rsidRDefault="00C921C3" w:rsidP="00760A53">
            <w:pPr>
              <w:jc w:val="center"/>
              <w:rPr>
                <w:rFonts w:ascii="Arial" w:hAnsi="Arial" w:cs="Arial"/>
                <w:b/>
                <w:bCs/>
              </w:rPr>
            </w:pPr>
            <w:r w:rsidRPr="0021211D">
              <w:rPr>
                <w:rFonts w:ascii="Arial" w:hAnsi="Arial" w:cs="Arial"/>
                <w:b/>
                <w:bCs/>
              </w:rPr>
              <w:t>UKUPNO</w:t>
            </w:r>
          </w:p>
        </w:tc>
        <w:tc>
          <w:tcPr>
            <w:tcW w:w="2617" w:type="dxa"/>
            <w:tcBorders>
              <w:top w:val="nil"/>
              <w:left w:val="nil"/>
              <w:bottom w:val="single" w:sz="4" w:space="0" w:color="auto"/>
              <w:right w:val="single" w:sz="4" w:space="0" w:color="auto"/>
            </w:tcBorders>
            <w:shd w:val="clear" w:color="auto" w:fill="auto"/>
            <w:noWrap/>
            <w:vAlign w:val="bottom"/>
            <w:hideMark/>
          </w:tcPr>
          <w:p w:rsidR="00C921C3" w:rsidRPr="0021211D" w:rsidRDefault="00C921C3" w:rsidP="00760A53">
            <w:pPr>
              <w:jc w:val="right"/>
              <w:rPr>
                <w:rFonts w:ascii="Arial" w:hAnsi="Arial" w:cs="Arial"/>
                <w:b/>
                <w:bCs/>
              </w:rPr>
            </w:pPr>
            <w:r>
              <w:rPr>
                <w:rFonts w:ascii="Arial" w:hAnsi="Arial" w:cs="Arial"/>
                <w:b/>
                <w:bCs/>
              </w:rPr>
              <w:t>381.22</w:t>
            </w:r>
          </w:p>
        </w:tc>
      </w:tr>
    </w:tbl>
    <w:p w:rsidR="00C921C3" w:rsidRDefault="00C921C3" w:rsidP="00C921C3">
      <w:pPr>
        <w:jc w:val="both"/>
        <w:rPr>
          <w:rFonts w:ascii="Arial" w:hAnsi="Arial" w:cs="Arial"/>
          <w:lang w:val="pl-PL"/>
        </w:rPr>
      </w:pPr>
    </w:p>
    <w:p w:rsidR="00C921C3" w:rsidRDefault="00C921C3" w:rsidP="00C921C3">
      <w:pPr>
        <w:jc w:val="both"/>
        <w:rPr>
          <w:rFonts w:ascii="Arial" w:hAnsi="Arial" w:cs="Arial"/>
          <w:lang w:val="pl-PL"/>
        </w:rPr>
      </w:pPr>
    </w:p>
    <w:p w:rsidR="00C921C3" w:rsidRDefault="00C921C3" w:rsidP="00C921C3">
      <w:pPr>
        <w:jc w:val="both"/>
        <w:rPr>
          <w:rFonts w:ascii="Arial" w:hAnsi="Arial" w:cs="Arial"/>
          <w:lang w:val="pl-PL"/>
        </w:rPr>
      </w:pPr>
      <w:r>
        <w:rPr>
          <w:noProof/>
        </w:rPr>
        <w:drawing>
          <wp:inline distT="0" distB="0" distL="0" distR="0">
            <wp:extent cx="5486400" cy="3269908"/>
            <wp:effectExtent l="0" t="0" r="0" b="6985"/>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921C3" w:rsidRPr="00942C57" w:rsidRDefault="00C921C3" w:rsidP="00C921C3">
      <w:pPr>
        <w:pStyle w:val="BodyText"/>
        <w:jc w:val="center"/>
        <w:rPr>
          <w:rFonts w:ascii="Arial" w:hAnsi="Arial" w:cs="Arial"/>
          <w:i/>
          <w:sz w:val="22"/>
          <w:szCs w:val="22"/>
        </w:rPr>
      </w:pPr>
      <w:r>
        <w:rPr>
          <w:rFonts w:ascii="Arial" w:hAnsi="Arial" w:cs="Arial"/>
          <w:i/>
          <w:sz w:val="22"/>
          <w:szCs w:val="22"/>
        </w:rPr>
        <w:t xml:space="preserve">Grafikon 4. </w:t>
      </w:r>
      <w:r w:rsidRPr="00942C57">
        <w:rPr>
          <w:rFonts w:ascii="Arial" w:hAnsi="Arial" w:cs="Arial"/>
          <w:i/>
          <w:sz w:val="22"/>
          <w:szCs w:val="22"/>
        </w:rPr>
        <w:t>Grafički prikaz domaćeg duga u milionima eura na dan 31.12.2014. godine</w:t>
      </w:r>
    </w:p>
    <w:p w:rsidR="00C921C3" w:rsidRDefault="00C921C3" w:rsidP="00C921C3">
      <w:pPr>
        <w:jc w:val="both"/>
        <w:rPr>
          <w:rFonts w:ascii="Arial" w:hAnsi="Arial" w:cs="Arial"/>
          <w:lang w:val="pl-PL"/>
        </w:rPr>
      </w:pPr>
    </w:p>
    <w:p w:rsidR="00C921C3" w:rsidRDefault="00C921C3" w:rsidP="00C921C3">
      <w:pPr>
        <w:rPr>
          <w:rFonts w:ascii="Arial" w:hAnsi="Arial" w:cs="Arial"/>
          <w:b/>
          <w:i/>
          <w:lang w:val="pl-PL"/>
        </w:rPr>
      </w:pPr>
      <w:r>
        <w:rPr>
          <w:rFonts w:ascii="Arial" w:hAnsi="Arial" w:cs="Arial"/>
          <w:b/>
          <w:i/>
          <w:lang w:val="pl-PL"/>
        </w:rPr>
        <w:br w:type="page"/>
      </w:r>
    </w:p>
    <w:p w:rsidR="00C921C3" w:rsidRPr="009B1F71" w:rsidRDefault="00C921C3" w:rsidP="00C921C3">
      <w:pPr>
        <w:pStyle w:val="ListParagraph"/>
        <w:numPr>
          <w:ilvl w:val="0"/>
          <w:numId w:val="15"/>
        </w:numPr>
        <w:jc w:val="center"/>
        <w:rPr>
          <w:rFonts w:ascii="Arial" w:hAnsi="Arial" w:cs="Arial"/>
          <w:b/>
          <w:i/>
          <w:sz w:val="24"/>
          <w:szCs w:val="24"/>
          <w:lang w:val="pl-PL"/>
        </w:rPr>
      </w:pPr>
      <w:r w:rsidRPr="009B1F71">
        <w:rPr>
          <w:rFonts w:ascii="Arial" w:hAnsi="Arial" w:cs="Arial"/>
          <w:b/>
          <w:i/>
          <w:sz w:val="24"/>
          <w:szCs w:val="24"/>
          <w:lang w:val="pl-PL"/>
        </w:rPr>
        <w:lastRenderedPageBreak/>
        <w:t>Dug lokalne samouprave</w:t>
      </w:r>
    </w:p>
    <w:p w:rsidR="00C921C3" w:rsidRPr="0021211D" w:rsidRDefault="00C921C3" w:rsidP="00C921C3">
      <w:pPr>
        <w:jc w:val="both"/>
        <w:rPr>
          <w:rFonts w:ascii="Arial" w:hAnsi="Arial" w:cs="Arial"/>
          <w:lang w:val="pl-PL"/>
        </w:rPr>
      </w:pPr>
      <w:r w:rsidRPr="00C74C0B">
        <w:rPr>
          <w:rFonts w:ascii="Arial" w:hAnsi="Arial" w:cs="Arial"/>
          <w:lang w:val="pl-PL"/>
        </w:rPr>
        <w:t xml:space="preserve">Konsolidovani dug opština iznosi oko </w:t>
      </w:r>
      <w:r>
        <w:rPr>
          <w:rFonts w:ascii="Arial" w:hAnsi="Arial" w:cs="Arial"/>
          <w:lang w:val="pl-PL"/>
        </w:rPr>
        <w:t>166,94</w:t>
      </w:r>
      <w:r w:rsidRPr="00C74C0B">
        <w:rPr>
          <w:rFonts w:ascii="Arial" w:hAnsi="Arial" w:cs="Arial"/>
          <w:lang w:val="pl-PL"/>
        </w:rPr>
        <w:t xml:space="preserve"> mil. eura, prema najnovijim podacima dostavljenim od strane opština za kraj 2014. godine, što je za oko </w:t>
      </w:r>
      <w:r>
        <w:rPr>
          <w:rFonts w:ascii="Arial" w:hAnsi="Arial" w:cs="Arial"/>
          <w:lang w:val="pl-PL"/>
        </w:rPr>
        <w:t>3</w:t>
      </w:r>
      <w:r w:rsidRPr="00C74C0B">
        <w:rPr>
          <w:rFonts w:ascii="Arial" w:hAnsi="Arial" w:cs="Arial"/>
          <w:lang w:val="pl-PL"/>
        </w:rPr>
        <w:t>,</w:t>
      </w:r>
      <w:r>
        <w:rPr>
          <w:rFonts w:ascii="Arial" w:hAnsi="Arial" w:cs="Arial"/>
          <w:lang w:val="pl-PL"/>
        </w:rPr>
        <w:t>6</w:t>
      </w:r>
      <w:r w:rsidRPr="00C74C0B">
        <w:rPr>
          <w:rFonts w:ascii="Arial" w:hAnsi="Arial" w:cs="Arial"/>
          <w:lang w:val="pl-PL"/>
        </w:rPr>
        <w:t xml:space="preserve"> mil. eura manje nego na kraju 2013. godine,  i u tabeli državnog duga je prikazan na dva načina:</w:t>
      </w:r>
    </w:p>
    <w:p w:rsidR="00C921C3" w:rsidRPr="0021211D" w:rsidRDefault="00C921C3" w:rsidP="00C921C3">
      <w:pPr>
        <w:jc w:val="both"/>
        <w:rPr>
          <w:rFonts w:ascii="Arial" w:hAnsi="Arial" w:cs="Arial"/>
          <w:lang w:val="pl-PL"/>
        </w:rPr>
      </w:pPr>
    </w:p>
    <w:p w:rsidR="00C921C3" w:rsidRPr="0021211D" w:rsidRDefault="00C921C3" w:rsidP="00C921C3">
      <w:pPr>
        <w:jc w:val="both"/>
        <w:rPr>
          <w:rFonts w:ascii="Arial" w:hAnsi="Arial" w:cs="Arial"/>
          <w:lang w:val="pl-PL"/>
        </w:rPr>
      </w:pPr>
      <w:r w:rsidRPr="0021211D">
        <w:rPr>
          <w:rFonts w:ascii="Arial" w:hAnsi="Arial" w:cs="Arial"/>
          <w:lang w:val="pl-PL"/>
        </w:rPr>
        <w:t xml:space="preserve">- kroz stanje </w:t>
      </w:r>
      <w:r>
        <w:rPr>
          <w:rFonts w:ascii="Arial" w:hAnsi="Arial" w:cs="Arial"/>
          <w:lang w:val="pl-PL"/>
        </w:rPr>
        <w:t xml:space="preserve">državnog </w:t>
      </w:r>
      <w:r w:rsidRPr="0021211D">
        <w:rPr>
          <w:rFonts w:ascii="Arial" w:hAnsi="Arial" w:cs="Arial"/>
          <w:lang w:val="pl-PL"/>
        </w:rPr>
        <w:t>ino duga uključen je dug opština po Ugovorima koje je potpisala Vlada Crne Gore sa ino kreditorima, a sa opštinama potkreditne</w:t>
      </w:r>
      <w:r>
        <w:rPr>
          <w:rFonts w:ascii="Arial" w:hAnsi="Arial" w:cs="Arial"/>
          <w:lang w:val="pl-PL"/>
        </w:rPr>
        <w:t xml:space="preserve"> sporazume, u iznosu od oko 38,14</w:t>
      </w:r>
      <w:r w:rsidRPr="0021211D">
        <w:rPr>
          <w:rFonts w:ascii="Arial" w:hAnsi="Arial" w:cs="Arial"/>
          <w:lang w:val="pl-PL"/>
        </w:rPr>
        <w:t xml:space="preserve"> mil. eura (iznos povučenih, neotplaćenih sredstava)</w:t>
      </w:r>
    </w:p>
    <w:p w:rsidR="00C921C3" w:rsidRDefault="00C921C3" w:rsidP="00C921C3">
      <w:pPr>
        <w:jc w:val="both"/>
        <w:rPr>
          <w:rFonts w:ascii="Arial" w:hAnsi="Arial" w:cs="Arial"/>
          <w:lang w:val="pl-PL"/>
        </w:rPr>
      </w:pPr>
      <w:r>
        <w:rPr>
          <w:rFonts w:ascii="Arial" w:hAnsi="Arial" w:cs="Arial"/>
          <w:lang w:val="pl-PL"/>
        </w:rPr>
        <w:t>- kroz stanje</w:t>
      </w:r>
      <w:r w:rsidRPr="0021211D">
        <w:rPr>
          <w:rFonts w:ascii="Arial" w:hAnsi="Arial" w:cs="Arial"/>
          <w:lang w:val="pl-PL"/>
        </w:rPr>
        <w:t xml:space="preserve"> duga</w:t>
      </w:r>
      <w:r>
        <w:rPr>
          <w:rFonts w:ascii="Arial" w:hAnsi="Arial" w:cs="Arial"/>
          <w:lang w:val="pl-PL"/>
        </w:rPr>
        <w:t xml:space="preserve"> lokalne samouprave, u iznosu od oko 128,80</w:t>
      </w:r>
      <w:r w:rsidRPr="0021211D">
        <w:rPr>
          <w:rFonts w:ascii="Arial" w:hAnsi="Arial" w:cs="Arial"/>
          <w:lang w:val="pl-PL"/>
        </w:rPr>
        <w:t xml:space="preserve"> mil. eura.</w:t>
      </w:r>
      <w:r>
        <w:rPr>
          <w:rFonts w:ascii="Arial" w:hAnsi="Arial" w:cs="Arial"/>
          <w:lang w:val="pl-PL"/>
        </w:rPr>
        <w:t xml:space="preserve"> </w:t>
      </w:r>
    </w:p>
    <w:p w:rsidR="00C921C3" w:rsidRDefault="00C921C3" w:rsidP="00C921C3">
      <w:pPr>
        <w:jc w:val="both"/>
        <w:rPr>
          <w:rFonts w:ascii="Arial" w:hAnsi="Arial" w:cs="Arial"/>
          <w:lang w:val="pl-PL"/>
        </w:rPr>
      </w:pPr>
    </w:p>
    <w:p w:rsidR="00C921C3" w:rsidRDefault="00C921C3" w:rsidP="00C921C3">
      <w:pPr>
        <w:jc w:val="both"/>
        <w:rPr>
          <w:rFonts w:ascii="Arial" w:hAnsi="Arial" w:cs="Arial"/>
          <w:lang w:val="pl-PL"/>
        </w:rPr>
      </w:pPr>
      <w:r>
        <w:rPr>
          <w:rFonts w:ascii="Arial" w:hAnsi="Arial" w:cs="Arial"/>
          <w:lang w:val="pl-PL"/>
        </w:rPr>
        <w:t>U nastavku slijedi tabela konsolidovanog duga lokalne samouprave na kraju 2014. godine.</w:t>
      </w:r>
    </w:p>
    <w:p w:rsidR="00C921C3" w:rsidRDefault="00C921C3" w:rsidP="00C921C3">
      <w:pPr>
        <w:rPr>
          <w:rFonts w:ascii="Arial" w:hAnsi="Arial" w:cs="Arial"/>
          <w:b/>
          <w:i/>
        </w:rPr>
      </w:pPr>
    </w:p>
    <w:p w:rsidR="00C921C3" w:rsidRPr="00020D98" w:rsidRDefault="00C921C3" w:rsidP="00C921C3">
      <w:pPr>
        <w:rPr>
          <w:rFonts w:ascii="Arial" w:hAnsi="Arial" w:cs="Arial"/>
        </w:rPr>
      </w:pPr>
      <w:proofErr w:type="spellStart"/>
      <w:proofErr w:type="gramStart"/>
      <w:r>
        <w:rPr>
          <w:rFonts w:ascii="Arial" w:hAnsi="Arial" w:cs="Arial"/>
        </w:rPr>
        <w:t>Tabela</w:t>
      </w:r>
      <w:proofErr w:type="spellEnd"/>
      <w:r>
        <w:rPr>
          <w:rFonts w:ascii="Arial" w:hAnsi="Arial" w:cs="Arial"/>
        </w:rPr>
        <w:t xml:space="preserve"> 4.</w:t>
      </w:r>
      <w:proofErr w:type="gramEnd"/>
      <w:r>
        <w:rPr>
          <w:rFonts w:ascii="Arial" w:hAnsi="Arial" w:cs="Arial"/>
        </w:rPr>
        <w:t xml:space="preserve"> </w:t>
      </w:r>
      <w:proofErr w:type="spellStart"/>
      <w:r>
        <w:rPr>
          <w:rFonts w:ascii="Arial" w:hAnsi="Arial" w:cs="Arial"/>
        </w:rPr>
        <w:t>Konsolidovani</w:t>
      </w:r>
      <w:proofErr w:type="spellEnd"/>
      <w:r>
        <w:rPr>
          <w:rFonts w:ascii="Arial" w:hAnsi="Arial" w:cs="Arial"/>
        </w:rPr>
        <w:t xml:space="preserve"> dug </w:t>
      </w:r>
      <w:proofErr w:type="spellStart"/>
      <w:r>
        <w:rPr>
          <w:rFonts w:ascii="Arial" w:hAnsi="Arial" w:cs="Arial"/>
        </w:rPr>
        <w:t>lokalne</w:t>
      </w:r>
      <w:proofErr w:type="spellEnd"/>
      <w:r>
        <w:rPr>
          <w:rFonts w:ascii="Arial" w:hAnsi="Arial" w:cs="Arial"/>
        </w:rPr>
        <w:t xml:space="preserve"> </w:t>
      </w:r>
      <w:proofErr w:type="spellStart"/>
      <w:r>
        <w:rPr>
          <w:rFonts w:ascii="Arial" w:hAnsi="Arial" w:cs="Arial"/>
        </w:rPr>
        <w:t>samouprave</w:t>
      </w:r>
      <w:proofErr w:type="spellEnd"/>
    </w:p>
    <w:tbl>
      <w:tblPr>
        <w:tblW w:w="9060" w:type="dxa"/>
        <w:tblInd w:w="103" w:type="dxa"/>
        <w:tblLook w:val="04A0" w:firstRow="1" w:lastRow="0" w:firstColumn="1" w:lastColumn="0" w:noHBand="0" w:noVBand="1"/>
      </w:tblPr>
      <w:tblGrid>
        <w:gridCol w:w="3440"/>
        <w:gridCol w:w="2140"/>
        <w:gridCol w:w="1720"/>
        <w:gridCol w:w="1760"/>
      </w:tblGrid>
      <w:tr w:rsidR="00C921C3" w:rsidRPr="00FD53FC" w:rsidTr="00760A53">
        <w:trPr>
          <w:trHeight w:val="300"/>
        </w:trPr>
        <w:tc>
          <w:tcPr>
            <w:tcW w:w="34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rsidR="00C921C3" w:rsidRPr="00FD53FC" w:rsidRDefault="00C921C3" w:rsidP="00760A53">
            <w:pPr>
              <w:jc w:val="center"/>
              <w:rPr>
                <w:rFonts w:ascii="Calibri" w:hAnsi="Calibri"/>
                <w:b/>
                <w:bCs/>
                <w:color w:val="000000"/>
                <w:sz w:val="22"/>
                <w:szCs w:val="22"/>
              </w:rPr>
            </w:pPr>
            <w:proofErr w:type="spellStart"/>
            <w:r w:rsidRPr="00FD53FC">
              <w:rPr>
                <w:rFonts w:ascii="Calibri" w:hAnsi="Calibri"/>
                <w:b/>
                <w:bCs/>
                <w:color w:val="000000"/>
                <w:sz w:val="22"/>
                <w:szCs w:val="22"/>
              </w:rPr>
              <w:t>Opština</w:t>
            </w:r>
            <w:proofErr w:type="spellEnd"/>
          </w:p>
        </w:tc>
        <w:tc>
          <w:tcPr>
            <w:tcW w:w="2140" w:type="dxa"/>
            <w:tcBorders>
              <w:top w:val="single" w:sz="4" w:space="0" w:color="auto"/>
              <w:left w:val="nil"/>
              <w:bottom w:val="single" w:sz="4" w:space="0" w:color="auto"/>
              <w:right w:val="single" w:sz="4" w:space="0" w:color="auto"/>
            </w:tcBorders>
            <w:shd w:val="clear" w:color="C0C0C0" w:fill="C0C0C0"/>
            <w:noWrap/>
            <w:vAlign w:val="center"/>
            <w:hideMark/>
          </w:tcPr>
          <w:p w:rsidR="00C921C3" w:rsidRPr="00FD53FC" w:rsidRDefault="00C921C3" w:rsidP="00760A53">
            <w:pPr>
              <w:jc w:val="center"/>
              <w:rPr>
                <w:rFonts w:ascii="Calibri" w:hAnsi="Calibri"/>
                <w:b/>
                <w:bCs/>
                <w:color w:val="000000"/>
                <w:sz w:val="22"/>
                <w:szCs w:val="22"/>
              </w:rPr>
            </w:pPr>
            <w:r w:rsidRPr="00FD53FC">
              <w:rPr>
                <w:rFonts w:ascii="Calibri" w:hAnsi="Calibri"/>
                <w:b/>
                <w:bCs/>
                <w:color w:val="000000"/>
                <w:sz w:val="22"/>
                <w:szCs w:val="22"/>
              </w:rPr>
              <w:t xml:space="preserve"> </w:t>
            </w:r>
            <w:proofErr w:type="spellStart"/>
            <w:r w:rsidRPr="00FD53FC">
              <w:rPr>
                <w:rFonts w:ascii="Calibri" w:hAnsi="Calibri"/>
                <w:b/>
                <w:bCs/>
                <w:color w:val="000000"/>
                <w:sz w:val="22"/>
                <w:szCs w:val="22"/>
              </w:rPr>
              <w:t>Ukupno</w:t>
            </w:r>
            <w:proofErr w:type="spellEnd"/>
            <w:r w:rsidRPr="00FD53FC">
              <w:rPr>
                <w:rFonts w:ascii="Calibri" w:hAnsi="Calibri"/>
                <w:b/>
                <w:bCs/>
                <w:color w:val="000000"/>
                <w:sz w:val="22"/>
                <w:szCs w:val="22"/>
              </w:rPr>
              <w:t xml:space="preserve"> </w:t>
            </w:r>
          </w:p>
        </w:tc>
        <w:tc>
          <w:tcPr>
            <w:tcW w:w="1720" w:type="dxa"/>
            <w:tcBorders>
              <w:top w:val="single" w:sz="4" w:space="0" w:color="auto"/>
              <w:left w:val="nil"/>
              <w:bottom w:val="single" w:sz="4" w:space="0" w:color="auto"/>
              <w:right w:val="single" w:sz="4" w:space="0" w:color="auto"/>
            </w:tcBorders>
            <w:shd w:val="clear" w:color="C0C0C0" w:fill="C0C0C0"/>
            <w:noWrap/>
            <w:vAlign w:val="center"/>
            <w:hideMark/>
          </w:tcPr>
          <w:p w:rsidR="00C921C3" w:rsidRPr="00FD53FC" w:rsidRDefault="00C921C3" w:rsidP="00760A53">
            <w:pPr>
              <w:jc w:val="center"/>
              <w:rPr>
                <w:rFonts w:ascii="Calibri" w:hAnsi="Calibri"/>
                <w:b/>
                <w:bCs/>
                <w:color w:val="000000"/>
                <w:sz w:val="22"/>
                <w:szCs w:val="22"/>
              </w:rPr>
            </w:pPr>
            <w:r w:rsidRPr="00FD53FC">
              <w:rPr>
                <w:rFonts w:ascii="Calibri" w:hAnsi="Calibri"/>
                <w:b/>
                <w:bCs/>
                <w:color w:val="000000"/>
                <w:sz w:val="22"/>
                <w:szCs w:val="22"/>
              </w:rPr>
              <w:t xml:space="preserve"> </w:t>
            </w:r>
            <w:proofErr w:type="spellStart"/>
            <w:r w:rsidRPr="00FD53FC">
              <w:rPr>
                <w:rFonts w:ascii="Calibri" w:hAnsi="Calibri"/>
                <w:b/>
                <w:bCs/>
                <w:color w:val="000000"/>
                <w:sz w:val="22"/>
                <w:szCs w:val="22"/>
              </w:rPr>
              <w:t>Domaći</w:t>
            </w:r>
            <w:proofErr w:type="spellEnd"/>
            <w:r w:rsidRPr="00FD53FC">
              <w:rPr>
                <w:rFonts w:ascii="Calibri" w:hAnsi="Calibri"/>
                <w:b/>
                <w:bCs/>
                <w:color w:val="000000"/>
                <w:sz w:val="22"/>
                <w:szCs w:val="22"/>
              </w:rPr>
              <w:t xml:space="preserve"> dug </w:t>
            </w:r>
          </w:p>
        </w:tc>
        <w:tc>
          <w:tcPr>
            <w:tcW w:w="1760" w:type="dxa"/>
            <w:tcBorders>
              <w:top w:val="single" w:sz="4" w:space="0" w:color="auto"/>
              <w:left w:val="nil"/>
              <w:bottom w:val="single" w:sz="4" w:space="0" w:color="auto"/>
              <w:right w:val="single" w:sz="4" w:space="0" w:color="auto"/>
            </w:tcBorders>
            <w:shd w:val="clear" w:color="C0C0C0" w:fill="C0C0C0"/>
            <w:noWrap/>
            <w:vAlign w:val="center"/>
            <w:hideMark/>
          </w:tcPr>
          <w:p w:rsidR="00C921C3" w:rsidRPr="00FD53FC" w:rsidRDefault="00C921C3" w:rsidP="00760A53">
            <w:pPr>
              <w:jc w:val="center"/>
              <w:rPr>
                <w:rFonts w:ascii="Calibri" w:hAnsi="Calibri"/>
                <w:b/>
                <w:bCs/>
                <w:color w:val="000000"/>
                <w:sz w:val="22"/>
                <w:szCs w:val="22"/>
              </w:rPr>
            </w:pPr>
            <w:r w:rsidRPr="00FD53FC">
              <w:rPr>
                <w:rFonts w:ascii="Calibri" w:hAnsi="Calibri"/>
                <w:b/>
                <w:bCs/>
                <w:color w:val="000000"/>
                <w:sz w:val="22"/>
                <w:szCs w:val="22"/>
              </w:rPr>
              <w:t xml:space="preserve"> </w:t>
            </w:r>
            <w:proofErr w:type="spellStart"/>
            <w:r w:rsidRPr="00FD53FC">
              <w:rPr>
                <w:rFonts w:ascii="Calibri" w:hAnsi="Calibri"/>
                <w:b/>
                <w:bCs/>
                <w:color w:val="000000"/>
                <w:sz w:val="22"/>
                <w:szCs w:val="22"/>
              </w:rPr>
              <w:t>Ino</w:t>
            </w:r>
            <w:proofErr w:type="spellEnd"/>
            <w:r w:rsidRPr="00FD53FC">
              <w:rPr>
                <w:rFonts w:ascii="Calibri" w:hAnsi="Calibri"/>
                <w:b/>
                <w:bCs/>
                <w:color w:val="000000"/>
                <w:sz w:val="22"/>
                <w:szCs w:val="22"/>
              </w:rPr>
              <w:t xml:space="preserve"> dug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Andrijevica</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0.05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0.05   </w:t>
            </w:r>
          </w:p>
        </w:tc>
        <w:tc>
          <w:tcPr>
            <w:tcW w:w="1760" w:type="dxa"/>
            <w:tcBorders>
              <w:top w:val="nil"/>
              <w:left w:val="nil"/>
              <w:bottom w:val="single" w:sz="4" w:space="0" w:color="auto"/>
              <w:right w:val="single" w:sz="4" w:space="0" w:color="auto"/>
            </w:tcBorders>
            <w:shd w:val="clear" w:color="auto" w:fill="auto"/>
            <w:noWrap/>
            <w:vAlign w:val="bottom"/>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r w:rsidRPr="00FD53FC">
              <w:rPr>
                <w:rFonts w:ascii="Calibri" w:hAnsi="Calibri"/>
                <w:color w:val="000000"/>
                <w:sz w:val="22"/>
                <w:szCs w:val="22"/>
              </w:rPr>
              <w:t>Bar</w:t>
            </w:r>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4.12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0.08   </w:t>
            </w:r>
          </w:p>
        </w:tc>
        <w:tc>
          <w:tcPr>
            <w:tcW w:w="176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Pr>
                <w:rFonts w:ascii="Calibri" w:hAnsi="Calibri"/>
                <w:color w:val="000000"/>
                <w:sz w:val="22"/>
                <w:szCs w:val="22"/>
              </w:rPr>
              <w:t xml:space="preserve"> </w:t>
            </w:r>
            <w:r w:rsidRPr="00FD53FC">
              <w:rPr>
                <w:rFonts w:ascii="Calibri" w:hAnsi="Calibri"/>
                <w:color w:val="000000"/>
                <w:sz w:val="22"/>
                <w:szCs w:val="22"/>
              </w:rPr>
              <w:t xml:space="preserve">4.04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Berane</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3.53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2.77   </w:t>
            </w:r>
          </w:p>
        </w:tc>
        <w:tc>
          <w:tcPr>
            <w:tcW w:w="176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0.76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Bijelo</w:t>
            </w:r>
            <w:proofErr w:type="spellEnd"/>
            <w:r w:rsidRPr="00FD53FC">
              <w:rPr>
                <w:rFonts w:ascii="Calibri" w:hAnsi="Calibri"/>
                <w:color w:val="000000"/>
                <w:sz w:val="22"/>
                <w:szCs w:val="22"/>
              </w:rPr>
              <w:t xml:space="preserve"> </w:t>
            </w:r>
            <w:proofErr w:type="spellStart"/>
            <w:r w:rsidRPr="00FD53FC">
              <w:rPr>
                <w:rFonts w:ascii="Calibri" w:hAnsi="Calibri"/>
                <w:color w:val="000000"/>
                <w:sz w:val="22"/>
                <w:szCs w:val="22"/>
              </w:rPr>
              <w:t>Polje</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7.62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6.86   </w:t>
            </w:r>
          </w:p>
        </w:tc>
        <w:tc>
          <w:tcPr>
            <w:tcW w:w="176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0.76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Budva</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65.93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7.50   </w:t>
            </w:r>
          </w:p>
        </w:tc>
        <w:tc>
          <w:tcPr>
            <w:tcW w:w="176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58.43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Cetinje</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3.97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3.97   </w:t>
            </w:r>
          </w:p>
        </w:tc>
        <w:tc>
          <w:tcPr>
            <w:tcW w:w="1760" w:type="dxa"/>
            <w:tcBorders>
              <w:top w:val="nil"/>
              <w:left w:val="nil"/>
              <w:bottom w:val="single" w:sz="4" w:space="0" w:color="auto"/>
              <w:right w:val="single" w:sz="4" w:space="0" w:color="auto"/>
            </w:tcBorders>
            <w:shd w:val="clear" w:color="auto" w:fill="auto"/>
            <w:noWrap/>
            <w:vAlign w:val="bottom"/>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Danilovgrad</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1.42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0.74   </w:t>
            </w:r>
          </w:p>
        </w:tc>
        <w:tc>
          <w:tcPr>
            <w:tcW w:w="176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0.68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Gusinje</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w:t>
            </w:r>
          </w:p>
        </w:tc>
        <w:tc>
          <w:tcPr>
            <w:tcW w:w="1760" w:type="dxa"/>
            <w:tcBorders>
              <w:top w:val="nil"/>
              <w:left w:val="nil"/>
              <w:bottom w:val="single" w:sz="4" w:space="0" w:color="auto"/>
              <w:right w:val="single" w:sz="4" w:space="0" w:color="auto"/>
            </w:tcBorders>
            <w:shd w:val="clear" w:color="auto" w:fill="auto"/>
            <w:noWrap/>
            <w:vAlign w:val="bottom"/>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Herceg</w:t>
            </w:r>
            <w:proofErr w:type="spellEnd"/>
            <w:r w:rsidRPr="00FD53FC">
              <w:rPr>
                <w:rFonts w:ascii="Calibri" w:hAnsi="Calibri"/>
                <w:color w:val="000000"/>
                <w:sz w:val="22"/>
                <w:szCs w:val="22"/>
              </w:rPr>
              <w:t xml:space="preserve"> Novi</w:t>
            </w:r>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8.60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0.77   </w:t>
            </w:r>
          </w:p>
        </w:tc>
        <w:tc>
          <w:tcPr>
            <w:tcW w:w="176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7.83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Kolašin</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3.78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3.36   </w:t>
            </w:r>
          </w:p>
        </w:tc>
        <w:tc>
          <w:tcPr>
            <w:tcW w:w="1760" w:type="dxa"/>
            <w:tcBorders>
              <w:top w:val="nil"/>
              <w:left w:val="nil"/>
              <w:bottom w:val="single" w:sz="4" w:space="0" w:color="auto"/>
              <w:right w:val="single" w:sz="4" w:space="0" w:color="auto"/>
            </w:tcBorders>
            <w:shd w:val="clear" w:color="auto" w:fill="auto"/>
            <w:noWrap/>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0.42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Kotor</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3.93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0.41   </w:t>
            </w:r>
          </w:p>
        </w:tc>
        <w:tc>
          <w:tcPr>
            <w:tcW w:w="176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3.52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Mojkovac</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0.29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0.29   </w:t>
            </w:r>
          </w:p>
        </w:tc>
        <w:tc>
          <w:tcPr>
            <w:tcW w:w="1760" w:type="dxa"/>
            <w:tcBorders>
              <w:top w:val="nil"/>
              <w:left w:val="nil"/>
              <w:bottom w:val="single" w:sz="4" w:space="0" w:color="auto"/>
              <w:right w:val="single" w:sz="4" w:space="0" w:color="auto"/>
            </w:tcBorders>
            <w:shd w:val="clear" w:color="auto" w:fill="auto"/>
            <w:noWrap/>
            <w:vAlign w:val="bottom"/>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Nikšić</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18.47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5.88   </w:t>
            </w:r>
          </w:p>
        </w:tc>
        <w:tc>
          <w:tcPr>
            <w:tcW w:w="176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12.59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Petnjica</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w:t>
            </w:r>
          </w:p>
        </w:tc>
        <w:tc>
          <w:tcPr>
            <w:tcW w:w="1760" w:type="dxa"/>
            <w:tcBorders>
              <w:top w:val="nil"/>
              <w:left w:val="nil"/>
              <w:bottom w:val="single" w:sz="4" w:space="0" w:color="auto"/>
              <w:right w:val="single" w:sz="4" w:space="0" w:color="auto"/>
            </w:tcBorders>
            <w:shd w:val="clear" w:color="auto" w:fill="auto"/>
            <w:noWrap/>
            <w:vAlign w:val="bottom"/>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Plav</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0.89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0.89   </w:t>
            </w:r>
          </w:p>
        </w:tc>
        <w:tc>
          <w:tcPr>
            <w:tcW w:w="1760" w:type="dxa"/>
            <w:tcBorders>
              <w:top w:val="nil"/>
              <w:left w:val="nil"/>
              <w:bottom w:val="single" w:sz="4" w:space="0" w:color="auto"/>
              <w:right w:val="single" w:sz="4" w:space="0" w:color="auto"/>
            </w:tcBorders>
            <w:shd w:val="clear" w:color="auto" w:fill="auto"/>
            <w:noWrap/>
            <w:vAlign w:val="bottom"/>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Plužine</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0.48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0.48   </w:t>
            </w:r>
          </w:p>
        </w:tc>
        <w:tc>
          <w:tcPr>
            <w:tcW w:w="1760" w:type="dxa"/>
            <w:tcBorders>
              <w:top w:val="nil"/>
              <w:left w:val="nil"/>
              <w:bottom w:val="single" w:sz="4" w:space="0" w:color="auto"/>
              <w:right w:val="single" w:sz="4" w:space="0" w:color="auto"/>
            </w:tcBorders>
            <w:shd w:val="clear" w:color="auto" w:fill="auto"/>
            <w:noWrap/>
            <w:vAlign w:val="bottom"/>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Pljevlja</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7.31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5.81   </w:t>
            </w:r>
          </w:p>
        </w:tc>
        <w:tc>
          <w:tcPr>
            <w:tcW w:w="176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1.50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Podgorica</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26.13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0.60   </w:t>
            </w:r>
          </w:p>
        </w:tc>
        <w:tc>
          <w:tcPr>
            <w:tcW w:w="176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25.53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Rožaje</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1.60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0.54   </w:t>
            </w:r>
          </w:p>
        </w:tc>
        <w:tc>
          <w:tcPr>
            <w:tcW w:w="176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1.06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Šavnik</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0.24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0.24   </w:t>
            </w:r>
          </w:p>
        </w:tc>
        <w:tc>
          <w:tcPr>
            <w:tcW w:w="1760" w:type="dxa"/>
            <w:tcBorders>
              <w:top w:val="nil"/>
              <w:left w:val="nil"/>
              <w:bottom w:val="single" w:sz="4" w:space="0" w:color="auto"/>
              <w:right w:val="single" w:sz="4" w:space="0" w:color="auto"/>
            </w:tcBorders>
            <w:shd w:val="clear" w:color="auto" w:fill="auto"/>
            <w:noWrap/>
            <w:vAlign w:val="bottom"/>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Tivat</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4.16   </w:t>
            </w:r>
          </w:p>
        </w:tc>
        <w:tc>
          <w:tcPr>
            <w:tcW w:w="1720" w:type="dxa"/>
            <w:tcBorders>
              <w:top w:val="nil"/>
              <w:left w:val="nil"/>
              <w:bottom w:val="single" w:sz="4" w:space="0" w:color="auto"/>
              <w:right w:val="single" w:sz="4" w:space="0" w:color="auto"/>
            </w:tcBorders>
            <w:shd w:val="clear" w:color="auto" w:fill="auto"/>
            <w:noWrap/>
            <w:vAlign w:val="bottom"/>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w:t>
            </w:r>
          </w:p>
        </w:tc>
        <w:tc>
          <w:tcPr>
            <w:tcW w:w="176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4.16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Ulcinj</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4.24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3.55   </w:t>
            </w:r>
          </w:p>
        </w:tc>
        <w:tc>
          <w:tcPr>
            <w:tcW w:w="176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0.69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color w:val="000000"/>
                <w:sz w:val="22"/>
                <w:szCs w:val="22"/>
              </w:rPr>
            </w:pPr>
            <w:proofErr w:type="spellStart"/>
            <w:r w:rsidRPr="00FD53FC">
              <w:rPr>
                <w:rFonts w:ascii="Calibri" w:hAnsi="Calibri"/>
                <w:color w:val="000000"/>
                <w:sz w:val="22"/>
                <w:szCs w:val="22"/>
              </w:rPr>
              <w:t>Žabljak</w:t>
            </w:r>
            <w:proofErr w:type="spellEnd"/>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0.18   </w:t>
            </w:r>
          </w:p>
        </w:tc>
        <w:tc>
          <w:tcPr>
            <w:tcW w:w="172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0.18   </w:t>
            </w:r>
          </w:p>
        </w:tc>
        <w:tc>
          <w:tcPr>
            <w:tcW w:w="1760" w:type="dxa"/>
            <w:tcBorders>
              <w:top w:val="nil"/>
              <w:left w:val="nil"/>
              <w:bottom w:val="single" w:sz="4" w:space="0" w:color="auto"/>
              <w:right w:val="single" w:sz="4" w:space="0" w:color="auto"/>
            </w:tcBorders>
            <w:shd w:val="clear" w:color="auto" w:fill="auto"/>
            <w:noWrap/>
            <w:vAlign w:val="bottom"/>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rsidR="00C921C3" w:rsidRPr="00FD53FC" w:rsidRDefault="00C921C3" w:rsidP="00760A53">
            <w:pPr>
              <w:rPr>
                <w:rFonts w:ascii="Calibri" w:hAnsi="Calibri"/>
                <w:color w:val="000000"/>
                <w:sz w:val="22"/>
                <w:szCs w:val="22"/>
              </w:rPr>
            </w:pPr>
            <w:r w:rsidRPr="00FD53FC">
              <w:rPr>
                <w:rFonts w:ascii="Calibri" w:hAnsi="Calibri"/>
                <w:color w:val="000000"/>
                <w:sz w:val="22"/>
                <w:szCs w:val="22"/>
              </w:rPr>
              <w:t> </w:t>
            </w:r>
          </w:p>
        </w:tc>
        <w:tc>
          <w:tcPr>
            <w:tcW w:w="2140" w:type="dxa"/>
            <w:tcBorders>
              <w:top w:val="nil"/>
              <w:left w:val="nil"/>
              <w:bottom w:val="single" w:sz="4" w:space="0" w:color="auto"/>
              <w:right w:val="single" w:sz="4" w:space="0" w:color="auto"/>
            </w:tcBorders>
            <w:shd w:val="clear" w:color="auto" w:fill="auto"/>
            <w:vAlign w:val="center"/>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w:t>
            </w:r>
          </w:p>
        </w:tc>
        <w:tc>
          <w:tcPr>
            <w:tcW w:w="1760" w:type="dxa"/>
            <w:tcBorders>
              <w:top w:val="nil"/>
              <w:left w:val="nil"/>
              <w:bottom w:val="single" w:sz="4" w:space="0" w:color="auto"/>
              <w:right w:val="single" w:sz="4" w:space="0" w:color="auto"/>
            </w:tcBorders>
            <w:shd w:val="clear" w:color="auto" w:fill="auto"/>
            <w:noWrap/>
            <w:vAlign w:val="bottom"/>
            <w:hideMark/>
          </w:tcPr>
          <w:p w:rsidR="00C921C3" w:rsidRPr="00FD53FC" w:rsidRDefault="00C921C3" w:rsidP="00282FE2">
            <w:pPr>
              <w:jc w:val="right"/>
              <w:rPr>
                <w:rFonts w:ascii="Calibri" w:hAnsi="Calibri"/>
                <w:color w:val="000000"/>
                <w:sz w:val="22"/>
                <w:szCs w:val="22"/>
              </w:rPr>
            </w:pPr>
            <w:r w:rsidRPr="00FD53FC">
              <w:rPr>
                <w:rFonts w:ascii="Calibri" w:hAnsi="Calibri"/>
                <w:color w:val="000000"/>
                <w:sz w:val="22"/>
                <w:szCs w:val="22"/>
              </w:rPr>
              <w:t> </w:t>
            </w:r>
          </w:p>
        </w:tc>
      </w:tr>
      <w:tr w:rsidR="00C921C3" w:rsidRPr="00FD53FC" w:rsidTr="00760A53">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C921C3" w:rsidRPr="00FD53FC" w:rsidRDefault="00C921C3" w:rsidP="00760A53">
            <w:pPr>
              <w:rPr>
                <w:rFonts w:ascii="Calibri" w:hAnsi="Calibri"/>
                <w:b/>
                <w:bCs/>
                <w:color w:val="000000"/>
                <w:sz w:val="22"/>
                <w:szCs w:val="22"/>
              </w:rPr>
            </w:pPr>
            <w:r w:rsidRPr="00FD53FC">
              <w:rPr>
                <w:rFonts w:ascii="Calibri" w:hAnsi="Calibri"/>
                <w:b/>
                <w:bCs/>
                <w:color w:val="000000"/>
                <w:sz w:val="22"/>
                <w:szCs w:val="22"/>
              </w:rPr>
              <w:t>UKUPNO</w:t>
            </w:r>
          </w:p>
        </w:tc>
        <w:tc>
          <w:tcPr>
            <w:tcW w:w="2140" w:type="dxa"/>
            <w:tcBorders>
              <w:top w:val="nil"/>
              <w:left w:val="nil"/>
              <w:bottom w:val="single" w:sz="4" w:space="0" w:color="auto"/>
              <w:right w:val="single" w:sz="4" w:space="0" w:color="auto"/>
            </w:tcBorders>
            <w:shd w:val="clear" w:color="auto" w:fill="auto"/>
            <w:vAlign w:val="center"/>
            <w:hideMark/>
          </w:tcPr>
          <w:p w:rsidR="00C921C3" w:rsidRPr="00D80365" w:rsidRDefault="00C921C3" w:rsidP="00282FE2">
            <w:pPr>
              <w:jc w:val="right"/>
              <w:rPr>
                <w:rFonts w:ascii="Calibri" w:hAnsi="Calibri"/>
                <w:b/>
                <w:color w:val="000000"/>
                <w:sz w:val="22"/>
                <w:szCs w:val="22"/>
              </w:rPr>
            </w:pPr>
            <w:r w:rsidRPr="00D80365">
              <w:rPr>
                <w:rFonts w:ascii="Calibri" w:hAnsi="Calibri"/>
                <w:b/>
                <w:color w:val="000000"/>
                <w:sz w:val="22"/>
                <w:szCs w:val="22"/>
              </w:rPr>
              <w:t xml:space="preserve">166.94   </w:t>
            </w:r>
          </w:p>
        </w:tc>
        <w:tc>
          <w:tcPr>
            <w:tcW w:w="1720" w:type="dxa"/>
            <w:tcBorders>
              <w:top w:val="nil"/>
              <w:left w:val="nil"/>
              <w:bottom w:val="single" w:sz="4" w:space="0" w:color="auto"/>
              <w:right w:val="single" w:sz="4" w:space="0" w:color="auto"/>
            </w:tcBorders>
            <w:shd w:val="clear" w:color="auto" w:fill="auto"/>
            <w:noWrap/>
            <w:vAlign w:val="bottom"/>
            <w:hideMark/>
          </w:tcPr>
          <w:p w:rsidR="00C921C3" w:rsidRPr="00FD53FC" w:rsidRDefault="00C921C3" w:rsidP="00282FE2">
            <w:pPr>
              <w:jc w:val="right"/>
              <w:rPr>
                <w:rFonts w:ascii="Calibri" w:hAnsi="Calibri"/>
                <w:b/>
                <w:bCs/>
                <w:color w:val="000000"/>
                <w:sz w:val="22"/>
                <w:szCs w:val="22"/>
              </w:rPr>
            </w:pPr>
            <w:r w:rsidRPr="00FD53FC">
              <w:rPr>
                <w:rFonts w:ascii="Calibri" w:hAnsi="Calibri"/>
                <w:b/>
                <w:bCs/>
                <w:color w:val="000000"/>
                <w:sz w:val="22"/>
                <w:szCs w:val="22"/>
              </w:rPr>
              <w:t xml:space="preserve">44.97   </w:t>
            </w:r>
          </w:p>
        </w:tc>
        <w:tc>
          <w:tcPr>
            <w:tcW w:w="1760" w:type="dxa"/>
            <w:tcBorders>
              <w:top w:val="nil"/>
              <w:left w:val="nil"/>
              <w:bottom w:val="single" w:sz="4" w:space="0" w:color="auto"/>
              <w:right w:val="single" w:sz="4" w:space="0" w:color="auto"/>
            </w:tcBorders>
            <w:shd w:val="clear" w:color="auto" w:fill="auto"/>
            <w:noWrap/>
            <w:vAlign w:val="bottom"/>
            <w:hideMark/>
          </w:tcPr>
          <w:p w:rsidR="00C921C3" w:rsidRPr="00FD53FC" w:rsidRDefault="00C921C3" w:rsidP="00282FE2">
            <w:pPr>
              <w:jc w:val="right"/>
              <w:rPr>
                <w:rFonts w:ascii="Calibri" w:hAnsi="Calibri"/>
                <w:b/>
                <w:bCs/>
                <w:color w:val="000000"/>
                <w:sz w:val="22"/>
                <w:szCs w:val="22"/>
              </w:rPr>
            </w:pPr>
            <w:r w:rsidRPr="00FD53FC">
              <w:rPr>
                <w:rFonts w:ascii="Calibri" w:hAnsi="Calibri"/>
                <w:b/>
                <w:bCs/>
                <w:color w:val="000000"/>
                <w:sz w:val="22"/>
                <w:szCs w:val="22"/>
              </w:rPr>
              <w:t xml:space="preserve">121.97   </w:t>
            </w:r>
          </w:p>
        </w:tc>
      </w:tr>
    </w:tbl>
    <w:p w:rsidR="00C921C3" w:rsidRDefault="00C921C3" w:rsidP="00C921C3">
      <w:pPr>
        <w:rPr>
          <w:rFonts w:ascii="Arial" w:hAnsi="Arial" w:cs="Arial"/>
          <w:b/>
          <w:i/>
        </w:rPr>
      </w:pPr>
    </w:p>
    <w:p w:rsidR="00C921C3" w:rsidRDefault="00C921C3" w:rsidP="00C921C3">
      <w:pPr>
        <w:rPr>
          <w:rFonts w:ascii="Arial" w:hAnsi="Arial" w:cs="Arial"/>
          <w:b/>
          <w:i/>
        </w:rPr>
      </w:pPr>
    </w:p>
    <w:p w:rsidR="00C921C3" w:rsidRDefault="00C921C3" w:rsidP="00C921C3">
      <w:pPr>
        <w:rPr>
          <w:rFonts w:ascii="Arial" w:hAnsi="Arial" w:cs="Arial"/>
          <w:b/>
          <w:i/>
        </w:rPr>
      </w:pPr>
    </w:p>
    <w:p w:rsidR="00C921C3" w:rsidRDefault="00C921C3" w:rsidP="00C921C3">
      <w:pPr>
        <w:rPr>
          <w:rFonts w:ascii="Arial" w:hAnsi="Arial" w:cs="Arial"/>
          <w:b/>
          <w:i/>
        </w:rPr>
      </w:pPr>
    </w:p>
    <w:p w:rsidR="00C921C3" w:rsidRDefault="00C921C3" w:rsidP="00C921C3">
      <w:pPr>
        <w:pStyle w:val="BodyText"/>
        <w:jc w:val="center"/>
        <w:rPr>
          <w:i/>
        </w:rPr>
      </w:pPr>
      <w:r>
        <w:rPr>
          <w:noProof/>
          <w:lang w:val="en-US"/>
        </w:rPr>
        <w:drawing>
          <wp:inline distT="0" distB="0" distL="0" distR="0">
            <wp:extent cx="5762625" cy="4200525"/>
            <wp:effectExtent l="0" t="0" r="0"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i/>
        </w:rPr>
        <w:t xml:space="preserve">Grafikon 5. Grafički prikaz  odnosa  konsolidovanog domaćeg i inostranog duga lokalne samouprave </w:t>
      </w:r>
      <w:r w:rsidRPr="00D7648F">
        <w:rPr>
          <w:i/>
        </w:rPr>
        <w:t>na dan 31.12.2014. godine</w:t>
      </w:r>
    </w:p>
    <w:p w:rsidR="00C921C3" w:rsidRDefault="00C921C3" w:rsidP="00C921C3">
      <w:pPr>
        <w:pStyle w:val="BodyText"/>
        <w:jc w:val="center"/>
        <w:rPr>
          <w:i/>
        </w:rPr>
      </w:pPr>
    </w:p>
    <w:p w:rsidR="00C921C3" w:rsidRPr="00D7648F" w:rsidRDefault="00C921C3" w:rsidP="00C921C3">
      <w:pPr>
        <w:pStyle w:val="BodyText"/>
        <w:jc w:val="center"/>
        <w:rPr>
          <w:i/>
        </w:rPr>
      </w:pPr>
    </w:p>
    <w:p w:rsidR="00C921C3" w:rsidRDefault="00C921C3" w:rsidP="00C921C3">
      <w:pPr>
        <w:rPr>
          <w:rFonts w:ascii="Arial" w:hAnsi="Arial" w:cs="Arial"/>
          <w:b/>
          <w:sz w:val="28"/>
          <w:szCs w:val="28"/>
        </w:rPr>
      </w:pPr>
    </w:p>
    <w:p w:rsidR="00C921C3" w:rsidRPr="009B1F71" w:rsidRDefault="00C921C3" w:rsidP="0031253E">
      <w:pPr>
        <w:jc w:val="center"/>
        <w:rPr>
          <w:rFonts w:ascii="Arial" w:hAnsi="Arial" w:cs="Arial"/>
          <w:b/>
          <w:sz w:val="28"/>
          <w:szCs w:val="28"/>
        </w:rPr>
      </w:pPr>
      <w:bookmarkStart w:id="0" w:name="_GoBack"/>
      <w:bookmarkEnd w:id="0"/>
      <w:proofErr w:type="spellStart"/>
      <w:proofErr w:type="gramStart"/>
      <w:r w:rsidRPr="009B1F71">
        <w:rPr>
          <w:rFonts w:ascii="Arial" w:hAnsi="Arial" w:cs="Arial"/>
          <w:b/>
          <w:sz w:val="28"/>
          <w:szCs w:val="28"/>
        </w:rPr>
        <w:t>Kretanje</w:t>
      </w:r>
      <w:proofErr w:type="spellEnd"/>
      <w:r w:rsidRPr="009B1F71">
        <w:rPr>
          <w:rFonts w:ascii="Arial" w:hAnsi="Arial" w:cs="Arial"/>
          <w:b/>
          <w:sz w:val="28"/>
          <w:szCs w:val="28"/>
        </w:rPr>
        <w:t xml:space="preserve"> </w:t>
      </w:r>
      <w:proofErr w:type="spellStart"/>
      <w:r w:rsidRPr="009B1F71">
        <w:rPr>
          <w:rFonts w:ascii="Arial" w:hAnsi="Arial" w:cs="Arial"/>
          <w:b/>
          <w:sz w:val="28"/>
          <w:szCs w:val="28"/>
        </w:rPr>
        <w:t>državnih</w:t>
      </w:r>
      <w:proofErr w:type="spellEnd"/>
      <w:r w:rsidRPr="009B1F71">
        <w:rPr>
          <w:rFonts w:ascii="Arial" w:hAnsi="Arial" w:cs="Arial"/>
          <w:b/>
          <w:sz w:val="28"/>
          <w:szCs w:val="28"/>
        </w:rPr>
        <w:t xml:space="preserve"> </w:t>
      </w:r>
      <w:proofErr w:type="spellStart"/>
      <w:r w:rsidRPr="009B1F71">
        <w:rPr>
          <w:rFonts w:ascii="Arial" w:hAnsi="Arial" w:cs="Arial"/>
          <w:b/>
          <w:sz w:val="28"/>
          <w:szCs w:val="28"/>
        </w:rPr>
        <w:t>garancija</w:t>
      </w:r>
      <w:proofErr w:type="spellEnd"/>
      <w:r w:rsidRPr="009B1F71">
        <w:rPr>
          <w:rFonts w:ascii="Arial" w:hAnsi="Arial" w:cs="Arial"/>
          <w:b/>
          <w:sz w:val="28"/>
          <w:szCs w:val="28"/>
        </w:rPr>
        <w:t xml:space="preserve"> u </w:t>
      </w:r>
      <w:proofErr w:type="spellStart"/>
      <w:r w:rsidRPr="009B1F71">
        <w:rPr>
          <w:rFonts w:ascii="Arial" w:hAnsi="Arial" w:cs="Arial"/>
          <w:b/>
          <w:sz w:val="28"/>
          <w:szCs w:val="28"/>
        </w:rPr>
        <w:t>toku</w:t>
      </w:r>
      <w:proofErr w:type="spellEnd"/>
      <w:r w:rsidRPr="009B1F71">
        <w:rPr>
          <w:rFonts w:ascii="Arial" w:hAnsi="Arial" w:cs="Arial"/>
          <w:b/>
          <w:sz w:val="28"/>
          <w:szCs w:val="28"/>
        </w:rPr>
        <w:t xml:space="preserve"> 2014.</w:t>
      </w:r>
      <w:proofErr w:type="gramEnd"/>
      <w:r w:rsidRPr="009B1F71">
        <w:rPr>
          <w:rFonts w:ascii="Arial" w:hAnsi="Arial" w:cs="Arial"/>
          <w:b/>
          <w:sz w:val="28"/>
          <w:szCs w:val="28"/>
        </w:rPr>
        <w:t xml:space="preserve"> </w:t>
      </w:r>
      <w:proofErr w:type="spellStart"/>
      <w:proofErr w:type="gramStart"/>
      <w:r w:rsidRPr="009B1F71">
        <w:rPr>
          <w:rFonts w:ascii="Arial" w:hAnsi="Arial" w:cs="Arial"/>
          <w:b/>
          <w:sz w:val="28"/>
          <w:szCs w:val="28"/>
        </w:rPr>
        <w:t>godine</w:t>
      </w:r>
      <w:proofErr w:type="spellEnd"/>
      <w:proofErr w:type="gramEnd"/>
    </w:p>
    <w:p w:rsidR="00C921C3" w:rsidRPr="0088638D" w:rsidRDefault="00C921C3" w:rsidP="00C921C3">
      <w:pPr>
        <w:pStyle w:val="BodyText"/>
        <w:rPr>
          <w:rFonts w:ascii="Arial" w:hAnsi="Arial" w:cs="Arial"/>
        </w:rPr>
      </w:pPr>
    </w:p>
    <w:p w:rsidR="00C921C3" w:rsidRPr="0088638D" w:rsidRDefault="00C921C3" w:rsidP="00C921C3">
      <w:pPr>
        <w:ind w:firstLine="720"/>
        <w:jc w:val="both"/>
        <w:rPr>
          <w:rFonts w:ascii="Arial" w:hAnsi="Arial" w:cs="Arial"/>
          <w:lang w:val="it-IT"/>
        </w:rPr>
      </w:pPr>
      <w:r w:rsidRPr="0088638D">
        <w:rPr>
          <w:rFonts w:ascii="Arial" w:hAnsi="Arial" w:cs="Arial"/>
          <w:lang w:val="sr-Latn-CS"/>
        </w:rPr>
        <w:t>Stanje duga po osnovu Ugovorenih garancija ko</w:t>
      </w:r>
      <w:r>
        <w:rPr>
          <w:rFonts w:ascii="Arial" w:hAnsi="Arial" w:cs="Arial"/>
          <w:lang w:val="sr-Latn-CS"/>
        </w:rPr>
        <w:t>je je Vlada izdala na kraju 2014</w:t>
      </w:r>
      <w:r w:rsidRPr="0088638D">
        <w:rPr>
          <w:rFonts w:ascii="Arial" w:hAnsi="Arial" w:cs="Arial"/>
          <w:lang w:val="sr-Latn-CS"/>
        </w:rPr>
        <w:t xml:space="preserve">. godine iznosi </w:t>
      </w:r>
      <w:r>
        <w:rPr>
          <w:rFonts w:ascii="Arial" w:hAnsi="Arial" w:cs="Arial"/>
          <w:lang w:val="sr-Latn-CS"/>
        </w:rPr>
        <w:t>oko 494,40</w:t>
      </w:r>
      <w:r w:rsidRPr="0088638D">
        <w:rPr>
          <w:rFonts w:ascii="Arial" w:hAnsi="Arial" w:cs="Arial"/>
          <w:lang w:val="sr-Latn-CS"/>
        </w:rPr>
        <w:t xml:space="preserve"> miliona eura, od čega su povučena</w:t>
      </w:r>
      <w:r>
        <w:rPr>
          <w:rFonts w:ascii="Arial" w:hAnsi="Arial" w:cs="Arial"/>
          <w:lang w:val="sr-Latn-CS"/>
        </w:rPr>
        <w:t xml:space="preserve"> sredstva u iznosu od oko 395,97</w:t>
      </w:r>
      <w:r w:rsidRPr="0088638D">
        <w:rPr>
          <w:rFonts w:ascii="Arial" w:hAnsi="Arial" w:cs="Arial"/>
          <w:lang w:val="sr-Latn-CS"/>
        </w:rPr>
        <w:t xml:space="preserve"> mil. eura, a stanje duga na kraju </w:t>
      </w:r>
      <w:r>
        <w:rPr>
          <w:rFonts w:ascii="Arial" w:hAnsi="Arial" w:cs="Arial"/>
          <w:lang w:val="sr-Latn-CS"/>
        </w:rPr>
        <w:t>2014</w:t>
      </w:r>
      <w:r w:rsidRPr="0088638D">
        <w:rPr>
          <w:rFonts w:ascii="Arial" w:hAnsi="Arial" w:cs="Arial"/>
          <w:lang w:val="sr-Latn-CS"/>
        </w:rPr>
        <w:t>. godine, po garancijama izdatim domaći</w:t>
      </w:r>
      <w:r>
        <w:rPr>
          <w:rFonts w:ascii="Arial" w:hAnsi="Arial" w:cs="Arial"/>
          <w:lang w:val="sr-Latn-CS"/>
        </w:rPr>
        <w:t>m i ino kreditorima iznosi 307,54</w:t>
      </w:r>
      <w:r w:rsidRPr="0088638D">
        <w:rPr>
          <w:rFonts w:ascii="Arial" w:hAnsi="Arial" w:cs="Arial"/>
          <w:lang w:val="sr-Latn-CS"/>
        </w:rPr>
        <w:t xml:space="preserve"> mil. eura</w:t>
      </w:r>
      <w:r>
        <w:rPr>
          <w:rFonts w:ascii="Arial" w:hAnsi="Arial" w:cs="Arial"/>
          <w:lang w:val="sr-Latn-CS"/>
        </w:rPr>
        <w:t>, što predstavlja 9,06</w:t>
      </w:r>
      <w:r w:rsidRPr="0088638D">
        <w:rPr>
          <w:rFonts w:ascii="Arial" w:hAnsi="Arial" w:cs="Arial"/>
          <w:lang w:val="sr-Latn-CS"/>
        </w:rPr>
        <w:t>%BDP-a.</w:t>
      </w:r>
    </w:p>
    <w:p w:rsidR="00C921C3" w:rsidRPr="0088638D" w:rsidRDefault="00C921C3" w:rsidP="00C921C3">
      <w:pPr>
        <w:jc w:val="both"/>
        <w:rPr>
          <w:rFonts w:ascii="Arial" w:hAnsi="Arial" w:cs="Arial"/>
          <w:lang w:val="it-IT"/>
        </w:rPr>
      </w:pPr>
    </w:p>
    <w:p w:rsidR="00C921C3" w:rsidRPr="0088638D" w:rsidRDefault="00C921C3" w:rsidP="00C921C3">
      <w:pPr>
        <w:ind w:firstLine="720"/>
        <w:jc w:val="both"/>
        <w:rPr>
          <w:rFonts w:ascii="Arial" w:hAnsi="Arial" w:cs="Arial"/>
          <w:lang w:val="sr-Latn-CS"/>
        </w:rPr>
      </w:pPr>
      <w:r w:rsidRPr="0088638D">
        <w:rPr>
          <w:rFonts w:ascii="Arial" w:hAnsi="Arial" w:cs="Arial"/>
          <w:lang w:val="it-IT"/>
        </w:rPr>
        <w:t>Domaće garancije su uglavnom predstavljale podršku kompanijama za realizaciju određenih socijalnih aktivnosti i kao podrška realizaciji programa restrukturiranja, dok su ino garancije u prethodnom periodu date za kredite kojim su implementirani razni infrastrukturni projekti, obezbje</w:t>
      </w:r>
      <w:r w:rsidRPr="0088638D">
        <w:rPr>
          <w:rFonts w:ascii="Arial" w:hAnsi="Arial" w:cs="Arial"/>
          <w:lang w:val="sr-Latn-CS"/>
        </w:rPr>
        <w:t xml:space="preserve">đivana podrška razvoju malih i srednjih preduzeća kroz kredit Evropske investicione banke odobren </w:t>
      </w:r>
      <w:r w:rsidRPr="0088638D">
        <w:rPr>
          <w:rFonts w:ascii="Arial" w:hAnsi="Arial" w:cs="Arial"/>
          <w:lang w:val="sr-Latn-CS"/>
        </w:rPr>
        <w:lastRenderedPageBreak/>
        <w:t>bankarskom sektoru u Crnoj Gori. Osim toga, nekim preduzećima su izdate i ino garancije  u cilju podrške za restrukturiranja.</w:t>
      </w:r>
    </w:p>
    <w:p w:rsidR="00C921C3" w:rsidRPr="0088638D" w:rsidRDefault="00C921C3" w:rsidP="00C921C3">
      <w:pPr>
        <w:jc w:val="both"/>
        <w:rPr>
          <w:rFonts w:ascii="Arial" w:hAnsi="Arial" w:cs="Arial"/>
          <w:lang w:val="sr-Latn-CS"/>
        </w:rPr>
      </w:pPr>
    </w:p>
    <w:p w:rsidR="00C921C3" w:rsidRPr="00CD5840" w:rsidRDefault="00C921C3" w:rsidP="00C921C3">
      <w:pPr>
        <w:pStyle w:val="BodyText"/>
        <w:ind w:firstLine="720"/>
        <w:rPr>
          <w:rFonts w:ascii="Arial" w:hAnsi="Arial" w:cs="Arial"/>
        </w:rPr>
      </w:pPr>
      <w:r w:rsidRPr="00CD5840">
        <w:rPr>
          <w:rFonts w:ascii="Arial" w:hAnsi="Arial" w:cs="Arial"/>
        </w:rPr>
        <w:t>Angažovani iznos garancija koje je Vlada Crne Gore izdala za zajmove kod ino kreditora  iznosi oko 384,2</w:t>
      </w:r>
      <w:r>
        <w:rPr>
          <w:rFonts w:ascii="Arial" w:hAnsi="Arial" w:cs="Arial"/>
        </w:rPr>
        <w:t>2</w:t>
      </w:r>
      <w:r w:rsidRPr="00CD5840">
        <w:rPr>
          <w:rFonts w:ascii="Arial" w:hAnsi="Arial" w:cs="Arial"/>
        </w:rPr>
        <w:t xml:space="preserve"> mil. eura, dok je stanje duga po istim 298,6</w:t>
      </w:r>
      <w:r>
        <w:rPr>
          <w:rFonts w:ascii="Arial" w:hAnsi="Arial" w:cs="Arial"/>
        </w:rPr>
        <w:t>0</w:t>
      </w:r>
      <w:r w:rsidRPr="00CD5840">
        <w:rPr>
          <w:rFonts w:ascii="Arial" w:hAnsi="Arial" w:cs="Arial"/>
        </w:rPr>
        <w:t xml:space="preserve"> mil. eura ili 8,8</w:t>
      </w:r>
      <w:r>
        <w:rPr>
          <w:rFonts w:ascii="Arial" w:hAnsi="Arial" w:cs="Arial"/>
        </w:rPr>
        <w:t>0</w:t>
      </w:r>
      <w:r w:rsidRPr="00CD5840">
        <w:rPr>
          <w:rFonts w:ascii="Arial" w:hAnsi="Arial" w:cs="Arial"/>
        </w:rPr>
        <w:t xml:space="preserve"> </w:t>
      </w:r>
      <w:r>
        <w:rPr>
          <w:rFonts w:ascii="Arial" w:hAnsi="Arial" w:cs="Arial"/>
        </w:rPr>
        <w:t>% BDP-a.</w:t>
      </w:r>
    </w:p>
    <w:p w:rsidR="00C921C3" w:rsidRPr="00CD5840" w:rsidRDefault="00C921C3" w:rsidP="00C921C3">
      <w:pPr>
        <w:tabs>
          <w:tab w:val="left" w:pos="915"/>
        </w:tabs>
        <w:jc w:val="both"/>
        <w:rPr>
          <w:rFonts w:ascii="Arial" w:hAnsi="Arial" w:cs="Arial"/>
        </w:rPr>
      </w:pPr>
    </w:p>
    <w:p w:rsidR="00C921C3" w:rsidRPr="00CD5840" w:rsidRDefault="00C921C3" w:rsidP="00C921C3">
      <w:pPr>
        <w:pStyle w:val="BodyText"/>
        <w:rPr>
          <w:rFonts w:ascii="Arial" w:hAnsi="Arial" w:cs="Arial"/>
          <w:u w:val="single"/>
        </w:rPr>
      </w:pPr>
      <w:r>
        <w:rPr>
          <w:rFonts w:ascii="Arial" w:hAnsi="Arial" w:cs="Arial"/>
          <w:u w:val="single"/>
        </w:rPr>
        <w:t>Tabela 5</w:t>
      </w:r>
      <w:r w:rsidRPr="00CD5840">
        <w:rPr>
          <w:rFonts w:ascii="Arial" w:hAnsi="Arial" w:cs="Arial"/>
          <w:u w:val="single"/>
        </w:rPr>
        <w:t xml:space="preserve">. Izdate ino garancije </w:t>
      </w:r>
      <w:r w:rsidRPr="00207F25">
        <w:rPr>
          <w:rFonts w:ascii="Arial" w:hAnsi="Arial" w:cs="Arial"/>
          <w:u w:val="single"/>
        </w:rPr>
        <w:t>(u mil. eura)</w:t>
      </w:r>
    </w:p>
    <w:tbl>
      <w:tblPr>
        <w:tblW w:w="5575" w:type="pct"/>
        <w:tblInd w:w="-540" w:type="dxa"/>
        <w:tblLayout w:type="fixed"/>
        <w:tblCellMar>
          <w:left w:w="70" w:type="dxa"/>
          <w:right w:w="70" w:type="dxa"/>
        </w:tblCellMar>
        <w:tblLook w:val="04A0" w:firstRow="1" w:lastRow="0" w:firstColumn="1" w:lastColumn="0" w:noHBand="0" w:noVBand="1"/>
      </w:tblPr>
      <w:tblGrid>
        <w:gridCol w:w="993"/>
        <w:gridCol w:w="1656"/>
        <w:gridCol w:w="1202"/>
        <w:gridCol w:w="1290"/>
        <w:gridCol w:w="1545"/>
        <w:gridCol w:w="1545"/>
        <w:gridCol w:w="1559"/>
      </w:tblGrid>
      <w:tr w:rsidR="00C921C3" w:rsidRPr="00CD5840" w:rsidTr="00760A53">
        <w:trPr>
          <w:trHeight w:val="993"/>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proofErr w:type="spellStart"/>
            <w:r w:rsidRPr="00CD5840">
              <w:rPr>
                <w:rFonts w:ascii="Arial" w:hAnsi="Arial" w:cs="Arial"/>
                <w:b/>
                <w:bCs/>
                <w:sz w:val="20"/>
                <w:szCs w:val="20"/>
              </w:rPr>
              <w:t>Kreditor</w:t>
            </w:r>
            <w:proofErr w:type="spellEnd"/>
          </w:p>
        </w:tc>
        <w:tc>
          <w:tcPr>
            <w:tcW w:w="846"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Zajam</w:t>
            </w:r>
            <w:proofErr w:type="spellEnd"/>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Zajmoprimac</w:t>
            </w:r>
            <w:proofErr w:type="spellEnd"/>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Godina</w:t>
            </w:r>
            <w:proofErr w:type="spellEnd"/>
            <w:r>
              <w:rPr>
                <w:rFonts w:ascii="Arial" w:hAnsi="Arial" w:cs="Arial"/>
                <w:sz w:val="20"/>
                <w:szCs w:val="20"/>
              </w:rPr>
              <w:t xml:space="preserve"> </w:t>
            </w:r>
            <w:proofErr w:type="spellStart"/>
            <w:r w:rsidRPr="00CD5840">
              <w:rPr>
                <w:rFonts w:ascii="Arial" w:hAnsi="Arial" w:cs="Arial"/>
                <w:sz w:val="20"/>
                <w:szCs w:val="20"/>
              </w:rPr>
              <w:t>potpisivanja</w:t>
            </w:r>
            <w:proofErr w:type="spellEnd"/>
            <w:r w:rsidRPr="00CD5840">
              <w:rPr>
                <w:rFonts w:ascii="Arial" w:hAnsi="Arial" w:cs="Arial"/>
                <w:sz w:val="20"/>
                <w:szCs w:val="20"/>
              </w:rPr>
              <w:t>.</w:t>
            </w:r>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Ugovoreni</w:t>
            </w:r>
            <w:proofErr w:type="spellEnd"/>
            <w:r>
              <w:rPr>
                <w:rFonts w:ascii="Arial" w:hAnsi="Arial" w:cs="Arial"/>
                <w:sz w:val="20"/>
                <w:szCs w:val="20"/>
              </w:rPr>
              <w:t xml:space="preserve"> </w:t>
            </w:r>
            <w:proofErr w:type="spellStart"/>
            <w:r w:rsidRPr="00CD5840">
              <w:rPr>
                <w:rFonts w:ascii="Arial" w:hAnsi="Arial" w:cs="Arial"/>
                <w:sz w:val="20"/>
                <w:szCs w:val="20"/>
              </w:rPr>
              <w:t>iznos</w:t>
            </w:r>
            <w:proofErr w:type="spellEnd"/>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Angažovani</w:t>
            </w:r>
            <w:proofErr w:type="spellEnd"/>
            <w:r>
              <w:rPr>
                <w:rFonts w:ascii="Arial" w:hAnsi="Arial" w:cs="Arial"/>
                <w:sz w:val="20"/>
                <w:szCs w:val="20"/>
              </w:rPr>
              <w:t xml:space="preserve"> </w:t>
            </w:r>
            <w:proofErr w:type="spellStart"/>
            <w:r w:rsidRPr="00CD5840">
              <w:rPr>
                <w:rFonts w:ascii="Arial" w:hAnsi="Arial" w:cs="Arial"/>
                <w:sz w:val="20"/>
                <w:szCs w:val="20"/>
              </w:rPr>
              <w:t>iznos</w:t>
            </w:r>
            <w:proofErr w:type="spellEnd"/>
          </w:p>
          <w:p w:rsidR="00C921C3" w:rsidRPr="00CD5840" w:rsidRDefault="00C921C3" w:rsidP="00760A53">
            <w:pPr>
              <w:jc w:val="center"/>
              <w:rPr>
                <w:rFonts w:ascii="Arial" w:hAnsi="Arial" w:cs="Arial"/>
                <w:sz w:val="20"/>
                <w:szCs w:val="20"/>
              </w:rPr>
            </w:pPr>
            <w:r w:rsidRPr="00CD5840">
              <w:rPr>
                <w:rFonts w:ascii="Arial" w:hAnsi="Arial" w:cs="Arial"/>
                <w:sz w:val="20"/>
                <w:szCs w:val="20"/>
              </w:rPr>
              <w:t>31.12.2014.</w:t>
            </w:r>
          </w:p>
        </w:tc>
        <w:tc>
          <w:tcPr>
            <w:tcW w:w="796" w:type="pct"/>
            <w:tcBorders>
              <w:top w:val="single" w:sz="4" w:space="0" w:color="auto"/>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Stanje</w:t>
            </w:r>
            <w:proofErr w:type="spellEnd"/>
            <w:r>
              <w:rPr>
                <w:rFonts w:ascii="Arial" w:hAnsi="Arial" w:cs="Arial"/>
                <w:sz w:val="20"/>
                <w:szCs w:val="20"/>
              </w:rPr>
              <w:t xml:space="preserve"> </w:t>
            </w:r>
            <w:proofErr w:type="spellStart"/>
            <w:r w:rsidRPr="00CD5840">
              <w:rPr>
                <w:rFonts w:ascii="Arial" w:hAnsi="Arial" w:cs="Arial"/>
                <w:sz w:val="20"/>
                <w:szCs w:val="20"/>
              </w:rPr>
              <w:t>duga</w:t>
            </w:r>
            <w:proofErr w:type="spellEnd"/>
          </w:p>
          <w:p w:rsidR="00C921C3" w:rsidRPr="00CD5840" w:rsidRDefault="00C921C3" w:rsidP="00760A53">
            <w:pPr>
              <w:jc w:val="center"/>
              <w:rPr>
                <w:rFonts w:ascii="Arial" w:hAnsi="Arial" w:cs="Arial"/>
                <w:sz w:val="20"/>
                <w:szCs w:val="20"/>
              </w:rPr>
            </w:pPr>
            <w:r w:rsidRPr="00CD5840">
              <w:rPr>
                <w:rFonts w:ascii="Arial" w:hAnsi="Arial" w:cs="Arial"/>
                <w:sz w:val="20"/>
                <w:szCs w:val="20"/>
              </w:rPr>
              <w:t>31.12.2014.</w:t>
            </w:r>
          </w:p>
        </w:tc>
      </w:tr>
      <w:tr w:rsidR="00C921C3" w:rsidRPr="00CD5840" w:rsidTr="00760A53">
        <w:trPr>
          <w:trHeight w:val="1477"/>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t>EIB</w:t>
            </w:r>
          </w:p>
        </w:tc>
        <w:tc>
          <w:tcPr>
            <w:tcW w:w="846"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Projekatevropskihputeva</w:t>
            </w:r>
            <w:proofErr w:type="spellEnd"/>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Monteput</w:t>
            </w:r>
            <w:proofErr w:type="spellEnd"/>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17.05.2004.</w:t>
            </w:r>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24,000,000.00</w:t>
            </w:r>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24.000.000,00</w:t>
            </w:r>
          </w:p>
        </w:tc>
        <w:tc>
          <w:tcPr>
            <w:tcW w:w="796" w:type="pct"/>
            <w:tcBorders>
              <w:top w:val="single" w:sz="4" w:space="0" w:color="auto"/>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20.146.680,81</w:t>
            </w:r>
          </w:p>
        </w:tc>
      </w:tr>
      <w:tr w:rsidR="00C921C3" w:rsidRPr="00CD5840" w:rsidTr="00760A53">
        <w:trPr>
          <w:trHeight w:val="1477"/>
        </w:trPr>
        <w:tc>
          <w:tcPr>
            <w:tcW w:w="507" w:type="pct"/>
            <w:tcBorders>
              <w:top w:val="nil"/>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t>EIB</w:t>
            </w:r>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Rekonstrukcijaelektroenergetskogsistema</w:t>
            </w:r>
            <w:proofErr w:type="spellEnd"/>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Elektroprivreda</w:t>
            </w:r>
            <w:proofErr w:type="spellEnd"/>
            <w:r w:rsidRPr="00CD5840">
              <w:rPr>
                <w:rFonts w:ascii="Arial" w:hAnsi="Arial" w:cs="Arial"/>
                <w:sz w:val="20"/>
                <w:szCs w:val="20"/>
              </w:rPr>
              <w:t xml:space="preserve"> CG AD</w:t>
            </w:r>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15.08.2002.</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11,000,000.00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8.023.090,00</w:t>
            </w:r>
          </w:p>
        </w:tc>
        <w:tc>
          <w:tcPr>
            <w:tcW w:w="796" w:type="pct"/>
            <w:tcBorders>
              <w:top w:val="nil"/>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5.439.460,00</w:t>
            </w:r>
          </w:p>
        </w:tc>
      </w:tr>
      <w:tr w:rsidR="00C921C3" w:rsidRPr="00CD5840" w:rsidTr="00760A53">
        <w:trPr>
          <w:trHeight w:val="1477"/>
        </w:trPr>
        <w:tc>
          <w:tcPr>
            <w:tcW w:w="507" w:type="pct"/>
            <w:tcBorders>
              <w:top w:val="nil"/>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t>EIB</w:t>
            </w:r>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Modernizacijaaerodroma</w:t>
            </w:r>
            <w:proofErr w:type="spellEnd"/>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 xml:space="preserve">JP </w:t>
            </w:r>
            <w:proofErr w:type="spellStart"/>
            <w:r w:rsidRPr="00CD5840">
              <w:rPr>
                <w:rFonts w:ascii="Arial" w:hAnsi="Arial" w:cs="Arial"/>
                <w:sz w:val="20"/>
                <w:szCs w:val="20"/>
              </w:rPr>
              <w:t>AerodromiCrne</w:t>
            </w:r>
            <w:proofErr w:type="spellEnd"/>
            <w:r w:rsidRPr="00CD5840">
              <w:rPr>
                <w:rFonts w:ascii="Arial" w:hAnsi="Arial" w:cs="Arial"/>
                <w:sz w:val="20"/>
                <w:szCs w:val="20"/>
              </w:rPr>
              <w:t xml:space="preserve"> Gore</w:t>
            </w:r>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27.03.2004.</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12,000,000.00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12.000.000,00</w:t>
            </w:r>
          </w:p>
        </w:tc>
        <w:tc>
          <w:tcPr>
            <w:tcW w:w="796" w:type="pct"/>
            <w:tcBorders>
              <w:top w:val="nil"/>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9.066.666,65</w:t>
            </w:r>
          </w:p>
        </w:tc>
      </w:tr>
      <w:tr w:rsidR="00C921C3" w:rsidRPr="00CD5840" w:rsidTr="00760A53">
        <w:trPr>
          <w:trHeight w:val="1477"/>
        </w:trPr>
        <w:tc>
          <w:tcPr>
            <w:tcW w:w="507" w:type="pct"/>
            <w:tcBorders>
              <w:top w:val="nil"/>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t>EIB</w:t>
            </w:r>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 xml:space="preserve">Mala i </w:t>
            </w:r>
            <w:proofErr w:type="spellStart"/>
            <w:r w:rsidRPr="00CD5840">
              <w:rPr>
                <w:rFonts w:ascii="Arial" w:hAnsi="Arial" w:cs="Arial"/>
                <w:sz w:val="20"/>
                <w:szCs w:val="20"/>
              </w:rPr>
              <w:t>srednjapreduzećaprekoposlovnihbanaka</w:t>
            </w:r>
            <w:proofErr w:type="spellEnd"/>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Poslovnebanke</w:t>
            </w:r>
            <w:proofErr w:type="spellEnd"/>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02.07.2009.</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90,000,000.00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90.000.000,00</w:t>
            </w:r>
          </w:p>
        </w:tc>
        <w:tc>
          <w:tcPr>
            <w:tcW w:w="796" w:type="pct"/>
            <w:tcBorders>
              <w:top w:val="nil"/>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66.984.872,16</w:t>
            </w:r>
          </w:p>
        </w:tc>
      </w:tr>
      <w:tr w:rsidR="00C921C3" w:rsidRPr="00CD5840" w:rsidTr="00760A53">
        <w:trPr>
          <w:trHeight w:val="493"/>
        </w:trPr>
        <w:tc>
          <w:tcPr>
            <w:tcW w:w="507" w:type="pct"/>
            <w:tcBorders>
              <w:top w:val="nil"/>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t>EIB</w:t>
            </w:r>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Modernizacijaželjezničkeinfrastrukture</w:t>
            </w:r>
            <w:proofErr w:type="spellEnd"/>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ZICG</w:t>
            </w:r>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20.12.2010.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7,000,000.00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2.134.000,00</w:t>
            </w:r>
          </w:p>
        </w:tc>
        <w:tc>
          <w:tcPr>
            <w:tcW w:w="796" w:type="pct"/>
            <w:tcBorders>
              <w:top w:val="nil"/>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2.134.000,00</w:t>
            </w:r>
          </w:p>
        </w:tc>
      </w:tr>
      <w:tr w:rsidR="00C921C3" w:rsidRPr="00CD5840" w:rsidTr="00760A53">
        <w:trPr>
          <w:trHeight w:val="1477"/>
        </w:trPr>
        <w:tc>
          <w:tcPr>
            <w:tcW w:w="507" w:type="pct"/>
            <w:tcBorders>
              <w:top w:val="nil"/>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t>EBRD</w:t>
            </w:r>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Modernizacijaaerodroma</w:t>
            </w:r>
            <w:proofErr w:type="spellEnd"/>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 xml:space="preserve">JP </w:t>
            </w:r>
            <w:proofErr w:type="spellStart"/>
            <w:r w:rsidRPr="00CD5840">
              <w:rPr>
                <w:rFonts w:ascii="Arial" w:hAnsi="Arial" w:cs="Arial"/>
                <w:sz w:val="20"/>
                <w:szCs w:val="20"/>
              </w:rPr>
              <w:t>AerodromiCrne</w:t>
            </w:r>
            <w:proofErr w:type="spellEnd"/>
            <w:r w:rsidRPr="00CD5840">
              <w:rPr>
                <w:rFonts w:ascii="Arial" w:hAnsi="Arial" w:cs="Arial"/>
                <w:sz w:val="20"/>
                <w:szCs w:val="20"/>
              </w:rPr>
              <w:t xml:space="preserve"> Gore</w:t>
            </w:r>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12.12.2003.</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11,000,000.00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10.236.006,07</w:t>
            </w:r>
          </w:p>
        </w:tc>
        <w:tc>
          <w:tcPr>
            <w:tcW w:w="796" w:type="pct"/>
            <w:tcBorders>
              <w:top w:val="nil"/>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3.415.032,10</w:t>
            </w:r>
          </w:p>
        </w:tc>
      </w:tr>
      <w:tr w:rsidR="00C921C3" w:rsidRPr="00CD5840" w:rsidTr="00760A53">
        <w:trPr>
          <w:trHeight w:val="1477"/>
        </w:trPr>
        <w:tc>
          <w:tcPr>
            <w:tcW w:w="5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t>EBRD</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Projekatizgradnjeregionalnogvodovoda</w:t>
            </w:r>
            <w:proofErr w:type="spellEnd"/>
            <w:r w:rsidRPr="00CD5840">
              <w:rPr>
                <w:rFonts w:ascii="Arial" w:hAnsi="Arial" w:cs="Arial"/>
                <w:sz w:val="20"/>
                <w:szCs w:val="20"/>
              </w:rPr>
              <w:t xml:space="preserve"> - </w:t>
            </w:r>
            <w:proofErr w:type="spellStart"/>
            <w:r w:rsidRPr="00CD5840">
              <w:rPr>
                <w:rFonts w:ascii="Arial" w:hAnsi="Arial" w:cs="Arial"/>
                <w:sz w:val="20"/>
                <w:szCs w:val="20"/>
              </w:rPr>
              <w:t>južnikrakfaza</w:t>
            </w:r>
            <w:proofErr w:type="spellEnd"/>
            <w:r w:rsidRPr="00CD5840">
              <w:rPr>
                <w:rFonts w:ascii="Arial" w:hAnsi="Arial" w:cs="Arial"/>
                <w:sz w:val="20"/>
                <w:szCs w:val="20"/>
              </w:rPr>
              <w:t xml:space="preserve"> I</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 xml:space="preserve">JP </w:t>
            </w:r>
            <w:proofErr w:type="spellStart"/>
            <w:r w:rsidRPr="00CD5840">
              <w:rPr>
                <w:rFonts w:ascii="Arial" w:hAnsi="Arial" w:cs="Arial"/>
                <w:sz w:val="20"/>
                <w:szCs w:val="20"/>
              </w:rPr>
              <w:t>Regionalnivodovod</w:t>
            </w:r>
            <w:proofErr w:type="spellEnd"/>
            <w:r w:rsidRPr="00CD5840">
              <w:rPr>
                <w:rFonts w:ascii="Arial" w:hAnsi="Arial" w:cs="Arial"/>
                <w:sz w:val="20"/>
                <w:szCs w:val="20"/>
              </w:rPr>
              <w:t xml:space="preserve"> - </w:t>
            </w:r>
            <w:proofErr w:type="spellStart"/>
            <w:r w:rsidRPr="00CD5840">
              <w:rPr>
                <w:rFonts w:ascii="Arial" w:hAnsi="Arial" w:cs="Arial"/>
                <w:sz w:val="20"/>
                <w:szCs w:val="20"/>
              </w:rPr>
              <w:t>prvatranša</w:t>
            </w:r>
            <w:proofErr w:type="spellEnd"/>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09.11.2007.</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8,000,000.00</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8.000.000,00</w:t>
            </w:r>
          </w:p>
        </w:tc>
        <w:tc>
          <w:tcPr>
            <w:tcW w:w="79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12.416.666,67</w:t>
            </w:r>
          </w:p>
        </w:tc>
      </w:tr>
      <w:tr w:rsidR="00C921C3" w:rsidRPr="00CD5840" w:rsidTr="00760A53">
        <w:trPr>
          <w:trHeight w:val="1477"/>
        </w:trPr>
        <w:tc>
          <w:tcPr>
            <w:tcW w:w="5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Projekatizgradnjeregionalnogvodovoda</w:t>
            </w:r>
            <w:proofErr w:type="spellEnd"/>
            <w:r w:rsidRPr="00CD5840">
              <w:rPr>
                <w:rFonts w:ascii="Arial" w:hAnsi="Arial" w:cs="Arial"/>
                <w:sz w:val="20"/>
                <w:szCs w:val="20"/>
              </w:rPr>
              <w:t xml:space="preserve"> - </w:t>
            </w:r>
            <w:proofErr w:type="spellStart"/>
            <w:r w:rsidRPr="00CD5840">
              <w:rPr>
                <w:rFonts w:ascii="Arial" w:hAnsi="Arial" w:cs="Arial"/>
                <w:sz w:val="20"/>
                <w:szCs w:val="20"/>
              </w:rPr>
              <w:t>južnikrakfaza</w:t>
            </w:r>
            <w:proofErr w:type="spellEnd"/>
            <w:r w:rsidRPr="00CD5840">
              <w:rPr>
                <w:rFonts w:ascii="Arial" w:hAnsi="Arial" w:cs="Arial"/>
                <w:sz w:val="20"/>
                <w:szCs w:val="20"/>
              </w:rPr>
              <w:t xml:space="preserve"> II</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 xml:space="preserve">JP </w:t>
            </w:r>
            <w:proofErr w:type="spellStart"/>
            <w:r w:rsidRPr="00CD5840">
              <w:rPr>
                <w:rFonts w:ascii="Arial" w:hAnsi="Arial" w:cs="Arial"/>
                <w:sz w:val="20"/>
                <w:szCs w:val="20"/>
              </w:rPr>
              <w:t>Regionalnivodovod</w:t>
            </w:r>
            <w:proofErr w:type="spellEnd"/>
            <w:r w:rsidRPr="00CD5840">
              <w:rPr>
                <w:rFonts w:ascii="Arial" w:hAnsi="Arial" w:cs="Arial"/>
                <w:sz w:val="20"/>
                <w:szCs w:val="20"/>
              </w:rPr>
              <w:t xml:space="preserve"> - </w:t>
            </w:r>
            <w:proofErr w:type="spellStart"/>
            <w:r w:rsidRPr="00CD5840">
              <w:rPr>
                <w:rFonts w:ascii="Arial" w:hAnsi="Arial" w:cs="Arial"/>
                <w:sz w:val="20"/>
                <w:szCs w:val="20"/>
              </w:rPr>
              <w:t>drugatranša</w:t>
            </w:r>
            <w:proofErr w:type="spellEnd"/>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16.05.2008.</w:t>
            </w:r>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7,000,000.00</w:t>
            </w:r>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7.000.000,00</w:t>
            </w:r>
          </w:p>
        </w:tc>
        <w:tc>
          <w:tcPr>
            <w:tcW w:w="796"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p>
        </w:tc>
      </w:tr>
      <w:tr w:rsidR="00C921C3" w:rsidRPr="00CD5840" w:rsidTr="00760A53">
        <w:trPr>
          <w:trHeight w:val="1477"/>
        </w:trPr>
        <w:tc>
          <w:tcPr>
            <w:tcW w:w="5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p>
        </w:tc>
        <w:tc>
          <w:tcPr>
            <w:tcW w:w="846" w:type="pct"/>
            <w:tcBorders>
              <w:top w:val="nil"/>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Projekatizgradnjeregionalnogvodovoda</w:t>
            </w:r>
            <w:proofErr w:type="spellEnd"/>
            <w:r w:rsidRPr="00CD5840">
              <w:rPr>
                <w:rFonts w:ascii="Arial" w:hAnsi="Arial" w:cs="Arial"/>
                <w:sz w:val="20"/>
                <w:szCs w:val="20"/>
              </w:rPr>
              <w:t xml:space="preserve"> - </w:t>
            </w:r>
            <w:proofErr w:type="spellStart"/>
            <w:r w:rsidRPr="00CD5840">
              <w:rPr>
                <w:rFonts w:ascii="Arial" w:hAnsi="Arial" w:cs="Arial"/>
                <w:sz w:val="20"/>
                <w:szCs w:val="20"/>
              </w:rPr>
              <w:t>južnikrakfaza</w:t>
            </w:r>
            <w:proofErr w:type="spellEnd"/>
            <w:r w:rsidRPr="00CD5840">
              <w:rPr>
                <w:rFonts w:ascii="Arial" w:hAnsi="Arial" w:cs="Arial"/>
                <w:sz w:val="20"/>
                <w:szCs w:val="20"/>
              </w:rPr>
              <w:t xml:space="preserve"> I - </w:t>
            </w:r>
            <w:proofErr w:type="spellStart"/>
            <w:r w:rsidRPr="00CD5840">
              <w:rPr>
                <w:rFonts w:ascii="Arial" w:hAnsi="Arial" w:cs="Arial"/>
                <w:sz w:val="20"/>
                <w:szCs w:val="20"/>
              </w:rPr>
              <w:t>Anex</w:t>
            </w:r>
            <w:proofErr w:type="spellEnd"/>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 xml:space="preserve">JP </w:t>
            </w:r>
            <w:proofErr w:type="spellStart"/>
            <w:r w:rsidRPr="00CD5840">
              <w:rPr>
                <w:rFonts w:ascii="Arial" w:hAnsi="Arial" w:cs="Arial"/>
                <w:sz w:val="20"/>
                <w:szCs w:val="20"/>
              </w:rPr>
              <w:t>Regionalnivodovod</w:t>
            </w:r>
            <w:proofErr w:type="spellEnd"/>
            <w:r w:rsidRPr="00CD5840">
              <w:rPr>
                <w:rFonts w:ascii="Arial" w:hAnsi="Arial" w:cs="Arial"/>
                <w:sz w:val="20"/>
                <w:szCs w:val="20"/>
              </w:rPr>
              <w:t xml:space="preserve"> - </w:t>
            </w:r>
            <w:proofErr w:type="spellStart"/>
            <w:r w:rsidRPr="00CD5840">
              <w:rPr>
                <w:rFonts w:ascii="Arial" w:hAnsi="Arial" w:cs="Arial"/>
                <w:sz w:val="20"/>
                <w:szCs w:val="20"/>
              </w:rPr>
              <w:t>prosirenjedrugetranse</w:t>
            </w:r>
            <w:proofErr w:type="spellEnd"/>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10.07.2009.</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3,000,000.00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3.000.000,00</w:t>
            </w:r>
          </w:p>
        </w:tc>
        <w:tc>
          <w:tcPr>
            <w:tcW w:w="796"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p>
        </w:tc>
      </w:tr>
      <w:tr w:rsidR="00C921C3" w:rsidRPr="00CD5840" w:rsidTr="00760A53">
        <w:trPr>
          <w:trHeight w:val="1477"/>
        </w:trPr>
        <w:tc>
          <w:tcPr>
            <w:tcW w:w="50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t>EBRD</w:t>
            </w:r>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Projekatobnoveželjezničkeinfrastrukture</w:t>
            </w:r>
            <w:proofErr w:type="spellEnd"/>
            <w:r w:rsidRPr="00CD5840">
              <w:rPr>
                <w:rFonts w:ascii="Arial" w:hAnsi="Arial" w:cs="Arial"/>
                <w:sz w:val="20"/>
                <w:szCs w:val="20"/>
              </w:rPr>
              <w:t xml:space="preserve"> - </w:t>
            </w:r>
            <w:proofErr w:type="spellStart"/>
            <w:r w:rsidRPr="00CD5840">
              <w:rPr>
                <w:rFonts w:ascii="Arial" w:hAnsi="Arial" w:cs="Arial"/>
                <w:sz w:val="20"/>
                <w:szCs w:val="20"/>
              </w:rPr>
              <w:t>Faza</w:t>
            </w:r>
            <w:proofErr w:type="spellEnd"/>
            <w:r w:rsidRPr="00CD5840">
              <w:rPr>
                <w:rFonts w:ascii="Arial" w:hAnsi="Arial" w:cs="Arial"/>
                <w:sz w:val="20"/>
                <w:szCs w:val="20"/>
              </w:rPr>
              <w:t xml:space="preserve"> III</w:t>
            </w:r>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 xml:space="preserve">JP </w:t>
            </w:r>
            <w:proofErr w:type="spellStart"/>
            <w:r w:rsidRPr="00CD5840">
              <w:rPr>
                <w:rFonts w:ascii="Arial" w:hAnsi="Arial" w:cs="Arial"/>
                <w:sz w:val="20"/>
                <w:szCs w:val="20"/>
              </w:rPr>
              <w:t>Željeznice</w:t>
            </w:r>
            <w:proofErr w:type="spellEnd"/>
            <w:r w:rsidRPr="00CD5840">
              <w:rPr>
                <w:rFonts w:ascii="Arial" w:hAnsi="Arial" w:cs="Arial"/>
                <w:sz w:val="20"/>
                <w:szCs w:val="20"/>
              </w:rPr>
              <w:t xml:space="preserve"> CG - </w:t>
            </w:r>
            <w:proofErr w:type="spellStart"/>
            <w:r w:rsidRPr="00CD5840">
              <w:rPr>
                <w:rFonts w:ascii="Arial" w:hAnsi="Arial" w:cs="Arial"/>
                <w:sz w:val="20"/>
                <w:szCs w:val="20"/>
              </w:rPr>
              <w:t>trećatranša</w:t>
            </w:r>
            <w:proofErr w:type="spellEnd"/>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08.11.2010.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4,000,000.00</w:t>
            </w:r>
          </w:p>
        </w:tc>
        <w:tc>
          <w:tcPr>
            <w:tcW w:w="789" w:type="pct"/>
            <w:vMerge w:val="restart"/>
            <w:tcBorders>
              <w:top w:val="nil"/>
              <w:left w:val="single" w:sz="4" w:space="0" w:color="auto"/>
              <w:bottom w:val="single" w:sz="4" w:space="0" w:color="000000"/>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3.550.570,35</w:t>
            </w:r>
          </w:p>
        </w:tc>
        <w:tc>
          <w:tcPr>
            <w:tcW w:w="79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3.172.990,20</w:t>
            </w:r>
          </w:p>
        </w:tc>
      </w:tr>
      <w:tr w:rsidR="00C921C3" w:rsidRPr="00CD5840" w:rsidTr="00760A53">
        <w:trPr>
          <w:trHeight w:val="1477"/>
        </w:trPr>
        <w:tc>
          <w:tcPr>
            <w:tcW w:w="507" w:type="pct"/>
            <w:vMerge/>
            <w:tcBorders>
              <w:top w:val="nil"/>
              <w:left w:val="single" w:sz="4" w:space="0" w:color="auto"/>
              <w:bottom w:val="single" w:sz="4" w:space="0" w:color="000000"/>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Projekatobnoveželjezničkeinfrastrukture</w:t>
            </w:r>
            <w:proofErr w:type="spellEnd"/>
            <w:r w:rsidRPr="00CD5840">
              <w:rPr>
                <w:rFonts w:ascii="Arial" w:hAnsi="Arial" w:cs="Arial"/>
                <w:sz w:val="20"/>
                <w:szCs w:val="20"/>
              </w:rPr>
              <w:t xml:space="preserve"> - </w:t>
            </w:r>
            <w:proofErr w:type="spellStart"/>
            <w:r w:rsidRPr="00CD5840">
              <w:rPr>
                <w:rFonts w:ascii="Arial" w:hAnsi="Arial" w:cs="Arial"/>
                <w:sz w:val="20"/>
                <w:szCs w:val="20"/>
              </w:rPr>
              <w:t>Faza</w:t>
            </w:r>
            <w:proofErr w:type="spellEnd"/>
            <w:r w:rsidRPr="00CD5840">
              <w:rPr>
                <w:rFonts w:ascii="Arial" w:hAnsi="Arial" w:cs="Arial"/>
                <w:sz w:val="20"/>
                <w:szCs w:val="20"/>
              </w:rPr>
              <w:t xml:space="preserve"> III </w:t>
            </w:r>
            <w:proofErr w:type="spellStart"/>
            <w:r w:rsidRPr="00CD5840">
              <w:rPr>
                <w:rFonts w:ascii="Arial" w:hAnsi="Arial" w:cs="Arial"/>
                <w:sz w:val="20"/>
                <w:szCs w:val="20"/>
              </w:rPr>
              <w:t>Anex</w:t>
            </w:r>
            <w:proofErr w:type="spellEnd"/>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Željezničkainfrastruktura</w:t>
            </w:r>
            <w:proofErr w:type="spellEnd"/>
            <w:r w:rsidRPr="00CD5840">
              <w:rPr>
                <w:rFonts w:ascii="Arial" w:hAnsi="Arial" w:cs="Arial"/>
                <w:sz w:val="20"/>
                <w:szCs w:val="20"/>
              </w:rPr>
              <w:t xml:space="preserve"> AD, </w:t>
            </w:r>
            <w:proofErr w:type="spellStart"/>
            <w:r w:rsidRPr="00CD5840">
              <w:rPr>
                <w:rFonts w:ascii="Arial" w:hAnsi="Arial" w:cs="Arial"/>
                <w:sz w:val="20"/>
                <w:szCs w:val="20"/>
              </w:rPr>
              <w:t>Podgorica</w:t>
            </w:r>
            <w:proofErr w:type="spellEnd"/>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10.12.2012.</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10,000,000.00</w:t>
            </w:r>
          </w:p>
        </w:tc>
        <w:tc>
          <w:tcPr>
            <w:tcW w:w="789" w:type="pct"/>
            <w:vMerge/>
            <w:tcBorders>
              <w:top w:val="nil"/>
              <w:left w:val="single" w:sz="4" w:space="0" w:color="auto"/>
              <w:bottom w:val="single" w:sz="4" w:space="0" w:color="000000"/>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
        </w:tc>
        <w:tc>
          <w:tcPr>
            <w:tcW w:w="796" w:type="pct"/>
            <w:vMerge/>
            <w:tcBorders>
              <w:top w:val="nil"/>
              <w:left w:val="single" w:sz="4" w:space="0" w:color="auto"/>
              <w:bottom w:val="single" w:sz="4" w:space="0" w:color="000000"/>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
        </w:tc>
      </w:tr>
      <w:tr w:rsidR="00C921C3" w:rsidRPr="00CD5840" w:rsidTr="00760A53">
        <w:trPr>
          <w:trHeight w:val="1477"/>
        </w:trPr>
        <w:tc>
          <w:tcPr>
            <w:tcW w:w="507" w:type="pct"/>
            <w:tcBorders>
              <w:top w:val="nil"/>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t>EBRD</w:t>
            </w:r>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ProjekathitneobnoveŽeljezničkeinfrastrukture</w:t>
            </w:r>
            <w:proofErr w:type="spellEnd"/>
            <w:r w:rsidRPr="00CD5840">
              <w:rPr>
                <w:rFonts w:ascii="Arial" w:hAnsi="Arial" w:cs="Arial"/>
                <w:sz w:val="20"/>
                <w:szCs w:val="20"/>
              </w:rPr>
              <w:t xml:space="preserve"> 2</w:t>
            </w:r>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Željezničkainfrastruktura</w:t>
            </w:r>
            <w:proofErr w:type="spellEnd"/>
            <w:r w:rsidRPr="00CD5840">
              <w:rPr>
                <w:rFonts w:ascii="Arial" w:hAnsi="Arial" w:cs="Arial"/>
                <w:sz w:val="20"/>
                <w:szCs w:val="20"/>
              </w:rPr>
              <w:t xml:space="preserve"> AD, </w:t>
            </w:r>
            <w:proofErr w:type="spellStart"/>
            <w:r w:rsidRPr="00CD5840">
              <w:rPr>
                <w:rFonts w:ascii="Arial" w:hAnsi="Arial" w:cs="Arial"/>
                <w:sz w:val="20"/>
                <w:szCs w:val="20"/>
              </w:rPr>
              <w:t>Podgorica</w:t>
            </w:r>
            <w:proofErr w:type="spellEnd"/>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11.12.2009.</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15,000,000.00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12.803.372,51</w:t>
            </w:r>
          </w:p>
        </w:tc>
        <w:tc>
          <w:tcPr>
            <w:tcW w:w="796" w:type="pct"/>
            <w:tcBorders>
              <w:top w:val="nil"/>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11.653.288,05</w:t>
            </w:r>
          </w:p>
        </w:tc>
      </w:tr>
      <w:tr w:rsidR="00C921C3" w:rsidRPr="00CD5840" w:rsidTr="00760A53">
        <w:trPr>
          <w:trHeight w:val="1477"/>
        </w:trPr>
        <w:tc>
          <w:tcPr>
            <w:tcW w:w="507" w:type="pct"/>
            <w:tcBorders>
              <w:top w:val="nil"/>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t>EBRD</w:t>
            </w:r>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Projekatnabavkeelektromotornihjedinica</w:t>
            </w:r>
            <w:proofErr w:type="spellEnd"/>
            <w:r w:rsidRPr="00CD5840">
              <w:rPr>
                <w:rFonts w:ascii="Arial" w:hAnsi="Arial" w:cs="Arial"/>
                <w:sz w:val="20"/>
                <w:szCs w:val="20"/>
              </w:rPr>
              <w:t xml:space="preserve"> i </w:t>
            </w:r>
            <w:proofErr w:type="spellStart"/>
            <w:r w:rsidRPr="00CD5840">
              <w:rPr>
                <w:rFonts w:ascii="Arial" w:hAnsi="Arial" w:cs="Arial"/>
                <w:sz w:val="20"/>
                <w:szCs w:val="20"/>
              </w:rPr>
              <w:t>dijagnostičkeopreme</w:t>
            </w:r>
            <w:proofErr w:type="spellEnd"/>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Željezničkiprevoz</w:t>
            </w:r>
            <w:proofErr w:type="spellEnd"/>
            <w:r w:rsidRPr="00CD5840">
              <w:rPr>
                <w:rFonts w:ascii="Arial" w:hAnsi="Arial" w:cs="Arial"/>
                <w:sz w:val="20"/>
                <w:szCs w:val="20"/>
              </w:rPr>
              <w:t xml:space="preserve"> AD</w:t>
            </w:r>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08.11.2010.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13,550,000.00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12.714.029,99</w:t>
            </w:r>
          </w:p>
        </w:tc>
        <w:tc>
          <w:tcPr>
            <w:tcW w:w="796" w:type="pct"/>
            <w:tcBorders>
              <w:top w:val="nil"/>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11.320.633,05</w:t>
            </w:r>
          </w:p>
        </w:tc>
      </w:tr>
      <w:tr w:rsidR="00C921C3" w:rsidRPr="00CD5840" w:rsidTr="00760A53">
        <w:trPr>
          <w:trHeight w:val="1477"/>
        </w:trPr>
        <w:tc>
          <w:tcPr>
            <w:tcW w:w="507" w:type="pct"/>
            <w:tcBorders>
              <w:top w:val="nil"/>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t>EBRD</w:t>
            </w:r>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Kreditnalinijazazaštitudepozita</w:t>
            </w:r>
            <w:proofErr w:type="spellEnd"/>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 xml:space="preserve">Fond </w:t>
            </w:r>
            <w:proofErr w:type="spellStart"/>
            <w:r w:rsidRPr="00CD5840">
              <w:rPr>
                <w:rFonts w:ascii="Arial" w:hAnsi="Arial" w:cs="Arial"/>
                <w:sz w:val="20"/>
                <w:szCs w:val="20"/>
              </w:rPr>
              <w:t>zazaštitudepozita</w:t>
            </w:r>
            <w:proofErr w:type="spellEnd"/>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08.11.2010.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30,000,000.00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0,00</w:t>
            </w:r>
          </w:p>
        </w:tc>
        <w:tc>
          <w:tcPr>
            <w:tcW w:w="796" w:type="pct"/>
            <w:tcBorders>
              <w:top w:val="nil"/>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0,00</w:t>
            </w:r>
          </w:p>
        </w:tc>
      </w:tr>
      <w:tr w:rsidR="00C921C3" w:rsidRPr="00CD5840" w:rsidTr="00760A53">
        <w:trPr>
          <w:trHeight w:val="1477"/>
        </w:trPr>
        <w:tc>
          <w:tcPr>
            <w:tcW w:w="507" w:type="pct"/>
            <w:tcBorders>
              <w:top w:val="nil"/>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t>EBRD</w:t>
            </w:r>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PljevljaInterkonektivnikabal</w:t>
            </w:r>
            <w:proofErr w:type="spellEnd"/>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CGES</w:t>
            </w:r>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09.06.2014.</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20.000.000,00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10.450.852,95</w:t>
            </w:r>
          </w:p>
        </w:tc>
        <w:tc>
          <w:tcPr>
            <w:tcW w:w="796" w:type="pct"/>
            <w:tcBorders>
              <w:top w:val="nil"/>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10.450.852,95</w:t>
            </w:r>
          </w:p>
        </w:tc>
      </w:tr>
      <w:tr w:rsidR="00C921C3" w:rsidRPr="00CD5840" w:rsidTr="00760A53">
        <w:trPr>
          <w:trHeight w:val="1477"/>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proofErr w:type="spellStart"/>
            <w:r w:rsidRPr="00CD5840">
              <w:rPr>
                <w:rFonts w:ascii="Arial" w:hAnsi="Arial" w:cs="Arial"/>
                <w:b/>
                <w:bCs/>
                <w:sz w:val="20"/>
                <w:szCs w:val="20"/>
              </w:rPr>
              <w:lastRenderedPageBreak/>
              <w:t>KfW</w:t>
            </w:r>
            <w:proofErr w:type="spellEnd"/>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EPCG-</w:t>
            </w:r>
            <w:proofErr w:type="spellStart"/>
            <w:r w:rsidRPr="00CD5840">
              <w:rPr>
                <w:rFonts w:ascii="Arial" w:hAnsi="Arial" w:cs="Arial"/>
                <w:sz w:val="20"/>
                <w:szCs w:val="20"/>
              </w:rPr>
              <w:t>Perućica</w:t>
            </w:r>
            <w:proofErr w:type="spellEnd"/>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EPCG</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15.12.2003.</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3,580,000.00</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3.422.387,66</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398.000,00</w:t>
            </w:r>
          </w:p>
        </w:tc>
      </w:tr>
      <w:tr w:rsidR="00C921C3" w:rsidRPr="00CD5840" w:rsidTr="00760A53">
        <w:trPr>
          <w:trHeight w:val="1477"/>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proofErr w:type="spellStart"/>
            <w:r w:rsidRPr="00CD5840">
              <w:rPr>
                <w:rFonts w:ascii="Arial" w:hAnsi="Arial" w:cs="Arial"/>
                <w:b/>
                <w:bCs/>
                <w:sz w:val="20"/>
                <w:szCs w:val="20"/>
              </w:rPr>
              <w:t>KfW</w:t>
            </w:r>
            <w:proofErr w:type="spellEnd"/>
          </w:p>
        </w:tc>
        <w:tc>
          <w:tcPr>
            <w:tcW w:w="846"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EPCG-</w:t>
            </w:r>
            <w:proofErr w:type="spellStart"/>
            <w:r w:rsidRPr="00CD5840">
              <w:rPr>
                <w:rFonts w:ascii="Arial" w:hAnsi="Arial" w:cs="Arial"/>
                <w:sz w:val="20"/>
                <w:szCs w:val="20"/>
              </w:rPr>
              <w:t>Piva</w:t>
            </w:r>
            <w:proofErr w:type="spellEnd"/>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EPCG</w:t>
            </w: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28.12.2007.</w:t>
            </w:r>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16,000,000.00</w:t>
            </w:r>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6.565.098,84</w:t>
            </w:r>
          </w:p>
        </w:tc>
        <w:tc>
          <w:tcPr>
            <w:tcW w:w="796" w:type="pct"/>
            <w:tcBorders>
              <w:top w:val="single" w:sz="4" w:space="0" w:color="auto"/>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4.965.098,84</w:t>
            </w:r>
          </w:p>
        </w:tc>
      </w:tr>
      <w:tr w:rsidR="00C921C3" w:rsidRPr="00CD5840" w:rsidTr="00760A53">
        <w:trPr>
          <w:trHeight w:val="1477"/>
        </w:trPr>
        <w:tc>
          <w:tcPr>
            <w:tcW w:w="507" w:type="pct"/>
            <w:tcBorders>
              <w:top w:val="nil"/>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proofErr w:type="spellStart"/>
            <w:r w:rsidRPr="00CD5840">
              <w:rPr>
                <w:rFonts w:ascii="Arial" w:hAnsi="Arial" w:cs="Arial"/>
                <w:b/>
                <w:bCs/>
                <w:sz w:val="20"/>
                <w:szCs w:val="20"/>
              </w:rPr>
              <w:t>KfW</w:t>
            </w:r>
            <w:proofErr w:type="spellEnd"/>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 xml:space="preserve">EPCG - </w:t>
            </w:r>
            <w:proofErr w:type="spellStart"/>
            <w:r w:rsidRPr="00CD5840">
              <w:rPr>
                <w:rFonts w:ascii="Arial" w:hAnsi="Arial" w:cs="Arial"/>
                <w:sz w:val="20"/>
                <w:szCs w:val="20"/>
              </w:rPr>
              <w:t>trafostanicaPodgorica-Ribarevine</w:t>
            </w:r>
            <w:proofErr w:type="spellEnd"/>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EPCG</w:t>
            </w:r>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20.07.2007.</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5,400,000.00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4.793.986,50</w:t>
            </w:r>
          </w:p>
        </w:tc>
        <w:tc>
          <w:tcPr>
            <w:tcW w:w="796" w:type="pct"/>
            <w:tcBorders>
              <w:top w:val="nil"/>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2.937.737,00</w:t>
            </w:r>
          </w:p>
        </w:tc>
      </w:tr>
      <w:tr w:rsidR="00C921C3" w:rsidRPr="00CD5840" w:rsidTr="00760A53">
        <w:trPr>
          <w:trHeight w:val="1477"/>
        </w:trPr>
        <w:tc>
          <w:tcPr>
            <w:tcW w:w="507" w:type="pct"/>
            <w:tcBorders>
              <w:top w:val="nil"/>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proofErr w:type="spellStart"/>
            <w:r w:rsidRPr="00CD5840">
              <w:rPr>
                <w:rFonts w:ascii="Arial" w:hAnsi="Arial" w:cs="Arial"/>
                <w:b/>
                <w:bCs/>
                <w:sz w:val="20"/>
                <w:szCs w:val="20"/>
              </w:rPr>
              <w:t>KfW</w:t>
            </w:r>
            <w:proofErr w:type="spellEnd"/>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 xml:space="preserve">EPCG - </w:t>
            </w:r>
            <w:proofErr w:type="spellStart"/>
            <w:r w:rsidRPr="00CD5840">
              <w:rPr>
                <w:rFonts w:ascii="Arial" w:hAnsi="Arial" w:cs="Arial"/>
                <w:sz w:val="20"/>
                <w:szCs w:val="20"/>
              </w:rPr>
              <w:t>Zamjenafiltera</w:t>
            </w:r>
            <w:proofErr w:type="spellEnd"/>
            <w:r w:rsidRPr="00CD5840">
              <w:rPr>
                <w:rFonts w:ascii="Arial" w:hAnsi="Arial" w:cs="Arial"/>
                <w:sz w:val="20"/>
                <w:szCs w:val="20"/>
              </w:rPr>
              <w:t xml:space="preserve"> u TE </w:t>
            </w:r>
            <w:proofErr w:type="spellStart"/>
            <w:r w:rsidRPr="00CD5840">
              <w:rPr>
                <w:rFonts w:ascii="Arial" w:hAnsi="Arial" w:cs="Arial"/>
                <w:sz w:val="20"/>
                <w:szCs w:val="20"/>
              </w:rPr>
              <w:t>Pljevlja</w:t>
            </w:r>
            <w:proofErr w:type="spellEnd"/>
            <w:r w:rsidRPr="00CD5840">
              <w:rPr>
                <w:rFonts w:ascii="Arial" w:hAnsi="Arial" w:cs="Arial"/>
                <w:sz w:val="20"/>
                <w:szCs w:val="20"/>
              </w:rPr>
              <w:t xml:space="preserve"> i </w:t>
            </w:r>
            <w:proofErr w:type="spellStart"/>
            <w:r w:rsidRPr="00CD5840">
              <w:rPr>
                <w:rFonts w:ascii="Arial" w:hAnsi="Arial" w:cs="Arial"/>
                <w:sz w:val="20"/>
                <w:szCs w:val="20"/>
              </w:rPr>
              <w:t>proširenjetrafostanicaPodgorica-Ribarevine</w:t>
            </w:r>
            <w:proofErr w:type="spellEnd"/>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EPCG</w:t>
            </w:r>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11.12.2008.</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15,000,000.00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14.319.612,80</w:t>
            </w:r>
          </w:p>
        </w:tc>
        <w:tc>
          <w:tcPr>
            <w:tcW w:w="796" w:type="pct"/>
            <w:tcBorders>
              <w:top w:val="nil"/>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12.069.613,00</w:t>
            </w:r>
          </w:p>
        </w:tc>
      </w:tr>
      <w:tr w:rsidR="00C921C3" w:rsidRPr="00CD5840" w:rsidTr="00760A53">
        <w:trPr>
          <w:trHeight w:val="1477"/>
        </w:trPr>
        <w:tc>
          <w:tcPr>
            <w:tcW w:w="507" w:type="pct"/>
            <w:vMerge w:val="restart"/>
            <w:tcBorders>
              <w:top w:val="nil"/>
              <w:left w:val="single" w:sz="4" w:space="0" w:color="auto"/>
              <w:bottom w:val="single" w:sz="4" w:space="0" w:color="000000"/>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proofErr w:type="spellStart"/>
            <w:r w:rsidRPr="00CD5840">
              <w:rPr>
                <w:rFonts w:ascii="Arial" w:hAnsi="Arial" w:cs="Arial"/>
                <w:b/>
                <w:bCs/>
                <w:sz w:val="20"/>
                <w:szCs w:val="20"/>
              </w:rPr>
              <w:t>KfW</w:t>
            </w:r>
            <w:proofErr w:type="spellEnd"/>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Erstebanka</w:t>
            </w:r>
            <w:proofErr w:type="spellEnd"/>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Erstebanka</w:t>
            </w:r>
            <w:proofErr w:type="spellEnd"/>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25.06.2009.</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15,000,000.00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15.000.000,00</w:t>
            </w:r>
          </w:p>
        </w:tc>
        <w:tc>
          <w:tcPr>
            <w:tcW w:w="796" w:type="pct"/>
            <w:tcBorders>
              <w:top w:val="nil"/>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3.545.454,56</w:t>
            </w:r>
          </w:p>
        </w:tc>
      </w:tr>
      <w:tr w:rsidR="00C921C3" w:rsidRPr="00CD5840" w:rsidTr="00760A53">
        <w:trPr>
          <w:trHeight w:val="1477"/>
        </w:trPr>
        <w:tc>
          <w:tcPr>
            <w:tcW w:w="507" w:type="pct"/>
            <w:vMerge/>
            <w:tcBorders>
              <w:top w:val="nil"/>
              <w:left w:val="single" w:sz="4" w:space="0" w:color="auto"/>
              <w:bottom w:val="single" w:sz="4" w:space="0" w:color="000000"/>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NLB</w:t>
            </w:r>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NLB</w:t>
            </w:r>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26.10.2009.</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16,000,000.00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16.000.000,00</w:t>
            </w:r>
          </w:p>
        </w:tc>
        <w:tc>
          <w:tcPr>
            <w:tcW w:w="796" w:type="pct"/>
            <w:tcBorders>
              <w:top w:val="nil"/>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727.272,74</w:t>
            </w:r>
          </w:p>
        </w:tc>
      </w:tr>
      <w:tr w:rsidR="00C921C3" w:rsidRPr="00CD5840" w:rsidTr="00760A53">
        <w:trPr>
          <w:trHeight w:val="1477"/>
        </w:trPr>
        <w:tc>
          <w:tcPr>
            <w:tcW w:w="507" w:type="pct"/>
            <w:tcBorders>
              <w:top w:val="nil"/>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proofErr w:type="spellStart"/>
            <w:r w:rsidRPr="00CD5840">
              <w:rPr>
                <w:rFonts w:ascii="Arial" w:hAnsi="Arial" w:cs="Arial"/>
                <w:b/>
                <w:bCs/>
                <w:sz w:val="20"/>
                <w:szCs w:val="20"/>
              </w:rPr>
              <w:t>KfW</w:t>
            </w:r>
            <w:proofErr w:type="spellEnd"/>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Interkonektivnikabl</w:t>
            </w:r>
            <w:proofErr w:type="spellEnd"/>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 xml:space="preserve">CG </w:t>
            </w:r>
            <w:proofErr w:type="spellStart"/>
            <w:r w:rsidRPr="00CD5840">
              <w:rPr>
                <w:rFonts w:ascii="Arial" w:hAnsi="Arial" w:cs="Arial"/>
                <w:sz w:val="20"/>
                <w:szCs w:val="20"/>
              </w:rPr>
              <w:t>Elektroprenosnisistem</w:t>
            </w:r>
            <w:proofErr w:type="spellEnd"/>
            <w:r w:rsidRPr="00CD5840">
              <w:rPr>
                <w:rFonts w:ascii="Arial" w:hAnsi="Arial" w:cs="Arial"/>
                <w:sz w:val="20"/>
                <w:szCs w:val="20"/>
              </w:rPr>
              <w:t xml:space="preserve"> AD</w:t>
            </w:r>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08.05.2013.</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25,000,000.00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 xml:space="preserve">6.773.100,00    </w:t>
            </w:r>
          </w:p>
        </w:tc>
        <w:tc>
          <w:tcPr>
            <w:tcW w:w="796" w:type="pct"/>
            <w:tcBorders>
              <w:top w:val="nil"/>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 xml:space="preserve">6.773.100,00    </w:t>
            </w:r>
          </w:p>
        </w:tc>
      </w:tr>
      <w:tr w:rsidR="00C921C3" w:rsidRPr="00CD5840" w:rsidTr="00760A53">
        <w:trPr>
          <w:trHeight w:val="2576"/>
        </w:trPr>
        <w:tc>
          <w:tcPr>
            <w:tcW w:w="5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lastRenderedPageBreak/>
              <w:t>EXIM Kina</w:t>
            </w:r>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Nabavka</w:t>
            </w:r>
            <w:proofErr w:type="spellEnd"/>
            <w:r w:rsidRPr="00CD5840">
              <w:rPr>
                <w:rFonts w:ascii="Arial" w:hAnsi="Arial" w:cs="Arial"/>
                <w:sz w:val="20"/>
                <w:szCs w:val="20"/>
              </w:rPr>
              <w:t xml:space="preserve"> i </w:t>
            </w:r>
            <w:proofErr w:type="spellStart"/>
            <w:r w:rsidRPr="00CD5840">
              <w:rPr>
                <w:rFonts w:ascii="Arial" w:hAnsi="Arial" w:cs="Arial"/>
                <w:sz w:val="20"/>
                <w:szCs w:val="20"/>
              </w:rPr>
              <w:t>remontbrodova</w:t>
            </w:r>
            <w:proofErr w:type="spellEnd"/>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Crnogorskaplovidba</w:t>
            </w:r>
            <w:proofErr w:type="spellEnd"/>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21.01.2010.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39.037.970,51</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39.037.970,51</w:t>
            </w:r>
          </w:p>
        </w:tc>
        <w:tc>
          <w:tcPr>
            <w:tcW w:w="796" w:type="pct"/>
            <w:tcBorders>
              <w:top w:val="nil"/>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39.037.970,51</w:t>
            </w:r>
          </w:p>
        </w:tc>
      </w:tr>
      <w:tr w:rsidR="00C921C3" w:rsidRPr="00CD5840" w:rsidTr="00760A53">
        <w:trPr>
          <w:trHeight w:val="1477"/>
        </w:trPr>
        <w:tc>
          <w:tcPr>
            <w:tcW w:w="5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Nabavka</w:t>
            </w:r>
            <w:proofErr w:type="spellEnd"/>
            <w:r w:rsidRPr="00CD5840">
              <w:rPr>
                <w:rFonts w:ascii="Arial" w:hAnsi="Arial" w:cs="Arial"/>
                <w:sz w:val="20"/>
                <w:szCs w:val="20"/>
              </w:rPr>
              <w:t xml:space="preserve"> i </w:t>
            </w:r>
            <w:proofErr w:type="spellStart"/>
            <w:r w:rsidRPr="00CD5840">
              <w:rPr>
                <w:rFonts w:ascii="Arial" w:hAnsi="Arial" w:cs="Arial"/>
                <w:sz w:val="20"/>
                <w:szCs w:val="20"/>
              </w:rPr>
              <w:t>remontbrodova</w:t>
            </w:r>
            <w:proofErr w:type="spellEnd"/>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Barskaplovidba</w:t>
            </w:r>
            <w:proofErr w:type="spellEnd"/>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29.01.2013.</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color w:val="FF0000"/>
                <w:sz w:val="20"/>
                <w:szCs w:val="20"/>
              </w:rPr>
            </w:pPr>
          </w:p>
          <w:p w:rsidR="00C921C3" w:rsidRPr="00CD5840" w:rsidRDefault="00C921C3" w:rsidP="00760A53">
            <w:pPr>
              <w:jc w:val="center"/>
              <w:rPr>
                <w:rFonts w:ascii="Arial" w:hAnsi="Arial" w:cs="Arial"/>
                <w:sz w:val="20"/>
                <w:szCs w:val="20"/>
              </w:rPr>
            </w:pPr>
            <w:r w:rsidRPr="00CD5840">
              <w:rPr>
                <w:rFonts w:ascii="Arial" w:hAnsi="Arial" w:cs="Arial"/>
                <w:sz w:val="20"/>
                <w:szCs w:val="20"/>
              </w:rPr>
              <w:t>38.217.609,75</w:t>
            </w:r>
          </w:p>
          <w:p w:rsidR="00C921C3" w:rsidRPr="00CD5840" w:rsidRDefault="00C921C3" w:rsidP="00760A53">
            <w:pPr>
              <w:jc w:val="center"/>
              <w:rPr>
                <w:rFonts w:ascii="Arial" w:hAnsi="Arial" w:cs="Arial"/>
                <w:color w:val="FF0000"/>
                <w:sz w:val="20"/>
                <w:szCs w:val="20"/>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38.217.609,75</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38.217.609,75</w:t>
            </w:r>
          </w:p>
        </w:tc>
      </w:tr>
      <w:tr w:rsidR="00C921C3" w:rsidRPr="00CD5840" w:rsidTr="00760A53">
        <w:trPr>
          <w:trHeight w:val="1477"/>
        </w:trPr>
        <w:tc>
          <w:tcPr>
            <w:tcW w:w="507" w:type="pct"/>
            <w:tcBorders>
              <w:top w:val="nil"/>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t xml:space="preserve">WTE </w:t>
            </w:r>
            <w:proofErr w:type="spellStart"/>
            <w:r w:rsidRPr="00CD5840">
              <w:rPr>
                <w:rFonts w:ascii="Arial" w:hAnsi="Arial" w:cs="Arial"/>
                <w:b/>
                <w:bCs/>
                <w:sz w:val="20"/>
                <w:szCs w:val="20"/>
              </w:rPr>
              <w:t>Wassertechnik</w:t>
            </w:r>
            <w:proofErr w:type="spellEnd"/>
          </w:p>
        </w:tc>
        <w:tc>
          <w:tcPr>
            <w:tcW w:w="846"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Projekatotpadnihvoda</w:t>
            </w:r>
            <w:proofErr w:type="spellEnd"/>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OpstinaBudva</w:t>
            </w:r>
            <w:proofErr w:type="spellEnd"/>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16.03.2010.</w:t>
            </w:r>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29,250,000.00</w:t>
            </w:r>
          </w:p>
        </w:tc>
        <w:tc>
          <w:tcPr>
            <w:tcW w:w="789" w:type="pct"/>
            <w:tcBorders>
              <w:top w:val="single" w:sz="4" w:space="0" w:color="auto"/>
              <w:left w:val="nil"/>
              <w:bottom w:val="single" w:sz="4" w:space="0" w:color="auto"/>
              <w:right w:val="single" w:sz="4" w:space="0" w:color="auto"/>
            </w:tcBorders>
            <w:shd w:val="clear" w:color="auto" w:fill="auto"/>
            <w:hideMark/>
          </w:tcPr>
          <w:p w:rsidR="00C921C3" w:rsidRPr="00CD5840" w:rsidRDefault="00C921C3" w:rsidP="00760A53">
            <w:pPr>
              <w:jc w:val="center"/>
              <w:rPr>
                <w:rFonts w:ascii="Arial" w:hAnsi="Arial" w:cs="Arial"/>
                <w:sz w:val="20"/>
                <w:szCs w:val="20"/>
              </w:rPr>
            </w:pPr>
          </w:p>
          <w:p w:rsidR="00C921C3" w:rsidRPr="00CD5840" w:rsidRDefault="00C921C3" w:rsidP="00760A53">
            <w:pPr>
              <w:jc w:val="center"/>
              <w:rPr>
                <w:rFonts w:ascii="Arial" w:hAnsi="Arial" w:cs="Arial"/>
                <w:sz w:val="20"/>
                <w:szCs w:val="20"/>
              </w:rPr>
            </w:pPr>
            <w:r w:rsidRPr="00CD5840">
              <w:rPr>
                <w:rFonts w:ascii="Arial" w:hAnsi="Arial" w:cs="Arial"/>
                <w:sz w:val="20"/>
                <w:szCs w:val="20"/>
              </w:rPr>
              <w:t>29,250,000.00</w:t>
            </w:r>
          </w:p>
        </w:tc>
        <w:tc>
          <w:tcPr>
            <w:tcW w:w="796" w:type="pct"/>
            <w:tcBorders>
              <w:top w:val="single" w:sz="4" w:space="0" w:color="auto"/>
              <w:left w:val="nil"/>
              <w:bottom w:val="single" w:sz="4" w:space="0" w:color="auto"/>
              <w:right w:val="single" w:sz="4" w:space="0" w:color="auto"/>
            </w:tcBorders>
            <w:shd w:val="clear" w:color="auto" w:fill="auto"/>
            <w:noWrap/>
            <w:hideMark/>
          </w:tcPr>
          <w:p w:rsidR="00C921C3" w:rsidRPr="00CD5840" w:rsidRDefault="00C921C3" w:rsidP="00760A53">
            <w:pPr>
              <w:jc w:val="center"/>
              <w:rPr>
                <w:rFonts w:ascii="Arial" w:hAnsi="Arial" w:cs="Arial"/>
                <w:sz w:val="20"/>
                <w:szCs w:val="20"/>
              </w:rPr>
            </w:pPr>
          </w:p>
          <w:p w:rsidR="00C921C3" w:rsidRPr="00CD5840" w:rsidRDefault="00C921C3" w:rsidP="00760A53">
            <w:pPr>
              <w:jc w:val="center"/>
              <w:rPr>
                <w:rFonts w:ascii="Arial" w:hAnsi="Arial" w:cs="Arial"/>
                <w:sz w:val="20"/>
                <w:szCs w:val="20"/>
              </w:rPr>
            </w:pPr>
            <w:r w:rsidRPr="00CD5840">
              <w:rPr>
                <w:rFonts w:ascii="Arial" w:hAnsi="Arial" w:cs="Arial"/>
                <w:sz w:val="20"/>
                <w:szCs w:val="20"/>
              </w:rPr>
              <w:t>29,250,000.00</w:t>
            </w:r>
          </w:p>
        </w:tc>
      </w:tr>
      <w:tr w:rsidR="00C921C3" w:rsidRPr="00CD5840" w:rsidTr="00760A53">
        <w:trPr>
          <w:trHeight w:val="1477"/>
        </w:trPr>
        <w:tc>
          <w:tcPr>
            <w:tcW w:w="507" w:type="pct"/>
            <w:tcBorders>
              <w:top w:val="nil"/>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t>Abu Dhabi fond</w:t>
            </w:r>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Projekatvodosnabdijevanje</w:t>
            </w:r>
            <w:proofErr w:type="spellEnd"/>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Regionalnivodovod</w:t>
            </w:r>
            <w:proofErr w:type="spellEnd"/>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07.04.2010.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8.720.509,12</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8.720.509,12</w:t>
            </w:r>
          </w:p>
        </w:tc>
        <w:tc>
          <w:tcPr>
            <w:tcW w:w="79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7.267.395,35</w:t>
            </w:r>
          </w:p>
        </w:tc>
      </w:tr>
      <w:tr w:rsidR="00C921C3" w:rsidRPr="00CD5840" w:rsidTr="00760A53">
        <w:trPr>
          <w:trHeight w:val="1477"/>
        </w:trPr>
        <w:tc>
          <w:tcPr>
            <w:tcW w:w="507" w:type="pct"/>
            <w:tcBorders>
              <w:top w:val="nil"/>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sz w:val="20"/>
                <w:szCs w:val="20"/>
              </w:rPr>
            </w:pPr>
            <w:proofErr w:type="spellStart"/>
            <w:r w:rsidRPr="00CD5840">
              <w:rPr>
                <w:rFonts w:ascii="Arial" w:hAnsi="Arial" w:cs="Arial"/>
                <w:b/>
                <w:sz w:val="20"/>
                <w:szCs w:val="20"/>
              </w:rPr>
              <w:t>CeskaExportnabanka</w:t>
            </w:r>
            <w:proofErr w:type="spellEnd"/>
          </w:p>
        </w:tc>
        <w:tc>
          <w:tcPr>
            <w:tcW w:w="846"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proofErr w:type="spellStart"/>
            <w:r w:rsidRPr="00CD5840">
              <w:rPr>
                <w:rFonts w:ascii="Arial" w:hAnsi="Arial" w:cs="Arial"/>
                <w:sz w:val="20"/>
                <w:szCs w:val="20"/>
              </w:rPr>
              <w:t>ZavršetakprugePodgorica</w:t>
            </w:r>
            <w:proofErr w:type="spellEnd"/>
            <w:r w:rsidRPr="00CD5840">
              <w:rPr>
                <w:rFonts w:ascii="Arial" w:hAnsi="Arial" w:cs="Arial"/>
                <w:sz w:val="20"/>
                <w:szCs w:val="20"/>
              </w:rPr>
              <w:t xml:space="preserve">- </w:t>
            </w:r>
            <w:proofErr w:type="spellStart"/>
            <w:r w:rsidRPr="00CD5840">
              <w:rPr>
                <w:rFonts w:ascii="Arial" w:hAnsi="Arial" w:cs="Arial"/>
                <w:sz w:val="20"/>
                <w:szCs w:val="20"/>
              </w:rPr>
              <w:t>Niksic</w:t>
            </w:r>
            <w:proofErr w:type="spellEnd"/>
          </w:p>
        </w:tc>
        <w:tc>
          <w:tcPr>
            <w:tcW w:w="614"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ZICG</w:t>
            </w:r>
          </w:p>
        </w:tc>
        <w:tc>
          <w:tcPr>
            <w:tcW w:w="65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12.12.2011</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5,000,000.00</w:t>
            </w:r>
          </w:p>
        </w:tc>
        <w:tc>
          <w:tcPr>
            <w:tcW w:w="789" w:type="pct"/>
            <w:tcBorders>
              <w:top w:val="nil"/>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4.978.101,65</w:t>
            </w:r>
          </w:p>
        </w:tc>
        <w:tc>
          <w:tcPr>
            <w:tcW w:w="796" w:type="pct"/>
            <w:tcBorders>
              <w:top w:val="nil"/>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sz w:val="20"/>
                <w:szCs w:val="20"/>
              </w:rPr>
            </w:pPr>
            <w:r w:rsidRPr="00CD5840">
              <w:rPr>
                <w:rFonts w:ascii="Arial" w:hAnsi="Arial" w:cs="Arial"/>
                <w:sz w:val="20"/>
                <w:szCs w:val="20"/>
              </w:rPr>
              <w:t>3.982.481,33</w:t>
            </w:r>
          </w:p>
        </w:tc>
      </w:tr>
      <w:tr w:rsidR="00C921C3" w:rsidRPr="00CD5840" w:rsidTr="00760A53">
        <w:trPr>
          <w:trHeight w:val="1477"/>
        </w:trPr>
        <w:tc>
          <w:tcPr>
            <w:tcW w:w="262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sz w:val="20"/>
                <w:szCs w:val="20"/>
              </w:rPr>
            </w:pPr>
            <w:r w:rsidRPr="00CD5840">
              <w:rPr>
                <w:rFonts w:ascii="Arial" w:hAnsi="Arial" w:cs="Arial"/>
                <w:b/>
                <w:sz w:val="20"/>
                <w:szCs w:val="20"/>
              </w:rPr>
              <w:t>UKUPNO</w:t>
            </w:r>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t>481.756.089,39</w:t>
            </w:r>
          </w:p>
        </w:tc>
        <w:tc>
          <w:tcPr>
            <w:tcW w:w="789" w:type="pct"/>
            <w:tcBorders>
              <w:top w:val="single" w:sz="4" w:space="0" w:color="auto"/>
              <w:left w:val="nil"/>
              <w:bottom w:val="single" w:sz="4" w:space="0" w:color="auto"/>
              <w:right w:val="single" w:sz="4" w:space="0" w:color="auto"/>
            </w:tcBorders>
            <w:shd w:val="clear" w:color="auto" w:fill="auto"/>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t>384.217.198,71</w:t>
            </w:r>
          </w:p>
        </w:tc>
        <w:tc>
          <w:tcPr>
            <w:tcW w:w="796" w:type="pct"/>
            <w:tcBorders>
              <w:top w:val="single" w:sz="4" w:space="0" w:color="auto"/>
              <w:left w:val="nil"/>
              <w:bottom w:val="single" w:sz="4" w:space="0" w:color="auto"/>
              <w:right w:val="single" w:sz="4" w:space="0" w:color="auto"/>
            </w:tcBorders>
            <w:shd w:val="clear" w:color="auto" w:fill="auto"/>
            <w:noWrap/>
            <w:vAlign w:val="center"/>
            <w:hideMark/>
          </w:tcPr>
          <w:p w:rsidR="00C921C3" w:rsidRPr="00CD5840" w:rsidRDefault="00C921C3" w:rsidP="00760A53">
            <w:pPr>
              <w:jc w:val="center"/>
              <w:rPr>
                <w:rFonts w:ascii="Arial" w:hAnsi="Arial" w:cs="Arial"/>
                <w:b/>
                <w:bCs/>
                <w:sz w:val="20"/>
                <w:szCs w:val="20"/>
              </w:rPr>
            </w:pPr>
            <w:r w:rsidRPr="00CD5840">
              <w:rPr>
                <w:rFonts w:ascii="Arial" w:hAnsi="Arial" w:cs="Arial"/>
                <w:b/>
                <w:bCs/>
                <w:sz w:val="20"/>
                <w:szCs w:val="20"/>
              </w:rPr>
              <w:t>298.599.775,72</w:t>
            </w:r>
          </w:p>
        </w:tc>
      </w:tr>
    </w:tbl>
    <w:p w:rsidR="00C921C3" w:rsidRDefault="00C921C3" w:rsidP="00C921C3">
      <w:pPr>
        <w:pStyle w:val="BodyText"/>
      </w:pPr>
    </w:p>
    <w:p w:rsidR="00C921C3" w:rsidRPr="00D47657" w:rsidRDefault="00C921C3" w:rsidP="00C921C3">
      <w:pPr>
        <w:pStyle w:val="BodyText"/>
        <w:sectPr w:rsidR="00C921C3" w:rsidRPr="00D47657">
          <w:footerReference w:type="even" r:id="rId13"/>
          <w:footerReference w:type="default" r:id="rId14"/>
          <w:pgSz w:w="12240" w:h="15840" w:code="1"/>
          <w:pgMar w:top="1440" w:right="1800" w:bottom="1440" w:left="1800" w:header="720" w:footer="720" w:gutter="0"/>
          <w:cols w:space="720"/>
          <w:docGrid w:linePitch="360"/>
        </w:sectPr>
      </w:pPr>
      <w:r>
        <w:tab/>
      </w:r>
    </w:p>
    <w:p w:rsidR="00C921C3" w:rsidRDefault="00C921C3" w:rsidP="00C921C3">
      <w:pPr>
        <w:pStyle w:val="BodyText"/>
        <w:ind w:firstLine="720"/>
      </w:pPr>
    </w:p>
    <w:p w:rsidR="00C921C3" w:rsidRPr="0088638D" w:rsidRDefault="00C921C3" w:rsidP="00C921C3">
      <w:pPr>
        <w:pStyle w:val="BodyText"/>
        <w:ind w:firstLine="720"/>
        <w:rPr>
          <w:rFonts w:ascii="Arial" w:hAnsi="Arial" w:cs="Arial"/>
        </w:rPr>
      </w:pPr>
      <w:r w:rsidRPr="0088638D">
        <w:rPr>
          <w:rFonts w:ascii="Arial" w:hAnsi="Arial" w:cs="Arial"/>
        </w:rPr>
        <w:t>Angažovani iznos garancija koje je Vlada Crne Gore izdala za zajmove kod</w:t>
      </w:r>
      <w:r>
        <w:rPr>
          <w:rFonts w:ascii="Arial" w:hAnsi="Arial" w:cs="Arial"/>
        </w:rPr>
        <w:t xml:space="preserve"> domaćih kreditora iznosi oko 11,74</w:t>
      </w:r>
      <w:r w:rsidRPr="0088638D">
        <w:rPr>
          <w:rFonts w:ascii="Arial" w:hAnsi="Arial" w:cs="Arial"/>
        </w:rPr>
        <w:t xml:space="preserve"> miliona eura</w:t>
      </w:r>
      <w:r>
        <w:rPr>
          <w:rFonts w:ascii="Arial" w:hAnsi="Arial" w:cs="Arial"/>
        </w:rPr>
        <w:t>, dok je stanje duga po istim 8,94 mil. eura ili 0,26</w:t>
      </w:r>
      <w:r w:rsidRPr="0088638D">
        <w:rPr>
          <w:rFonts w:ascii="Arial" w:hAnsi="Arial" w:cs="Arial"/>
        </w:rPr>
        <w:t>% BDP-a</w:t>
      </w:r>
      <w:r>
        <w:rPr>
          <w:rFonts w:ascii="Arial" w:hAnsi="Arial" w:cs="Arial"/>
        </w:rPr>
        <w:t xml:space="preserve"> (Tabela br.6</w:t>
      </w:r>
      <w:r w:rsidRPr="0088638D">
        <w:rPr>
          <w:rFonts w:ascii="Arial" w:hAnsi="Arial" w:cs="Arial"/>
        </w:rPr>
        <w:t>).</w:t>
      </w:r>
    </w:p>
    <w:p w:rsidR="00C921C3" w:rsidRPr="0088638D" w:rsidRDefault="00C921C3" w:rsidP="00C921C3">
      <w:pPr>
        <w:pStyle w:val="BodyText"/>
        <w:ind w:firstLine="720"/>
        <w:rPr>
          <w:rFonts w:ascii="Arial" w:hAnsi="Arial" w:cs="Arial"/>
        </w:rPr>
      </w:pPr>
    </w:p>
    <w:p w:rsidR="00C921C3" w:rsidRDefault="00C921C3" w:rsidP="00C921C3">
      <w:pPr>
        <w:jc w:val="both"/>
        <w:rPr>
          <w:rFonts w:ascii="Arial" w:hAnsi="Arial" w:cs="Arial"/>
          <w:lang w:val="pl-PL"/>
        </w:rPr>
      </w:pPr>
      <w:r>
        <w:rPr>
          <w:rFonts w:ascii="Arial" w:hAnsi="Arial" w:cs="Arial"/>
          <w:lang w:val="pl-PL"/>
        </w:rPr>
        <w:t>Tabela 6</w:t>
      </w:r>
      <w:r w:rsidRPr="0088638D">
        <w:rPr>
          <w:rFonts w:ascii="Arial" w:hAnsi="Arial" w:cs="Arial"/>
          <w:lang w:val="pl-PL"/>
        </w:rPr>
        <w:t>. Izdate domaće garancije (u mil.eura)</w:t>
      </w:r>
    </w:p>
    <w:p w:rsidR="00C921C3" w:rsidRPr="0088638D" w:rsidRDefault="00C921C3" w:rsidP="00C921C3">
      <w:pPr>
        <w:jc w:val="both"/>
        <w:rPr>
          <w:rFonts w:ascii="Arial" w:hAnsi="Arial" w:cs="Arial"/>
          <w:lang w:val="pl-PL"/>
        </w:rPr>
      </w:pPr>
    </w:p>
    <w:tbl>
      <w:tblPr>
        <w:tblW w:w="105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560"/>
        <w:gridCol w:w="1559"/>
        <w:gridCol w:w="1559"/>
        <w:gridCol w:w="1601"/>
        <w:gridCol w:w="1440"/>
      </w:tblGrid>
      <w:tr w:rsidR="00C921C3" w:rsidRPr="00970180" w:rsidTr="008E34E9">
        <w:trPr>
          <w:trHeight w:val="1306"/>
        </w:trPr>
        <w:tc>
          <w:tcPr>
            <w:tcW w:w="567" w:type="dxa"/>
            <w:hideMark/>
          </w:tcPr>
          <w:p w:rsidR="00C921C3" w:rsidRPr="00970180" w:rsidRDefault="00C921C3" w:rsidP="00760A53">
            <w:pPr>
              <w:rPr>
                <w:rFonts w:ascii="Arial Narrow" w:hAnsi="Arial Narrow" w:cs="Arial"/>
                <w:sz w:val="20"/>
                <w:szCs w:val="20"/>
              </w:rPr>
            </w:pPr>
            <w:r w:rsidRPr="00970180">
              <w:rPr>
                <w:rFonts w:ascii="Arial Narrow" w:hAnsi="Arial Narrow" w:cs="Arial"/>
                <w:sz w:val="20"/>
                <w:szCs w:val="20"/>
              </w:rPr>
              <w:t>Rd. br.</w:t>
            </w:r>
          </w:p>
        </w:tc>
        <w:tc>
          <w:tcPr>
            <w:tcW w:w="2268" w:type="dxa"/>
            <w:hideMark/>
          </w:tcPr>
          <w:p w:rsidR="00C921C3" w:rsidRPr="00F13891" w:rsidRDefault="00C921C3" w:rsidP="00760A53">
            <w:pPr>
              <w:jc w:val="center"/>
              <w:rPr>
                <w:rFonts w:ascii="Arial" w:hAnsi="Arial" w:cs="Arial"/>
                <w:sz w:val="20"/>
                <w:szCs w:val="20"/>
              </w:rPr>
            </w:pPr>
            <w:r w:rsidRPr="00F13891">
              <w:rPr>
                <w:rFonts w:ascii="Arial" w:hAnsi="Arial" w:cs="Arial"/>
                <w:sz w:val="20"/>
                <w:szCs w:val="20"/>
              </w:rPr>
              <w:t>KREDITOR</w:t>
            </w:r>
          </w:p>
        </w:tc>
        <w:tc>
          <w:tcPr>
            <w:tcW w:w="1560" w:type="dxa"/>
            <w:hideMark/>
          </w:tcPr>
          <w:p w:rsidR="00C921C3" w:rsidRPr="00F13891" w:rsidRDefault="00C921C3" w:rsidP="00760A53">
            <w:pPr>
              <w:jc w:val="center"/>
              <w:rPr>
                <w:rFonts w:ascii="Arial" w:hAnsi="Arial" w:cs="Arial"/>
                <w:sz w:val="20"/>
                <w:szCs w:val="20"/>
              </w:rPr>
            </w:pPr>
            <w:r w:rsidRPr="00F13891">
              <w:rPr>
                <w:rFonts w:ascii="Arial" w:hAnsi="Arial" w:cs="Arial"/>
                <w:sz w:val="20"/>
                <w:szCs w:val="20"/>
              </w:rPr>
              <w:t>ZAJMOPRIMAC</w:t>
            </w:r>
          </w:p>
        </w:tc>
        <w:tc>
          <w:tcPr>
            <w:tcW w:w="1559" w:type="dxa"/>
            <w:hideMark/>
          </w:tcPr>
          <w:p w:rsidR="00C921C3" w:rsidRPr="00F13891" w:rsidRDefault="00C921C3" w:rsidP="00760A53">
            <w:pPr>
              <w:jc w:val="center"/>
              <w:rPr>
                <w:rFonts w:ascii="Arial" w:hAnsi="Arial" w:cs="Arial"/>
                <w:sz w:val="20"/>
                <w:szCs w:val="20"/>
              </w:rPr>
            </w:pPr>
            <w:r w:rsidRPr="00F13891">
              <w:rPr>
                <w:rFonts w:ascii="Arial" w:hAnsi="Arial" w:cs="Arial"/>
                <w:sz w:val="20"/>
                <w:szCs w:val="20"/>
              </w:rPr>
              <w:t>DATUM POTPISIVANJA GARANCIJE</w:t>
            </w:r>
          </w:p>
        </w:tc>
        <w:tc>
          <w:tcPr>
            <w:tcW w:w="1559" w:type="dxa"/>
            <w:hideMark/>
          </w:tcPr>
          <w:p w:rsidR="00C921C3" w:rsidRPr="00F13891" w:rsidRDefault="00C921C3" w:rsidP="00760A53">
            <w:pPr>
              <w:jc w:val="center"/>
              <w:rPr>
                <w:rFonts w:ascii="Arial" w:hAnsi="Arial" w:cs="Arial"/>
                <w:sz w:val="20"/>
                <w:szCs w:val="20"/>
              </w:rPr>
            </w:pPr>
            <w:r w:rsidRPr="00F13891">
              <w:rPr>
                <w:rFonts w:ascii="Arial" w:hAnsi="Arial" w:cs="Arial"/>
                <w:sz w:val="20"/>
                <w:szCs w:val="20"/>
              </w:rPr>
              <w:t>POTPISANI IZNOS (EUR)</w:t>
            </w:r>
          </w:p>
        </w:tc>
        <w:tc>
          <w:tcPr>
            <w:tcW w:w="1601" w:type="dxa"/>
            <w:hideMark/>
          </w:tcPr>
          <w:p w:rsidR="00C921C3" w:rsidRPr="00F13891" w:rsidRDefault="00C921C3" w:rsidP="00760A53">
            <w:pPr>
              <w:jc w:val="center"/>
              <w:rPr>
                <w:rFonts w:ascii="Arial" w:hAnsi="Arial" w:cs="Arial"/>
                <w:sz w:val="20"/>
                <w:szCs w:val="20"/>
              </w:rPr>
            </w:pPr>
            <w:r w:rsidRPr="00F13891">
              <w:rPr>
                <w:rFonts w:ascii="Arial" w:hAnsi="Arial" w:cs="Arial"/>
                <w:sz w:val="20"/>
                <w:szCs w:val="20"/>
              </w:rPr>
              <w:t>POVUČENI IZNOS SREDSTAVA DO 31.12.2014. (EUR)</w:t>
            </w:r>
          </w:p>
        </w:tc>
        <w:tc>
          <w:tcPr>
            <w:tcW w:w="1440" w:type="dxa"/>
            <w:hideMark/>
          </w:tcPr>
          <w:p w:rsidR="00C921C3" w:rsidRPr="00F13891" w:rsidRDefault="00C921C3" w:rsidP="00760A53">
            <w:pPr>
              <w:jc w:val="center"/>
              <w:rPr>
                <w:rFonts w:ascii="Arial" w:hAnsi="Arial" w:cs="Arial"/>
                <w:sz w:val="20"/>
                <w:szCs w:val="20"/>
              </w:rPr>
            </w:pPr>
            <w:proofErr w:type="spellStart"/>
            <w:r w:rsidRPr="00F13891">
              <w:rPr>
                <w:rFonts w:ascii="Arial" w:hAnsi="Arial" w:cs="Arial"/>
                <w:sz w:val="20"/>
                <w:szCs w:val="20"/>
              </w:rPr>
              <w:t>Stanje</w:t>
            </w:r>
            <w:proofErr w:type="spellEnd"/>
            <w:r w:rsidR="00F13891">
              <w:rPr>
                <w:rFonts w:ascii="Arial" w:hAnsi="Arial" w:cs="Arial"/>
                <w:sz w:val="20"/>
                <w:szCs w:val="20"/>
              </w:rPr>
              <w:t xml:space="preserve"> </w:t>
            </w:r>
            <w:proofErr w:type="spellStart"/>
            <w:r w:rsidRPr="00F13891">
              <w:rPr>
                <w:rFonts w:ascii="Arial" w:hAnsi="Arial" w:cs="Arial"/>
                <w:sz w:val="20"/>
                <w:szCs w:val="20"/>
              </w:rPr>
              <w:t>duga</w:t>
            </w:r>
            <w:proofErr w:type="spellEnd"/>
            <w:r w:rsidR="00F13891">
              <w:rPr>
                <w:rFonts w:ascii="Arial" w:hAnsi="Arial" w:cs="Arial"/>
                <w:sz w:val="20"/>
                <w:szCs w:val="20"/>
              </w:rPr>
              <w:t xml:space="preserve"> </w:t>
            </w:r>
            <w:proofErr w:type="spellStart"/>
            <w:r w:rsidRPr="00F13891">
              <w:rPr>
                <w:rFonts w:ascii="Arial" w:hAnsi="Arial" w:cs="Arial"/>
                <w:sz w:val="20"/>
                <w:szCs w:val="20"/>
              </w:rPr>
              <w:t>na</w:t>
            </w:r>
            <w:proofErr w:type="spellEnd"/>
            <w:r w:rsidRPr="00F13891">
              <w:rPr>
                <w:rFonts w:ascii="Arial" w:hAnsi="Arial" w:cs="Arial"/>
                <w:sz w:val="20"/>
                <w:szCs w:val="20"/>
              </w:rPr>
              <w:t xml:space="preserve"> 31.12.2014. (EUR)</w:t>
            </w:r>
          </w:p>
        </w:tc>
      </w:tr>
      <w:tr w:rsidR="00C921C3" w:rsidTr="0031253E">
        <w:trPr>
          <w:trHeight w:val="549"/>
        </w:trPr>
        <w:tc>
          <w:tcPr>
            <w:tcW w:w="567" w:type="dxa"/>
            <w:noWrap/>
            <w:vAlign w:val="center"/>
            <w:hideMark/>
          </w:tcPr>
          <w:p w:rsidR="00C921C3" w:rsidRPr="0031253E" w:rsidRDefault="00C921C3" w:rsidP="0031253E">
            <w:pPr>
              <w:jc w:val="center"/>
              <w:rPr>
                <w:rFonts w:ascii="Arial" w:hAnsi="Arial" w:cs="Arial"/>
                <w:sz w:val="20"/>
                <w:szCs w:val="20"/>
              </w:rPr>
            </w:pPr>
            <w:r w:rsidRPr="0031253E">
              <w:rPr>
                <w:rFonts w:ascii="Arial" w:hAnsi="Arial" w:cs="Arial"/>
                <w:sz w:val="20"/>
                <w:szCs w:val="20"/>
              </w:rPr>
              <w:t>1</w:t>
            </w:r>
          </w:p>
        </w:tc>
        <w:tc>
          <w:tcPr>
            <w:tcW w:w="2268" w:type="dxa"/>
            <w:hideMark/>
          </w:tcPr>
          <w:p w:rsidR="00C921C3" w:rsidRPr="00873D8A" w:rsidRDefault="00C921C3" w:rsidP="00760A53">
            <w:pPr>
              <w:jc w:val="center"/>
              <w:rPr>
                <w:rFonts w:ascii="Arial" w:hAnsi="Arial" w:cs="Arial"/>
                <w:sz w:val="20"/>
                <w:szCs w:val="20"/>
              </w:rPr>
            </w:pPr>
            <w:r w:rsidRPr="00873D8A">
              <w:rPr>
                <w:rFonts w:ascii="Arial" w:hAnsi="Arial" w:cs="Arial"/>
                <w:sz w:val="20"/>
                <w:szCs w:val="20"/>
              </w:rPr>
              <w:t>NLB Montenegrobanka</w:t>
            </w:r>
          </w:p>
        </w:tc>
        <w:tc>
          <w:tcPr>
            <w:tcW w:w="1560" w:type="dxa"/>
            <w:hideMark/>
          </w:tcPr>
          <w:p w:rsidR="00C921C3" w:rsidRPr="00282FE2" w:rsidRDefault="00C921C3" w:rsidP="00760A53">
            <w:pPr>
              <w:jc w:val="center"/>
              <w:rPr>
                <w:rFonts w:ascii="Arial" w:hAnsi="Arial" w:cs="Arial"/>
                <w:sz w:val="20"/>
                <w:szCs w:val="20"/>
              </w:rPr>
            </w:pPr>
            <w:r w:rsidRPr="00282FE2">
              <w:rPr>
                <w:rFonts w:ascii="Arial" w:hAnsi="Arial" w:cs="Arial"/>
                <w:sz w:val="20"/>
                <w:szCs w:val="20"/>
              </w:rPr>
              <w:t>Montenegro Airlines</w:t>
            </w:r>
          </w:p>
        </w:tc>
        <w:tc>
          <w:tcPr>
            <w:tcW w:w="1559" w:type="dxa"/>
            <w:hideMark/>
          </w:tcPr>
          <w:p w:rsidR="00C921C3" w:rsidRPr="00282FE2" w:rsidRDefault="00C921C3" w:rsidP="00760A53">
            <w:pPr>
              <w:jc w:val="center"/>
              <w:rPr>
                <w:rFonts w:ascii="Arial" w:hAnsi="Arial" w:cs="Arial"/>
                <w:sz w:val="20"/>
                <w:szCs w:val="20"/>
              </w:rPr>
            </w:pPr>
            <w:r w:rsidRPr="00282FE2">
              <w:rPr>
                <w:rFonts w:ascii="Arial" w:hAnsi="Arial" w:cs="Arial"/>
                <w:sz w:val="20"/>
                <w:szCs w:val="20"/>
              </w:rPr>
              <w:t>25.02.2010.</w:t>
            </w:r>
          </w:p>
        </w:tc>
        <w:tc>
          <w:tcPr>
            <w:tcW w:w="1559"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1,800,000.00</w:t>
            </w:r>
          </w:p>
        </w:tc>
        <w:tc>
          <w:tcPr>
            <w:tcW w:w="1601"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1,800,000.00</w:t>
            </w:r>
          </w:p>
        </w:tc>
        <w:tc>
          <w:tcPr>
            <w:tcW w:w="1440"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1,072,107.53</w:t>
            </w:r>
          </w:p>
        </w:tc>
      </w:tr>
      <w:tr w:rsidR="00C921C3" w:rsidTr="0031253E">
        <w:trPr>
          <w:trHeight w:val="549"/>
        </w:trPr>
        <w:tc>
          <w:tcPr>
            <w:tcW w:w="567" w:type="dxa"/>
            <w:noWrap/>
            <w:vAlign w:val="center"/>
            <w:hideMark/>
          </w:tcPr>
          <w:p w:rsidR="00C921C3" w:rsidRPr="0031253E" w:rsidRDefault="00C921C3" w:rsidP="0031253E">
            <w:pPr>
              <w:jc w:val="center"/>
              <w:rPr>
                <w:rFonts w:ascii="Arial" w:hAnsi="Arial" w:cs="Arial"/>
                <w:sz w:val="20"/>
                <w:szCs w:val="20"/>
              </w:rPr>
            </w:pPr>
            <w:r w:rsidRPr="0031253E">
              <w:rPr>
                <w:rFonts w:ascii="Arial" w:hAnsi="Arial" w:cs="Arial"/>
                <w:sz w:val="20"/>
                <w:szCs w:val="20"/>
              </w:rPr>
              <w:t>2</w:t>
            </w:r>
          </w:p>
        </w:tc>
        <w:tc>
          <w:tcPr>
            <w:tcW w:w="2268" w:type="dxa"/>
            <w:hideMark/>
          </w:tcPr>
          <w:p w:rsidR="00C921C3" w:rsidRPr="00873D8A" w:rsidRDefault="00C921C3" w:rsidP="00760A53">
            <w:pPr>
              <w:jc w:val="center"/>
              <w:rPr>
                <w:rFonts w:ascii="Arial" w:hAnsi="Arial" w:cs="Arial"/>
                <w:sz w:val="20"/>
                <w:szCs w:val="20"/>
              </w:rPr>
            </w:pPr>
            <w:r w:rsidRPr="00873D8A">
              <w:rPr>
                <w:rFonts w:ascii="Arial" w:hAnsi="Arial" w:cs="Arial"/>
                <w:sz w:val="20"/>
                <w:szCs w:val="20"/>
              </w:rPr>
              <w:t>NLB Montenegrobanka</w:t>
            </w:r>
          </w:p>
        </w:tc>
        <w:tc>
          <w:tcPr>
            <w:tcW w:w="1560" w:type="dxa"/>
            <w:hideMark/>
          </w:tcPr>
          <w:p w:rsidR="00C921C3" w:rsidRPr="00282FE2" w:rsidRDefault="00C921C3" w:rsidP="00760A53">
            <w:pPr>
              <w:jc w:val="center"/>
              <w:rPr>
                <w:rFonts w:ascii="Arial" w:hAnsi="Arial" w:cs="Arial"/>
                <w:sz w:val="20"/>
                <w:szCs w:val="20"/>
              </w:rPr>
            </w:pPr>
            <w:r w:rsidRPr="00282FE2">
              <w:rPr>
                <w:rFonts w:ascii="Arial" w:hAnsi="Arial" w:cs="Arial"/>
                <w:sz w:val="20"/>
                <w:szCs w:val="20"/>
              </w:rPr>
              <w:t>Montenegro Airlines</w:t>
            </w:r>
          </w:p>
        </w:tc>
        <w:tc>
          <w:tcPr>
            <w:tcW w:w="1559" w:type="dxa"/>
            <w:hideMark/>
          </w:tcPr>
          <w:p w:rsidR="00C921C3" w:rsidRPr="00282FE2" w:rsidRDefault="00C921C3" w:rsidP="00760A53">
            <w:pPr>
              <w:jc w:val="center"/>
              <w:rPr>
                <w:rFonts w:ascii="Arial" w:hAnsi="Arial" w:cs="Arial"/>
                <w:sz w:val="20"/>
                <w:szCs w:val="20"/>
              </w:rPr>
            </w:pPr>
            <w:r w:rsidRPr="00282FE2">
              <w:rPr>
                <w:rFonts w:ascii="Arial" w:hAnsi="Arial" w:cs="Arial"/>
                <w:sz w:val="20"/>
                <w:szCs w:val="20"/>
              </w:rPr>
              <w:t>13.12.2011.</w:t>
            </w:r>
          </w:p>
        </w:tc>
        <w:tc>
          <w:tcPr>
            <w:tcW w:w="1559"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2,400,000.00</w:t>
            </w:r>
          </w:p>
        </w:tc>
        <w:tc>
          <w:tcPr>
            <w:tcW w:w="1601"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1,997,580.74</w:t>
            </w:r>
          </w:p>
        </w:tc>
        <w:tc>
          <w:tcPr>
            <w:tcW w:w="1440"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1,750,308.68</w:t>
            </w:r>
          </w:p>
        </w:tc>
      </w:tr>
      <w:tr w:rsidR="00C921C3" w:rsidTr="0031253E">
        <w:trPr>
          <w:trHeight w:val="653"/>
        </w:trPr>
        <w:tc>
          <w:tcPr>
            <w:tcW w:w="567" w:type="dxa"/>
            <w:noWrap/>
            <w:vAlign w:val="center"/>
            <w:hideMark/>
          </w:tcPr>
          <w:p w:rsidR="00C921C3" w:rsidRPr="0031253E" w:rsidRDefault="00C921C3" w:rsidP="0031253E">
            <w:pPr>
              <w:jc w:val="center"/>
              <w:rPr>
                <w:rFonts w:ascii="Arial" w:hAnsi="Arial" w:cs="Arial"/>
                <w:sz w:val="20"/>
                <w:szCs w:val="20"/>
              </w:rPr>
            </w:pPr>
            <w:r w:rsidRPr="0031253E">
              <w:rPr>
                <w:rFonts w:ascii="Arial" w:hAnsi="Arial" w:cs="Arial"/>
                <w:sz w:val="20"/>
                <w:szCs w:val="20"/>
              </w:rPr>
              <w:t>3</w:t>
            </w:r>
          </w:p>
        </w:tc>
        <w:tc>
          <w:tcPr>
            <w:tcW w:w="2268" w:type="dxa"/>
            <w:hideMark/>
          </w:tcPr>
          <w:p w:rsidR="00C921C3" w:rsidRPr="00873D8A" w:rsidRDefault="00C921C3" w:rsidP="00760A53">
            <w:pPr>
              <w:jc w:val="center"/>
              <w:rPr>
                <w:rFonts w:ascii="Arial" w:hAnsi="Arial" w:cs="Arial"/>
                <w:sz w:val="20"/>
                <w:szCs w:val="20"/>
              </w:rPr>
            </w:pPr>
            <w:proofErr w:type="spellStart"/>
            <w:r w:rsidRPr="00873D8A">
              <w:rPr>
                <w:rFonts w:ascii="Arial" w:hAnsi="Arial" w:cs="Arial"/>
                <w:sz w:val="20"/>
                <w:szCs w:val="20"/>
              </w:rPr>
              <w:t>Hipotekarna</w:t>
            </w:r>
            <w:proofErr w:type="spellEnd"/>
            <w:r w:rsidR="00282FE2">
              <w:rPr>
                <w:rFonts w:ascii="Arial" w:hAnsi="Arial" w:cs="Arial"/>
                <w:sz w:val="20"/>
                <w:szCs w:val="20"/>
              </w:rPr>
              <w:t xml:space="preserve"> </w:t>
            </w:r>
            <w:r w:rsidRPr="00873D8A">
              <w:rPr>
                <w:rFonts w:ascii="Arial" w:hAnsi="Arial" w:cs="Arial"/>
                <w:sz w:val="20"/>
                <w:szCs w:val="20"/>
              </w:rPr>
              <w:t>banka</w:t>
            </w:r>
            <w:r w:rsidR="00282FE2">
              <w:rPr>
                <w:rFonts w:ascii="Arial" w:hAnsi="Arial" w:cs="Arial"/>
                <w:sz w:val="20"/>
                <w:szCs w:val="20"/>
              </w:rPr>
              <w:t xml:space="preserve"> </w:t>
            </w:r>
            <w:proofErr w:type="spellStart"/>
            <w:r w:rsidRPr="00873D8A">
              <w:rPr>
                <w:rFonts w:ascii="Arial" w:hAnsi="Arial" w:cs="Arial"/>
                <w:sz w:val="20"/>
                <w:szCs w:val="20"/>
              </w:rPr>
              <w:t>a.d.</w:t>
            </w:r>
            <w:proofErr w:type="spellEnd"/>
          </w:p>
        </w:tc>
        <w:tc>
          <w:tcPr>
            <w:tcW w:w="1560" w:type="dxa"/>
            <w:hideMark/>
          </w:tcPr>
          <w:p w:rsidR="00C921C3" w:rsidRPr="00282FE2" w:rsidRDefault="00C921C3" w:rsidP="00760A53">
            <w:pPr>
              <w:jc w:val="center"/>
              <w:rPr>
                <w:rFonts w:ascii="Arial" w:hAnsi="Arial" w:cs="Arial"/>
                <w:sz w:val="20"/>
                <w:szCs w:val="20"/>
              </w:rPr>
            </w:pPr>
            <w:r w:rsidRPr="00282FE2">
              <w:rPr>
                <w:rFonts w:ascii="Arial" w:hAnsi="Arial" w:cs="Arial"/>
                <w:sz w:val="20"/>
                <w:szCs w:val="20"/>
              </w:rPr>
              <w:t>Montenegro Airlines</w:t>
            </w:r>
          </w:p>
        </w:tc>
        <w:tc>
          <w:tcPr>
            <w:tcW w:w="1559" w:type="dxa"/>
            <w:hideMark/>
          </w:tcPr>
          <w:p w:rsidR="00C921C3" w:rsidRPr="00282FE2" w:rsidRDefault="00C921C3" w:rsidP="00760A53">
            <w:pPr>
              <w:jc w:val="center"/>
              <w:rPr>
                <w:rFonts w:ascii="Arial" w:hAnsi="Arial" w:cs="Arial"/>
                <w:sz w:val="20"/>
                <w:szCs w:val="20"/>
              </w:rPr>
            </w:pPr>
            <w:r w:rsidRPr="00282FE2">
              <w:rPr>
                <w:rFonts w:ascii="Arial" w:hAnsi="Arial" w:cs="Arial"/>
                <w:sz w:val="20"/>
                <w:szCs w:val="20"/>
              </w:rPr>
              <w:t>31.12.2009.</w:t>
            </w:r>
          </w:p>
        </w:tc>
        <w:tc>
          <w:tcPr>
            <w:tcW w:w="1559"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2,700,000.00</w:t>
            </w:r>
          </w:p>
        </w:tc>
        <w:tc>
          <w:tcPr>
            <w:tcW w:w="1601"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2,700,000.00</w:t>
            </w:r>
          </w:p>
        </w:tc>
        <w:tc>
          <w:tcPr>
            <w:tcW w:w="1440"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2,324,525.24</w:t>
            </w:r>
          </w:p>
        </w:tc>
      </w:tr>
      <w:tr w:rsidR="00C921C3" w:rsidTr="0031253E">
        <w:trPr>
          <w:trHeight w:val="549"/>
        </w:trPr>
        <w:tc>
          <w:tcPr>
            <w:tcW w:w="567" w:type="dxa"/>
            <w:noWrap/>
            <w:vAlign w:val="center"/>
            <w:hideMark/>
          </w:tcPr>
          <w:p w:rsidR="00C921C3" w:rsidRPr="0031253E" w:rsidRDefault="00C921C3" w:rsidP="0031253E">
            <w:pPr>
              <w:jc w:val="center"/>
              <w:rPr>
                <w:rFonts w:ascii="Arial" w:hAnsi="Arial" w:cs="Arial"/>
                <w:sz w:val="20"/>
                <w:szCs w:val="20"/>
              </w:rPr>
            </w:pPr>
            <w:r w:rsidRPr="0031253E">
              <w:rPr>
                <w:rFonts w:ascii="Arial" w:hAnsi="Arial" w:cs="Arial"/>
                <w:sz w:val="20"/>
                <w:szCs w:val="20"/>
              </w:rPr>
              <w:t>4</w:t>
            </w:r>
          </w:p>
        </w:tc>
        <w:tc>
          <w:tcPr>
            <w:tcW w:w="2268" w:type="dxa"/>
            <w:hideMark/>
          </w:tcPr>
          <w:p w:rsidR="00C921C3" w:rsidRPr="00873D8A" w:rsidRDefault="00C921C3" w:rsidP="00760A53">
            <w:pPr>
              <w:jc w:val="center"/>
              <w:rPr>
                <w:rFonts w:ascii="Arial" w:hAnsi="Arial" w:cs="Arial"/>
                <w:sz w:val="20"/>
                <w:szCs w:val="20"/>
              </w:rPr>
            </w:pPr>
            <w:proofErr w:type="spellStart"/>
            <w:r w:rsidRPr="00873D8A">
              <w:rPr>
                <w:rFonts w:ascii="Arial" w:hAnsi="Arial" w:cs="Arial"/>
                <w:sz w:val="20"/>
                <w:szCs w:val="20"/>
              </w:rPr>
              <w:t>Hipotekarna</w:t>
            </w:r>
            <w:proofErr w:type="spellEnd"/>
            <w:r w:rsidR="00282FE2">
              <w:rPr>
                <w:rFonts w:ascii="Arial" w:hAnsi="Arial" w:cs="Arial"/>
                <w:sz w:val="20"/>
                <w:szCs w:val="20"/>
              </w:rPr>
              <w:t xml:space="preserve"> </w:t>
            </w:r>
            <w:r w:rsidRPr="00873D8A">
              <w:rPr>
                <w:rFonts w:ascii="Arial" w:hAnsi="Arial" w:cs="Arial"/>
                <w:sz w:val="20"/>
                <w:szCs w:val="20"/>
              </w:rPr>
              <w:t>banka</w:t>
            </w:r>
            <w:r w:rsidR="00282FE2">
              <w:rPr>
                <w:rFonts w:ascii="Arial" w:hAnsi="Arial" w:cs="Arial"/>
                <w:sz w:val="20"/>
                <w:szCs w:val="20"/>
              </w:rPr>
              <w:t xml:space="preserve"> </w:t>
            </w:r>
            <w:proofErr w:type="spellStart"/>
            <w:r w:rsidRPr="00873D8A">
              <w:rPr>
                <w:rFonts w:ascii="Arial" w:hAnsi="Arial" w:cs="Arial"/>
                <w:sz w:val="20"/>
                <w:szCs w:val="20"/>
              </w:rPr>
              <w:t>a.d.</w:t>
            </w:r>
            <w:proofErr w:type="spellEnd"/>
          </w:p>
        </w:tc>
        <w:tc>
          <w:tcPr>
            <w:tcW w:w="1560" w:type="dxa"/>
            <w:hideMark/>
          </w:tcPr>
          <w:p w:rsidR="00C921C3" w:rsidRPr="00282FE2" w:rsidRDefault="00C921C3" w:rsidP="00760A53">
            <w:pPr>
              <w:jc w:val="center"/>
              <w:rPr>
                <w:rFonts w:ascii="Arial" w:hAnsi="Arial" w:cs="Arial"/>
                <w:sz w:val="20"/>
                <w:szCs w:val="20"/>
              </w:rPr>
            </w:pPr>
            <w:r w:rsidRPr="00282FE2">
              <w:rPr>
                <w:rFonts w:ascii="Arial" w:hAnsi="Arial" w:cs="Arial"/>
                <w:sz w:val="20"/>
                <w:szCs w:val="20"/>
              </w:rPr>
              <w:t>Montenegro Airlines</w:t>
            </w:r>
          </w:p>
        </w:tc>
        <w:tc>
          <w:tcPr>
            <w:tcW w:w="1559" w:type="dxa"/>
            <w:hideMark/>
          </w:tcPr>
          <w:p w:rsidR="00C921C3" w:rsidRPr="00282FE2" w:rsidRDefault="00C921C3" w:rsidP="00760A53">
            <w:pPr>
              <w:jc w:val="center"/>
              <w:rPr>
                <w:rFonts w:ascii="Arial" w:hAnsi="Arial" w:cs="Arial"/>
                <w:sz w:val="20"/>
                <w:szCs w:val="20"/>
              </w:rPr>
            </w:pPr>
            <w:r w:rsidRPr="00282FE2">
              <w:rPr>
                <w:rFonts w:ascii="Arial" w:hAnsi="Arial" w:cs="Arial"/>
                <w:sz w:val="20"/>
                <w:szCs w:val="20"/>
              </w:rPr>
              <w:t>06.05.2011.</w:t>
            </w:r>
          </w:p>
        </w:tc>
        <w:tc>
          <w:tcPr>
            <w:tcW w:w="1559"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2,000,000.00</w:t>
            </w:r>
          </w:p>
        </w:tc>
        <w:tc>
          <w:tcPr>
            <w:tcW w:w="1601"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2,000,000.00</w:t>
            </w:r>
          </w:p>
        </w:tc>
        <w:tc>
          <w:tcPr>
            <w:tcW w:w="1440"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1,518,136.44</w:t>
            </w:r>
          </w:p>
        </w:tc>
      </w:tr>
      <w:tr w:rsidR="00C921C3" w:rsidTr="0031253E">
        <w:trPr>
          <w:trHeight w:val="668"/>
        </w:trPr>
        <w:tc>
          <w:tcPr>
            <w:tcW w:w="567" w:type="dxa"/>
            <w:noWrap/>
            <w:vAlign w:val="center"/>
            <w:hideMark/>
          </w:tcPr>
          <w:p w:rsidR="00C921C3" w:rsidRPr="0031253E" w:rsidRDefault="0031253E" w:rsidP="0031253E">
            <w:pPr>
              <w:jc w:val="center"/>
              <w:rPr>
                <w:rFonts w:ascii="Arial" w:hAnsi="Arial" w:cs="Arial"/>
                <w:sz w:val="20"/>
                <w:szCs w:val="20"/>
              </w:rPr>
            </w:pPr>
            <w:r w:rsidRPr="0031253E">
              <w:rPr>
                <w:rFonts w:ascii="Arial" w:hAnsi="Arial" w:cs="Arial"/>
                <w:sz w:val="20"/>
                <w:szCs w:val="20"/>
              </w:rPr>
              <w:t>5</w:t>
            </w:r>
          </w:p>
        </w:tc>
        <w:tc>
          <w:tcPr>
            <w:tcW w:w="2268" w:type="dxa"/>
            <w:hideMark/>
          </w:tcPr>
          <w:p w:rsidR="00C921C3" w:rsidRPr="00873D8A" w:rsidRDefault="00C921C3" w:rsidP="00760A53">
            <w:pPr>
              <w:jc w:val="center"/>
              <w:rPr>
                <w:rFonts w:ascii="Arial" w:hAnsi="Arial" w:cs="Arial"/>
                <w:sz w:val="20"/>
                <w:szCs w:val="20"/>
              </w:rPr>
            </w:pPr>
            <w:proofErr w:type="spellStart"/>
            <w:r w:rsidRPr="00873D8A">
              <w:rPr>
                <w:rFonts w:ascii="Arial" w:hAnsi="Arial" w:cs="Arial"/>
                <w:sz w:val="20"/>
                <w:szCs w:val="20"/>
              </w:rPr>
              <w:t>Investiciono</w:t>
            </w:r>
            <w:proofErr w:type="spellEnd"/>
            <w:r w:rsidR="00282FE2">
              <w:rPr>
                <w:rFonts w:ascii="Arial" w:hAnsi="Arial" w:cs="Arial"/>
                <w:sz w:val="20"/>
                <w:szCs w:val="20"/>
              </w:rPr>
              <w:t xml:space="preserve"> </w:t>
            </w:r>
            <w:proofErr w:type="spellStart"/>
            <w:r w:rsidRPr="00873D8A">
              <w:rPr>
                <w:rFonts w:ascii="Arial" w:hAnsi="Arial" w:cs="Arial"/>
                <w:sz w:val="20"/>
                <w:szCs w:val="20"/>
              </w:rPr>
              <w:t>razvojni</w:t>
            </w:r>
            <w:proofErr w:type="spellEnd"/>
            <w:r w:rsidRPr="00873D8A">
              <w:rPr>
                <w:rFonts w:ascii="Arial" w:hAnsi="Arial" w:cs="Arial"/>
                <w:sz w:val="20"/>
                <w:szCs w:val="20"/>
              </w:rPr>
              <w:t xml:space="preserve"> fond AD</w:t>
            </w:r>
          </w:p>
        </w:tc>
        <w:tc>
          <w:tcPr>
            <w:tcW w:w="1560" w:type="dxa"/>
            <w:hideMark/>
          </w:tcPr>
          <w:p w:rsidR="00C921C3" w:rsidRPr="00282FE2" w:rsidRDefault="00C921C3" w:rsidP="00760A53">
            <w:pPr>
              <w:jc w:val="center"/>
              <w:rPr>
                <w:rFonts w:ascii="Arial" w:hAnsi="Arial" w:cs="Arial"/>
                <w:sz w:val="20"/>
                <w:szCs w:val="20"/>
              </w:rPr>
            </w:pPr>
            <w:proofErr w:type="spellStart"/>
            <w:r w:rsidRPr="00282FE2">
              <w:rPr>
                <w:rFonts w:ascii="Arial" w:hAnsi="Arial" w:cs="Arial"/>
                <w:sz w:val="20"/>
                <w:szCs w:val="20"/>
              </w:rPr>
              <w:t>Crnogorskaplovidbaa.d</w:t>
            </w:r>
            <w:proofErr w:type="spellEnd"/>
            <w:r w:rsidRPr="00282FE2">
              <w:rPr>
                <w:rFonts w:ascii="Arial" w:hAnsi="Arial" w:cs="Arial"/>
                <w:sz w:val="20"/>
                <w:szCs w:val="20"/>
              </w:rPr>
              <w:t xml:space="preserve">. </w:t>
            </w:r>
            <w:proofErr w:type="spellStart"/>
            <w:r w:rsidRPr="00282FE2">
              <w:rPr>
                <w:rFonts w:ascii="Arial" w:hAnsi="Arial" w:cs="Arial"/>
                <w:sz w:val="20"/>
                <w:szCs w:val="20"/>
              </w:rPr>
              <w:t>Kotor</w:t>
            </w:r>
            <w:proofErr w:type="spellEnd"/>
          </w:p>
        </w:tc>
        <w:tc>
          <w:tcPr>
            <w:tcW w:w="1559" w:type="dxa"/>
            <w:hideMark/>
          </w:tcPr>
          <w:p w:rsidR="00C921C3" w:rsidRPr="00282FE2" w:rsidRDefault="00C921C3" w:rsidP="00760A53">
            <w:pPr>
              <w:jc w:val="center"/>
              <w:rPr>
                <w:rFonts w:ascii="Arial" w:hAnsi="Arial" w:cs="Arial"/>
                <w:sz w:val="20"/>
                <w:szCs w:val="20"/>
              </w:rPr>
            </w:pPr>
            <w:r w:rsidRPr="00282FE2">
              <w:rPr>
                <w:rFonts w:ascii="Arial" w:hAnsi="Arial" w:cs="Arial"/>
                <w:sz w:val="20"/>
                <w:szCs w:val="20"/>
              </w:rPr>
              <w:t>30.12.2011.</w:t>
            </w:r>
          </w:p>
        </w:tc>
        <w:tc>
          <w:tcPr>
            <w:tcW w:w="1559"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1,500,000.00</w:t>
            </w:r>
          </w:p>
        </w:tc>
        <w:tc>
          <w:tcPr>
            <w:tcW w:w="1601"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1,000,000.00</w:t>
            </w:r>
          </w:p>
        </w:tc>
        <w:tc>
          <w:tcPr>
            <w:tcW w:w="1440"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185,494.66</w:t>
            </w:r>
          </w:p>
        </w:tc>
      </w:tr>
      <w:tr w:rsidR="00C921C3" w:rsidTr="0031253E">
        <w:trPr>
          <w:trHeight w:val="965"/>
        </w:trPr>
        <w:tc>
          <w:tcPr>
            <w:tcW w:w="567" w:type="dxa"/>
            <w:noWrap/>
            <w:vAlign w:val="center"/>
            <w:hideMark/>
          </w:tcPr>
          <w:p w:rsidR="00C921C3" w:rsidRPr="0031253E" w:rsidRDefault="0031253E" w:rsidP="0031253E">
            <w:pPr>
              <w:jc w:val="center"/>
              <w:rPr>
                <w:rFonts w:ascii="Arial" w:hAnsi="Arial" w:cs="Arial"/>
                <w:sz w:val="20"/>
                <w:szCs w:val="20"/>
              </w:rPr>
            </w:pPr>
            <w:r w:rsidRPr="0031253E">
              <w:rPr>
                <w:rFonts w:ascii="Arial" w:hAnsi="Arial" w:cs="Arial"/>
                <w:sz w:val="20"/>
                <w:szCs w:val="20"/>
              </w:rPr>
              <w:t>6</w:t>
            </w:r>
          </w:p>
        </w:tc>
        <w:tc>
          <w:tcPr>
            <w:tcW w:w="2268" w:type="dxa"/>
            <w:hideMark/>
          </w:tcPr>
          <w:p w:rsidR="00C921C3" w:rsidRPr="00873D8A" w:rsidRDefault="00C921C3" w:rsidP="00760A53">
            <w:pPr>
              <w:jc w:val="center"/>
              <w:rPr>
                <w:rFonts w:ascii="Arial" w:hAnsi="Arial" w:cs="Arial"/>
                <w:sz w:val="20"/>
                <w:szCs w:val="20"/>
              </w:rPr>
            </w:pPr>
            <w:proofErr w:type="spellStart"/>
            <w:r w:rsidRPr="00873D8A">
              <w:rPr>
                <w:rFonts w:ascii="Arial" w:hAnsi="Arial" w:cs="Arial"/>
                <w:sz w:val="20"/>
                <w:szCs w:val="20"/>
              </w:rPr>
              <w:t>Crnogorska</w:t>
            </w:r>
            <w:proofErr w:type="spellEnd"/>
            <w:r w:rsidR="00282FE2">
              <w:rPr>
                <w:rFonts w:ascii="Arial" w:hAnsi="Arial" w:cs="Arial"/>
                <w:sz w:val="20"/>
                <w:szCs w:val="20"/>
              </w:rPr>
              <w:t xml:space="preserve"> </w:t>
            </w:r>
            <w:proofErr w:type="spellStart"/>
            <w:r w:rsidRPr="00873D8A">
              <w:rPr>
                <w:rFonts w:ascii="Arial" w:hAnsi="Arial" w:cs="Arial"/>
                <w:sz w:val="20"/>
                <w:szCs w:val="20"/>
              </w:rPr>
              <w:t>komercijalna</w:t>
            </w:r>
            <w:proofErr w:type="spellEnd"/>
            <w:r w:rsidR="00282FE2">
              <w:rPr>
                <w:rFonts w:ascii="Arial" w:hAnsi="Arial" w:cs="Arial"/>
                <w:sz w:val="20"/>
                <w:szCs w:val="20"/>
              </w:rPr>
              <w:t xml:space="preserve"> </w:t>
            </w:r>
            <w:r w:rsidRPr="00873D8A">
              <w:rPr>
                <w:rFonts w:ascii="Arial" w:hAnsi="Arial" w:cs="Arial"/>
                <w:sz w:val="20"/>
                <w:szCs w:val="20"/>
              </w:rPr>
              <w:t>banka</w:t>
            </w:r>
            <w:r w:rsidR="00282FE2">
              <w:rPr>
                <w:rFonts w:ascii="Arial" w:hAnsi="Arial" w:cs="Arial"/>
                <w:sz w:val="20"/>
                <w:szCs w:val="20"/>
              </w:rPr>
              <w:t xml:space="preserve"> </w:t>
            </w:r>
            <w:proofErr w:type="spellStart"/>
            <w:r w:rsidRPr="00873D8A">
              <w:rPr>
                <w:rFonts w:ascii="Arial" w:hAnsi="Arial" w:cs="Arial"/>
                <w:sz w:val="20"/>
                <w:szCs w:val="20"/>
              </w:rPr>
              <w:t>a.d.Podgorica</w:t>
            </w:r>
            <w:proofErr w:type="spellEnd"/>
          </w:p>
        </w:tc>
        <w:tc>
          <w:tcPr>
            <w:tcW w:w="1560" w:type="dxa"/>
            <w:hideMark/>
          </w:tcPr>
          <w:p w:rsidR="00C921C3" w:rsidRPr="00282FE2" w:rsidRDefault="00C921C3" w:rsidP="00760A53">
            <w:pPr>
              <w:jc w:val="center"/>
              <w:rPr>
                <w:rFonts w:ascii="Arial" w:hAnsi="Arial" w:cs="Arial"/>
                <w:sz w:val="20"/>
                <w:szCs w:val="20"/>
              </w:rPr>
            </w:pPr>
            <w:proofErr w:type="spellStart"/>
            <w:r w:rsidRPr="00282FE2">
              <w:rPr>
                <w:rFonts w:ascii="Arial" w:hAnsi="Arial" w:cs="Arial"/>
                <w:sz w:val="20"/>
                <w:szCs w:val="20"/>
              </w:rPr>
              <w:t>Jadranskobrodogradilištea.d.Bijela</w:t>
            </w:r>
            <w:proofErr w:type="spellEnd"/>
          </w:p>
        </w:tc>
        <w:tc>
          <w:tcPr>
            <w:tcW w:w="1559" w:type="dxa"/>
            <w:hideMark/>
          </w:tcPr>
          <w:p w:rsidR="00C921C3" w:rsidRPr="00282FE2" w:rsidRDefault="00C921C3" w:rsidP="00760A53">
            <w:pPr>
              <w:jc w:val="center"/>
              <w:rPr>
                <w:rFonts w:ascii="Arial" w:hAnsi="Arial" w:cs="Arial"/>
                <w:sz w:val="20"/>
                <w:szCs w:val="20"/>
              </w:rPr>
            </w:pPr>
            <w:r w:rsidRPr="00282FE2">
              <w:rPr>
                <w:rFonts w:ascii="Arial" w:hAnsi="Arial" w:cs="Arial"/>
                <w:sz w:val="20"/>
                <w:szCs w:val="20"/>
              </w:rPr>
              <w:t>19.01.2012.</w:t>
            </w:r>
          </w:p>
        </w:tc>
        <w:tc>
          <w:tcPr>
            <w:tcW w:w="1559"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1,050,000.00</w:t>
            </w:r>
          </w:p>
        </w:tc>
        <w:tc>
          <w:tcPr>
            <w:tcW w:w="1601"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1,050,000.00</w:t>
            </w:r>
          </w:p>
        </w:tc>
        <w:tc>
          <w:tcPr>
            <w:tcW w:w="1440"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893,308.94</w:t>
            </w:r>
          </w:p>
        </w:tc>
      </w:tr>
      <w:tr w:rsidR="00C921C3" w:rsidTr="0031253E">
        <w:trPr>
          <w:trHeight w:val="594"/>
        </w:trPr>
        <w:tc>
          <w:tcPr>
            <w:tcW w:w="567" w:type="dxa"/>
            <w:noWrap/>
            <w:vAlign w:val="center"/>
            <w:hideMark/>
          </w:tcPr>
          <w:p w:rsidR="00C921C3" w:rsidRPr="0031253E" w:rsidRDefault="0031253E" w:rsidP="0031253E">
            <w:pPr>
              <w:jc w:val="center"/>
              <w:rPr>
                <w:rFonts w:ascii="Arial" w:hAnsi="Arial" w:cs="Arial"/>
                <w:sz w:val="20"/>
                <w:szCs w:val="20"/>
              </w:rPr>
            </w:pPr>
            <w:r w:rsidRPr="0031253E">
              <w:rPr>
                <w:rFonts w:ascii="Arial" w:hAnsi="Arial" w:cs="Arial"/>
                <w:sz w:val="20"/>
                <w:szCs w:val="20"/>
              </w:rPr>
              <w:t>7</w:t>
            </w:r>
          </w:p>
        </w:tc>
        <w:tc>
          <w:tcPr>
            <w:tcW w:w="2268" w:type="dxa"/>
            <w:hideMark/>
          </w:tcPr>
          <w:p w:rsidR="00C921C3" w:rsidRPr="00873D8A" w:rsidRDefault="00C921C3" w:rsidP="00760A53">
            <w:pPr>
              <w:jc w:val="center"/>
              <w:rPr>
                <w:rFonts w:ascii="Arial" w:hAnsi="Arial" w:cs="Arial"/>
                <w:sz w:val="20"/>
                <w:szCs w:val="20"/>
              </w:rPr>
            </w:pPr>
            <w:proofErr w:type="spellStart"/>
            <w:r w:rsidRPr="00873D8A">
              <w:rPr>
                <w:rFonts w:ascii="Arial" w:hAnsi="Arial" w:cs="Arial"/>
                <w:sz w:val="20"/>
                <w:szCs w:val="20"/>
              </w:rPr>
              <w:t>Prva</w:t>
            </w:r>
            <w:proofErr w:type="spellEnd"/>
            <w:r w:rsidR="00282FE2">
              <w:rPr>
                <w:rFonts w:ascii="Arial" w:hAnsi="Arial" w:cs="Arial"/>
                <w:sz w:val="20"/>
                <w:szCs w:val="20"/>
              </w:rPr>
              <w:t xml:space="preserve"> </w:t>
            </w:r>
            <w:r w:rsidRPr="00873D8A">
              <w:rPr>
                <w:rFonts w:ascii="Arial" w:hAnsi="Arial" w:cs="Arial"/>
                <w:sz w:val="20"/>
                <w:szCs w:val="20"/>
              </w:rPr>
              <w:t>banka</w:t>
            </w:r>
            <w:r w:rsidR="00282FE2">
              <w:rPr>
                <w:rFonts w:ascii="Arial" w:hAnsi="Arial" w:cs="Arial"/>
                <w:sz w:val="20"/>
                <w:szCs w:val="20"/>
              </w:rPr>
              <w:t xml:space="preserve"> </w:t>
            </w:r>
            <w:proofErr w:type="spellStart"/>
            <w:r w:rsidRPr="00873D8A">
              <w:rPr>
                <w:rFonts w:ascii="Arial" w:hAnsi="Arial" w:cs="Arial"/>
                <w:sz w:val="20"/>
                <w:szCs w:val="20"/>
              </w:rPr>
              <w:t>a.d.Podgorica</w:t>
            </w:r>
            <w:proofErr w:type="spellEnd"/>
          </w:p>
        </w:tc>
        <w:tc>
          <w:tcPr>
            <w:tcW w:w="1560" w:type="dxa"/>
            <w:hideMark/>
          </w:tcPr>
          <w:p w:rsidR="00C921C3" w:rsidRPr="00282FE2" w:rsidRDefault="00C921C3" w:rsidP="00760A53">
            <w:pPr>
              <w:jc w:val="center"/>
              <w:rPr>
                <w:rFonts w:ascii="Arial" w:hAnsi="Arial" w:cs="Arial"/>
                <w:sz w:val="20"/>
                <w:szCs w:val="20"/>
              </w:rPr>
            </w:pPr>
            <w:r w:rsidRPr="00282FE2">
              <w:rPr>
                <w:rFonts w:ascii="Arial" w:hAnsi="Arial" w:cs="Arial"/>
                <w:sz w:val="20"/>
                <w:szCs w:val="20"/>
              </w:rPr>
              <w:t>Montenegro Airlines</w:t>
            </w:r>
          </w:p>
        </w:tc>
        <w:tc>
          <w:tcPr>
            <w:tcW w:w="1559" w:type="dxa"/>
            <w:hideMark/>
          </w:tcPr>
          <w:p w:rsidR="00C921C3" w:rsidRPr="00282FE2" w:rsidRDefault="00C921C3" w:rsidP="00760A53">
            <w:pPr>
              <w:jc w:val="center"/>
              <w:rPr>
                <w:rFonts w:ascii="Arial" w:hAnsi="Arial" w:cs="Arial"/>
                <w:sz w:val="20"/>
                <w:szCs w:val="20"/>
              </w:rPr>
            </w:pPr>
            <w:r w:rsidRPr="00282FE2">
              <w:rPr>
                <w:rFonts w:ascii="Arial" w:hAnsi="Arial" w:cs="Arial"/>
                <w:sz w:val="20"/>
                <w:szCs w:val="20"/>
              </w:rPr>
              <w:t>20.02.2013.</w:t>
            </w:r>
          </w:p>
        </w:tc>
        <w:tc>
          <w:tcPr>
            <w:tcW w:w="1559"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1,200,000.00</w:t>
            </w:r>
          </w:p>
        </w:tc>
        <w:tc>
          <w:tcPr>
            <w:tcW w:w="1601"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1,200,000.00</w:t>
            </w:r>
          </w:p>
        </w:tc>
        <w:tc>
          <w:tcPr>
            <w:tcW w:w="1440"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1,200,000.00</w:t>
            </w:r>
          </w:p>
        </w:tc>
      </w:tr>
      <w:tr w:rsidR="00C921C3" w:rsidTr="0031253E">
        <w:trPr>
          <w:trHeight w:val="332"/>
        </w:trPr>
        <w:tc>
          <w:tcPr>
            <w:tcW w:w="567" w:type="dxa"/>
            <w:noWrap/>
            <w:vAlign w:val="center"/>
            <w:hideMark/>
          </w:tcPr>
          <w:p w:rsidR="00C921C3" w:rsidRPr="0031253E" w:rsidRDefault="0031253E" w:rsidP="0031253E">
            <w:pPr>
              <w:jc w:val="center"/>
              <w:rPr>
                <w:rFonts w:ascii="Arial" w:hAnsi="Arial" w:cs="Arial"/>
                <w:sz w:val="20"/>
                <w:szCs w:val="20"/>
              </w:rPr>
            </w:pPr>
            <w:r w:rsidRPr="0031253E">
              <w:rPr>
                <w:rFonts w:ascii="Arial" w:hAnsi="Arial" w:cs="Arial"/>
                <w:sz w:val="20"/>
                <w:szCs w:val="20"/>
              </w:rPr>
              <w:t>8</w:t>
            </w:r>
          </w:p>
        </w:tc>
        <w:tc>
          <w:tcPr>
            <w:tcW w:w="2268" w:type="dxa"/>
            <w:hideMark/>
          </w:tcPr>
          <w:p w:rsidR="00C921C3" w:rsidRPr="00873D8A" w:rsidRDefault="00C921C3" w:rsidP="00760A53">
            <w:pPr>
              <w:jc w:val="center"/>
              <w:rPr>
                <w:rFonts w:ascii="Arial" w:hAnsi="Arial" w:cs="Arial"/>
                <w:sz w:val="20"/>
                <w:szCs w:val="20"/>
              </w:rPr>
            </w:pPr>
            <w:r w:rsidRPr="00873D8A">
              <w:rPr>
                <w:rFonts w:ascii="Arial" w:hAnsi="Arial" w:cs="Arial"/>
                <w:sz w:val="20"/>
                <w:szCs w:val="20"/>
              </w:rPr>
              <w:t>UKUPNO</w:t>
            </w:r>
          </w:p>
        </w:tc>
        <w:tc>
          <w:tcPr>
            <w:tcW w:w="1560" w:type="dxa"/>
            <w:hideMark/>
          </w:tcPr>
          <w:p w:rsidR="00C921C3" w:rsidRPr="00873D8A" w:rsidRDefault="00C921C3" w:rsidP="00760A53">
            <w:pPr>
              <w:jc w:val="center"/>
              <w:rPr>
                <w:rFonts w:ascii="Arial" w:hAnsi="Arial" w:cs="Arial"/>
                <w:sz w:val="20"/>
                <w:szCs w:val="20"/>
              </w:rPr>
            </w:pPr>
            <w:r w:rsidRPr="00873D8A">
              <w:rPr>
                <w:rFonts w:ascii="Arial" w:hAnsi="Arial" w:cs="Arial"/>
                <w:sz w:val="20"/>
                <w:szCs w:val="20"/>
              </w:rPr>
              <w:t> </w:t>
            </w:r>
          </w:p>
        </w:tc>
        <w:tc>
          <w:tcPr>
            <w:tcW w:w="1559" w:type="dxa"/>
            <w:hideMark/>
          </w:tcPr>
          <w:p w:rsidR="00C921C3" w:rsidRPr="00873D8A" w:rsidRDefault="00C921C3" w:rsidP="00760A53">
            <w:pPr>
              <w:jc w:val="center"/>
              <w:rPr>
                <w:rFonts w:ascii="Arial" w:hAnsi="Arial" w:cs="Arial"/>
                <w:sz w:val="20"/>
                <w:szCs w:val="20"/>
              </w:rPr>
            </w:pPr>
            <w:r w:rsidRPr="00873D8A">
              <w:rPr>
                <w:rFonts w:ascii="Arial" w:hAnsi="Arial" w:cs="Arial"/>
                <w:sz w:val="20"/>
                <w:szCs w:val="20"/>
              </w:rPr>
              <w:t> </w:t>
            </w:r>
          </w:p>
        </w:tc>
        <w:tc>
          <w:tcPr>
            <w:tcW w:w="1559"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12,650,000.00</w:t>
            </w:r>
          </w:p>
        </w:tc>
        <w:tc>
          <w:tcPr>
            <w:tcW w:w="1601"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11,747,580.74</w:t>
            </w:r>
          </w:p>
        </w:tc>
        <w:tc>
          <w:tcPr>
            <w:tcW w:w="1440" w:type="dxa"/>
            <w:hideMark/>
          </w:tcPr>
          <w:p w:rsidR="00C921C3" w:rsidRPr="00282FE2" w:rsidRDefault="00C921C3" w:rsidP="00760A53">
            <w:pPr>
              <w:jc w:val="right"/>
              <w:rPr>
                <w:rFonts w:ascii="Arial" w:hAnsi="Arial" w:cs="Arial"/>
                <w:sz w:val="20"/>
                <w:szCs w:val="20"/>
              </w:rPr>
            </w:pPr>
            <w:r w:rsidRPr="00282FE2">
              <w:rPr>
                <w:rFonts w:ascii="Arial" w:hAnsi="Arial" w:cs="Arial"/>
                <w:sz w:val="20"/>
                <w:szCs w:val="20"/>
              </w:rPr>
              <w:t>8,943,881.49</w:t>
            </w:r>
          </w:p>
        </w:tc>
      </w:tr>
    </w:tbl>
    <w:p w:rsidR="00C921C3" w:rsidRPr="00452904" w:rsidRDefault="00C921C3" w:rsidP="00C921C3">
      <w:pPr>
        <w:rPr>
          <w:lang w:val="pl-PL"/>
        </w:rPr>
      </w:pPr>
    </w:p>
    <w:p w:rsidR="00C921C3" w:rsidRDefault="00C921C3" w:rsidP="00C921C3">
      <w:pPr>
        <w:ind w:firstLine="360"/>
        <w:jc w:val="both"/>
        <w:rPr>
          <w:rFonts w:ascii="Arial" w:hAnsi="Arial" w:cs="Arial"/>
        </w:rPr>
      </w:pPr>
    </w:p>
    <w:p w:rsidR="00C921C3" w:rsidRDefault="00C921C3" w:rsidP="00C921C3">
      <w:pPr>
        <w:ind w:firstLine="360"/>
        <w:jc w:val="both"/>
        <w:rPr>
          <w:rFonts w:ascii="Arial" w:hAnsi="Arial" w:cs="Arial"/>
        </w:rPr>
      </w:pPr>
    </w:p>
    <w:p w:rsidR="00C921C3" w:rsidRDefault="00C921C3" w:rsidP="00C921C3">
      <w:pPr>
        <w:ind w:firstLine="360"/>
        <w:jc w:val="both"/>
        <w:rPr>
          <w:rFonts w:ascii="Arial" w:hAnsi="Arial" w:cs="Arial"/>
        </w:rPr>
      </w:pPr>
      <w:proofErr w:type="spellStart"/>
      <w:r w:rsidRPr="00E95B8B">
        <w:rPr>
          <w:rFonts w:ascii="Arial" w:hAnsi="Arial" w:cs="Arial"/>
        </w:rPr>
        <w:t>Crna</w:t>
      </w:r>
      <w:proofErr w:type="spellEnd"/>
      <w:r w:rsidRPr="00E95B8B">
        <w:rPr>
          <w:rFonts w:ascii="Arial" w:hAnsi="Arial" w:cs="Arial"/>
        </w:rPr>
        <w:t xml:space="preserve"> Gora je </w:t>
      </w:r>
      <w:proofErr w:type="spellStart"/>
      <w:r w:rsidRPr="00E95B8B">
        <w:rPr>
          <w:rFonts w:ascii="Arial" w:hAnsi="Arial" w:cs="Arial"/>
        </w:rPr>
        <w:t>tokom</w:t>
      </w:r>
      <w:proofErr w:type="spellEnd"/>
      <w:r w:rsidRPr="00E95B8B">
        <w:rPr>
          <w:rFonts w:ascii="Arial" w:hAnsi="Arial" w:cs="Arial"/>
        </w:rPr>
        <w:t xml:space="preserve"> 2014.godine</w:t>
      </w:r>
      <w:r>
        <w:rPr>
          <w:rFonts w:ascii="Arial" w:hAnsi="Arial" w:cs="Arial"/>
        </w:rPr>
        <w:t xml:space="preserve"> </w:t>
      </w:r>
      <w:proofErr w:type="spellStart"/>
      <w:r w:rsidRPr="00E95B8B">
        <w:rPr>
          <w:rFonts w:ascii="Arial" w:hAnsi="Arial" w:cs="Arial"/>
        </w:rPr>
        <w:t>potpisala</w:t>
      </w:r>
      <w:proofErr w:type="spellEnd"/>
      <w:r>
        <w:rPr>
          <w:rFonts w:ascii="Arial" w:hAnsi="Arial" w:cs="Arial"/>
        </w:rPr>
        <w:t xml:space="preserve"> </w:t>
      </w:r>
      <w:proofErr w:type="spellStart"/>
      <w:r w:rsidRPr="00E95B8B">
        <w:rPr>
          <w:rFonts w:ascii="Arial" w:hAnsi="Arial" w:cs="Arial"/>
        </w:rPr>
        <w:t>Ugovore</w:t>
      </w:r>
      <w:proofErr w:type="spellEnd"/>
      <w:r w:rsidRPr="00E95B8B">
        <w:rPr>
          <w:rFonts w:ascii="Arial" w:hAnsi="Arial" w:cs="Arial"/>
        </w:rPr>
        <w:t xml:space="preserve"> o </w:t>
      </w:r>
      <w:proofErr w:type="spellStart"/>
      <w:r w:rsidRPr="00E95B8B">
        <w:rPr>
          <w:rFonts w:ascii="Arial" w:hAnsi="Arial" w:cs="Arial"/>
        </w:rPr>
        <w:t>garanciji</w:t>
      </w:r>
      <w:proofErr w:type="spellEnd"/>
      <w:r w:rsidRPr="00E95B8B">
        <w:rPr>
          <w:rFonts w:ascii="Arial" w:hAnsi="Arial" w:cs="Arial"/>
        </w:rPr>
        <w:t xml:space="preserve"> u </w:t>
      </w:r>
      <w:proofErr w:type="spellStart"/>
      <w:r w:rsidRPr="00E95B8B">
        <w:rPr>
          <w:rFonts w:ascii="Arial" w:hAnsi="Arial" w:cs="Arial"/>
        </w:rPr>
        <w:t>ukupnom</w:t>
      </w:r>
      <w:proofErr w:type="spellEnd"/>
      <w:r>
        <w:rPr>
          <w:rFonts w:ascii="Arial" w:hAnsi="Arial" w:cs="Arial"/>
        </w:rPr>
        <w:t xml:space="preserve"> </w:t>
      </w:r>
      <w:proofErr w:type="spellStart"/>
      <w:r w:rsidRPr="00E95B8B">
        <w:rPr>
          <w:rFonts w:ascii="Arial" w:hAnsi="Arial" w:cs="Arial"/>
        </w:rPr>
        <w:t>iznosu</w:t>
      </w:r>
      <w:proofErr w:type="spellEnd"/>
      <w:r>
        <w:rPr>
          <w:rFonts w:ascii="Arial" w:hAnsi="Arial" w:cs="Arial"/>
        </w:rPr>
        <w:t xml:space="preserve"> </w:t>
      </w:r>
      <w:proofErr w:type="spellStart"/>
      <w:r w:rsidRPr="00E95B8B">
        <w:rPr>
          <w:rFonts w:ascii="Arial" w:hAnsi="Arial" w:cs="Arial"/>
        </w:rPr>
        <w:t>od</w:t>
      </w:r>
      <w:proofErr w:type="spellEnd"/>
      <w:r>
        <w:rPr>
          <w:rFonts w:ascii="Arial" w:hAnsi="Arial" w:cs="Arial"/>
        </w:rPr>
        <w:t xml:space="preserve"> </w:t>
      </w:r>
      <w:proofErr w:type="spellStart"/>
      <w:proofErr w:type="gramStart"/>
      <w:r w:rsidRPr="00E95B8B">
        <w:rPr>
          <w:rFonts w:ascii="Arial" w:hAnsi="Arial" w:cs="Arial"/>
        </w:rPr>
        <w:t>oko</w:t>
      </w:r>
      <w:proofErr w:type="spellEnd"/>
      <w:r w:rsidRPr="00E95B8B">
        <w:rPr>
          <w:rFonts w:ascii="Arial" w:hAnsi="Arial" w:cs="Arial"/>
        </w:rPr>
        <w:t xml:space="preserve">  20,0</w:t>
      </w:r>
      <w:proofErr w:type="gramEnd"/>
      <w:r w:rsidRPr="00E95B8B">
        <w:rPr>
          <w:rFonts w:ascii="Arial" w:hAnsi="Arial" w:cs="Arial"/>
        </w:rPr>
        <w:t xml:space="preserve"> mil. € </w:t>
      </w:r>
      <w:proofErr w:type="gramStart"/>
      <w:r w:rsidRPr="00E95B8B">
        <w:rPr>
          <w:rFonts w:ascii="Arial" w:hAnsi="Arial" w:cs="Arial"/>
        </w:rPr>
        <w:t>i</w:t>
      </w:r>
      <w:proofErr w:type="gramEnd"/>
      <w:r w:rsidRPr="00E95B8B">
        <w:rPr>
          <w:rFonts w:ascii="Arial" w:hAnsi="Arial" w:cs="Arial"/>
        </w:rPr>
        <w:t xml:space="preserve"> to:</w:t>
      </w:r>
    </w:p>
    <w:p w:rsidR="00C921C3" w:rsidRPr="00CD5840" w:rsidRDefault="00C921C3" w:rsidP="00C921C3">
      <w:pPr>
        <w:ind w:firstLine="360"/>
        <w:jc w:val="both"/>
        <w:rPr>
          <w:rFonts w:ascii="Arial" w:hAnsi="Arial" w:cs="Arial"/>
        </w:rPr>
      </w:pPr>
    </w:p>
    <w:p w:rsidR="00C921C3" w:rsidRPr="00CD5840" w:rsidRDefault="00C921C3" w:rsidP="00C921C3">
      <w:pPr>
        <w:pStyle w:val="ListParagraph"/>
        <w:numPr>
          <w:ilvl w:val="0"/>
          <w:numId w:val="14"/>
        </w:numPr>
        <w:tabs>
          <w:tab w:val="left" w:pos="915"/>
        </w:tabs>
        <w:spacing w:after="0" w:line="240" w:lineRule="auto"/>
        <w:ind w:left="720"/>
        <w:jc w:val="both"/>
        <w:rPr>
          <w:rFonts w:ascii="Arial" w:eastAsia="Times New Roman" w:hAnsi="Arial" w:cs="Arial"/>
          <w:sz w:val="24"/>
          <w:szCs w:val="24"/>
        </w:rPr>
      </w:pPr>
      <w:proofErr w:type="spellStart"/>
      <w:r w:rsidRPr="00CD5840">
        <w:rPr>
          <w:rFonts w:ascii="Arial" w:hAnsi="Arial" w:cs="Arial"/>
          <w:bCs/>
          <w:sz w:val="24"/>
          <w:szCs w:val="24"/>
        </w:rPr>
        <w:t>Evropska</w:t>
      </w:r>
      <w:proofErr w:type="spellEnd"/>
      <w:r>
        <w:rPr>
          <w:rFonts w:ascii="Arial" w:hAnsi="Arial" w:cs="Arial"/>
          <w:bCs/>
          <w:sz w:val="24"/>
          <w:szCs w:val="24"/>
        </w:rPr>
        <w:t xml:space="preserve"> </w:t>
      </w:r>
      <w:proofErr w:type="gramStart"/>
      <w:r w:rsidRPr="00CD5840">
        <w:rPr>
          <w:rFonts w:ascii="Arial" w:hAnsi="Arial" w:cs="Arial"/>
          <w:bCs/>
          <w:sz w:val="24"/>
          <w:szCs w:val="24"/>
        </w:rPr>
        <w:t>banka</w:t>
      </w:r>
      <w:proofErr w:type="gramEnd"/>
      <w:r>
        <w:rPr>
          <w:rFonts w:ascii="Arial" w:hAnsi="Arial" w:cs="Arial"/>
          <w:bCs/>
          <w:sz w:val="24"/>
          <w:szCs w:val="24"/>
        </w:rPr>
        <w:t xml:space="preserve"> </w:t>
      </w:r>
      <w:proofErr w:type="spellStart"/>
      <w:r w:rsidRPr="00CD5840">
        <w:rPr>
          <w:rFonts w:ascii="Arial" w:hAnsi="Arial" w:cs="Arial"/>
          <w:bCs/>
          <w:sz w:val="24"/>
          <w:szCs w:val="24"/>
        </w:rPr>
        <w:t>za</w:t>
      </w:r>
      <w:proofErr w:type="spellEnd"/>
      <w:r>
        <w:rPr>
          <w:rFonts w:ascii="Arial" w:hAnsi="Arial" w:cs="Arial"/>
          <w:bCs/>
          <w:sz w:val="24"/>
          <w:szCs w:val="24"/>
        </w:rPr>
        <w:t xml:space="preserve"> </w:t>
      </w:r>
      <w:proofErr w:type="spellStart"/>
      <w:r w:rsidRPr="00CD5840">
        <w:rPr>
          <w:rFonts w:ascii="Arial" w:hAnsi="Arial" w:cs="Arial"/>
          <w:bCs/>
          <w:sz w:val="24"/>
          <w:szCs w:val="24"/>
        </w:rPr>
        <w:t>obnovu</w:t>
      </w:r>
      <w:proofErr w:type="spellEnd"/>
      <w:r w:rsidRPr="00CD5840">
        <w:rPr>
          <w:rFonts w:ascii="Arial" w:hAnsi="Arial" w:cs="Arial"/>
          <w:bCs/>
          <w:sz w:val="24"/>
          <w:szCs w:val="24"/>
        </w:rPr>
        <w:t xml:space="preserve"> i </w:t>
      </w:r>
      <w:proofErr w:type="spellStart"/>
      <w:r w:rsidRPr="00CD5840">
        <w:rPr>
          <w:rFonts w:ascii="Arial" w:hAnsi="Arial" w:cs="Arial"/>
          <w:bCs/>
          <w:sz w:val="24"/>
          <w:szCs w:val="24"/>
        </w:rPr>
        <w:t>razvoj</w:t>
      </w:r>
      <w:proofErr w:type="spellEnd"/>
      <w:r w:rsidRPr="00CD5840">
        <w:rPr>
          <w:rFonts w:ascii="Arial" w:hAnsi="Arial" w:cs="Arial"/>
          <w:bCs/>
          <w:sz w:val="24"/>
          <w:szCs w:val="24"/>
        </w:rPr>
        <w:t xml:space="preserve"> (EBRD) (20 mil. €)</w:t>
      </w:r>
      <w:r w:rsidRPr="00CD5840">
        <w:rPr>
          <w:rFonts w:ascii="Arial" w:hAnsi="Arial" w:cs="Arial"/>
          <w:sz w:val="24"/>
          <w:szCs w:val="24"/>
        </w:rPr>
        <w:t>, g</w:t>
      </w:r>
      <w:r w:rsidRPr="00CD5840">
        <w:rPr>
          <w:rFonts w:ascii="Arial" w:hAnsi="Arial" w:cs="Arial"/>
          <w:sz w:val="24"/>
          <w:szCs w:val="24"/>
          <w:lang w:val="sr-Latn-BA"/>
        </w:rPr>
        <w:t>arancija je izdata 09.06.2014. godine, za zaključenje k</w:t>
      </w:r>
      <w:proofErr w:type="spellStart"/>
      <w:r w:rsidRPr="00CD5840">
        <w:rPr>
          <w:rFonts w:ascii="Arial" w:hAnsi="Arial" w:cs="Arial"/>
          <w:bCs/>
          <w:sz w:val="24"/>
          <w:szCs w:val="24"/>
        </w:rPr>
        <w:t>reditnog</w:t>
      </w:r>
      <w:proofErr w:type="spellEnd"/>
      <w:r>
        <w:rPr>
          <w:rFonts w:ascii="Arial" w:hAnsi="Arial" w:cs="Arial"/>
          <w:bCs/>
          <w:sz w:val="24"/>
          <w:szCs w:val="24"/>
        </w:rPr>
        <w:t xml:space="preserve"> </w:t>
      </w:r>
      <w:proofErr w:type="spellStart"/>
      <w:r w:rsidRPr="00CD5840">
        <w:rPr>
          <w:rFonts w:ascii="Arial" w:hAnsi="Arial" w:cs="Arial"/>
          <w:bCs/>
          <w:sz w:val="24"/>
          <w:szCs w:val="24"/>
        </w:rPr>
        <w:t>aranžmana</w:t>
      </w:r>
      <w:proofErr w:type="spellEnd"/>
      <w:r>
        <w:rPr>
          <w:rFonts w:ascii="Arial" w:hAnsi="Arial" w:cs="Arial"/>
          <w:bCs/>
          <w:sz w:val="24"/>
          <w:szCs w:val="24"/>
        </w:rPr>
        <w:t xml:space="preserve"> </w:t>
      </w:r>
      <w:proofErr w:type="spellStart"/>
      <w:r w:rsidRPr="00CD5840">
        <w:rPr>
          <w:rFonts w:ascii="Arial" w:hAnsi="Arial" w:cs="Arial"/>
          <w:bCs/>
          <w:sz w:val="24"/>
          <w:szCs w:val="24"/>
        </w:rPr>
        <w:t>između</w:t>
      </w:r>
      <w:proofErr w:type="spellEnd"/>
      <w:r w:rsidRPr="00CD5840">
        <w:rPr>
          <w:rFonts w:ascii="Arial" w:hAnsi="Arial" w:cs="Arial"/>
          <w:bCs/>
          <w:sz w:val="24"/>
          <w:szCs w:val="24"/>
        </w:rPr>
        <w:t xml:space="preserve"> EBRD-a i </w:t>
      </w:r>
      <w:proofErr w:type="spellStart"/>
      <w:r w:rsidRPr="00CD5840">
        <w:rPr>
          <w:rFonts w:ascii="Arial" w:hAnsi="Arial" w:cs="Arial"/>
          <w:bCs/>
          <w:sz w:val="24"/>
          <w:szCs w:val="24"/>
        </w:rPr>
        <w:t>Crnogorskog</w:t>
      </w:r>
      <w:proofErr w:type="spellEnd"/>
      <w:r>
        <w:rPr>
          <w:rFonts w:ascii="Arial" w:hAnsi="Arial" w:cs="Arial"/>
          <w:bCs/>
          <w:sz w:val="24"/>
          <w:szCs w:val="24"/>
        </w:rPr>
        <w:t xml:space="preserve"> </w:t>
      </w:r>
      <w:proofErr w:type="spellStart"/>
      <w:r w:rsidRPr="00CD5840">
        <w:rPr>
          <w:rFonts w:ascii="Arial" w:hAnsi="Arial" w:cs="Arial"/>
          <w:bCs/>
          <w:sz w:val="24"/>
          <w:szCs w:val="24"/>
        </w:rPr>
        <w:t>elektro-prenosnog</w:t>
      </w:r>
      <w:proofErr w:type="spellEnd"/>
      <w:r>
        <w:rPr>
          <w:rFonts w:ascii="Arial" w:hAnsi="Arial" w:cs="Arial"/>
          <w:bCs/>
          <w:sz w:val="24"/>
          <w:szCs w:val="24"/>
        </w:rPr>
        <w:t xml:space="preserve"> </w:t>
      </w:r>
      <w:proofErr w:type="spellStart"/>
      <w:r w:rsidRPr="00CD5840">
        <w:rPr>
          <w:rFonts w:ascii="Arial" w:hAnsi="Arial" w:cs="Arial"/>
          <w:bCs/>
          <w:sz w:val="24"/>
          <w:szCs w:val="24"/>
        </w:rPr>
        <w:t>sistema</w:t>
      </w:r>
      <w:proofErr w:type="spellEnd"/>
      <w:r w:rsidRPr="00CD5840">
        <w:rPr>
          <w:rFonts w:ascii="Arial" w:hAnsi="Arial" w:cs="Arial"/>
          <w:bCs/>
          <w:sz w:val="24"/>
          <w:szCs w:val="24"/>
        </w:rPr>
        <w:t xml:space="preserve">, </w:t>
      </w:r>
      <w:proofErr w:type="spellStart"/>
      <w:r w:rsidRPr="00CD5840">
        <w:rPr>
          <w:rFonts w:ascii="Arial" w:hAnsi="Arial" w:cs="Arial"/>
          <w:bCs/>
          <w:sz w:val="24"/>
          <w:szCs w:val="24"/>
        </w:rPr>
        <w:t>za</w:t>
      </w:r>
      <w:proofErr w:type="spellEnd"/>
      <w:r>
        <w:rPr>
          <w:rFonts w:ascii="Arial" w:hAnsi="Arial" w:cs="Arial"/>
          <w:bCs/>
          <w:sz w:val="24"/>
          <w:szCs w:val="24"/>
        </w:rPr>
        <w:t xml:space="preserve"> </w:t>
      </w:r>
      <w:proofErr w:type="spellStart"/>
      <w:r w:rsidRPr="00CD5840">
        <w:rPr>
          <w:rFonts w:ascii="Arial" w:hAnsi="Arial" w:cs="Arial"/>
          <w:bCs/>
          <w:sz w:val="24"/>
          <w:szCs w:val="24"/>
        </w:rPr>
        <w:t>projekat</w:t>
      </w:r>
      <w:proofErr w:type="spellEnd"/>
      <w:r>
        <w:rPr>
          <w:rFonts w:ascii="Arial" w:hAnsi="Arial" w:cs="Arial"/>
          <w:bCs/>
          <w:sz w:val="24"/>
          <w:szCs w:val="24"/>
        </w:rPr>
        <w:t xml:space="preserve"> </w:t>
      </w:r>
      <w:proofErr w:type="spellStart"/>
      <w:r w:rsidRPr="00CD5840">
        <w:rPr>
          <w:rFonts w:ascii="Arial" w:hAnsi="Arial" w:cs="Arial"/>
          <w:bCs/>
          <w:sz w:val="24"/>
          <w:szCs w:val="24"/>
        </w:rPr>
        <w:t>izgradnje</w:t>
      </w:r>
      <w:proofErr w:type="spellEnd"/>
      <w:r>
        <w:rPr>
          <w:rFonts w:ascii="Arial" w:hAnsi="Arial" w:cs="Arial"/>
          <w:bCs/>
          <w:sz w:val="24"/>
          <w:szCs w:val="24"/>
        </w:rPr>
        <w:t xml:space="preserve"> </w:t>
      </w:r>
      <w:proofErr w:type="spellStart"/>
      <w:r w:rsidRPr="00CD5840">
        <w:rPr>
          <w:rFonts w:ascii="Arial" w:hAnsi="Arial" w:cs="Arial"/>
          <w:bCs/>
          <w:sz w:val="24"/>
          <w:szCs w:val="24"/>
        </w:rPr>
        <w:t>kablaTivat-Pljevlja</w:t>
      </w:r>
      <w:proofErr w:type="spellEnd"/>
      <w:r w:rsidRPr="00CD5840">
        <w:rPr>
          <w:rFonts w:ascii="Arial" w:hAnsi="Arial" w:cs="Arial"/>
          <w:bCs/>
          <w:sz w:val="24"/>
          <w:szCs w:val="24"/>
        </w:rPr>
        <w:t xml:space="preserve">, u </w:t>
      </w:r>
      <w:proofErr w:type="spellStart"/>
      <w:r w:rsidRPr="00CD5840">
        <w:rPr>
          <w:rFonts w:ascii="Arial" w:hAnsi="Arial" w:cs="Arial"/>
          <w:bCs/>
          <w:sz w:val="24"/>
          <w:szCs w:val="24"/>
        </w:rPr>
        <w:t>iznosu</w:t>
      </w:r>
      <w:proofErr w:type="spellEnd"/>
      <w:r w:rsidRPr="00CD5840">
        <w:rPr>
          <w:rFonts w:ascii="Arial" w:hAnsi="Arial" w:cs="Arial"/>
          <w:bCs/>
          <w:sz w:val="24"/>
          <w:szCs w:val="24"/>
        </w:rPr>
        <w:t xml:space="preserve"> od 60 </w:t>
      </w:r>
      <w:proofErr w:type="spellStart"/>
      <w:r w:rsidRPr="00CD5840">
        <w:rPr>
          <w:rFonts w:ascii="Arial" w:hAnsi="Arial" w:cs="Arial"/>
          <w:bCs/>
          <w:sz w:val="24"/>
          <w:szCs w:val="24"/>
        </w:rPr>
        <w:t>miliona</w:t>
      </w:r>
      <w:proofErr w:type="spellEnd"/>
      <w:r>
        <w:rPr>
          <w:rFonts w:ascii="Arial" w:hAnsi="Arial" w:cs="Arial"/>
          <w:bCs/>
          <w:sz w:val="24"/>
          <w:szCs w:val="24"/>
        </w:rPr>
        <w:t xml:space="preserve"> </w:t>
      </w:r>
      <w:proofErr w:type="spellStart"/>
      <w:r w:rsidRPr="00CD5840">
        <w:rPr>
          <w:rFonts w:ascii="Arial" w:hAnsi="Arial" w:cs="Arial"/>
          <w:bCs/>
          <w:sz w:val="24"/>
          <w:szCs w:val="24"/>
        </w:rPr>
        <w:t>eura</w:t>
      </w:r>
      <w:proofErr w:type="spellEnd"/>
    </w:p>
    <w:p w:rsidR="00C921C3" w:rsidRDefault="00C921C3" w:rsidP="0031253E">
      <w:pPr>
        <w:pStyle w:val="BodyText"/>
        <w:rPr>
          <w:rFonts w:ascii="Arial" w:hAnsi="Arial" w:cs="Arial"/>
        </w:rPr>
      </w:pPr>
    </w:p>
    <w:p w:rsidR="00C921C3" w:rsidRDefault="00C921C3" w:rsidP="00C921C3">
      <w:pPr>
        <w:pStyle w:val="BodyText"/>
        <w:ind w:firstLine="360"/>
        <w:rPr>
          <w:rFonts w:ascii="Arial" w:hAnsi="Arial" w:cs="Arial"/>
        </w:rPr>
      </w:pPr>
      <w:r w:rsidRPr="002E3E40">
        <w:rPr>
          <w:rFonts w:ascii="Arial" w:hAnsi="Arial" w:cs="Arial"/>
        </w:rPr>
        <w:t>Na kr</w:t>
      </w:r>
      <w:r>
        <w:rPr>
          <w:rFonts w:ascii="Arial" w:hAnsi="Arial" w:cs="Arial"/>
        </w:rPr>
        <w:t>aju napominjemo da je tokom 2014</w:t>
      </w:r>
      <w:r w:rsidRPr="002E3E40">
        <w:rPr>
          <w:rFonts w:ascii="Arial" w:hAnsi="Arial" w:cs="Arial"/>
        </w:rPr>
        <w:t xml:space="preserve">. godine izvršena otplata </w:t>
      </w:r>
      <w:r>
        <w:rPr>
          <w:rFonts w:ascii="Arial" w:hAnsi="Arial" w:cs="Arial"/>
        </w:rPr>
        <w:t xml:space="preserve">državnog </w:t>
      </w:r>
      <w:r w:rsidRPr="002E3E40">
        <w:rPr>
          <w:rFonts w:ascii="Arial" w:hAnsi="Arial" w:cs="Arial"/>
        </w:rPr>
        <w:t>duga po glavnici</w:t>
      </w:r>
      <w:r>
        <w:rPr>
          <w:rFonts w:ascii="Arial" w:hAnsi="Arial" w:cs="Arial"/>
        </w:rPr>
        <w:t xml:space="preserve">, rezidentima i nerezidentima, u ukupnom </w:t>
      </w:r>
      <w:r w:rsidRPr="002E3E40">
        <w:rPr>
          <w:rFonts w:ascii="Arial" w:hAnsi="Arial" w:cs="Arial"/>
        </w:rPr>
        <w:t xml:space="preserve">iznosu od </w:t>
      </w:r>
      <w:r>
        <w:rPr>
          <w:rFonts w:ascii="Arial" w:hAnsi="Arial" w:cs="Arial"/>
        </w:rPr>
        <w:t>434.801.868,13</w:t>
      </w:r>
      <w:r w:rsidRPr="002E3E40">
        <w:rPr>
          <w:rFonts w:ascii="Arial" w:hAnsi="Arial" w:cs="Arial"/>
        </w:rPr>
        <w:t xml:space="preserve"> eura, otplata duga iz ranijeg perioda u iznosu </w:t>
      </w:r>
      <w:r w:rsidRPr="00C74C0B">
        <w:rPr>
          <w:rFonts w:ascii="Arial" w:hAnsi="Arial" w:cs="Arial"/>
        </w:rPr>
        <w:t>od 65.221.299,67</w:t>
      </w:r>
      <w:r>
        <w:rPr>
          <w:rFonts w:ascii="Arial" w:hAnsi="Arial" w:cs="Arial"/>
          <w:color w:val="FF0000"/>
        </w:rPr>
        <w:t xml:space="preserve"> </w:t>
      </w:r>
      <w:r w:rsidRPr="002E3E40">
        <w:rPr>
          <w:rFonts w:ascii="Arial" w:hAnsi="Arial" w:cs="Arial"/>
        </w:rPr>
        <w:t>eura kao i otplata kamata</w:t>
      </w:r>
      <w:r>
        <w:rPr>
          <w:rFonts w:ascii="Arial" w:hAnsi="Arial" w:cs="Arial"/>
        </w:rPr>
        <w:t xml:space="preserve">, rezidentima i nerezidentima, </w:t>
      </w:r>
      <w:r w:rsidRPr="002E3E40">
        <w:rPr>
          <w:rFonts w:ascii="Arial" w:hAnsi="Arial" w:cs="Arial"/>
        </w:rPr>
        <w:t xml:space="preserve"> u</w:t>
      </w:r>
      <w:r>
        <w:rPr>
          <w:rFonts w:ascii="Arial" w:hAnsi="Arial" w:cs="Arial"/>
        </w:rPr>
        <w:t xml:space="preserve"> ukupnom</w:t>
      </w:r>
      <w:r w:rsidRPr="002E3E40">
        <w:rPr>
          <w:rFonts w:ascii="Arial" w:hAnsi="Arial" w:cs="Arial"/>
        </w:rPr>
        <w:t xml:space="preserve"> iznosu od </w:t>
      </w:r>
      <w:r w:rsidRPr="00C74C0B">
        <w:rPr>
          <w:rFonts w:ascii="Arial" w:hAnsi="Arial" w:cs="Arial"/>
        </w:rPr>
        <w:lastRenderedPageBreak/>
        <w:t>75.384.359,53</w:t>
      </w:r>
      <w:r w:rsidRPr="002E3E40">
        <w:rPr>
          <w:rFonts w:ascii="Arial" w:hAnsi="Arial" w:cs="Arial"/>
        </w:rPr>
        <w:t xml:space="preserve"> eura.</w:t>
      </w:r>
      <w:r>
        <w:rPr>
          <w:rFonts w:ascii="Arial" w:hAnsi="Arial" w:cs="Arial"/>
        </w:rPr>
        <w:t xml:space="preserve"> Takođe, tokom 2014. godine otplaćeno je i 15.258.930,95 eura duga po izdatim garancijama.</w:t>
      </w:r>
    </w:p>
    <w:p w:rsidR="00C921C3" w:rsidRDefault="00C921C3" w:rsidP="00C921C3">
      <w:pPr>
        <w:pStyle w:val="BodyText"/>
        <w:ind w:firstLine="360"/>
        <w:rPr>
          <w:rFonts w:ascii="Arial" w:hAnsi="Arial" w:cs="Arial"/>
        </w:rPr>
      </w:pPr>
    </w:p>
    <w:p w:rsidR="00C921C3" w:rsidRPr="002E3E40" w:rsidRDefault="00C921C3" w:rsidP="00C921C3">
      <w:pPr>
        <w:pStyle w:val="BodyText"/>
        <w:ind w:firstLine="360"/>
        <w:rPr>
          <w:rFonts w:ascii="Arial" w:hAnsi="Arial" w:cs="Arial"/>
        </w:rPr>
      </w:pPr>
      <w:r w:rsidRPr="002E3E40">
        <w:rPr>
          <w:rFonts w:ascii="Arial" w:hAnsi="Arial" w:cs="Arial"/>
        </w:rPr>
        <w:t xml:space="preserve"> Struktura otplate je prikazana u narednoj tabeli: </w:t>
      </w:r>
    </w:p>
    <w:p w:rsidR="00C921C3" w:rsidRPr="002E3E40" w:rsidRDefault="00C921C3" w:rsidP="00C921C3">
      <w:pPr>
        <w:rPr>
          <w:rFonts w:ascii="Arial" w:hAnsi="Arial" w:cs="Arial"/>
          <w:u w:val="single"/>
          <w:lang w:val="pl-PL"/>
        </w:rPr>
      </w:pPr>
    </w:p>
    <w:p w:rsidR="00C921C3" w:rsidRPr="002E3E40" w:rsidRDefault="00C921C3" w:rsidP="00C921C3">
      <w:pPr>
        <w:jc w:val="center"/>
        <w:rPr>
          <w:rFonts w:ascii="Arial" w:hAnsi="Arial" w:cs="Arial"/>
          <w:u w:val="single"/>
          <w:lang w:val="pl-PL"/>
        </w:rPr>
      </w:pPr>
      <w:r w:rsidRPr="002E3E40">
        <w:rPr>
          <w:rFonts w:ascii="Arial" w:hAnsi="Arial" w:cs="Arial"/>
          <w:u w:val="single"/>
          <w:lang w:val="pl-PL"/>
        </w:rPr>
        <w:t xml:space="preserve">Tabela </w:t>
      </w:r>
      <w:r>
        <w:rPr>
          <w:rFonts w:ascii="Arial" w:hAnsi="Arial" w:cs="Arial"/>
          <w:u w:val="single"/>
          <w:lang w:val="pl-PL"/>
        </w:rPr>
        <w:t>br.7</w:t>
      </w:r>
      <w:r w:rsidRPr="002E3E40">
        <w:rPr>
          <w:rFonts w:ascii="Arial" w:hAnsi="Arial" w:cs="Arial"/>
          <w:u w:val="single"/>
          <w:lang w:val="pl-PL"/>
        </w:rPr>
        <w:t>. -  S</w:t>
      </w:r>
      <w:r>
        <w:rPr>
          <w:rFonts w:ascii="Arial" w:hAnsi="Arial" w:cs="Arial"/>
          <w:u w:val="single"/>
          <w:lang w:val="pl-PL"/>
        </w:rPr>
        <w:t>ervisiranje državnog duga u 2014</w:t>
      </w:r>
      <w:r w:rsidRPr="002E3E40">
        <w:rPr>
          <w:rFonts w:ascii="Arial" w:hAnsi="Arial" w:cs="Arial"/>
          <w:u w:val="single"/>
          <w:lang w:val="pl-PL"/>
        </w:rPr>
        <w:t xml:space="preserve">. godini </w:t>
      </w:r>
    </w:p>
    <w:tbl>
      <w:tblPr>
        <w:tblW w:w="0" w:type="auto"/>
        <w:jc w:val="center"/>
        <w:tblInd w:w="-2274"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1E0" w:firstRow="1" w:lastRow="1" w:firstColumn="1" w:lastColumn="1" w:noHBand="0" w:noVBand="0"/>
      </w:tblPr>
      <w:tblGrid>
        <w:gridCol w:w="5116"/>
        <w:gridCol w:w="2056"/>
      </w:tblGrid>
      <w:tr w:rsidR="00C921C3" w:rsidRPr="002E3E40" w:rsidTr="00760A53">
        <w:trPr>
          <w:jc w:val="center"/>
        </w:trPr>
        <w:tc>
          <w:tcPr>
            <w:tcW w:w="5116" w:type="dxa"/>
            <w:tcBorders>
              <w:top w:val="double" w:sz="2" w:space="0" w:color="auto"/>
              <w:left w:val="double" w:sz="2" w:space="0" w:color="auto"/>
              <w:bottom w:val="double" w:sz="2" w:space="0" w:color="auto"/>
              <w:right w:val="double" w:sz="2" w:space="0" w:color="auto"/>
            </w:tcBorders>
          </w:tcPr>
          <w:p w:rsidR="00C921C3" w:rsidRPr="002E3E40" w:rsidRDefault="00C921C3" w:rsidP="00760A53">
            <w:pPr>
              <w:spacing w:before="240" w:after="240"/>
              <w:jc w:val="center"/>
              <w:rPr>
                <w:rFonts w:ascii="Arial" w:hAnsi="Arial" w:cs="Arial"/>
                <w:b/>
                <w:lang w:val="pl-PL"/>
              </w:rPr>
            </w:pPr>
            <w:r w:rsidRPr="002E3E40">
              <w:rPr>
                <w:rFonts w:ascii="Arial" w:hAnsi="Arial" w:cs="Arial"/>
                <w:b/>
                <w:lang w:val="pl-PL"/>
              </w:rPr>
              <w:t>Budžetska pozicija</w:t>
            </w:r>
          </w:p>
        </w:tc>
        <w:tc>
          <w:tcPr>
            <w:tcW w:w="2056" w:type="dxa"/>
            <w:tcBorders>
              <w:top w:val="double" w:sz="2" w:space="0" w:color="auto"/>
              <w:left w:val="double" w:sz="2" w:space="0" w:color="auto"/>
              <w:bottom w:val="double" w:sz="2" w:space="0" w:color="auto"/>
              <w:right w:val="double" w:sz="2" w:space="0" w:color="auto"/>
            </w:tcBorders>
          </w:tcPr>
          <w:p w:rsidR="00C921C3" w:rsidRPr="002E3E40" w:rsidRDefault="00C921C3" w:rsidP="00760A53">
            <w:pPr>
              <w:spacing w:before="240"/>
              <w:jc w:val="center"/>
              <w:rPr>
                <w:rFonts w:ascii="Arial" w:hAnsi="Arial" w:cs="Arial"/>
                <w:b/>
                <w:lang w:val="pl-PL"/>
              </w:rPr>
            </w:pPr>
            <w:r w:rsidRPr="002E3E40">
              <w:rPr>
                <w:rFonts w:ascii="Arial" w:hAnsi="Arial" w:cs="Arial"/>
                <w:b/>
                <w:lang w:val="pl-PL"/>
              </w:rPr>
              <w:t>Plaćeno u 201</w:t>
            </w:r>
            <w:r>
              <w:rPr>
                <w:rFonts w:ascii="Arial" w:hAnsi="Arial" w:cs="Arial"/>
                <w:b/>
                <w:lang w:val="pl-PL"/>
              </w:rPr>
              <w:t>4</w:t>
            </w:r>
            <w:r w:rsidRPr="002E3E40">
              <w:rPr>
                <w:rFonts w:ascii="Arial" w:hAnsi="Arial" w:cs="Arial"/>
                <w:b/>
                <w:lang w:val="pl-PL"/>
              </w:rPr>
              <w:t>. godini</w:t>
            </w:r>
          </w:p>
        </w:tc>
      </w:tr>
      <w:tr w:rsidR="00C921C3" w:rsidRPr="002E3E40" w:rsidTr="00760A53">
        <w:trPr>
          <w:trHeight w:val="255"/>
          <w:jc w:val="center"/>
        </w:trPr>
        <w:tc>
          <w:tcPr>
            <w:tcW w:w="5116" w:type="dxa"/>
            <w:tcBorders>
              <w:top w:val="double" w:sz="2" w:space="0" w:color="auto"/>
              <w:left w:val="double" w:sz="2" w:space="0" w:color="auto"/>
              <w:bottom w:val="single" w:sz="2" w:space="0" w:color="auto"/>
              <w:right w:val="single" w:sz="2" w:space="0" w:color="auto"/>
            </w:tcBorders>
          </w:tcPr>
          <w:p w:rsidR="00C921C3" w:rsidRPr="002E3E40" w:rsidRDefault="00C921C3" w:rsidP="00760A53">
            <w:pPr>
              <w:jc w:val="both"/>
              <w:rPr>
                <w:rFonts w:ascii="Arial" w:hAnsi="Arial" w:cs="Arial"/>
                <w:lang w:val="pl-PL"/>
              </w:rPr>
            </w:pPr>
            <w:r w:rsidRPr="002E3E40">
              <w:rPr>
                <w:rFonts w:ascii="Arial" w:hAnsi="Arial" w:cs="Arial"/>
                <w:lang w:val="pl-PL"/>
              </w:rPr>
              <w:t>4611 - Otplata glavnice rezidentima</w:t>
            </w:r>
          </w:p>
        </w:tc>
        <w:tc>
          <w:tcPr>
            <w:tcW w:w="2056" w:type="dxa"/>
            <w:tcBorders>
              <w:top w:val="double" w:sz="2" w:space="0" w:color="auto"/>
              <w:left w:val="single" w:sz="2" w:space="0" w:color="auto"/>
              <w:bottom w:val="single" w:sz="2" w:space="0" w:color="auto"/>
              <w:right w:val="double" w:sz="2" w:space="0" w:color="auto"/>
            </w:tcBorders>
            <w:vAlign w:val="center"/>
          </w:tcPr>
          <w:p w:rsidR="00C921C3" w:rsidRPr="002E3E40" w:rsidRDefault="00C921C3" w:rsidP="00760A53">
            <w:pPr>
              <w:jc w:val="right"/>
              <w:rPr>
                <w:rFonts w:ascii="Arial" w:hAnsi="Arial" w:cs="Arial"/>
                <w:lang w:val="pl-PL"/>
              </w:rPr>
            </w:pPr>
            <w:r w:rsidRPr="00D7648F">
              <w:rPr>
                <w:rFonts w:ascii="Arial" w:hAnsi="Arial" w:cs="Arial"/>
                <w:lang w:val="pl-PL"/>
              </w:rPr>
              <w:t xml:space="preserve">239.746.752,65  </w:t>
            </w:r>
          </w:p>
        </w:tc>
      </w:tr>
      <w:tr w:rsidR="00C921C3" w:rsidRPr="002E3E40" w:rsidTr="00760A53">
        <w:trPr>
          <w:trHeight w:val="265"/>
          <w:jc w:val="center"/>
        </w:trPr>
        <w:tc>
          <w:tcPr>
            <w:tcW w:w="5116" w:type="dxa"/>
            <w:tcBorders>
              <w:top w:val="single" w:sz="2" w:space="0" w:color="auto"/>
              <w:left w:val="double" w:sz="2" w:space="0" w:color="auto"/>
              <w:bottom w:val="single" w:sz="2" w:space="0" w:color="auto"/>
              <w:right w:val="single" w:sz="2" w:space="0" w:color="auto"/>
            </w:tcBorders>
          </w:tcPr>
          <w:p w:rsidR="00C921C3" w:rsidRPr="002E3E40" w:rsidRDefault="00C921C3" w:rsidP="00760A53">
            <w:pPr>
              <w:rPr>
                <w:rFonts w:ascii="Arial" w:hAnsi="Arial" w:cs="Arial"/>
                <w:lang w:val="pl-PL"/>
              </w:rPr>
            </w:pPr>
            <w:r w:rsidRPr="002E3E40">
              <w:rPr>
                <w:rFonts w:ascii="Arial" w:hAnsi="Arial" w:cs="Arial"/>
                <w:lang w:val="pl-PL"/>
              </w:rPr>
              <w:t xml:space="preserve">4612 - Otplata glavnice nerezidentima   </w:t>
            </w:r>
          </w:p>
        </w:tc>
        <w:tc>
          <w:tcPr>
            <w:tcW w:w="2056" w:type="dxa"/>
            <w:tcBorders>
              <w:top w:val="single" w:sz="2" w:space="0" w:color="auto"/>
              <w:left w:val="single" w:sz="2" w:space="0" w:color="auto"/>
              <w:bottom w:val="single" w:sz="2" w:space="0" w:color="auto"/>
              <w:right w:val="double" w:sz="2" w:space="0" w:color="auto"/>
            </w:tcBorders>
            <w:vAlign w:val="center"/>
          </w:tcPr>
          <w:p w:rsidR="00C921C3" w:rsidRPr="002E3E40" w:rsidRDefault="00C921C3" w:rsidP="00760A53">
            <w:pPr>
              <w:jc w:val="right"/>
              <w:rPr>
                <w:rFonts w:ascii="Arial" w:hAnsi="Arial" w:cs="Arial"/>
                <w:lang w:val="pl-PL"/>
              </w:rPr>
            </w:pPr>
            <w:r w:rsidRPr="00D7648F">
              <w:rPr>
                <w:rFonts w:ascii="Arial" w:hAnsi="Arial" w:cs="Arial"/>
                <w:lang w:val="pl-PL"/>
              </w:rPr>
              <w:t xml:space="preserve">195.055.115,48  </w:t>
            </w:r>
          </w:p>
        </w:tc>
      </w:tr>
      <w:tr w:rsidR="00C921C3" w:rsidRPr="002E3E40" w:rsidTr="00760A53">
        <w:trPr>
          <w:jc w:val="center"/>
        </w:trPr>
        <w:tc>
          <w:tcPr>
            <w:tcW w:w="5116" w:type="dxa"/>
            <w:tcBorders>
              <w:top w:val="single" w:sz="2" w:space="0" w:color="auto"/>
              <w:left w:val="double" w:sz="2" w:space="0" w:color="auto"/>
              <w:bottom w:val="single" w:sz="2" w:space="0" w:color="auto"/>
              <w:right w:val="single" w:sz="2" w:space="0" w:color="auto"/>
            </w:tcBorders>
          </w:tcPr>
          <w:p w:rsidR="00C921C3" w:rsidRPr="002E3E40" w:rsidRDefault="00C921C3" w:rsidP="00760A53">
            <w:pPr>
              <w:rPr>
                <w:rFonts w:ascii="Arial" w:hAnsi="Arial" w:cs="Arial"/>
                <w:lang w:val="pl-PL"/>
              </w:rPr>
            </w:pPr>
            <w:r w:rsidRPr="002E3E40">
              <w:rPr>
                <w:rFonts w:ascii="Arial" w:hAnsi="Arial" w:cs="Arial"/>
                <w:lang w:val="pl-PL"/>
              </w:rPr>
              <w:t>4621 - Otplata duga po garanciji rezidentima</w:t>
            </w:r>
          </w:p>
        </w:tc>
        <w:tc>
          <w:tcPr>
            <w:tcW w:w="2056" w:type="dxa"/>
            <w:tcBorders>
              <w:top w:val="single" w:sz="2" w:space="0" w:color="auto"/>
              <w:left w:val="single" w:sz="2" w:space="0" w:color="auto"/>
              <w:bottom w:val="single" w:sz="2" w:space="0" w:color="auto"/>
              <w:right w:val="double" w:sz="2" w:space="0" w:color="auto"/>
            </w:tcBorders>
            <w:vAlign w:val="center"/>
          </w:tcPr>
          <w:p w:rsidR="00C921C3" w:rsidRPr="002E3E40" w:rsidRDefault="00C921C3" w:rsidP="00760A53">
            <w:pPr>
              <w:jc w:val="right"/>
              <w:rPr>
                <w:rFonts w:ascii="Arial" w:hAnsi="Arial" w:cs="Arial"/>
                <w:lang w:val="pl-PL"/>
              </w:rPr>
            </w:pPr>
            <w:r>
              <w:rPr>
                <w:rFonts w:ascii="Arial" w:hAnsi="Arial" w:cs="Arial"/>
                <w:lang w:val="pl-PL"/>
              </w:rPr>
              <w:t>15.258.930,95</w:t>
            </w:r>
          </w:p>
        </w:tc>
      </w:tr>
      <w:tr w:rsidR="00C921C3" w:rsidRPr="002E3E40" w:rsidTr="00760A53">
        <w:trPr>
          <w:jc w:val="center"/>
        </w:trPr>
        <w:tc>
          <w:tcPr>
            <w:tcW w:w="5116" w:type="dxa"/>
            <w:tcBorders>
              <w:top w:val="single" w:sz="2" w:space="0" w:color="auto"/>
              <w:left w:val="double" w:sz="2" w:space="0" w:color="auto"/>
              <w:bottom w:val="single" w:sz="2" w:space="0" w:color="auto"/>
              <w:right w:val="single" w:sz="2" w:space="0" w:color="auto"/>
            </w:tcBorders>
          </w:tcPr>
          <w:p w:rsidR="00C921C3" w:rsidRPr="002E3E40" w:rsidRDefault="00C921C3" w:rsidP="00760A53">
            <w:pPr>
              <w:rPr>
                <w:rFonts w:ascii="Arial" w:hAnsi="Arial" w:cs="Arial"/>
                <w:lang w:val="pl-PL"/>
              </w:rPr>
            </w:pPr>
            <w:r w:rsidRPr="002E3E40">
              <w:rPr>
                <w:rFonts w:ascii="Arial" w:hAnsi="Arial" w:cs="Arial"/>
                <w:lang w:val="pl-PL"/>
              </w:rPr>
              <w:t>4630 - Otplata obaveza iz prethodnih godina</w:t>
            </w:r>
          </w:p>
        </w:tc>
        <w:tc>
          <w:tcPr>
            <w:tcW w:w="2056" w:type="dxa"/>
            <w:tcBorders>
              <w:top w:val="single" w:sz="2" w:space="0" w:color="auto"/>
              <w:left w:val="single" w:sz="2" w:space="0" w:color="auto"/>
              <w:bottom w:val="single" w:sz="2" w:space="0" w:color="auto"/>
              <w:right w:val="double" w:sz="2" w:space="0" w:color="auto"/>
            </w:tcBorders>
            <w:vAlign w:val="center"/>
          </w:tcPr>
          <w:p w:rsidR="00C921C3" w:rsidRPr="002E3E40" w:rsidRDefault="00C921C3" w:rsidP="00760A53">
            <w:pPr>
              <w:jc w:val="right"/>
              <w:rPr>
                <w:rFonts w:ascii="Arial" w:hAnsi="Arial" w:cs="Arial"/>
                <w:lang w:val="pl-PL"/>
              </w:rPr>
            </w:pPr>
            <w:r>
              <w:rPr>
                <w:rFonts w:ascii="Arial" w:hAnsi="Arial" w:cs="Arial"/>
                <w:lang w:val="pl-PL"/>
              </w:rPr>
              <w:t>65.221.299,67</w:t>
            </w:r>
          </w:p>
        </w:tc>
      </w:tr>
      <w:tr w:rsidR="00C921C3" w:rsidRPr="002E3E40" w:rsidTr="00760A53">
        <w:trPr>
          <w:jc w:val="center"/>
        </w:trPr>
        <w:tc>
          <w:tcPr>
            <w:tcW w:w="5116" w:type="dxa"/>
            <w:tcBorders>
              <w:top w:val="single" w:sz="2" w:space="0" w:color="auto"/>
              <w:left w:val="double" w:sz="2" w:space="0" w:color="auto"/>
              <w:bottom w:val="single" w:sz="2" w:space="0" w:color="auto"/>
              <w:right w:val="single" w:sz="2" w:space="0" w:color="auto"/>
            </w:tcBorders>
          </w:tcPr>
          <w:p w:rsidR="00C921C3" w:rsidRPr="002E3E40" w:rsidRDefault="00C921C3" w:rsidP="00760A53">
            <w:pPr>
              <w:rPr>
                <w:rFonts w:ascii="Arial" w:hAnsi="Arial" w:cs="Arial"/>
                <w:lang w:val="pl-PL"/>
              </w:rPr>
            </w:pPr>
            <w:r>
              <w:rPr>
                <w:rFonts w:ascii="Arial" w:hAnsi="Arial" w:cs="Arial"/>
                <w:lang w:val="pl-PL"/>
              </w:rPr>
              <w:t>416</w:t>
            </w:r>
            <w:r w:rsidRPr="002E3E40">
              <w:rPr>
                <w:rFonts w:ascii="Arial" w:hAnsi="Arial" w:cs="Arial"/>
                <w:lang w:val="pl-PL"/>
              </w:rPr>
              <w:t>1 - Otplata kamate rezidentima</w:t>
            </w:r>
          </w:p>
        </w:tc>
        <w:tc>
          <w:tcPr>
            <w:tcW w:w="2056" w:type="dxa"/>
            <w:tcBorders>
              <w:top w:val="single" w:sz="2" w:space="0" w:color="auto"/>
              <w:left w:val="single" w:sz="2" w:space="0" w:color="auto"/>
              <w:bottom w:val="single" w:sz="2" w:space="0" w:color="auto"/>
              <w:right w:val="double" w:sz="2" w:space="0" w:color="auto"/>
            </w:tcBorders>
            <w:vAlign w:val="center"/>
          </w:tcPr>
          <w:p w:rsidR="00C921C3" w:rsidRPr="002E3E40" w:rsidRDefault="00C921C3" w:rsidP="00760A53">
            <w:pPr>
              <w:jc w:val="right"/>
              <w:rPr>
                <w:rFonts w:ascii="Arial" w:hAnsi="Arial" w:cs="Arial"/>
                <w:lang w:val="pl-PL"/>
              </w:rPr>
            </w:pPr>
            <w:r w:rsidRPr="00D7648F">
              <w:rPr>
                <w:rFonts w:ascii="Arial" w:hAnsi="Arial" w:cs="Arial"/>
                <w:lang w:val="pl-PL"/>
              </w:rPr>
              <w:t xml:space="preserve">8.755.905,51  </w:t>
            </w:r>
          </w:p>
        </w:tc>
      </w:tr>
      <w:tr w:rsidR="00C921C3" w:rsidRPr="002E3E40" w:rsidTr="00760A53">
        <w:trPr>
          <w:trHeight w:val="193"/>
          <w:jc w:val="center"/>
        </w:trPr>
        <w:tc>
          <w:tcPr>
            <w:tcW w:w="5116" w:type="dxa"/>
            <w:tcBorders>
              <w:top w:val="single" w:sz="2" w:space="0" w:color="auto"/>
              <w:left w:val="double" w:sz="2" w:space="0" w:color="auto"/>
              <w:bottom w:val="double" w:sz="2" w:space="0" w:color="auto"/>
              <w:right w:val="single" w:sz="2" w:space="0" w:color="auto"/>
            </w:tcBorders>
          </w:tcPr>
          <w:p w:rsidR="00C921C3" w:rsidRPr="002E3E40" w:rsidRDefault="00C921C3" w:rsidP="00760A53">
            <w:pPr>
              <w:rPr>
                <w:rFonts w:ascii="Arial" w:hAnsi="Arial" w:cs="Arial"/>
                <w:lang w:val="pl-PL"/>
              </w:rPr>
            </w:pPr>
            <w:r>
              <w:rPr>
                <w:rFonts w:ascii="Arial" w:hAnsi="Arial" w:cs="Arial"/>
                <w:lang w:val="pl-PL"/>
              </w:rPr>
              <w:t>416</w:t>
            </w:r>
            <w:r w:rsidRPr="002E3E40">
              <w:rPr>
                <w:rFonts w:ascii="Arial" w:hAnsi="Arial" w:cs="Arial"/>
                <w:lang w:val="pl-PL"/>
              </w:rPr>
              <w:t>2 - Otplata kamate nerezidentima</w:t>
            </w:r>
          </w:p>
        </w:tc>
        <w:tc>
          <w:tcPr>
            <w:tcW w:w="2056" w:type="dxa"/>
            <w:tcBorders>
              <w:top w:val="single" w:sz="2" w:space="0" w:color="auto"/>
              <w:left w:val="single" w:sz="2" w:space="0" w:color="auto"/>
              <w:bottom w:val="double" w:sz="2" w:space="0" w:color="auto"/>
              <w:right w:val="double" w:sz="2" w:space="0" w:color="auto"/>
            </w:tcBorders>
            <w:vAlign w:val="center"/>
          </w:tcPr>
          <w:p w:rsidR="00C921C3" w:rsidRPr="002E3E40" w:rsidRDefault="00C921C3" w:rsidP="00760A53">
            <w:pPr>
              <w:jc w:val="right"/>
              <w:rPr>
                <w:rFonts w:ascii="Arial" w:hAnsi="Arial" w:cs="Arial"/>
                <w:lang w:val="pl-PL"/>
              </w:rPr>
            </w:pPr>
            <w:r w:rsidRPr="00D7648F">
              <w:rPr>
                <w:rFonts w:ascii="Arial" w:hAnsi="Arial" w:cs="Arial"/>
                <w:lang w:val="pl-PL"/>
              </w:rPr>
              <w:t xml:space="preserve">66.628.454,02  </w:t>
            </w:r>
          </w:p>
        </w:tc>
      </w:tr>
      <w:tr w:rsidR="00C921C3" w:rsidRPr="002E3E40" w:rsidTr="00760A53">
        <w:trPr>
          <w:trHeight w:val="462"/>
          <w:jc w:val="center"/>
        </w:trPr>
        <w:tc>
          <w:tcPr>
            <w:tcW w:w="5116" w:type="dxa"/>
            <w:tcBorders>
              <w:top w:val="double" w:sz="2" w:space="0" w:color="auto"/>
              <w:left w:val="double" w:sz="2" w:space="0" w:color="auto"/>
              <w:bottom w:val="double" w:sz="2" w:space="0" w:color="auto"/>
              <w:right w:val="double" w:sz="2" w:space="0" w:color="auto"/>
            </w:tcBorders>
          </w:tcPr>
          <w:p w:rsidR="00C921C3" w:rsidRPr="002E3E40" w:rsidRDefault="00C921C3" w:rsidP="00760A53">
            <w:pPr>
              <w:spacing w:before="240"/>
              <w:jc w:val="center"/>
              <w:rPr>
                <w:rFonts w:ascii="Arial" w:hAnsi="Arial" w:cs="Arial"/>
                <w:b/>
                <w:lang w:val="pl-PL"/>
              </w:rPr>
            </w:pPr>
            <w:r w:rsidRPr="002E3E40">
              <w:rPr>
                <w:rFonts w:ascii="Arial" w:hAnsi="Arial" w:cs="Arial"/>
                <w:b/>
                <w:lang w:val="pl-PL"/>
              </w:rPr>
              <w:t xml:space="preserve">UKUPNO </w:t>
            </w:r>
          </w:p>
        </w:tc>
        <w:tc>
          <w:tcPr>
            <w:tcW w:w="2056" w:type="dxa"/>
            <w:tcBorders>
              <w:top w:val="double" w:sz="2" w:space="0" w:color="auto"/>
              <w:left w:val="double" w:sz="2" w:space="0" w:color="auto"/>
              <w:bottom w:val="double" w:sz="2" w:space="0" w:color="auto"/>
              <w:right w:val="double" w:sz="2" w:space="0" w:color="auto"/>
            </w:tcBorders>
          </w:tcPr>
          <w:p w:rsidR="00C921C3" w:rsidRPr="002E3E40" w:rsidRDefault="00C921C3" w:rsidP="00760A53">
            <w:pPr>
              <w:spacing w:before="240"/>
              <w:jc w:val="right"/>
              <w:rPr>
                <w:rFonts w:ascii="Arial" w:hAnsi="Arial" w:cs="Arial"/>
                <w:b/>
                <w:lang w:val="pl-PL"/>
              </w:rPr>
            </w:pPr>
            <w:r w:rsidRPr="00D7648F">
              <w:rPr>
                <w:rFonts w:ascii="Arial" w:hAnsi="Arial" w:cs="Arial"/>
                <w:b/>
                <w:lang w:val="pl-PL"/>
              </w:rPr>
              <w:t>590.666.458,28</w:t>
            </w:r>
          </w:p>
        </w:tc>
      </w:tr>
    </w:tbl>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pStyle w:val="BodyText"/>
        <w:rPr>
          <w:rFonts w:ascii="Arial" w:hAnsi="Arial" w:cs="Arial"/>
        </w:rPr>
      </w:pPr>
    </w:p>
    <w:p w:rsidR="00C921C3" w:rsidRDefault="00C921C3" w:rsidP="00C921C3">
      <w:pPr>
        <w:rPr>
          <w:rFonts w:ascii="Arial" w:hAnsi="Arial" w:cs="Arial"/>
          <w:lang w:val="sl-SI"/>
        </w:rPr>
      </w:pPr>
    </w:p>
    <w:p w:rsidR="00DB51CB" w:rsidRPr="00A272BA" w:rsidRDefault="00DB51CB" w:rsidP="00A272BA">
      <w:pPr>
        <w:rPr>
          <w:lang w:val="sr-Latn-CS"/>
        </w:rPr>
      </w:pPr>
    </w:p>
    <w:sectPr w:rsidR="00DB51CB" w:rsidRPr="00A272BA" w:rsidSect="007B6FA6">
      <w:footerReference w:type="even" r:id="rId15"/>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C97" w:rsidRDefault="009F6C97">
      <w:r>
        <w:separator/>
      </w:r>
    </w:p>
  </w:endnote>
  <w:endnote w:type="continuationSeparator" w:id="0">
    <w:p w:rsidR="009F6C97" w:rsidRDefault="009F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A53" w:rsidRDefault="00760A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0A53" w:rsidRDefault="00760A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A53" w:rsidRDefault="00760A53" w:rsidP="00091A7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A53" w:rsidRDefault="00760A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0A53" w:rsidRDefault="00760A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C97" w:rsidRDefault="009F6C97">
      <w:r>
        <w:separator/>
      </w:r>
    </w:p>
  </w:footnote>
  <w:footnote w:type="continuationSeparator" w:id="0">
    <w:p w:rsidR="009F6C97" w:rsidRDefault="009F6C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31A2"/>
    <w:multiLevelType w:val="hybridMultilevel"/>
    <w:tmpl w:val="BC94FF20"/>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
    <w:nsid w:val="0BAF5C84"/>
    <w:multiLevelType w:val="hybridMultilevel"/>
    <w:tmpl w:val="E30A7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7E46C8"/>
    <w:multiLevelType w:val="hybridMultilevel"/>
    <w:tmpl w:val="72E64290"/>
    <w:lvl w:ilvl="0" w:tplc="08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14BC20E1"/>
    <w:multiLevelType w:val="hybridMultilevel"/>
    <w:tmpl w:val="66E870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AB6D4A"/>
    <w:multiLevelType w:val="hybridMultilevel"/>
    <w:tmpl w:val="B314B998"/>
    <w:lvl w:ilvl="0" w:tplc="7ED2D4F0">
      <w:start w:val="1"/>
      <w:numFmt w:val="decimal"/>
      <w:lvlText w:val="%1."/>
      <w:lvlJc w:val="left"/>
      <w:pPr>
        <w:tabs>
          <w:tab w:val="num" w:pos="720"/>
        </w:tabs>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81312A8"/>
    <w:multiLevelType w:val="hybridMultilevel"/>
    <w:tmpl w:val="C64875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1010E8"/>
    <w:multiLevelType w:val="multilevel"/>
    <w:tmpl w:val="BEE4C53A"/>
    <w:lvl w:ilvl="0">
      <w:start w:val="1"/>
      <w:numFmt w:val="decimal"/>
      <w:lvlText w:val="%1."/>
      <w:lvlJc w:val="left"/>
      <w:pPr>
        <w:ind w:left="720" w:hanging="360"/>
      </w:pPr>
      <w:rPr>
        <w:rFonts w:hint="default"/>
        <w:b/>
        <w:i/>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ED1274D"/>
    <w:multiLevelType w:val="hybridMultilevel"/>
    <w:tmpl w:val="58A04EEE"/>
    <w:lvl w:ilvl="0" w:tplc="0409000F">
      <w:start w:val="1"/>
      <w:numFmt w:val="decimal"/>
      <w:lvlText w:val="%1."/>
      <w:lvlJc w:val="left"/>
      <w:pPr>
        <w:tabs>
          <w:tab w:val="num" w:pos="947"/>
        </w:tabs>
        <w:ind w:left="947" w:hanging="360"/>
      </w:pPr>
    </w:lvl>
    <w:lvl w:ilvl="1" w:tplc="04090001">
      <w:start w:val="1"/>
      <w:numFmt w:val="bullet"/>
      <w:lvlText w:val=""/>
      <w:lvlJc w:val="left"/>
      <w:pPr>
        <w:tabs>
          <w:tab w:val="num" w:pos="1620"/>
        </w:tabs>
        <w:ind w:left="1620" w:hanging="360"/>
      </w:pPr>
      <w:rPr>
        <w:rFonts w:ascii="Symbol" w:hAnsi="Symbol" w:hint="default"/>
      </w:rPr>
    </w:lvl>
    <w:lvl w:ilvl="2" w:tplc="0409000F">
      <w:start w:val="1"/>
      <w:numFmt w:val="decimal"/>
      <w:lvlText w:val="%3."/>
      <w:lvlJc w:val="left"/>
      <w:pPr>
        <w:tabs>
          <w:tab w:val="num" w:pos="2567"/>
        </w:tabs>
        <w:ind w:left="2567" w:hanging="36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8">
    <w:nsid w:val="46432EB0"/>
    <w:multiLevelType w:val="hybridMultilevel"/>
    <w:tmpl w:val="962EFB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A16E85"/>
    <w:multiLevelType w:val="hybridMultilevel"/>
    <w:tmpl w:val="4156EA0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5C5A3546"/>
    <w:multiLevelType w:val="hybridMultilevel"/>
    <w:tmpl w:val="5A086D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674ADF"/>
    <w:multiLevelType w:val="hybridMultilevel"/>
    <w:tmpl w:val="29DE9C9E"/>
    <w:lvl w:ilvl="0" w:tplc="081A000F">
      <w:start w:val="1"/>
      <w:numFmt w:val="decimal"/>
      <w:lvlText w:val="%1."/>
      <w:lvlJc w:val="left"/>
      <w:pPr>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2">
    <w:nsid w:val="6497437B"/>
    <w:multiLevelType w:val="hybridMultilevel"/>
    <w:tmpl w:val="3A52BE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B26B05"/>
    <w:multiLevelType w:val="hybridMultilevel"/>
    <w:tmpl w:val="375AEF7A"/>
    <w:lvl w:ilvl="0" w:tplc="0908DACA">
      <w:start w:val="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2D2D36"/>
    <w:multiLevelType w:val="hybridMultilevel"/>
    <w:tmpl w:val="CA6ACB80"/>
    <w:lvl w:ilvl="0" w:tplc="0409000F">
      <w:start w:val="1"/>
      <w:numFmt w:val="decimal"/>
      <w:lvlText w:val="%1."/>
      <w:lvlJc w:val="left"/>
      <w:pPr>
        <w:tabs>
          <w:tab w:val="num" w:pos="947"/>
        </w:tabs>
        <w:ind w:left="947" w:hanging="360"/>
      </w:pPr>
    </w:lvl>
    <w:lvl w:ilvl="1" w:tplc="04090001">
      <w:start w:val="1"/>
      <w:numFmt w:val="bullet"/>
      <w:lvlText w:val=""/>
      <w:lvlJc w:val="left"/>
      <w:pPr>
        <w:tabs>
          <w:tab w:val="num" w:pos="1620"/>
        </w:tabs>
        <w:ind w:left="1620" w:hanging="360"/>
      </w:pPr>
      <w:rPr>
        <w:rFonts w:ascii="Symbol" w:hAnsi="Symbol" w:hint="default"/>
      </w:rPr>
    </w:lvl>
    <w:lvl w:ilvl="2" w:tplc="0409000F">
      <w:start w:val="1"/>
      <w:numFmt w:val="decimal"/>
      <w:lvlText w:val="%3."/>
      <w:lvlJc w:val="left"/>
      <w:pPr>
        <w:tabs>
          <w:tab w:val="num" w:pos="2567"/>
        </w:tabs>
        <w:ind w:left="2567" w:hanging="36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15">
    <w:nsid w:val="71604C33"/>
    <w:multiLevelType w:val="multilevel"/>
    <w:tmpl w:val="2BFE13A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0"/>
  </w:num>
  <w:num w:numId="3">
    <w:abstractNumId w:val="8"/>
  </w:num>
  <w:num w:numId="4">
    <w:abstractNumId w:val="3"/>
  </w:num>
  <w:num w:numId="5">
    <w:abstractNumId w:val="5"/>
  </w:num>
  <w:num w:numId="6">
    <w:abstractNumId w:val="9"/>
  </w:num>
  <w:num w:numId="7">
    <w:abstractNumId w:val="2"/>
  </w:num>
  <w:num w:numId="8">
    <w:abstractNumId w:val="11"/>
  </w:num>
  <w:num w:numId="9">
    <w:abstractNumId w:val="4"/>
  </w:num>
  <w:num w:numId="10">
    <w:abstractNumId w:val="13"/>
  </w:num>
  <w:num w:numId="11">
    <w:abstractNumId w:val="1"/>
  </w:num>
  <w:num w:numId="12">
    <w:abstractNumId w:val="7"/>
  </w:num>
  <w:num w:numId="13">
    <w:abstractNumId w:val="14"/>
  </w:num>
  <w:num w:numId="14">
    <w:abstractNumId w:val="0"/>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A7D"/>
    <w:rsid w:val="00000A72"/>
    <w:rsid w:val="00000B9C"/>
    <w:rsid w:val="00001544"/>
    <w:rsid w:val="00002541"/>
    <w:rsid w:val="00002756"/>
    <w:rsid w:val="000032CC"/>
    <w:rsid w:val="000032F1"/>
    <w:rsid w:val="00003C81"/>
    <w:rsid w:val="000060FE"/>
    <w:rsid w:val="000068C7"/>
    <w:rsid w:val="00007F9A"/>
    <w:rsid w:val="0001072E"/>
    <w:rsid w:val="00013215"/>
    <w:rsid w:val="0001380E"/>
    <w:rsid w:val="00015CA3"/>
    <w:rsid w:val="0001682E"/>
    <w:rsid w:val="0001733C"/>
    <w:rsid w:val="000179B3"/>
    <w:rsid w:val="00020627"/>
    <w:rsid w:val="0002174E"/>
    <w:rsid w:val="00022307"/>
    <w:rsid w:val="00022C5D"/>
    <w:rsid w:val="00022EB4"/>
    <w:rsid w:val="0002320E"/>
    <w:rsid w:val="000236A4"/>
    <w:rsid w:val="00023E7F"/>
    <w:rsid w:val="000249F6"/>
    <w:rsid w:val="00025F41"/>
    <w:rsid w:val="000262B2"/>
    <w:rsid w:val="0002691F"/>
    <w:rsid w:val="00026B1A"/>
    <w:rsid w:val="00027FE3"/>
    <w:rsid w:val="00030CDB"/>
    <w:rsid w:val="0003167E"/>
    <w:rsid w:val="00032824"/>
    <w:rsid w:val="00033808"/>
    <w:rsid w:val="00033A7D"/>
    <w:rsid w:val="000347DA"/>
    <w:rsid w:val="0003586F"/>
    <w:rsid w:val="00036F20"/>
    <w:rsid w:val="000372A1"/>
    <w:rsid w:val="000418F3"/>
    <w:rsid w:val="00042930"/>
    <w:rsid w:val="00042D54"/>
    <w:rsid w:val="00043006"/>
    <w:rsid w:val="000432FA"/>
    <w:rsid w:val="00044EFC"/>
    <w:rsid w:val="00044F6B"/>
    <w:rsid w:val="00045B70"/>
    <w:rsid w:val="00046249"/>
    <w:rsid w:val="0004732E"/>
    <w:rsid w:val="000511C3"/>
    <w:rsid w:val="0005300A"/>
    <w:rsid w:val="00053CCC"/>
    <w:rsid w:val="00056771"/>
    <w:rsid w:val="000571D3"/>
    <w:rsid w:val="00060B6E"/>
    <w:rsid w:val="00061985"/>
    <w:rsid w:val="00061BB5"/>
    <w:rsid w:val="00061DCF"/>
    <w:rsid w:val="00062868"/>
    <w:rsid w:val="000635B2"/>
    <w:rsid w:val="00064013"/>
    <w:rsid w:val="000648D3"/>
    <w:rsid w:val="0006494A"/>
    <w:rsid w:val="000660A4"/>
    <w:rsid w:val="00070D33"/>
    <w:rsid w:val="0007118A"/>
    <w:rsid w:val="00071545"/>
    <w:rsid w:val="00073ACA"/>
    <w:rsid w:val="00073EED"/>
    <w:rsid w:val="00074E41"/>
    <w:rsid w:val="00075A71"/>
    <w:rsid w:val="00076A2E"/>
    <w:rsid w:val="00076E2A"/>
    <w:rsid w:val="00077377"/>
    <w:rsid w:val="00077D98"/>
    <w:rsid w:val="00080717"/>
    <w:rsid w:val="0008456B"/>
    <w:rsid w:val="000846D1"/>
    <w:rsid w:val="00084984"/>
    <w:rsid w:val="000857F8"/>
    <w:rsid w:val="0008592C"/>
    <w:rsid w:val="00085FCE"/>
    <w:rsid w:val="00091831"/>
    <w:rsid w:val="000919C5"/>
    <w:rsid w:val="00091A7D"/>
    <w:rsid w:val="00092356"/>
    <w:rsid w:val="000924D8"/>
    <w:rsid w:val="00092B21"/>
    <w:rsid w:val="000937BA"/>
    <w:rsid w:val="00093FE3"/>
    <w:rsid w:val="0009704E"/>
    <w:rsid w:val="00097479"/>
    <w:rsid w:val="00097685"/>
    <w:rsid w:val="000A3394"/>
    <w:rsid w:val="000A359A"/>
    <w:rsid w:val="000A35E4"/>
    <w:rsid w:val="000A44A2"/>
    <w:rsid w:val="000A5B60"/>
    <w:rsid w:val="000A6776"/>
    <w:rsid w:val="000A79AF"/>
    <w:rsid w:val="000B006B"/>
    <w:rsid w:val="000B1B1D"/>
    <w:rsid w:val="000B27FE"/>
    <w:rsid w:val="000B3F30"/>
    <w:rsid w:val="000B5AED"/>
    <w:rsid w:val="000B666B"/>
    <w:rsid w:val="000B6803"/>
    <w:rsid w:val="000B79B6"/>
    <w:rsid w:val="000B7DF9"/>
    <w:rsid w:val="000C1B99"/>
    <w:rsid w:val="000C1EB9"/>
    <w:rsid w:val="000C3F07"/>
    <w:rsid w:val="000C4840"/>
    <w:rsid w:val="000C48D8"/>
    <w:rsid w:val="000C5187"/>
    <w:rsid w:val="000C5753"/>
    <w:rsid w:val="000C5A56"/>
    <w:rsid w:val="000D3596"/>
    <w:rsid w:val="000D38B0"/>
    <w:rsid w:val="000D42F4"/>
    <w:rsid w:val="000D5A79"/>
    <w:rsid w:val="000D6591"/>
    <w:rsid w:val="000D661F"/>
    <w:rsid w:val="000D70AE"/>
    <w:rsid w:val="000D768C"/>
    <w:rsid w:val="000E0156"/>
    <w:rsid w:val="000E08AE"/>
    <w:rsid w:val="000E1BBC"/>
    <w:rsid w:val="000E32CB"/>
    <w:rsid w:val="000E3316"/>
    <w:rsid w:val="000E37CB"/>
    <w:rsid w:val="000E3ABA"/>
    <w:rsid w:val="000E3F88"/>
    <w:rsid w:val="000E41E7"/>
    <w:rsid w:val="000E49C4"/>
    <w:rsid w:val="000E4F75"/>
    <w:rsid w:val="000E602D"/>
    <w:rsid w:val="000E677D"/>
    <w:rsid w:val="000E7120"/>
    <w:rsid w:val="000F1DF8"/>
    <w:rsid w:val="000F31C0"/>
    <w:rsid w:val="000F4A38"/>
    <w:rsid w:val="000F5EC1"/>
    <w:rsid w:val="000F6768"/>
    <w:rsid w:val="000F6CC8"/>
    <w:rsid w:val="00100B0B"/>
    <w:rsid w:val="00100C52"/>
    <w:rsid w:val="00100E9F"/>
    <w:rsid w:val="001035D7"/>
    <w:rsid w:val="00103764"/>
    <w:rsid w:val="00103FA0"/>
    <w:rsid w:val="0010426A"/>
    <w:rsid w:val="00107D44"/>
    <w:rsid w:val="00110AF5"/>
    <w:rsid w:val="00111776"/>
    <w:rsid w:val="001119CB"/>
    <w:rsid w:val="0011427A"/>
    <w:rsid w:val="00114DA1"/>
    <w:rsid w:val="00115B79"/>
    <w:rsid w:val="00115C30"/>
    <w:rsid w:val="001205E8"/>
    <w:rsid w:val="001210AF"/>
    <w:rsid w:val="00121B88"/>
    <w:rsid w:val="00122626"/>
    <w:rsid w:val="00123538"/>
    <w:rsid w:val="00123E80"/>
    <w:rsid w:val="00124417"/>
    <w:rsid w:val="00124A46"/>
    <w:rsid w:val="00124D2B"/>
    <w:rsid w:val="001257EC"/>
    <w:rsid w:val="001259E4"/>
    <w:rsid w:val="00125F17"/>
    <w:rsid w:val="001260D2"/>
    <w:rsid w:val="001261DD"/>
    <w:rsid w:val="001276A6"/>
    <w:rsid w:val="00127A1D"/>
    <w:rsid w:val="001306D5"/>
    <w:rsid w:val="0013173C"/>
    <w:rsid w:val="00131FFE"/>
    <w:rsid w:val="00132185"/>
    <w:rsid w:val="00132357"/>
    <w:rsid w:val="00137DB4"/>
    <w:rsid w:val="00141B51"/>
    <w:rsid w:val="00143315"/>
    <w:rsid w:val="001433E8"/>
    <w:rsid w:val="00143656"/>
    <w:rsid w:val="00144B46"/>
    <w:rsid w:val="00146205"/>
    <w:rsid w:val="00146489"/>
    <w:rsid w:val="00150438"/>
    <w:rsid w:val="00150A9C"/>
    <w:rsid w:val="00150CB2"/>
    <w:rsid w:val="001553E4"/>
    <w:rsid w:val="00155CF3"/>
    <w:rsid w:val="00156634"/>
    <w:rsid w:val="00156D90"/>
    <w:rsid w:val="00160378"/>
    <w:rsid w:val="00160740"/>
    <w:rsid w:val="00161098"/>
    <w:rsid w:val="00161E8F"/>
    <w:rsid w:val="00162CE0"/>
    <w:rsid w:val="001636C5"/>
    <w:rsid w:val="00163C0A"/>
    <w:rsid w:val="00165A96"/>
    <w:rsid w:val="00166350"/>
    <w:rsid w:val="00166AB3"/>
    <w:rsid w:val="00170C30"/>
    <w:rsid w:val="0017178D"/>
    <w:rsid w:val="00172FD1"/>
    <w:rsid w:val="00173311"/>
    <w:rsid w:val="001736B8"/>
    <w:rsid w:val="0017384D"/>
    <w:rsid w:val="00174BF2"/>
    <w:rsid w:val="00174D7F"/>
    <w:rsid w:val="0017687D"/>
    <w:rsid w:val="00177FBB"/>
    <w:rsid w:val="00180BCA"/>
    <w:rsid w:val="00182726"/>
    <w:rsid w:val="00183F40"/>
    <w:rsid w:val="001847A7"/>
    <w:rsid w:val="001851FD"/>
    <w:rsid w:val="00185306"/>
    <w:rsid w:val="00185DED"/>
    <w:rsid w:val="00186273"/>
    <w:rsid w:val="00186B4E"/>
    <w:rsid w:val="001871B9"/>
    <w:rsid w:val="0019044F"/>
    <w:rsid w:val="00190C0A"/>
    <w:rsid w:val="00190C5F"/>
    <w:rsid w:val="00191475"/>
    <w:rsid w:val="00192A4D"/>
    <w:rsid w:val="001951C0"/>
    <w:rsid w:val="001955D4"/>
    <w:rsid w:val="00196482"/>
    <w:rsid w:val="0019699D"/>
    <w:rsid w:val="00196C0F"/>
    <w:rsid w:val="001A28E6"/>
    <w:rsid w:val="001A3174"/>
    <w:rsid w:val="001A44ED"/>
    <w:rsid w:val="001A471C"/>
    <w:rsid w:val="001A5B27"/>
    <w:rsid w:val="001A6197"/>
    <w:rsid w:val="001A714C"/>
    <w:rsid w:val="001B12F1"/>
    <w:rsid w:val="001B1F99"/>
    <w:rsid w:val="001B238D"/>
    <w:rsid w:val="001B2EF4"/>
    <w:rsid w:val="001B43F3"/>
    <w:rsid w:val="001B4654"/>
    <w:rsid w:val="001B6184"/>
    <w:rsid w:val="001B7ADC"/>
    <w:rsid w:val="001B7F96"/>
    <w:rsid w:val="001C0268"/>
    <w:rsid w:val="001C21E3"/>
    <w:rsid w:val="001C2882"/>
    <w:rsid w:val="001C314B"/>
    <w:rsid w:val="001C32A7"/>
    <w:rsid w:val="001C5983"/>
    <w:rsid w:val="001C5B67"/>
    <w:rsid w:val="001C60CD"/>
    <w:rsid w:val="001C7BBF"/>
    <w:rsid w:val="001C7EA4"/>
    <w:rsid w:val="001D051A"/>
    <w:rsid w:val="001D1769"/>
    <w:rsid w:val="001D2D34"/>
    <w:rsid w:val="001D35DF"/>
    <w:rsid w:val="001D4602"/>
    <w:rsid w:val="001D6872"/>
    <w:rsid w:val="001E0C96"/>
    <w:rsid w:val="001E0DB4"/>
    <w:rsid w:val="001E2328"/>
    <w:rsid w:val="001E29B9"/>
    <w:rsid w:val="001E3301"/>
    <w:rsid w:val="001E4431"/>
    <w:rsid w:val="001F0D04"/>
    <w:rsid w:val="001F102D"/>
    <w:rsid w:val="001F1888"/>
    <w:rsid w:val="001F1ACA"/>
    <w:rsid w:val="001F1E78"/>
    <w:rsid w:val="001F6D68"/>
    <w:rsid w:val="00200340"/>
    <w:rsid w:val="00201116"/>
    <w:rsid w:val="00203A6B"/>
    <w:rsid w:val="00203F69"/>
    <w:rsid w:val="002044A5"/>
    <w:rsid w:val="00204B2D"/>
    <w:rsid w:val="00205A4D"/>
    <w:rsid w:val="00205BAC"/>
    <w:rsid w:val="00206EFE"/>
    <w:rsid w:val="00207028"/>
    <w:rsid w:val="00207935"/>
    <w:rsid w:val="00210299"/>
    <w:rsid w:val="002110A9"/>
    <w:rsid w:val="0021211D"/>
    <w:rsid w:val="00216AE4"/>
    <w:rsid w:val="00216B57"/>
    <w:rsid w:val="00217241"/>
    <w:rsid w:val="002175B8"/>
    <w:rsid w:val="00220456"/>
    <w:rsid w:val="00220AFC"/>
    <w:rsid w:val="00222824"/>
    <w:rsid w:val="00222E30"/>
    <w:rsid w:val="0022351C"/>
    <w:rsid w:val="002256A3"/>
    <w:rsid w:val="00226FE6"/>
    <w:rsid w:val="00227875"/>
    <w:rsid w:val="00227AF7"/>
    <w:rsid w:val="00230F04"/>
    <w:rsid w:val="00231D4A"/>
    <w:rsid w:val="0023293D"/>
    <w:rsid w:val="00233028"/>
    <w:rsid w:val="00234CA8"/>
    <w:rsid w:val="002351AA"/>
    <w:rsid w:val="002360B4"/>
    <w:rsid w:val="002361AD"/>
    <w:rsid w:val="002374AA"/>
    <w:rsid w:val="00237FC8"/>
    <w:rsid w:val="002424B2"/>
    <w:rsid w:val="00242EBD"/>
    <w:rsid w:val="00243B93"/>
    <w:rsid w:val="0024573C"/>
    <w:rsid w:val="00246B7D"/>
    <w:rsid w:val="002470D8"/>
    <w:rsid w:val="0024716A"/>
    <w:rsid w:val="002478F5"/>
    <w:rsid w:val="00247F4E"/>
    <w:rsid w:val="00247F7A"/>
    <w:rsid w:val="002508F5"/>
    <w:rsid w:val="00252287"/>
    <w:rsid w:val="00254186"/>
    <w:rsid w:val="00256563"/>
    <w:rsid w:val="00257019"/>
    <w:rsid w:val="002570A3"/>
    <w:rsid w:val="0025720E"/>
    <w:rsid w:val="0026022B"/>
    <w:rsid w:val="00262164"/>
    <w:rsid w:val="00262CE0"/>
    <w:rsid w:val="00265E47"/>
    <w:rsid w:val="00266995"/>
    <w:rsid w:val="00266CF0"/>
    <w:rsid w:val="002675C2"/>
    <w:rsid w:val="00270501"/>
    <w:rsid w:val="00270860"/>
    <w:rsid w:val="0027287C"/>
    <w:rsid w:val="00272976"/>
    <w:rsid w:val="00272D92"/>
    <w:rsid w:val="00272EA9"/>
    <w:rsid w:val="00273B51"/>
    <w:rsid w:val="00274373"/>
    <w:rsid w:val="00274682"/>
    <w:rsid w:val="002751FA"/>
    <w:rsid w:val="00275B26"/>
    <w:rsid w:val="00276F1D"/>
    <w:rsid w:val="00277B21"/>
    <w:rsid w:val="00277B35"/>
    <w:rsid w:val="002804AD"/>
    <w:rsid w:val="00282C8D"/>
    <w:rsid w:val="00282F56"/>
    <w:rsid w:val="00282FE2"/>
    <w:rsid w:val="00283B81"/>
    <w:rsid w:val="00286963"/>
    <w:rsid w:val="00287BF7"/>
    <w:rsid w:val="002910A8"/>
    <w:rsid w:val="0029172B"/>
    <w:rsid w:val="0029186A"/>
    <w:rsid w:val="00293C4E"/>
    <w:rsid w:val="00295BA7"/>
    <w:rsid w:val="00295D6F"/>
    <w:rsid w:val="00295F8F"/>
    <w:rsid w:val="00297ECE"/>
    <w:rsid w:val="002A0217"/>
    <w:rsid w:val="002A101A"/>
    <w:rsid w:val="002A1131"/>
    <w:rsid w:val="002A18B1"/>
    <w:rsid w:val="002A1D75"/>
    <w:rsid w:val="002A27E4"/>
    <w:rsid w:val="002A4E09"/>
    <w:rsid w:val="002A5CC7"/>
    <w:rsid w:val="002A6C7A"/>
    <w:rsid w:val="002A7D48"/>
    <w:rsid w:val="002B1282"/>
    <w:rsid w:val="002B317A"/>
    <w:rsid w:val="002B38F3"/>
    <w:rsid w:val="002B4829"/>
    <w:rsid w:val="002B512D"/>
    <w:rsid w:val="002B5B38"/>
    <w:rsid w:val="002B7720"/>
    <w:rsid w:val="002B7C9B"/>
    <w:rsid w:val="002C224C"/>
    <w:rsid w:val="002C338E"/>
    <w:rsid w:val="002C3468"/>
    <w:rsid w:val="002C5091"/>
    <w:rsid w:val="002C5B2A"/>
    <w:rsid w:val="002C689C"/>
    <w:rsid w:val="002C71B8"/>
    <w:rsid w:val="002D1616"/>
    <w:rsid w:val="002D1B50"/>
    <w:rsid w:val="002D1D4F"/>
    <w:rsid w:val="002D5589"/>
    <w:rsid w:val="002D6C6F"/>
    <w:rsid w:val="002D756F"/>
    <w:rsid w:val="002E0549"/>
    <w:rsid w:val="002E0905"/>
    <w:rsid w:val="002E0C61"/>
    <w:rsid w:val="002E2010"/>
    <w:rsid w:val="002E235E"/>
    <w:rsid w:val="002E32D5"/>
    <w:rsid w:val="002E34AC"/>
    <w:rsid w:val="002E3E40"/>
    <w:rsid w:val="002E41C2"/>
    <w:rsid w:val="002E456A"/>
    <w:rsid w:val="002E45FB"/>
    <w:rsid w:val="002E4D67"/>
    <w:rsid w:val="002E5508"/>
    <w:rsid w:val="002E5714"/>
    <w:rsid w:val="002E5E52"/>
    <w:rsid w:val="002E6D9B"/>
    <w:rsid w:val="002E7EEF"/>
    <w:rsid w:val="002E7F78"/>
    <w:rsid w:val="002F0C67"/>
    <w:rsid w:val="002F187C"/>
    <w:rsid w:val="002F376A"/>
    <w:rsid w:val="002F4287"/>
    <w:rsid w:val="002F72DF"/>
    <w:rsid w:val="00300501"/>
    <w:rsid w:val="00302FDB"/>
    <w:rsid w:val="003056B5"/>
    <w:rsid w:val="003059F3"/>
    <w:rsid w:val="00305ACD"/>
    <w:rsid w:val="003063CD"/>
    <w:rsid w:val="003071A6"/>
    <w:rsid w:val="0031028B"/>
    <w:rsid w:val="0031055D"/>
    <w:rsid w:val="0031253E"/>
    <w:rsid w:val="00312EEE"/>
    <w:rsid w:val="00314962"/>
    <w:rsid w:val="00314B2E"/>
    <w:rsid w:val="00315D04"/>
    <w:rsid w:val="0031678B"/>
    <w:rsid w:val="00316CF6"/>
    <w:rsid w:val="0031724F"/>
    <w:rsid w:val="00320007"/>
    <w:rsid w:val="00320464"/>
    <w:rsid w:val="003209C3"/>
    <w:rsid w:val="00321000"/>
    <w:rsid w:val="00321D3A"/>
    <w:rsid w:val="00322610"/>
    <w:rsid w:val="00322C39"/>
    <w:rsid w:val="00322D91"/>
    <w:rsid w:val="003239FA"/>
    <w:rsid w:val="00327E04"/>
    <w:rsid w:val="003301A7"/>
    <w:rsid w:val="00330AAC"/>
    <w:rsid w:val="00330E19"/>
    <w:rsid w:val="003314FA"/>
    <w:rsid w:val="00334060"/>
    <w:rsid w:val="0033417D"/>
    <w:rsid w:val="00334B50"/>
    <w:rsid w:val="00334BD1"/>
    <w:rsid w:val="00335A94"/>
    <w:rsid w:val="003368E7"/>
    <w:rsid w:val="003368EC"/>
    <w:rsid w:val="00340301"/>
    <w:rsid w:val="0034067F"/>
    <w:rsid w:val="00341742"/>
    <w:rsid w:val="00342A84"/>
    <w:rsid w:val="00342B2E"/>
    <w:rsid w:val="003437FD"/>
    <w:rsid w:val="003442B4"/>
    <w:rsid w:val="003454A8"/>
    <w:rsid w:val="0035007F"/>
    <w:rsid w:val="003501F8"/>
    <w:rsid w:val="00350C81"/>
    <w:rsid w:val="00351269"/>
    <w:rsid w:val="00351523"/>
    <w:rsid w:val="003524FD"/>
    <w:rsid w:val="00352AB3"/>
    <w:rsid w:val="00353856"/>
    <w:rsid w:val="00353E3E"/>
    <w:rsid w:val="00355E0C"/>
    <w:rsid w:val="003563BE"/>
    <w:rsid w:val="0036017C"/>
    <w:rsid w:val="00360417"/>
    <w:rsid w:val="00360FC9"/>
    <w:rsid w:val="0036133C"/>
    <w:rsid w:val="00362558"/>
    <w:rsid w:val="00362CCC"/>
    <w:rsid w:val="00363574"/>
    <w:rsid w:val="00363BFC"/>
    <w:rsid w:val="00364006"/>
    <w:rsid w:val="00364B75"/>
    <w:rsid w:val="003653D4"/>
    <w:rsid w:val="00365C13"/>
    <w:rsid w:val="00366EDD"/>
    <w:rsid w:val="00366F09"/>
    <w:rsid w:val="003673C5"/>
    <w:rsid w:val="0036759D"/>
    <w:rsid w:val="00367694"/>
    <w:rsid w:val="0037161D"/>
    <w:rsid w:val="00372125"/>
    <w:rsid w:val="00372EB9"/>
    <w:rsid w:val="00373E94"/>
    <w:rsid w:val="003740B3"/>
    <w:rsid w:val="00374AE2"/>
    <w:rsid w:val="003755B1"/>
    <w:rsid w:val="003813E1"/>
    <w:rsid w:val="003816BF"/>
    <w:rsid w:val="00381A8D"/>
    <w:rsid w:val="00382932"/>
    <w:rsid w:val="00382E8F"/>
    <w:rsid w:val="00383058"/>
    <w:rsid w:val="00383C66"/>
    <w:rsid w:val="00383D59"/>
    <w:rsid w:val="00384BA6"/>
    <w:rsid w:val="00385D27"/>
    <w:rsid w:val="003867EE"/>
    <w:rsid w:val="00387994"/>
    <w:rsid w:val="0039021D"/>
    <w:rsid w:val="00390B8A"/>
    <w:rsid w:val="003919AF"/>
    <w:rsid w:val="00391EA4"/>
    <w:rsid w:val="003932BF"/>
    <w:rsid w:val="003946C9"/>
    <w:rsid w:val="0039551D"/>
    <w:rsid w:val="00395777"/>
    <w:rsid w:val="003A08DB"/>
    <w:rsid w:val="003A0F5F"/>
    <w:rsid w:val="003A1BA4"/>
    <w:rsid w:val="003A1DC8"/>
    <w:rsid w:val="003A3113"/>
    <w:rsid w:val="003A38BB"/>
    <w:rsid w:val="003A4F17"/>
    <w:rsid w:val="003A4F3D"/>
    <w:rsid w:val="003A5262"/>
    <w:rsid w:val="003A55BA"/>
    <w:rsid w:val="003A69D6"/>
    <w:rsid w:val="003B068F"/>
    <w:rsid w:val="003B2A65"/>
    <w:rsid w:val="003B4663"/>
    <w:rsid w:val="003B7982"/>
    <w:rsid w:val="003C0F12"/>
    <w:rsid w:val="003C13F8"/>
    <w:rsid w:val="003C1862"/>
    <w:rsid w:val="003C2786"/>
    <w:rsid w:val="003C2B8A"/>
    <w:rsid w:val="003C3256"/>
    <w:rsid w:val="003C36E4"/>
    <w:rsid w:val="003C38B5"/>
    <w:rsid w:val="003C420B"/>
    <w:rsid w:val="003C4EC0"/>
    <w:rsid w:val="003C6739"/>
    <w:rsid w:val="003C6C40"/>
    <w:rsid w:val="003C74E4"/>
    <w:rsid w:val="003C7734"/>
    <w:rsid w:val="003D2413"/>
    <w:rsid w:val="003D2440"/>
    <w:rsid w:val="003D27AC"/>
    <w:rsid w:val="003D3D73"/>
    <w:rsid w:val="003D4232"/>
    <w:rsid w:val="003D4B10"/>
    <w:rsid w:val="003D4BEC"/>
    <w:rsid w:val="003D5275"/>
    <w:rsid w:val="003D593F"/>
    <w:rsid w:val="003D5DC3"/>
    <w:rsid w:val="003D5FC0"/>
    <w:rsid w:val="003D65EC"/>
    <w:rsid w:val="003E10ED"/>
    <w:rsid w:val="003E1CFD"/>
    <w:rsid w:val="003E2502"/>
    <w:rsid w:val="003E279E"/>
    <w:rsid w:val="003E2E0D"/>
    <w:rsid w:val="003E318F"/>
    <w:rsid w:val="003E3218"/>
    <w:rsid w:val="003E32BC"/>
    <w:rsid w:val="003E4F0A"/>
    <w:rsid w:val="003E661F"/>
    <w:rsid w:val="003E6FB7"/>
    <w:rsid w:val="003F27AE"/>
    <w:rsid w:val="003F3AC0"/>
    <w:rsid w:val="003F6247"/>
    <w:rsid w:val="003F632F"/>
    <w:rsid w:val="003F6978"/>
    <w:rsid w:val="00400E8A"/>
    <w:rsid w:val="00401369"/>
    <w:rsid w:val="0040174E"/>
    <w:rsid w:val="0040184F"/>
    <w:rsid w:val="00401D32"/>
    <w:rsid w:val="00402BE5"/>
    <w:rsid w:val="00402D46"/>
    <w:rsid w:val="00405402"/>
    <w:rsid w:val="00405E23"/>
    <w:rsid w:val="004068D7"/>
    <w:rsid w:val="004069E7"/>
    <w:rsid w:val="004121E0"/>
    <w:rsid w:val="004129BB"/>
    <w:rsid w:val="0041340F"/>
    <w:rsid w:val="00413789"/>
    <w:rsid w:val="00414EA7"/>
    <w:rsid w:val="00415A93"/>
    <w:rsid w:val="00417056"/>
    <w:rsid w:val="00417377"/>
    <w:rsid w:val="00417BEA"/>
    <w:rsid w:val="00420A0C"/>
    <w:rsid w:val="004212C6"/>
    <w:rsid w:val="004212FA"/>
    <w:rsid w:val="0042133C"/>
    <w:rsid w:val="00421D6A"/>
    <w:rsid w:val="00421E74"/>
    <w:rsid w:val="00422C34"/>
    <w:rsid w:val="00423C0D"/>
    <w:rsid w:val="00423CF2"/>
    <w:rsid w:val="00423D35"/>
    <w:rsid w:val="0042442F"/>
    <w:rsid w:val="004245BD"/>
    <w:rsid w:val="0042471D"/>
    <w:rsid w:val="00425165"/>
    <w:rsid w:val="004259A0"/>
    <w:rsid w:val="00425D2A"/>
    <w:rsid w:val="00426FAE"/>
    <w:rsid w:val="0042799B"/>
    <w:rsid w:val="00430B52"/>
    <w:rsid w:val="00430E57"/>
    <w:rsid w:val="00431844"/>
    <w:rsid w:val="004322BA"/>
    <w:rsid w:val="00432E02"/>
    <w:rsid w:val="00433FCF"/>
    <w:rsid w:val="00434C83"/>
    <w:rsid w:val="004360A8"/>
    <w:rsid w:val="004369F7"/>
    <w:rsid w:val="004377CB"/>
    <w:rsid w:val="00440170"/>
    <w:rsid w:val="00441929"/>
    <w:rsid w:val="00443367"/>
    <w:rsid w:val="00443C72"/>
    <w:rsid w:val="004440B5"/>
    <w:rsid w:val="00446CB6"/>
    <w:rsid w:val="00447435"/>
    <w:rsid w:val="00447987"/>
    <w:rsid w:val="00447D44"/>
    <w:rsid w:val="0045072A"/>
    <w:rsid w:val="00450830"/>
    <w:rsid w:val="00450DE4"/>
    <w:rsid w:val="004517EB"/>
    <w:rsid w:val="00452904"/>
    <w:rsid w:val="0045324F"/>
    <w:rsid w:val="004535A6"/>
    <w:rsid w:val="004544C5"/>
    <w:rsid w:val="00455260"/>
    <w:rsid w:val="00455266"/>
    <w:rsid w:val="00457038"/>
    <w:rsid w:val="00457A12"/>
    <w:rsid w:val="004610B8"/>
    <w:rsid w:val="0046287C"/>
    <w:rsid w:val="004629CC"/>
    <w:rsid w:val="004630E2"/>
    <w:rsid w:val="0046406B"/>
    <w:rsid w:val="004640DC"/>
    <w:rsid w:val="00465502"/>
    <w:rsid w:val="00466599"/>
    <w:rsid w:val="0046681A"/>
    <w:rsid w:val="004670ED"/>
    <w:rsid w:val="00474261"/>
    <w:rsid w:val="0047432E"/>
    <w:rsid w:val="00475089"/>
    <w:rsid w:val="00475907"/>
    <w:rsid w:val="00476546"/>
    <w:rsid w:val="00480F8E"/>
    <w:rsid w:val="004839A9"/>
    <w:rsid w:val="00485D1E"/>
    <w:rsid w:val="0048786C"/>
    <w:rsid w:val="00487F47"/>
    <w:rsid w:val="00490734"/>
    <w:rsid w:val="0049158C"/>
    <w:rsid w:val="00492741"/>
    <w:rsid w:val="00495EEB"/>
    <w:rsid w:val="004964E3"/>
    <w:rsid w:val="0049666E"/>
    <w:rsid w:val="00497351"/>
    <w:rsid w:val="00497E4D"/>
    <w:rsid w:val="004A0536"/>
    <w:rsid w:val="004A278E"/>
    <w:rsid w:val="004A279C"/>
    <w:rsid w:val="004A3E6D"/>
    <w:rsid w:val="004A410C"/>
    <w:rsid w:val="004A4ADD"/>
    <w:rsid w:val="004A5922"/>
    <w:rsid w:val="004A5B54"/>
    <w:rsid w:val="004A667D"/>
    <w:rsid w:val="004A7292"/>
    <w:rsid w:val="004A7512"/>
    <w:rsid w:val="004B02BD"/>
    <w:rsid w:val="004B0AAB"/>
    <w:rsid w:val="004B14B1"/>
    <w:rsid w:val="004B14CE"/>
    <w:rsid w:val="004B2B0A"/>
    <w:rsid w:val="004B466C"/>
    <w:rsid w:val="004B5627"/>
    <w:rsid w:val="004B59B2"/>
    <w:rsid w:val="004B5B02"/>
    <w:rsid w:val="004B637D"/>
    <w:rsid w:val="004B730A"/>
    <w:rsid w:val="004C02A2"/>
    <w:rsid w:val="004C0363"/>
    <w:rsid w:val="004C05AF"/>
    <w:rsid w:val="004C0D82"/>
    <w:rsid w:val="004C44EE"/>
    <w:rsid w:val="004C68C3"/>
    <w:rsid w:val="004C75B9"/>
    <w:rsid w:val="004C75D5"/>
    <w:rsid w:val="004C7BBB"/>
    <w:rsid w:val="004D0D39"/>
    <w:rsid w:val="004D0E3E"/>
    <w:rsid w:val="004D3E1E"/>
    <w:rsid w:val="004D4837"/>
    <w:rsid w:val="004D6231"/>
    <w:rsid w:val="004D74C1"/>
    <w:rsid w:val="004E0D01"/>
    <w:rsid w:val="004E5609"/>
    <w:rsid w:val="004E77F4"/>
    <w:rsid w:val="004F010F"/>
    <w:rsid w:val="004F1E5A"/>
    <w:rsid w:val="004F1F09"/>
    <w:rsid w:val="004F334C"/>
    <w:rsid w:val="004F337D"/>
    <w:rsid w:val="004F33FD"/>
    <w:rsid w:val="004F3BE7"/>
    <w:rsid w:val="004F481E"/>
    <w:rsid w:val="004F51ED"/>
    <w:rsid w:val="004F67A4"/>
    <w:rsid w:val="004F70A6"/>
    <w:rsid w:val="004F7634"/>
    <w:rsid w:val="0050240B"/>
    <w:rsid w:val="005072C3"/>
    <w:rsid w:val="00510380"/>
    <w:rsid w:val="005126A4"/>
    <w:rsid w:val="00512FB9"/>
    <w:rsid w:val="00515C30"/>
    <w:rsid w:val="00517325"/>
    <w:rsid w:val="005176A5"/>
    <w:rsid w:val="00521CC9"/>
    <w:rsid w:val="0052204C"/>
    <w:rsid w:val="00523553"/>
    <w:rsid w:val="0052776A"/>
    <w:rsid w:val="005279D9"/>
    <w:rsid w:val="00530014"/>
    <w:rsid w:val="005347DD"/>
    <w:rsid w:val="00535508"/>
    <w:rsid w:val="00536645"/>
    <w:rsid w:val="0053715F"/>
    <w:rsid w:val="00542CAE"/>
    <w:rsid w:val="005432FE"/>
    <w:rsid w:val="005436F0"/>
    <w:rsid w:val="0054376B"/>
    <w:rsid w:val="00546D8B"/>
    <w:rsid w:val="005500DB"/>
    <w:rsid w:val="005504BB"/>
    <w:rsid w:val="0055092C"/>
    <w:rsid w:val="00551680"/>
    <w:rsid w:val="005541D2"/>
    <w:rsid w:val="0055609A"/>
    <w:rsid w:val="0055775C"/>
    <w:rsid w:val="00557BDE"/>
    <w:rsid w:val="00562C21"/>
    <w:rsid w:val="00564645"/>
    <w:rsid w:val="00565A1D"/>
    <w:rsid w:val="00566BA4"/>
    <w:rsid w:val="00566E7E"/>
    <w:rsid w:val="0056789C"/>
    <w:rsid w:val="00570531"/>
    <w:rsid w:val="00570995"/>
    <w:rsid w:val="005717C0"/>
    <w:rsid w:val="00571F25"/>
    <w:rsid w:val="0057475D"/>
    <w:rsid w:val="00574D43"/>
    <w:rsid w:val="0057557C"/>
    <w:rsid w:val="00577BD6"/>
    <w:rsid w:val="00577C0F"/>
    <w:rsid w:val="0058015F"/>
    <w:rsid w:val="00580B31"/>
    <w:rsid w:val="00585872"/>
    <w:rsid w:val="0059116A"/>
    <w:rsid w:val="0059184B"/>
    <w:rsid w:val="0059217B"/>
    <w:rsid w:val="0059277A"/>
    <w:rsid w:val="00592D08"/>
    <w:rsid w:val="005949CB"/>
    <w:rsid w:val="005959E0"/>
    <w:rsid w:val="00596065"/>
    <w:rsid w:val="00597220"/>
    <w:rsid w:val="005976A8"/>
    <w:rsid w:val="00597AA1"/>
    <w:rsid w:val="005A05F1"/>
    <w:rsid w:val="005A0D5C"/>
    <w:rsid w:val="005A20B2"/>
    <w:rsid w:val="005A39DB"/>
    <w:rsid w:val="005A4758"/>
    <w:rsid w:val="005A7295"/>
    <w:rsid w:val="005B28B4"/>
    <w:rsid w:val="005B50CD"/>
    <w:rsid w:val="005B63EC"/>
    <w:rsid w:val="005B68BA"/>
    <w:rsid w:val="005C0A79"/>
    <w:rsid w:val="005C0D4C"/>
    <w:rsid w:val="005C18CB"/>
    <w:rsid w:val="005C1959"/>
    <w:rsid w:val="005C1C46"/>
    <w:rsid w:val="005C2516"/>
    <w:rsid w:val="005C2D2F"/>
    <w:rsid w:val="005C3229"/>
    <w:rsid w:val="005C3E9A"/>
    <w:rsid w:val="005C57D4"/>
    <w:rsid w:val="005C6FA1"/>
    <w:rsid w:val="005C770C"/>
    <w:rsid w:val="005D2149"/>
    <w:rsid w:val="005D3D84"/>
    <w:rsid w:val="005D44CF"/>
    <w:rsid w:val="005D44E3"/>
    <w:rsid w:val="005D4C59"/>
    <w:rsid w:val="005D6282"/>
    <w:rsid w:val="005D7130"/>
    <w:rsid w:val="005E1072"/>
    <w:rsid w:val="005E16A7"/>
    <w:rsid w:val="005E3A59"/>
    <w:rsid w:val="005E5258"/>
    <w:rsid w:val="005E620C"/>
    <w:rsid w:val="005F1668"/>
    <w:rsid w:val="005F25BE"/>
    <w:rsid w:val="005F2956"/>
    <w:rsid w:val="005F29F7"/>
    <w:rsid w:val="005F3743"/>
    <w:rsid w:val="005F3E11"/>
    <w:rsid w:val="005F440A"/>
    <w:rsid w:val="005F47E8"/>
    <w:rsid w:val="005F539D"/>
    <w:rsid w:val="005F6B5C"/>
    <w:rsid w:val="005F6DF4"/>
    <w:rsid w:val="00601609"/>
    <w:rsid w:val="00602E9D"/>
    <w:rsid w:val="00605EB0"/>
    <w:rsid w:val="00607295"/>
    <w:rsid w:val="006079B3"/>
    <w:rsid w:val="00607A44"/>
    <w:rsid w:val="0061068A"/>
    <w:rsid w:val="00610EA6"/>
    <w:rsid w:val="00611EEA"/>
    <w:rsid w:val="00611F52"/>
    <w:rsid w:val="00613C71"/>
    <w:rsid w:val="00621242"/>
    <w:rsid w:val="00621ED3"/>
    <w:rsid w:val="006239FE"/>
    <w:rsid w:val="00623BEB"/>
    <w:rsid w:val="00623F39"/>
    <w:rsid w:val="006249CC"/>
    <w:rsid w:val="00625BBD"/>
    <w:rsid w:val="0062682D"/>
    <w:rsid w:val="006268B3"/>
    <w:rsid w:val="006268EB"/>
    <w:rsid w:val="006271DC"/>
    <w:rsid w:val="00627F55"/>
    <w:rsid w:val="00630F4B"/>
    <w:rsid w:val="00633106"/>
    <w:rsid w:val="00634868"/>
    <w:rsid w:val="00634EA1"/>
    <w:rsid w:val="00635034"/>
    <w:rsid w:val="00637E59"/>
    <w:rsid w:val="00640230"/>
    <w:rsid w:val="00641F35"/>
    <w:rsid w:val="0064288E"/>
    <w:rsid w:val="00642E0B"/>
    <w:rsid w:val="00643E30"/>
    <w:rsid w:val="006444E3"/>
    <w:rsid w:val="0064578A"/>
    <w:rsid w:val="0064586A"/>
    <w:rsid w:val="00646083"/>
    <w:rsid w:val="0064666A"/>
    <w:rsid w:val="0064703B"/>
    <w:rsid w:val="00647118"/>
    <w:rsid w:val="0065141D"/>
    <w:rsid w:val="006528FF"/>
    <w:rsid w:val="00652CE4"/>
    <w:rsid w:val="00652E51"/>
    <w:rsid w:val="006537F3"/>
    <w:rsid w:val="00654D73"/>
    <w:rsid w:val="006560F5"/>
    <w:rsid w:val="00657E8E"/>
    <w:rsid w:val="0066058F"/>
    <w:rsid w:val="00660FD6"/>
    <w:rsid w:val="00662B1F"/>
    <w:rsid w:val="00662B3D"/>
    <w:rsid w:val="00662C82"/>
    <w:rsid w:val="00664E49"/>
    <w:rsid w:val="00665617"/>
    <w:rsid w:val="006660D7"/>
    <w:rsid w:val="00667250"/>
    <w:rsid w:val="0066795B"/>
    <w:rsid w:val="006722EC"/>
    <w:rsid w:val="00672319"/>
    <w:rsid w:val="00673A21"/>
    <w:rsid w:val="00673AB3"/>
    <w:rsid w:val="00675028"/>
    <w:rsid w:val="00675C85"/>
    <w:rsid w:val="006762EC"/>
    <w:rsid w:val="006764FD"/>
    <w:rsid w:val="00676526"/>
    <w:rsid w:val="006773EC"/>
    <w:rsid w:val="00677CCA"/>
    <w:rsid w:val="00680150"/>
    <w:rsid w:val="006814D0"/>
    <w:rsid w:val="00682B79"/>
    <w:rsid w:val="006836E0"/>
    <w:rsid w:val="00683B58"/>
    <w:rsid w:val="00684815"/>
    <w:rsid w:val="00684F2A"/>
    <w:rsid w:val="006856B0"/>
    <w:rsid w:val="006856E9"/>
    <w:rsid w:val="006858ED"/>
    <w:rsid w:val="00686027"/>
    <w:rsid w:val="00687480"/>
    <w:rsid w:val="00687A1C"/>
    <w:rsid w:val="00687E3C"/>
    <w:rsid w:val="00687EC7"/>
    <w:rsid w:val="006915BE"/>
    <w:rsid w:val="00691601"/>
    <w:rsid w:val="00691713"/>
    <w:rsid w:val="00691E0A"/>
    <w:rsid w:val="006927E4"/>
    <w:rsid w:val="00693522"/>
    <w:rsid w:val="00694993"/>
    <w:rsid w:val="00694A07"/>
    <w:rsid w:val="0069532D"/>
    <w:rsid w:val="006962DB"/>
    <w:rsid w:val="00696913"/>
    <w:rsid w:val="00697984"/>
    <w:rsid w:val="00697A3D"/>
    <w:rsid w:val="006A3118"/>
    <w:rsid w:val="006A35CA"/>
    <w:rsid w:val="006A3616"/>
    <w:rsid w:val="006A5518"/>
    <w:rsid w:val="006A5D63"/>
    <w:rsid w:val="006A6389"/>
    <w:rsid w:val="006A6551"/>
    <w:rsid w:val="006B0E03"/>
    <w:rsid w:val="006B19D2"/>
    <w:rsid w:val="006B26CF"/>
    <w:rsid w:val="006B31A3"/>
    <w:rsid w:val="006B41FC"/>
    <w:rsid w:val="006B4861"/>
    <w:rsid w:val="006B5425"/>
    <w:rsid w:val="006B5F46"/>
    <w:rsid w:val="006B6518"/>
    <w:rsid w:val="006B69A0"/>
    <w:rsid w:val="006B72B1"/>
    <w:rsid w:val="006B784B"/>
    <w:rsid w:val="006C0707"/>
    <w:rsid w:val="006C076D"/>
    <w:rsid w:val="006C19E4"/>
    <w:rsid w:val="006C1CBA"/>
    <w:rsid w:val="006C2905"/>
    <w:rsid w:val="006C314A"/>
    <w:rsid w:val="006C3E71"/>
    <w:rsid w:val="006C3E89"/>
    <w:rsid w:val="006C467A"/>
    <w:rsid w:val="006C681D"/>
    <w:rsid w:val="006D00E3"/>
    <w:rsid w:val="006D04C7"/>
    <w:rsid w:val="006D0F60"/>
    <w:rsid w:val="006D22BB"/>
    <w:rsid w:val="006D54F5"/>
    <w:rsid w:val="006D653A"/>
    <w:rsid w:val="006D6721"/>
    <w:rsid w:val="006D679D"/>
    <w:rsid w:val="006E135B"/>
    <w:rsid w:val="006E138F"/>
    <w:rsid w:val="006E3972"/>
    <w:rsid w:val="006E564F"/>
    <w:rsid w:val="006E5BE0"/>
    <w:rsid w:val="006E7797"/>
    <w:rsid w:val="006F1E90"/>
    <w:rsid w:val="006F2A49"/>
    <w:rsid w:val="006F4473"/>
    <w:rsid w:val="006F4D34"/>
    <w:rsid w:val="006F5B7C"/>
    <w:rsid w:val="006F5DCD"/>
    <w:rsid w:val="006F5F47"/>
    <w:rsid w:val="006F61CD"/>
    <w:rsid w:val="006F6CF5"/>
    <w:rsid w:val="0070058F"/>
    <w:rsid w:val="00702D40"/>
    <w:rsid w:val="00703510"/>
    <w:rsid w:val="0070429E"/>
    <w:rsid w:val="00704336"/>
    <w:rsid w:val="00704B9A"/>
    <w:rsid w:val="00706B09"/>
    <w:rsid w:val="00707ED3"/>
    <w:rsid w:val="00710301"/>
    <w:rsid w:val="00711222"/>
    <w:rsid w:val="007122C6"/>
    <w:rsid w:val="007123FA"/>
    <w:rsid w:val="0071341A"/>
    <w:rsid w:val="007153C4"/>
    <w:rsid w:val="00716636"/>
    <w:rsid w:val="00716B69"/>
    <w:rsid w:val="007202E0"/>
    <w:rsid w:val="007208A4"/>
    <w:rsid w:val="007242C2"/>
    <w:rsid w:val="00724A01"/>
    <w:rsid w:val="00724FF4"/>
    <w:rsid w:val="007277F9"/>
    <w:rsid w:val="00733A4F"/>
    <w:rsid w:val="00734099"/>
    <w:rsid w:val="00734BA5"/>
    <w:rsid w:val="007356FB"/>
    <w:rsid w:val="007359F1"/>
    <w:rsid w:val="0073711A"/>
    <w:rsid w:val="00737198"/>
    <w:rsid w:val="0073793A"/>
    <w:rsid w:val="00740668"/>
    <w:rsid w:val="007411A2"/>
    <w:rsid w:val="007412EB"/>
    <w:rsid w:val="00741DBF"/>
    <w:rsid w:val="00742953"/>
    <w:rsid w:val="0074599B"/>
    <w:rsid w:val="00745D14"/>
    <w:rsid w:val="007461C3"/>
    <w:rsid w:val="007476DC"/>
    <w:rsid w:val="00747DA2"/>
    <w:rsid w:val="0075044C"/>
    <w:rsid w:val="00750BD7"/>
    <w:rsid w:val="007510FE"/>
    <w:rsid w:val="00751E36"/>
    <w:rsid w:val="00751E8C"/>
    <w:rsid w:val="007525E7"/>
    <w:rsid w:val="00752A6C"/>
    <w:rsid w:val="0075361A"/>
    <w:rsid w:val="007544CD"/>
    <w:rsid w:val="00755355"/>
    <w:rsid w:val="0075553B"/>
    <w:rsid w:val="007561C5"/>
    <w:rsid w:val="00756A9B"/>
    <w:rsid w:val="00760A53"/>
    <w:rsid w:val="00760EE3"/>
    <w:rsid w:val="00761550"/>
    <w:rsid w:val="00761886"/>
    <w:rsid w:val="0076298E"/>
    <w:rsid w:val="00762ACA"/>
    <w:rsid w:val="00762D74"/>
    <w:rsid w:val="00762FCC"/>
    <w:rsid w:val="0076380D"/>
    <w:rsid w:val="00763FB0"/>
    <w:rsid w:val="00764A95"/>
    <w:rsid w:val="00764BAA"/>
    <w:rsid w:val="007650BD"/>
    <w:rsid w:val="0076636C"/>
    <w:rsid w:val="00766A79"/>
    <w:rsid w:val="00766C23"/>
    <w:rsid w:val="0076747E"/>
    <w:rsid w:val="00767679"/>
    <w:rsid w:val="00770889"/>
    <w:rsid w:val="00770953"/>
    <w:rsid w:val="00770E66"/>
    <w:rsid w:val="007712F0"/>
    <w:rsid w:val="007727BD"/>
    <w:rsid w:val="00772FFD"/>
    <w:rsid w:val="0077410E"/>
    <w:rsid w:val="00774970"/>
    <w:rsid w:val="0077518F"/>
    <w:rsid w:val="0077569A"/>
    <w:rsid w:val="0077616D"/>
    <w:rsid w:val="00776F85"/>
    <w:rsid w:val="00777A87"/>
    <w:rsid w:val="00777B32"/>
    <w:rsid w:val="007803EB"/>
    <w:rsid w:val="0078238A"/>
    <w:rsid w:val="007824ED"/>
    <w:rsid w:val="00783531"/>
    <w:rsid w:val="0078401B"/>
    <w:rsid w:val="007851DA"/>
    <w:rsid w:val="007857B1"/>
    <w:rsid w:val="00787778"/>
    <w:rsid w:val="00787F6F"/>
    <w:rsid w:val="0079140C"/>
    <w:rsid w:val="00791B5A"/>
    <w:rsid w:val="007924A4"/>
    <w:rsid w:val="007A06AE"/>
    <w:rsid w:val="007A074C"/>
    <w:rsid w:val="007A0EF6"/>
    <w:rsid w:val="007A138B"/>
    <w:rsid w:val="007A1ACD"/>
    <w:rsid w:val="007A1EFA"/>
    <w:rsid w:val="007A5077"/>
    <w:rsid w:val="007A5A04"/>
    <w:rsid w:val="007B0041"/>
    <w:rsid w:val="007B0AFF"/>
    <w:rsid w:val="007B29D0"/>
    <w:rsid w:val="007B3AA8"/>
    <w:rsid w:val="007B6D76"/>
    <w:rsid w:val="007B6FA6"/>
    <w:rsid w:val="007B7A5C"/>
    <w:rsid w:val="007B7CE7"/>
    <w:rsid w:val="007C0173"/>
    <w:rsid w:val="007C089D"/>
    <w:rsid w:val="007C1248"/>
    <w:rsid w:val="007C12E6"/>
    <w:rsid w:val="007C1808"/>
    <w:rsid w:val="007C43F0"/>
    <w:rsid w:val="007C5260"/>
    <w:rsid w:val="007C5ED4"/>
    <w:rsid w:val="007C781A"/>
    <w:rsid w:val="007D1A34"/>
    <w:rsid w:val="007D2E02"/>
    <w:rsid w:val="007D3920"/>
    <w:rsid w:val="007D3D84"/>
    <w:rsid w:val="007D75C4"/>
    <w:rsid w:val="007E03AA"/>
    <w:rsid w:val="007E131E"/>
    <w:rsid w:val="007E1AF6"/>
    <w:rsid w:val="007E1FF5"/>
    <w:rsid w:val="007E5C0B"/>
    <w:rsid w:val="007E6086"/>
    <w:rsid w:val="007E6FD7"/>
    <w:rsid w:val="007E77D6"/>
    <w:rsid w:val="007F02F6"/>
    <w:rsid w:val="007F0584"/>
    <w:rsid w:val="007F22E1"/>
    <w:rsid w:val="007F61B6"/>
    <w:rsid w:val="007F745B"/>
    <w:rsid w:val="007F74AB"/>
    <w:rsid w:val="007F7B6C"/>
    <w:rsid w:val="007F7FED"/>
    <w:rsid w:val="00800634"/>
    <w:rsid w:val="00800A61"/>
    <w:rsid w:val="00802359"/>
    <w:rsid w:val="00802921"/>
    <w:rsid w:val="0080346C"/>
    <w:rsid w:val="0080412C"/>
    <w:rsid w:val="00804F68"/>
    <w:rsid w:val="0080749A"/>
    <w:rsid w:val="00807EFA"/>
    <w:rsid w:val="00807FE6"/>
    <w:rsid w:val="00810B63"/>
    <w:rsid w:val="00810B8C"/>
    <w:rsid w:val="00811A2E"/>
    <w:rsid w:val="00811BF9"/>
    <w:rsid w:val="00811F5F"/>
    <w:rsid w:val="008125FE"/>
    <w:rsid w:val="00813399"/>
    <w:rsid w:val="0081554B"/>
    <w:rsid w:val="0081589E"/>
    <w:rsid w:val="00817DBC"/>
    <w:rsid w:val="00820220"/>
    <w:rsid w:val="00820751"/>
    <w:rsid w:val="008234C0"/>
    <w:rsid w:val="0082382B"/>
    <w:rsid w:val="00823A1A"/>
    <w:rsid w:val="008244E4"/>
    <w:rsid w:val="008246B7"/>
    <w:rsid w:val="0082474B"/>
    <w:rsid w:val="008248E2"/>
    <w:rsid w:val="00827391"/>
    <w:rsid w:val="008303A6"/>
    <w:rsid w:val="00831A36"/>
    <w:rsid w:val="00832F9D"/>
    <w:rsid w:val="00836413"/>
    <w:rsid w:val="00836E64"/>
    <w:rsid w:val="00836EFC"/>
    <w:rsid w:val="00837D94"/>
    <w:rsid w:val="00841B1E"/>
    <w:rsid w:val="008433FE"/>
    <w:rsid w:val="0084358E"/>
    <w:rsid w:val="00844AC5"/>
    <w:rsid w:val="008453CD"/>
    <w:rsid w:val="00845819"/>
    <w:rsid w:val="00847BC2"/>
    <w:rsid w:val="00850B4D"/>
    <w:rsid w:val="00851AD2"/>
    <w:rsid w:val="008524E8"/>
    <w:rsid w:val="00852C0A"/>
    <w:rsid w:val="008531E0"/>
    <w:rsid w:val="00854B32"/>
    <w:rsid w:val="008569FA"/>
    <w:rsid w:val="00856A53"/>
    <w:rsid w:val="00856FB7"/>
    <w:rsid w:val="00857462"/>
    <w:rsid w:val="0086089A"/>
    <w:rsid w:val="0086123E"/>
    <w:rsid w:val="00861592"/>
    <w:rsid w:val="00861927"/>
    <w:rsid w:val="00861AD0"/>
    <w:rsid w:val="008662C7"/>
    <w:rsid w:val="0086788E"/>
    <w:rsid w:val="00870281"/>
    <w:rsid w:val="00870320"/>
    <w:rsid w:val="00870356"/>
    <w:rsid w:val="0087091C"/>
    <w:rsid w:val="00871069"/>
    <w:rsid w:val="008713B4"/>
    <w:rsid w:val="00872195"/>
    <w:rsid w:val="00872395"/>
    <w:rsid w:val="00873970"/>
    <w:rsid w:val="00873B24"/>
    <w:rsid w:val="00873B45"/>
    <w:rsid w:val="00880437"/>
    <w:rsid w:val="00880ADB"/>
    <w:rsid w:val="00881D75"/>
    <w:rsid w:val="00882B42"/>
    <w:rsid w:val="00882F93"/>
    <w:rsid w:val="0088337C"/>
    <w:rsid w:val="008836FF"/>
    <w:rsid w:val="008846C6"/>
    <w:rsid w:val="0088638D"/>
    <w:rsid w:val="008863B9"/>
    <w:rsid w:val="0089145B"/>
    <w:rsid w:val="008916FE"/>
    <w:rsid w:val="0089361D"/>
    <w:rsid w:val="00894331"/>
    <w:rsid w:val="00895653"/>
    <w:rsid w:val="00895794"/>
    <w:rsid w:val="008A075E"/>
    <w:rsid w:val="008A0975"/>
    <w:rsid w:val="008A1201"/>
    <w:rsid w:val="008A12E8"/>
    <w:rsid w:val="008A1836"/>
    <w:rsid w:val="008A2081"/>
    <w:rsid w:val="008A2822"/>
    <w:rsid w:val="008A2C5B"/>
    <w:rsid w:val="008A46A0"/>
    <w:rsid w:val="008A4A51"/>
    <w:rsid w:val="008A52BA"/>
    <w:rsid w:val="008A5A19"/>
    <w:rsid w:val="008A659D"/>
    <w:rsid w:val="008A6FF8"/>
    <w:rsid w:val="008B0B08"/>
    <w:rsid w:val="008B398C"/>
    <w:rsid w:val="008B3B48"/>
    <w:rsid w:val="008B4056"/>
    <w:rsid w:val="008B4646"/>
    <w:rsid w:val="008B483C"/>
    <w:rsid w:val="008B5501"/>
    <w:rsid w:val="008B57FE"/>
    <w:rsid w:val="008B61D1"/>
    <w:rsid w:val="008B6284"/>
    <w:rsid w:val="008B71B5"/>
    <w:rsid w:val="008B7665"/>
    <w:rsid w:val="008C098B"/>
    <w:rsid w:val="008C0A2C"/>
    <w:rsid w:val="008C0CB1"/>
    <w:rsid w:val="008C1418"/>
    <w:rsid w:val="008C1610"/>
    <w:rsid w:val="008C1DE0"/>
    <w:rsid w:val="008C34D4"/>
    <w:rsid w:val="008C373F"/>
    <w:rsid w:val="008C3782"/>
    <w:rsid w:val="008C41B2"/>
    <w:rsid w:val="008C4E42"/>
    <w:rsid w:val="008C5BFF"/>
    <w:rsid w:val="008C5E08"/>
    <w:rsid w:val="008C63A8"/>
    <w:rsid w:val="008C75E2"/>
    <w:rsid w:val="008C7F82"/>
    <w:rsid w:val="008D18A6"/>
    <w:rsid w:val="008D1C54"/>
    <w:rsid w:val="008D20FA"/>
    <w:rsid w:val="008D3288"/>
    <w:rsid w:val="008D6925"/>
    <w:rsid w:val="008D6A14"/>
    <w:rsid w:val="008E0498"/>
    <w:rsid w:val="008E1521"/>
    <w:rsid w:val="008E2AC6"/>
    <w:rsid w:val="008E34E9"/>
    <w:rsid w:val="008E4023"/>
    <w:rsid w:val="008E6EC9"/>
    <w:rsid w:val="008E71D0"/>
    <w:rsid w:val="008E73B8"/>
    <w:rsid w:val="008E7BC1"/>
    <w:rsid w:val="008F12FB"/>
    <w:rsid w:val="008F1505"/>
    <w:rsid w:val="008F18F2"/>
    <w:rsid w:val="008F2012"/>
    <w:rsid w:val="008F3083"/>
    <w:rsid w:val="008F3C5C"/>
    <w:rsid w:val="008F3DE2"/>
    <w:rsid w:val="008F42BB"/>
    <w:rsid w:val="008F4630"/>
    <w:rsid w:val="008F5FFE"/>
    <w:rsid w:val="008F7183"/>
    <w:rsid w:val="008F77A5"/>
    <w:rsid w:val="00900F07"/>
    <w:rsid w:val="00901CC8"/>
    <w:rsid w:val="009020E3"/>
    <w:rsid w:val="0090255F"/>
    <w:rsid w:val="009039EB"/>
    <w:rsid w:val="00904A71"/>
    <w:rsid w:val="009053D6"/>
    <w:rsid w:val="00906821"/>
    <w:rsid w:val="00906C69"/>
    <w:rsid w:val="009075A7"/>
    <w:rsid w:val="0091173A"/>
    <w:rsid w:val="0091249A"/>
    <w:rsid w:val="00914CA6"/>
    <w:rsid w:val="00915BA8"/>
    <w:rsid w:val="0091720A"/>
    <w:rsid w:val="00917604"/>
    <w:rsid w:val="00917E55"/>
    <w:rsid w:val="009202F7"/>
    <w:rsid w:val="00920DB3"/>
    <w:rsid w:val="00921B4F"/>
    <w:rsid w:val="00921DD0"/>
    <w:rsid w:val="00922B64"/>
    <w:rsid w:val="00923850"/>
    <w:rsid w:val="00923919"/>
    <w:rsid w:val="00923B2B"/>
    <w:rsid w:val="0092408A"/>
    <w:rsid w:val="009256A4"/>
    <w:rsid w:val="00925911"/>
    <w:rsid w:val="00925AD7"/>
    <w:rsid w:val="00926589"/>
    <w:rsid w:val="00926B88"/>
    <w:rsid w:val="00927451"/>
    <w:rsid w:val="00930167"/>
    <w:rsid w:val="00931016"/>
    <w:rsid w:val="00933A0A"/>
    <w:rsid w:val="00935955"/>
    <w:rsid w:val="00935A6F"/>
    <w:rsid w:val="00935C23"/>
    <w:rsid w:val="00935EBC"/>
    <w:rsid w:val="00936FF3"/>
    <w:rsid w:val="009403E2"/>
    <w:rsid w:val="009412B5"/>
    <w:rsid w:val="00941C1D"/>
    <w:rsid w:val="00943CC8"/>
    <w:rsid w:val="00943E0D"/>
    <w:rsid w:val="00944179"/>
    <w:rsid w:val="009449F3"/>
    <w:rsid w:val="00950D55"/>
    <w:rsid w:val="00951616"/>
    <w:rsid w:val="00953604"/>
    <w:rsid w:val="00953674"/>
    <w:rsid w:val="00953F4B"/>
    <w:rsid w:val="00953F59"/>
    <w:rsid w:val="00954AEE"/>
    <w:rsid w:val="00955839"/>
    <w:rsid w:val="00955E68"/>
    <w:rsid w:val="00956AC6"/>
    <w:rsid w:val="00956B5B"/>
    <w:rsid w:val="00956BC9"/>
    <w:rsid w:val="00961090"/>
    <w:rsid w:val="00962F1E"/>
    <w:rsid w:val="0096352E"/>
    <w:rsid w:val="009640DC"/>
    <w:rsid w:val="0096577D"/>
    <w:rsid w:val="00965E3E"/>
    <w:rsid w:val="0096692C"/>
    <w:rsid w:val="00970211"/>
    <w:rsid w:val="009704FB"/>
    <w:rsid w:val="009708B2"/>
    <w:rsid w:val="00970F1C"/>
    <w:rsid w:val="00971710"/>
    <w:rsid w:val="00971901"/>
    <w:rsid w:val="00971E46"/>
    <w:rsid w:val="00972338"/>
    <w:rsid w:val="00972D97"/>
    <w:rsid w:val="00973B03"/>
    <w:rsid w:val="00973BCE"/>
    <w:rsid w:val="00973D0E"/>
    <w:rsid w:val="00974D9A"/>
    <w:rsid w:val="00975B65"/>
    <w:rsid w:val="0098210C"/>
    <w:rsid w:val="0098320B"/>
    <w:rsid w:val="009834F2"/>
    <w:rsid w:val="00983CDA"/>
    <w:rsid w:val="009844B9"/>
    <w:rsid w:val="009849EF"/>
    <w:rsid w:val="0098572F"/>
    <w:rsid w:val="00986424"/>
    <w:rsid w:val="00986C66"/>
    <w:rsid w:val="00991EF4"/>
    <w:rsid w:val="00993346"/>
    <w:rsid w:val="009935E0"/>
    <w:rsid w:val="009937E1"/>
    <w:rsid w:val="009946D1"/>
    <w:rsid w:val="009954D3"/>
    <w:rsid w:val="009978E2"/>
    <w:rsid w:val="00997974"/>
    <w:rsid w:val="009A0096"/>
    <w:rsid w:val="009A0F88"/>
    <w:rsid w:val="009A164C"/>
    <w:rsid w:val="009A45B8"/>
    <w:rsid w:val="009A4D9C"/>
    <w:rsid w:val="009A5B24"/>
    <w:rsid w:val="009A7B6B"/>
    <w:rsid w:val="009A7DD7"/>
    <w:rsid w:val="009B0E01"/>
    <w:rsid w:val="009B12A6"/>
    <w:rsid w:val="009B3A03"/>
    <w:rsid w:val="009B3D9C"/>
    <w:rsid w:val="009B7198"/>
    <w:rsid w:val="009B7DF0"/>
    <w:rsid w:val="009C07A0"/>
    <w:rsid w:val="009C175B"/>
    <w:rsid w:val="009C1949"/>
    <w:rsid w:val="009C40F6"/>
    <w:rsid w:val="009C4ECF"/>
    <w:rsid w:val="009C52AF"/>
    <w:rsid w:val="009C698B"/>
    <w:rsid w:val="009C69A4"/>
    <w:rsid w:val="009C6B9C"/>
    <w:rsid w:val="009C74CE"/>
    <w:rsid w:val="009D08CE"/>
    <w:rsid w:val="009D244C"/>
    <w:rsid w:val="009D2937"/>
    <w:rsid w:val="009D43B5"/>
    <w:rsid w:val="009D57C2"/>
    <w:rsid w:val="009D6F67"/>
    <w:rsid w:val="009E1459"/>
    <w:rsid w:val="009E1B97"/>
    <w:rsid w:val="009E2167"/>
    <w:rsid w:val="009E2469"/>
    <w:rsid w:val="009E28FF"/>
    <w:rsid w:val="009E434B"/>
    <w:rsid w:val="009E5739"/>
    <w:rsid w:val="009E652F"/>
    <w:rsid w:val="009E6F15"/>
    <w:rsid w:val="009E7D9F"/>
    <w:rsid w:val="009F0071"/>
    <w:rsid w:val="009F088D"/>
    <w:rsid w:val="009F0EE2"/>
    <w:rsid w:val="009F11AE"/>
    <w:rsid w:val="009F2099"/>
    <w:rsid w:val="009F262B"/>
    <w:rsid w:val="009F265A"/>
    <w:rsid w:val="009F434E"/>
    <w:rsid w:val="009F4812"/>
    <w:rsid w:val="009F4E3D"/>
    <w:rsid w:val="009F571D"/>
    <w:rsid w:val="009F5927"/>
    <w:rsid w:val="009F6C97"/>
    <w:rsid w:val="00A01F85"/>
    <w:rsid w:val="00A021BE"/>
    <w:rsid w:val="00A0324A"/>
    <w:rsid w:val="00A10B67"/>
    <w:rsid w:val="00A11DFB"/>
    <w:rsid w:val="00A12CEE"/>
    <w:rsid w:val="00A142A8"/>
    <w:rsid w:val="00A14957"/>
    <w:rsid w:val="00A168B4"/>
    <w:rsid w:val="00A214EB"/>
    <w:rsid w:val="00A2219F"/>
    <w:rsid w:val="00A22CAC"/>
    <w:rsid w:val="00A23B9A"/>
    <w:rsid w:val="00A24001"/>
    <w:rsid w:val="00A2426F"/>
    <w:rsid w:val="00A2428D"/>
    <w:rsid w:val="00A24BB2"/>
    <w:rsid w:val="00A24CCA"/>
    <w:rsid w:val="00A25286"/>
    <w:rsid w:val="00A256CC"/>
    <w:rsid w:val="00A26065"/>
    <w:rsid w:val="00A26140"/>
    <w:rsid w:val="00A262FE"/>
    <w:rsid w:val="00A26502"/>
    <w:rsid w:val="00A272BA"/>
    <w:rsid w:val="00A27D00"/>
    <w:rsid w:val="00A30A8E"/>
    <w:rsid w:val="00A318B6"/>
    <w:rsid w:val="00A32ADB"/>
    <w:rsid w:val="00A333FE"/>
    <w:rsid w:val="00A3467D"/>
    <w:rsid w:val="00A34B59"/>
    <w:rsid w:val="00A34C56"/>
    <w:rsid w:val="00A34E90"/>
    <w:rsid w:val="00A370B3"/>
    <w:rsid w:val="00A42427"/>
    <w:rsid w:val="00A43863"/>
    <w:rsid w:val="00A44210"/>
    <w:rsid w:val="00A4455E"/>
    <w:rsid w:val="00A46A46"/>
    <w:rsid w:val="00A479FA"/>
    <w:rsid w:val="00A5016F"/>
    <w:rsid w:val="00A503D9"/>
    <w:rsid w:val="00A50AAB"/>
    <w:rsid w:val="00A51995"/>
    <w:rsid w:val="00A52800"/>
    <w:rsid w:val="00A52AF9"/>
    <w:rsid w:val="00A5311C"/>
    <w:rsid w:val="00A558CB"/>
    <w:rsid w:val="00A559F2"/>
    <w:rsid w:val="00A60BC2"/>
    <w:rsid w:val="00A6105F"/>
    <w:rsid w:val="00A61349"/>
    <w:rsid w:val="00A62A30"/>
    <w:rsid w:val="00A63B22"/>
    <w:rsid w:val="00A65369"/>
    <w:rsid w:val="00A6630B"/>
    <w:rsid w:val="00A66EEB"/>
    <w:rsid w:val="00A66FE5"/>
    <w:rsid w:val="00A71063"/>
    <w:rsid w:val="00A71081"/>
    <w:rsid w:val="00A71214"/>
    <w:rsid w:val="00A713F8"/>
    <w:rsid w:val="00A72417"/>
    <w:rsid w:val="00A73D14"/>
    <w:rsid w:val="00A73DFA"/>
    <w:rsid w:val="00A74581"/>
    <w:rsid w:val="00A751DF"/>
    <w:rsid w:val="00A75578"/>
    <w:rsid w:val="00A75FA6"/>
    <w:rsid w:val="00A7607D"/>
    <w:rsid w:val="00A76BEE"/>
    <w:rsid w:val="00A77BFA"/>
    <w:rsid w:val="00A77D3C"/>
    <w:rsid w:val="00A81DC7"/>
    <w:rsid w:val="00A8318F"/>
    <w:rsid w:val="00A8356B"/>
    <w:rsid w:val="00A85231"/>
    <w:rsid w:val="00A86652"/>
    <w:rsid w:val="00A908B9"/>
    <w:rsid w:val="00A90B4C"/>
    <w:rsid w:val="00A911FC"/>
    <w:rsid w:val="00A91CE2"/>
    <w:rsid w:val="00A91E6B"/>
    <w:rsid w:val="00A95636"/>
    <w:rsid w:val="00A9673C"/>
    <w:rsid w:val="00A96A5D"/>
    <w:rsid w:val="00A97C99"/>
    <w:rsid w:val="00AA35C6"/>
    <w:rsid w:val="00AA5AC0"/>
    <w:rsid w:val="00AA700F"/>
    <w:rsid w:val="00AA7BEE"/>
    <w:rsid w:val="00AB39DB"/>
    <w:rsid w:val="00AC0011"/>
    <w:rsid w:val="00AC0785"/>
    <w:rsid w:val="00AC10F9"/>
    <w:rsid w:val="00AC2036"/>
    <w:rsid w:val="00AC2E09"/>
    <w:rsid w:val="00AC462F"/>
    <w:rsid w:val="00AC4BD9"/>
    <w:rsid w:val="00AC4C75"/>
    <w:rsid w:val="00AC5373"/>
    <w:rsid w:val="00AC5B83"/>
    <w:rsid w:val="00AC7D0D"/>
    <w:rsid w:val="00AD0029"/>
    <w:rsid w:val="00AD19BE"/>
    <w:rsid w:val="00AD281F"/>
    <w:rsid w:val="00AD3310"/>
    <w:rsid w:val="00AD53EA"/>
    <w:rsid w:val="00AD724E"/>
    <w:rsid w:val="00AD74BD"/>
    <w:rsid w:val="00AD795E"/>
    <w:rsid w:val="00AE0AFF"/>
    <w:rsid w:val="00AE0CA9"/>
    <w:rsid w:val="00AE12A9"/>
    <w:rsid w:val="00AE1BEE"/>
    <w:rsid w:val="00AE479F"/>
    <w:rsid w:val="00AE4C95"/>
    <w:rsid w:val="00AE5B74"/>
    <w:rsid w:val="00AE65A0"/>
    <w:rsid w:val="00AE7C3D"/>
    <w:rsid w:val="00AF372C"/>
    <w:rsid w:val="00AF4B91"/>
    <w:rsid w:val="00AF4BE8"/>
    <w:rsid w:val="00AF504F"/>
    <w:rsid w:val="00AF75EB"/>
    <w:rsid w:val="00AF7C91"/>
    <w:rsid w:val="00B00BAE"/>
    <w:rsid w:val="00B00DC4"/>
    <w:rsid w:val="00B015E0"/>
    <w:rsid w:val="00B02F22"/>
    <w:rsid w:val="00B0355A"/>
    <w:rsid w:val="00B03C92"/>
    <w:rsid w:val="00B03DCD"/>
    <w:rsid w:val="00B040D1"/>
    <w:rsid w:val="00B04429"/>
    <w:rsid w:val="00B04DB8"/>
    <w:rsid w:val="00B0526D"/>
    <w:rsid w:val="00B078C6"/>
    <w:rsid w:val="00B11730"/>
    <w:rsid w:val="00B12D52"/>
    <w:rsid w:val="00B133EA"/>
    <w:rsid w:val="00B13A74"/>
    <w:rsid w:val="00B13FFA"/>
    <w:rsid w:val="00B140DD"/>
    <w:rsid w:val="00B15256"/>
    <w:rsid w:val="00B167EB"/>
    <w:rsid w:val="00B16B13"/>
    <w:rsid w:val="00B21254"/>
    <w:rsid w:val="00B21837"/>
    <w:rsid w:val="00B21C9C"/>
    <w:rsid w:val="00B2206C"/>
    <w:rsid w:val="00B22450"/>
    <w:rsid w:val="00B23CF6"/>
    <w:rsid w:val="00B2408F"/>
    <w:rsid w:val="00B241B6"/>
    <w:rsid w:val="00B255EF"/>
    <w:rsid w:val="00B30E62"/>
    <w:rsid w:val="00B31F1A"/>
    <w:rsid w:val="00B3231C"/>
    <w:rsid w:val="00B32C63"/>
    <w:rsid w:val="00B33005"/>
    <w:rsid w:val="00B3309A"/>
    <w:rsid w:val="00B3314A"/>
    <w:rsid w:val="00B331B3"/>
    <w:rsid w:val="00B35794"/>
    <w:rsid w:val="00B371DA"/>
    <w:rsid w:val="00B37274"/>
    <w:rsid w:val="00B4044E"/>
    <w:rsid w:val="00B416AB"/>
    <w:rsid w:val="00B41C9E"/>
    <w:rsid w:val="00B4253C"/>
    <w:rsid w:val="00B4283B"/>
    <w:rsid w:val="00B42C49"/>
    <w:rsid w:val="00B43D05"/>
    <w:rsid w:val="00B443CE"/>
    <w:rsid w:val="00B45773"/>
    <w:rsid w:val="00B45A44"/>
    <w:rsid w:val="00B47F6A"/>
    <w:rsid w:val="00B51809"/>
    <w:rsid w:val="00B51D24"/>
    <w:rsid w:val="00B53041"/>
    <w:rsid w:val="00B53487"/>
    <w:rsid w:val="00B53A1B"/>
    <w:rsid w:val="00B5495B"/>
    <w:rsid w:val="00B55B64"/>
    <w:rsid w:val="00B575A4"/>
    <w:rsid w:val="00B604FE"/>
    <w:rsid w:val="00B60E6B"/>
    <w:rsid w:val="00B61BD2"/>
    <w:rsid w:val="00B61F69"/>
    <w:rsid w:val="00B6258C"/>
    <w:rsid w:val="00B6284C"/>
    <w:rsid w:val="00B644AB"/>
    <w:rsid w:val="00B64E4C"/>
    <w:rsid w:val="00B653EA"/>
    <w:rsid w:val="00B67EFC"/>
    <w:rsid w:val="00B70BEC"/>
    <w:rsid w:val="00B731F4"/>
    <w:rsid w:val="00B745BA"/>
    <w:rsid w:val="00B74A1A"/>
    <w:rsid w:val="00B74B16"/>
    <w:rsid w:val="00B74D16"/>
    <w:rsid w:val="00B75D66"/>
    <w:rsid w:val="00B75F19"/>
    <w:rsid w:val="00B7768B"/>
    <w:rsid w:val="00B77C45"/>
    <w:rsid w:val="00B81F9B"/>
    <w:rsid w:val="00B8234D"/>
    <w:rsid w:val="00B8258A"/>
    <w:rsid w:val="00B82988"/>
    <w:rsid w:val="00B833F7"/>
    <w:rsid w:val="00B83D6C"/>
    <w:rsid w:val="00B86185"/>
    <w:rsid w:val="00B86329"/>
    <w:rsid w:val="00B87F4F"/>
    <w:rsid w:val="00B9023E"/>
    <w:rsid w:val="00B904E3"/>
    <w:rsid w:val="00B9135C"/>
    <w:rsid w:val="00B93344"/>
    <w:rsid w:val="00B963E6"/>
    <w:rsid w:val="00B96EB7"/>
    <w:rsid w:val="00B9783D"/>
    <w:rsid w:val="00BA096B"/>
    <w:rsid w:val="00BA2AB0"/>
    <w:rsid w:val="00BA7742"/>
    <w:rsid w:val="00BB0ACF"/>
    <w:rsid w:val="00BB1788"/>
    <w:rsid w:val="00BB253A"/>
    <w:rsid w:val="00BB3502"/>
    <w:rsid w:val="00BB384B"/>
    <w:rsid w:val="00BB39BC"/>
    <w:rsid w:val="00BB3C18"/>
    <w:rsid w:val="00BB3DC1"/>
    <w:rsid w:val="00BB4147"/>
    <w:rsid w:val="00BB65A1"/>
    <w:rsid w:val="00BB7A43"/>
    <w:rsid w:val="00BB7AAE"/>
    <w:rsid w:val="00BC0B31"/>
    <w:rsid w:val="00BC114C"/>
    <w:rsid w:val="00BC11AD"/>
    <w:rsid w:val="00BC1989"/>
    <w:rsid w:val="00BC2798"/>
    <w:rsid w:val="00BC365A"/>
    <w:rsid w:val="00BC4BDA"/>
    <w:rsid w:val="00BC5F64"/>
    <w:rsid w:val="00BC679F"/>
    <w:rsid w:val="00BC6BBE"/>
    <w:rsid w:val="00BD0E40"/>
    <w:rsid w:val="00BD1567"/>
    <w:rsid w:val="00BD1574"/>
    <w:rsid w:val="00BD169D"/>
    <w:rsid w:val="00BD3D3C"/>
    <w:rsid w:val="00BD43BA"/>
    <w:rsid w:val="00BD58EB"/>
    <w:rsid w:val="00BD647B"/>
    <w:rsid w:val="00BD7133"/>
    <w:rsid w:val="00BD7A3E"/>
    <w:rsid w:val="00BD7DD9"/>
    <w:rsid w:val="00BE4C85"/>
    <w:rsid w:val="00BE5F45"/>
    <w:rsid w:val="00BE72FC"/>
    <w:rsid w:val="00BE77C0"/>
    <w:rsid w:val="00BF04EA"/>
    <w:rsid w:val="00BF0C91"/>
    <w:rsid w:val="00BF3C2F"/>
    <w:rsid w:val="00BF4777"/>
    <w:rsid w:val="00BF4897"/>
    <w:rsid w:val="00BF4B52"/>
    <w:rsid w:val="00BF5ABB"/>
    <w:rsid w:val="00BF701A"/>
    <w:rsid w:val="00BF70C5"/>
    <w:rsid w:val="00BF71D3"/>
    <w:rsid w:val="00C01826"/>
    <w:rsid w:val="00C01F62"/>
    <w:rsid w:val="00C03F5B"/>
    <w:rsid w:val="00C0419D"/>
    <w:rsid w:val="00C06DC8"/>
    <w:rsid w:val="00C10D6D"/>
    <w:rsid w:val="00C1293C"/>
    <w:rsid w:val="00C137D1"/>
    <w:rsid w:val="00C16D89"/>
    <w:rsid w:val="00C200DB"/>
    <w:rsid w:val="00C202FD"/>
    <w:rsid w:val="00C20952"/>
    <w:rsid w:val="00C22C7D"/>
    <w:rsid w:val="00C22D2E"/>
    <w:rsid w:val="00C24058"/>
    <w:rsid w:val="00C2771E"/>
    <w:rsid w:val="00C27FEE"/>
    <w:rsid w:val="00C303E0"/>
    <w:rsid w:val="00C30903"/>
    <w:rsid w:val="00C30BF9"/>
    <w:rsid w:val="00C34037"/>
    <w:rsid w:val="00C3453B"/>
    <w:rsid w:val="00C347D2"/>
    <w:rsid w:val="00C35A88"/>
    <w:rsid w:val="00C36EB7"/>
    <w:rsid w:val="00C37A2F"/>
    <w:rsid w:val="00C37BBB"/>
    <w:rsid w:val="00C40564"/>
    <w:rsid w:val="00C40595"/>
    <w:rsid w:val="00C4187A"/>
    <w:rsid w:val="00C41D83"/>
    <w:rsid w:val="00C431BC"/>
    <w:rsid w:val="00C43D62"/>
    <w:rsid w:val="00C442A7"/>
    <w:rsid w:val="00C44A0F"/>
    <w:rsid w:val="00C44AE2"/>
    <w:rsid w:val="00C44C69"/>
    <w:rsid w:val="00C44D73"/>
    <w:rsid w:val="00C45757"/>
    <w:rsid w:val="00C471CC"/>
    <w:rsid w:val="00C478A1"/>
    <w:rsid w:val="00C53177"/>
    <w:rsid w:val="00C552CC"/>
    <w:rsid w:val="00C563D7"/>
    <w:rsid w:val="00C57B6F"/>
    <w:rsid w:val="00C57E92"/>
    <w:rsid w:val="00C64DE9"/>
    <w:rsid w:val="00C65A4B"/>
    <w:rsid w:val="00C6677F"/>
    <w:rsid w:val="00C6752E"/>
    <w:rsid w:val="00C70263"/>
    <w:rsid w:val="00C71CDB"/>
    <w:rsid w:val="00C72599"/>
    <w:rsid w:val="00C7437A"/>
    <w:rsid w:val="00C745E4"/>
    <w:rsid w:val="00C75440"/>
    <w:rsid w:val="00C80ECC"/>
    <w:rsid w:val="00C822CD"/>
    <w:rsid w:val="00C82C51"/>
    <w:rsid w:val="00C84804"/>
    <w:rsid w:val="00C86F4A"/>
    <w:rsid w:val="00C878A4"/>
    <w:rsid w:val="00C879F3"/>
    <w:rsid w:val="00C90025"/>
    <w:rsid w:val="00C90B9B"/>
    <w:rsid w:val="00C90DC4"/>
    <w:rsid w:val="00C912E0"/>
    <w:rsid w:val="00C9171E"/>
    <w:rsid w:val="00C91D04"/>
    <w:rsid w:val="00C9215B"/>
    <w:rsid w:val="00C921C3"/>
    <w:rsid w:val="00C925F3"/>
    <w:rsid w:val="00C92ABF"/>
    <w:rsid w:val="00C93530"/>
    <w:rsid w:val="00C93615"/>
    <w:rsid w:val="00C94043"/>
    <w:rsid w:val="00C960B2"/>
    <w:rsid w:val="00C96B18"/>
    <w:rsid w:val="00C96C49"/>
    <w:rsid w:val="00C97B80"/>
    <w:rsid w:val="00C97E94"/>
    <w:rsid w:val="00CA0D79"/>
    <w:rsid w:val="00CA0E5F"/>
    <w:rsid w:val="00CA29BD"/>
    <w:rsid w:val="00CA3282"/>
    <w:rsid w:val="00CA4C68"/>
    <w:rsid w:val="00CA6A83"/>
    <w:rsid w:val="00CA6E97"/>
    <w:rsid w:val="00CA7526"/>
    <w:rsid w:val="00CA7924"/>
    <w:rsid w:val="00CB1061"/>
    <w:rsid w:val="00CB1134"/>
    <w:rsid w:val="00CB181D"/>
    <w:rsid w:val="00CB1999"/>
    <w:rsid w:val="00CB1A45"/>
    <w:rsid w:val="00CB3CB4"/>
    <w:rsid w:val="00CB40B1"/>
    <w:rsid w:val="00CB5377"/>
    <w:rsid w:val="00CB65A1"/>
    <w:rsid w:val="00CB70E6"/>
    <w:rsid w:val="00CC05DB"/>
    <w:rsid w:val="00CC1884"/>
    <w:rsid w:val="00CC4555"/>
    <w:rsid w:val="00CC50FC"/>
    <w:rsid w:val="00CC67E3"/>
    <w:rsid w:val="00CC7704"/>
    <w:rsid w:val="00CC7847"/>
    <w:rsid w:val="00CC7A1D"/>
    <w:rsid w:val="00CD00E7"/>
    <w:rsid w:val="00CD14EE"/>
    <w:rsid w:val="00CD1E42"/>
    <w:rsid w:val="00CD2F3B"/>
    <w:rsid w:val="00CD42AF"/>
    <w:rsid w:val="00CD432D"/>
    <w:rsid w:val="00CD6DEF"/>
    <w:rsid w:val="00CD7DB3"/>
    <w:rsid w:val="00CE06C8"/>
    <w:rsid w:val="00CE0F6E"/>
    <w:rsid w:val="00CE3CE5"/>
    <w:rsid w:val="00CE4263"/>
    <w:rsid w:val="00CE657B"/>
    <w:rsid w:val="00CE6586"/>
    <w:rsid w:val="00CE66D1"/>
    <w:rsid w:val="00CE7EDB"/>
    <w:rsid w:val="00CF3ACF"/>
    <w:rsid w:val="00CF3E4B"/>
    <w:rsid w:val="00CF406A"/>
    <w:rsid w:val="00CF47F7"/>
    <w:rsid w:val="00CF58D1"/>
    <w:rsid w:val="00CF5CC9"/>
    <w:rsid w:val="00CF619E"/>
    <w:rsid w:val="00CF7590"/>
    <w:rsid w:val="00D00110"/>
    <w:rsid w:val="00D02FCB"/>
    <w:rsid w:val="00D03A37"/>
    <w:rsid w:val="00D042F6"/>
    <w:rsid w:val="00D05825"/>
    <w:rsid w:val="00D06C6C"/>
    <w:rsid w:val="00D07266"/>
    <w:rsid w:val="00D10768"/>
    <w:rsid w:val="00D11232"/>
    <w:rsid w:val="00D11C26"/>
    <w:rsid w:val="00D13C5C"/>
    <w:rsid w:val="00D1441D"/>
    <w:rsid w:val="00D1449F"/>
    <w:rsid w:val="00D14B0C"/>
    <w:rsid w:val="00D15C3C"/>
    <w:rsid w:val="00D15D09"/>
    <w:rsid w:val="00D15F5B"/>
    <w:rsid w:val="00D16409"/>
    <w:rsid w:val="00D1642A"/>
    <w:rsid w:val="00D16B35"/>
    <w:rsid w:val="00D17BEF"/>
    <w:rsid w:val="00D20DB7"/>
    <w:rsid w:val="00D21670"/>
    <w:rsid w:val="00D21A83"/>
    <w:rsid w:val="00D225C6"/>
    <w:rsid w:val="00D22DFD"/>
    <w:rsid w:val="00D242C6"/>
    <w:rsid w:val="00D268CD"/>
    <w:rsid w:val="00D27CC7"/>
    <w:rsid w:val="00D27D3F"/>
    <w:rsid w:val="00D27FEC"/>
    <w:rsid w:val="00D305C5"/>
    <w:rsid w:val="00D31C7F"/>
    <w:rsid w:val="00D330DC"/>
    <w:rsid w:val="00D33B17"/>
    <w:rsid w:val="00D362CF"/>
    <w:rsid w:val="00D366A9"/>
    <w:rsid w:val="00D371EF"/>
    <w:rsid w:val="00D37385"/>
    <w:rsid w:val="00D37DA8"/>
    <w:rsid w:val="00D41177"/>
    <w:rsid w:val="00D41B1E"/>
    <w:rsid w:val="00D427E6"/>
    <w:rsid w:val="00D430D2"/>
    <w:rsid w:val="00D4513A"/>
    <w:rsid w:val="00D4533A"/>
    <w:rsid w:val="00D45704"/>
    <w:rsid w:val="00D45995"/>
    <w:rsid w:val="00D46406"/>
    <w:rsid w:val="00D47382"/>
    <w:rsid w:val="00D474B9"/>
    <w:rsid w:val="00D47657"/>
    <w:rsid w:val="00D47805"/>
    <w:rsid w:val="00D47A8A"/>
    <w:rsid w:val="00D47C4A"/>
    <w:rsid w:val="00D50D6B"/>
    <w:rsid w:val="00D50DF0"/>
    <w:rsid w:val="00D516A8"/>
    <w:rsid w:val="00D51D7C"/>
    <w:rsid w:val="00D53131"/>
    <w:rsid w:val="00D5388A"/>
    <w:rsid w:val="00D5390A"/>
    <w:rsid w:val="00D557C8"/>
    <w:rsid w:val="00D6245F"/>
    <w:rsid w:val="00D62555"/>
    <w:rsid w:val="00D626BB"/>
    <w:rsid w:val="00D66462"/>
    <w:rsid w:val="00D6687D"/>
    <w:rsid w:val="00D66EAB"/>
    <w:rsid w:val="00D70CDD"/>
    <w:rsid w:val="00D71CD5"/>
    <w:rsid w:val="00D72481"/>
    <w:rsid w:val="00D7319E"/>
    <w:rsid w:val="00D74073"/>
    <w:rsid w:val="00D749E5"/>
    <w:rsid w:val="00D75BA2"/>
    <w:rsid w:val="00D7642B"/>
    <w:rsid w:val="00D767D2"/>
    <w:rsid w:val="00D76A15"/>
    <w:rsid w:val="00D80758"/>
    <w:rsid w:val="00D80E68"/>
    <w:rsid w:val="00D81094"/>
    <w:rsid w:val="00D81126"/>
    <w:rsid w:val="00D81493"/>
    <w:rsid w:val="00D82381"/>
    <w:rsid w:val="00D83170"/>
    <w:rsid w:val="00D8332E"/>
    <w:rsid w:val="00D833EE"/>
    <w:rsid w:val="00D84874"/>
    <w:rsid w:val="00D85E57"/>
    <w:rsid w:val="00D93522"/>
    <w:rsid w:val="00D94C6D"/>
    <w:rsid w:val="00D94E3A"/>
    <w:rsid w:val="00D94E45"/>
    <w:rsid w:val="00D9535F"/>
    <w:rsid w:val="00D95CAB"/>
    <w:rsid w:val="00D97B6E"/>
    <w:rsid w:val="00DA14DD"/>
    <w:rsid w:val="00DA3AFF"/>
    <w:rsid w:val="00DA3E29"/>
    <w:rsid w:val="00DA5CB0"/>
    <w:rsid w:val="00DA6E43"/>
    <w:rsid w:val="00DA7505"/>
    <w:rsid w:val="00DB0B33"/>
    <w:rsid w:val="00DB0D0F"/>
    <w:rsid w:val="00DB11D6"/>
    <w:rsid w:val="00DB142F"/>
    <w:rsid w:val="00DB1645"/>
    <w:rsid w:val="00DB1DF1"/>
    <w:rsid w:val="00DB23CF"/>
    <w:rsid w:val="00DB5098"/>
    <w:rsid w:val="00DB51CB"/>
    <w:rsid w:val="00DB55A9"/>
    <w:rsid w:val="00DB5AE0"/>
    <w:rsid w:val="00DB6722"/>
    <w:rsid w:val="00DB68F9"/>
    <w:rsid w:val="00DB7D2E"/>
    <w:rsid w:val="00DB7F3A"/>
    <w:rsid w:val="00DC1EDB"/>
    <w:rsid w:val="00DC40A6"/>
    <w:rsid w:val="00DC72C0"/>
    <w:rsid w:val="00DC78DD"/>
    <w:rsid w:val="00DD0494"/>
    <w:rsid w:val="00DD1DED"/>
    <w:rsid w:val="00DD286F"/>
    <w:rsid w:val="00DD2FAF"/>
    <w:rsid w:val="00DD32A7"/>
    <w:rsid w:val="00DD3C17"/>
    <w:rsid w:val="00DD4012"/>
    <w:rsid w:val="00DD43B6"/>
    <w:rsid w:val="00DD4A2F"/>
    <w:rsid w:val="00DD4E93"/>
    <w:rsid w:val="00DD5363"/>
    <w:rsid w:val="00DD55F0"/>
    <w:rsid w:val="00DD5CA6"/>
    <w:rsid w:val="00DD6282"/>
    <w:rsid w:val="00DD7B57"/>
    <w:rsid w:val="00DE0081"/>
    <w:rsid w:val="00DE0429"/>
    <w:rsid w:val="00DE1233"/>
    <w:rsid w:val="00DE1770"/>
    <w:rsid w:val="00DE1A0A"/>
    <w:rsid w:val="00DE2877"/>
    <w:rsid w:val="00DE3DC9"/>
    <w:rsid w:val="00DE3FC4"/>
    <w:rsid w:val="00DE4204"/>
    <w:rsid w:val="00DE54A2"/>
    <w:rsid w:val="00DE56B9"/>
    <w:rsid w:val="00DE56E6"/>
    <w:rsid w:val="00DE6BF7"/>
    <w:rsid w:val="00DF029E"/>
    <w:rsid w:val="00DF14C0"/>
    <w:rsid w:val="00DF1A6D"/>
    <w:rsid w:val="00DF1B87"/>
    <w:rsid w:val="00DF1C0F"/>
    <w:rsid w:val="00DF3190"/>
    <w:rsid w:val="00DF3E35"/>
    <w:rsid w:val="00DF4D94"/>
    <w:rsid w:val="00DF5D25"/>
    <w:rsid w:val="00DF6EB0"/>
    <w:rsid w:val="00DF7D9E"/>
    <w:rsid w:val="00E00402"/>
    <w:rsid w:val="00E00BDF"/>
    <w:rsid w:val="00E00C57"/>
    <w:rsid w:val="00E013FD"/>
    <w:rsid w:val="00E026C4"/>
    <w:rsid w:val="00E02ABB"/>
    <w:rsid w:val="00E03181"/>
    <w:rsid w:val="00E04686"/>
    <w:rsid w:val="00E0473B"/>
    <w:rsid w:val="00E04B94"/>
    <w:rsid w:val="00E05F85"/>
    <w:rsid w:val="00E060AB"/>
    <w:rsid w:val="00E07278"/>
    <w:rsid w:val="00E0756A"/>
    <w:rsid w:val="00E07A84"/>
    <w:rsid w:val="00E100FA"/>
    <w:rsid w:val="00E1189C"/>
    <w:rsid w:val="00E11F2E"/>
    <w:rsid w:val="00E123F9"/>
    <w:rsid w:val="00E12C91"/>
    <w:rsid w:val="00E14C76"/>
    <w:rsid w:val="00E15177"/>
    <w:rsid w:val="00E165CA"/>
    <w:rsid w:val="00E17696"/>
    <w:rsid w:val="00E20220"/>
    <w:rsid w:val="00E21A73"/>
    <w:rsid w:val="00E21E83"/>
    <w:rsid w:val="00E238CC"/>
    <w:rsid w:val="00E2565D"/>
    <w:rsid w:val="00E265AB"/>
    <w:rsid w:val="00E3057D"/>
    <w:rsid w:val="00E30882"/>
    <w:rsid w:val="00E309A6"/>
    <w:rsid w:val="00E3125F"/>
    <w:rsid w:val="00E31CBC"/>
    <w:rsid w:val="00E328CC"/>
    <w:rsid w:val="00E34980"/>
    <w:rsid w:val="00E35397"/>
    <w:rsid w:val="00E36B2B"/>
    <w:rsid w:val="00E37AFD"/>
    <w:rsid w:val="00E401F2"/>
    <w:rsid w:val="00E4084D"/>
    <w:rsid w:val="00E4115A"/>
    <w:rsid w:val="00E43471"/>
    <w:rsid w:val="00E4456E"/>
    <w:rsid w:val="00E44E8A"/>
    <w:rsid w:val="00E4549E"/>
    <w:rsid w:val="00E46727"/>
    <w:rsid w:val="00E4760C"/>
    <w:rsid w:val="00E47707"/>
    <w:rsid w:val="00E520EE"/>
    <w:rsid w:val="00E52818"/>
    <w:rsid w:val="00E53092"/>
    <w:rsid w:val="00E54B0D"/>
    <w:rsid w:val="00E55AE3"/>
    <w:rsid w:val="00E57BB6"/>
    <w:rsid w:val="00E60CC6"/>
    <w:rsid w:val="00E60FC4"/>
    <w:rsid w:val="00E61077"/>
    <w:rsid w:val="00E610BA"/>
    <w:rsid w:val="00E6126F"/>
    <w:rsid w:val="00E61B7A"/>
    <w:rsid w:val="00E622F9"/>
    <w:rsid w:val="00E62871"/>
    <w:rsid w:val="00E62BC2"/>
    <w:rsid w:val="00E661C8"/>
    <w:rsid w:val="00E664D0"/>
    <w:rsid w:val="00E667E5"/>
    <w:rsid w:val="00E66D47"/>
    <w:rsid w:val="00E7050E"/>
    <w:rsid w:val="00E709A3"/>
    <w:rsid w:val="00E70A23"/>
    <w:rsid w:val="00E7159C"/>
    <w:rsid w:val="00E71869"/>
    <w:rsid w:val="00E71D9B"/>
    <w:rsid w:val="00E73419"/>
    <w:rsid w:val="00E754B7"/>
    <w:rsid w:val="00E756A9"/>
    <w:rsid w:val="00E75B50"/>
    <w:rsid w:val="00E77153"/>
    <w:rsid w:val="00E77DC2"/>
    <w:rsid w:val="00E77E71"/>
    <w:rsid w:val="00E84288"/>
    <w:rsid w:val="00E9193A"/>
    <w:rsid w:val="00E92E31"/>
    <w:rsid w:val="00E94CE6"/>
    <w:rsid w:val="00E97672"/>
    <w:rsid w:val="00EA0596"/>
    <w:rsid w:val="00EA07DA"/>
    <w:rsid w:val="00EA1FF5"/>
    <w:rsid w:val="00EA4B8C"/>
    <w:rsid w:val="00EA6392"/>
    <w:rsid w:val="00EA6BA8"/>
    <w:rsid w:val="00EB171C"/>
    <w:rsid w:val="00EB1FD1"/>
    <w:rsid w:val="00EB24F0"/>
    <w:rsid w:val="00EB3C52"/>
    <w:rsid w:val="00EB3C90"/>
    <w:rsid w:val="00EB3CA8"/>
    <w:rsid w:val="00EB3FCE"/>
    <w:rsid w:val="00EB4535"/>
    <w:rsid w:val="00EB6FC3"/>
    <w:rsid w:val="00EB74E6"/>
    <w:rsid w:val="00EC03DA"/>
    <w:rsid w:val="00EC03E8"/>
    <w:rsid w:val="00EC2340"/>
    <w:rsid w:val="00EC7321"/>
    <w:rsid w:val="00EC7ADB"/>
    <w:rsid w:val="00EC7F81"/>
    <w:rsid w:val="00ED0938"/>
    <w:rsid w:val="00ED0CA3"/>
    <w:rsid w:val="00ED23CA"/>
    <w:rsid w:val="00ED2CE7"/>
    <w:rsid w:val="00ED3507"/>
    <w:rsid w:val="00ED375B"/>
    <w:rsid w:val="00ED3FA5"/>
    <w:rsid w:val="00ED4B16"/>
    <w:rsid w:val="00ED4DC0"/>
    <w:rsid w:val="00ED4F8D"/>
    <w:rsid w:val="00ED5605"/>
    <w:rsid w:val="00ED7F6E"/>
    <w:rsid w:val="00EE00F2"/>
    <w:rsid w:val="00EE05B5"/>
    <w:rsid w:val="00EE06A6"/>
    <w:rsid w:val="00EE0A8E"/>
    <w:rsid w:val="00EE0AB9"/>
    <w:rsid w:val="00EE0D36"/>
    <w:rsid w:val="00EE168F"/>
    <w:rsid w:val="00EE25C0"/>
    <w:rsid w:val="00EE27E2"/>
    <w:rsid w:val="00EE2B92"/>
    <w:rsid w:val="00EE3FAE"/>
    <w:rsid w:val="00EE4406"/>
    <w:rsid w:val="00EE4A52"/>
    <w:rsid w:val="00EE523F"/>
    <w:rsid w:val="00EE57D4"/>
    <w:rsid w:val="00EE60EC"/>
    <w:rsid w:val="00EE6D55"/>
    <w:rsid w:val="00EF0E31"/>
    <w:rsid w:val="00EF26FF"/>
    <w:rsid w:val="00EF4331"/>
    <w:rsid w:val="00EF7CEB"/>
    <w:rsid w:val="00F05E4E"/>
    <w:rsid w:val="00F05E8C"/>
    <w:rsid w:val="00F06871"/>
    <w:rsid w:val="00F0688C"/>
    <w:rsid w:val="00F06F4F"/>
    <w:rsid w:val="00F104DA"/>
    <w:rsid w:val="00F1091E"/>
    <w:rsid w:val="00F109FF"/>
    <w:rsid w:val="00F110D8"/>
    <w:rsid w:val="00F115EF"/>
    <w:rsid w:val="00F11FCD"/>
    <w:rsid w:val="00F13891"/>
    <w:rsid w:val="00F1544E"/>
    <w:rsid w:val="00F158C1"/>
    <w:rsid w:val="00F15AB5"/>
    <w:rsid w:val="00F1668B"/>
    <w:rsid w:val="00F16780"/>
    <w:rsid w:val="00F174B4"/>
    <w:rsid w:val="00F20012"/>
    <w:rsid w:val="00F20361"/>
    <w:rsid w:val="00F20BED"/>
    <w:rsid w:val="00F223B5"/>
    <w:rsid w:val="00F22855"/>
    <w:rsid w:val="00F22AD1"/>
    <w:rsid w:val="00F24847"/>
    <w:rsid w:val="00F25658"/>
    <w:rsid w:val="00F25798"/>
    <w:rsid w:val="00F26D58"/>
    <w:rsid w:val="00F2714E"/>
    <w:rsid w:val="00F2775F"/>
    <w:rsid w:val="00F3069D"/>
    <w:rsid w:val="00F30797"/>
    <w:rsid w:val="00F30A7F"/>
    <w:rsid w:val="00F31091"/>
    <w:rsid w:val="00F33135"/>
    <w:rsid w:val="00F3347E"/>
    <w:rsid w:val="00F365A4"/>
    <w:rsid w:val="00F378AF"/>
    <w:rsid w:val="00F404F0"/>
    <w:rsid w:val="00F40877"/>
    <w:rsid w:val="00F40A17"/>
    <w:rsid w:val="00F4133B"/>
    <w:rsid w:val="00F41E5F"/>
    <w:rsid w:val="00F4338F"/>
    <w:rsid w:val="00F4425C"/>
    <w:rsid w:val="00F4567E"/>
    <w:rsid w:val="00F45AE5"/>
    <w:rsid w:val="00F46169"/>
    <w:rsid w:val="00F47EA7"/>
    <w:rsid w:val="00F47F57"/>
    <w:rsid w:val="00F50595"/>
    <w:rsid w:val="00F50C23"/>
    <w:rsid w:val="00F51B48"/>
    <w:rsid w:val="00F51CAB"/>
    <w:rsid w:val="00F52523"/>
    <w:rsid w:val="00F52739"/>
    <w:rsid w:val="00F54653"/>
    <w:rsid w:val="00F5486B"/>
    <w:rsid w:val="00F54A71"/>
    <w:rsid w:val="00F54C63"/>
    <w:rsid w:val="00F5609D"/>
    <w:rsid w:val="00F563BC"/>
    <w:rsid w:val="00F571E2"/>
    <w:rsid w:val="00F57BA7"/>
    <w:rsid w:val="00F60560"/>
    <w:rsid w:val="00F60DD6"/>
    <w:rsid w:val="00F610EC"/>
    <w:rsid w:val="00F61E32"/>
    <w:rsid w:val="00F61E93"/>
    <w:rsid w:val="00F622B3"/>
    <w:rsid w:val="00F62E40"/>
    <w:rsid w:val="00F6611E"/>
    <w:rsid w:val="00F7196F"/>
    <w:rsid w:val="00F72E0F"/>
    <w:rsid w:val="00F7420F"/>
    <w:rsid w:val="00F77372"/>
    <w:rsid w:val="00F77AE0"/>
    <w:rsid w:val="00F80369"/>
    <w:rsid w:val="00F817E8"/>
    <w:rsid w:val="00F82996"/>
    <w:rsid w:val="00F83519"/>
    <w:rsid w:val="00F84408"/>
    <w:rsid w:val="00F8478F"/>
    <w:rsid w:val="00F864D5"/>
    <w:rsid w:val="00F86AA9"/>
    <w:rsid w:val="00F906A5"/>
    <w:rsid w:val="00F92EBD"/>
    <w:rsid w:val="00F933C4"/>
    <w:rsid w:val="00F93BE2"/>
    <w:rsid w:val="00F96446"/>
    <w:rsid w:val="00F96F0A"/>
    <w:rsid w:val="00FA19AD"/>
    <w:rsid w:val="00FA5D65"/>
    <w:rsid w:val="00FA5F85"/>
    <w:rsid w:val="00FA6106"/>
    <w:rsid w:val="00FA6242"/>
    <w:rsid w:val="00FA6456"/>
    <w:rsid w:val="00FA68C2"/>
    <w:rsid w:val="00FA7206"/>
    <w:rsid w:val="00FA7E82"/>
    <w:rsid w:val="00FB0035"/>
    <w:rsid w:val="00FB06E4"/>
    <w:rsid w:val="00FB0AC2"/>
    <w:rsid w:val="00FB32AF"/>
    <w:rsid w:val="00FB5735"/>
    <w:rsid w:val="00FB6513"/>
    <w:rsid w:val="00FC1A36"/>
    <w:rsid w:val="00FC2847"/>
    <w:rsid w:val="00FC3240"/>
    <w:rsid w:val="00FC566A"/>
    <w:rsid w:val="00FC56C6"/>
    <w:rsid w:val="00FC5706"/>
    <w:rsid w:val="00FD18BF"/>
    <w:rsid w:val="00FD2CC2"/>
    <w:rsid w:val="00FD2CFA"/>
    <w:rsid w:val="00FD3613"/>
    <w:rsid w:val="00FD362B"/>
    <w:rsid w:val="00FD4495"/>
    <w:rsid w:val="00FD4B84"/>
    <w:rsid w:val="00FD5476"/>
    <w:rsid w:val="00FD567B"/>
    <w:rsid w:val="00FD59F2"/>
    <w:rsid w:val="00FD60D1"/>
    <w:rsid w:val="00FD6E1E"/>
    <w:rsid w:val="00FD7BD9"/>
    <w:rsid w:val="00FD7D98"/>
    <w:rsid w:val="00FD7F1E"/>
    <w:rsid w:val="00FE010E"/>
    <w:rsid w:val="00FE0DAF"/>
    <w:rsid w:val="00FE254F"/>
    <w:rsid w:val="00FE2F4F"/>
    <w:rsid w:val="00FE596B"/>
    <w:rsid w:val="00FE758F"/>
    <w:rsid w:val="00FE7E63"/>
    <w:rsid w:val="00FF05D2"/>
    <w:rsid w:val="00FF0E8A"/>
    <w:rsid w:val="00FF1126"/>
    <w:rsid w:val="00FF1222"/>
    <w:rsid w:val="00FF14D7"/>
    <w:rsid w:val="00FF1A4F"/>
    <w:rsid w:val="00FF1EF7"/>
    <w:rsid w:val="00FF2E8D"/>
    <w:rsid w:val="00FF3A35"/>
    <w:rsid w:val="00FF3D3C"/>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1A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1A7D"/>
    <w:pPr>
      <w:jc w:val="both"/>
    </w:pPr>
    <w:rPr>
      <w:lang w:val="sr-Latn-CS"/>
    </w:rPr>
  </w:style>
  <w:style w:type="character" w:customStyle="1" w:styleId="BodyTextChar">
    <w:name w:val="Body Text Char"/>
    <w:basedOn w:val="DefaultParagraphFont"/>
    <w:link w:val="BodyText"/>
    <w:rsid w:val="003B7982"/>
    <w:rPr>
      <w:sz w:val="24"/>
      <w:szCs w:val="24"/>
      <w:lang w:val="sr-Latn-CS"/>
    </w:rPr>
  </w:style>
  <w:style w:type="paragraph" w:styleId="Footer">
    <w:name w:val="footer"/>
    <w:basedOn w:val="Normal"/>
    <w:rsid w:val="00091A7D"/>
    <w:pPr>
      <w:tabs>
        <w:tab w:val="center" w:pos="4320"/>
        <w:tab w:val="right" w:pos="8640"/>
      </w:tabs>
    </w:pPr>
  </w:style>
  <w:style w:type="character" w:styleId="PageNumber">
    <w:name w:val="page number"/>
    <w:basedOn w:val="DefaultParagraphFont"/>
    <w:rsid w:val="00091A7D"/>
  </w:style>
  <w:style w:type="paragraph" w:styleId="BalloonText">
    <w:name w:val="Balloon Text"/>
    <w:basedOn w:val="Normal"/>
    <w:semiHidden/>
    <w:rsid w:val="00274373"/>
    <w:rPr>
      <w:rFonts w:ascii="Tahoma" w:hAnsi="Tahoma" w:cs="Tahoma"/>
      <w:sz w:val="16"/>
      <w:szCs w:val="16"/>
    </w:rPr>
  </w:style>
  <w:style w:type="paragraph" w:styleId="DocumentMap">
    <w:name w:val="Document Map"/>
    <w:basedOn w:val="Normal"/>
    <w:semiHidden/>
    <w:rsid w:val="00675C85"/>
    <w:pPr>
      <w:shd w:val="clear" w:color="auto" w:fill="000080"/>
    </w:pPr>
    <w:rPr>
      <w:rFonts w:ascii="Tahoma" w:hAnsi="Tahoma" w:cs="Tahoma"/>
      <w:sz w:val="20"/>
      <w:szCs w:val="20"/>
    </w:rPr>
  </w:style>
  <w:style w:type="paragraph" w:customStyle="1" w:styleId="CharCharCharChar">
    <w:name w:val="Char Char Char Char"/>
    <w:basedOn w:val="Normal"/>
    <w:rsid w:val="00662B3D"/>
    <w:pPr>
      <w:spacing w:after="160" w:line="240" w:lineRule="exact"/>
    </w:pPr>
    <w:rPr>
      <w:rFonts w:ascii="Verdana" w:hAnsi="Verdana"/>
      <w:b/>
      <w:bCs/>
      <w:sz w:val="20"/>
      <w:szCs w:val="20"/>
    </w:rPr>
  </w:style>
  <w:style w:type="table" w:styleId="TableGrid">
    <w:name w:val="Table Grid"/>
    <w:basedOn w:val="TableNormal"/>
    <w:rsid w:val="00A71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semiHidden/>
    <w:rsid w:val="00FA7206"/>
    <w:pPr>
      <w:spacing w:after="160" w:line="240" w:lineRule="exact"/>
    </w:pPr>
    <w:rPr>
      <w:rFonts w:ascii="Tahoma" w:hAnsi="Tahoma"/>
      <w:sz w:val="20"/>
      <w:szCs w:val="20"/>
    </w:rPr>
  </w:style>
  <w:style w:type="paragraph" w:styleId="FootnoteText">
    <w:name w:val="footnote text"/>
    <w:aliases w:val="single space,footnote text,Footnote Text Char Char,Footnote Text Char Char Char,FOOTNOTES,fn"/>
    <w:basedOn w:val="Normal"/>
    <w:link w:val="FootnoteTextChar"/>
    <w:rsid w:val="00E4115A"/>
    <w:rPr>
      <w:sz w:val="20"/>
      <w:szCs w:val="20"/>
    </w:rPr>
  </w:style>
  <w:style w:type="character" w:customStyle="1" w:styleId="FootnoteTextChar">
    <w:name w:val="Footnote Text Char"/>
    <w:aliases w:val="single space Char,footnote text Char,Footnote Text Char Char Char1,Footnote Text Char Char Char Char,FOOTNOTES Char,fn Char"/>
    <w:basedOn w:val="DefaultParagraphFont"/>
    <w:link w:val="FootnoteText"/>
    <w:rsid w:val="003B7982"/>
  </w:style>
  <w:style w:type="character" w:styleId="FootnoteReference">
    <w:name w:val="footnote reference"/>
    <w:basedOn w:val="DefaultParagraphFont"/>
    <w:semiHidden/>
    <w:rsid w:val="00E4115A"/>
    <w:rPr>
      <w:vertAlign w:val="superscript"/>
    </w:rPr>
  </w:style>
  <w:style w:type="paragraph" w:styleId="Header">
    <w:name w:val="header"/>
    <w:basedOn w:val="Normal"/>
    <w:link w:val="HeaderChar"/>
    <w:rsid w:val="0069532D"/>
    <w:pPr>
      <w:tabs>
        <w:tab w:val="center" w:pos="4680"/>
        <w:tab w:val="right" w:pos="9360"/>
      </w:tabs>
    </w:pPr>
  </w:style>
  <w:style w:type="character" w:customStyle="1" w:styleId="HeaderChar">
    <w:name w:val="Header Char"/>
    <w:basedOn w:val="DefaultParagraphFont"/>
    <w:link w:val="Header"/>
    <w:rsid w:val="0069532D"/>
    <w:rPr>
      <w:sz w:val="24"/>
      <w:szCs w:val="24"/>
    </w:rPr>
  </w:style>
  <w:style w:type="paragraph" w:styleId="ListParagraph">
    <w:name w:val="List Paragraph"/>
    <w:basedOn w:val="Normal"/>
    <w:link w:val="ListParagraphChar"/>
    <w:uiPriority w:val="34"/>
    <w:qFormat/>
    <w:rsid w:val="00373E94"/>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373E94"/>
    <w:rPr>
      <w:rFonts w:asciiTheme="minorHAnsi" w:eastAsiaTheme="minorHAnsi" w:hAnsiTheme="minorHAnsi" w:cstheme="minorBidi"/>
      <w:sz w:val="22"/>
      <w:szCs w:val="22"/>
    </w:rPr>
  </w:style>
  <w:style w:type="paragraph" w:styleId="BodyText2">
    <w:name w:val="Body Text 2"/>
    <w:basedOn w:val="Normal"/>
    <w:link w:val="BodyText2Char"/>
    <w:rsid w:val="00AD795E"/>
    <w:pPr>
      <w:spacing w:after="120" w:line="480" w:lineRule="auto"/>
    </w:pPr>
    <w:rPr>
      <w:lang w:val="sr-Latn-CS" w:eastAsia="sr-Latn-CS"/>
    </w:rPr>
  </w:style>
  <w:style w:type="character" w:customStyle="1" w:styleId="BodyText2Char">
    <w:name w:val="Body Text 2 Char"/>
    <w:basedOn w:val="DefaultParagraphFont"/>
    <w:link w:val="BodyText2"/>
    <w:rsid w:val="00AD795E"/>
    <w:rPr>
      <w:sz w:val="24"/>
      <w:szCs w:val="24"/>
      <w:lang w:val="sr-Latn-CS" w:eastAsia="sr-Latn-CS"/>
    </w:rPr>
  </w:style>
  <w:style w:type="paragraph" w:customStyle="1" w:styleId="Section1">
    <w:name w:val="Section 1"/>
    <w:basedOn w:val="Normal"/>
    <w:rsid w:val="00A272BA"/>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Tms Rmn" w:hAnsi="Tms Rmn"/>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1A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1A7D"/>
    <w:pPr>
      <w:jc w:val="both"/>
    </w:pPr>
    <w:rPr>
      <w:lang w:val="sr-Latn-CS"/>
    </w:rPr>
  </w:style>
  <w:style w:type="character" w:customStyle="1" w:styleId="BodyTextChar">
    <w:name w:val="Body Text Char"/>
    <w:basedOn w:val="DefaultParagraphFont"/>
    <w:link w:val="BodyText"/>
    <w:rsid w:val="003B7982"/>
    <w:rPr>
      <w:sz w:val="24"/>
      <w:szCs w:val="24"/>
      <w:lang w:val="sr-Latn-CS"/>
    </w:rPr>
  </w:style>
  <w:style w:type="paragraph" w:styleId="Footer">
    <w:name w:val="footer"/>
    <w:basedOn w:val="Normal"/>
    <w:rsid w:val="00091A7D"/>
    <w:pPr>
      <w:tabs>
        <w:tab w:val="center" w:pos="4320"/>
        <w:tab w:val="right" w:pos="8640"/>
      </w:tabs>
    </w:pPr>
  </w:style>
  <w:style w:type="character" w:styleId="PageNumber">
    <w:name w:val="page number"/>
    <w:basedOn w:val="DefaultParagraphFont"/>
    <w:rsid w:val="00091A7D"/>
  </w:style>
  <w:style w:type="paragraph" w:styleId="BalloonText">
    <w:name w:val="Balloon Text"/>
    <w:basedOn w:val="Normal"/>
    <w:semiHidden/>
    <w:rsid w:val="00274373"/>
    <w:rPr>
      <w:rFonts w:ascii="Tahoma" w:hAnsi="Tahoma" w:cs="Tahoma"/>
      <w:sz w:val="16"/>
      <w:szCs w:val="16"/>
    </w:rPr>
  </w:style>
  <w:style w:type="paragraph" w:styleId="DocumentMap">
    <w:name w:val="Document Map"/>
    <w:basedOn w:val="Normal"/>
    <w:semiHidden/>
    <w:rsid w:val="00675C85"/>
    <w:pPr>
      <w:shd w:val="clear" w:color="auto" w:fill="000080"/>
    </w:pPr>
    <w:rPr>
      <w:rFonts w:ascii="Tahoma" w:hAnsi="Tahoma" w:cs="Tahoma"/>
      <w:sz w:val="20"/>
      <w:szCs w:val="20"/>
    </w:rPr>
  </w:style>
  <w:style w:type="paragraph" w:customStyle="1" w:styleId="CharCharCharChar">
    <w:name w:val="Char Char Char Char"/>
    <w:basedOn w:val="Normal"/>
    <w:rsid w:val="00662B3D"/>
    <w:pPr>
      <w:spacing w:after="160" w:line="240" w:lineRule="exact"/>
    </w:pPr>
    <w:rPr>
      <w:rFonts w:ascii="Verdana" w:hAnsi="Verdana"/>
      <w:b/>
      <w:bCs/>
      <w:sz w:val="20"/>
      <w:szCs w:val="20"/>
    </w:rPr>
  </w:style>
  <w:style w:type="table" w:styleId="TableGrid">
    <w:name w:val="Table Grid"/>
    <w:basedOn w:val="TableNormal"/>
    <w:rsid w:val="00A71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semiHidden/>
    <w:rsid w:val="00FA7206"/>
    <w:pPr>
      <w:spacing w:after="160" w:line="240" w:lineRule="exact"/>
    </w:pPr>
    <w:rPr>
      <w:rFonts w:ascii="Tahoma" w:hAnsi="Tahoma"/>
      <w:sz w:val="20"/>
      <w:szCs w:val="20"/>
    </w:rPr>
  </w:style>
  <w:style w:type="paragraph" w:styleId="FootnoteText">
    <w:name w:val="footnote text"/>
    <w:aliases w:val="single space,footnote text,Footnote Text Char Char,Footnote Text Char Char Char,FOOTNOTES,fn"/>
    <w:basedOn w:val="Normal"/>
    <w:link w:val="FootnoteTextChar"/>
    <w:rsid w:val="00E4115A"/>
    <w:rPr>
      <w:sz w:val="20"/>
      <w:szCs w:val="20"/>
    </w:rPr>
  </w:style>
  <w:style w:type="character" w:customStyle="1" w:styleId="FootnoteTextChar">
    <w:name w:val="Footnote Text Char"/>
    <w:aliases w:val="single space Char,footnote text Char,Footnote Text Char Char Char1,Footnote Text Char Char Char Char,FOOTNOTES Char,fn Char"/>
    <w:basedOn w:val="DefaultParagraphFont"/>
    <w:link w:val="FootnoteText"/>
    <w:rsid w:val="003B7982"/>
  </w:style>
  <w:style w:type="character" w:styleId="FootnoteReference">
    <w:name w:val="footnote reference"/>
    <w:basedOn w:val="DefaultParagraphFont"/>
    <w:semiHidden/>
    <w:rsid w:val="00E4115A"/>
    <w:rPr>
      <w:vertAlign w:val="superscript"/>
    </w:rPr>
  </w:style>
  <w:style w:type="paragraph" w:styleId="Header">
    <w:name w:val="header"/>
    <w:basedOn w:val="Normal"/>
    <w:link w:val="HeaderChar"/>
    <w:rsid w:val="0069532D"/>
    <w:pPr>
      <w:tabs>
        <w:tab w:val="center" w:pos="4680"/>
        <w:tab w:val="right" w:pos="9360"/>
      </w:tabs>
    </w:pPr>
  </w:style>
  <w:style w:type="character" w:customStyle="1" w:styleId="HeaderChar">
    <w:name w:val="Header Char"/>
    <w:basedOn w:val="DefaultParagraphFont"/>
    <w:link w:val="Header"/>
    <w:rsid w:val="0069532D"/>
    <w:rPr>
      <w:sz w:val="24"/>
      <w:szCs w:val="24"/>
    </w:rPr>
  </w:style>
  <w:style w:type="paragraph" w:styleId="ListParagraph">
    <w:name w:val="List Paragraph"/>
    <w:basedOn w:val="Normal"/>
    <w:link w:val="ListParagraphChar"/>
    <w:uiPriority w:val="34"/>
    <w:qFormat/>
    <w:rsid w:val="00373E94"/>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373E94"/>
    <w:rPr>
      <w:rFonts w:asciiTheme="minorHAnsi" w:eastAsiaTheme="minorHAnsi" w:hAnsiTheme="minorHAnsi" w:cstheme="minorBidi"/>
      <w:sz w:val="22"/>
      <w:szCs w:val="22"/>
    </w:rPr>
  </w:style>
  <w:style w:type="paragraph" w:styleId="BodyText2">
    <w:name w:val="Body Text 2"/>
    <w:basedOn w:val="Normal"/>
    <w:link w:val="BodyText2Char"/>
    <w:rsid w:val="00AD795E"/>
    <w:pPr>
      <w:spacing w:after="120" w:line="480" w:lineRule="auto"/>
    </w:pPr>
    <w:rPr>
      <w:lang w:val="sr-Latn-CS" w:eastAsia="sr-Latn-CS"/>
    </w:rPr>
  </w:style>
  <w:style w:type="character" w:customStyle="1" w:styleId="BodyText2Char">
    <w:name w:val="Body Text 2 Char"/>
    <w:basedOn w:val="DefaultParagraphFont"/>
    <w:link w:val="BodyText2"/>
    <w:rsid w:val="00AD795E"/>
    <w:rPr>
      <w:sz w:val="24"/>
      <w:szCs w:val="24"/>
      <w:lang w:val="sr-Latn-CS" w:eastAsia="sr-Latn-CS"/>
    </w:rPr>
  </w:style>
  <w:style w:type="paragraph" w:customStyle="1" w:styleId="Section1">
    <w:name w:val="Section 1"/>
    <w:basedOn w:val="Normal"/>
    <w:rsid w:val="00A272BA"/>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Tms Rmn" w:hAnsi="Tms Rm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682">
      <w:bodyDiv w:val="1"/>
      <w:marLeft w:val="0"/>
      <w:marRight w:val="0"/>
      <w:marTop w:val="0"/>
      <w:marBottom w:val="0"/>
      <w:divBdr>
        <w:top w:val="none" w:sz="0" w:space="0" w:color="auto"/>
        <w:left w:val="none" w:sz="0" w:space="0" w:color="auto"/>
        <w:bottom w:val="none" w:sz="0" w:space="0" w:color="auto"/>
        <w:right w:val="none" w:sz="0" w:space="0" w:color="auto"/>
      </w:divBdr>
    </w:div>
    <w:div w:id="25834427">
      <w:bodyDiv w:val="1"/>
      <w:marLeft w:val="0"/>
      <w:marRight w:val="0"/>
      <w:marTop w:val="0"/>
      <w:marBottom w:val="0"/>
      <w:divBdr>
        <w:top w:val="none" w:sz="0" w:space="0" w:color="auto"/>
        <w:left w:val="none" w:sz="0" w:space="0" w:color="auto"/>
        <w:bottom w:val="none" w:sz="0" w:space="0" w:color="auto"/>
        <w:right w:val="none" w:sz="0" w:space="0" w:color="auto"/>
      </w:divBdr>
    </w:div>
    <w:div w:id="84766991">
      <w:bodyDiv w:val="1"/>
      <w:marLeft w:val="0"/>
      <w:marRight w:val="0"/>
      <w:marTop w:val="0"/>
      <w:marBottom w:val="0"/>
      <w:divBdr>
        <w:top w:val="none" w:sz="0" w:space="0" w:color="auto"/>
        <w:left w:val="none" w:sz="0" w:space="0" w:color="auto"/>
        <w:bottom w:val="none" w:sz="0" w:space="0" w:color="auto"/>
        <w:right w:val="none" w:sz="0" w:space="0" w:color="auto"/>
      </w:divBdr>
    </w:div>
    <w:div w:id="183060095">
      <w:bodyDiv w:val="1"/>
      <w:marLeft w:val="0"/>
      <w:marRight w:val="0"/>
      <w:marTop w:val="0"/>
      <w:marBottom w:val="0"/>
      <w:divBdr>
        <w:top w:val="none" w:sz="0" w:space="0" w:color="auto"/>
        <w:left w:val="none" w:sz="0" w:space="0" w:color="auto"/>
        <w:bottom w:val="none" w:sz="0" w:space="0" w:color="auto"/>
        <w:right w:val="none" w:sz="0" w:space="0" w:color="auto"/>
      </w:divBdr>
    </w:div>
    <w:div w:id="206918492">
      <w:bodyDiv w:val="1"/>
      <w:marLeft w:val="0"/>
      <w:marRight w:val="0"/>
      <w:marTop w:val="0"/>
      <w:marBottom w:val="0"/>
      <w:divBdr>
        <w:top w:val="none" w:sz="0" w:space="0" w:color="auto"/>
        <w:left w:val="none" w:sz="0" w:space="0" w:color="auto"/>
        <w:bottom w:val="none" w:sz="0" w:space="0" w:color="auto"/>
        <w:right w:val="none" w:sz="0" w:space="0" w:color="auto"/>
      </w:divBdr>
    </w:div>
    <w:div w:id="327247105">
      <w:bodyDiv w:val="1"/>
      <w:marLeft w:val="0"/>
      <w:marRight w:val="0"/>
      <w:marTop w:val="0"/>
      <w:marBottom w:val="0"/>
      <w:divBdr>
        <w:top w:val="none" w:sz="0" w:space="0" w:color="auto"/>
        <w:left w:val="none" w:sz="0" w:space="0" w:color="auto"/>
        <w:bottom w:val="none" w:sz="0" w:space="0" w:color="auto"/>
        <w:right w:val="none" w:sz="0" w:space="0" w:color="auto"/>
      </w:divBdr>
    </w:div>
    <w:div w:id="356128584">
      <w:bodyDiv w:val="1"/>
      <w:marLeft w:val="0"/>
      <w:marRight w:val="0"/>
      <w:marTop w:val="0"/>
      <w:marBottom w:val="0"/>
      <w:divBdr>
        <w:top w:val="none" w:sz="0" w:space="0" w:color="auto"/>
        <w:left w:val="none" w:sz="0" w:space="0" w:color="auto"/>
        <w:bottom w:val="none" w:sz="0" w:space="0" w:color="auto"/>
        <w:right w:val="none" w:sz="0" w:space="0" w:color="auto"/>
      </w:divBdr>
    </w:div>
    <w:div w:id="361636448">
      <w:bodyDiv w:val="1"/>
      <w:marLeft w:val="0"/>
      <w:marRight w:val="0"/>
      <w:marTop w:val="0"/>
      <w:marBottom w:val="0"/>
      <w:divBdr>
        <w:top w:val="none" w:sz="0" w:space="0" w:color="auto"/>
        <w:left w:val="none" w:sz="0" w:space="0" w:color="auto"/>
        <w:bottom w:val="none" w:sz="0" w:space="0" w:color="auto"/>
        <w:right w:val="none" w:sz="0" w:space="0" w:color="auto"/>
      </w:divBdr>
    </w:div>
    <w:div w:id="463935754">
      <w:bodyDiv w:val="1"/>
      <w:marLeft w:val="0"/>
      <w:marRight w:val="0"/>
      <w:marTop w:val="0"/>
      <w:marBottom w:val="0"/>
      <w:divBdr>
        <w:top w:val="none" w:sz="0" w:space="0" w:color="auto"/>
        <w:left w:val="none" w:sz="0" w:space="0" w:color="auto"/>
        <w:bottom w:val="none" w:sz="0" w:space="0" w:color="auto"/>
        <w:right w:val="none" w:sz="0" w:space="0" w:color="auto"/>
      </w:divBdr>
    </w:div>
    <w:div w:id="493302012">
      <w:bodyDiv w:val="1"/>
      <w:marLeft w:val="0"/>
      <w:marRight w:val="0"/>
      <w:marTop w:val="0"/>
      <w:marBottom w:val="0"/>
      <w:divBdr>
        <w:top w:val="none" w:sz="0" w:space="0" w:color="auto"/>
        <w:left w:val="none" w:sz="0" w:space="0" w:color="auto"/>
        <w:bottom w:val="none" w:sz="0" w:space="0" w:color="auto"/>
        <w:right w:val="none" w:sz="0" w:space="0" w:color="auto"/>
      </w:divBdr>
    </w:div>
    <w:div w:id="553811084">
      <w:bodyDiv w:val="1"/>
      <w:marLeft w:val="0"/>
      <w:marRight w:val="0"/>
      <w:marTop w:val="0"/>
      <w:marBottom w:val="0"/>
      <w:divBdr>
        <w:top w:val="none" w:sz="0" w:space="0" w:color="auto"/>
        <w:left w:val="none" w:sz="0" w:space="0" w:color="auto"/>
        <w:bottom w:val="none" w:sz="0" w:space="0" w:color="auto"/>
        <w:right w:val="none" w:sz="0" w:space="0" w:color="auto"/>
      </w:divBdr>
    </w:div>
    <w:div w:id="758064109">
      <w:bodyDiv w:val="1"/>
      <w:marLeft w:val="0"/>
      <w:marRight w:val="0"/>
      <w:marTop w:val="0"/>
      <w:marBottom w:val="0"/>
      <w:divBdr>
        <w:top w:val="none" w:sz="0" w:space="0" w:color="auto"/>
        <w:left w:val="none" w:sz="0" w:space="0" w:color="auto"/>
        <w:bottom w:val="none" w:sz="0" w:space="0" w:color="auto"/>
        <w:right w:val="none" w:sz="0" w:space="0" w:color="auto"/>
      </w:divBdr>
    </w:div>
    <w:div w:id="782726148">
      <w:bodyDiv w:val="1"/>
      <w:marLeft w:val="0"/>
      <w:marRight w:val="0"/>
      <w:marTop w:val="0"/>
      <w:marBottom w:val="0"/>
      <w:divBdr>
        <w:top w:val="none" w:sz="0" w:space="0" w:color="auto"/>
        <w:left w:val="none" w:sz="0" w:space="0" w:color="auto"/>
        <w:bottom w:val="none" w:sz="0" w:space="0" w:color="auto"/>
        <w:right w:val="none" w:sz="0" w:space="0" w:color="auto"/>
      </w:divBdr>
    </w:div>
    <w:div w:id="976182156">
      <w:bodyDiv w:val="1"/>
      <w:marLeft w:val="0"/>
      <w:marRight w:val="0"/>
      <w:marTop w:val="0"/>
      <w:marBottom w:val="0"/>
      <w:divBdr>
        <w:top w:val="none" w:sz="0" w:space="0" w:color="auto"/>
        <w:left w:val="none" w:sz="0" w:space="0" w:color="auto"/>
        <w:bottom w:val="none" w:sz="0" w:space="0" w:color="auto"/>
        <w:right w:val="none" w:sz="0" w:space="0" w:color="auto"/>
      </w:divBdr>
    </w:div>
    <w:div w:id="982471271">
      <w:bodyDiv w:val="1"/>
      <w:marLeft w:val="0"/>
      <w:marRight w:val="0"/>
      <w:marTop w:val="0"/>
      <w:marBottom w:val="0"/>
      <w:divBdr>
        <w:top w:val="none" w:sz="0" w:space="0" w:color="auto"/>
        <w:left w:val="none" w:sz="0" w:space="0" w:color="auto"/>
        <w:bottom w:val="none" w:sz="0" w:space="0" w:color="auto"/>
        <w:right w:val="none" w:sz="0" w:space="0" w:color="auto"/>
      </w:divBdr>
    </w:div>
    <w:div w:id="1262959134">
      <w:bodyDiv w:val="1"/>
      <w:marLeft w:val="0"/>
      <w:marRight w:val="0"/>
      <w:marTop w:val="0"/>
      <w:marBottom w:val="0"/>
      <w:divBdr>
        <w:top w:val="none" w:sz="0" w:space="0" w:color="auto"/>
        <w:left w:val="none" w:sz="0" w:space="0" w:color="auto"/>
        <w:bottom w:val="none" w:sz="0" w:space="0" w:color="auto"/>
        <w:right w:val="none" w:sz="0" w:space="0" w:color="auto"/>
      </w:divBdr>
    </w:div>
    <w:div w:id="1286230785">
      <w:bodyDiv w:val="1"/>
      <w:marLeft w:val="0"/>
      <w:marRight w:val="0"/>
      <w:marTop w:val="0"/>
      <w:marBottom w:val="0"/>
      <w:divBdr>
        <w:top w:val="none" w:sz="0" w:space="0" w:color="auto"/>
        <w:left w:val="none" w:sz="0" w:space="0" w:color="auto"/>
        <w:bottom w:val="none" w:sz="0" w:space="0" w:color="auto"/>
        <w:right w:val="none" w:sz="0" w:space="0" w:color="auto"/>
      </w:divBdr>
    </w:div>
    <w:div w:id="1391810443">
      <w:bodyDiv w:val="1"/>
      <w:marLeft w:val="0"/>
      <w:marRight w:val="0"/>
      <w:marTop w:val="0"/>
      <w:marBottom w:val="0"/>
      <w:divBdr>
        <w:top w:val="none" w:sz="0" w:space="0" w:color="auto"/>
        <w:left w:val="none" w:sz="0" w:space="0" w:color="auto"/>
        <w:bottom w:val="none" w:sz="0" w:space="0" w:color="auto"/>
        <w:right w:val="none" w:sz="0" w:space="0" w:color="auto"/>
      </w:divBdr>
    </w:div>
    <w:div w:id="1546521129">
      <w:bodyDiv w:val="1"/>
      <w:marLeft w:val="0"/>
      <w:marRight w:val="0"/>
      <w:marTop w:val="0"/>
      <w:marBottom w:val="0"/>
      <w:divBdr>
        <w:top w:val="none" w:sz="0" w:space="0" w:color="auto"/>
        <w:left w:val="none" w:sz="0" w:space="0" w:color="auto"/>
        <w:bottom w:val="none" w:sz="0" w:space="0" w:color="auto"/>
        <w:right w:val="none" w:sz="0" w:space="0" w:color="auto"/>
      </w:divBdr>
    </w:div>
    <w:div w:id="1627734467">
      <w:bodyDiv w:val="1"/>
      <w:marLeft w:val="0"/>
      <w:marRight w:val="0"/>
      <w:marTop w:val="0"/>
      <w:marBottom w:val="0"/>
      <w:divBdr>
        <w:top w:val="none" w:sz="0" w:space="0" w:color="auto"/>
        <w:left w:val="none" w:sz="0" w:space="0" w:color="auto"/>
        <w:bottom w:val="none" w:sz="0" w:space="0" w:color="auto"/>
        <w:right w:val="none" w:sz="0" w:space="0" w:color="auto"/>
      </w:divBdr>
    </w:div>
    <w:div w:id="1661344949">
      <w:bodyDiv w:val="1"/>
      <w:marLeft w:val="0"/>
      <w:marRight w:val="0"/>
      <w:marTop w:val="0"/>
      <w:marBottom w:val="0"/>
      <w:divBdr>
        <w:top w:val="none" w:sz="0" w:space="0" w:color="auto"/>
        <w:left w:val="none" w:sz="0" w:space="0" w:color="auto"/>
        <w:bottom w:val="none" w:sz="0" w:space="0" w:color="auto"/>
        <w:right w:val="none" w:sz="0" w:space="0" w:color="auto"/>
      </w:divBdr>
    </w:div>
    <w:div w:id="1669484663">
      <w:bodyDiv w:val="1"/>
      <w:marLeft w:val="0"/>
      <w:marRight w:val="0"/>
      <w:marTop w:val="0"/>
      <w:marBottom w:val="0"/>
      <w:divBdr>
        <w:top w:val="none" w:sz="0" w:space="0" w:color="auto"/>
        <w:left w:val="none" w:sz="0" w:space="0" w:color="auto"/>
        <w:bottom w:val="none" w:sz="0" w:space="0" w:color="auto"/>
        <w:right w:val="none" w:sz="0" w:space="0" w:color="auto"/>
      </w:divBdr>
    </w:div>
    <w:div w:id="2010787785">
      <w:bodyDiv w:val="1"/>
      <w:marLeft w:val="0"/>
      <w:marRight w:val="0"/>
      <w:marTop w:val="0"/>
      <w:marBottom w:val="0"/>
      <w:divBdr>
        <w:top w:val="none" w:sz="0" w:space="0" w:color="auto"/>
        <w:left w:val="none" w:sz="0" w:space="0" w:color="auto"/>
        <w:bottom w:val="none" w:sz="0" w:space="0" w:color="auto"/>
        <w:right w:val="none" w:sz="0" w:space="0" w:color="auto"/>
      </w:divBdr>
    </w:div>
    <w:div w:id="212553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avle.kaludjerovic\Desktop\javni%20dug%2031-12-2014-radna%20verzij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avle.kaludjerovic\Desktop\javni%20dug%2031-12-2014-radna%20verzij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avle.kaludjerovic\Desktop\javni%20dug%2031-12-2014-radna%20verzij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avle.kaludjerovic\Desktop\javni%20dug%2031-12-2014-radna%20verzij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avle.kaludjerovic\Desktop\stanje%20duga%20lokalne%20samouprave%20na%20dan%2031-12-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0"/>
              <c:layout>
                <c:manualLayout>
                  <c:x val="-2.7838204146711811E-2"/>
                  <c:y val="0.11577652192251929"/>
                </c:manualLayout>
              </c:layout>
              <c:tx>
                <c:rich>
                  <a:bodyPr/>
                  <a:lstStyle/>
                  <a:p>
                    <a:r>
                      <a:rPr lang="en-US"/>
                      <a:t>6.22%</a:t>
                    </a:r>
                  </a:p>
                </c:rich>
              </c:tx>
              <c:showLegendKey val="0"/>
              <c:showVal val="0"/>
              <c:showCatName val="0"/>
              <c:showSerName val="0"/>
              <c:showPercent val="1"/>
              <c:showBubbleSize val="0"/>
            </c:dLbl>
            <c:dLbl>
              <c:idx val="1"/>
              <c:tx>
                <c:rich>
                  <a:bodyPr/>
                  <a:lstStyle/>
                  <a:p>
                    <a:r>
                      <a:rPr lang="en-US"/>
                      <a:t>93.78%</a:t>
                    </a:r>
                  </a:p>
                </c:rich>
              </c:tx>
              <c:showLegendKey val="0"/>
              <c:showVal val="0"/>
              <c:showCatName val="0"/>
              <c:showSerName val="0"/>
              <c:showPercent val="1"/>
              <c:showBubbleSize val="0"/>
            </c:dLbl>
            <c:numFmt formatCode="0.00%" sourceLinked="0"/>
            <c:txPr>
              <a:bodyPr/>
              <a:lstStyle/>
              <a:p>
                <a:pPr>
                  <a:defRPr lang="sr-Latn-ME" sz="1100"/>
                </a:pPr>
                <a:endParaRPr lang="en-US"/>
              </a:p>
            </c:txPr>
            <c:showLegendKey val="0"/>
            <c:showVal val="0"/>
            <c:showCatName val="0"/>
            <c:showSerName val="0"/>
            <c:showPercent val="1"/>
            <c:showBubbleSize val="0"/>
            <c:showLeaderLines val="1"/>
          </c:dLbls>
          <c:cat>
            <c:strRef>
              <c:f>Sheet1!$D$77:$D$78</c:f>
              <c:strCache>
                <c:ptCount val="2"/>
                <c:pt idx="0">
                  <c:v>Ukupno dug lokalne samouprave</c:v>
                </c:pt>
                <c:pt idx="1">
                  <c:v>Ukupno državni dug</c:v>
                </c:pt>
              </c:strCache>
            </c:strRef>
          </c:cat>
          <c:val>
            <c:numRef>
              <c:f>Sheet1!$E$77:$E$78</c:f>
              <c:numCache>
                <c:formatCode>#,##0.00</c:formatCode>
                <c:ptCount val="2"/>
                <c:pt idx="0">
                  <c:v>6.3084393821760791</c:v>
                </c:pt>
                <c:pt idx="1">
                  <c:v>93.69156061782391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4018201900062757"/>
          <c:y val="0.11372630521253729"/>
          <c:w val="0.45565548184703258"/>
          <c:h val="0.2126828411489759"/>
        </c:manualLayout>
      </c:layout>
      <c:overlay val="0"/>
      <c:txPr>
        <a:bodyPr/>
        <a:lstStyle/>
        <a:p>
          <a:pPr>
            <a:defRPr lang="sr-Latn-ME"/>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numFmt formatCode="0.00%" sourceLinked="0"/>
            <c:txPr>
              <a:bodyPr/>
              <a:lstStyle/>
              <a:p>
                <a:pPr>
                  <a:defRPr lang="sr-Latn-ME" sz="1200"/>
                </a:pPr>
                <a:endParaRPr lang="en-US"/>
              </a:p>
            </c:txPr>
            <c:showLegendKey val="0"/>
            <c:showVal val="0"/>
            <c:showCatName val="0"/>
            <c:showSerName val="0"/>
            <c:showPercent val="1"/>
            <c:showBubbleSize val="0"/>
            <c:showLeaderLines val="1"/>
          </c:dLbls>
          <c:cat>
            <c:strRef>
              <c:f>Sheet1!$D$83:$D$84</c:f>
              <c:strCache>
                <c:ptCount val="2"/>
                <c:pt idx="0">
                  <c:v>Ukupno spoljni dug</c:v>
                </c:pt>
                <c:pt idx="1">
                  <c:v>Ukupno domaći dug</c:v>
                </c:pt>
              </c:strCache>
            </c:strRef>
          </c:cat>
          <c:val>
            <c:numRef>
              <c:f>Sheet1!$E$83:$E$84</c:f>
              <c:numCache>
                <c:formatCode>#,##0.00</c:formatCode>
                <c:ptCount val="2"/>
                <c:pt idx="0">
                  <c:v>1561.6899999999998</c:v>
                </c:pt>
                <c:pt idx="1">
                  <c:v>381.21999999999969</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5530142176421102"/>
          <c:y val="0.36776703292316593"/>
          <c:w val="0.26221886558446722"/>
          <c:h val="0.18335019909583544"/>
        </c:manualLayout>
      </c:layout>
      <c:overlay val="0"/>
      <c:txPr>
        <a:bodyPr/>
        <a:lstStyle/>
        <a:p>
          <a:pPr>
            <a:defRPr lang="sr-Latn-ME"/>
          </a:pPr>
          <a:endParaRPr lang="en-US"/>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Sheet1!$C$6</c:f>
              <c:strCache>
                <c:ptCount val="1"/>
                <c:pt idx="0">
                  <c:v>stanje duga</c:v>
                </c:pt>
              </c:strCache>
            </c:strRef>
          </c:tx>
          <c:invertIfNegative val="0"/>
          <c:cat>
            <c:strRef>
              <c:f>Sheet1!$B$8:$B$27</c:f>
              <c:strCache>
                <c:ptCount val="20"/>
                <c:pt idx="0">
                  <c:v>IBRD</c:v>
                </c:pt>
                <c:pt idx="1">
                  <c:v>Pariski klub</c:v>
                </c:pt>
                <c:pt idx="2">
                  <c:v>IDA</c:v>
                </c:pt>
                <c:pt idx="3">
                  <c:v>EIB</c:v>
                </c:pt>
                <c:pt idx="4">
                  <c:v>EBRD</c:v>
                </c:pt>
                <c:pt idx="5">
                  <c:v>CEB</c:v>
                </c:pt>
                <c:pt idx="6">
                  <c:v>Evropska Komisija </c:v>
                </c:pt>
                <c:pt idx="7">
                  <c:v>KfW</c:v>
                </c:pt>
                <c:pt idx="8">
                  <c:v>Mađarski zajam</c:v>
                </c:pt>
                <c:pt idx="9">
                  <c:v>Poljski zajam</c:v>
                </c:pt>
                <c:pt idx="10">
                  <c:v>NATIXIS</c:v>
                </c:pt>
                <c:pt idx="11">
                  <c:v>EUROFIMA</c:v>
                </c:pt>
                <c:pt idx="12">
                  <c:v>Češka Exim Banka</c:v>
                </c:pt>
                <c:pt idx="13">
                  <c:v>Stei. und Sparkassen AG</c:v>
                </c:pt>
                <c:pt idx="14">
                  <c:v>Erste Banka</c:v>
                </c:pt>
                <c:pt idx="15">
                  <c:v>Credit Suisse</c:v>
                </c:pt>
                <c:pt idx="16">
                  <c:v>Španski kredit</c:v>
                </c:pt>
                <c:pt idx="17">
                  <c:v>Austrijski kredit</c:v>
                </c:pt>
                <c:pt idx="18">
                  <c:v>EUROBOND</c:v>
                </c:pt>
                <c:pt idx="19">
                  <c:v>Deutsche Bank</c:v>
                </c:pt>
              </c:strCache>
            </c:strRef>
          </c:cat>
          <c:val>
            <c:numRef>
              <c:f>Sheet1!$C$8:$C$27</c:f>
              <c:numCache>
                <c:formatCode>#,##0.00</c:formatCode>
                <c:ptCount val="20"/>
                <c:pt idx="0">
                  <c:v>229.39000000000001</c:v>
                </c:pt>
                <c:pt idx="1">
                  <c:v>98.86</c:v>
                </c:pt>
                <c:pt idx="2">
                  <c:v>62.190000000000012</c:v>
                </c:pt>
                <c:pt idx="3">
                  <c:v>103.78</c:v>
                </c:pt>
                <c:pt idx="4">
                  <c:v>16.130000000000031</c:v>
                </c:pt>
                <c:pt idx="5">
                  <c:v>9.08</c:v>
                </c:pt>
                <c:pt idx="6">
                  <c:v>4.7</c:v>
                </c:pt>
                <c:pt idx="7">
                  <c:v>25.22</c:v>
                </c:pt>
                <c:pt idx="8">
                  <c:v>9.2800000000000011</c:v>
                </c:pt>
                <c:pt idx="9">
                  <c:v>8.33</c:v>
                </c:pt>
                <c:pt idx="10">
                  <c:v>7.26</c:v>
                </c:pt>
                <c:pt idx="11">
                  <c:v>17.05</c:v>
                </c:pt>
                <c:pt idx="12">
                  <c:v>14.61</c:v>
                </c:pt>
                <c:pt idx="13">
                  <c:v>14.3</c:v>
                </c:pt>
                <c:pt idx="14">
                  <c:v>18</c:v>
                </c:pt>
                <c:pt idx="15">
                  <c:v>204</c:v>
                </c:pt>
                <c:pt idx="16">
                  <c:v>4.75</c:v>
                </c:pt>
                <c:pt idx="17">
                  <c:v>7.4</c:v>
                </c:pt>
                <c:pt idx="18">
                  <c:v>647.35999999999797</c:v>
                </c:pt>
                <c:pt idx="19">
                  <c:v>60</c:v>
                </c:pt>
              </c:numCache>
            </c:numRef>
          </c:val>
        </c:ser>
        <c:dLbls>
          <c:showLegendKey val="0"/>
          <c:showVal val="0"/>
          <c:showCatName val="0"/>
          <c:showSerName val="0"/>
          <c:showPercent val="0"/>
          <c:showBubbleSize val="0"/>
        </c:dLbls>
        <c:gapWidth val="150"/>
        <c:axId val="227744768"/>
        <c:axId val="227746560"/>
      </c:barChart>
      <c:catAx>
        <c:axId val="227744768"/>
        <c:scaling>
          <c:orientation val="minMax"/>
        </c:scaling>
        <c:delete val="0"/>
        <c:axPos val="b"/>
        <c:majorTickMark val="out"/>
        <c:minorTickMark val="none"/>
        <c:tickLblPos val="nextTo"/>
        <c:txPr>
          <a:bodyPr/>
          <a:lstStyle/>
          <a:p>
            <a:pPr>
              <a:defRPr lang="sr-Latn-ME"/>
            </a:pPr>
            <a:endParaRPr lang="en-US"/>
          </a:p>
        </c:txPr>
        <c:crossAx val="227746560"/>
        <c:crosses val="autoZero"/>
        <c:auto val="1"/>
        <c:lblAlgn val="ctr"/>
        <c:lblOffset val="100"/>
        <c:noMultiLvlLbl val="0"/>
      </c:catAx>
      <c:valAx>
        <c:axId val="227746560"/>
        <c:scaling>
          <c:orientation val="minMax"/>
        </c:scaling>
        <c:delete val="0"/>
        <c:axPos val="l"/>
        <c:majorGridlines/>
        <c:numFmt formatCode="#,##0.00" sourceLinked="1"/>
        <c:majorTickMark val="out"/>
        <c:minorTickMark val="none"/>
        <c:tickLblPos val="nextTo"/>
        <c:txPr>
          <a:bodyPr/>
          <a:lstStyle/>
          <a:p>
            <a:pPr>
              <a:defRPr lang="sr-Latn-ME"/>
            </a:pPr>
            <a:endParaRPr lang="en-US"/>
          </a:p>
        </c:txPr>
        <c:crossAx val="22774476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sr-Latn-ME"/>
            </a:pPr>
            <a:r>
              <a:rPr lang="sr-Latn-ME"/>
              <a:t>Domaći</a:t>
            </a:r>
            <a:r>
              <a:rPr lang="sr-Latn-ME" baseline="0"/>
              <a:t> dug</a:t>
            </a:r>
            <a:endParaRPr lang="sr-Latn-ME"/>
          </a:p>
        </c:rich>
      </c:tx>
      <c:overlay val="0"/>
    </c:title>
    <c:autoTitleDeleted val="0"/>
    <c:plotArea>
      <c:layout/>
      <c:barChart>
        <c:barDir val="col"/>
        <c:grouping val="clustered"/>
        <c:varyColors val="1"/>
        <c:ser>
          <c:idx val="0"/>
          <c:order val="0"/>
          <c:tx>
            <c:strRef>
              <c:f>Sheet1!$C$31</c:f>
              <c:strCache>
                <c:ptCount val="1"/>
                <c:pt idx="0">
                  <c:v>Stanje duga</c:v>
                </c:pt>
              </c:strCache>
            </c:strRef>
          </c:tx>
          <c:invertIfNegative val="0"/>
          <c:cat>
            <c:strRef>
              <c:f>Sheet1!$B$32:$B$40</c:f>
              <c:strCache>
                <c:ptCount val="9"/>
                <c:pt idx="0">
                  <c:v>Devizna štednja</c:v>
                </c:pt>
                <c:pt idx="1">
                  <c:v>Restitucija </c:v>
                </c:pt>
                <c:pt idx="2">
                  <c:v>Krediti kod komercijalnih banaka</c:v>
                </c:pt>
                <c:pt idx="3">
                  <c:v>Krediti kod nefinansijskih institucija</c:v>
                </c:pt>
                <c:pt idx="4">
                  <c:v>Zaostale penzije</c:v>
                </c:pt>
                <c:pt idx="5">
                  <c:v>Državni zapisi</c:v>
                </c:pt>
                <c:pt idx="6">
                  <c:v>Državne obveznice za Fond rada</c:v>
                </c:pt>
                <c:pt idx="7">
                  <c:v>Domaće obveznice</c:v>
                </c:pt>
                <c:pt idx="8">
                  <c:v>Pravna lica i privredna drustva</c:v>
                </c:pt>
              </c:strCache>
            </c:strRef>
          </c:cat>
          <c:val>
            <c:numRef>
              <c:f>Sheet1!$C$32:$C$40</c:f>
              <c:numCache>
                <c:formatCode>#,##0.00</c:formatCode>
                <c:ptCount val="9"/>
                <c:pt idx="0">
                  <c:v>55.68</c:v>
                </c:pt>
                <c:pt idx="1">
                  <c:v>89.910000000000025</c:v>
                </c:pt>
                <c:pt idx="2">
                  <c:v>71.36999999999999</c:v>
                </c:pt>
                <c:pt idx="3">
                  <c:v>6.6599999999999975</c:v>
                </c:pt>
                <c:pt idx="4">
                  <c:v>1.8</c:v>
                </c:pt>
                <c:pt idx="5">
                  <c:v>77.709999999999994</c:v>
                </c:pt>
                <c:pt idx="6">
                  <c:v>3.84</c:v>
                </c:pt>
                <c:pt idx="7">
                  <c:v>38.200000000000003</c:v>
                </c:pt>
                <c:pt idx="8">
                  <c:v>36.050000000000004</c:v>
                </c:pt>
              </c:numCache>
            </c:numRef>
          </c:val>
        </c:ser>
        <c:dLbls>
          <c:showLegendKey val="0"/>
          <c:showVal val="0"/>
          <c:showCatName val="0"/>
          <c:showSerName val="0"/>
          <c:showPercent val="0"/>
          <c:showBubbleSize val="0"/>
        </c:dLbls>
        <c:gapWidth val="150"/>
        <c:axId val="227753984"/>
        <c:axId val="227755520"/>
      </c:barChart>
      <c:catAx>
        <c:axId val="227753984"/>
        <c:scaling>
          <c:orientation val="minMax"/>
        </c:scaling>
        <c:delete val="0"/>
        <c:axPos val="b"/>
        <c:majorTickMark val="out"/>
        <c:minorTickMark val="none"/>
        <c:tickLblPos val="nextTo"/>
        <c:txPr>
          <a:bodyPr/>
          <a:lstStyle/>
          <a:p>
            <a:pPr>
              <a:defRPr lang="sr-Latn-ME"/>
            </a:pPr>
            <a:endParaRPr lang="en-US"/>
          </a:p>
        </c:txPr>
        <c:crossAx val="227755520"/>
        <c:crosses val="autoZero"/>
        <c:auto val="1"/>
        <c:lblAlgn val="ctr"/>
        <c:lblOffset val="100"/>
        <c:noMultiLvlLbl val="0"/>
      </c:catAx>
      <c:valAx>
        <c:axId val="227755520"/>
        <c:scaling>
          <c:orientation val="minMax"/>
        </c:scaling>
        <c:delete val="0"/>
        <c:axPos val="l"/>
        <c:majorGridlines/>
        <c:numFmt formatCode="#,##0.00" sourceLinked="1"/>
        <c:majorTickMark val="out"/>
        <c:minorTickMark val="none"/>
        <c:tickLblPos val="nextTo"/>
        <c:txPr>
          <a:bodyPr/>
          <a:lstStyle/>
          <a:p>
            <a:pPr>
              <a:defRPr lang="sr-Latn-ME"/>
            </a:pPr>
            <a:endParaRPr lang="en-US"/>
          </a:p>
        </c:txPr>
        <c:crossAx val="22775398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203514023556973"/>
          <c:y val="3.3567708798304972E-2"/>
          <c:w val="0.8187313941129255"/>
          <c:h val="0.77823295897536549"/>
        </c:manualLayout>
      </c:layout>
      <c:barChart>
        <c:barDir val="col"/>
        <c:grouping val="stacked"/>
        <c:varyColors val="0"/>
        <c:ser>
          <c:idx val="0"/>
          <c:order val="0"/>
          <c:tx>
            <c:strRef>
              <c:f>Sheet1!$C$4</c:f>
              <c:strCache>
                <c:ptCount val="1"/>
                <c:pt idx="0">
                  <c:v>Domaći dug</c:v>
                </c:pt>
              </c:strCache>
            </c:strRef>
          </c:tx>
          <c:invertIfNegative val="0"/>
          <c:cat>
            <c:strRef>
              <c:f>Sheet1!$A$5:$A$27</c:f>
              <c:strCache>
                <c:ptCount val="23"/>
                <c:pt idx="0">
                  <c:v>Andrijevica</c:v>
                </c:pt>
                <c:pt idx="1">
                  <c:v>Bar</c:v>
                </c:pt>
                <c:pt idx="2">
                  <c:v>Berane</c:v>
                </c:pt>
                <c:pt idx="3">
                  <c:v>Bijelo Polje</c:v>
                </c:pt>
                <c:pt idx="4">
                  <c:v>Budva</c:v>
                </c:pt>
                <c:pt idx="5">
                  <c:v>Cetinje</c:v>
                </c:pt>
                <c:pt idx="6">
                  <c:v>Danilovgrad</c:v>
                </c:pt>
                <c:pt idx="7">
                  <c:v>Gusinje</c:v>
                </c:pt>
                <c:pt idx="8">
                  <c:v>Herceg Novi</c:v>
                </c:pt>
                <c:pt idx="9">
                  <c:v>Kolašin</c:v>
                </c:pt>
                <c:pt idx="10">
                  <c:v>Kotor</c:v>
                </c:pt>
                <c:pt idx="11">
                  <c:v>Mojkovac</c:v>
                </c:pt>
                <c:pt idx="12">
                  <c:v>Nikšić</c:v>
                </c:pt>
                <c:pt idx="13">
                  <c:v>Petnjica</c:v>
                </c:pt>
                <c:pt idx="14">
                  <c:v>Plav</c:v>
                </c:pt>
                <c:pt idx="15">
                  <c:v>Plužine</c:v>
                </c:pt>
                <c:pt idx="16">
                  <c:v>Pljevlja</c:v>
                </c:pt>
                <c:pt idx="17">
                  <c:v>Podgorica</c:v>
                </c:pt>
                <c:pt idx="18">
                  <c:v>Rožaje</c:v>
                </c:pt>
                <c:pt idx="19">
                  <c:v>Šavnik</c:v>
                </c:pt>
                <c:pt idx="20">
                  <c:v>Tivat</c:v>
                </c:pt>
                <c:pt idx="21">
                  <c:v>Ulcinj</c:v>
                </c:pt>
                <c:pt idx="22">
                  <c:v>Žabljak</c:v>
                </c:pt>
              </c:strCache>
            </c:strRef>
          </c:cat>
          <c:val>
            <c:numRef>
              <c:f>Sheet1!$C$5:$C$27</c:f>
              <c:numCache>
                <c:formatCode>_(* #,##0.00_);_(* \(#,##0.00\);_(* "-"??_);_(@_)</c:formatCode>
                <c:ptCount val="23"/>
                <c:pt idx="0">
                  <c:v>49999.86</c:v>
                </c:pt>
                <c:pt idx="1">
                  <c:v>85714</c:v>
                </c:pt>
                <c:pt idx="2">
                  <c:v>2772673.05</c:v>
                </c:pt>
                <c:pt idx="3">
                  <c:v>6857702.3100000005</c:v>
                </c:pt>
                <c:pt idx="4">
                  <c:v>7498292.4500000002</c:v>
                </c:pt>
                <c:pt idx="5">
                  <c:v>3972219</c:v>
                </c:pt>
                <c:pt idx="6">
                  <c:v>744577.95000000042</c:v>
                </c:pt>
                <c:pt idx="8">
                  <c:v>770112.47</c:v>
                </c:pt>
                <c:pt idx="9">
                  <c:v>3356999.73</c:v>
                </c:pt>
                <c:pt idx="10">
                  <c:v>412262</c:v>
                </c:pt>
                <c:pt idx="11">
                  <c:v>285775.71999999997</c:v>
                </c:pt>
                <c:pt idx="12">
                  <c:v>5876013.1599999992</c:v>
                </c:pt>
                <c:pt idx="14">
                  <c:v>893411.24</c:v>
                </c:pt>
                <c:pt idx="15">
                  <c:v>480785.9700000002</c:v>
                </c:pt>
                <c:pt idx="16">
                  <c:v>5810588.1299999999</c:v>
                </c:pt>
                <c:pt idx="17">
                  <c:v>594059</c:v>
                </c:pt>
                <c:pt idx="18">
                  <c:v>541162.02</c:v>
                </c:pt>
                <c:pt idx="19">
                  <c:v>236288.72</c:v>
                </c:pt>
                <c:pt idx="21">
                  <c:v>3551081.3899999997</c:v>
                </c:pt>
                <c:pt idx="22">
                  <c:v>186154.64</c:v>
                </c:pt>
              </c:numCache>
            </c:numRef>
          </c:val>
        </c:ser>
        <c:ser>
          <c:idx val="1"/>
          <c:order val="1"/>
          <c:tx>
            <c:strRef>
              <c:f>Sheet1!$D$4</c:f>
              <c:strCache>
                <c:ptCount val="1"/>
                <c:pt idx="0">
                  <c:v>Ino dug</c:v>
                </c:pt>
              </c:strCache>
            </c:strRef>
          </c:tx>
          <c:invertIfNegative val="0"/>
          <c:cat>
            <c:strRef>
              <c:f>Sheet1!$A$5:$A$27</c:f>
              <c:strCache>
                <c:ptCount val="23"/>
                <c:pt idx="0">
                  <c:v>Andrijevica</c:v>
                </c:pt>
                <c:pt idx="1">
                  <c:v>Bar</c:v>
                </c:pt>
                <c:pt idx="2">
                  <c:v>Berane</c:v>
                </c:pt>
                <c:pt idx="3">
                  <c:v>Bijelo Polje</c:v>
                </c:pt>
                <c:pt idx="4">
                  <c:v>Budva</c:v>
                </c:pt>
                <c:pt idx="5">
                  <c:v>Cetinje</c:v>
                </c:pt>
                <c:pt idx="6">
                  <c:v>Danilovgrad</c:v>
                </c:pt>
                <c:pt idx="7">
                  <c:v>Gusinje</c:v>
                </c:pt>
                <c:pt idx="8">
                  <c:v>Herceg Novi</c:v>
                </c:pt>
                <c:pt idx="9">
                  <c:v>Kolašin</c:v>
                </c:pt>
                <c:pt idx="10">
                  <c:v>Kotor</c:v>
                </c:pt>
                <c:pt idx="11">
                  <c:v>Mojkovac</c:v>
                </c:pt>
                <c:pt idx="12">
                  <c:v>Nikšić</c:v>
                </c:pt>
                <c:pt idx="13">
                  <c:v>Petnjica</c:v>
                </c:pt>
                <c:pt idx="14">
                  <c:v>Plav</c:v>
                </c:pt>
                <c:pt idx="15">
                  <c:v>Plužine</c:v>
                </c:pt>
                <c:pt idx="16">
                  <c:v>Pljevlja</c:v>
                </c:pt>
                <c:pt idx="17">
                  <c:v>Podgorica</c:v>
                </c:pt>
                <c:pt idx="18">
                  <c:v>Rožaje</c:v>
                </c:pt>
                <c:pt idx="19">
                  <c:v>Šavnik</c:v>
                </c:pt>
                <c:pt idx="20">
                  <c:v>Tivat</c:v>
                </c:pt>
                <c:pt idx="21">
                  <c:v>Ulcinj</c:v>
                </c:pt>
                <c:pt idx="22">
                  <c:v>Žabljak</c:v>
                </c:pt>
              </c:strCache>
            </c:strRef>
          </c:cat>
          <c:val>
            <c:numRef>
              <c:f>Sheet1!$D$5:$D$27</c:f>
              <c:numCache>
                <c:formatCode>_(* #,##0.00_);_(* \(#,##0.00\);_(* "-"??_);_(@_)</c:formatCode>
                <c:ptCount val="23"/>
                <c:pt idx="1">
                  <c:v>4033232.24</c:v>
                </c:pt>
                <c:pt idx="2">
                  <c:v>759834.63</c:v>
                </c:pt>
                <c:pt idx="3">
                  <c:v>757036.19</c:v>
                </c:pt>
                <c:pt idx="4">
                  <c:v>60442707.600000001</c:v>
                </c:pt>
                <c:pt idx="6">
                  <c:v>678117.14</c:v>
                </c:pt>
                <c:pt idx="8">
                  <c:v>7835194.4500000002</c:v>
                </c:pt>
                <c:pt idx="9">
                  <c:v>421348</c:v>
                </c:pt>
                <c:pt idx="10">
                  <c:v>3517392.62</c:v>
                </c:pt>
                <c:pt idx="12">
                  <c:v>12593642.27</c:v>
                </c:pt>
                <c:pt idx="16">
                  <c:v>1501588.27</c:v>
                </c:pt>
                <c:pt idx="17">
                  <c:v>25531843.379999999</c:v>
                </c:pt>
                <c:pt idx="18">
                  <c:v>1057292.99</c:v>
                </c:pt>
                <c:pt idx="20">
                  <c:v>4156032</c:v>
                </c:pt>
                <c:pt idx="21">
                  <c:v>694532.08</c:v>
                </c:pt>
              </c:numCache>
            </c:numRef>
          </c:val>
        </c:ser>
        <c:dLbls>
          <c:showLegendKey val="0"/>
          <c:showVal val="0"/>
          <c:showCatName val="0"/>
          <c:showSerName val="0"/>
          <c:showPercent val="0"/>
          <c:showBubbleSize val="0"/>
        </c:dLbls>
        <c:gapWidth val="150"/>
        <c:overlap val="100"/>
        <c:axId val="227768960"/>
        <c:axId val="227774848"/>
      </c:barChart>
      <c:catAx>
        <c:axId val="227768960"/>
        <c:scaling>
          <c:orientation val="minMax"/>
        </c:scaling>
        <c:delete val="0"/>
        <c:axPos val="b"/>
        <c:majorTickMark val="out"/>
        <c:minorTickMark val="none"/>
        <c:tickLblPos val="nextTo"/>
        <c:txPr>
          <a:bodyPr/>
          <a:lstStyle/>
          <a:p>
            <a:pPr>
              <a:defRPr lang="sr-Latn-ME"/>
            </a:pPr>
            <a:endParaRPr lang="en-US"/>
          </a:p>
        </c:txPr>
        <c:crossAx val="227774848"/>
        <c:crosses val="autoZero"/>
        <c:auto val="1"/>
        <c:lblAlgn val="ctr"/>
        <c:lblOffset val="100"/>
        <c:noMultiLvlLbl val="0"/>
      </c:catAx>
      <c:valAx>
        <c:axId val="227774848"/>
        <c:scaling>
          <c:orientation val="minMax"/>
        </c:scaling>
        <c:delete val="0"/>
        <c:axPos val="l"/>
        <c:majorGridlines/>
        <c:numFmt formatCode="_(* #,##0.00_);_(* \(#,##0.00\);_(* &quot;-&quot;??_);_(@_)" sourceLinked="1"/>
        <c:majorTickMark val="out"/>
        <c:minorTickMark val="none"/>
        <c:tickLblPos val="nextTo"/>
        <c:txPr>
          <a:bodyPr/>
          <a:lstStyle/>
          <a:p>
            <a:pPr>
              <a:defRPr lang="sr-Latn-ME"/>
            </a:pPr>
            <a:endParaRPr lang="en-US"/>
          </a:p>
        </c:txPr>
        <c:crossAx val="227768960"/>
        <c:crosses val="autoZero"/>
        <c:crossBetween val="between"/>
      </c:valAx>
    </c:plotArea>
    <c:legend>
      <c:legendPos val="r"/>
      <c:layout>
        <c:manualLayout>
          <c:xMode val="edge"/>
          <c:yMode val="edge"/>
          <c:x val="0.83649656189670241"/>
          <c:y val="0.32439016551502642"/>
          <c:w val="0.14366872735949329"/>
          <c:h val="0.21214157754090271"/>
        </c:manualLayout>
      </c:layout>
      <c:overlay val="0"/>
      <c:txPr>
        <a:bodyPr/>
        <a:lstStyle/>
        <a:p>
          <a:pPr>
            <a:defRPr lang="sr-Latn-ME"/>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3270</Words>
  <Characters>18642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Državni dug Crne Gore - 31</vt:lpstr>
    </vt:vector>
  </TitlesOfParts>
  <Company>Ministarstvo finansija</Company>
  <LinksUpToDate>false</LinksUpToDate>
  <CharactersWithSpaces>21869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Državni dug Crne Gore - 31</dc:title>
  <dc:creator>Nemanja Pavlicic</dc:creator>
  <cp:lastModifiedBy>Dragan Darmanovic</cp:lastModifiedBy>
  <cp:revision>2</cp:revision>
  <cp:lastPrinted>2014-04-25T12:57:00Z</cp:lastPrinted>
  <dcterms:created xsi:type="dcterms:W3CDTF">2015-04-27T14:48:00Z</dcterms:created>
  <dcterms:modified xsi:type="dcterms:W3CDTF">2015-04-27T14:48:00Z</dcterms:modified>
</cp:coreProperties>
</file>