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715429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  <w:lang w:val="hr-BA"/>
        </w:rPr>
      </w:pPr>
      <w:r w:rsidRPr="00715429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CRNA GORA</w:t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MINISTARSTVO FINANSIJA</w:t>
      </w:r>
    </w:p>
    <w:p w:rsidR="0082570B" w:rsidRPr="00715429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Direktorat</w:t>
      </w:r>
      <w:r w:rsidR="0082570B" w:rsidRPr="00715429">
        <w:rPr>
          <w:b/>
          <w:bCs/>
          <w:noProof/>
          <w:sz w:val="28"/>
          <w:szCs w:val="28"/>
          <w:lang w:val="hr-BA"/>
        </w:rPr>
        <w:t xml:space="preserve"> za ekonomsku politiku i razvoj</w:t>
      </w:r>
    </w:p>
    <w:p w:rsidR="0082570B" w:rsidRPr="00715429" w:rsidRDefault="0082570B" w:rsidP="00D61692">
      <w:pPr>
        <w:rPr>
          <w:rFonts w:cs="Calibri"/>
          <w:noProof/>
          <w:lang w:val="hr-BA"/>
        </w:rPr>
      </w:pPr>
    </w:p>
    <w:p w:rsidR="0082570B" w:rsidRPr="00715429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  <w:lang w:val="hr-BA"/>
        </w:rPr>
      </w:pPr>
      <w:r w:rsidRPr="00715429">
        <w:rPr>
          <w:rFonts w:cs="Calibri"/>
          <w:b/>
          <w:bCs/>
          <w:iCs/>
          <w:noProof/>
          <w:sz w:val="52"/>
          <w:szCs w:val="52"/>
          <w:lang w:val="hr-BA"/>
        </w:rPr>
        <w:t>MJESEČNI MAKROEKONOMSKI INDIKATORI</w:t>
      </w:r>
    </w:p>
    <w:p w:rsidR="0082570B" w:rsidRPr="00715429" w:rsidRDefault="00736A98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  <w:lang w:val="hr-BA"/>
        </w:rPr>
      </w:pPr>
      <w:r>
        <w:rPr>
          <w:rFonts w:cs="Calibri"/>
          <w:b/>
          <w:bCs/>
          <w:noProof/>
          <w:sz w:val="32"/>
          <w:szCs w:val="32"/>
          <w:lang w:val="hr-BA"/>
        </w:rPr>
        <w:t>Jul</w:t>
      </w:r>
      <w:r w:rsidR="007D0106" w:rsidRPr="00715429">
        <w:rPr>
          <w:rFonts w:cs="Calibri"/>
          <w:b/>
          <w:bCs/>
          <w:noProof/>
          <w:sz w:val="32"/>
          <w:szCs w:val="32"/>
          <w:lang w:val="hr-BA"/>
        </w:rPr>
        <w:t xml:space="preserve"> </w:t>
      </w:r>
      <w:r w:rsidR="006D2B20" w:rsidRPr="00715429">
        <w:rPr>
          <w:rFonts w:cs="Calibri"/>
          <w:b/>
          <w:bCs/>
          <w:noProof/>
          <w:sz w:val="32"/>
          <w:szCs w:val="32"/>
          <w:lang w:val="hr-BA"/>
        </w:rPr>
        <w:t>2014</w:t>
      </w:r>
      <w:r w:rsidR="0082570B" w:rsidRPr="00715429">
        <w:rPr>
          <w:rFonts w:cs="Calibri"/>
          <w:b/>
          <w:bCs/>
          <w:noProof/>
          <w:sz w:val="32"/>
          <w:szCs w:val="32"/>
          <w:lang w:val="hr-BA"/>
        </w:rPr>
        <w:t>.</w:t>
      </w: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F17538" w:rsidP="00D20CDA">
      <w:pPr>
        <w:spacing w:after="0" w:line="240" w:lineRule="auto"/>
        <w:rPr>
          <w:rFonts w:cs="Calibri"/>
          <w:bCs/>
          <w:noProof/>
          <w:sz w:val="28"/>
          <w:szCs w:val="28"/>
          <w:lang w:val="hr-BA"/>
        </w:rPr>
      </w:pPr>
      <w:r w:rsidRPr="00F17538">
        <w:rPr>
          <w:noProof/>
          <w:lang w:val="hr-B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1pt;margin-top:363pt;width:234.35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548dd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F609A" w:rsidRDefault="00AF609A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AF609A" w:rsidRDefault="00AF609A" w:rsidP="00E2362B">
                  <w:pPr>
                    <w:pStyle w:val="NoSpacing"/>
                    <w:ind w:left="851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AF609A" w:rsidRPr="00821F0D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821F0D">
                    <w:rPr>
                      <w:b/>
                      <w:noProof/>
                      <w:sz w:val="24"/>
                      <w:szCs w:val="20"/>
                      <w:lang w:val="hr-BA"/>
                    </w:rPr>
                    <w:t>Stope na suvereno zaduživanje u svijetu su trenutno na vrlo niskom nivou</w:t>
                  </w:r>
                </w:p>
                <w:p w:rsidR="00AF609A" w:rsidRPr="00821F0D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821F0D">
                    <w:rPr>
                      <w:b/>
                      <w:noProof/>
                      <w:sz w:val="24"/>
                      <w:szCs w:val="20"/>
                      <w:lang w:val="hr-BA"/>
                    </w:rPr>
                    <w:t>Svi sektori industrijske proizvodnje u junu u minusu</w:t>
                  </w:r>
                </w:p>
                <w:p w:rsidR="00AF609A" w:rsidRPr="006E5C4C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821F0D">
                    <w:rPr>
                      <w:rFonts w:asciiTheme="minorHAnsi" w:hAnsiTheme="minorHAnsi"/>
                      <w:b/>
                      <w:sz w:val="24"/>
                      <w:szCs w:val="20"/>
                    </w:rPr>
                    <w:t>Potrošačke cijene u junu bilježe rast i na mjesečnom i na godišnjem nivou</w:t>
                  </w:r>
                </w:p>
                <w:p w:rsidR="00AF609A" w:rsidRPr="006E5C4C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sz w:val="24"/>
                      <w:szCs w:val="18"/>
                      <w:lang w:val="sr-Latn-CS"/>
                    </w:rPr>
                  </w:pPr>
                  <w:r w:rsidRPr="006E5C4C">
                    <w:rPr>
                      <w:b/>
                      <w:sz w:val="24"/>
                      <w:szCs w:val="18"/>
                      <w:lang w:val="sr-Latn-CS"/>
                    </w:rPr>
                    <w:t xml:space="preserve">Kretanja na tržištu rada pokazuju sezonsko poboljšanje </w:t>
                  </w:r>
                </w:p>
                <w:p w:rsidR="00AF609A" w:rsidRPr="006E5C4C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bCs/>
                      <w:color w:val="000000"/>
                      <w:sz w:val="44"/>
                      <w:szCs w:val="40"/>
                      <w:lang w:val="pl-PL"/>
                    </w:rPr>
                  </w:pPr>
                  <w:r w:rsidRPr="006E5C4C">
                    <w:rPr>
                      <w:b/>
                      <w:sz w:val="24"/>
                      <w:szCs w:val="18"/>
                      <w:lang w:val="sr-Latn-CS"/>
                    </w:rPr>
                    <w:t>Naplata izvornih prihoda budžeta Crne Gore u junu 2014. iznosila je 109,85 mil. € i veća za 9,8 % g-n-g i u odnosu na plan za 3,8 %.</w:t>
                  </w:r>
                </w:p>
                <w:p w:rsidR="00AF609A" w:rsidRPr="00821F0D" w:rsidRDefault="00AF609A" w:rsidP="008317C7">
                  <w:pPr>
                    <w:pStyle w:val="NoSpacing"/>
                    <w:numPr>
                      <w:ilvl w:val="0"/>
                      <w:numId w:val="27"/>
                    </w:numPr>
                    <w:ind w:left="993" w:hanging="709"/>
                    <w:rPr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821F0D">
                    <w:rPr>
                      <w:rFonts w:asciiTheme="minorHAnsi" w:hAnsiTheme="minorHAnsi"/>
                      <w:b/>
                      <w:sz w:val="24"/>
                      <w:szCs w:val="20"/>
                    </w:rPr>
                    <w:t>Kreditna aktivnost i dalje pada</w:t>
                  </w:r>
                </w:p>
                <w:p w:rsidR="00AF609A" w:rsidRPr="00E2362B" w:rsidRDefault="00AF609A" w:rsidP="00635670">
                  <w:pPr>
                    <w:pStyle w:val="NoSpacing"/>
                    <w:ind w:left="1571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715429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  <w:lang w:val="hr-BA"/>
        </w:rPr>
      </w:pPr>
    </w:p>
    <w:p w:rsidR="0082570B" w:rsidRPr="00715429" w:rsidRDefault="0085138D" w:rsidP="00D61692">
      <w:pPr>
        <w:pStyle w:val="NoSpacing"/>
        <w:rPr>
          <w:bCs/>
          <w:iCs/>
          <w:noProof/>
          <w:sz w:val="26"/>
          <w:szCs w:val="26"/>
          <w:lang w:val="hr-BA"/>
        </w:rPr>
      </w:pPr>
      <w:r>
        <w:rPr>
          <w:bCs/>
          <w:iCs/>
          <w:noProof/>
          <w:sz w:val="26"/>
          <w:szCs w:val="26"/>
          <w:lang w:val="hr-BA"/>
        </w:rPr>
        <w:t xml:space="preserve">          </w:t>
      </w:r>
    </w:p>
    <w:p w:rsidR="0082570B" w:rsidRPr="00715429" w:rsidRDefault="0085138D" w:rsidP="00694445">
      <w:pPr>
        <w:pStyle w:val="NoSpacing"/>
        <w:rPr>
          <w:bCs/>
          <w:noProof/>
          <w:sz w:val="28"/>
          <w:szCs w:val="20"/>
          <w:lang w:val="hr-BA"/>
        </w:rPr>
      </w:pPr>
      <w:r>
        <w:rPr>
          <w:bCs/>
          <w:noProof/>
          <w:sz w:val="28"/>
          <w:szCs w:val="20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  <w:r w:rsidRPr="00715429">
        <w:rPr>
          <w:b/>
          <w:bCs/>
          <w:noProof/>
          <w:color w:val="000000"/>
          <w:sz w:val="16"/>
          <w:szCs w:val="16"/>
          <w:lang w:val="hr-BA"/>
        </w:rPr>
        <w:t xml:space="preserve">Autori priloga: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Radovan Živković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 Radojka Martinović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, Olja Tomanović, </w:t>
      </w:r>
      <w:r w:rsidR="00074D6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Stanko Jeknić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EB54F9">
        <w:rPr>
          <w:bCs/>
          <w:noProof/>
          <w:color w:val="000000"/>
          <w:sz w:val="16"/>
          <w:szCs w:val="16"/>
          <w:lang w:val="hr-BA"/>
        </w:rPr>
        <w:t>Vesna Obradović</w:t>
      </w:r>
      <w:r w:rsidR="004B5F63" w:rsidRPr="00715429">
        <w:rPr>
          <w:bCs/>
          <w:noProof/>
          <w:color w:val="000000"/>
          <w:sz w:val="16"/>
          <w:szCs w:val="16"/>
          <w:lang w:val="hr-BA"/>
        </w:rPr>
        <w:t>, Marija Novosel</w:t>
      </w:r>
      <w:r w:rsidR="00A423C3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 xml:space="preserve"> Zdenka</w:t>
      </w:r>
      <w:r w:rsidR="00F03604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Dabović</w:t>
      </w:r>
      <w:r w:rsidR="00E2362B">
        <w:rPr>
          <w:bCs/>
          <w:noProof/>
          <w:color w:val="000000"/>
          <w:sz w:val="16"/>
          <w:szCs w:val="16"/>
          <w:lang w:val="hr-BA"/>
        </w:rPr>
        <w:t>, Milanka Jovanović</w:t>
      </w: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noProof/>
          <w:lang w:val="hr-BA"/>
        </w:rPr>
      </w:pPr>
    </w:p>
    <w:tbl>
      <w:tblPr>
        <w:tblpPr w:leftFromText="180" w:rightFromText="180" w:vertAnchor="text" w:tblpX="108" w:tblpY="1"/>
        <w:tblOverlap w:val="never"/>
        <w:tblW w:w="1071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6946"/>
        <w:gridCol w:w="3652"/>
        <w:gridCol w:w="112"/>
      </w:tblGrid>
      <w:tr w:rsidR="0082570B" w:rsidRPr="00715429" w:rsidTr="00431253">
        <w:trPr>
          <w:gridAfter w:val="1"/>
          <w:wAfter w:w="112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5065E6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t>Međunarodno okruženje</w:t>
            </w:r>
          </w:p>
        </w:tc>
        <w:tc>
          <w:tcPr>
            <w:tcW w:w="3652" w:type="dxa"/>
            <w:vMerge w:val="restart"/>
            <w:tcBorders>
              <w:bottom w:val="nil"/>
            </w:tcBorders>
            <w:vAlign w:val="center"/>
          </w:tcPr>
          <w:p w:rsidR="0082570B" w:rsidRPr="00715429" w:rsidRDefault="007942AB" w:rsidP="001D21BD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  <w:r w:rsidRPr="007942AB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67339" cy="2162755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715429" w:rsidTr="008317C7">
        <w:trPr>
          <w:gridAfter w:val="1"/>
          <w:wAfter w:w="112" w:type="dxa"/>
          <w:trHeight w:hRule="exact" w:val="3506"/>
        </w:trPr>
        <w:tc>
          <w:tcPr>
            <w:tcW w:w="6946" w:type="dxa"/>
            <w:tcBorders>
              <w:top w:val="single" w:sz="4" w:space="0" w:color="auto"/>
            </w:tcBorders>
          </w:tcPr>
          <w:p w:rsidR="00754D46" w:rsidRPr="0051025D" w:rsidRDefault="007942AB" w:rsidP="008317C7">
            <w:pPr>
              <w:spacing w:line="240" w:lineRule="auto"/>
              <w:jc w:val="both"/>
              <w:rPr>
                <w:noProof/>
                <w:sz w:val="20"/>
                <w:szCs w:val="20"/>
              </w:rPr>
            </w:pPr>
            <w:r w:rsidRPr="007942AB">
              <w:rPr>
                <w:b/>
                <w:noProof/>
                <w:sz w:val="20"/>
                <w:szCs w:val="20"/>
                <w:lang w:val="hr-BA"/>
              </w:rPr>
              <w:t xml:space="preserve">Stope na suvereno zaduživanje su trenutno na </w:t>
            </w:r>
            <w:r w:rsidR="00635670">
              <w:rPr>
                <w:b/>
                <w:noProof/>
                <w:sz w:val="20"/>
                <w:szCs w:val="20"/>
                <w:lang w:val="hr-BA"/>
              </w:rPr>
              <w:t>vrlo niskom nivou,</w:t>
            </w:r>
            <w:r>
              <w:rPr>
                <w:noProof/>
                <w:sz w:val="20"/>
                <w:szCs w:val="20"/>
                <w:lang w:val="hr-BA"/>
              </w:rPr>
              <w:t xml:space="preserve"> pa su tako stope na suvereno zaduživanje Španije i Velike Britanije i USD na skoro istom nivou (oko 2,5% na 10-to godišnje obveznice). Stope na suvereno zaduživanje Njemačke su na nivou od 1,1% na 10-to godišnje obveznice. Ovako niske stope na suvereno zaduživanje prenose se i na finansiranje banaka. Tako je zaduživanje banaka periferije u ovoj godini dostiglo skoro 70 mlrd. USD što je skoro duplo više g-n-g.  Veza između banaka i suverenih država je previše jaka i svaki problem u funkcionisanju </w:t>
            </w:r>
            <w:r w:rsidR="008317C7">
              <w:rPr>
                <w:noProof/>
                <w:sz w:val="20"/>
                <w:szCs w:val="20"/>
                <w:lang w:val="hr-BA"/>
              </w:rPr>
              <w:t>bankarskog sistema</w:t>
            </w:r>
            <w:r>
              <w:rPr>
                <w:noProof/>
                <w:sz w:val="20"/>
                <w:szCs w:val="20"/>
                <w:lang w:val="hr-BA"/>
              </w:rPr>
              <w:t xml:space="preserve"> prouzrokuje rast stopa na suvereno zaduživanje</w:t>
            </w:r>
            <w:r w:rsidR="008317C7">
              <w:rPr>
                <w:noProof/>
                <w:sz w:val="20"/>
                <w:szCs w:val="20"/>
                <w:lang w:val="hr-BA"/>
              </w:rPr>
              <w:t xml:space="preserve"> </w:t>
            </w:r>
            <w:r>
              <w:rPr>
                <w:noProof/>
                <w:sz w:val="20"/>
                <w:szCs w:val="20"/>
                <w:lang w:val="hr-BA"/>
              </w:rPr>
              <w:t xml:space="preserve">i obratno. </w:t>
            </w:r>
            <w:r w:rsidR="002327DE">
              <w:rPr>
                <w:noProof/>
                <w:sz w:val="20"/>
                <w:szCs w:val="20"/>
                <w:lang w:val="hr-BA"/>
              </w:rPr>
              <w:t xml:space="preserve">Evropska tržišta su se brzo oporavila posle šoka izazvanog problemima u finansiranju portugalske banke </w:t>
            </w:r>
            <w:hyperlink r:id="rId11" w:history="1">
              <w:r w:rsidR="002327DE" w:rsidRPr="002327DE">
                <w:rPr>
                  <w:noProof/>
                  <w:sz w:val="20"/>
                  <w:szCs w:val="20"/>
                  <w:lang w:val="hr-BA"/>
                </w:rPr>
                <w:t>Banco Espírito Santo</w:t>
              </w:r>
            </w:hyperlink>
            <w:r w:rsidR="00D25DA3">
              <w:rPr>
                <w:noProof/>
                <w:sz w:val="20"/>
                <w:szCs w:val="20"/>
                <w:lang w:val="hr-BA"/>
              </w:rPr>
              <w:t>, i</w:t>
            </w:r>
            <w:r w:rsidR="002327DE">
              <w:rPr>
                <w:noProof/>
                <w:sz w:val="20"/>
                <w:szCs w:val="20"/>
                <w:lang w:val="hr-BA"/>
              </w:rPr>
              <w:t>ako je krajem jula zaustavljena trgovina njenima akcijama jer su se one strmoglavile na samo 12 cen</w:t>
            </w:r>
            <w:r w:rsidR="005C77EE">
              <w:rPr>
                <w:noProof/>
                <w:sz w:val="20"/>
                <w:szCs w:val="20"/>
                <w:lang w:val="hr-BA"/>
              </w:rPr>
              <w:t>t</w:t>
            </w:r>
            <w:r w:rsidR="002327DE">
              <w:rPr>
                <w:noProof/>
                <w:sz w:val="20"/>
                <w:szCs w:val="20"/>
                <w:lang w:val="hr-BA"/>
              </w:rPr>
              <w:t>i s 1 eura na početku godine. Ova epizoda demonstrira nervozu i o</w:t>
            </w:r>
            <w:r w:rsidR="005C77EE">
              <w:rPr>
                <w:noProof/>
                <w:sz w:val="20"/>
                <w:szCs w:val="20"/>
                <w:lang w:val="hr-BA"/>
              </w:rPr>
              <w:t xml:space="preserve">prez investitora širom svijeta </w:t>
            </w:r>
            <w:r w:rsidR="002327DE">
              <w:rPr>
                <w:noProof/>
                <w:sz w:val="20"/>
                <w:szCs w:val="20"/>
                <w:lang w:val="hr-BA"/>
              </w:rPr>
              <w:t>na dešavanja u Eurozoni</w:t>
            </w:r>
            <w:r w:rsidR="00635670">
              <w:rPr>
                <w:noProof/>
                <w:sz w:val="20"/>
                <w:szCs w:val="20"/>
                <w:lang w:val="hr-BA"/>
              </w:rPr>
              <w:t xml:space="preserve"> i nevjericu u stabilnost oporavka</w:t>
            </w:r>
            <w:r w:rsidR="008317C7">
              <w:rPr>
                <w:noProof/>
                <w:sz w:val="20"/>
                <w:szCs w:val="20"/>
                <w:lang w:val="hr-BA"/>
              </w:rPr>
              <w:t xml:space="preserve"> eko</w:t>
            </w:r>
            <w:r w:rsidR="00707CA4">
              <w:rPr>
                <w:noProof/>
                <w:sz w:val="20"/>
                <w:szCs w:val="20"/>
                <w:lang w:val="hr-BA"/>
              </w:rPr>
              <w:t>nomske aktivnosti, dodatno naru</w:t>
            </w:r>
            <w:r w:rsidR="00707CA4">
              <w:rPr>
                <w:noProof/>
                <w:sz w:val="20"/>
                <w:szCs w:val="20"/>
              </w:rPr>
              <w:t>š</w:t>
            </w:r>
            <w:r w:rsidR="008317C7">
              <w:rPr>
                <w:noProof/>
                <w:sz w:val="20"/>
                <w:szCs w:val="20"/>
                <w:lang w:val="hr-BA"/>
              </w:rPr>
              <w:t xml:space="preserve">ene </w:t>
            </w:r>
            <w:r w:rsidR="0051025D">
              <w:rPr>
                <w:noProof/>
                <w:sz w:val="20"/>
                <w:szCs w:val="20"/>
                <w:lang w:val="hr-BA"/>
              </w:rPr>
              <w:t>dešavanjima u Ukrajini.</w:t>
            </w:r>
          </w:p>
        </w:tc>
        <w:tc>
          <w:tcPr>
            <w:tcW w:w="3652" w:type="dxa"/>
            <w:vMerge/>
            <w:tcBorders>
              <w:top w:val="nil"/>
            </w:tcBorders>
            <w:vAlign w:val="center"/>
          </w:tcPr>
          <w:p w:rsidR="0082570B" w:rsidRPr="00715429" w:rsidRDefault="0082570B" w:rsidP="001D21BD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</w:p>
        </w:tc>
      </w:tr>
      <w:tr w:rsidR="0082570B" w:rsidRPr="00715429" w:rsidTr="008123BC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8A31C0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  <w:lang w:val="hr-BA"/>
              </w:rPr>
            </w:pPr>
            <w:r w:rsidRPr="00715429">
              <w:rPr>
                <w:rStyle w:val="CaptionChar"/>
                <w:noProof/>
                <w:lang w:val="hr-BA"/>
              </w:rPr>
              <w:t>Realni sektor</w:t>
            </w:r>
          </w:p>
        </w:tc>
        <w:tc>
          <w:tcPr>
            <w:tcW w:w="3652" w:type="dxa"/>
            <w:vMerge w:val="restart"/>
            <w:vAlign w:val="center"/>
          </w:tcPr>
          <w:p w:rsidR="0082570B" w:rsidRPr="00715429" w:rsidRDefault="0091048F" w:rsidP="008123BC">
            <w:pPr>
              <w:spacing w:after="0" w:line="240" w:lineRule="auto"/>
              <w:ind w:left="-250"/>
              <w:jc w:val="center"/>
              <w:rPr>
                <w:noProof/>
                <w:lang w:val="hr-BA"/>
              </w:rPr>
            </w:pPr>
            <w:r w:rsidRPr="0091048F">
              <w:rPr>
                <w:noProof/>
              </w:rPr>
              <w:drawing>
                <wp:inline distT="0" distB="0" distL="0" distR="0">
                  <wp:extent cx="1908313" cy="2083242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715429" w:rsidTr="00234D14">
        <w:trPr>
          <w:gridAfter w:val="1"/>
          <w:wAfter w:w="112" w:type="dxa"/>
          <w:trHeight w:hRule="exact" w:val="3720"/>
        </w:trPr>
        <w:tc>
          <w:tcPr>
            <w:tcW w:w="6946" w:type="dxa"/>
            <w:tcBorders>
              <w:top w:val="single" w:sz="4" w:space="0" w:color="auto"/>
            </w:tcBorders>
          </w:tcPr>
          <w:p w:rsidR="00234D14" w:rsidRPr="00590315" w:rsidRDefault="00234D14" w:rsidP="00234D14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 ukupne industrijske proizvodnje u junu 2014. dominantno je opredijeljen padom proizvodnje električne energije.</w:t>
            </w:r>
            <w:r>
              <w:rPr>
                <w:sz w:val="20"/>
                <w:szCs w:val="20"/>
              </w:rPr>
              <w:t xml:space="preserve"> Indust</w:t>
            </w:r>
            <w:r w:rsidR="008E34B6">
              <w:rPr>
                <w:sz w:val="20"/>
                <w:szCs w:val="20"/>
              </w:rPr>
              <w:t>rijska proizvodnja u junu 2014.g-n-g</w:t>
            </w:r>
            <w:r>
              <w:rPr>
                <w:sz w:val="20"/>
                <w:szCs w:val="20"/>
              </w:rPr>
              <w:t xml:space="preserve"> bilježi pad od 26,4%, pri čemu su pad ostvarili svi sektori: „vađenje rude i kamena“ 29,8%, „prerađivačka industrija“ 5,0% i „snabdijevanje el.energijom, gasom i parom“  56,5%. Pad u sektoru „vađenje rude i kamena“ je opredijeljen padom u oblasti vađenja uglja (53,2%), dok je pad u sektoru „prerađivačka industrija“, prvenstveno rezultat pada proizvodnje osnovnih metala (23,2%), pića (9,2%), i prehrambenih proizvoda (8,0%). Proizvodnja u sektoru „snabdijevanje el.energijom, gasom i parom bilježi k</w:t>
            </w:r>
            <w:r w:rsidR="008E34B6">
              <w:rPr>
                <w:sz w:val="20"/>
                <w:szCs w:val="20"/>
              </w:rPr>
              <w:t>ontinuirani pad koji je u junu g-n-g</w:t>
            </w:r>
            <w:r>
              <w:rPr>
                <w:sz w:val="20"/>
                <w:szCs w:val="20"/>
              </w:rPr>
              <w:t xml:space="preserve"> iznosio 56,5%, dok je pad za 6 mjeseci iznosio 52,3%, što je posljedica visokog pada proizvodnje hidroelektrana (66,1%), dok je TE Pljevlja u ovom periodu zabilježila rast od 13,0%. Neuobičajeno </w:t>
            </w:r>
            <w:r w:rsidRPr="0011073F">
              <w:rPr>
                <w:sz w:val="20"/>
                <w:szCs w:val="20"/>
              </w:rPr>
              <w:t>lo</w:t>
            </w:r>
            <w:r w:rsidRPr="0011073F">
              <w:rPr>
                <w:rFonts w:cs="Cambria"/>
                <w:bCs/>
                <w:sz w:val="20"/>
                <w:szCs w:val="20"/>
              </w:rPr>
              <w:t>š</w:t>
            </w:r>
            <w:r w:rsidRPr="0011073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vremenski uslovi uticali su na pad dolazaka (0,8%) i noć</w:t>
            </w:r>
            <w:r w:rsidR="00080DB7">
              <w:rPr>
                <w:sz w:val="20"/>
                <w:szCs w:val="20"/>
              </w:rPr>
              <w:t>e</w:t>
            </w:r>
            <w:r w:rsidR="008E34B6">
              <w:rPr>
                <w:sz w:val="20"/>
                <w:szCs w:val="20"/>
              </w:rPr>
              <w:t xml:space="preserve">nja (1,3%) turista u junu 2014. </w:t>
            </w:r>
            <w:r>
              <w:rPr>
                <w:sz w:val="20"/>
                <w:szCs w:val="20"/>
              </w:rPr>
              <w:t>g-n-g. Promet u trgovini na m</w:t>
            </w:r>
            <w:r w:rsidR="00080DB7">
              <w:rPr>
                <w:sz w:val="20"/>
                <w:szCs w:val="20"/>
              </w:rPr>
              <w:t>a</w:t>
            </w:r>
            <w:r w:rsidR="008E34B6">
              <w:rPr>
                <w:sz w:val="20"/>
                <w:szCs w:val="20"/>
              </w:rPr>
              <w:t xml:space="preserve">lo (tekuće cijene) u junu 2014. </w:t>
            </w:r>
            <w:r>
              <w:rPr>
                <w:sz w:val="20"/>
                <w:szCs w:val="20"/>
              </w:rPr>
              <w:t>g-n-g bilježi rast od 3,9%, d</w:t>
            </w:r>
            <w:r w:rsidR="00080DB7">
              <w:rPr>
                <w:sz w:val="20"/>
                <w:szCs w:val="20"/>
              </w:rPr>
              <w:t>o</w:t>
            </w:r>
            <w:r w:rsidR="008E34B6">
              <w:rPr>
                <w:sz w:val="20"/>
                <w:szCs w:val="20"/>
              </w:rPr>
              <w:t>k je rast u periodu januar-jun g-n-g</w:t>
            </w:r>
            <w:r>
              <w:rPr>
                <w:sz w:val="20"/>
                <w:szCs w:val="20"/>
              </w:rPr>
              <w:t xml:space="preserve"> iznosio 2,6%. </w:t>
            </w:r>
          </w:p>
          <w:p w:rsidR="00B355D6" w:rsidRPr="00715429" w:rsidRDefault="00B355D6" w:rsidP="0083011C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vAlign w:val="center"/>
          </w:tcPr>
          <w:p w:rsidR="007D0106" w:rsidRPr="00715429" w:rsidRDefault="007D0106" w:rsidP="001D21BD">
            <w:pPr>
              <w:spacing w:after="119" w:line="240" w:lineRule="auto"/>
              <w:jc w:val="center"/>
              <w:rPr>
                <w:noProof/>
                <w:lang w:val="hr-BA"/>
              </w:rPr>
            </w:pPr>
          </w:p>
        </w:tc>
      </w:tr>
      <w:tr w:rsidR="007D0106" w:rsidRPr="00715429" w:rsidTr="00431253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7D0106" w:rsidRPr="00715429" w:rsidRDefault="008A31C0" w:rsidP="000F6059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Cijene</w:t>
            </w:r>
          </w:p>
        </w:tc>
        <w:tc>
          <w:tcPr>
            <w:tcW w:w="3652" w:type="dxa"/>
            <w:vMerge w:val="restart"/>
            <w:vAlign w:val="center"/>
          </w:tcPr>
          <w:p w:rsidR="007D0106" w:rsidRPr="00715429" w:rsidRDefault="000F6059" w:rsidP="000F6059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  <w:lang w:val="hr-BA"/>
              </w:rPr>
            </w:pPr>
            <w:r w:rsidRPr="000F605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088000" cy="18720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D0106" w:rsidRPr="00715429" w:rsidTr="008317C7">
        <w:trPr>
          <w:gridAfter w:val="1"/>
          <w:wAfter w:w="112" w:type="dxa"/>
          <w:trHeight w:hRule="exact" w:val="3069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F6059" w:rsidRPr="00234D14" w:rsidRDefault="000F6059" w:rsidP="000F605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234D14">
              <w:rPr>
                <w:rFonts w:asciiTheme="minorHAnsi" w:hAnsiTheme="minorHAnsi"/>
                <w:b/>
                <w:sz w:val="20"/>
                <w:szCs w:val="20"/>
              </w:rPr>
              <w:t xml:space="preserve">Potrošačke cijene u junu bilježe rast i na mjesečnom i na godišnjem nivou.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Inflacija (HICP) u junu 2014. bilježi rast od 0,8% u odnosu na prethodni mjesec, dok je u odnosu na isti mjesec prošle godine, zabilježen rast od 0,2%.</w:t>
            </w:r>
            <w:r w:rsidRPr="00234D1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Najviš</w:t>
            </w:r>
            <w:r w:rsidR="001A18E0">
              <w:rPr>
                <w:rFonts w:asciiTheme="minorHAnsi" w:hAnsiTheme="minorHAnsi"/>
                <w:sz w:val="20"/>
                <w:szCs w:val="20"/>
              </w:rPr>
              <w:t>e pozitivne stope rasta u junu g-n-g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 xml:space="preserve"> zabilježene su u grupama „alkoholna pića i duvan“ (6,2%), „odjeća i obuća“ (2,0%) i „prevoz“ (1,7%), dok su najveće negativne stope zabilježene u grupama „rekreacija i kultura“ (3,1%), „komunikacije“ (3,0%) i „hrana i bezalkoholna pića“ (1,6%). Najveći </w:t>
            </w:r>
            <w:r w:rsidR="0065210C">
              <w:rPr>
                <w:rFonts w:asciiTheme="minorHAnsi" w:hAnsiTheme="minorHAnsi"/>
                <w:sz w:val="20"/>
                <w:szCs w:val="20"/>
              </w:rPr>
              <w:t xml:space="preserve">mjesečni rast </w:t>
            </w:r>
            <w:r w:rsidR="001A18E0">
              <w:rPr>
                <w:rFonts w:asciiTheme="minorHAnsi" w:hAnsiTheme="minorHAnsi"/>
                <w:sz w:val="20"/>
                <w:szCs w:val="20"/>
              </w:rPr>
              <w:t>m-n-m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 xml:space="preserve"> bilježe cijene hrane (1,0%), alkoholnih pića (1,5%) i usluga smještaja (8,3%). Najznačajniji uticaj u procentn</w:t>
            </w:r>
            <w:r w:rsidR="001A18E0">
              <w:rPr>
                <w:rFonts w:asciiTheme="minorHAnsi" w:hAnsiTheme="minorHAnsi"/>
                <w:sz w:val="20"/>
                <w:szCs w:val="20"/>
              </w:rPr>
              <w:t>im poenima na inflaciju u junu g-n-g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, imale su grupe „hrana i bezalkoholna pića“ (-0,80</w:t>
            </w:r>
            <w:r w:rsidR="0043265E" w:rsidRP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p.p), „alkoholna pića i duvan“ (0,56</w:t>
            </w:r>
            <w:r w:rsidR="0043265E" w:rsidRP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p.p), „prevoz“ (0,33</w:t>
            </w:r>
            <w:r w:rsidR="0043265E" w:rsidRP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p.p), i „hoteli i restorani“ (0,33</w:t>
            </w:r>
            <w:r w:rsidR="0043265E" w:rsidRP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p.p), dok su najveći uticaj na mjesečnu in</w:t>
            </w:r>
            <w:r w:rsidR="00D45766">
              <w:rPr>
                <w:rFonts w:asciiTheme="minorHAnsi" w:hAnsiTheme="minorHAnsi"/>
                <w:sz w:val="20"/>
                <w:szCs w:val="20"/>
              </w:rPr>
              <w:t>f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laciju imale usluge smještaja (0,41</w:t>
            </w:r>
            <w:r w:rsidR="001A18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p.p) i cijene hleba i žitarica (0,34</w:t>
            </w:r>
            <w:r w:rsidR="0043265E" w:rsidRP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34D14">
              <w:rPr>
                <w:rFonts w:asciiTheme="minorHAnsi" w:hAnsiTheme="minorHAnsi"/>
                <w:sz w:val="20"/>
                <w:szCs w:val="20"/>
              </w:rPr>
              <w:t>p.p</w:t>
            </w:r>
            <w:r w:rsidR="00234D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567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F6059" w:rsidRPr="006A276D" w:rsidRDefault="000F6059" w:rsidP="000F605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C51BF" w:rsidRDefault="00CC51BF" w:rsidP="000F6059">
            <w:pPr>
              <w:spacing w:line="240" w:lineRule="auto"/>
            </w:pPr>
          </w:p>
          <w:p w:rsidR="00E0598B" w:rsidRPr="00CF4446" w:rsidRDefault="00E0598B" w:rsidP="000F605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24730" w:rsidRPr="00715429" w:rsidRDefault="00124730" w:rsidP="000F6059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  <w:lang w:val="hr-BA"/>
              </w:rPr>
            </w:pPr>
          </w:p>
          <w:p w:rsidR="00B355D6" w:rsidRPr="00715429" w:rsidRDefault="00B355D6" w:rsidP="000F6059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715429" w:rsidRDefault="007D0106" w:rsidP="000F6059">
            <w:pPr>
              <w:pStyle w:val="NoSpacing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</w:tr>
      <w:tr w:rsidR="00422784" w:rsidRPr="00715429" w:rsidTr="0043265E">
        <w:trPr>
          <w:gridAfter w:val="1"/>
          <w:wAfter w:w="112" w:type="dxa"/>
          <w:trHeight w:hRule="exact" w:val="376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A3560C" w:rsidRPr="00A3560C" w:rsidRDefault="002A1639" w:rsidP="00A3560C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0"/>
                <w:lang w:val="hr-BA"/>
              </w:rPr>
            </w:pPr>
            <w:r w:rsidRPr="00A3560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Zaposlenost i zarad</w:t>
            </w:r>
            <w:r w:rsidR="001141E2" w:rsidRPr="00A3560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e</w:t>
            </w:r>
          </w:p>
          <w:p w:rsidR="00D04983" w:rsidRPr="0043265E" w:rsidRDefault="00D04983" w:rsidP="0043265E">
            <w:pPr>
              <w:pBdr>
                <w:top w:val="single" w:sz="4" w:space="1" w:color="auto"/>
              </w:pBdr>
              <w:jc w:val="both"/>
              <w:rPr>
                <w:sz w:val="20"/>
                <w:szCs w:val="18"/>
                <w:lang w:val="sr-Latn-CS"/>
              </w:rPr>
            </w:pPr>
            <w:r w:rsidRPr="0043265E">
              <w:rPr>
                <w:b/>
                <w:sz w:val="20"/>
                <w:szCs w:val="18"/>
                <w:lang w:val="sr-Latn-CS"/>
              </w:rPr>
              <w:t xml:space="preserve">Kretanja na tržištu rada pokazuju </w:t>
            </w:r>
            <w:r w:rsidR="0051025D">
              <w:rPr>
                <w:b/>
                <w:sz w:val="20"/>
                <w:szCs w:val="18"/>
                <w:lang w:val="sr-Latn-CS"/>
              </w:rPr>
              <w:t xml:space="preserve">sezonsko </w:t>
            </w:r>
            <w:r w:rsidRPr="0043265E">
              <w:rPr>
                <w:b/>
                <w:sz w:val="20"/>
                <w:szCs w:val="18"/>
                <w:lang w:val="sr-Latn-CS"/>
              </w:rPr>
              <w:t xml:space="preserve">poboljšanje u odnosu na </w:t>
            </w:r>
            <w:r w:rsidR="0043265E" w:rsidRPr="0043265E">
              <w:rPr>
                <w:b/>
                <w:sz w:val="20"/>
                <w:szCs w:val="18"/>
                <w:lang w:val="sr-Latn-CS"/>
              </w:rPr>
              <w:t xml:space="preserve">prethodni mjesec </w:t>
            </w:r>
            <w:r w:rsidRPr="0043265E">
              <w:rPr>
                <w:b/>
                <w:sz w:val="20"/>
                <w:szCs w:val="18"/>
                <w:lang w:val="sr-Latn-CS"/>
              </w:rPr>
              <w:t>kroz povećanje zaposlenosti i smanjenje nezaposlenosti.</w:t>
            </w:r>
            <w:r w:rsidRPr="0043265E">
              <w:rPr>
                <w:sz w:val="20"/>
                <w:szCs w:val="18"/>
                <w:lang w:val="sr-Latn-CS"/>
              </w:rPr>
              <w:t xml:space="preserve"> Broj zaposlenih je u junu 2014. iznosio 179.774 ili 2,8% više nego u prethodnom mjesecu, odnosno 0,8%</w:t>
            </w:r>
            <w:r w:rsidR="0043265E" w:rsidRPr="0043265E">
              <w:rPr>
                <w:sz w:val="20"/>
                <w:szCs w:val="18"/>
                <w:lang w:val="sr-Latn-CS"/>
              </w:rPr>
              <w:t xml:space="preserve"> g-n-</w:t>
            </w:r>
            <w:r w:rsidR="00F00B34" w:rsidRPr="0043265E">
              <w:rPr>
                <w:sz w:val="20"/>
                <w:szCs w:val="18"/>
                <w:lang w:val="sr-Latn-CS"/>
              </w:rPr>
              <w:t>g</w:t>
            </w:r>
            <w:r w:rsidRPr="0043265E">
              <w:rPr>
                <w:sz w:val="20"/>
                <w:szCs w:val="18"/>
                <w:lang w:val="sr-Latn-CS"/>
              </w:rPr>
              <w:t xml:space="preserve">. </w:t>
            </w:r>
            <w:r w:rsidR="0043265E" w:rsidRPr="0043265E">
              <w:rPr>
                <w:sz w:val="20"/>
                <w:szCs w:val="18"/>
                <w:lang w:val="sr-Latn-CS"/>
              </w:rPr>
              <w:t>B</w:t>
            </w:r>
            <w:r w:rsidRPr="0043265E">
              <w:rPr>
                <w:sz w:val="20"/>
                <w:szCs w:val="18"/>
                <w:lang w:val="sr-Latn-CS"/>
              </w:rPr>
              <w:t xml:space="preserve">roj nezaposlenih je iznosio 31.570 ili 3,6% manje nego u prethodnom mjesecu, odnosno 5,5% </w:t>
            </w:r>
            <w:r w:rsidR="0043265E" w:rsidRPr="0043265E">
              <w:rPr>
                <w:sz w:val="20"/>
                <w:szCs w:val="18"/>
                <w:lang w:val="sr-Latn-CS"/>
              </w:rPr>
              <w:t>g-n-g</w:t>
            </w:r>
            <w:r w:rsidRPr="0043265E">
              <w:rPr>
                <w:sz w:val="20"/>
                <w:szCs w:val="18"/>
                <w:lang w:val="sr-Latn-CS"/>
              </w:rPr>
              <w:t xml:space="preserve">. Stepen nezaposlenosti se smanjio sa 14,1% u maju 2014. na 13,6% u junu 2014. Broj lica koja </w:t>
            </w:r>
            <w:r w:rsidR="00AD7CC2" w:rsidRPr="0043265E">
              <w:rPr>
                <w:sz w:val="20"/>
                <w:szCs w:val="18"/>
                <w:lang w:val="sr-Latn-CS"/>
              </w:rPr>
              <w:t xml:space="preserve">prvi put </w:t>
            </w:r>
            <w:r w:rsidRPr="0043265E">
              <w:rPr>
                <w:sz w:val="20"/>
                <w:szCs w:val="18"/>
                <w:lang w:val="sr-Latn-CS"/>
              </w:rPr>
              <w:t>traže zaposlenje se u junu 2014. u o</w:t>
            </w:r>
            <w:r w:rsidR="0043265E" w:rsidRPr="0043265E">
              <w:rPr>
                <w:sz w:val="20"/>
                <w:szCs w:val="18"/>
                <w:lang w:val="sr-Latn-CS"/>
              </w:rPr>
              <w:t>dnosu na jun 2013. povećao 8,2%</w:t>
            </w:r>
            <w:r w:rsidRPr="0043265E">
              <w:rPr>
                <w:sz w:val="20"/>
                <w:szCs w:val="18"/>
                <w:lang w:val="sr-Latn-CS"/>
              </w:rPr>
              <w:t xml:space="preserve">. Broj oglašenih slobodnih radnih mjesta za čitav period je iznosio 21.850 ili 2,6 puta više nego u istom periodu 2013. U periodu januar-jun izdato je 13.828 </w:t>
            </w:r>
            <w:r w:rsidR="00D9572F" w:rsidRPr="0043265E">
              <w:rPr>
                <w:sz w:val="20"/>
                <w:szCs w:val="18"/>
                <w:lang w:val="sr-Latn-CS"/>
              </w:rPr>
              <w:t>ra</w:t>
            </w:r>
            <w:r w:rsidR="0043265E">
              <w:rPr>
                <w:sz w:val="20"/>
                <w:szCs w:val="18"/>
                <w:lang w:val="sr-Latn-CS"/>
              </w:rPr>
              <w:t xml:space="preserve">dnih dozvola strancima, 2,2% </w:t>
            </w:r>
            <w:r w:rsidR="0043265E" w:rsidRPr="0043265E">
              <w:rPr>
                <w:sz w:val="20"/>
                <w:szCs w:val="18"/>
                <w:lang w:val="sr-Latn-CS"/>
              </w:rPr>
              <w:t>manje</w:t>
            </w:r>
            <w:r w:rsidR="005C77EE">
              <w:rPr>
                <w:sz w:val="20"/>
                <w:szCs w:val="18"/>
                <w:lang w:val="sr-Latn-CS"/>
              </w:rPr>
              <w:t xml:space="preserve"> </w:t>
            </w:r>
            <w:r w:rsidR="0043265E">
              <w:rPr>
                <w:sz w:val="20"/>
                <w:szCs w:val="18"/>
                <w:lang w:val="sr-Latn-CS"/>
              </w:rPr>
              <w:t>g-n-</w:t>
            </w:r>
            <w:r w:rsidR="00D9572F" w:rsidRPr="0043265E">
              <w:rPr>
                <w:sz w:val="20"/>
                <w:szCs w:val="18"/>
                <w:lang w:val="sr-Latn-CS"/>
              </w:rPr>
              <w:t xml:space="preserve"> g</w:t>
            </w:r>
            <w:r w:rsidRPr="0043265E">
              <w:rPr>
                <w:sz w:val="20"/>
                <w:szCs w:val="18"/>
                <w:lang w:val="sr-Latn-CS"/>
              </w:rPr>
              <w:t xml:space="preserve">. U </w:t>
            </w:r>
            <w:r w:rsidR="0043265E">
              <w:rPr>
                <w:sz w:val="20"/>
                <w:szCs w:val="18"/>
                <w:lang w:val="sr-Latn-CS"/>
              </w:rPr>
              <w:t>junu</w:t>
            </w:r>
            <w:r w:rsidRPr="0043265E">
              <w:rPr>
                <w:sz w:val="20"/>
                <w:szCs w:val="18"/>
                <w:lang w:val="sr-Latn-CS"/>
              </w:rPr>
              <w:t xml:space="preserve"> 2014. zarade su iznosile 725€, a smanjene su</w:t>
            </w:r>
            <w:r w:rsidR="0043265E">
              <w:rPr>
                <w:sz w:val="20"/>
                <w:szCs w:val="18"/>
                <w:lang w:val="sr-Latn-CS"/>
              </w:rPr>
              <w:t xml:space="preserve"> u odnosu na maj 2014. za 0,1% ili </w:t>
            </w:r>
            <w:r w:rsidRPr="0043265E">
              <w:rPr>
                <w:sz w:val="20"/>
                <w:szCs w:val="18"/>
                <w:lang w:val="sr-Latn-CS"/>
              </w:rPr>
              <w:t>0,5%</w:t>
            </w:r>
            <w:r w:rsidR="005C77EE">
              <w:rPr>
                <w:sz w:val="20"/>
                <w:szCs w:val="18"/>
                <w:lang w:val="sr-Latn-CS"/>
              </w:rPr>
              <w:t xml:space="preserve"> </w:t>
            </w:r>
            <w:r w:rsidR="0043265E">
              <w:rPr>
                <w:sz w:val="20"/>
                <w:szCs w:val="18"/>
                <w:lang w:val="sr-Latn-CS"/>
              </w:rPr>
              <w:t>g-n-</w:t>
            </w:r>
            <w:r w:rsidR="0043265E" w:rsidRPr="0043265E">
              <w:rPr>
                <w:sz w:val="20"/>
                <w:szCs w:val="18"/>
                <w:lang w:val="sr-Latn-CS"/>
              </w:rPr>
              <w:t>g</w:t>
            </w:r>
            <w:r w:rsidRPr="0043265E">
              <w:rPr>
                <w:sz w:val="20"/>
                <w:szCs w:val="18"/>
                <w:lang w:val="sr-Latn-CS"/>
              </w:rPr>
              <w:t>. Neto zarade su u junu 2014. iznosile 478</w:t>
            </w:r>
            <w:r w:rsidR="00D9572F" w:rsidRPr="0043265E">
              <w:rPr>
                <w:sz w:val="20"/>
                <w:szCs w:val="18"/>
                <w:lang w:val="sr-Latn-CS"/>
              </w:rPr>
              <w:t>€, kao i u prethodnom mjesecu</w:t>
            </w:r>
            <w:r w:rsidR="0043265E">
              <w:rPr>
                <w:sz w:val="20"/>
                <w:szCs w:val="18"/>
                <w:lang w:val="sr-Latn-CS"/>
              </w:rPr>
              <w:t xml:space="preserve">, a manje su 1,0%, a realno </w:t>
            </w:r>
            <w:r w:rsidR="003053D4">
              <w:rPr>
                <w:sz w:val="20"/>
                <w:szCs w:val="18"/>
                <w:lang w:val="sr-Latn-CS"/>
              </w:rPr>
              <w:t xml:space="preserve">manje </w:t>
            </w:r>
            <w:r w:rsidR="0043265E">
              <w:rPr>
                <w:sz w:val="20"/>
                <w:szCs w:val="18"/>
                <w:lang w:val="sr-Latn-CS"/>
              </w:rPr>
              <w:t>0,2% g-n-g.</w:t>
            </w:r>
            <w:r w:rsidRPr="0043265E">
              <w:rPr>
                <w:sz w:val="20"/>
                <w:szCs w:val="18"/>
                <w:lang w:val="sr-Latn-CS"/>
              </w:rPr>
              <w:t xml:space="preserve"> </w:t>
            </w:r>
          </w:p>
          <w:p w:rsidR="00422784" w:rsidRPr="00E34692" w:rsidRDefault="00422784" w:rsidP="0046659C">
            <w:pPr>
              <w:pStyle w:val="NormalWeb"/>
              <w:pBdr>
                <w:top w:val="single" w:sz="4" w:space="1" w:color="auto"/>
              </w:pBdr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3652" w:type="dxa"/>
            <w:tcBorders>
              <w:bottom w:val="thinThickSmallGap" w:sz="18" w:space="0" w:color="auto"/>
            </w:tcBorders>
            <w:vAlign w:val="center"/>
          </w:tcPr>
          <w:p w:rsidR="00422784" w:rsidRPr="00715429" w:rsidRDefault="00782988" w:rsidP="001D21BD">
            <w:pPr>
              <w:pStyle w:val="NoSpacing"/>
              <w:jc w:val="center"/>
              <w:rPr>
                <w:noProof/>
                <w:sz w:val="20"/>
                <w:szCs w:val="20"/>
                <w:lang w:val="hr-BA"/>
              </w:rPr>
            </w:pPr>
            <w:r w:rsidRPr="00782988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996719" cy="1923130"/>
                  <wp:effectExtent l="0" t="0" r="0" b="0"/>
                  <wp:docPr id="7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3560C" w:rsidRPr="00715429" w:rsidTr="00B51806">
        <w:trPr>
          <w:trHeight w:hRule="exact" w:val="4335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A3560C" w:rsidRPr="000438D0" w:rsidRDefault="00A3560C" w:rsidP="00A3560C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="Calibri" w:hAnsi="Calibri"/>
                <w:b/>
                <w:sz w:val="20"/>
                <w:szCs w:val="18"/>
                <w:lang w:eastAsia="en-US"/>
              </w:rPr>
            </w:pPr>
            <w:r w:rsidRPr="000438D0">
              <w:rPr>
                <w:rFonts w:ascii="Calibri" w:hAnsi="Calibri"/>
                <w:b/>
                <w:sz w:val="20"/>
                <w:szCs w:val="18"/>
                <w:lang w:eastAsia="en-US"/>
              </w:rPr>
              <w:lastRenderedPageBreak/>
              <w:t>Javne finansije</w:t>
            </w:r>
          </w:p>
          <w:p w:rsidR="000438D0" w:rsidRPr="000438D0" w:rsidRDefault="000438D0" w:rsidP="00707CA4">
            <w:pPr>
              <w:pBdr>
                <w:top w:val="single" w:sz="4" w:space="1" w:color="auto"/>
              </w:pBdr>
              <w:spacing w:after="0" w:line="240" w:lineRule="auto"/>
              <w:rPr>
                <w:sz w:val="20"/>
                <w:szCs w:val="18"/>
                <w:lang w:val="sr-Latn-CS"/>
              </w:rPr>
            </w:pPr>
            <w:r w:rsidRPr="000438D0">
              <w:rPr>
                <w:b/>
                <w:sz w:val="20"/>
                <w:szCs w:val="18"/>
                <w:lang w:val="sr-Latn-CS"/>
              </w:rPr>
              <w:t xml:space="preserve">Naplata izvornih prihoda budžeta Crne Gore u junu 2014. iznosila je 109,85 mil. € </w:t>
            </w:r>
            <w:r w:rsidR="00821F0D">
              <w:rPr>
                <w:b/>
                <w:sz w:val="20"/>
                <w:szCs w:val="18"/>
                <w:lang w:val="sr-Latn-CS"/>
              </w:rPr>
              <w:t>i</w:t>
            </w:r>
            <w:r w:rsidRPr="000438D0">
              <w:rPr>
                <w:b/>
                <w:sz w:val="20"/>
                <w:szCs w:val="18"/>
                <w:lang w:val="sr-Latn-CS"/>
              </w:rPr>
              <w:t xml:space="preserve"> veća je za 9</w:t>
            </w:r>
            <w:r w:rsidR="00AF609A">
              <w:rPr>
                <w:b/>
                <w:sz w:val="20"/>
                <w:szCs w:val="18"/>
                <w:lang w:val="sr-Latn-CS"/>
              </w:rPr>
              <w:t>,8 % u odnosu na jun 2013, kao i</w:t>
            </w:r>
            <w:r w:rsidRPr="000438D0">
              <w:rPr>
                <w:b/>
                <w:sz w:val="20"/>
                <w:szCs w:val="18"/>
                <w:lang w:val="sr-Latn-CS"/>
              </w:rPr>
              <w:t xml:space="preserve"> u odnosu na plan za 3,8 %.</w:t>
            </w:r>
            <w:r w:rsidRPr="000438D0">
              <w:rPr>
                <w:sz w:val="20"/>
                <w:szCs w:val="18"/>
                <w:lang w:val="sr-Latn-CS"/>
              </w:rPr>
              <w:t xml:space="preserve"> Prihodi po osnovu PDV-a u period januar-jun 2014. bilježe rast od 13,4 % u odnosu na isti period prošle godine. U istom per</w:t>
            </w:r>
            <w:r w:rsidR="00AF609A">
              <w:rPr>
                <w:sz w:val="20"/>
                <w:szCs w:val="18"/>
                <w:lang w:val="sr-Latn-CS"/>
              </w:rPr>
              <w:t>iodu naplata prihoda od poreza i</w:t>
            </w:r>
            <w:r w:rsidRPr="000438D0">
              <w:rPr>
                <w:sz w:val="20"/>
                <w:szCs w:val="18"/>
                <w:lang w:val="sr-Latn-CS"/>
              </w:rPr>
              <w:t xml:space="preserve"> doprinosa bilježi rast od 16,07 % u odnosu na isti period prethodne godine.</w:t>
            </w:r>
          </w:p>
          <w:p w:rsidR="000438D0" w:rsidRPr="000438D0" w:rsidRDefault="000438D0" w:rsidP="00707CA4">
            <w:pPr>
              <w:pBdr>
                <w:top w:val="single" w:sz="4" w:space="1" w:color="auto"/>
              </w:pBdr>
              <w:spacing w:after="0" w:line="240" w:lineRule="auto"/>
              <w:rPr>
                <w:sz w:val="20"/>
                <w:szCs w:val="18"/>
                <w:lang w:val="sr-Latn-CS"/>
              </w:rPr>
            </w:pPr>
            <w:r w:rsidRPr="000438D0">
              <w:rPr>
                <w:b/>
                <w:sz w:val="20"/>
                <w:szCs w:val="18"/>
                <w:lang w:val="sr-Latn-CS"/>
              </w:rPr>
              <w:t>Izdaci budžeta</w:t>
            </w:r>
            <w:r w:rsidRPr="000438D0">
              <w:rPr>
                <w:sz w:val="20"/>
                <w:szCs w:val="18"/>
                <w:lang w:val="sr-Latn-CS"/>
              </w:rPr>
              <w:t xml:space="preserve"> u junu 2014. g. iznosili su 107,8 mil. € i viši su za 7,6 % u odnosu na isti mjesec 2013. godine. U odnosu na planirane izdatke za isti mjesec niži za 3,3%.</w:t>
            </w:r>
          </w:p>
          <w:p w:rsidR="000438D0" w:rsidRPr="000438D0" w:rsidRDefault="000438D0" w:rsidP="00707CA4">
            <w:pPr>
              <w:pBdr>
                <w:top w:val="single" w:sz="4" w:space="1" w:color="auto"/>
              </w:pBdr>
              <w:spacing w:after="100" w:afterAutospacing="1"/>
              <w:rPr>
                <w:sz w:val="20"/>
                <w:szCs w:val="18"/>
                <w:lang w:val="sr-Latn-CS"/>
              </w:rPr>
            </w:pPr>
            <w:r w:rsidRPr="000438D0">
              <w:rPr>
                <w:b/>
                <w:sz w:val="20"/>
                <w:szCs w:val="18"/>
                <w:lang w:val="sr-Latn-CS"/>
              </w:rPr>
              <w:t>Suficit budžeta</w:t>
            </w:r>
            <w:r w:rsidRPr="000438D0">
              <w:rPr>
                <w:sz w:val="20"/>
                <w:szCs w:val="18"/>
                <w:lang w:val="sr-Latn-CS"/>
              </w:rPr>
              <w:t xml:space="preserve"> u junu 2014. godine iznosio je 2,04 mil. €, dok je</w:t>
            </w:r>
            <w:r w:rsidR="00976B6D">
              <w:rPr>
                <w:sz w:val="20"/>
                <w:szCs w:val="18"/>
                <w:lang w:val="sr-Latn-CS"/>
              </w:rPr>
              <w:t xml:space="preserve"> u period jan-maj 2014. godine </w:t>
            </w:r>
            <w:r w:rsidRPr="000438D0">
              <w:rPr>
                <w:sz w:val="20"/>
                <w:szCs w:val="18"/>
                <w:lang w:val="sr-Latn-CS"/>
              </w:rPr>
              <w:t>deficit budžeta iznosio 5</w:t>
            </w:r>
            <w:r w:rsidR="00976B6D">
              <w:rPr>
                <w:sz w:val="20"/>
                <w:szCs w:val="18"/>
                <w:lang w:val="sr-Latn-CS"/>
              </w:rPr>
              <w:t xml:space="preserve">6,0 mil. € i niži je za 26,9 % </w:t>
            </w:r>
            <w:r w:rsidRPr="000438D0">
              <w:rPr>
                <w:sz w:val="20"/>
                <w:szCs w:val="18"/>
                <w:lang w:val="sr-Latn-CS"/>
              </w:rPr>
              <w:t>u odnosu na isti period 2013. godine.</w:t>
            </w:r>
          </w:p>
          <w:p w:rsidR="000438D0" w:rsidRPr="000438D0" w:rsidRDefault="000438D0" w:rsidP="00707CA4">
            <w:pPr>
              <w:pBdr>
                <w:top w:val="single" w:sz="4" w:space="1" w:color="auto"/>
              </w:pBdr>
              <w:spacing w:after="100" w:afterAutospacing="1"/>
              <w:rPr>
                <w:sz w:val="20"/>
                <w:szCs w:val="18"/>
                <w:lang w:val="sr-Latn-CS"/>
              </w:rPr>
            </w:pPr>
            <w:r w:rsidRPr="000438D0">
              <w:rPr>
                <w:b/>
                <w:sz w:val="20"/>
                <w:szCs w:val="18"/>
                <w:lang w:val="sr-Latn-CS"/>
              </w:rPr>
              <w:t>Državni dug</w:t>
            </w:r>
            <w:r w:rsidRPr="000438D0">
              <w:rPr>
                <w:sz w:val="20"/>
                <w:szCs w:val="18"/>
                <w:lang w:val="sr-Latn-CS"/>
              </w:rPr>
              <w:t xml:space="preserve"> na kraju aprila 2014. iznosio je 1.990,31 mil.€ ili 56,6% procijenjenog BDP-a i smanjen je za 0,4 p.p. u odnosu na mart 2014. Unutrašnji dug iznosio je 588,1 mil.€, a dug prem</w:t>
            </w:r>
            <w:r w:rsidR="00976B6D">
              <w:rPr>
                <w:sz w:val="20"/>
                <w:szCs w:val="18"/>
                <w:lang w:val="sr-Latn-CS"/>
              </w:rPr>
              <w:t xml:space="preserve">a nerezidentima 1.402,2 mil.€. </w:t>
            </w:r>
          </w:p>
          <w:p w:rsidR="00B51806" w:rsidRPr="000438D0" w:rsidRDefault="00B51806" w:rsidP="00B51806">
            <w:pPr>
              <w:pStyle w:val="NormalWeb"/>
              <w:spacing w:before="0" w:beforeAutospacing="0" w:after="0"/>
              <w:ind w:left="-3"/>
              <w:jc w:val="both"/>
              <w:rPr>
                <w:rFonts w:ascii="Calibri" w:hAnsi="Calibri"/>
                <w:sz w:val="20"/>
                <w:szCs w:val="18"/>
                <w:lang w:eastAsia="en-US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A3560C" w:rsidRPr="003C1215" w:rsidRDefault="001F6B4D" w:rsidP="00812862">
            <w:pPr>
              <w:rPr>
                <w:noProof/>
                <w:sz w:val="17"/>
                <w:szCs w:val="17"/>
                <w:lang w:val="sr-Latn-CS" w:eastAsia="sr-Latn-CS"/>
              </w:rPr>
            </w:pPr>
            <w:r w:rsidRPr="001F6B4D">
              <w:rPr>
                <w:noProof/>
                <w:sz w:val="17"/>
                <w:szCs w:val="17"/>
              </w:rPr>
              <w:drawing>
                <wp:inline distT="0" distB="0" distL="0" distR="0">
                  <wp:extent cx="2298383" cy="2484437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10452C" w:rsidRPr="00715429" w:rsidTr="00A3560C">
        <w:trPr>
          <w:trHeight w:hRule="exact" w:val="4527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3561B8" w:rsidRPr="002A1639" w:rsidRDefault="003561B8" w:rsidP="00EE0F98">
            <w:pPr>
              <w:pStyle w:val="NormalWeb"/>
              <w:numPr>
                <w:ilvl w:val="0"/>
                <w:numId w:val="24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2A163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Monetarni sektor</w:t>
            </w:r>
          </w:p>
          <w:p w:rsidR="00BC444A" w:rsidRPr="003C543D" w:rsidRDefault="00234D14" w:rsidP="00BC444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Silazni</w:t>
            </w:r>
            <w:r w:rsidR="00BC444A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trend</w:t>
            </w:r>
            <w:r w:rsidR="00BC444A">
              <w:rPr>
                <w:b/>
                <w:noProof/>
                <w:sz w:val="20"/>
                <w:szCs w:val="20"/>
              </w:rPr>
              <w:t xml:space="preserve"> kreditne </w:t>
            </w:r>
            <w:r w:rsidR="00745B73">
              <w:rPr>
                <w:b/>
                <w:noProof/>
                <w:sz w:val="20"/>
                <w:szCs w:val="20"/>
              </w:rPr>
              <w:t>aktivnosti banaka je nastavljen</w:t>
            </w:r>
            <w:r w:rsidR="00BC444A">
              <w:rPr>
                <w:b/>
                <w:noProof/>
                <w:sz w:val="20"/>
                <w:szCs w:val="20"/>
              </w:rPr>
              <w:t xml:space="preserve"> u junu,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 w:rsidR="00BC444A">
              <w:rPr>
                <w:b/>
                <w:noProof/>
                <w:sz w:val="20"/>
                <w:szCs w:val="20"/>
              </w:rPr>
              <w:t xml:space="preserve">dok su rast ostvarili ukupni depoziti i kapital banaka. </w:t>
            </w:r>
            <w:r w:rsidR="00BC444A" w:rsidRPr="00073B22">
              <w:rPr>
                <w:noProof/>
                <w:sz w:val="20"/>
                <w:szCs w:val="20"/>
              </w:rPr>
              <w:t>T</w:t>
            </w:r>
            <w:r w:rsidR="00BC444A">
              <w:rPr>
                <w:noProof/>
                <w:sz w:val="20"/>
                <w:szCs w:val="20"/>
              </w:rPr>
              <w:t xml:space="preserve">okom prethodnog perioda ove godine </w:t>
            </w:r>
            <w:r w:rsidR="00BC444A" w:rsidRPr="0062225B">
              <w:rPr>
                <w:b/>
                <w:noProof/>
                <w:sz w:val="20"/>
                <w:szCs w:val="20"/>
              </w:rPr>
              <w:t>krediti</w:t>
            </w:r>
            <w:r w:rsidR="00BC444A">
              <w:rPr>
                <w:noProof/>
                <w:sz w:val="20"/>
                <w:szCs w:val="20"/>
              </w:rPr>
              <w:t xml:space="preserve"> banaka su imali negativan trend,tako da su kr</w:t>
            </w:r>
            <w:r w:rsidR="003F0885">
              <w:rPr>
                <w:noProof/>
                <w:sz w:val="20"/>
                <w:szCs w:val="20"/>
              </w:rPr>
              <w:t xml:space="preserve">ajem juna iznosili 2.376,2mil.€ </w:t>
            </w:r>
            <w:r w:rsidR="00BC444A">
              <w:rPr>
                <w:noProof/>
                <w:sz w:val="20"/>
                <w:szCs w:val="20"/>
              </w:rPr>
              <w:t>što je za 6,9 mil.€ ili 0,3 % niže u odnosu na prethodni mjesec, odnosno 81,3mil. € ili 3,3% na godišnjem nivou.</w:t>
            </w:r>
            <w:r w:rsidR="003F0885">
              <w:rPr>
                <w:noProof/>
                <w:sz w:val="20"/>
                <w:szCs w:val="20"/>
              </w:rPr>
              <w:t xml:space="preserve"> </w:t>
            </w:r>
            <w:r w:rsidR="00BC444A">
              <w:rPr>
                <w:noProof/>
                <w:sz w:val="20"/>
                <w:szCs w:val="20"/>
              </w:rPr>
              <w:t xml:space="preserve">Međutim, kretanje novoodobrenih kredita je bilo intenzivnije, tako </w:t>
            </w:r>
            <w:r w:rsidR="003F0885">
              <w:rPr>
                <w:noProof/>
                <w:sz w:val="20"/>
                <w:szCs w:val="20"/>
              </w:rPr>
              <w:t xml:space="preserve">da je za šest mjeseci odobreno </w:t>
            </w:r>
            <w:r w:rsidR="00BC444A">
              <w:rPr>
                <w:noProof/>
                <w:sz w:val="20"/>
                <w:szCs w:val="20"/>
              </w:rPr>
              <w:t xml:space="preserve">358,6 mil.€ novih kredita, što je za 4,5% više u poređenju sa istim periodom prethodne godine. Ukupni </w:t>
            </w:r>
            <w:r w:rsidR="00BC444A" w:rsidRPr="0062225B">
              <w:rPr>
                <w:b/>
                <w:noProof/>
                <w:sz w:val="20"/>
                <w:szCs w:val="20"/>
              </w:rPr>
              <w:t xml:space="preserve">depoziti </w:t>
            </w:r>
            <w:r w:rsidR="00BC444A">
              <w:rPr>
                <w:noProof/>
                <w:sz w:val="20"/>
                <w:szCs w:val="20"/>
              </w:rPr>
              <w:t>su u junu iznosili 2.146,4mil.€, što je za 1,5% više u odnosu na prethodni mjesec, odnosno 6,8% više nego godinu dana ranije.</w:t>
            </w:r>
            <w:r w:rsidR="003F0885">
              <w:rPr>
                <w:noProof/>
                <w:sz w:val="20"/>
                <w:szCs w:val="20"/>
              </w:rPr>
              <w:t xml:space="preserve"> </w:t>
            </w:r>
            <w:r w:rsidR="00BC444A">
              <w:rPr>
                <w:noProof/>
                <w:sz w:val="20"/>
                <w:szCs w:val="20"/>
              </w:rPr>
              <w:t>Najveći deponenti su privreda i stanovništvo, koji čine 84,8% ukupnih depozita, pri čem</w:t>
            </w:r>
            <w:r w:rsidR="003F0885">
              <w:rPr>
                <w:noProof/>
                <w:sz w:val="20"/>
                <w:szCs w:val="20"/>
              </w:rPr>
              <w:t>u su depoziti privrede povećani za 6,9%</w:t>
            </w:r>
            <w:r w:rsidR="00BC444A">
              <w:rPr>
                <w:noProof/>
                <w:sz w:val="20"/>
                <w:szCs w:val="20"/>
              </w:rPr>
              <w:t>,</w:t>
            </w:r>
            <w:r w:rsidR="003F0885">
              <w:rPr>
                <w:noProof/>
                <w:sz w:val="20"/>
                <w:szCs w:val="20"/>
              </w:rPr>
              <w:t xml:space="preserve"> </w:t>
            </w:r>
            <w:r w:rsidR="00BC444A">
              <w:rPr>
                <w:noProof/>
                <w:sz w:val="20"/>
                <w:szCs w:val="20"/>
              </w:rPr>
              <w:t>a depoziti stanovništva za 6,8% na godišnjem nivou</w:t>
            </w:r>
            <w:r w:rsidR="003F0885">
              <w:rPr>
                <w:noProof/>
                <w:sz w:val="20"/>
                <w:szCs w:val="20"/>
              </w:rPr>
              <w:t>.</w:t>
            </w:r>
            <w:r w:rsidR="00BC444A">
              <w:rPr>
                <w:noProof/>
                <w:sz w:val="20"/>
                <w:szCs w:val="20"/>
              </w:rPr>
              <w:t xml:space="preserve"> Kao rezultat pada prosječno ponderisane efektivne kamatne stope (PPEKS) na depozite banaka sa jedne strane i rasta (PPEKS) na kredite banaka sa druge strane, </w:t>
            </w:r>
            <w:r w:rsidR="00BC444A" w:rsidRPr="00D9180B">
              <w:rPr>
                <w:b/>
                <w:noProof/>
                <w:sz w:val="20"/>
                <w:szCs w:val="20"/>
              </w:rPr>
              <w:t>kamatni spred</w:t>
            </w:r>
            <w:r w:rsidR="00BC444A">
              <w:rPr>
                <w:noProof/>
                <w:sz w:val="20"/>
                <w:szCs w:val="20"/>
              </w:rPr>
              <w:t xml:space="preserve"> bilježi rast, i</w:t>
            </w:r>
            <w:r w:rsidR="003F0885">
              <w:rPr>
                <w:noProof/>
                <w:sz w:val="20"/>
                <w:szCs w:val="20"/>
              </w:rPr>
              <w:t xml:space="preserve"> u junu iznosi 7,35 p.p.(u maju</w:t>
            </w:r>
            <w:r w:rsidR="00BC444A">
              <w:rPr>
                <w:noProof/>
                <w:sz w:val="20"/>
                <w:szCs w:val="20"/>
              </w:rPr>
              <w:t xml:space="preserve"> 7,26 p.p).</w:t>
            </w:r>
            <w:r w:rsidR="003F0885">
              <w:rPr>
                <w:noProof/>
                <w:sz w:val="20"/>
                <w:szCs w:val="20"/>
              </w:rPr>
              <w:t xml:space="preserve"> </w:t>
            </w:r>
            <w:r w:rsidR="00BC444A" w:rsidRPr="00D9180B">
              <w:rPr>
                <w:b/>
                <w:noProof/>
                <w:sz w:val="20"/>
                <w:szCs w:val="20"/>
              </w:rPr>
              <w:t>Nelikvidnost privrede</w:t>
            </w:r>
            <w:r w:rsidR="00BC444A">
              <w:rPr>
                <w:noProof/>
                <w:sz w:val="20"/>
                <w:szCs w:val="20"/>
              </w:rPr>
              <w:t xml:space="preserve"> je i dalje izražena, iako je u junu broj blokiranih pravnih li</w:t>
            </w:r>
            <w:r w:rsidR="003F0885">
              <w:rPr>
                <w:noProof/>
                <w:sz w:val="20"/>
                <w:szCs w:val="20"/>
              </w:rPr>
              <w:t>ca (13.554 izvršna dužnika)</w:t>
            </w:r>
            <w:r w:rsidR="00BC444A">
              <w:rPr>
                <w:noProof/>
                <w:sz w:val="20"/>
                <w:szCs w:val="20"/>
              </w:rPr>
              <w:t xml:space="preserve"> smanjen za 0,57% u odnosu na prethodni mjesec, a ukupan d</w:t>
            </w:r>
            <w:r w:rsidR="003F0885">
              <w:rPr>
                <w:noProof/>
                <w:sz w:val="20"/>
                <w:szCs w:val="20"/>
              </w:rPr>
              <w:t xml:space="preserve">ug (488,2 mil.€) niži za 0,90% </w:t>
            </w:r>
            <w:r w:rsidR="00BC444A">
              <w:rPr>
                <w:noProof/>
                <w:sz w:val="20"/>
                <w:szCs w:val="20"/>
              </w:rPr>
              <w:t>na mjesečnom nivou.</w:t>
            </w:r>
          </w:p>
          <w:p w:rsidR="0010452C" w:rsidRPr="00715429" w:rsidRDefault="0010452C" w:rsidP="0046659C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715429" w:rsidRDefault="00CC3385" w:rsidP="00812862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CC3385">
              <w:rPr>
                <w:noProof/>
                <w:sz w:val="17"/>
                <w:szCs w:val="17"/>
              </w:rPr>
              <w:drawing>
                <wp:inline distT="0" distB="0" distL="0" distR="0">
                  <wp:extent cx="2181225" cy="2238375"/>
                  <wp:effectExtent l="0" t="0" r="0" b="0"/>
                  <wp:docPr id="5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B721D" w:rsidRPr="00715429" w:rsidTr="00234D14">
        <w:trPr>
          <w:trHeight w:hRule="exact" w:val="6314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8331D" w:rsidRPr="003053D4" w:rsidRDefault="0018331D" w:rsidP="0018331D">
            <w:pPr>
              <w:pStyle w:val="NormalWeb"/>
              <w:numPr>
                <w:ilvl w:val="0"/>
                <w:numId w:val="24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18"/>
              </w:rPr>
            </w:pPr>
            <w:r w:rsidRPr="003053D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18"/>
              </w:rPr>
              <w:t xml:space="preserve">Spoljnotrgovinska razmjena </w:t>
            </w:r>
          </w:p>
          <w:p w:rsidR="00513EAA" w:rsidRPr="00117B2E" w:rsidRDefault="00CE5871" w:rsidP="00513EA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117B2E">
              <w:rPr>
                <w:b/>
                <w:noProof/>
                <w:color w:val="000000"/>
                <w:sz w:val="20"/>
                <w:szCs w:val="20"/>
              </w:rPr>
              <w:t xml:space="preserve">Kvartalna dinamika eksternog </w:t>
            </w:r>
            <w:r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sektora u prvoj polovini 2014. ukazuje na </w:t>
            </w:r>
            <w:r w:rsidR="00C1158A">
              <w:rPr>
                <w:b/>
                <w:noProof/>
                <w:color w:val="000000"/>
                <w:sz w:val="20"/>
                <w:szCs w:val="20"/>
                <w:lang w:val="sr-Latn-CS"/>
              </w:rPr>
              <w:t>značajan</w:t>
            </w:r>
            <w:r w:rsidR="006443E8"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 pad</w:t>
            </w:r>
            <w:r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6443E8"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>izvoza,</w:t>
            </w:r>
            <w:r w:rsidR="00FC2B16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69580B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na što je </w:t>
            </w:r>
            <w:r w:rsidR="006443E8"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djelimično </w:t>
            </w:r>
            <w:r w:rsidR="001A1611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uticao </w:t>
            </w:r>
            <w:r w:rsidR="006443E8" w:rsidRPr="00117B2E">
              <w:rPr>
                <w:b/>
                <w:sz w:val="20"/>
                <w:szCs w:val="20"/>
              </w:rPr>
              <w:t>negativ</w:t>
            </w:r>
            <w:r w:rsidR="00FC2B16">
              <w:rPr>
                <w:b/>
                <w:sz w:val="20"/>
                <w:szCs w:val="20"/>
              </w:rPr>
              <w:t>a</w:t>
            </w:r>
            <w:r w:rsidR="006443E8" w:rsidRPr="00117B2E">
              <w:rPr>
                <w:b/>
                <w:sz w:val="20"/>
                <w:szCs w:val="20"/>
              </w:rPr>
              <w:t>n energetsk</w:t>
            </w:r>
            <w:r w:rsidR="00FC2B16">
              <w:rPr>
                <w:b/>
                <w:sz w:val="20"/>
                <w:szCs w:val="20"/>
              </w:rPr>
              <w:t>i</w:t>
            </w:r>
            <w:r w:rsidR="006443E8" w:rsidRPr="00117B2E">
              <w:rPr>
                <w:b/>
                <w:sz w:val="20"/>
                <w:szCs w:val="20"/>
              </w:rPr>
              <w:t xml:space="preserve"> bilans, kao i ekonomski problem</w:t>
            </w:r>
            <w:r w:rsidR="00FC2B16">
              <w:rPr>
                <w:b/>
                <w:sz w:val="20"/>
                <w:szCs w:val="20"/>
              </w:rPr>
              <w:t>i</w:t>
            </w:r>
            <w:r w:rsidR="006443E8" w:rsidRPr="00117B2E">
              <w:rPr>
                <w:b/>
                <w:sz w:val="20"/>
                <w:szCs w:val="20"/>
              </w:rPr>
              <w:t xml:space="preserve"> u sektoru crne i obojene metalurgije</w:t>
            </w:r>
            <w:r w:rsidR="006443E8" w:rsidRPr="00117B2E">
              <w:rPr>
                <w:b/>
                <w:noProof/>
                <w:color w:val="000000"/>
                <w:sz w:val="20"/>
                <w:szCs w:val="20"/>
                <w:lang w:val="sr-Latn-CS"/>
              </w:rPr>
              <w:t xml:space="preserve">. </w:t>
            </w:r>
            <w:r w:rsidRPr="00117B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Ukupna robna razmjena sa inostranstvom </w:t>
            </w:r>
            <w:r w:rsidR="00E367A4" w:rsidRPr="00117B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za šest mjeseci ove godine </w:t>
            </w:r>
            <w:r w:rsidRPr="00117B2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iznosila je 974,7 mil.€, što ukazuje na pad od 6,7%</w:t>
            </w:r>
            <w:r w:rsidR="00695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117B2E">
              <w:rPr>
                <w:b/>
                <w:noProof/>
                <w:color w:val="000000"/>
                <w:sz w:val="20"/>
                <w:szCs w:val="20"/>
              </w:rPr>
              <w:t xml:space="preserve"> I</w:t>
            </w:r>
            <w:r w:rsidRPr="00117B2E">
              <w:rPr>
                <w:b/>
                <w:sz w:val="20"/>
                <w:szCs w:val="20"/>
              </w:rPr>
              <w:t xml:space="preserve">zvoz </w:t>
            </w:r>
            <w:r w:rsidR="00E213A1">
              <w:rPr>
                <w:sz w:val="20"/>
                <w:szCs w:val="20"/>
              </w:rPr>
              <w:t xml:space="preserve">roba </w:t>
            </w:r>
            <w:r w:rsidRPr="00117B2E">
              <w:rPr>
                <w:sz w:val="20"/>
                <w:szCs w:val="20"/>
              </w:rPr>
              <w:t xml:space="preserve">vrijedio je 146,5 mil.€, a </w:t>
            </w:r>
            <w:r w:rsidRPr="00117B2E">
              <w:rPr>
                <w:b/>
                <w:sz w:val="20"/>
                <w:szCs w:val="20"/>
              </w:rPr>
              <w:t>uvoz</w:t>
            </w:r>
            <w:r w:rsidR="00E213A1">
              <w:rPr>
                <w:sz w:val="20"/>
                <w:szCs w:val="20"/>
              </w:rPr>
              <w:t xml:space="preserve"> </w:t>
            </w:r>
            <w:r w:rsidRPr="00117B2E">
              <w:rPr>
                <w:sz w:val="20"/>
                <w:szCs w:val="20"/>
              </w:rPr>
              <w:t xml:space="preserve">828,1 mil. €, što je za 25,3% i 2,4% manje, respektivno. </w:t>
            </w:r>
            <w:r w:rsidRPr="00117B2E">
              <w:rPr>
                <w:b/>
                <w:sz w:val="20"/>
                <w:szCs w:val="20"/>
              </w:rPr>
              <w:t xml:space="preserve"> Robni deficit</w:t>
            </w:r>
            <w:r w:rsidR="00E213A1">
              <w:rPr>
                <w:sz w:val="20"/>
                <w:szCs w:val="20"/>
              </w:rPr>
              <w:t xml:space="preserve"> </w:t>
            </w:r>
            <w:r w:rsidRPr="00117B2E">
              <w:rPr>
                <w:sz w:val="20"/>
                <w:szCs w:val="20"/>
              </w:rPr>
              <w:t>je iznosio 681,6 mil.€ i povećan je za 4,</w:t>
            </w:r>
            <w:r w:rsidR="00E213A1">
              <w:rPr>
                <w:sz w:val="20"/>
                <w:szCs w:val="20"/>
              </w:rPr>
              <w:t xml:space="preserve">5%, dok je stepen pokrivenosti </w:t>
            </w:r>
            <w:r w:rsidRPr="00117B2E">
              <w:rPr>
                <w:sz w:val="20"/>
                <w:szCs w:val="20"/>
              </w:rPr>
              <w:t>uvoza izvozom robe smanjen za 5,4 procentna poena</w:t>
            </w:r>
            <w:r w:rsidR="00E367A4" w:rsidRPr="00117B2E">
              <w:rPr>
                <w:sz w:val="20"/>
                <w:szCs w:val="20"/>
              </w:rPr>
              <w:t>.</w:t>
            </w:r>
            <w:r w:rsidRPr="00117B2E">
              <w:rPr>
                <w:sz w:val="20"/>
                <w:szCs w:val="20"/>
              </w:rPr>
              <w:t xml:space="preserve"> </w:t>
            </w:r>
            <w:r w:rsidRPr="00117B2E">
              <w:rPr>
                <w:b/>
                <w:sz w:val="20"/>
                <w:szCs w:val="20"/>
              </w:rPr>
              <w:t>Izvoz</w:t>
            </w:r>
            <w:r w:rsidRPr="00117B2E">
              <w:rPr>
                <w:sz w:val="20"/>
                <w:szCs w:val="20"/>
              </w:rPr>
              <w:t xml:space="preserve"> bilježi negativn</w:t>
            </w:r>
            <w:r w:rsidR="00E213A1">
              <w:rPr>
                <w:sz w:val="20"/>
                <w:szCs w:val="20"/>
              </w:rPr>
              <w:t xml:space="preserve">e stope rasta, za prvi kvartal </w:t>
            </w:r>
            <w:r w:rsidRPr="00117B2E">
              <w:rPr>
                <w:sz w:val="20"/>
                <w:szCs w:val="20"/>
              </w:rPr>
              <w:t xml:space="preserve">22,2% i drugi kvartal 27,9%, sa najvećom amplitudom u aprilu (-37,3%). Istovremeno, </w:t>
            </w:r>
            <w:r w:rsidRPr="00117B2E">
              <w:rPr>
                <w:b/>
                <w:sz w:val="20"/>
                <w:szCs w:val="20"/>
              </w:rPr>
              <w:t>uvoz</w:t>
            </w:r>
            <w:r w:rsidRPr="00117B2E">
              <w:rPr>
                <w:sz w:val="20"/>
                <w:szCs w:val="20"/>
              </w:rPr>
              <w:t xml:space="preserve"> stagnira u prvom kvartalu sa negativnom stopom od 6,2%, dok u drugom kvartalu zadržava nivo iz prethodne godine. Izvoz električne energije je </w:t>
            </w:r>
            <w:r w:rsidR="00351C44" w:rsidRPr="00117B2E">
              <w:rPr>
                <w:sz w:val="20"/>
                <w:szCs w:val="20"/>
              </w:rPr>
              <w:t>značajno smanjen (</w:t>
            </w:r>
            <w:r w:rsidRPr="00117B2E">
              <w:rPr>
                <w:sz w:val="20"/>
                <w:szCs w:val="20"/>
              </w:rPr>
              <w:t>42,3 mil.€</w:t>
            </w:r>
            <w:r w:rsidR="00F11993" w:rsidRPr="00117B2E">
              <w:rPr>
                <w:sz w:val="20"/>
                <w:szCs w:val="20"/>
              </w:rPr>
              <w:t xml:space="preserve"> ili </w:t>
            </w:r>
            <w:r w:rsidRPr="00117B2E">
              <w:rPr>
                <w:sz w:val="20"/>
                <w:szCs w:val="20"/>
              </w:rPr>
              <w:t>64,0%</w:t>
            </w:r>
            <w:r w:rsidR="00351C44" w:rsidRPr="00117B2E">
              <w:rPr>
                <w:sz w:val="20"/>
                <w:szCs w:val="20"/>
              </w:rPr>
              <w:t>)</w:t>
            </w:r>
            <w:r w:rsidRPr="00117B2E">
              <w:rPr>
                <w:sz w:val="20"/>
                <w:szCs w:val="20"/>
              </w:rPr>
              <w:t>, usljed smanjen</w:t>
            </w:r>
            <w:r w:rsidR="00772585" w:rsidRPr="00117B2E">
              <w:rPr>
                <w:sz w:val="20"/>
                <w:szCs w:val="20"/>
              </w:rPr>
              <w:t>e</w:t>
            </w:r>
            <w:r w:rsidRPr="00117B2E">
              <w:rPr>
                <w:sz w:val="20"/>
                <w:szCs w:val="20"/>
              </w:rPr>
              <w:t xml:space="preserve"> proizvodnje električne energije </w:t>
            </w:r>
            <w:r w:rsidR="00B43498">
              <w:rPr>
                <w:sz w:val="20"/>
                <w:szCs w:val="20"/>
              </w:rPr>
              <w:t>(</w:t>
            </w:r>
            <w:r w:rsidRPr="00117B2E">
              <w:rPr>
                <w:sz w:val="20"/>
                <w:szCs w:val="20"/>
              </w:rPr>
              <w:t>52,3%</w:t>
            </w:r>
            <w:r w:rsidR="00B43498">
              <w:rPr>
                <w:sz w:val="20"/>
                <w:szCs w:val="20"/>
              </w:rPr>
              <w:t>)</w:t>
            </w:r>
            <w:r w:rsidR="00351C44" w:rsidRPr="00117B2E">
              <w:rPr>
                <w:sz w:val="20"/>
                <w:szCs w:val="20"/>
              </w:rPr>
              <w:t>, kao i i</w:t>
            </w:r>
            <w:r w:rsidR="00E213A1">
              <w:rPr>
                <w:sz w:val="20"/>
                <w:szCs w:val="20"/>
              </w:rPr>
              <w:t xml:space="preserve">zvoz </w:t>
            </w:r>
            <w:r w:rsidRPr="00117B2E">
              <w:rPr>
                <w:sz w:val="20"/>
                <w:szCs w:val="20"/>
              </w:rPr>
              <w:t xml:space="preserve">aluminijuma </w:t>
            </w:r>
            <w:r w:rsidR="00290B89" w:rsidRPr="00117B2E">
              <w:rPr>
                <w:sz w:val="20"/>
                <w:szCs w:val="20"/>
              </w:rPr>
              <w:t>(</w:t>
            </w:r>
            <w:r w:rsidRPr="00117B2E">
              <w:rPr>
                <w:sz w:val="20"/>
                <w:szCs w:val="20"/>
              </w:rPr>
              <w:t>19,0%</w:t>
            </w:r>
            <w:r w:rsidR="00290B89" w:rsidRPr="00117B2E">
              <w:rPr>
                <w:sz w:val="20"/>
                <w:szCs w:val="20"/>
              </w:rPr>
              <w:t>)</w:t>
            </w:r>
            <w:r w:rsidR="00351C44" w:rsidRPr="00117B2E">
              <w:rPr>
                <w:sz w:val="20"/>
                <w:szCs w:val="20"/>
              </w:rPr>
              <w:t>.</w:t>
            </w:r>
            <w:r w:rsidRPr="00117B2E">
              <w:rPr>
                <w:sz w:val="20"/>
                <w:szCs w:val="20"/>
              </w:rPr>
              <w:t xml:space="preserve"> </w:t>
            </w:r>
            <w:r w:rsidR="000E0769" w:rsidRPr="00117B2E">
              <w:rPr>
                <w:sz w:val="20"/>
                <w:szCs w:val="20"/>
              </w:rPr>
              <w:t>Na strani uvoza</w:t>
            </w:r>
            <w:r w:rsidR="00914019" w:rsidRPr="00117B2E">
              <w:rPr>
                <w:sz w:val="20"/>
                <w:szCs w:val="20"/>
              </w:rPr>
              <w:t xml:space="preserve"> </w:t>
            </w:r>
            <w:r w:rsidR="000E0769" w:rsidRPr="00117B2E">
              <w:rPr>
                <w:sz w:val="20"/>
                <w:szCs w:val="20"/>
              </w:rPr>
              <w:t xml:space="preserve">najveći apsolutni pad zabilježen je kod </w:t>
            </w:r>
            <w:r w:rsidR="0069580B">
              <w:rPr>
                <w:sz w:val="20"/>
                <w:szCs w:val="20"/>
              </w:rPr>
              <w:t xml:space="preserve">kategorije </w:t>
            </w:r>
            <w:r w:rsidR="000E0769" w:rsidRPr="00117B2E">
              <w:rPr>
                <w:sz w:val="20"/>
                <w:szCs w:val="20"/>
              </w:rPr>
              <w:t>ostal</w:t>
            </w:r>
            <w:r w:rsidR="0069580B">
              <w:rPr>
                <w:sz w:val="20"/>
                <w:szCs w:val="20"/>
              </w:rPr>
              <w:t>a</w:t>
            </w:r>
            <w:r w:rsidR="000E0769" w:rsidRPr="00117B2E">
              <w:rPr>
                <w:sz w:val="20"/>
                <w:szCs w:val="20"/>
              </w:rPr>
              <w:t xml:space="preserve"> transportn</w:t>
            </w:r>
            <w:r w:rsidR="0069580B">
              <w:rPr>
                <w:sz w:val="20"/>
                <w:szCs w:val="20"/>
              </w:rPr>
              <w:t>a</w:t>
            </w:r>
            <w:r w:rsidR="000E0769" w:rsidRPr="00117B2E">
              <w:rPr>
                <w:sz w:val="20"/>
                <w:szCs w:val="20"/>
              </w:rPr>
              <w:t xml:space="preserve"> oprem</w:t>
            </w:r>
            <w:r w:rsidR="0069580B">
              <w:rPr>
                <w:sz w:val="20"/>
                <w:szCs w:val="20"/>
              </w:rPr>
              <w:t>a</w:t>
            </w:r>
            <w:r w:rsidR="000B52E3" w:rsidRPr="00117B2E">
              <w:rPr>
                <w:sz w:val="20"/>
                <w:szCs w:val="20"/>
              </w:rPr>
              <w:t xml:space="preserve"> </w:t>
            </w:r>
            <w:r w:rsidR="000E0769" w:rsidRPr="00117B2E">
              <w:rPr>
                <w:sz w:val="20"/>
                <w:szCs w:val="20"/>
              </w:rPr>
              <w:t xml:space="preserve">23,7mil.€, zbog činjenice da je u </w:t>
            </w:r>
            <w:r w:rsidR="000B52E3" w:rsidRPr="00117B2E">
              <w:rPr>
                <w:sz w:val="20"/>
                <w:szCs w:val="20"/>
              </w:rPr>
              <w:t xml:space="preserve">prvom kvartalu </w:t>
            </w:r>
            <w:r w:rsidR="00914019" w:rsidRPr="00117B2E">
              <w:rPr>
                <w:sz w:val="20"/>
                <w:szCs w:val="20"/>
              </w:rPr>
              <w:t xml:space="preserve">2013. uvezen brod za potrebe obnavljanja domaće flote. Smanjen je uvoz električne energije </w:t>
            </w:r>
            <w:r w:rsidR="000B52E3" w:rsidRPr="00117B2E">
              <w:rPr>
                <w:sz w:val="20"/>
                <w:szCs w:val="20"/>
              </w:rPr>
              <w:t>i</w:t>
            </w:r>
            <w:r w:rsidR="00914019" w:rsidRPr="00117B2E">
              <w:rPr>
                <w:sz w:val="20"/>
                <w:szCs w:val="20"/>
              </w:rPr>
              <w:t xml:space="preserve"> nafte </w:t>
            </w:r>
            <w:r w:rsidR="000B52E3" w:rsidRPr="00117B2E">
              <w:rPr>
                <w:sz w:val="20"/>
                <w:szCs w:val="20"/>
              </w:rPr>
              <w:t>i</w:t>
            </w:r>
            <w:r w:rsidR="00914019" w:rsidRPr="00117B2E">
              <w:rPr>
                <w:sz w:val="20"/>
                <w:szCs w:val="20"/>
              </w:rPr>
              <w:t xml:space="preserve"> naftnih derivate za </w:t>
            </w:r>
            <w:r w:rsidR="000B52E3" w:rsidRPr="00117B2E">
              <w:rPr>
                <w:sz w:val="20"/>
                <w:szCs w:val="20"/>
              </w:rPr>
              <w:t>27,2%, odnosno</w:t>
            </w:r>
            <w:r w:rsidR="00513364" w:rsidRPr="00117B2E">
              <w:rPr>
                <w:sz w:val="20"/>
                <w:szCs w:val="20"/>
              </w:rPr>
              <w:t xml:space="preserve"> </w:t>
            </w:r>
            <w:r w:rsidR="00234D14">
              <w:rPr>
                <w:sz w:val="20"/>
                <w:szCs w:val="20"/>
              </w:rPr>
              <w:t>3,4%</w:t>
            </w:r>
            <w:r w:rsidR="00C35B00" w:rsidRPr="00117B2E">
              <w:rPr>
                <w:sz w:val="20"/>
                <w:szCs w:val="20"/>
              </w:rPr>
              <w:t>.</w:t>
            </w:r>
            <w:r w:rsidR="00567991" w:rsidRPr="00117B2E">
              <w:rPr>
                <w:sz w:val="20"/>
                <w:szCs w:val="20"/>
              </w:rPr>
              <w:t xml:space="preserve"> </w:t>
            </w:r>
            <w:r w:rsidR="00513EAA" w:rsidRPr="00117B2E">
              <w:rPr>
                <w:b/>
                <w:sz w:val="20"/>
                <w:szCs w:val="20"/>
              </w:rPr>
              <w:t xml:space="preserve">U periodu januar-maj 2014, nastavljen je rast priliva SDI, tako da su ukupne SDI iznosile 166,8 mil.€. </w:t>
            </w:r>
            <w:r w:rsidR="00513EAA" w:rsidRPr="00117B2E">
              <w:rPr>
                <w:sz w:val="20"/>
                <w:szCs w:val="20"/>
              </w:rPr>
              <w:t>Neto SDI iznosile su 124,0 mil.€ (6,6% više). Struktura SDI: vlasnička ulaganja 46,1%, pri čemu su investicije u preduzeće i banke 10,5% (više za 63,8%), investicije po osnovu ulaganja u nekretnine 35,6% (manje za 30,0%). I dalje je visoko učešće priliva SDI u formi interkompanijskog duga, od 51,7% (više za 26,3%), dok je priliv po osnovu ostalih SDI iznosio 2,2% (manje za 51,4%). Ukupan odliv SDI iznosio je iznosio je 42,8 mil.€ (više za 4,5%), pri čemu se najveći dio (90,6%) odnosio na ulaganja nerezidenata u inostranstvo.</w:t>
            </w:r>
          </w:p>
          <w:p w:rsidR="00DB721D" w:rsidRPr="00EC7395" w:rsidRDefault="00DB721D" w:rsidP="00CE5871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cstheme="min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715429" w:rsidRDefault="00332E47" w:rsidP="001D21BD">
            <w:pPr>
              <w:jc w:val="center"/>
              <w:rPr>
                <w:noProof/>
                <w:sz w:val="17"/>
                <w:szCs w:val="17"/>
                <w:lang w:val="hr-BA" w:eastAsia="sr-Latn-CS"/>
              </w:rPr>
            </w:pPr>
            <w:r w:rsidRPr="00332E47">
              <w:rPr>
                <w:noProof/>
                <w:sz w:val="17"/>
                <w:szCs w:val="17"/>
              </w:rPr>
              <w:drawing>
                <wp:inline distT="0" distB="0" distL="0" distR="0">
                  <wp:extent cx="2524141" cy="2014637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2570B" w:rsidRPr="00715429" w:rsidRDefault="0082570B" w:rsidP="00D51C00">
      <w:pPr>
        <w:rPr>
          <w:noProof/>
          <w:lang w:val="hr-BA"/>
        </w:rPr>
        <w:sectPr w:rsidR="0082570B" w:rsidRPr="00715429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715429" w:rsidRDefault="0082570B" w:rsidP="00332574">
      <w:pPr>
        <w:jc w:val="center"/>
        <w:outlineLvl w:val="0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 xml:space="preserve">Tabela 1: </w:t>
      </w:r>
      <w:r w:rsidRPr="00715429">
        <w:rPr>
          <w:b/>
          <w:bCs/>
          <w:noProof/>
          <w:sz w:val="17"/>
          <w:szCs w:val="16"/>
          <w:lang w:val="hr-BA"/>
        </w:rPr>
        <w:t>MAKROEKONOMSKI INDIKATORI</w:t>
      </w:r>
      <w:r w:rsidRPr="00715429">
        <w:rPr>
          <w:noProof/>
          <w:sz w:val="17"/>
          <w:szCs w:val="16"/>
          <w:lang w:val="hr-BA"/>
        </w:rPr>
        <w:t xml:space="preserve"> – </w:t>
      </w:r>
      <w:r w:rsidR="00736A98">
        <w:rPr>
          <w:noProof/>
          <w:sz w:val="17"/>
          <w:szCs w:val="16"/>
          <w:lang w:val="hr-BA"/>
        </w:rPr>
        <w:t>jun</w:t>
      </w:r>
      <w:r w:rsidR="00725E16">
        <w:rPr>
          <w:noProof/>
          <w:sz w:val="17"/>
          <w:szCs w:val="16"/>
          <w:lang w:val="hr-BA"/>
        </w:rPr>
        <w:t xml:space="preserve"> </w:t>
      </w:r>
      <w:r w:rsidRPr="00715429">
        <w:rPr>
          <w:noProof/>
          <w:sz w:val="17"/>
          <w:szCs w:val="16"/>
          <w:lang w:val="hr-BA"/>
        </w:rPr>
        <w:t>201</w:t>
      </w:r>
      <w:r w:rsidR="00B355D6" w:rsidRPr="00715429">
        <w:rPr>
          <w:noProof/>
          <w:sz w:val="17"/>
          <w:szCs w:val="16"/>
          <w:lang w:val="hr-BA"/>
        </w:rPr>
        <w:t>4</w:t>
      </w:r>
      <w:r w:rsidRPr="00715429">
        <w:rPr>
          <w:noProof/>
          <w:sz w:val="17"/>
          <w:szCs w:val="16"/>
          <w:lang w:val="hr-BA"/>
        </w:rPr>
        <w:t>.</w:t>
      </w:r>
      <w:bookmarkStart w:id="0" w:name="_GoBack"/>
      <w:bookmarkEnd w:id="0"/>
    </w:p>
    <w:p w:rsidR="0082570B" w:rsidRPr="00715429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784DAE" w:rsidRPr="00715429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83011C" w:rsidRDefault="0083011C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tbl>
      <w:tblPr>
        <w:tblW w:w="15280" w:type="dxa"/>
        <w:tblInd w:w="103" w:type="dxa"/>
        <w:tblLook w:val="04A0"/>
      </w:tblPr>
      <w:tblGrid>
        <w:gridCol w:w="3793"/>
        <w:gridCol w:w="677"/>
        <w:gridCol w:w="677"/>
        <w:gridCol w:w="677"/>
        <w:gridCol w:w="677"/>
        <w:gridCol w:w="677"/>
        <w:gridCol w:w="820"/>
        <w:gridCol w:w="677"/>
        <w:gridCol w:w="700"/>
        <w:gridCol w:w="677"/>
        <w:gridCol w:w="677"/>
        <w:gridCol w:w="677"/>
        <w:gridCol w:w="677"/>
        <w:gridCol w:w="677"/>
        <w:gridCol w:w="820"/>
        <w:gridCol w:w="760"/>
        <w:gridCol w:w="940"/>
      </w:tblGrid>
      <w:tr w:rsidR="00B40C19" w:rsidRPr="00B40C19" w:rsidTr="00B40C19">
        <w:trPr>
          <w:trHeight w:val="67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Indikatori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M-n-M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jun '14 / jun '13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jan - jun '14 / jan - jun '13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REALNI SEKTOR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Industrijska proizvodnja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21.40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-20.60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-27.90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-23.40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-26.40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-26.4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-15.3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Prerađivačka industrija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-11.10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11.70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22.70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28.20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48.80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39.80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20.50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18.40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-44.90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-10.90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-5.8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-5.0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4.9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Noćenja u turizmu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22.10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-4.20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-0.7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Promet u maloprodaji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10.30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11.50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12.80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885A7F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3.9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2.6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Vrijednost radova u gradjevinarstvu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3.8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27.9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30.3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color w:val="993300"/>
                <w:sz w:val="14"/>
                <w:szCs w:val="14"/>
              </w:rPr>
            </w:pPr>
            <w:r w:rsidRPr="00B40C19">
              <w:rPr>
                <w:color w:val="9933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color w:val="993300"/>
                <w:sz w:val="14"/>
                <w:szCs w:val="14"/>
              </w:rPr>
            </w:pPr>
            <w:r w:rsidRPr="00B40C19">
              <w:rPr>
                <w:color w:val="9933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color w:val="993300"/>
                <w:sz w:val="14"/>
                <w:szCs w:val="14"/>
              </w:rPr>
            </w:pPr>
            <w:r w:rsidRPr="00B40C19">
              <w:rPr>
                <w:color w:val="993300"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INFLACIJA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Indeks potrošačkih cijena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-0.8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Harmonizovani indeks potrošačkih cijena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n/p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Indeks proizvodjačkih cijena (stopa rasta)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-0.5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ZAPOSLENOST I ZARADE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Zaposlenost (broj, kraj perioda)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179,861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178,815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176,588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169,044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169,044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167,607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167,173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167,616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168,805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170,177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172,202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174,917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179,774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0.6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Broj nezaposlenih (broj, kraj perioda)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30,337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30,102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30,947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33,271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33,271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34,680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34,514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34,804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34,664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34,671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33,906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32,763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31,570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5.5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Stopa nezaposlenosti (%)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5.4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Stopa nezaposlenosti (ARS) (%)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19.3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17.8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19.5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19.5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Oglašena radna mjesta (broj)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1,495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1,051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3,077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5,399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4,984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6,311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341.3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164.7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Prosječna mjesečna bruto zarada (u €)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-0.5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Prosječna mjesečna neto zarada (u €)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-1.0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MONETARNI SEKTOR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Ukupni krediti (kumulativ, mil. €)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2,457.5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2,505.8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2,538.3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2,474.5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2,463.9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2,411.9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2,407.9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2,415.0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2,405.0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2,386.6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2,383.1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2,376.2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 xml:space="preserve">Ukupni krediti (stopa rasta)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-3.3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Ukupni depoziti (kumulativ,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2,009.7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2,075.0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2,144.3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2,104.3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2,104.3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2,084.9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2,098.6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2,096.7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2,101.7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2,104.3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2,094.8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2,114.3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2,146.4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Ukupni depoziti (stopa rasta)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Krediti privredi (kumulativ, u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990.5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970.2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947.6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951.1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955.2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948.4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942.6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951.6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947.7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958.5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959.8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950.4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-4.0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Krediti domaćinstvima (kumulativ, u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882.5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880.6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886.8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887.1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881.3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881.1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882.6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887.1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887.4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890.7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891.5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Depoziti privrede (kumulativ, u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539.3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576.2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612.3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572.8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572.8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553.9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554.8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554.0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549.6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542.8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533.0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551.7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576.4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Lična štednja (kumulativ, u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1,164.7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1,192.9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1,218.1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1,218.1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1,218.1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1,221.0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1,237.7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1,235.1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1,236.4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1,239.2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1,247.8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1,245.5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1,244.5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Kamatna stopa na kredite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9.54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Kamatna stopa na depozite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EKSTERNI SEKTOR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Izvoz roba (u mil.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31.8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28.4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24.6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31.2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22.6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22.2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24.7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23.2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25.6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28.3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-7.5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-25.3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Uvoz roba (u mil.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170.4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172.6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164.9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161.4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161.4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130.7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149.0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83.1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112.7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145.9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158.2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157.6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-2.4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Spoljnotrgovinski bilans (u mil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-139.9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-140.8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-136.5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-136.9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-136.9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-99.6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-114.5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-60.5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-90.5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-121.2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-135.1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-132.0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-142.4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4.5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Strane direktne investicije (mil.€)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38.8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32.5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-19.8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12.6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55.5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28.8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32.1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17.1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29.0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n.p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6.6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MEĐUNARODNO OKRUŽENJE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B40C1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Brent crude oil (USD/barel)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103.0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107.7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115.7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105.9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105.9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111.5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108.8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109.7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107.7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108.0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109.6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-100.0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-100.0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-15.2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Aluminijum (USD/T)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1,814.5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1,769.6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1,816.2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1,814.6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1,814.6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1,748.0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1,739.8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1,740.8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1,695.2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1,705.4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1,810.7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1,751.1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-100.0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-100.0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-24.4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Euribor (12 mjeseci)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-0.48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-0.06</w:t>
            </w:r>
          </w:p>
        </w:tc>
      </w:tr>
      <w:tr w:rsidR="00B40C19" w:rsidRPr="00B40C19" w:rsidTr="00B40C19">
        <w:trPr>
          <w:trHeight w:hRule="exact" w:val="2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40C19">
              <w:rPr>
                <w:b/>
                <w:bCs/>
                <w:sz w:val="16"/>
                <w:szCs w:val="16"/>
              </w:rPr>
              <w:t>Inflacija u Eurozoni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1.3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0.0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19" w:rsidRPr="00B40C19" w:rsidRDefault="00B40C19" w:rsidP="00B40C19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B40C19">
              <w:rPr>
                <w:sz w:val="14"/>
                <w:szCs w:val="14"/>
              </w:rPr>
              <w:t>-1.1</w:t>
            </w:r>
          </w:p>
        </w:tc>
      </w:tr>
    </w:tbl>
    <w:p w:rsidR="0083011C" w:rsidRDefault="0083011C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6E5C4C" w:rsidRPr="00715429" w:rsidRDefault="006E5C4C" w:rsidP="006E5C4C">
      <w:pPr>
        <w:spacing w:after="0" w:line="240" w:lineRule="auto"/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MONSTAT, Centralna Banka, Zavod za zapošljavanje Crne Gore</w:t>
      </w:r>
    </w:p>
    <w:p w:rsidR="006E5C4C" w:rsidRPr="00715429" w:rsidRDefault="006E5C4C" w:rsidP="006E5C4C">
      <w:pPr>
        <w:spacing w:after="0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Svi indikatori su prikazani kao godišnje stope rasta (stopa promjene indikatora u posmatranom mjesecu u odnosu na isti mjesec prethodne godine u %) ukoliko nije drugačije naznačeno u nazivu</w:t>
      </w:r>
    </w:p>
    <w:p w:rsidR="006E5C4C" w:rsidRDefault="006E5C4C" w:rsidP="006E5C4C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M-n-M označava mjesečnu promjenu (stopa promjene indikatora u posmatranom mjesecu u odnosu na prethodni mjesec u %)</w:t>
      </w:r>
      <w:r>
        <w:rPr>
          <w:i/>
          <w:iCs/>
          <w:noProof/>
          <w:sz w:val="12"/>
          <w:szCs w:val="12"/>
          <w:lang w:val="hr-BA"/>
        </w:rPr>
        <w:t xml:space="preserve"> g-n-g</w:t>
      </w:r>
      <w:r w:rsidRPr="00715429">
        <w:rPr>
          <w:i/>
          <w:iCs/>
          <w:noProof/>
          <w:sz w:val="12"/>
          <w:szCs w:val="12"/>
          <w:lang w:val="hr-BA"/>
        </w:rPr>
        <w:t xml:space="preserve"> označava </w:t>
      </w:r>
      <w:r>
        <w:rPr>
          <w:i/>
          <w:iCs/>
          <w:noProof/>
          <w:sz w:val="12"/>
          <w:szCs w:val="12"/>
          <w:lang w:val="hr-BA"/>
        </w:rPr>
        <w:t>godišnju</w:t>
      </w:r>
      <w:r w:rsidRPr="00715429">
        <w:rPr>
          <w:i/>
          <w:iCs/>
          <w:noProof/>
          <w:sz w:val="12"/>
          <w:szCs w:val="12"/>
          <w:lang w:val="hr-BA"/>
        </w:rPr>
        <w:t xml:space="preserve"> promjenu (stopa promjene indikatora u posmatranom mjesecu</w:t>
      </w:r>
      <w:r>
        <w:rPr>
          <w:i/>
          <w:iCs/>
          <w:noProof/>
          <w:sz w:val="12"/>
          <w:szCs w:val="12"/>
          <w:lang w:val="hr-BA"/>
        </w:rPr>
        <w:t xml:space="preserve">ili periodu </w:t>
      </w:r>
      <w:r w:rsidRPr="00715429">
        <w:rPr>
          <w:i/>
          <w:iCs/>
          <w:noProof/>
          <w:sz w:val="12"/>
          <w:szCs w:val="12"/>
          <w:lang w:val="hr-BA"/>
        </w:rPr>
        <w:t xml:space="preserve"> u odnosu na </w:t>
      </w:r>
      <w:r>
        <w:rPr>
          <w:i/>
          <w:iCs/>
          <w:noProof/>
          <w:sz w:val="12"/>
          <w:szCs w:val="12"/>
          <w:lang w:val="hr-BA"/>
        </w:rPr>
        <w:t>isti mmjesec ili periodprethodne godine</w:t>
      </w:r>
      <w:r w:rsidRPr="00715429">
        <w:rPr>
          <w:i/>
          <w:iCs/>
          <w:noProof/>
          <w:sz w:val="12"/>
          <w:szCs w:val="12"/>
          <w:lang w:val="hr-BA"/>
        </w:rPr>
        <w:t xml:space="preserve"> u %)</w:t>
      </w:r>
    </w:p>
    <w:p w:rsidR="006E5C4C" w:rsidRDefault="006E5C4C" w:rsidP="006E5C4C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527ECF" w:rsidRDefault="00527ECF" w:rsidP="006E5C4C">
      <w:pPr>
        <w:spacing w:after="0" w:line="240" w:lineRule="auto"/>
        <w:ind w:firstLine="142"/>
        <w:rPr>
          <w:noProof/>
          <w:sz w:val="18"/>
          <w:szCs w:val="18"/>
          <w:lang w:val="hr-BA"/>
        </w:rPr>
      </w:pPr>
    </w:p>
    <w:p w:rsidR="00CD707C" w:rsidRPr="0065398C" w:rsidRDefault="00A30E95" w:rsidP="00784DAE">
      <w:pPr>
        <w:spacing w:after="0" w:line="240" w:lineRule="auto"/>
        <w:ind w:firstLine="142"/>
        <w:jc w:val="center"/>
        <w:rPr>
          <w:noProof/>
          <w:sz w:val="18"/>
          <w:szCs w:val="18"/>
          <w:lang w:val="hr-BA"/>
        </w:rPr>
      </w:pPr>
      <w:r w:rsidRPr="0065398C">
        <w:rPr>
          <w:noProof/>
          <w:sz w:val="18"/>
          <w:szCs w:val="18"/>
          <w:lang w:val="hr-BA"/>
        </w:rPr>
        <w:t>T</w:t>
      </w:r>
      <w:r w:rsidR="00784DAE" w:rsidRPr="0065398C">
        <w:rPr>
          <w:noProof/>
          <w:sz w:val="18"/>
          <w:szCs w:val="18"/>
          <w:lang w:val="hr-BA"/>
        </w:rPr>
        <w:t xml:space="preserve">abela 2: </w:t>
      </w:r>
      <w:r w:rsidR="00784DAE" w:rsidRPr="0065398C">
        <w:rPr>
          <w:b/>
          <w:bCs/>
          <w:noProof/>
          <w:sz w:val="18"/>
          <w:szCs w:val="18"/>
          <w:lang w:val="hr-BA"/>
        </w:rPr>
        <w:t>BUDŽET CRNE GORE</w:t>
      </w:r>
      <w:r w:rsidR="00784DAE" w:rsidRPr="0065398C">
        <w:rPr>
          <w:noProof/>
          <w:sz w:val="18"/>
          <w:szCs w:val="18"/>
          <w:lang w:val="hr-BA"/>
        </w:rPr>
        <w:t xml:space="preserve"> –</w:t>
      </w:r>
      <w:r w:rsidR="00736A98">
        <w:rPr>
          <w:noProof/>
          <w:sz w:val="18"/>
          <w:szCs w:val="18"/>
          <w:lang w:val="hr-BA"/>
        </w:rPr>
        <w:t xml:space="preserve"> jun</w:t>
      </w:r>
      <w:r w:rsidR="009C5011" w:rsidRPr="0065398C">
        <w:rPr>
          <w:noProof/>
          <w:sz w:val="18"/>
          <w:szCs w:val="18"/>
          <w:lang w:val="hr-BA"/>
        </w:rPr>
        <w:t xml:space="preserve"> 2014</w:t>
      </w:r>
    </w:p>
    <w:tbl>
      <w:tblPr>
        <w:tblW w:w="1374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607"/>
        <w:gridCol w:w="677"/>
        <w:gridCol w:w="677"/>
        <w:gridCol w:w="677"/>
        <w:gridCol w:w="677"/>
        <w:gridCol w:w="677"/>
        <w:gridCol w:w="678"/>
        <w:gridCol w:w="678"/>
        <w:gridCol w:w="678"/>
        <w:gridCol w:w="678"/>
        <w:gridCol w:w="607"/>
        <w:gridCol w:w="607"/>
        <w:gridCol w:w="607"/>
        <w:gridCol w:w="822"/>
        <w:gridCol w:w="864"/>
        <w:gridCol w:w="822"/>
      </w:tblGrid>
      <w:tr w:rsidR="00401F54" w:rsidRPr="00401F54" w:rsidTr="001C3AB7">
        <w:trPr>
          <w:trHeight w:val="435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01F54">
              <w:rPr>
                <w:rFonts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2" w:type="dxa"/>
            <w:gridSpan w:val="6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2013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2014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plan 2014</w:t>
            </w:r>
          </w:p>
        </w:tc>
        <w:tc>
          <w:tcPr>
            <w:tcW w:w="2508" w:type="dxa"/>
            <w:gridSpan w:val="3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Analitika-JUN</w:t>
            </w:r>
          </w:p>
        </w:tc>
      </w:tr>
      <w:tr w:rsidR="00401F54" w:rsidRPr="00401F54" w:rsidTr="001C3AB7">
        <w:trPr>
          <w:trHeight w:val="750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01F54">
              <w:rPr>
                <w:rFonts w:cs="Calibri"/>
                <w:b/>
                <w:bCs/>
                <w:sz w:val="16"/>
                <w:szCs w:val="16"/>
              </w:rPr>
              <w:t>BUDŽET CRNE GORE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VII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VIII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IX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XI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XII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I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II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III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IV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V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VI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VI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jun 2014/jun 2013 (%)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jan-jun 2014/jan-jun 2013 (%)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1F54">
              <w:rPr>
                <w:rFonts w:cs="Calibri"/>
                <w:b/>
                <w:sz w:val="16"/>
                <w:szCs w:val="16"/>
              </w:rPr>
              <w:t>jun 2014/jun 2014 plan (%)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401F54">
              <w:rPr>
                <w:rFonts w:cs="Calibri"/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122,02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125,05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116,34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117,28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95,78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142,43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70,78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82,13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100,71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109,03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102,07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109,85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sz w:val="14"/>
                <w:szCs w:val="14"/>
              </w:rPr>
              <w:t>105,86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9,82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10,88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3,77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000000" w:fill="FFFFFF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Porezi i doprinosi na  zarade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40,63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44,81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47,38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54,03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37,52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75,77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21,23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34,36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37,91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40,21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45,74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45,71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39,07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16,94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16,07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17,00</w:t>
            </w:r>
          </w:p>
        </w:tc>
      </w:tr>
      <w:tr w:rsidR="00401F54" w:rsidRPr="00401F54" w:rsidTr="001C3AB7">
        <w:trPr>
          <w:trHeight w:val="315"/>
          <w:jc w:val="center"/>
        </w:trPr>
        <w:tc>
          <w:tcPr>
            <w:tcW w:w="2714" w:type="dxa"/>
            <w:shd w:val="clear" w:color="000000" w:fill="FFFFFF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Porez na dobit pravnih lica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2,84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1,13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1,54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12,11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11,31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2,49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2,38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3,97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-34,49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-40,03</w:t>
            </w:r>
          </w:p>
        </w:tc>
      </w:tr>
      <w:tr w:rsidR="00401F54" w:rsidRPr="00401F54" w:rsidTr="001C3AB7">
        <w:trPr>
          <w:trHeight w:val="300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Porez na dodatu vrijednost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47,18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47,07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40,69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37,65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33,51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40,19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32,17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31,16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34,92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39,01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33,08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37,06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39,98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3,34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13,40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-7,29</w:t>
            </w:r>
          </w:p>
        </w:tc>
      </w:tr>
      <w:tr w:rsidR="00401F54" w:rsidRPr="00401F54" w:rsidTr="001C3AB7">
        <w:trPr>
          <w:trHeight w:val="300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Akcize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16,43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20,98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17,25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14,55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13,08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9,74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8,37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9,53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10,78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12,29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14,55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14,58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-1,08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-0,16</w:t>
            </w:r>
          </w:p>
        </w:tc>
      </w:tr>
      <w:tr w:rsidR="00401F54" w:rsidRPr="00401F54" w:rsidTr="001C3AB7">
        <w:trPr>
          <w:trHeight w:val="315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Porez na medj trgovinu i transak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2,21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1,69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1,64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1,83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1,87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2,14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2,13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7,23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-5,92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0,61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401F54">
              <w:rPr>
                <w:rFonts w:cs="Calibri"/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160,33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141,28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99,42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98,49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150,13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94,32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88,93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115,85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122,27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101,38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107,81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111,47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7,63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6,01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-3,28</w:t>
            </w:r>
          </w:p>
        </w:tc>
      </w:tr>
      <w:tr w:rsidR="00401F54" w:rsidRPr="00401F54" w:rsidTr="001C3AB7">
        <w:trPr>
          <w:trHeight w:val="348"/>
          <w:jc w:val="center"/>
        </w:trPr>
        <w:tc>
          <w:tcPr>
            <w:tcW w:w="2714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Bruto zarade i doprinosi na teret posl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30,26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30,77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30,66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30,67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28,82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31,75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31,98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28,94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33,39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33,66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31,68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32,21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1,83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3,09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-1,63</w:t>
            </w:r>
          </w:p>
        </w:tc>
      </w:tr>
      <w:tr w:rsidR="00401F54" w:rsidRPr="00401F54" w:rsidTr="001C3AB7">
        <w:trPr>
          <w:trHeight w:val="291"/>
          <w:jc w:val="center"/>
        </w:trPr>
        <w:tc>
          <w:tcPr>
            <w:tcW w:w="2714" w:type="dxa"/>
            <w:shd w:val="clear" w:color="auto" w:fill="auto"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Rashodi za materijal i usluge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7,14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6,44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8,39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6,48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17,95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6,41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5,24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5,56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7,64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7,43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25,41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-8,72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2,70</w:t>
            </w:r>
          </w:p>
        </w:tc>
      </w:tr>
      <w:tr w:rsidR="00401F54" w:rsidRPr="00401F54" w:rsidTr="001C3AB7">
        <w:trPr>
          <w:trHeight w:val="300"/>
          <w:jc w:val="center"/>
        </w:trPr>
        <w:tc>
          <w:tcPr>
            <w:tcW w:w="2714" w:type="dxa"/>
            <w:shd w:val="clear" w:color="auto" w:fill="auto"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Kamate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18,71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5,12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1,11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4,62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24,66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6,11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47,94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14,76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-8,14</w:t>
            </w:r>
          </w:p>
        </w:tc>
      </w:tr>
      <w:tr w:rsidR="00401F54" w:rsidRPr="00401F54" w:rsidTr="001C3AB7">
        <w:trPr>
          <w:trHeight w:val="300"/>
          <w:jc w:val="center"/>
        </w:trPr>
        <w:tc>
          <w:tcPr>
            <w:tcW w:w="2714" w:type="dxa"/>
            <w:shd w:val="clear" w:color="auto" w:fill="auto"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Transferi za socijalnu zaštitu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39,78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39,18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40,14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39,79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39,83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43,05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39,56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41,43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41,91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40,42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40,51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40,21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41,52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0,84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1,18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-3,15</w:t>
            </w:r>
          </w:p>
        </w:tc>
      </w:tr>
      <w:tr w:rsidR="00401F54" w:rsidRPr="00401F54" w:rsidTr="001C3AB7">
        <w:trPr>
          <w:trHeight w:val="450"/>
          <w:jc w:val="center"/>
        </w:trPr>
        <w:tc>
          <w:tcPr>
            <w:tcW w:w="2714" w:type="dxa"/>
            <w:shd w:val="clear" w:color="auto" w:fill="auto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Transferi instit, pojed i NVO sektoru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5,86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9,04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8,25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7,30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4,75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17,85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4,73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3,67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11,94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7,96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8,71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8,42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23,35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11,03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3,43</w:t>
            </w:r>
          </w:p>
        </w:tc>
      </w:tr>
      <w:tr w:rsidR="00401F54" w:rsidRPr="00401F54" w:rsidTr="001C3AB7">
        <w:trPr>
          <w:trHeight w:val="315"/>
          <w:jc w:val="center"/>
        </w:trPr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Kapitalni izdaci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4,93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5,91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6,49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22,14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1,67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1,07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6,62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6,75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9,36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29,51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17,64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-27,91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401F54">
              <w:rPr>
                <w:rFonts w:cs="Calibri"/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-38,31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-16,22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-2,66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17,86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-2,71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-7,70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-23,54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-6,80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-15,15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-13,24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-5,61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-1480,90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-26,91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-136,36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Primarni deficit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-32,57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-14,12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16,06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18,66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-1,96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-2,58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-21,23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-5,69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-10,52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11,42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1,62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7,65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0,50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109,86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-60,51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1427,16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vAlign w:val="bottom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Otplata dugova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34,60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16,98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24,39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14,01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17,57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6,53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4,92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9,83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8,79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60,61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14,29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228,23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106,77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324,29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401F54">
              <w:rPr>
                <w:rFonts w:cs="Calibri"/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1810,4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1844,90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1846,50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1832,00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1886,30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1873,15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1950,10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1950,70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2005,80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1990,30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01F54" w:rsidRPr="00401F54" w:rsidTr="001C3AB7">
        <w:trPr>
          <w:trHeight w:val="330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Domaći dug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442,8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433,80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480,90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471,70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440,40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440,13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517,60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513,40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572,40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588,10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01F54" w:rsidRPr="00401F54" w:rsidTr="001C3AB7">
        <w:trPr>
          <w:trHeight w:val="315"/>
          <w:jc w:val="center"/>
        </w:trPr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01F54">
              <w:rPr>
                <w:rFonts w:cs="Calibri"/>
                <w:sz w:val="16"/>
                <w:szCs w:val="16"/>
              </w:rPr>
              <w:t>Inostrani dug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1367,6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1411,10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1365,60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1360,30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1445,90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color w:val="000000"/>
                <w:sz w:val="14"/>
                <w:szCs w:val="14"/>
              </w:rPr>
              <w:t>1433,02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1432,50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1437,30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1433,40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1402,20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401F54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401F54" w:rsidRPr="00401F54" w:rsidRDefault="00401F54" w:rsidP="00401F54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401F54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</w:tbl>
    <w:p w:rsidR="00CD707C" w:rsidRPr="00715429" w:rsidRDefault="00CD707C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332574" w:rsidRPr="0065398C" w:rsidRDefault="00332574" w:rsidP="00401F54">
      <w:pPr>
        <w:ind w:left="720"/>
        <w:outlineLvl w:val="0"/>
        <w:rPr>
          <w:b/>
          <w:i/>
          <w:noProof/>
          <w:sz w:val="18"/>
          <w:szCs w:val="18"/>
          <w:lang w:val="hr-BA"/>
        </w:rPr>
      </w:pPr>
      <w:r w:rsidRPr="0065398C">
        <w:rPr>
          <w:b/>
          <w:i/>
          <w:noProof/>
          <w:sz w:val="18"/>
          <w:szCs w:val="18"/>
          <w:lang w:val="hr-BA"/>
        </w:rPr>
        <w:t>Izvor: Ministarstvo finansija Crne Gore</w:t>
      </w:r>
    </w:p>
    <w:p w:rsidR="00A30E95" w:rsidRPr="00715429" w:rsidRDefault="00A30E95" w:rsidP="00332574">
      <w:pPr>
        <w:outlineLvl w:val="0"/>
        <w:rPr>
          <w:b/>
          <w:i/>
          <w:noProof/>
          <w:sz w:val="16"/>
          <w:szCs w:val="16"/>
          <w:lang w:val="hr-BA"/>
        </w:rPr>
      </w:pPr>
    </w:p>
    <w:p w:rsidR="0082570B" w:rsidRPr="00715429" w:rsidRDefault="0082570B" w:rsidP="005025EC">
      <w:pPr>
        <w:ind w:left="-142"/>
        <w:jc w:val="both"/>
        <w:rPr>
          <w:noProof/>
          <w:sz w:val="14"/>
          <w:szCs w:val="14"/>
          <w:lang w:val="hr-BA"/>
        </w:rPr>
      </w:pPr>
    </w:p>
    <w:sectPr w:rsidR="0082570B" w:rsidRPr="00715429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37" w:rsidRDefault="00083237" w:rsidP="00965FCD">
      <w:pPr>
        <w:spacing w:after="0" w:line="240" w:lineRule="auto"/>
      </w:pPr>
      <w:r>
        <w:separator/>
      </w:r>
    </w:p>
  </w:endnote>
  <w:endnote w:type="continuationSeparator" w:id="1">
    <w:p w:rsidR="00083237" w:rsidRDefault="00083237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37" w:rsidRDefault="00083237" w:rsidP="00965FCD">
      <w:pPr>
        <w:spacing w:after="0" w:line="240" w:lineRule="auto"/>
      </w:pPr>
      <w:r>
        <w:separator/>
      </w:r>
    </w:p>
  </w:footnote>
  <w:footnote w:type="continuationSeparator" w:id="1">
    <w:p w:rsidR="00083237" w:rsidRDefault="00083237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B143B"/>
    <w:multiLevelType w:val="hybridMultilevel"/>
    <w:tmpl w:val="52B43358"/>
    <w:lvl w:ilvl="0" w:tplc="1F3CB92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2"/>
  </w:num>
  <w:num w:numId="9">
    <w:abstractNumId w:val="0"/>
  </w:num>
  <w:num w:numId="10">
    <w:abstractNumId w:val="24"/>
  </w:num>
  <w:num w:numId="11">
    <w:abstractNumId w:val="1"/>
  </w:num>
  <w:num w:numId="12">
    <w:abstractNumId w:val="23"/>
  </w:num>
  <w:num w:numId="13">
    <w:abstractNumId w:val="19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  <w:num w:numId="18">
    <w:abstractNumId w:val="16"/>
  </w:num>
  <w:num w:numId="19">
    <w:abstractNumId w:val="7"/>
  </w:num>
  <w:num w:numId="20">
    <w:abstractNumId w:val="14"/>
  </w:num>
  <w:num w:numId="21">
    <w:abstractNumId w:val="15"/>
  </w:num>
  <w:num w:numId="22">
    <w:abstractNumId w:val="11"/>
  </w:num>
  <w:num w:numId="23">
    <w:abstractNumId w:val="10"/>
  </w:num>
  <w:num w:numId="24">
    <w:abstractNumId w:val="22"/>
  </w:num>
  <w:num w:numId="25">
    <w:abstractNumId w:val="3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69698"/>
  </w:hdrShapeDefaults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9E1"/>
    <w:rsid w:val="000010A3"/>
    <w:rsid w:val="000030B2"/>
    <w:rsid w:val="00003D78"/>
    <w:rsid w:val="00004B56"/>
    <w:rsid w:val="00005D5A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94D"/>
    <w:rsid w:val="00031FAD"/>
    <w:rsid w:val="00032524"/>
    <w:rsid w:val="00032D3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2CE6"/>
    <w:rsid w:val="00043081"/>
    <w:rsid w:val="000438D0"/>
    <w:rsid w:val="00043DED"/>
    <w:rsid w:val="000449CD"/>
    <w:rsid w:val="00044CB0"/>
    <w:rsid w:val="00045654"/>
    <w:rsid w:val="00045D59"/>
    <w:rsid w:val="00046C9E"/>
    <w:rsid w:val="00050EAB"/>
    <w:rsid w:val="00052732"/>
    <w:rsid w:val="00052DC4"/>
    <w:rsid w:val="00054068"/>
    <w:rsid w:val="000547A1"/>
    <w:rsid w:val="00055E5C"/>
    <w:rsid w:val="00055F78"/>
    <w:rsid w:val="0005630C"/>
    <w:rsid w:val="00056750"/>
    <w:rsid w:val="00056E43"/>
    <w:rsid w:val="000572EC"/>
    <w:rsid w:val="0005797E"/>
    <w:rsid w:val="0006014E"/>
    <w:rsid w:val="000601A4"/>
    <w:rsid w:val="00060976"/>
    <w:rsid w:val="00061391"/>
    <w:rsid w:val="000624EE"/>
    <w:rsid w:val="00064395"/>
    <w:rsid w:val="000645F3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0DB7"/>
    <w:rsid w:val="000812E2"/>
    <w:rsid w:val="0008138F"/>
    <w:rsid w:val="00082D87"/>
    <w:rsid w:val="00083237"/>
    <w:rsid w:val="00083320"/>
    <w:rsid w:val="00085B67"/>
    <w:rsid w:val="00087CB4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1159"/>
    <w:rsid w:val="000A14DA"/>
    <w:rsid w:val="000A2350"/>
    <w:rsid w:val="000A2F52"/>
    <w:rsid w:val="000A33CB"/>
    <w:rsid w:val="000A43CE"/>
    <w:rsid w:val="000A47FF"/>
    <w:rsid w:val="000A4E37"/>
    <w:rsid w:val="000A787A"/>
    <w:rsid w:val="000B19D0"/>
    <w:rsid w:val="000B1DD7"/>
    <w:rsid w:val="000B45AB"/>
    <w:rsid w:val="000B4800"/>
    <w:rsid w:val="000B48EE"/>
    <w:rsid w:val="000B502D"/>
    <w:rsid w:val="000B52E3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55"/>
    <w:rsid w:val="000C36DB"/>
    <w:rsid w:val="000C5764"/>
    <w:rsid w:val="000C5FBB"/>
    <w:rsid w:val="000C65A2"/>
    <w:rsid w:val="000C6818"/>
    <w:rsid w:val="000C72DD"/>
    <w:rsid w:val="000D0368"/>
    <w:rsid w:val="000D0374"/>
    <w:rsid w:val="000D09EB"/>
    <w:rsid w:val="000D0D95"/>
    <w:rsid w:val="000D52CF"/>
    <w:rsid w:val="000D588E"/>
    <w:rsid w:val="000D5D48"/>
    <w:rsid w:val="000D5ED7"/>
    <w:rsid w:val="000D6CD4"/>
    <w:rsid w:val="000D6DF1"/>
    <w:rsid w:val="000D765B"/>
    <w:rsid w:val="000D7A66"/>
    <w:rsid w:val="000E0769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2049"/>
    <w:rsid w:val="000F4D73"/>
    <w:rsid w:val="000F5B09"/>
    <w:rsid w:val="000F6059"/>
    <w:rsid w:val="000F6577"/>
    <w:rsid w:val="000F6C6B"/>
    <w:rsid w:val="000F756E"/>
    <w:rsid w:val="000F7DDF"/>
    <w:rsid w:val="00100371"/>
    <w:rsid w:val="001021CB"/>
    <w:rsid w:val="001030CC"/>
    <w:rsid w:val="0010339D"/>
    <w:rsid w:val="00103CA9"/>
    <w:rsid w:val="0010452C"/>
    <w:rsid w:val="00104D71"/>
    <w:rsid w:val="00106446"/>
    <w:rsid w:val="0010656B"/>
    <w:rsid w:val="00107128"/>
    <w:rsid w:val="00107647"/>
    <w:rsid w:val="00107A07"/>
    <w:rsid w:val="00112853"/>
    <w:rsid w:val="00112E23"/>
    <w:rsid w:val="00114109"/>
    <w:rsid w:val="001141E2"/>
    <w:rsid w:val="00114378"/>
    <w:rsid w:val="00115519"/>
    <w:rsid w:val="00115C83"/>
    <w:rsid w:val="00116365"/>
    <w:rsid w:val="001164A1"/>
    <w:rsid w:val="00116A8F"/>
    <w:rsid w:val="00117AB0"/>
    <w:rsid w:val="00117B2E"/>
    <w:rsid w:val="00120A3A"/>
    <w:rsid w:val="00123CBD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10BD"/>
    <w:rsid w:val="001613FC"/>
    <w:rsid w:val="00161D30"/>
    <w:rsid w:val="001627A3"/>
    <w:rsid w:val="00163041"/>
    <w:rsid w:val="00163A7B"/>
    <w:rsid w:val="001644C7"/>
    <w:rsid w:val="001646BA"/>
    <w:rsid w:val="00165DE6"/>
    <w:rsid w:val="00167281"/>
    <w:rsid w:val="001672AB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331D"/>
    <w:rsid w:val="0018592D"/>
    <w:rsid w:val="0018626E"/>
    <w:rsid w:val="0018666E"/>
    <w:rsid w:val="00186BEF"/>
    <w:rsid w:val="00186F09"/>
    <w:rsid w:val="0018794A"/>
    <w:rsid w:val="00187C66"/>
    <w:rsid w:val="00190285"/>
    <w:rsid w:val="0019028E"/>
    <w:rsid w:val="00191F90"/>
    <w:rsid w:val="00192506"/>
    <w:rsid w:val="00192F1E"/>
    <w:rsid w:val="00193785"/>
    <w:rsid w:val="001942BA"/>
    <w:rsid w:val="001971A8"/>
    <w:rsid w:val="001A1611"/>
    <w:rsid w:val="001A18E0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65DB"/>
    <w:rsid w:val="001B7AD0"/>
    <w:rsid w:val="001B7D00"/>
    <w:rsid w:val="001C0237"/>
    <w:rsid w:val="001C0AB4"/>
    <w:rsid w:val="001C1490"/>
    <w:rsid w:val="001C1928"/>
    <w:rsid w:val="001C1F7E"/>
    <w:rsid w:val="001C22CB"/>
    <w:rsid w:val="001C23DD"/>
    <w:rsid w:val="001C264C"/>
    <w:rsid w:val="001C2751"/>
    <w:rsid w:val="001C3AB7"/>
    <w:rsid w:val="001C51EC"/>
    <w:rsid w:val="001C5CE9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6B4D"/>
    <w:rsid w:val="001F7445"/>
    <w:rsid w:val="001F7C33"/>
    <w:rsid w:val="001F7C4B"/>
    <w:rsid w:val="002000E5"/>
    <w:rsid w:val="00200A3F"/>
    <w:rsid w:val="0020137E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16F95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27DE"/>
    <w:rsid w:val="00232A05"/>
    <w:rsid w:val="00233D4D"/>
    <w:rsid w:val="0023443E"/>
    <w:rsid w:val="00234902"/>
    <w:rsid w:val="00234D14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47F1B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3A7"/>
    <w:rsid w:val="002723D9"/>
    <w:rsid w:val="00274EBC"/>
    <w:rsid w:val="00275609"/>
    <w:rsid w:val="002767DD"/>
    <w:rsid w:val="00280105"/>
    <w:rsid w:val="00282488"/>
    <w:rsid w:val="00282DBE"/>
    <w:rsid w:val="00283704"/>
    <w:rsid w:val="00287A18"/>
    <w:rsid w:val="00290B89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CC2"/>
    <w:rsid w:val="002A1DC4"/>
    <w:rsid w:val="002A235B"/>
    <w:rsid w:val="002A2CED"/>
    <w:rsid w:val="002A4910"/>
    <w:rsid w:val="002A5C73"/>
    <w:rsid w:val="002A68B8"/>
    <w:rsid w:val="002B10AE"/>
    <w:rsid w:val="002B318C"/>
    <w:rsid w:val="002B3824"/>
    <w:rsid w:val="002B552A"/>
    <w:rsid w:val="002B74C5"/>
    <w:rsid w:val="002C010C"/>
    <w:rsid w:val="002C1A52"/>
    <w:rsid w:val="002C1FBF"/>
    <w:rsid w:val="002C25C6"/>
    <w:rsid w:val="002C4737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CDE"/>
    <w:rsid w:val="002D5187"/>
    <w:rsid w:val="002D5865"/>
    <w:rsid w:val="002D77A7"/>
    <w:rsid w:val="002D7BA6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53D4"/>
    <w:rsid w:val="00305659"/>
    <w:rsid w:val="0030680B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2E47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1C44"/>
    <w:rsid w:val="003524FD"/>
    <w:rsid w:val="003561B8"/>
    <w:rsid w:val="003568F4"/>
    <w:rsid w:val="00357182"/>
    <w:rsid w:val="00357B8D"/>
    <w:rsid w:val="00357E66"/>
    <w:rsid w:val="00360100"/>
    <w:rsid w:val="00360197"/>
    <w:rsid w:val="00361D37"/>
    <w:rsid w:val="003625F1"/>
    <w:rsid w:val="003634DC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1900"/>
    <w:rsid w:val="00381B03"/>
    <w:rsid w:val="0038259A"/>
    <w:rsid w:val="00382F01"/>
    <w:rsid w:val="00384DC2"/>
    <w:rsid w:val="00387C29"/>
    <w:rsid w:val="00387DAD"/>
    <w:rsid w:val="00390732"/>
    <w:rsid w:val="00391CC7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444D"/>
    <w:rsid w:val="003A5C77"/>
    <w:rsid w:val="003A5EB6"/>
    <w:rsid w:val="003A785D"/>
    <w:rsid w:val="003A7A69"/>
    <w:rsid w:val="003B04DA"/>
    <w:rsid w:val="003B0E7A"/>
    <w:rsid w:val="003B15C8"/>
    <w:rsid w:val="003B17BB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8D5"/>
    <w:rsid w:val="003B4F8C"/>
    <w:rsid w:val="003B5512"/>
    <w:rsid w:val="003B62EC"/>
    <w:rsid w:val="003B6749"/>
    <w:rsid w:val="003B6844"/>
    <w:rsid w:val="003B75FC"/>
    <w:rsid w:val="003B7F5E"/>
    <w:rsid w:val="003C1215"/>
    <w:rsid w:val="003C14C9"/>
    <w:rsid w:val="003C15EF"/>
    <w:rsid w:val="003C1D23"/>
    <w:rsid w:val="003C4817"/>
    <w:rsid w:val="003C5E7B"/>
    <w:rsid w:val="003C6A22"/>
    <w:rsid w:val="003C79AC"/>
    <w:rsid w:val="003D0AD8"/>
    <w:rsid w:val="003D1EDB"/>
    <w:rsid w:val="003D4359"/>
    <w:rsid w:val="003D4739"/>
    <w:rsid w:val="003D56FD"/>
    <w:rsid w:val="003D75A1"/>
    <w:rsid w:val="003D78F3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19B"/>
    <w:rsid w:val="003E757E"/>
    <w:rsid w:val="003F0052"/>
    <w:rsid w:val="003F0885"/>
    <w:rsid w:val="003F0CAE"/>
    <w:rsid w:val="003F0EA8"/>
    <w:rsid w:val="003F250B"/>
    <w:rsid w:val="003F2B90"/>
    <w:rsid w:val="003F5183"/>
    <w:rsid w:val="003F56BD"/>
    <w:rsid w:val="003F5A35"/>
    <w:rsid w:val="003F7085"/>
    <w:rsid w:val="00400C11"/>
    <w:rsid w:val="004010A8"/>
    <w:rsid w:val="00401DED"/>
    <w:rsid w:val="00401F54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464"/>
    <w:rsid w:val="00421CD5"/>
    <w:rsid w:val="00421E9D"/>
    <w:rsid w:val="00422784"/>
    <w:rsid w:val="00423EE9"/>
    <w:rsid w:val="00425EC2"/>
    <w:rsid w:val="00427187"/>
    <w:rsid w:val="00427696"/>
    <w:rsid w:val="00427FB8"/>
    <w:rsid w:val="00431253"/>
    <w:rsid w:val="00432066"/>
    <w:rsid w:val="0043265E"/>
    <w:rsid w:val="00435D37"/>
    <w:rsid w:val="00436469"/>
    <w:rsid w:val="00436FB4"/>
    <w:rsid w:val="004379FA"/>
    <w:rsid w:val="00442E20"/>
    <w:rsid w:val="0044465C"/>
    <w:rsid w:val="0044550D"/>
    <w:rsid w:val="004471B9"/>
    <w:rsid w:val="00447221"/>
    <w:rsid w:val="004509F6"/>
    <w:rsid w:val="00450B15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211E"/>
    <w:rsid w:val="004634E4"/>
    <w:rsid w:val="004639A5"/>
    <w:rsid w:val="004655E7"/>
    <w:rsid w:val="0046659C"/>
    <w:rsid w:val="00466A02"/>
    <w:rsid w:val="00466E96"/>
    <w:rsid w:val="00466F15"/>
    <w:rsid w:val="00467511"/>
    <w:rsid w:val="0047022C"/>
    <w:rsid w:val="004725CB"/>
    <w:rsid w:val="0047278D"/>
    <w:rsid w:val="004736B8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151B"/>
    <w:rsid w:val="004B1C2A"/>
    <w:rsid w:val="004B1ECF"/>
    <w:rsid w:val="004B378C"/>
    <w:rsid w:val="004B41B2"/>
    <w:rsid w:val="004B5F63"/>
    <w:rsid w:val="004B7800"/>
    <w:rsid w:val="004B7883"/>
    <w:rsid w:val="004B7C4B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0602"/>
    <w:rsid w:val="004E28B9"/>
    <w:rsid w:val="004E4063"/>
    <w:rsid w:val="004E475F"/>
    <w:rsid w:val="004E6169"/>
    <w:rsid w:val="004E6C21"/>
    <w:rsid w:val="004E7676"/>
    <w:rsid w:val="004F17AF"/>
    <w:rsid w:val="004F2797"/>
    <w:rsid w:val="004F288B"/>
    <w:rsid w:val="004F31D0"/>
    <w:rsid w:val="004F3817"/>
    <w:rsid w:val="004F4CFC"/>
    <w:rsid w:val="004F50B8"/>
    <w:rsid w:val="004F62C2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1025D"/>
    <w:rsid w:val="0051201B"/>
    <w:rsid w:val="00513364"/>
    <w:rsid w:val="0051345D"/>
    <w:rsid w:val="00513EAA"/>
    <w:rsid w:val="00516264"/>
    <w:rsid w:val="00516511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27ECF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68F5"/>
    <w:rsid w:val="00546967"/>
    <w:rsid w:val="00547212"/>
    <w:rsid w:val="005479C8"/>
    <w:rsid w:val="00547B34"/>
    <w:rsid w:val="005523CF"/>
    <w:rsid w:val="00552402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67991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38F0"/>
    <w:rsid w:val="005852DA"/>
    <w:rsid w:val="005858DC"/>
    <w:rsid w:val="00585B6B"/>
    <w:rsid w:val="00585F7B"/>
    <w:rsid w:val="005874DD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054F"/>
    <w:rsid w:val="005A13E6"/>
    <w:rsid w:val="005A1C61"/>
    <w:rsid w:val="005A4AB8"/>
    <w:rsid w:val="005A5064"/>
    <w:rsid w:val="005A5229"/>
    <w:rsid w:val="005B0DB1"/>
    <w:rsid w:val="005B18F4"/>
    <w:rsid w:val="005B25F8"/>
    <w:rsid w:val="005B2BF5"/>
    <w:rsid w:val="005B5CB7"/>
    <w:rsid w:val="005B5F21"/>
    <w:rsid w:val="005B7040"/>
    <w:rsid w:val="005C19AB"/>
    <w:rsid w:val="005C363C"/>
    <w:rsid w:val="005C3915"/>
    <w:rsid w:val="005C3D3E"/>
    <w:rsid w:val="005C4CBE"/>
    <w:rsid w:val="005C4DBD"/>
    <w:rsid w:val="005C4E87"/>
    <w:rsid w:val="005C5F38"/>
    <w:rsid w:val="005C77EE"/>
    <w:rsid w:val="005D07D1"/>
    <w:rsid w:val="005D0E14"/>
    <w:rsid w:val="005D2F3D"/>
    <w:rsid w:val="005D4BC4"/>
    <w:rsid w:val="005D5D14"/>
    <w:rsid w:val="005D6EEB"/>
    <w:rsid w:val="005D751B"/>
    <w:rsid w:val="005E0358"/>
    <w:rsid w:val="005E038B"/>
    <w:rsid w:val="005E078D"/>
    <w:rsid w:val="005E150E"/>
    <w:rsid w:val="005E199C"/>
    <w:rsid w:val="005E2852"/>
    <w:rsid w:val="005E2B06"/>
    <w:rsid w:val="005E35C9"/>
    <w:rsid w:val="005E4CD1"/>
    <w:rsid w:val="005E5941"/>
    <w:rsid w:val="005E6182"/>
    <w:rsid w:val="005E6D35"/>
    <w:rsid w:val="005F060E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07DC1"/>
    <w:rsid w:val="0061084D"/>
    <w:rsid w:val="00610DDD"/>
    <w:rsid w:val="006127E9"/>
    <w:rsid w:val="00612A53"/>
    <w:rsid w:val="00612A74"/>
    <w:rsid w:val="00612F5E"/>
    <w:rsid w:val="00613676"/>
    <w:rsid w:val="006139C9"/>
    <w:rsid w:val="006142D5"/>
    <w:rsid w:val="006152FB"/>
    <w:rsid w:val="0061569F"/>
    <w:rsid w:val="00616B6E"/>
    <w:rsid w:val="00617ACF"/>
    <w:rsid w:val="00617CA0"/>
    <w:rsid w:val="00620024"/>
    <w:rsid w:val="00620ACF"/>
    <w:rsid w:val="00620FA4"/>
    <w:rsid w:val="0062188F"/>
    <w:rsid w:val="00621B53"/>
    <w:rsid w:val="0062271A"/>
    <w:rsid w:val="00622F10"/>
    <w:rsid w:val="00622FAC"/>
    <w:rsid w:val="00623BC4"/>
    <w:rsid w:val="00624C12"/>
    <w:rsid w:val="006304FD"/>
    <w:rsid w:val="00632692"/>
    <w:rsid w:val="006331A4"/>
    <w:rsid w:val="00634B74"/>
    <w:rsid w:val="00635670"/>
    <w:rsid w:val="006357BA"/>
    <w:rsid w:val="0063610A"/>
    <w:rsid w:val="00637872"/>
    <w:rsid w:val="00642A13"/>
    <w:rsid w:val="00642F40"/>
    <w:rsid w:val="006435D8"/>
    <w:rsid w:val="006443E8"/>
    <w:rsid w:val="00645ED4"/>
    <w:rsid w:val="006469AF"/>
    <w:rsid w:val="00647463"/>
    <w:rsid w:val="00647B12"/>
    <w:rsid w:val="006509EE"/>
    <w:rsid w:val="00651027"/>
    <w:rsid w:val="0065108A"/>
    <w:rsid w:val="0065210C"/>
    <w:rsid w:val="006534C5"/>
    <w:rsid w:val="0065398C"/>
    <w:rsid w:val="00653CF3"/>
    <w:rsid w:val="00654A8A"/>
    <w:rsid w:val="0065518C"/>
    <w:rsid w:val="00655E97"/>
    <w:rsid w:val="0065775B"/>
    <w:rsid w:val="00657F58"/>
    <w:rsid w:val="00661339"/>
    <w:rsid w:val="00661C7E"/>
    <w:rsid w:val="00663690"/>
    <w:rsid w:val="00664DEB"/>
    <w:rsid w:val="00666EFC"/>
    <w:rsid w:val="0066756D"/>
    <w:rsid w:val="00670373"/>
    <w:rsid w:val="006705D4"/>
    <w:rsid w:val="00670C5E"/>
    <w:rsid w:val="00670C6E"/>
    <w:rsid w:val="00671200"/>
    <w:rsid w:val="00671844"/>
    <w:rsid w:val="00671961"/>
    <w:rsid w:val="00671F78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7730D"/>
    <w:rsid w:val="006807FE"/>
    <w:rsid w:val="00680A78"/>
    <w:rsid w:val="00681351"/>
    <w:rsid w:val="00681A9E"/>
    <w:rsid w:val="00682718"/>
    <w:rsid w:val="00684818"/>
    <w:rsid w:val="00684902"/>
    <w:rsid w:val="00685393"/>
    <w:rsid w:val="006900C6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80B"/>
    <w:rsid w:val="00695AC5"/>
    <w:rsid w:val="006966E3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5F7F"/>
    <w:rsid w:val="006A6C58"/>
    <w:rsid w:val="006A6FB2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458"/>
    <w:rsid w:val="006C15C6"/>
    <w:rsid w:val="006C1C26"/>
    <w:rsid w:val="006C27EC"/>
    <w:rsid w:val="006C28CF"/>
    <w:rsid w:val="006C2906"/>
    <w:rsid w:val="006C2EF6"/>
    <w:rsid w:val="006C3C84"/>
    <w:rsid w:val="006C5096"/>
    <w:rsid w:val="006C5F17"/>
    <w:rsid w:val="006C6303"/>
    <w:rsid w:val="006C6B7E"/>
    <w:rsid w:val="006C6BF9"/>
    <w:rsid w:val="006C6C06"/>
    <w:rsid w:val="006C6F77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6FD6"/>
    <w:rsid w:val="006D74DB"/>
    <w:rsid w:val="006D75A5"/>
    <w:rsid w:val="006E11AC"/>
    <w:rsid w:val="006E4746"/>
    <w:rsid w:val="006E4B91"/>
    <w:rsid w:val="006E5C4C"/>
    <w:rsid w:val="006E6751"/>
    <w:rsid w:val="006E7282"/>
    <w:rsid w:val="006F0752"/>
    <w:rsid w:val="006F1525"/>
    <w:rsid w:val="006F1AFE"/>
    <w:rsid w:val="006F2861"/>
    <w:rsid w:val="006F4309"/>
    <w:rsid w:val="006F4C84"/>
    <w:rsid w:val="006F5E1B"/>
    <w:rsid w:val="006F6B2B"/>
    <w:rsid w:val="006F6D5E"/>
    <w:rsid w:val="006F7123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07CA4"/>
    <w:rsid w:val="00707E96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AAE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307C9"/>
    <w:rsid w:val="007319C8"/>
    <w:rsid w:val="007326D7"/>
    <w:rsid w:val="00733BCB"/>
    <w:rsid w:val="0073431B"/>
    <w:rsid w:val="00734688"/>
    <w:rsid w:val="00734729"/>
    <w:rsid w:val="00736A98"/>
    <w:rsid w:val="00736E76"/>
    <w:rsid w:val="0073706D"/>
    <w:rsid w:val="007375FD"/>
    <w:rsid w:val="00737DB4"/>
    <w:rsid w:val="007406F2"/>
    <w:rsid w:val="00742C04"/>
    <w:rsid w:val="00743684"/>
    <w:rsid w:val="007452A1"/>
    <w:rsid w:val="00745B73"/>
    <w:rsid w:val="00745BCE"/>
    <w:rsid w:val="00745EB5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1BC9"/>
    <w:rsid w:val="00762622"/>
    <w:rsid w:val="0076413B"/>
    <w:rsid w:val="007652FD"/>
    <w:rsid w:val="0076645A"/>
    <w:rsid w:val="007675AF"/>
    <w:rsid w:val="00771538"/>
    <w:rsid w:val="00771D94"/>
    <w:rsid w:val="007722BC"/>
    <w:rsid w:val="00772585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2988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A27"/>
    <w:rsid w:val="00793F4D"/>
    <w:rsid w:val="007941BB"/>
    <w:rsid w:val="007942AB"/>
    <w:rsid w:val="00794B8C"/>
    <w:rsid w:val="00796ED1"/>
    <w:rsid w:val="007978AC"/>
    <w:rsid w:val="00797B66"/>
    <w:rsid w:val="00797BA2"/>
    <w:rsid w:val="007A0816"/>
    <w:rsid w:val="007A1882"/>
    <w:rsid w:val="007A1CFE"/>
    <w:rsid w:val="007A2091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EB"/>
    <w:rsid w:val="007E380A"/>
    <w:rsid w:val="007E5CC1"/>
    <w:rsid w:val="007E7DDD"/>
    <w:rsid w:val="007F182C"/>
    <w:rsid w:val="007F33E9"/>
    <w:rsid w:val="007F388B"/>
    <w:rsid w:val="007F4571"/>
    <w:rsid w:val="007F4D55"/>
    <w:rsid w:val="007F61AF"/>
    <w:rsid w:val="007F775F"/>
    <w:rsid w:val="007F7F34"/>
    <w:rsid w:val="0080031F"/>
    <w:rsid w:val="00801411"/>
    <w:rsid w:val="00801DB8"/>
    <w:rsid w:val="0080291E"/>
    <w:rsid w:val="00802B7F"/>
    <w:rsid w:val="00804F0B"/>
    <w:rsid w:val="00805844"/>
    <w:rsid w:val="00805F78"/>
    <w:rsid w:val="00806B4B"/>
    <w:rsid w:val="00810837"/>
    <w:rsid w:val="00810CC6"/>
    <w:rsid w:val="00810CDD"/>
    <w:rsid w:val="00811332"/>
    <w:rsid w:val="0081184B"/>
    <w:rsid w:val="00811943"/>
    <w:rsid w:val="00811DF5"/>
    <w:rsid w:val="008123BC"/>
    <w:rsid w:val="00812862"/>
    <w:rsid w:val="00812E0B"/>
    <w:rsid w:val="00813346"/>
    <w:rsid w:val="00813F13"/>
    <w:rsid w:val="00814063"/>
    <w:rsid w:val="00815A2F"/>
    <w:rsid w:val="00817A6A"/>
    <w:rsid w:val="0082070B"/>
    <w:rsid w:val="0082084A"/>
    <w:rsid w:val="00821F0D"/>
    <w:rsid w:val="00822F67"/>
    <w:rsid w:val="008251C2"/>
    <w:rsid w:val="0082570B"/>
    <w:rsid w:val="008269CE"/>
    <w:rsid w:val="0082721B"/>
    <w:rsid w:val="0083011C"/>
    <w:rsid w:val="008312F3"/>
    <w:rsid w:val="008317C7"/>
    <w:rsid w:val="008343BA"/>
    <w:rsid w:val="0083553F"/>
    <w:rsid w:val="008355A8"/>
    <w:rsid w:val="00836A00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7B5B"/>
    <w:rsid w:val="00847C9F"/>
    <w:rsid w:val="00847EBF"/>
    <w:rsid w:val="0085138D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7D9"/>
    <w:rsid w:val="00874F31"/>
    <w:rsid w:val="0087527E"/>
    <w:rsid w:val="00875C4F"/>
    <w:rsid w:val="008770B1"/>
    <w:rsid w:val="00877642"/>
    <w:rsid w:val="00877FE9"/>
    <w:rsid w:val="00880646"/>
    <w:rsid w:val="00881C0B"/>
    <w:rsid w:val="00882650"/>
    <w:rsid w:val="00883754"/>
    <w:rsid w:val="008842AB"/>
    <w:rsid w:val="008844C7"/>
    <w:rsid w:val="008855BC"/>
    <w:rsid w:val="00885A7F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4B6"/>
    <w:rsid w:val="008E3805"/>
    <w:rsid w:val="008E3D20"/>
    <w:rsid w:val="008E4582"/>
    <w:rsid w:val="008E462B"/>
    <w:rsid w:val="008E5EDA"/>
    <w:rsid w:val="008E636B"/>
    <w:rsid w:val="008E6D00"/>
    <w:rsid w:val="008E7183"/>
    <w:rsid w:val="008E77D5"/>
    <w:rsid w:val="008F0415"/>
    <w:rsid w:val="008F0BE5"/>
    <w:rsid w:val="008F195C"/>
    <w:rsid w:val="008F34CB"/>
    <w:rsid w:val="008F3986"/>
    <w:rsid w:val="008F4F59"/>
    <w:rsid w:val="008F6653"/>
    <w:rsid w:val="008F6C10"/>
    <w:rsid w:val="008F71E6"/>
    <w:rsid w:val="008F7755"/>
    <w:rsid w:val="009008A2"/>
    <w:rsid w:val="00900F30"/>
    <w:rsid w:val="00900F62"/>
    <w:rsid w:val="0090210D"/>
    <w:rsid w:val="0090227C"/>
    <w:rsid w:val="00902289"/>
    <w:rsid w:val="009022BB"/>
    <w:rsid w:val="009045B3"/>
    <w:rsid w:val="0090493D"/>
    <w:rsid w:val="00904C72"/>
    <w:rsid w:val="00904D4B"/>
    <w:rsid w:val="00904F52"/>
    <w:rsid w:val="00905430"/>
    <w:rsid w:val="00905BF5"/>
    <w:rsid w:val="00905F6A"/>
    <w:rsid w:val="00907FE0"/>
    <w:rsid w:val="0091048F"/>
    <w:rsid w:val="00910CBD"/>
    <w:rsid w:val="0091144B"/>
    <w:rsid w:val="00912260"/>
    <w:rsid w:val="009126D6"/>
    <w:rsid w:val="00914019"/>
    <w:rsid w:val="00915576"/>
    <w:rsid w:val="00915B6A"/>
    <w:rsid w:val="0091631F"/>
    <w:rsid w:val="00916A0F"/>
    <w:rsid w:val="00917A7F"/>
    <w:rsid w:val="00920528"/>
    <w:rsid w:val="00922BF8"/>
    <w:rsid w:val="0092368D"/>
    <w:rsid w:val="0092378E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5F2"/>
    <w:rsid w:val="0093484E"/>
    <w:rsid w:val="00935A48"/>
    <w:rsid w:val="00937C0F"/>
    <w:rsid w:val="009404CE"/>
    <w:rsid w:val="00940D56"/>
    <w:rsid w:val="009413ED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1F8B"/>
    <w:rsid w:val="00962341"/>
    <w:rsid w:val="00962426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F42"/>
    <w:rsid w:val="00975511"/>
    <w:rsid w:val="00976B6D"/>
    <w:rsid w:val="0098296F"/>
    <w:rsid w:val="00982E62"/>
    <w:rsid w:val="009836D7"/>
    <w:rsid w:val="0098562F"/>
    <w:rsid w:val="00985C9B"/>
    <w:rsid w:val="009860B5"/>
    <w:rsid w:val="00992420"/>
    <w:rsid w:val="00992B90"/>
    <w:rsid w:val="00993E5A"/>
    <w:rsid w:val="00994D96"/>
    <w:rsid w:val="009960CD"/>
    <w:rsid w:val="009A0736"/>
    <w:rsid w:val="009A1376"/>
    <w:rsid w:val="009A24E1"/>
    <w:rsid w:val="009A2EA5"/>
    <w:rsid w:val="009A4C61"/>
    <w:rsid w:val="009A5640"/>
    <w:rsid w:val="009A63D0"/>
    <w:rsid w:val="009A6AC7"/>
    <w:rsid w:val="009A6D2F"/>
    <w:rsid w:val="009A74A7"/>
    <w:rsid w:val="009A792A"/>
    <w:rsid w:val="009B1B81"/>
    <w:rsid w:val="009B1C0A"/>
    <w:rsid w:val="009B320B"/>
    <w:rsid w:val="009B5779"/>
    <w:rsid w:val="009B65AF"/>
    <w:rsid w:val="009B6603"/>
    <w:rsid w:val="009B6985"/>
    <w:rsid w:val="009C0493"/>
    <w:rsid w:val="009C162D"/>
    <w:rsid w:val="009C1D43"/>
    <w:rsid w:val="009C406B"/>
    <w:rsid w:val="009C41DE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363F"/>
    <w:rsid w:val="00A14996"/>
    <w:rsid w:val="00A16685"/>
    <w:rsid w:val="00A16C9B"/>
    <w:rsid w:val="00A17447"/>
    <w:rsid w:val="00A20571"/>
    <w:rsid w:val="00A2097F"/>
    <w:rsid w:val="00A209F6"/>
    <w:rsid w:val="00A20D1B"/>
    <w:rsid w:val="00A22776"/>
    <w:rsid w:val="00A22911"/>
    <w:rsid w:val="00A233F2"/>
    <w:rsid w:val="00A2480A"/>
    <w:rsid w:val="00A2559B"/>
    <w:rsid w:val="00A25D5F"/>
    <w:rsid w:val="00A2692C"/>
    <w:rsid w:val="00A30660"/>
    <w:rsid w:val="00A30E95"/>
    <w:rsid w:val="00A3121D"/>
    <w:rsid w:val="00A324F2"/>
    <w:rsid w:val="00A33860"/>
    <w:rsid w:val="00A34E49"/>
    <w:rsid w:val="00A34E9D"/>
    <w:rsid w:val="00A3560C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934"/>
    <w:rsid w:val="00A45F99"/>
    <w:rsid w:val="00A468B1"/>
    <w:rsid w:val="00A4692E"/>
    <w:rsid w:val="00A46C9C"/>
    <w:rsid w:val="00A46DEF"/>
    <w:rsid w:val="00A46FA9"/>
    <w:rsid w:val="00A47BA8"/>
    <w:rsid w:val="00A524E5"/>
    <w:rsid w:val="00A52BC0"/>
    <w:rsid w:val="00A52E20"/>
    <w:rsid w:val="00A52EA8"/>
    <w:rsid w:val="00A55764"/>
    <w:rsid w:val="00A55823"/>
    <w:rsid w:val="00A559ED"/>
    <w:rsid w:val="00A55AB0"/>
    <w:rsid w:val="00A5642C"/>
    <w:rsid w:val="00A56F16"/>
    <w:rsid w:val="00A57868"/>
    <w:rsid w:val="00A57CDB"/>
    <w:rsid w:val="00A61530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975A4"/>
    <w:rsid w:val="00AA1568"/>
    <w:rsid w:val="00AA4229"/>
    <w:rsid w:val="00AA4C9B"/>
    <w:rsid w:val="00AA53FC"/>
    <w:rsid w:val="00AA57C2"/>
    <w:rsid w:val="00AA6372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17C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D7CC2"/>
    <w:rsid w:val="00AE1A52"/>
    <w:rsid w:val="00AE1E3C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09A"/>
    <w:rsid w:val="00AF62DF"/>
    <w:rsid w:val="00AF6471"/>
    <w:rsid w:val="00AF71DC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15B7B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55D6"/>
    <w:rsid w:val="00B35C19"/>
    <w:rsid w:val="00B36D48"/>
    <w:rsid w:val="00B40133"/>
    <w:rsid w:val="00B40C19"/>
    <w:rsid w:val="00B41E7A"/>
    <w:rsid w:val="00B42AAB"/>
    <w:rsid w:val="00B43498"/>
    <w:rsid w:val="00B434CF"/>
    <w:rsid w:val="00B43686"/>
    <w:rsid w:val="00B43B1F"/>
    <w:rsid w:val="00B44C1D"/>
    <w:rsid w:val="00B46ABF"/>
    <w:rsid w:val="00B47CAB"/>
    <w:rsid w:val="00B50021"/>
    <w:rsid w:val="00B50CF4"/>
    <w:rsid w:val="00B5154B"/>
    <w:rsid w:val="00B51806"/>
    <w:rsid w:val="00B52271"/>
    <w:rsid w:val="00B5329A"/>
    <w:rsid w:val="00B53433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66E0F"/>
    <w:rsid w:val="00B67014"/>
    <w:rsid w:val="00B71665"/>
    <w:rsid w:val="00B71C0B"/>
    <w:rsid w:val="00B72332"/>
    <w:rsid w:val="00B72446"/>
    <w:rsid w:val="00B74947"/>
    <w:rsid w:val="00B7591E"/>
    <w:rsid w:val="00B75991"/>
    <w:rsid w:val="00B76838"/>
    <w:rsid w:val="00B77D13"/>
    <w:rsid w:val="00B801BF"/>
    <w:rsid w:val="00B810E2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D47"/>
    <w:rsid w:val="00B96894"/>
    <w:rsid w:val="00BA06C1"/>
    <w:rsid w:val="00BA0B65"/>
    <w:rsid w:val="00BA1E04"/>
    <w:rsid w:val="00BA1F78"/>
    <w:rsid w:val="00BA54D0"/>
    <w:rsid w:val="00BA6C18"/>
    <w:rsid w:val="00BA6F69"/>
    <w:rsid w:val="00BA6FEF"/>
    <w:rsid w:val="00BB058C"/>
    <w:rsid w:val="00BB24C2"/>
    <w:rsid w:val="00BB30FF"/>
    <w:rsid w:val="00BB360B"/>
    <w:rsid w:val="00BB40F6"/>
    <w:rsid w:val="00BB573E"/>
    <w:rsid w:val="00BB5FE7"/>
    <w:rsid w:val="00BB60B2"/>
    <w:rsid w:val="00BB68A6"/>
    <w:rsid w:val="00BB785F"/>
    <w:rsid w:val="00BB7878"/>
    <w:rsid w:val="00BB7D3F"/>
    <w:rsid w:val="00BB7F73"/>
    <w:rsid w:val="00BC05DD"/>
    <w:rsid w:val="00BC1BBF"/>
    <w:rsid w:val="00BC2E39"/>
    <w:rsid w:val="00BC3FB6"/>
    <w:rsid w:val="00BC444A"/>
    <w:rsid w:val="00BC4BB9"/>
    <w:rsid w:val="00BC5779"/>
    <w:rsid w:val="00BC6076"/>
    <w:rsid w:val="00BC6410"/>
    <w:rsid w:val="00BC6DA1"/>
    <w:rsid w:val="00BC6E86"/>
    <w:rsid w:val="00BC73F7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25D3"/>
    <w:rsid w:val="00C07170"/>
    <w:rsid w:val="00C077DA"/>
    <w:rsid w:val="00C0788A"/>
    <w:rsid w:val="00C07EBB"/>
    <w:rsid w:val="00C11266"/>
    <w:rsid w:val="00C1158A"/>
    <w:rsid w:val="00C123A0"/>
    <w:rsid w:val="00C12BC9"/>
    <w:rsid w:val="00C131FA"/>
    <w:rsid w:val="00C13F58"/>
    <w:rsid w:val="00C14571"/>
    <w:rsid w:val="00C1491F"/>
    <w:rsid w:val="00C157D1"/>
    <w:rsid w:val="00C15E22"/>
    <w:rsid w:val="00C16FE2"/>
    <w:rsid w:val="00C17043"/>
    <w:rsid w:val="00C20050"/>
    <w:rsid w:val="00C20226"/>
    <w:rsid w:val="00C20BFE"/>
    <w:rsid w:val="00C20E5A"/>
    <w:rsid w:val="00C22E55"/>
    <w:rsid w:val="00C23729"/>
    <w:rsid w:val="00C25367"/>
    <w:rsid w:val="00C25ECE"/>
    <w:rsid w:val="00C26844"/>
    <w:rsid w:val="00C2734A"/>
    <w:rsid w:val="00C309B8"/>
    <w:rsid w:val="00C31D0E"/>
    <w:rsid w:val="00C321B7"/>
    <w:rsid w:val="00C32DED"/>
    <w:rsid w:val="00C34184"/>
    <w:rsid w:val="00C34787"/>
    <w:rsid w:val="00C34AC1"/>
    <w:rsid w:val="00C35B00"/>
    <w:rsid w:val="00C35CAA"/>
    <w:rsid w:val="00C37756"/>
    <w:rsid w:val="00C37AF3"/>
    <w:rsid w:val="00C37B69"/>
    <w:rsid w:val="00C40651"/>
    <w:rsid w:val="00C40CFD"/>
    <w:rsid w:val="00C41BAB"/>
    <w:rsid w:val="00C41D78"/>
    <w:rsid w:val="00C41E50"/>
    <w:rsid w:val="00C42122"/>
    <w:rsid w:val="00C427B1"/>
    <w:rsid w:val="00C42838"/>
    <w:rsid w:val="00C43371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65D2"/>
    <w:rsid w:val="00C56A3A"/>
    <w:rsid w:val="00C576EA"/>
    <w:rsid w:val="00C57CD2"/>
    <w:rsid w:val="00C603DE"/>
    <w:rsid w:val="00C60E61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663B6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D87"/>
    <w:rsid w:val="00C93DA1"/>
    <w:rsid w:val="00C94C39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1EA7"/>
    <w:rsid w:val="00CB2C84"/>
    <w:rsid w:val="00CB2FB4"/>
    <w:rsid w:val="00CB311F"/>
    <w:rsid w:val="00CB407D"/>
    <w:rsid w:val="00CB4560"/>
    <w:rsid w:val="00CB47DE"/>
    <w:rsid w:val="00CB642A"/>
    <w:rsid w:val="00CB7966"/>
    <w:rsid w:val="00CC16C7"/>
    <w:rsid w:val="00CC199B"/>
    <w:rsid w:val="00CC2AAE"/>
    <w:rsid w:val="00CC3385"/>
    <w:rsid w:val="00CC51BF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D7DC2"/>
    <w:rsid w:val="00CE0770"/>
    <w:rsid w:val="00CE0D08"/>
    <w:rsid w:val="00CE1254"/>
    <w:rsid w:val="00CE3C0D"/>
    <w:rsid w:val="00CE518B"/>
    <w:rsid w:val="00CE5871"/>
    <w:rsid w:val="00CE69B5"/>
    <w:rsid w:val="00CE6CFC"/>
    <w:rsid w:val="00CE7444"/>
    <w:rsid w:val="00CF0291"/>
    <w:rsid w:val="00CF0D75"/>
    <w:rsid w:val="00CF162C"/>
    <w:rsid w:val="00CF1DF9"/>
    <w:rsid w:val="00CF4E1E"/>
    <w:rsid w:val="00CF586D"/>
    <w:rsid w:val="00CF5FA3"/>
    <w:rsid w:val="00D004D6"/>
    <w:rsid w:val="00D0057C"/>
    <w:rsid w:val="00D00D24"/>
    <w:rsid w:val="00D0131E"/>
    <w:rsid w:val="00D01C27"/>
    <w:rsid w:val="00D02C61"/>
    <w:rsid w:val="00D0344E"/>
    <w:rsid w:val="00D0409E"/>
    <w:rsid w:val="00D04983"/>
    <w:rsid w:val="00D04EE0"/>
    <w:rsid w:val="00D0655B"/>
    <w:rsid w:val="00D06D66"/>
    <w:rsid w:val="00D0711F"/>
    <w:rsid w:val="00D10F1E"/>
    <w:rsid w:val="00D1246A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53F6"/>
    <w:rsid w:val="00D25DA3"/>
    <w:rsid w:val="00D26B12"/>
    <w:rsid w:val="00D26EB8"/>
    <w:rsid w:val="00D27200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4F1D"/>
    <w:rsid w:val="00D35983"/>
    <w:rsid w:val="00D3631D"/>
    <w:rsid w:val="00D36486"/>
    <w:rsid w:val="00D4058D"/>
    <w:rsid w:val="00D40A23"/>
    <w:rsid w:val="00D41AE3"/>
    <w:rsid w:val="00D44ED9"/>
    <w:rsid w:val="00D45256"/>
    <w:rsid w:val="00D45766"/>
    <w:rsid w:val="00D47D6A"/>
    <w:rsid w:val="00D501DA"/>
    <w:rsid w:val="00D506A3"/>
    <w:rsid w:val="00D50FD4"/>
    <w:rsid w:val="00D51C00"/>
    <w:rsid w:val="00D51E0A"/>
    <w:rsid w:val="00D527AF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40BE"/>
    <w:rsid w:val="00D75F50"/>
    <w:rsid w:val="00D76A94"/>
    <w:rsid w:val="00D7718A"/>
    <w:rsid w:val="00D77F3E"/>
    <w:rsid w:val="00D800B5"/>
    <w:rsid w:val="00D803C1"/>
    <w:rsid w:val="00D834E8"/>
    <w:rsid w:val="00D848EE"/>
    <w:rsid w:val="00D85C94"/>
    <w:rsid w:val="00D85F1E"/>
    <w:rsid w:val="00D8651E"/>
    <w:rsid w:val="00D90D26"/>
    <w:rsid w:val="00D91904"/>
    <w:rsid w:val="00D928AF"/>
    <w:rsid w:val="00D92C91"/>
    <w:rsid w:val="00D93ED5"/>
    <w:rsid w:val="00D94466"/>
    <w:rsid w:val="00D9572F"/>
    <w:rsid w:val="00D96B77"/>
    <w:rsid w:val="00D96CD3"/>
    <w:rsid w:val="00D97AB2"/>
    <w:rsid w:val="00DA1A1F"/>
    <w:rsid w:val="00DA2655"/>
    <w:rsid w:val="00DA2F0A"/>
    <w:rsid w:val="00DA35C2"/>
    <w:rsid w:val="00DA372E"/>
    <w:rsid w:val="00DA3BC4"/>
    <w:rsid w:val="00DA6330"/>
    <w:rsid w:val="00DB0D61"/>
    <w:rsid w:val="00DB2EE2"/>
    <w:rsid w:val="00DB3E5E"/>
    <w:rsid w:val="00DB3FE3"/>
    <w:rsid w:val="00DB4A28"/>
    <w:rsid w:val="00DB51B0"/>
    <w:rsid w:val="00DB55E7"/>
    <w:rsid w:val="00DB561E"/>
    <w:rsid w:val="00DB67E3"/>
    <w:rsid w:val="00DB6B8F"/>
    <w:rsid w:val="00DB6DB6"/>
    <w:rsid w:val="00DB721D"/>
    <w:rsid w:val="00DB7C5D"/>
    <w:rsid w:val="00DC006E"/>
    <w:rsid w:val="00DC0241"/>
    <w:rsid w:val="00DC04AD"/>
    <w:rsid w:val="00DC1184"/>
    <w:rsid w:val="00DC19DD"/>
    <w:rsid w:val="00DC3690"/>
    <w:rsid w:val="00DC47F3"/>
    <w:rsid w:val="00DC48C0"/>
    <w:rsid w:val="00DC4AD1"/>
    <w:rsid w:val="00DC4EE0"/>
    <w:rsid w:val="00DC6634"/>
    <w:rsid w:val="00DC7E28"/>
    <w:rsid w:val="00DD0300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25F"/>
    <w:rsid w:val="00DE2A1F"/>
    <w:rsid w:val="00DE2C31"/>
    <w:rsid w:val="00DE4794"/>
    <w:rsid w:val="00DE47FC"/>
    <w:rsid w:val="00DE495F"/>
    <w:rsid w:val="00DE63E8"/>
    <w:rsid w:val="00DE7609"/>
    <w:rsid w:val="00DF1C86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98B"/>
    <w:rsid w:val="00E05C49"/>
    <w:rsid w:val="00E06855"/>
    <w:rsid w:val="00E0706D"/>
    <w:rsid w:val="00E074E4"/>
    <w:rsid w:val="00E07C08"/>
    <w:rsid w:val="00E139E6"/>
    <w:rsid w:val="00E143F2"/>
    <w:rsid w:val="00E14901"/>
    <w:rsid w:val="00E157D0"/>
    <w:rsid w:val="00E16763"/>
    <w:rsid w:val="00E20800"/>
    <w:rsid w:val="00E2133B"/>
    <w:rsid w:val="00E213A1"/>
    <w:rsid w:val="00E22571"/>
    <w:rsid w:val="00E2307A"/>
    <w:rsid w:val="00E2362B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4692"/>
    <w:rsid w:val="00E34A15"/>
    <w:rsid w:val="00E35767"/>
    <w:rsid w:val="00E35972"/>
    <w:rsid w:val="00E35BCC"/>
    <w:rsid w:val="00E367A4"/>
    <w:rsid w:val="00E36E18"/>
    <w:rsid w:val="00E37149"/>
    <w:rsid w:val="00E37A47"/>
    <w:rsid w:val="00E40915"/>
    <w:rsid w:val="00E41355"/>
    <w:rsid w:val="00E42290"/>
    <w:rsid w:val="00E43D7A"/>
    <w:rsid w:val="00E44BCC"/>
    <w:rsid w:val="00E453FC"/>
    <w:rsid w:val="00E456CD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2EC6"/>
    <w:rsid w:val="00E64AA5"/>
    <w:rsid w:val="00E64E93"/>
    <w:rsid w:val="00E660EE"/>
    <w:rsid w:val="00E67CCB"/>
    <w:rsid w:val="00E72541"/>
    <w:rsid w:val="00E72808"/>
    <w:rsid w:val="00E72F93"/>
    <w:rsid w:val="00E734B7"/>
    <w:rsid w:val="00E73E27"/>
    <w:rsid w:val="00E75796"/>
    <w:rsid w:val="00E802C5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7BA7"/>
    <w:rsid w:val="00E9031B"/>
    <w:rsid w:val="00E90B13"/>
    <w:rsid w:val="00E9108B"/>
    <w:rsid w:val="00E91311"/>
    <w:rsid w:val="00E91ED3"/>
    <w:rsid w:val="00E92380"/>
    <w:rsid w:val="00E94382"/>
    <w:rsid w:val="00E95A95"/>
    <w:rsid w:val="00E979C0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4F9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C7395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0F98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663"/>
    <w:rsid w:val="00EF5EA4"/>
    <w:rsid w:val="00EF668F"/>
    <w:rsid w:val="00EF6766"/>
    <w:rsid w:val="00EF6D1A"/>
    <w:rsid w:val="00EF737D"/>
    <w:rsid w:val="00F00B04"/>
    <w:rsid w:val="00F00B3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EBC"/>
    <w:rsid w:val="00F1178A"/>
    <w:rsid w:val="00F11993"/>
    <w:rsid w:val="00F11F0D"/>
    <w:rsid w:val="00F1270D"/>
    <w:rsid w:val="00F13EE1"/>
    <w:rsid w:val="00F17538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012"/>
    <w:rsid w:val="00F2525E"/>
    <w:rsid w:val="00F26EE8"/>
    <w:rsid w:val="00F27924"/>
    <w:rsid w:val="00F3219F"/>
    <w:rsid w:val="00F32946"/>
    <w:rsid w:val="00F32E78"/>
    <w:rsid w:val="00F34299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720E"/>
    <w:rsid w:val="00F5737B"/>
    <w:rsid w:val="00F61509"/>
    <w:rsid w:val="00F619FF"/>
    <w:rsid w:val="00F6365F"/>
    <w:rsid w:val="00F65299"/>
    <w:rsid w:val="00F653CD"/>
    <w:rsid w:val="00F65D2D"/>
    <w:rsid w:val="00F6620F"/>
    <w:rsid w:val="00F664A5"/>
    <w:rsid w:val="00F6696A"/>
    <w:rsid w:val="00F67252"/>
    <w:rsid w:val="00F67463"/>
    <w:rsid w:val="00F70CC9"/>
    <w:rsid w:val="00F71E35"/>
    <w:rsid w:val="00F72EE3"/>
    <w:rsid w:val="00F737D1"/>
    <w:rsid w:val="00F73FC6"/>
    <w:rsid w:val="00F74097"/>
    <w:rsid w:val="00F743B0"/>
    <w:rsid w:val="00F80192"/>
    <w:rsid w:val="00F8107E"/>
    <w:rsid w:val="00F81AF7"/>
    <w:rsid w:val="00F81F17"/>
    <w:rsid w:val="00F8300B"/>
    <w:rsid w:val="00F838C5"/>
    <w:rsid w:val="00F83B3C"/>
    <w:rsid w:val="00F8680A"/>
    <w:rsid w:val="00F911BE"/>
    <w:rsid w:val="00F9185B"/>
    <w:rsid w:val="00F92862"/>
    <w:rsid w:val="00F92BD8"/>
    <w:rsid w:val="00F92EB4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26BC"/>
    <w:rsid w:val="00FB33D1"/>
    <w:rsid w:val="00FB495F"/>
    <w:rsid w:val="00FB54D1"/>
    <w:rsid w:val="00FB55B2"/>
    <w:rsid w:val="00FB6971"/>
    <w:rsid w:val="00FB6B92"/>
    <w:rsid w:val="00FB73F7"/>
    <w:rsid w:val="00FC1555"/>
    <w:rsid w:val="00FC1EDA"/>
    <w:rsid w:val="00FC26D5"/>
    <w:rsid w:val="00FC2B16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2F04"/>
    <w:rsid w:val="00FD41E4"/>
    <w:rsid w:val="00FD4282"/>
    <w:rsid w:val="00FD6D73"/>
    <w:rsid w:val="00FE0243"/>
    <w:rsid w:val="00FE097A"/>
    <w:rsid w:val="00FE138A"/>
    <w:rsid w:val="00FE28DC"/>
    <w:rsid w:val="00FE2E5A"/>
    <w:rsid w:val="00FE3405"/>
    <w:rsid w:val="00FE4291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2BA5"/>
    <w:rsid w:val="00FF2D0B"/>
    <w:rsid w:val="00FF390E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kets.ft.com/tearsheets/performance.asp?s=pt:BES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proizvodnja%20el.energije%20za%206%20mjese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olja.tomanovic\Desktop\mmi%202014-0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Arhiva%202014\MMI_2014_06\mmi-2014-0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mmi-2014_0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4%20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3418616878992764"/>
          <c:y val="0.18203633791159912"/>
          <c:w val="0.56723498178092568"/>
          <c:h val="0.7144087055630437"/>
        </c:manualLayout>
      </c:layout>
      <c:barChart>
        <c:barDir val="bar"/>
        <c:grouping val="clustered"/>
        <c:ser>
          <c:idx val="0"/>
          <c:order val="0"/>
          <c:cat>
            <c:strRef>
              <c:f>Sheet1!$C$5:$C$21</c:f>
              <c:strCache>
                <c:ptCount val="17"/>
                <c:pt idx="0">
                  <c:v>Švajcarska</c:v>
                </c:pt>
                <c:pt idx="1">
                  <c:v>Njema;ka</c:v>
                </c:pt>
                <c:pt idx="2">
                  <c:v>Finska</c:v>
                </c:pt>
                <c:pt idx="3">
                  <c:v>Holandija</c:v>
                </c:pt>
                <c:pt idx="4">
                  <c:v>Austrija</c:v>
                </c:pt>
                <c:pt idx="5">
                  <c:v>Danska</c:v>
                </c:pt>
                <c:pt idx="6">
                  <c:v>Francuska</c:v>
                </c:pt>
                <c:pt idx="7">
                  <c:v>Belgija</c:v>
                </c:pt>
                <c:pt idx="8">
                  <c:v>Švedska</c:v>
                </c:pt>
                <c:pt idx="9">
                  <c:v>Irska</c:v>
                </c:pt>
                <c:pt idx="10">
                  <c:v>Norveska</c:v>
                </c:pt>
                <c:pt idx="11">
                  <c:v>Španija</c:v>
                </c:pt>
                <c:pt idx="12">
                  <c:v>US</c:v>
                </c:pt>
                <c:pt idx="13">
                  <c:v>Velika Britanija</c:v>
                </c:pt>
                <c:pt idx="14">
                  <c:v>Italija</c:v>
                </c:pt>
                <c:pt idx="15">
                  <c:v>Portugalija</c:v>
                </c:pt>
                <c:pt idx="16">
                  <c:v>Grčka</c:v>
                </c:pt>
              </c:strCache>
            </c:strRef>
          </c:cat>
          <c:val>
            <c:numRef>
              <c:f>Sheet1!$D$5:$D$21</c:f>
              <c:numCache>
                <c:formatCode>General</c:formatCode>
                <c:ptCount val="17"/>
                <c:pt idx="0">
                  <c:v>0.56000000000000005</c:v>
                </c:pt>
                <c:pt idx="1">
                  <c:v>1.1900000000000068</c:v>
                </c:pt>
                <c:pt idx="2">
                  <c:v>1.33</c:v>
                </c:pt>
                <c:pt idx="3">
                  <c:v>1.3800000000000001</c:v>
                </c:pt>
                <c:pt idx="4">
                  <c:v>1.43</c:v>
                </c:pt>
                <c:pt idx="5">
                  <c:v>1.56</c:v>
                </c:pt>
                <c:pt idx="6">
                  <c:v>1.57</c:v>
                </c:pt>
                <c:pt idx="7">
                  <c:v>1.58</c:v>
                </c:pt>
                <c:pt idx="8">
                  <c:v>1.7300000000000029</c:v>
                </c:pt>
                <c:pt idx="9">
                  <c:v>2.2400000000000002</c:v>
                </c:pt>
                <c:pt idx="10">
                  <c:v>2.3499999999999988</c:v>
                </c:pt>
                <c:pt idx="11">
                  <c:v>2.5299999999999998</c:v>
                </c:pt>
                <c:pt idx="12">
                  <c:v>2.59</c:v>
                </c:pt>
                <c:pt idx="13">
                  <c:v>2.65</c:v>
                </c:pt>
                <c:pt idx="14">
                  <c:v>2.72</c:v>
                </c:pt>
                <c:pt idx="15">
                  <c:v>3.63</c:v>
                </c:pt>
                <c:pt idx="16">
                  <c:v>6.03</c:v>
                </c:pt>
              </c:numCache>
            </c:numRef>
          </c:val>
        </c:ser>
        <c:axId val="91427968"/>
        <c:axId val="91429504"/>
      </c:barChart>
      <c:catAx>
        <c:axId val="91427968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91429504"/>
        <c:crosses val="autoZero"/>
        <c:auto val="1"/>
        <c:lblAlgn val="ctr"/>
        <c:lblOffset val="100"/>
        <c:tickLblSkip val="1"/>
      </c:catAx>
      <c:valAx>
        <c:axId val="91429504"/>
        <c:scaling>
          <c:orientation val="minMax"/>
          <c:max val="6"/>
        </c:scaling>
        <c:axPos val="b"/>
        <c:majorGridlines>
          <c:spPr>
            <a:ln w="6350"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9142796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900"/>
            </a:pPr>
            <a:r>
              <a:rPr lang="sr-Latn-CS" sz="900"/>
              <a:t>P</a:t>
            </a:r>
            <a:r>
              <a:rPr lang="en-US" sz="900"/>
              <a:t>roizvodnja električne energije</a:t>
            </a:r>
            <a:r>
              <a:rPr lang="sr-Latn-CS" sz="900"/>
              <a:t>, u MWh</a:t>
            </a:r>
            <a:endParaRPr lang="en-US" sz="900"/>
          </a:p>
        </c:rich>
      </c:tx>
      <c:layout>
        <c:manualLayout>
          <c:xMode val="edge"/>
          <c:yMode val="edge"/>
          <c:x val="0.2358545181852269"/>
          <c:y val="2.4774985318616201E-3"/>
        </c:manualLayout>
      </c:layout>
    </c:title>
    <c:plotArea>
      <c:layout>
        <c:manualLayout>
          <c:layoutTarget val="inner"/>
          <c:xMode val="edge"/>
          <c:yMode val="edge"/>
          <c:x val="0.18342576743124644"/>
          <c:y val="0.18103018372703797"/>
          <c:w val="0.78496137982752157"/>
          <c:h val="0.52848755905511757"/>
        </c:manualLayout>
      </c:layout>
      <c:barChart>
        <c:barDir val="col"/>
        <c:grouping val="clustered"/>
        <c:ser>
          <c:idx val="0"/>
          <c:order val="0"/>
          <c:tx>
            <c:strRef>
              <c:f>Sheet1!$C$13:$E$13</c:f>
              <c:strCache>
                <c:ptCount val="1"/>
                <c:pt idx="0">
                  <c:v>jan-jun 2013</c:v>
                </c:pt>
              </c:strCache>
            </c:strRef>
          </c:tx>
          <c:cat>
            <c:strRef>
              <c:f>Sheet1!$F$12:$I$12</c:f>
              <c:strCache>
                <c:ptCount val="3"/>
                <c:pt idx="0">
                  <c:v>hidroelektrane</c:v>
                </c:pt>
                <c:pt idx="2">
                  <c:v>termoelektrana</c:v>
                </c:pt>
              </c:strCache>
            </c:strRef>
          </c:cat>
          <c:val>
            <c:numRef>
              <c:f>Sheet1!$F$13:$I$13</c:f>
              <c:numCache>
                <c:formatCode>General</c:formatCode>
                <c:ptCount val="4"/>
                <c:pt idx="0" formatCode="#,##0">
                  <c:v>2517015</c:v>
                </c:pt>
                <c:pt idx="2" formatCode="#,##0">
                  <c:v>521826</c:v>
                </c:pt>
              </c:numCache>
            </c:numRef>
          </c:val>
        </c:ser>
        <c:ser>
          <c:idx val="1"/>
          <c:order val="1"/>
          <c:tx>
            <c:strRef>
              <c:f>Sheet1!$C$14:$E$14</c:f>
              <c:strCache>
                <c:ptCount val="1"/>
                <c:pt idx="0">
                  <c:v>jan-jun 2014</c:v>
                </c:pt>
              </c:strCache>
            </c:strRef>
          </c:tx>
          <c:cat>
            <c:strRef>
              <c:f>Sheet1!$F$12:$I$12</c:f>
              <c:strCache>
                <c:ptCount val="3"/>
                <c:pt idx="0">
                  <c:v>hidroelektrane</c:v>
                </c:pt>
                <c:pt idx="2">
                  <c:v>termoelektrana</c:v>
                </c:pt>
              </c:strCache>
            </c:strRef>
          </c:cat>
          <c:val>
            <c:numRef>
              <c:f>Sheet1!$F$14:$I$14</c:f>
              <c:numCache>
                <c:formatCode>General</c:formatCode>
                <c:ptCount val="4"/>
                <c:pt idx="0" formatCode="#,##0">
                  <c:v>853528</c:v>
                </c:pt>
                <c:pt idx="2" formatCode="#,##0">
                  <c:v>589855</c:v>
                </c:pt>
              </c:numCache>
            </c:numRef>
          </c:val>
        </c:ser>
        <c:gapWidth val="0"/>
        <c:axId val="91453696"/>
        <c:axId val="91475968"/>
      </c:barChart>
      <c:catAx>
        <c:axId val="91453696"/>
        <c:scaling>
          <c:orientation val="minMax"/>
        </c:scaling>
        <c:axPos val="b"/>
        <c:tickLblPos val="nextTo"/>
        <c:txPr>
          <a:bodyPr anchor="ctr" anchorCtr="0"/>
          <a:lstStyle/>
          <a:p>
            <a:pPr>
              <a:defRPr lang="sr-Latn-CS" sz="600"/>
            </a:pPr>
            <a:endParaRPr lang="en-US"/>
          </a:p>
        </c:txPr>
        <c:crossAx val="91475968"/>
        <c:crosses val="autoZero"/>
        <c:auto val="1"/>
        <c:lblAlgn val="ctr"/>
        <c:lblOffset val="100"/>
      </c:catAx>
      <c:valAx>
        <c:axId val="91475968"/>
        <c:scaling>
          <c:orientation val="minMax"/>
          <c:max val="2600000"/>
          <c:min val="0"/>
        </c:scaling>
        <c:axPos val="l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1453696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9442569678790359E-3"/>
                <c:y val="0.37167751291362588"/>
              </c:manualLayout>
            </c:layout>
            <c:tx>
              <c:rich>
                <a:bodyPr/>
                <a:lstStyle/>
                <a:p>
                  <a:pPr>
                    <a:defRPr lang="sr-Latn-CS" sz="600"/>
                  </a:pPr>
                  <a:r>
                    <a:rPr lang="en-US"/>
                    <a:t>mil. </a:t>
                  </a:r>
                  <a:endParaRPr/>
                </a:p>
              </c:rich>
            </c:tx>
          </c:dispUnitsLbl>
        </c:dispUnits>
      </c:valAx>
    </c:plotArea>
    <c:legend>
      <c:legendPos val="t"/>
      <c:layout>
        <c:manualLayout>
          <c:xMode val="edge"/>
          <c:yMode val="edge"/>
          <c:x val="0.27419022622172229"/>
          <c:y val="0.1371689497716895"/>
          <c:w val="0.56590526184226109"/>
          <c:h val="8.0680257433574182E-2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100"/>
            </a:pPr>
            <a:r>
              <a:rPr lang="en-US" sz="900"/>
              <a:t>HICP</a:t>
            </a:r>
          </a:p>
        </c:rich>
      </c:tx>
      <c:layout>
        <c:manualLayout>
          <c:xMode val="edge"/>
          <c:yMode val="edge"/>
          <c:x val="0.41439243354444155"/>
          <c:y val="1.4111111111111121E-2"/>
        </c:manualLayout>
      </c:layout>
    </c:title>
    <c:plotArea>
      <c:layout>
        <c:manualLayout>
          <c:layoutTarget val="inner"/>
          <c:xMode val="edge"/>
          <c:yMode val="edge"/>
          <c:x val="0.12937262193261362"/>
          <c:y val="0.13225111111111121"/>
          <c:w val="0.82036776937998956"/>
          <c:h val="0.50574888888889791"/>
        </c:manualLayout>
      </c:layout>
      <c:lineChart>
        <c:grouping val="standard"/>
        <c:ser>
          <c:idx val="0"/>
          <c:order val="0"/>
          <c:tx>
            <c:strRef>
              <c:f>'Makroekonomski indikatori'!$C$22</c:f>
              <c:strCache>
                <c:ptCount val="1"/>
                <c:pt idx="0">
                  <c:v>HICP-godišnje stope rasta</c:v>
                </c:pt>
              </c:strCache>
            </c:strRef>
          </c:tx>
          <c:spPr>
            <a:ln>
              <a:solidFill>
                <a:srgbClr val="4721EB"/>
              </a:solidFill>
            </a:ln>
          </c:spPr>
          <c:marker>
            <c:symbol val="none"/>
          </c:marker>
          <c:cat>
            <c:strRef>
              <c:f>'Makroekonomski indikatori'!$AG$29:$AT$29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2014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'Makroekonomski indikatori'!$AG$22:$AT$22</c:f>
              <c:numCache>
                <c:formatCode>#,##0.0</c:formatCode>
                <c:ptCount val="13"/>
                <c:pt idx="0">
                  <c:v>1.5</c:v>
                </c:pt>
                <c:pt idx="1">
                  <c:v>2.2000000000000002</c:v>
                </c:pt>
                <c:pt idx="2">
                  <c:v>1.7000000000000004</c:v>
                </c:pt>
                <c:pt idx="3">
                  <c:v>1.5</c:v>
                </c:pt>
                <c:pt idx="4">
                  <c:v>0.30000000000000032</c:v>
                </c:pt>
                <c:pt idx="5">
                  <c:v>0</c:v>
                </c:pt>
                <c:pt idx="6">
                  <c:v>0.4</c:v>
                </c:pt>
                <c:pt idx="7" formatCode="General">
                  <c:v>0.1</c:v>
                </c:pt>
                <c:pt idx="8" formatCode="0.0">
                  <c:v>0</c:v>
                </c:pt>
                <c:pt idx="9" formatCode="General">
                  <c:v>-0.4</c:v>
                </c:pt>
                <c:pt idx="10" formatCode="General">
                  <c:v>-0.8</c:v>
                </c:pt>
                <c:pt idx="11" formatCode="General">
                  <c:v>-0.70000000000000062</c:v>
                </c:pt>
                <c:pt idx="12" formatCode="General">
                  <c:v>0.2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indikatori'!$C$24</c:f>
              <c:strCache>
                <c:ptCount val="1"/>
                <c:pt idx="0">
                  <c:v>HICP-mjesečne stope rasta</c:v>
                </c:pt>
              </c:strCache>
            </c:strRef>
          </c:tx>
          <c:spPr>
            <a:ln>
              <a:solidFill>
                <a:srgbClr val="2DDF35"/>
              </a:solidFill>
            </a:ln>
          </c:spPr>
          <c:marker>
            <c:symbol val="none"/>
          </c:marker>
          <c:cat>
            <c:strRef>
              <c:f>'Makroekonomski indikatori'!$AG$29:$AT$29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2014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'Makroekonomski indikatori'!$AG$24:$AT$24</c:f>
              <c:numCache>
                <c:formatCode>0.0</c:formatCode>
                <c:ptCount val="13"/>
                <c:pt idx="0">
                  <c:v>-0.1</c:v>
                </c:pt>
                <c:pt idx="1">
                  <c:v>1.1000000000000001</c:v>
                </c:pt>
                <c:pt idx="2">
                  <c:v>-0.2</c:v>
                </c:pt>
                <c:pt idx="3">
                  <c:v>-0.30000000000000032</c:v>
                </c:pt>
                <c:pt idx="4">
                  <c:v>-0.5</c:v>
                </c:pt>
                <c:pt idx="5">
                  <c:v>-0.60000000000000064</c:v>
                </c:pt>
                <c:pt idx="6">
                  <c:v>-0.1</c:v>
                </c:pt>
                <c:pt idx="7" formatCode="General">
                  <c:v>-0.4</c:v>
                </c:pt>
                <c:pt idx="8" formatCode="General">
                  <c:v>0.1</c:v>
                </c:pt>
                <c:pt idx="9" formatCode="General">
                  <c:v>-0.1</c:v>
                </c:pt>
                <c:pt idx="10" formatCode="General">
                  <c:v>-0.1</c:v>
                </c:pt>
                <c:pt idx="11" formatCode="General">
                  <c:v>0.5</c:v>
                </c:pt>
                <c:pt idx="12" formatCode="General">
                  <c:v>0.8</c:v>
                </c:pt>
              </c:numCache>
            </c:numRef>
          </c:val>
          <c:smooth val="1"/>
        </c:ser>
        <c:marker val="1"/>
        <c:axId val="91484928"/>
        <c:axId val="91486464"/>
      </c:lineChart>
      <c:catAx>
        <c:axId val="91484928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91486464"/>
        <c:crosses val="autoZero"/>
        <c:auto val="1"/>
        <c:lblAlgn val="ctr"/>
        <c:lblOffset val="100"/>
      </c:catAx>
      <c:valAx>
        <c:axId val="91486464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1484928"/>
        <c:crosses val="autoZero"/>
        <c:crossBetween val="between"/>
      </c:valAx>
    </c:plotArea>
    <c:legend>
      <c:legendPos val="b"/>
      <c:txPr>
        <a:bodyPr/>
        <a:lstStyle/>
        <a:p>
          <a:pPr>
            <a:defRPr lang="sr-Latn-CS" sz="6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147179948705851"/>
          <c:y val="7.9245812815566294E-2"/>
          <c:w val="0.65419370477267969"/>
          <c:h val="0.79866051696973162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indikatori'!$AF$9:$AS$9</c:f>
              <c:strCache>
                <c:ptCount val="14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2014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  <c:pt idx="13">
                  <c:v>VI</c:v>
                </c:pt>
              </c:strCache>
            </c:strRef>
          </c:cat>
          <c:val>
            <c:numRef>
              <c:f>'Makroekonomski indikatori'!$AF$21:$AS$21</c:f>
              <c:numCache>
                <c:formatCode>#,##0</c:formatCode>
                <c:ptCount val="14"/>
                <c:pt idx="0">
                  <c:v>174369</c:v>
                </c:pt>
                <c:pt idx="1">
                  <c:v>179861</c:v>
                </c:pt>
                <c:pt idx="2">
                  <c:v>178815</c:v>
                </c:pt>
                <c:pt idx="3">
                  <c:v>176588</c:v>
                </c:pt>
                <c:pt idx="4">
                  <c:v>169044</c:v>
                </c:pt>
                <c:pt idx="5">
                  <c:v>169044</c:v>
                </c:pt>
                <c:pt idx="6">
                  <c:v>167607</c:v>
                </c:pt>
                <c:pt idx="7">
                  <c:v>167173</c:v>
                </c:pt>
                <c:pt idx="8">
                  <c:v>167616</c:v>
                </c:pt>
                <c:pt idx="9">
                  <c:v>168805</c:v>
                </c:pt>
                <c:pt idx="10">
                  <c:v>170177</c:v>
                </c:pt>
                <c:pt idx="11">
                  <c:v>172202</c:v>
                </c:pt>
                <c:pt idx="12">
                  <c:v>174917</c:v>
                </c:pt>
                <c:pt idx="13">
                  <c:v>179774</c:v>
                </c:pt>
              </c:numCache>
            </c:numRef>
          </c:val>
        </c:ser>
        <c:marker val="1"/>
        <c:axId val="79400960"/>
        <c:axId val="79402496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indikatori'!$AF$9:$AS$9</c:f>
              <c:strCache>
                <c:ptCount val="14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2014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  <c:pt idx="13">
                  <c:v>VI</c:v>
                </c:pt>
              </c:strCache>
            </c:strRef>
          </c:cat>
          <c:val>
            <c:numRef>
              <c:f>'Makroekonomski indikatori'!$AF$22:$AS$22</c:f>
              <c:numCache>
                <c:formatCode>#,##0</c:formatCode>
                <c:ptCount val="14"/>
                <c:pt idx="0">
                  <c:v>31363</c:v>
                </c:pt>
                <c:pt idx="1">
                  <c:v>30337</c:v>
                </c:pt>
                <c:pt idx="2">
                  <c:v>30102</c:v>
                </c:pt>
                <c:pt idx="3">
                  <c:v>30947</c:v>
                </c:pt>
                <c:pt idx="4">
                  <c:v>33271</c:v>
                </c:pt>
                <c:pt idx="5">
                  <c:v>33271</c:v>
                </c:pt>
                <c:pt idx="6">
                  <c:v>34680</c:v>
                </c:pt>
                <c:pt idx="7">
                  <c:v>34514</c:v>
                </c:pt>
                <c:pt idx="8">
                  <c:v>34804</c:v>
                </c:pt>
                <c:pt idx="9">
                  <c:v>34664</c:v>
                </c:pt>
                <c:pt idx="10">
                  <c:v>34671</c:v>
                </c:pt>
                <c:pt idx="11">
                  <c:v>33906</c:v>
                </c:pt>
                <c:pt idx="12">
                  <c:v>32763</c:v>
                </c:pt>
                <c:pt idx="13">
                  <c:v>31570</c:v>
                </c:pt>
              </c:numCache>
            </c:numRef>
          </c:val>
        </c:ser>
        <c:marker val="1"/>
        <c:axId val="79410688"/>
        <c:axId val="79404416"/>
      </c:lineChart>
      <c:catAx>
        <c:axId val="79400960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79402496"/>
        <c:crosses val="autoZero"/>
        <c:auto val="1"/>
        <c:lblAlgn val="ctr"/>
        <c:lblOffset val="100"/>
      </c:catAx>
      <c:valAx>
        <c:axId val="79402496"/>
        <c:scaling>
          <c:orientation val="minMax"/>
          <c:min val="164000"/>
        </c:scaling>
        <c:axPos val="l"/>
        <c:majorGridlines>
          <c:spPr>
            <a:ln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79400960"/>
        <c:crosses val="autoZero"/>
        <c:crossBetween val="between"/>
        <c:dispUnits>
          <c:builtInUnit val="thousands"/>
        </c:dispUnits>
      </c:valAx>
      <c:valAx>
        <c:axId val="79404416"/>
        <c:scaling>
          <c:orientation val="maxMin"/>
          <c:max val="35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79410688"/>
        <c:crosses val="max"/>
        <c:crossBetween val="between"/>
        <c:dispUnits>
          <c:builtInUnit val="thousands"/>
        </c:dispUnits>
      </c:valAx>
      <c:catAx>
        <c:axId val="79410688"/>
        <c:scaling>
          <c:orientation val="minMax"/>
        </c:scaling>
        <c:delete val="1"/>
        <c:axPos val="t"/>
        <c:tickLblPos val="none"/>
        <c:crossAx val="7940441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523877646207325"/>
          <c:y val="4.1424676898629394E-2"/>
          <c:w val="0.644604998467459"/>
          <c:h val="0.71317252062959413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 (3)'!$BE$30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'Fiskalni indikatori (3)'!$CD$6:$CN$6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 (3)'!$CD$20:$CU$20</c:f>
              <c:numCache>
                <c:formatCode>0.00,,</c:formatCode>
                <c:ptCount val="18"/>
                <c:pt idx="0">
                  <c:v>-25863779.340000056</c:v>
                </c:pt>
                <c:pt idx="1">
                  <c:v>-18804242.285214216</c:v>
                </c:pt>
                <c:pt idx="2">
                  <c:v>-14921103.394283671</c:v>
                </c:pt>
                <c:pt idx="3">
                  <c:v>-15891365.313259348</c:v>
                </c:pt>
                <c:pt idx="4">
                  <c:v>-1544398.8301670912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-23541980.710000008</c:v>
                </c:pt>
                <c:pt idx="13">
                  <c:v>-6795277.9000000358</c:v>
                </c:pt>
                <c:pt idx="14">
                  <c:v>-15146455.100000024</c:v>
                </c:pt>
                <c:pt idx="15">
                  <c:v>-13244500.030000031</c:v>
                </c:pt>
                <c:pt idx="16">
                  <c:v>696976.86999996006</c:v>
                </c:pt>
                <c:pt idx="17">
                  <c:v>2039317.3566203862</c:v>
                </c:pt>
              </c:numCache>
            </c:numRef>
          </c:val>
        </c:ser>
        <c:axId val="79491072"/>
        <c:axId val="79489280"/>
      </c:barChart>
      <c:lineChart>
        <c:grouping val="standard"/>
        <c:ser>
          <c:idx val="0"/>
          <c:order val="0"/>
          <c:tx>
            <c:strRef>
              <c:f>'Fiskalni indikatori (3)'!$BE$28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diamond"/>
            <c:size val="4"/>
            <c:spPr>
              <a:solidFill>
                <a:schemeClr val="tx2">
                  <a:lumMod val="75000"/>
                </a:schemeClr>
              </a:solidFill>
              <a:ln cap="flat">
                <a:solidFill>
                  <a:sysClr val="windowText" lastClr="000000"/>
                </a:solidFill>
                <a:round/>
              </a:ln>
            </c:spPr>
          </c:marker>
          <c:cat>
            <c:strRef>
              <c:f>'Fiskalni indikatori (3)'!$AH$5:$AX$5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I</c:v>
                </c:pt>
                <c:pt idx="12">
                  <c:v>II</c:v>
                </c:pt>
                <c:pt idx="13">
                  <c:v>III</c:v>
                </c:pt>
                <c:pt idx="14">
                  <c:v>IV</c:v>
                </c:pt>
                <c:pt idx="15">
                  <c:v>V</c:v>
                </c:pt>
                <c:pt idx="16">
                  <c:v>VI</c:v>
                </c:pt>
              </c:strCache>
            </c:strRef>
          </c:cat>
          <c:val>
            <c:numRef>
              <c:f>'Fiskalni indikatori (3)'!$CD$7:$CU$7</c:f>
              <c:numCache>
                <c:formatCode>0.00,,</c:formatCode>
                <c:ptCount val="18"/>
                <c:pt idx="0">
                  <c:v>54923313.240000002</c:v>
                </c:pt>
                <c:pt idx="1">
                  <c:v>75831835.340000004</c:v>
                </c:pt>
                <c:pt idx="2">
                  <c:v>88914656.390000015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70782033.309999973</c:v>
                </c:pt>
                <c:pt idx="13">
                  <c:v>82133335.760000005</c:v>
                </c:pt>
                <c:pt idx="14">
                  <c:v>100705525.86999999</c:v>
                </c:pt>
                <c:pt idx="15">
                  <c:v>109025419.03999998</c:v>
                </c:pt>
                <c:pt idx="16">
                  <c:v>102074797.2</c:v>
                </c:pt>
                <c:pt idx="17">
                  <c:v>109846821.42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 (3)'!$BE$29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 (3)'!$AH$5:$AX$5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I</c:v>
                </c:pt>
                <c:pt idx="12">
                  <c:v>II</c:v>
                </c:pt>
                <c:pt idx="13">
                  <c:v>III</c:v>
                </c:pt>
                <c:pt idx="14">
                  <c:v>IV</c:v>
                </c:pt>
                <c:pt idx="15">
                  <c:v>V</c:v>
                </c:pt>
                <c:pt idx="16">
                  <c:v>VI</c:v>
                </c:pt>
              </c:strCache>
            </c:strRef>
          </c:cat>
          <c:val>
            <c:numRef>
              <c:f>'Fiskalni indikatori (3)'!$CD$13:$CU$13</c:f>
              <c:numCache>
                <c:formatCode>0.00,,</c:formatCode>
                <c:ptCount val="18"/>
                <c:pt idx="0">
                  <c:v>80787092.580000043</c:v>
                </c:pt>
                <c:pt idx="1">
                  <c:v>94636077.625213683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95542228.430167541</c:v>
                </c:pt>
                <c:pt idx="5">
                  <c:v>100169319.59339005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99421131.212479129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94324014.019999996</c:v>
                </c:pt>
                <c:pt idx="13">
                  <c:v>88928613.660000041</c:v>
                </c:pt>
                <c:pt idx="14">
                  <c:v>115851980.97000003</c:v>
                </c:pt>
                <c:pt idx="15">
                  <c:v>122269919.07000001</c:v>
                </c:pt>
                <c:pt idx="16">
                  <c:v>101377820.33000004</c:v>
                </c:pt>
                <c:pt idx="17">
                  <c:v>107807504.06338003</c:v>
                </c:pt>
              </c:numCache>
            </c:numRef>
          </c:val>
          <c:smooth val="1"/>
        </c:ser>
        <c:marker val="1"/>
        <c:axId val="79477760"/>
        <c:axId val="79487744"/>
      </c:lineChart>
      <c:dateAx>
        <c:axId val="79477760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lang="sr-Latn-CS" sz="650" baseline="0"/>
            </a:pPr>
            <a:endParaRPr lang="en-US"/>
          </a:p>
        </c:txPr>
        <c:crossAx val="79487744"/>
        <c:crosses val="autoZero"/>
        <c:lblOffset val="100"/>
        <c:baseTimeUnit val="days"/>
      </c:dateAx>
      <c:valAx>
        <c:axId val="79487744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79477760"/>
        <c:crosses val="autoZero"/>
        <c:crossBetween val="between"/>
      </c:valAx>
      <c:valAx>
        <c:axId val="79489280"/>
        <c:scaling>
          <c:orientation val="minMax"/>
          <c:max val="13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79491072"/>
        <c:crosses val="max"/>
        <c:crossBetween val="between"/>
        <c:majorUnit val="20000000"/>
      </c:valAx>
      <c:catAx>
        <c:axId val="79491072"/>
        <c:scaling>
          <c:orientation val="minMax"/>
        </c:scaling>
        <c:delete val="1"/>
        <c:axPos val="b"/>
        <c:numFmt formatCode="General" sourceLinked="1"/>
        <c:tickLblPos val="none"/>
        <c:crossAx val="79489280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</c:chart>
  <c:spPr>
    <a:ln w="6350">
      <a:noFill/>
      <a:prstDash val="sysDot"/>
    </a:ln>
  </c:spPr>
  <c:txPr>
    <a:bodyPr/>
    <a:lstStyle/>
    <a:p>
      <a:pPr>
        <a:defRPr sz="700" baseline="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x-none" sz="900"/>
              <a:t>Struktura kredita po sektorima</a:t>
            </a:r>
            <a:endParaRPr lang="en-US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v>privreda</c:v>
          </c:tx>
          <c:cat>
            <c:strRef>
              <c:f>'Database za makro'!$AJ$9:$AV$9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'Database za makro'!$AJ$33:$AV$33</c:f>
              <c:numCache>
                <c:formatCode>#,##0</c:formatCode>
                <c:ptCount val="13"/>
                <c:pt idx="0">
                  <c:v>990503000</c:v>
                </c:pt>
                <c:pt idx="1">
                  <c:v>970241000</c:v>
                </c:pt>
                <c:pt idx="2">
                  <c:v>947586000</c:v>
                </c:pt>
                <c:pt idx="3">
                  <c:v>948916000</c:v>
                </c:pt>
                <c:pt idx="4">
                  <c:v>951101000</c:v>
                </c:pt>
                <c:pt idx="5">
                  <c:v>955208000</c:v>
                </c:pt>
                <c:pt idx="6">
                  <c:v>948392000</c:v>
                </c:pt>
                <c:pt idx="7">
                  <c:v>942611000</c:v>
                </c:pt>
                <c:pt idx="8">
                  <c:v>951552000</c:v>
                </c:pt>
                <c:pt idx="9">
                  <c:v>947682000</c:v>
                </c:pt>
                <c:pt idx="10">
                  <c:v>958498000</c:v>
                </c:pt>
                <c:pt idx="11">
                  <c:v>959819000</c:v>
                </c:pt>
                <c:pt idx="12">
                  <c:v>950442000</c:v>
                </c:pt>
              </c:numCache>
            </c:numRef>
          </c:val>
        </c:ser>
        <c:ser>
          <c:idx val="1"/>
          <c:order val="1"/>
          <c:tx>
            <c:v>stanovništvo</c:v>
          </c:tx>
          <c:cat>
            <c:strRef>
              <c:f>'Database za makro'!$AJ$9:$AV$9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'Database za makro'!$AJ$34:$AV$34</c:f>
              <c:numCache>
                <c:formatCode>#,##0</c:formatCode>
                <c:ptCount val="13"/>
                <c:pt idx="0">
                  <c:v>880928000</c:v>
                </c:pt>
                <c:pt idx="1">
                  <c:v>882461000</c:v>
                </c:pt>
                <c:pt idx="2">
                  <c:v>880608000</c:v>
                </c:pt>
                <c:pt idx="3">
                  <c:v>886901000</c:v>
                </c:pt>
                <c:pt idx="4">
                  <c:v>886802000</c:v>
                </c:pt>
                <c:pt idx="5">
                  <c:v>887117000</c:v>
                </c:pt>
                <c:pt idx="6">
                  <c:v>881291000</c:v>
                </c:pt>
                <c:pt idx="7">
                  <c:v>881114000</c:v>
                </c:pt>
                <c:pt idx="8">
                  <c:v>882555000</c:v>
                </c:pt>
                <c:pt idx="9">
                  <c:v>887104000</c:v>
                </c:pt>
                <c:pt idx="10">
                  <c:v>887350000</c:v>
                </c:pt>
                <c:pt idx="11">
                  <c:v>890729000</c:v>
                </c:pt>
                <c:pt idx="12">
                  <c:v>891471000</c:v>
                </c:pt>
              </c:numCache>
            </c:numRef>
          </c:val>
        </c:ser>
        <c:gapWidth val="91"/>
        <c:overlap val="100"/>
        <c:axId val="91571328"/>
        <c:axId val="91572864"/>
      </c:barChart>
      <c:lineChart>
        <c:grouping val="standard"/>
        <c:ser>
          <c:idx val="2"/>
          <c:order val="2"/>
          <c:tx>
            <c:v>ukupno</c:v>
          </c:tx>
          <c:marker>
            <c:symbol val="none"/>
          </c:marker>
          <c:val>
            <c:numRef>
              <c:f>'Database za makro'!$AJ$29:$AV$29</c:f>
              <c:numCache>
                <c:formatCode>#,##0</c:formatCode>
                <c:ptCount val="13"/>
                <c:pt idx="0">
                  <c:v>2457470000</c:v>
                </c:pt>
                <c:pt idx="1">
                  <c:v>2505785000</c:v>
                </c:pt>
                <c:pt idx="2">
                  <c:v>2538251000</c:v>
                </c:pt>
                <c:pt idx="3">
                  <c:v>2536234000</c:v>
                </c:pt>
                <c:pt idx="4">
                  <c:v>2474546000</c:v>
                </c:pt>
                <c:pt idx="5">
                  <c:v>2463859000</c:v>
                </c:pt>
                <c:pt idx="6">
                  <c:v>2411873000</c:v>
                </c:pt>
                <c:pt idx="7">
                  <c:v>2407862000</c:v>
                </c:pt>
                <c:pt idx="8">
                  <c:v>2415020000</c:v>
                </c:pt>
                <c:pt idx="9">
                  <c:v>2405000000</c:v>
                </c:pt>
                <c:pt idx="10">
                  <c:v>2386574000</c:v>
                </c:pt>
                <c:pt idx="11">
                  <c:v>2383092000</c:v>
                </c:pt>
                <c:pt idx="12">
                  <c:v>2376220000</c:v>
                </c:pt>
              </c:numCache>
            </c:numRef>
          </c:val>
        </c:ser>
        <c:marker val="1"/>
        <c:axId val="91571328"/>
        <c:axId val="91572864"/>
      </c:lineChart>
      <c:catAx>
        <c:axId val="9157132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91572864"/>
        <c:crosses val="autoZero"/>
        <c:auto val="1"/>
        <c:lblAlgn val="ctr"/>
        <c:lblOffset val="100"/>
      </c:catAx>
      <c:valAx>
        <c:axId val="91572864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9157132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6.4046579330422154E-2"/>
                <c:y val="0.35861015245434746"/>
              </c:manualLayout>
            </c:layout>
            <c:tx>
              <c:rich>
                <a:bodyPr/>
                <a:lstStyle/>
                <a:p>
                  <a:pPr>
                    <a:defRPr lang="en-US"/>
                  </a:pPr>
                  <a:r>
                    <a:rPr lang="x-none" sz="800" b="0"/>
                    <a:t>mil</a:t>
                  </a:r>
                  <a:r>
                    <a:rPr lang="x-none"/>
                    <a:t>.</a:t>
                  </a:r>
                  <a:endParaRPr lang="en-US"/>
                </a:p>
              </c:rich>
            </c:tx>
          </c:dispUnitsLbl>
        </c:dispUnits>
      </c:valAx>
    </c:plotArea>
    <c:legend>
      <c:legendPos val="b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sr-Latn-CS" sz="900"/>
              <a:t>Spoljnotrgovinska razmjena</a:t>
            </a:r>
            <a:r>
              <a:rPr lang="en-US" sz="900"/>
              <a:t> Crne Gore</a:t>
            </a:r>
            <a:r>
              <a:rPr lang="sr-Latn-CS" sz="900"/>
              <a:t>  </a:t>
            </a:r>
            <a:r>
              <a:rPr lang="en-US" sz="900"/>
              <a:t>u prvom i drugom kvartalu 2014 </a:t>
            </a:r>
            <a:r>
              <a:rPr lang="sr-Latn-CS" sz="900"/>
              <a:t>(mil.€)</a:t>
            </a:r>
            <a:endParaRPr lang="en-US" sz="9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'Makroekonomski indikatori'!$BC$95</c:f>
              <c:strCache>
                <c:ptCount val="1"/>
                <c:pt idx="0">
                  <c:v>Izvoz</c:v>
                </c:pt>
              </c:strCache>
            </c:strRef>
          </c:tx>
          <c:dLbls>
            <c:numFmt formatCode="#,##0.0" sourceLinked="0"/>
            <c:txPr>
              <a:bodyPr/>
              <a:lstStyle/>
              <a:p>
                <a:pPr>
                  <a:defRPr lang="x-none" sz="700"/>
                </a:pPr>
                <a:endParaRPr lang="en-US"/>
              </a:p>
            </c:txPr>
            <c:showVal val="1"/>
          </c:dLbls>
          <c:cat>
            <c:strRef>
              <c:f>'Makroekonomski indikatori'!$BD$94:$BG$94</c:f>
              <c:strCache>
                <c:ptCount val="4"/>
                <c:pt idx="0">
                  <c:v>Q1 2013</c:v>
                </c:pt>
                <c:pt idx="1">
                  <c:v>Q1 2014</c:v>
                </c:pt>
                <c:pt idx="2">
                  <c:v>Q2 2013 </c:v>
                </c:pt>
                <c:pt idx="3">
                  <c:v>Q2 2014</c:v>
                </c:pt>
              </c:strCache>
            </c:strRef>
          </c:cat>
          <c:val>
            <c:numRef>
              <c:f>'Makroekonomski indikatori'!$BD$95:$BG$95</c:f>
              <c:numCache>
                <c:formatCode>#,##0.00</c:formatCode>
                <c:ptCount val="4"/>
                <c:pt idx="0">
                  <c:v>89.194999999999993</c:v>
                </c:pt>
                <c:pt idx="1">
                  <c:v>69.438999999999993</c:v>
                </c:pt>
                <c:pt idx="2">
                  <c:v>106.926</c:v>
                </c:pt>
                <c:pt idx="3">
                  <c:v>77.062000000000012</c:v>
                </c:pt>
              </c:numCache>
            </c:numRef>
          </c:val>
        </c:ser>
        <c:ser>
          <c:idx val="1"/>
          <c:order val="1"/>
          <c:tx>
            <c:strRef>
              <c:f>'Makroekonomski indikatori'!$BC$96</c:f>
              <c:strCache>
                <c:ptCount val="1"/>
                <c:pt idx="0">
                  <c:v>Uvoz</c:v>
                </c:pt>
              </c:strCache>
            </c:strRef>
          </c:tx>
          <c:dLbls>
            <c:numFmt formatCode="#,##0.0" sourceLinked="0"/>
            <c:txPr>
              <a:bodyPr/>
              <a:lstStyle/>
              <a:p>
                <a:pPr>
                  <a:defRPr lang="x-none" sz="700"/>
                </a:pPr>
                <a:endParaRPr lang="en-US"/>
              </a:p>
            </c:txPr>
            <c:showVal val="1"/>
          </c:dLbls>
          <c:cat>
            <c:strRef>
              <c:f>'Makroekonomski indikatori'!$BD$94:$BG$94</c:f>
              <c:strCache>
                <c:ptCount val="4"/>
                <c:pt idx="0">
                  <c:v>Q1 2013</c:v>
                </c:pt>
                <c:pt idx="1">
                  <c:v>Q1 2014</c:v>
                </c:pt>
                <c:pt idx="2">
                  <c:v>Q2 2013 </c:v>
                </c:pt>
                <c:pt idx="3">
                  <c:v>Q2 2014</c:v>
                </c:pt>
              </c:strCache>
            </c:strRef>
          </c:cat>
          <c:val>
            <c:numRef>
              <c:f>'Makroekonomski indikatori'!$BD$96:$BG$96</c:f>
              <c:numCache>
                <c:formatCode>#,##0.00</c:formatCode>
                <c:ptCount val="4"/>
                <c:pt idx="0">
                  <c:v>362.93400000000003</c:v>
                </c:pt>
                <c:pt idx="1">
                  <c:v>340.60199999999969</c:v>
                </c:pt>
                <c:pt idx="2">
                  <c:v>485.17</c:v>
                </c:pt>
                <c:pt idx="3">
                  <c:v>486.50400000000002</c:v>
                </c:pt>
              </c:numCache>
            </c:numRef>
          </c:val>
        </c:ser>
        <c:ser>
          <c:idx val="2"/>
          <c:order val="2"/>
          <c:tx>
            <c:strRef>
              <c:f>'Makroekonomski indikatori'!$BC$98</c:f>
              <c:strCache>
                <c:ptCount val="1"/>
                <c:pt idx="0">
                  <c:v>Trgovinski bilans</c:v>
                </c:pt>
              </c:strCache>
            </c:strRef>
          </c:tx>
          <c:dLbls>
            <c:numFmt formatCode="#,##0.0" sourceLinked="0"/>
            <c:txPr>
              <a:bodyPr/>
              <a:lstStyle/>
              <a:p>
                <a:pPr>
                  <a:defRPr lang="x-none" sz="700"/>
                </a:pPr>
                <a:endParaRPr lang="en-US"/>
              </a:p>
            </c:txPr>
            <c:showVal val="1"/>
          </c:dLbls>
          <c:cat>
            <c:strRef>
              <c:f>'Makroekonomski indikatori'!$BD$94:$BG$94</c:f>
              <c:strCache>
                <c:ptCount val="4"/>
                <c:pt idx="0">
                  <c:v>Q1 2013</c:v>
                </c:pt>
                <c:pt idx="1">
                  <c:v>Q1 2014</c:v>
                </c:pt>
                <c:pt idx="2">
                  <c:v>Q2 2013 </c:v>
                </c:pt>
                <c:pt idx="3">
                  <c:v>Q2 2014</c:v>
                </c:pt>
              </c:strCache>
            </c:strRef>
          </c:cat>
          <c:val>
            <c:numRef>
              <c:f>'Makroekonomski indikatori'!$BD$98:$BG$98</c:f>
              <c:numCache>
                <c:formatCode>#,##0.00</c:formatCode>
                <c:ptCount val="4"/>
                <c:pt idx="0">
                  <c:v>-273.73900000000003</c:v>
                </c:pt>
                <c:pt idx="1">
                  <c:v>-271.16300000000001</c:v>
                </c:pt>
                <c:pt idx="2">
                  <c:v>-378.24400000000031</c:v>
                </c:pt>
                <c:pt idx="3">
                  <c:v>-409.44200000000001</c:v>
                </c:pt>
              </c:numCache>
            </c:numRef>
          </c:val>
        </c:ser>
        <c:dLbls>
          <c:showVal val="1"/>
        </c:dLbls>
        <c:gapWidth val="75"/>
        <c:axId val="91600384"/>
        <c:axId val="91601920"/>
      </c:barChart>
      <c:catAx>
        <c:axId val="91600384"/>
        <c:scaling>
          <c:orientation val="minMax"/>
        </c:scaling>
        <c:axPos val="b"/>
        <c:numFmt formatCode="@" sourceLinked="1"/>
        <c:majorTickMark val="none"/>
        <c:tickLblPos val="nextTo"/>
        <c:txPr>
          <a:bodyPr/>
          <a:lstStyle/>
          <a:p>
            <a:pPr>
              <a:defRPr lang="en-US" sz="700" b="1"/>
            </a:pPr>
            <a:endParaRPr lang="en-US"/>
          </a:p>
        </c:txPr>
        <c:crossAx val="91601920"/>
        <c:crosses val="autoZero"/>
        <c:lblAlgn val="ctr"/>
        <c:lblOffset val="100"/>
      </c:catAx>
      <c:valAx>
        <c:axId val="91601920"/>
        <c:scaling>
          <c:orientation val="minMax"/>
        </c:scaling>
        <c:axPos val="l"/>
        <c:numFmt formatCode="0.0" sourceLinked="0"/>
        <c:majorTickMark val="none"/>
        <c:tickLblPos val="nextTo"/>
        <c:txPr>
          <a:bodyPr/>
          <a:lstStyle/>
          <a:p>
            <a:pPr>
              <a:defRPr lang="x-none" sz="600"/>
            </a:pPr>
            <a:endParaRPr lang="en-US"/>
          </a:p>
        </c:txPr>
        <c:crossAx val="91600384"/>
        <c:crosses val="autoZero"/>
        <c:crossBetween val="between"/>
      </c:valAx>
    </c:plotArea>
    <c:legend>
      <c:legendPos val="b"/>
      <c:txPr>
        <a:bodyPr/>
        <a:lstStyle/>
        <a:p>
          <a:pPr>
            <a:defRPr lang="x-none" sz="800"/>
          </a:pPr>
          <a:endParaRPr lang="en-US"/>
        </a:p>
      </c:txPr>
    </c:legend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0.10662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2067339" cy="230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="1"/>
            <a:t>Stope na 10-to</a:t>
          </a:r>
          <a:r>
            <a:rPr lang="en-US" sz="900" b="1" baseline="0"/>
            <a:t> godisnje obveznice  u %</a:t>
          </a:r>
          <a:endParaRPr lang="en-US" sz="9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0.1303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7999" y="117579"/>
          <a:ext cx="417600" cy="145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700">
              <a:latin typeface="+mn-lt"/>
            </a:rPr>
            <a:t>broj</a:t>
          </a:r>
          <a:r>
            <a:rPr lang="sr-Latn-CS" sz="800" baseline="0">
              <a:latin typeface="+mn-lt"/>
            </a:rPr>
            <a:t> </a:t>
          </a:r>
          <a:r>
            <a:rPr lang="sr-Latn-CS" sz="700" baseline="0">
              <a:latin typeface="+mn-lt"/>
            </a:rPr>
            <a:t>zaposlenih</a:t>
          </a:r>
          <a:endParaRPr lang="sr-Latn-CS" sz="800">
            <a:latin typeface="+mn-lt"/>
          </a:endParaRPr>
        </a:p>
      </cdr:txBody>
    </cdr:sp>
  </cdr:relSizeAnchor>
  <cdr:relSizeAnchor xmlns:cdr="http://schemas.openxmlformats.org/drawingml/2006/chartDrawing">
    <cdr:from>
      <cdr:x>0.46678</cdr:x>
      <cdr:y>0.74004</cdr:y>
    </cdr:from>
    <cdr:to>
      <cdr:x>0.91958</cdr:x>
      <cdr:y>0.81703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32035" y="1423197"/>
          <a:ext cx="904115" cy="148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nezaposlenih</a:t>
          </a:r>
          <a:endParaRPr lang="sr-Latn-CS" sz="7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FAB6-C119-410F-AA39-BD987454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zdenka.dabovic</cp:lastModifiedBy>
  <cp:revision>14</cp:revision>
  <cp:lastPrinted>2014-08-08T11:07:00Z</cp:lastPrinted>
  <dcterms:created xsi:type="dcterms:W3CDTF">2014-08-11T09:19:00Z</dcterms:created>
  <dcterms:modified xsi:type="dcterms:W3CDTF">2014-08-14T09:54:00Z</dcterms:modified>
</cp:coreProperties>
</file>