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C" w:rsidRDefault="004D0353" w:rsidP="0020480C">
      <w:pPr>
        <w:rPr>
          <w:rFonts w:ascii="Times New Roman" w:hAnsi="Times New Roman" w:cs="Times New Roman"/>
          <w:b/>
          <w:sz w:val="24"/>
          <w:lang w:val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sl-SI"/>
        </w:rPr>
        <w:t xml:space="preserve"> </w:t>
      </w:r>
    </w:p>
    <w:p w:rsidR="0020480C" w:rsidRPr="0020480C" w:rsidRDefault="0020480C" w:rsidP="0020480C">
      <w:pPr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20480C">
        <w:rPr>
          <w:rFonts w:ascii="Times New Roman" w:hAnsi="Times New Roman" w:cs="Times New Roman"/>
          <w:b/>
          <w:sz w:val="28"/>
          <w:szCs w:val="28"/>
          <w:lang w:val="sr-Cyrl-RS"/>
        </w:rPr>
        <w:t>PROGRAM EKONOMSKIH REFORMI 20</w:t>
      </w:r>
      <w:r w:rsidRPr="0020480C">
        <w:rPr>
          <w:rFonts w:ascii="Times New Roman" w:hAnsi="Times New Roman" w:cs="Times New Roman"/>
          <w:b/>
          <w:sz w:val="28"/>
          <w:szCs w:val="28"/>
          <w:lang w:val="sl-SI"/>
        </w:rPr>
        <w:t>2</w:t>
      </w:r>
      <w:r w:rsidR="0048342B">
        <w:rPr>
          <w:rFonts w:ascii="Times New Roman" w:hAnsi="Times New Roman" w:cs="Times New Roman"/>
          <w:b/>
          <w:sz w:val="28"/>
          <w:szCs w:val="28"/>
          <w:lang w:val="sl-SI"/>
        </w:rPr>
        <w:t>2</w:t>
      </w:r>
      <w:r w:rsidRPr="0020480C">
        <w:rPr>
          <w:rFonts w:ascii="Times New Roman" w:hAnsi="Times New Roman" w:cs="Times New Roman"/>
          <w:b/>
          <w:sz w:val="28"/>
          <w:szCs w:val="28"/>
          <w:lang w:val="sr-Cyrl-RS"/>
        </w:rPr>
        <w:t>-202</w:t>
      </w:r>
      <w:r w:rsidR="0048342B">
        <w:rPr>
          <w:rFonts w:ascii="Times New Roman" w:hAnsi="Times New Roman" w:cs="Times New Roman"/>
          <w:b/>
          <w:sz w:val="28"/>
          <w:szCs w:val="28"/>
          <w:lang w:val="sl-SI"/>
        </w:rPr>
        <w:t>4</w:t>
      </w:r>
    </w:p>
    <w:p w:rsidR="0020480C" w:rsidRPr="0020480C" w:rsidRDefault="0020480C" w:rsidP="0020480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l-SI"/>
        </w:rPr>
      </w:pPr>
      <w:r w:rsidRPr="0020480C">
        <w:rPr>
          <w:rFonts w:ascii="Times New Roman" w:hAnsi="Times New Roman" w:cs="Times New Roman"/>
          <w:b/>
          <w:i/>
          <w:sz w:val="28"/>
          <w:szCs w:val="28"/>
          <w:lang w:val="sl-SI"/>
        </w:rPr>
        <w:t xml:space="preserve">OBRAZAC ZA PRIPREMU INPUTA ZA </w:t>
      </w:r>
      <w:r w:rsidR="00255FBC">
        <w:rPr>
          <w:rFonts w:ascii="Times New Roman" w:hAnsi="Times New Roman" w:cs="Times New Roman"/>
          <w:b/>
          <w:i/>
          <w:sz w:val="28"/>
          <w:szCs w:val="28"/>
          <w:lang w:val="sl-SI"/>
        </w:rPr>
        <w:t>R</w:t>
      </w:r>
      <w:r w:rsidR="004867BE">
        <w:rPr>
          <w:rFonts w:ascii="Times New Roman" w:hAnsi="Times New Roman" w:cs="Times New Roman"/>
          <w:b/>
          <w:i/>
          <w:sz w:val="28"/>
          <w:szCs w:val="28"/>
          <w:lang w:val="sl-SI"/>
        </w:rPr>
        <w:t xml:space="preserve">EFORMSKU </w:t>
      </w:r>
      <w:r w:rsidRPr="0020480C">
        <w:rPr>
          <w:rFonts w:ascii="Times New Roman" w:hAnsi="Times New Roman" w:cs="Times New Roman"/>
          <w:b/>
          <w:i/>
          <w:sz w:val="28"/>
          <w:szCs w:val="28"/>
          <w:lang w:val="sl-SI"/>
        </w:rPr>
        <w:t>MERU</w:t>
      </w:r>
    </w:p>
    <w:p w:rsidR="0020480C" w:rsidRDefault="0020480C" w:rsidP="0020480C">
      <w:pPr>
        <w:rPr>
          <w:rFonts w:ascii="Times New Roman" w:hAnsi="Times New Roman" w:cs="Times New Roman"/>
          <w:lang w:val="sl-SI"/>
        </w:rPr>
      </w:pPr>
    </w:p>
    <w:p w:rsidR="00255FBC" w:rsidRDefault="00255FBC" w:rsidP="0020480C">
      <w:pPr>
        <w:rPr>
          <w:rFonts w:ascii="Times New Roman" w:hAnsi="Times New Roman" w:cs="Times New Roman"/>
          <w:lang w:val="sl-SI"/>
        </w:rPr>
      </w:pPr>
    </w:p>
    <w:p w:rsidR="00255FBC" w:rsidRPr="007A1B73" w:rsidRDefault="00255FBC" w:rsidP="0020480C">
      <w:pPr>
        <w:rPr>
          <w:rFonts w:ascii="Times New Roman" w:hAnsi="Times New Roman" w:cs="Times New Roman"/>
          <w:b/>
          <w:sz w:val="28"/>
          <w:szCs w:val="28"/>
          <w:u w:val="single"/>
          <w:lang w:val="sl-SI"/>
        </w:rPr>
      </w:pPr>
      <w:r w:rsidRPr="007A1B73">
        <w:rPr>
          <w:rFonts w:ascii="Times New Roman" w:hAnsi="Times New Roman" w:cs="Times New Roman"/>
          <w:b/>
          <w:sz w:val="28"/>
          <w:szCs w:val="28"/>
          <w:u w:val="single"/>
          <w:lang w:val="sl-SI"/>
        </w:rPr>
        <w:t xml:space="preserve">I. Identifikacijski podaci o predloženoj reformskoj meri  </w:t>
      </w:r>
    </w:p>
    <w:p w:rsidR="0020480C" w:rsidRDefault="0020480C" w:rsidP="0020480C">
      <w:pPr>
        <w:rPr>
          <w:rFonts w:ascii="Times New Roman" w:hAnsi="Times New Roman" w:cs="Times New Roman"/>
          <w:lang w:val="sl-SI"/>
        </w:rPr>
      </w:pPr>
    </w:p>
    <w:p w:rsidR="0020480C" w:rsidRDefault="0020480C" w:rsidP="007979C4">
      <w:pPr>
        <w:spacing w:before="120" w:after="60"/>
        <w:jc w:val="both"/>
        <w:rPr>
          <w:rFonts w:ascii="Times New Roman" w:hAnsi="Times New Roman" w:cs="Times New Roman"/>
          <w:smallCaps/>
          <w:lang w:val="sr-Latn-RS" w:eastAsia="en-US" w:bidi="ar-SA"/>
        </w:rPr>
      </w:pPr>
      <w:r w:rsidRPr="00255FBC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NAZIV </w:t>
      </w:r>
      <w:r w:rsidR="004867BE" w:rsidRPr="00255FBC">
        <w:rPr>
          <w:rFonts w:ascii="Times New Roman" w:hAnsi="Times New Roman" w:cs="Times New Roman"/>
          <w:b/>
          <w:smallCaps/>
          <w:lang w:val="sr-Latn-RS" w:eastAsia="en-US" w:bidi="ar-SA"/>
        </w:rPr>
        <w:t>REFORMSKE MERE</w:t>
      </w:r>
      <w:r w:rsidRPr="00255FBC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: </w:t>
      </w:r>
      <w:r w:rsidR="004867BE" w:rsidRPr="009C5971">
        <w:rPr>
          <w:rFonts w:ascii="Times New Roman" w:hAnsi="Times New Roman" w:cs="Times New Roman"/>
          <w:smallCaps/>
          <w:lang w:val="sr-Latn-RS" w:eastAsia="en-US" w:bidi="ar-SA"/>
        </w:rPr>
        <w:t>..............................</w:t>
      </w:r>
      <w:r w:rsidR="009C5971" w:rsidRPr="009C5971">
        <w:rPr>
          <w:rFonts w:ascii="Times New Roman" w:hAnsi="Times New Roman" w:cs="Times New Roman"/>
          <w:smallCaps/>
          <w:lang w:val="sr-Latn-RS" w:eastAsia="en-US" w:bidi="ar-SA"/>
        </w:rPr>
        <w:t>(</w:t>
      </w:r>
      <w:r w:rsidR="004867BE" w:rsidRPr="009C5971">
        <w:rPr>
          <w:rFonts w:ascii="Times New Roman" w:hAnsi="Times New Roman" w:cs="Times New Roman"/>
          <w:smallCaps/>
          <w:lang w:val="sr-Latn-RS" w:eastAsia="en-US" w:bidi="ar-SA"/>
        </w:rPr>
        <w:t>na</w:t>
      </w:r>
      <w:r w:rsidR="009C5971" w:rsidRPr="009C5971">
        <w:rPr>
          <w:rFonts w:ascii="Times New Roman" w:hAnsi="Times New Roman" w:cs="Times New Roman"/>
          <w:smallCaps/>
          <w:lang w:val="sr-Latn-RS" w:eastAsia="en-US" w:bidi="ar-SA"/>
        </w:rPr>
        <w:t>vesti</w:t>
      </w:r>
      <w:r w:rsidR="009C5971">
        <w:rPr>
          <w:rFonts w:ascii="Times New Roman" w:hAnsi="Times New Roman" w:cs="Times New Roman"/>
          <w:smallCaps/>
          <w:lang w:val="sr-Latn-RS" w:eastAsia="en-US" w:bidi="ar-SA"/>
        </w:rPr>
        <w:t xml:space="preserve"> naziv reformeske mere pri čemu on </w:t>
      </w:r>
      <w:r w:rsidR="004867BE" w:rsidRPr="00255FBC">
        <w:rPr>
          <w:rFonts w:ascii="Times New Roman" w:hAnsi="Times New Roman" w:cs="Times New Roman"/>
          <w:smallCaps/>
          <w:lang w:val="sr-Latn-RS" w:eastAsia="en-US" w:bidi="ar-SA"/>
        </w:rPr>
        <w:t xml:space="preserve">treba da okarakteriše meru na </w:t>
      </w:r>
      <w:r w:rsidR="009C5971">
        <w:rPr>
          <w:rFonts w:ascii="Times New Roman" w:hAnsi="Times New Roman" w:cs="Times New Roman"/>
          <w:smallCaps/>
          <w:lang w:val="sr-Latn-RS" w:eastAsia="en-US" w:bidi="ar-SA"/>
        </w:rPr>
        <w:t xml:space="preserve">što kraći ali još uvjek </w:t>
      </w:r>
      <w:r w:rsidR="004867BE" w:rsidRPr="00255FBC">
        <w:rPr>
          <w:rFonts w:ascii="Times New Roman" w:hAnsi="Times New Roman" w:cs="Times New Roman"/>
          <w:smallCaps/>
          <w:lang w:val="sr-Latn-RS" w:eastAsia="en-US" w:bidi="ar-SA"/>
        </w:rPr>
        <w:t>što celovitiji način</w:t>
      </w:r>
      <w:r w:rsidR="009C5971">
        <w:rPr>
          <w:rFonts w:ascii="Times New Roman" w:hAnsi="Times New Roman" w:cs="Times New Roman"/>
          <w:smallCaps/>
          <w:lang w:val="sr-Latn-RS" w:eastAsia="en-US" w:bidi="ar-SA"/>
        </w:rPr>
        <w:t>)</w:t>
      </w:r>
    </w:p>
    <w:p w:rsidR="00DD3C02" w:rsidRDefault="00DD3C02" w:rsidP="007979C4">
      <w:pPr>
        <w:spacing w:before="120" w:after="60"/>
        <w:jc w:val="both"/>
        <w:rPr>
          <w:rFonts w:ascii="Times New Roman" w:hAnsi="Times New Roman" w:cs="Times New Roman"/>
          <w:smallCaps/>
          <w:lang w:val="sr-Latn-RS" w:eastAsia="en-US" w:bidi="ar-SA"/>
        </w:rPr>
      </w:pPr>
    </w:p>
    <w:p w:rsidR="00DD3C02" w:rsidRDefault="00DD3C02" w:rsidP="007979C4">
      <w:pPr>
        <w:spacing w:before="120" w:after="60"/>
        <w:jc w:val="both"/>
        <w:rPr>
          <w:rFonts w:ascii="Times New Roman" w:hAnsi="Times New Roman" w:cs="Times New Roman"/>
          <w:smallCaps/>
          <w:lang w:val="sr-Latn-RS" w:eastAsia="en-US" w:bidi="ar-SA"/>
        </w:rPr>
      </w:pPr>
      <w:r w:rsidRPr="00DD3C02">
        <w:rPr>
          <w:rFonts w:ascii="Times New Roman" w:hAnsi="Times New Roman" w:cs="Times New Roman"/>
          <w:b/>
          <w:smallCaps/>
          <w:lang w:val="sr-Latn-RS" w:eastAsia="en-US" w:bidi="ar-SA"/>
        </w:rPr>
        <w:t>STATUS REFORMSKE MERE</w:t>
      </w:r>
      <w:r w:rsidR="007979C4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 U OKVIRU </w:t>
      </w:r>
      <w:r w:rsidR="00A42BAE">
        <w:rPr>
          <w:rFonts w:ascii="Times New Roman" w:hAnsi="Times New Roman" w:cs="Times New Roman"/>
          <w:b/>
          <w:smallCaps/>
          <w:lang w:val="sr-Latn-RS" w:eastAsia="en-US" w:bidi="ar-SA"/>
        </w:rPr>
        <w:t>PER</w:t>
      </w:r>
      <w:r w:rsidR="007979C4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 DOKUMENTA</w:t>
      </w:r>
      <w:r w:rsidRPr="00DD3C02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: </w:t>
      </w:r>
      <w:r>
        <w:rPr>
          <w:rFonts w:ascii="Times New Roman" w:hAnsi="Times New Roman" w:cs="Times New Roman"/>
          <w:smallCaps/>
          <w:lang w:val="sr-Latn-RS" w:eastAsia="en-US" w:bidi="ar-SA"/>
        </w:rPr>
        <w:t>(zaokruži ono što je relevantno)</w:t>
      </w:r>
    </w:p>
    <w:p w:rsidR="00DD3C02" w:rsidRPr="007979C4" w:rsidRDefault="00077F5F" w:rsidP="007979C4">
      <w:pPr>
        <w:jc w:val="both"/>
        <w:rPr>
          <w:rFonts w:ascii="Times New Roman" w:hAnsi="Times New Roman" w:cs="Times New Roman"/>
          <w:smallCaps/>
          <w:lang w:val="sr-Latn-RS" w:eastAsia="en-US" w:bidi="ar-SA"/>
        </w:rPr>
      </w:pPr>
      <w:r w:rsidRPr="007979C4">
        <w:rPr>
          <w:rFonts w:ascii="Times New Roman" w:hAnsi="Times New Roman" w:cs="Times New Roman"/>
          <w:lang w:val="sr-Latn-RS"/>
        </w:rPr>
        <w:t xml:space="preserve">     </w:t>
      </w:r>
      <w:r w:rsidR="00DD3C02" w:rsidRPr="007979C4">
        <w:rPr>
          <w:rFonts w:ascii="Times New Roman" w:hAnsi="Times New Roman" w:cs="Times New Roman"/>
          <w:lang w:val="sr-Latn-RS"/>
        </w:rPr>
        <w:t xml:space="preserve">Potpuno nova mera  </w:t>
      </w:r>
      <w:r w:rsidRPr="007979C4">
        <w:rPr>
          <w:rFonts w:ascii="Times New Roman" w:hAnsi="Times New Roman" w:cs="Times New Roman"/>
          <w:lang w:val="sr-Latn-RS"/>
        </w:rPr>
        <w:t xml:space="preserve">        </w:t>
      </w:r>
      <w:r w:rsidR="00DD3C02" w:rsidRPr="007979C4">
        <w:rPr>
          <w:rFonts w:ascii="Times New Roman" w:hAnsi="Times New Roman" w:cs="Times New Roman"/>
          <w:lang w:val="sr-Latn-RS"/>
        </w:rPr>
        <w:t xml:space="preserve"> </w:t>
      </w:r>
      <w:r w:rsidR="00006521" w:rsidRPr="007979C4">
        <w:rPr>
          <w:rFonts w:ascii="Times New Roman" w:hAnsi="Times New Roman" w:cs="Times New Roman"/>
          <w:lang w:val="sr-Latn-RS"/>
        </w:rPr>
        <w:t xml:space="preserve">  </w:t>
      </w:r>
      <w:r w:rsidR="00DD3C02" w:rsidRPr="007979C4">
        <w:rPr>
          <w:rFonts w:ascii="Times New Roman" w:hAnsi="Times New Roman" w:cs="Times New Roman"/>
          <w:lang w:val="sr-Latn-RS"/>
        </w:rPr>
        <w:t xml:space="preserve">   </w:t>
      </w:r>
      <w:r w:rsidR="007979C4">
        <w:rPr>
          <w:rFonts w:ascii="Times New Roman" w:hAnsi="Times New Roman" w:cs="Times New Roman"/>
          <w:lang w:val="sr-Latn-RS"/>
        </w:rPr>
        <w:t xml:space="preserve">     </w:t>
      </w:r>
      <w:r w:rsidR="00DD3C02" w:rsidRPr="007979C4">
        <w:rPr>
          <w:rFonts w:ascii="Times New Roman" w:hAnsi="Times New Roman" w:cs="Times New Roman"/>
          <w:lang w:val="sr-Latn-RS"/>
        </w:rPr>
        <w:t xml:space="preserve"> Mera preneta iz prošle godine   </w:t>
      </w:r>
      <w:r w:rsidR="007979C4">
        <w:rPr>
          <w:rFonts w:ascii="Times New Roman" w:hAnsi="Times New Roman" w:cs="Times New Roman"/>
          <w:lang w:val="sr-Latn-RS"/>
        </w:rPr>
        <w:t xml:space="preserve">      </w:t>
      </w:r>
      <w:r w:rsidR="00DD3C02" w:rsidRPr="007979C4">
        <w:rPr>
          <w:rFonts w:ascii="Times New Roman" w:hAnsi="Times New Roman" w:cs="Times New Roman"/>
          <w:lang w:val="sr-Latn-RS"/>
        </w:rPr>
        <w:t xml:space="preserve"> </w:t>
      </w:r>
      <w:r w:rsidRPr="007979C4">
        <w:rPr>
          <w:rFonts w:ascii="Times New Roman" w:hAnsi="Times New Roman" w:cs="Times New Roman"/>
          <w:lang w:val="sr-Latn-RS"/>
        </w:rPr>
        <w:t xml:space="preserve">      </w:t>
      </w:r>
      <w:r w:rsidR="00DD3C02" w:rsidRPr="007979C4">
        <w:rPr>
          <w:rFonts w:ascii="Times New Roman" w:hAnsi="Times New Roman" w:cs="Times New Roman"/>
          <w:lang w:val="sr-Latn-RS"/>
        </w:rPr>
        <w:t xml:space="preserve">   Mera preneta iz prošlih godina </w:t>
      </w:r>
      <w:r w:rsidR="00DD3C02" w:rsidRPr="007979C4">
        <w:rPr>
          <w:rFonts w:ascii="Times New Roman" w:hAnsi="Times New Roman" w:cs="Times New Roman"/>
          <w:smallCaps/>
          <w:lang w:val="sr-Latn-RS" w:eastAsia="en-US" w:bidi="ar-SA"/>
        </w:rPr>
        <w:t xml:space="preserve"> </w:t>
      </w:r>
    </w:p>
    <w:p w:rsidR="0020480C" w:rsidRPr="00255FBC" w:rsidRDefault="0020480C" w:rsidP="007979C4">
      <w:pPr>
        <w:spacing w:before="120" w:after="60"/>
        <w:jc w:val="both"/>
        <w:rPr>
          <w:rFonts w:ascii="Times New Roman" w:hAnsi="Times New Roman" w:cs="Times New Roman"/>
          <w:b/>
          <w:smallCaps/>
          <w:lang w:val="sr-Latn-RS" w:eastAsia="en-US" w:bidi="ar-SA"/>
        </w:rPr>
      </w:pPr>
    </w:p>
    <w:p w:rsidR="0020480C" w:rsidRPr="00255FBC" w:rsidRDefault="0020480C" w:rsidP="007979C4">
      <w:pPr>
        <w:spacing w:before="120" w:after="60"/>
        <w:jc w:val="both"/>
        <w:rPr>
          <w:rFonts w:ascii="Times New Roman" w:hAnsi="Times New Roman" w:cs="Times New Roman"/>
          <w:i/>
          <w:smallCaps/>
          <w:lang w:val="sr-Latn-RS" w:eastAsia="en-US" w:bidi="ar-SA"/>
        </w:rPr>
      </w:pPr>
      <w:r w:rsidRPr="00255FBC"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PREDLAGAĆ: </w:t>
      </w:r>
      <w:r w:rsidRPr="009C5971">
        <w:rPr>
          <w:rFonts w:ascii="Times New Roman" w:hAnsi="Times New Roman" w:cs="Times New Roman"/>
          <w:smallCaps/>
          <w:lang w:val="sr-Latn-RS" w:eastAsia="en-US" w:bidi="ar-SA"/>
        </w:rPr>
        <w:t>....................................</w:t>
      </w:r>
      <w:r w:rsidR="004867BE" w:rsidRPr="009C5971">
        <w:rPr>
          <w:rFonts w:ascii="Times New Roman" w:hAnsi="Times New Roman" w:cs="Times New Roman"/>
          <w:smallCaps/>
          <w:lang w:val="sr-Latn-RS" w:eastAsia="en-US" w:bidi="ar-SA"/>
        </w:rPr>
        <w:t>(</w:t>
      </w:r>
      <w:r w:rsidR="004867BE" w:rsidRPr="009C5971">
        <w:rPr>
          <w:rFonts w:ascii="Times New Roman" w:hAnsi="Times New Roman" w:cs="Times New Roman"/>
          <w:i/>
          <w:smallCaps/>
          <w:lang w:val="sr-Latn-RS" w:eastAsia="en-US" w:bidi="ar-SA"/>
        </w:rPr>
        <w:t>nave</w:t>
      </w:r>
      <w:r w:rsidR="00255FBC" w:rsidRPr="009C5971"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sti </w:t>
      </w:r>
      <w:r w:rsidR="004867BE" w:rsidRPr="009C5971"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 instituciju</w:t>
      </w:r>
      <w:r w:rsidR="004867BE" w:rsidRPr="00255FBC"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 koja predlaže uvodjenje strukturne mere u PER 202</w:t>
      </w:r>
      <w:r w:rsidR="00801380">
        <w:rPr>
          <w:rFonts w:ascii="Times New Roman" w:hAnsi="Times New Roman" w:cs="Times New Roman"/>
          <w:i/>
          <w:smallCaps/>
          <w:lang w:val="sr-Latn-RS" w:eastAsia="en-US" w:bidi="ar-SA"/>
        </w:rPr>
        <w:t>2</w:t>
      </w:r>
      <w:r w:rsidR="004867BE" w:rsidRPr="00255FBC">
        <w:rPr>
          <w:rFonts w:ascii="Times New Roman" w:hAnsi="Times New Roman" w:cs="Times New Roman"/>
          <w:i/>
          <w:smallCaps/>
          <w:lang w:val="sr-Latn-RS" w:eastAsia="en-US" w:bidi="ar-SA"/>
        </w:rPr>
        <w:t>-202</w:t>
      </w:r>
      <w:r w:rsidR="00801380">
        <w:rPr>
          <w:rFonts w:ascii="Times New Roman" w:hAnsi="Times New Roman" w:cs="Times New Roman"/>
          <w:i/>
          <w:smallCaps/>
          <w:lang w:val="sr-Latn-RS" w:eastAsia="en-US" w:bidi="ar-SA"/>
        </w:rPr>
        <w:t>4</w:t>
      </w:r>
      <w:r w:rsidR="004867BE" w:rsidRPr="00255FBC">
        <w:rPr>
          <w:rFonts w:ascii="Times New Roman" w:hAnsi="Times New Roman" w:cs="Times New Roman"/>
          <w:i/>
          <w:smallCaps/>
          <w:lang w:val="sr-Latn-RS" w:eastAsia="en-US" w:bidi="ar-SA"/>
        </w:rPr>
        <w:t>)</w:t>
      </w:r>
    </w:p>
    <w:p w:rsidR="0020480C" w:rsidRDefault="0020480C" w:rsidP="007979C4">
      <w:pPr>
        <w:spacing w:before="120" w:after="60"/>
        <w:jc w:val="both"/>
        <w:rPr>
          <w:rFonts w:ascii="Times New Roman" w:hAnsi="Times New Roman" w:cs="Times New Roman"/>
          <w:b/>
          <w:smallCaps/>
          <w:lang w:val="sr-Latn-RS" w:eastAsia="en-US" w:bidi="ar-SA"/>
        </w:rPr>
      </w:pPr>
    </w:p>
    <w:p w:rsidR="00255FBC" w:rsidRPr="00255FBC" w:rsidRDefault="00255FBC" w:rsidP="007979C4">
      <w:pPr>
        <w:spacing w:before="120" w:after="60"/>
        <w:jc w:val="both"/>
        <w:rPr>
          <w:rFonts w:ascii="Times New Roman" w:hAnsi="Times New Roman" w:cs="Times New Roman"/>
          <w:i/>
          <w:smallCaps/>
          <w:lang w:val="sr-Latn-RS" w:eastAsia="en-US" w:bidi="ar-SA"/>
        </w:rPr>
      </w:pPr>
      <w:r>
        <w:rPr>
          <w:rFonts w:ascii="Times New Roman" w:hAnsi="Times New Roman" w:cs="Times New Roman"/>
          <w:b/>
          <w:smallCaps/>
          <w:lang w:val="sr-Latn-RS" w:eastAsia="en-US" w:bidi="ar-SA"/>
        </w:rPr>
        <w:t xml:space="preserve">OBLAST: </w:t>
      </w:r>
      <w:r w:rsidRPr="009C5971">
        <w:rPr>
          <w:rFonts w:ascii="Times New Roman" w:hAnsi="Times New Roman" w:cs="Times New Roman"/>
          <w:smallCaps/>
          <w:lang w:val="sr-Latn-RS" w:eastAsia="en-US" w:bidi="ar-SA"/>
        </w:rPr>
        <w:t>.............................</w:t>
      </w:r>
      <w:r w:rsidR="004810E2">
        <w:rPr>
          <w:rFonts w:ascii="Times New Roman" w:hAnsi="Times New Roman" w:cs="Times New Roman"/>
          <w:smallCaps/>
          <w:lang w:val="sr-Latn-RS" w:eastAsia="en-US" w:bidi="ar-SA"/>
        </w:rPr>
        <w:t>.................</w:t>
      </w:r>
      <w:r w:rsidRPr="009C5971">
        <w:rPr>
          <w:rFonts w:ascii="Times New Roman" w:hAnsi="Times New Roman" w:cs="Times New Roman"/>
          <w:smallCaps/>
          <w:lang w:val="sr-Latn-RS" w:eastAsia="en-US" w:bidi="ar-SA"/>
        </w:rPr>
        <w:t>(</w:t>
      </w:r>
      <w:r w:rsidRPr="009C5971">
        <w:rPr>
          <w:rFonts w:ascii="Times New Roman" w:hAnsi="Times New Roman" w:cs="Times New Roman"/>
          <w:i/>
          <w:smallCaps/>
          <w:lang w:val="sr-Latn-RS" w:eastAsia="en-US" w:bidi="ar-SA"/>
        </w:rPr>
        <w:t>n</w:t>
      </w:r>
      <w:r w:rsidRPr="00255FBC"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avesti 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>jedn</w:t>
      </w:r>
      <w:r w:rsidR="009C5971">
        <w:rPr>
          <w:rFonts w:ascii="Times New Roman" w:hAnsi="Times New Roman" w:cs="Times New Roman"/>
          <w:i/>
          <w:smallCaps/>
          <w:lang w:val="sr-Latn-RS" w:eastAsia="en-US" w:bidi="ar-SA"/>
        </w:rPr>
        <w:t>u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 od </w:t>
      </w:r>
      <w:r w:rsidR="004810E2"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13 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oblasti u </w:t>
      </w:r>
      <w:r w:rsidR="00A42BAE">
        <w:rPr>
          <w:rFonts w:ascii="Times New Roman" w:hAnsi="Times New Roman" w:cs="Times New Roman"/>
          <w:i/>
          <w:smallCaps/>
          <w:lang w:val="sr-Latn-RS" w:eastAsia="en-US" w:bidi="ar-SA"/>
        </w:rPr>
        <w:t>PER 2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>02</w:t>
      </w:r>
      <w:r w:rsidR="004810E2">
        <w:rPr>
          <w:rFonts w:ascii="Times New Roman" w:hAnsi="Times New Roman" w:cs="Times New Roman"/>
          <w:i/>
          <w:smallCaps/>
          <w:lang w:val="sr-Latn-RS" w:eastAsia="en-US" w:bidi="ar-SA"/>
        </w:rPr>
        <w:t>2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>-202</w:t>
      </w:r>
      <w:r w:rsidR="004810E2">
        <w:rPr>
          <w:rFonts w:ascii="Times New Roman" w:hAnsi="Times New Roman" w:cs="Times New Roman"/>
          <w:i/>
          <w:smallCaps/>
          <w:lang w:val="sr-Latn-RS" w:eastAsia="en-US" w:bidi="ar-SA"/>
        </w:rPr>
        <w:t>4</w:t>
      </w:r>
      <w:r>
        <w:rPr>
          <w:rFonts w:ascii="Times New Roman" w:hAnsi="Times New Roman" w:cs="Times New Roman"/>
          <w:i/>
          <w:smallCaps/>
          <w:lang w:val="sr-Latn-RS" w:eastAsia="en-US" w:bidi="ar-SA"/>
        </w:rPr>
        <w:t xml:space="preserve"> na koju se odnosi predložena reformska mera)</w:t>
      </w:r>
    </w:p>
    <w:p w:rsidR="00255FBC" w:rsidRDefault="00255FBC" w:rsidP="007979C4">
      <w:pPr>
        <w:spacing w:before="120" w:after="60"/>
        <w:ind w:left="426"/>
        <w:jc w:val="both"/>
        <w:rPr>
          <w:rFonts w:ascii="Times New Roman" w:hAnsi="Times New Roman" w:cs="Times New Roman"/>
          <w:b/>
          <w:smallCaps/>
          <w:lang w:val="sr-Latn-RS" w:eastAsia="en-US" w:bidi="ar-SA"/>
        </w:rPr>
      </w:pPr>
    </w:p>
    <w:p w:rsidR="00255FBC" w:rsidRPr="007A1B73" w:rsidRDefault="00255FBC" w:rsidP="00255FBC">
      <w:pPr>
        <w:rPr>
          <w:rFonts w:ascii="Times New Roman" w:hAnsi="Times New Roman" w:cs="Times New Roman"/>
          <w:b/>
          <w:sz w:val="28"/>
          <w:szCs w:val="28"/>
          <w:u w:val="single"/>
          <w:lang w:val="sl-SI"/>
        </w:rPr>
      </w:pPr>
      <w:r w:rsidRPr="007A1B73">
        <w:rPr>
          <w:rFonts w:ascii="Times New Roman" w:hAnsi="Times New Roman" w:cs="Times New Roman"/>
          <w:b/>
          <w:sz w:val="28"/>
          <w:szCs w:val="28"/>
          <w:u w:val="single"/>
          <w:lang w:val="sl-SI"/>
        </w:rPr>
        <w:t>II. Detaljnije informacije / podaci o predloženoj reformskoj meri</w:t>
      </w:r>
    </w:p>
    <w:p w:rsidR="00255FBC" w:rsidRPr="00255FBC" w:rsidRDefault="00255FBC" w:rsidP="00255FBC">
      <w:pPr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255FBC">
        <w:rPr>
          <w:rFonts w:ascii="Times New Roman" w:hAnsi="Times New Roman" w:cs="Times New Roman"/>
          <w:b/>
          <w:sz w:val="28"/>
          <w:szCs w:val="28"/>
          <w:lang w:val="sl-SI"/>
        </w:rPr>
        <w:t xml:space="preserve">  </w:t>
      </w:r>
    </w:p>
    <w:tbl>
      <w:tblPr>
        <w:tblW w:w="1034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>Sumarni opis reformske mere</w:t>
            </w:r>
            <w:r w:rsidRPr="009C5971">
              <w:rPr>
                <w:rFonts w:ascii="Times New Roman" w:hAnsi="Times New Roman" w:cs="Times New Roman"/>
                <w:lang w:val="sr-Latn-RS"/>
              </w:rPr>
              <w:t xml:space="preserve"> 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ne više od 10 redova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6612AE" w:rsidP="00F34D5E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Da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ti sažet opis reformske mere i informacije o njenim vezama </w:t>
            </w:r>
            <w:r w:rsidR="00F34D5E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(i) sa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strateškim dokumentima ili sektorskim strategijama i širim reformskim naporima</w:t>
            </w:r>
            <w:r w:rsidR="00F34D5E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Crne gore te (ii) sa preporukama ministarskog sastanka i razvojnim prioritetama EU (Eurpean Green Deal, digitalizacija).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A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ko je reforma preneta iz prethodne godine, navesti da li su realizovane aktivnosti koje su bile planirane za prethodne godine. Ako nisu, objasniti kašnjenja.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Planirane aktivnosti </w:t>
            </w:r>
            <w:r w:rsidR="00542FBB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reformske mere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po godinama</w:t>
            </w:r>
            <w:r w:rsidRPr="009C5971">
              <w:rPr>
                <w:rFonts w:ascii="Times New Roman" w:hAnsi="Times New Roman" w:cs="Times New Roman"/>
                <w:lang w:val="sr-Latn-RS"/>
              </w:rPr>
              <w:t xml:space="preserve"> 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ne više od 3 reda za svaku godinu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6612AE" w:rsidP="00915DA1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O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pisati planirane aktivnosti 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za svaku od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godina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i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navesti koje je nadležno telo/ministarstvo ili drugi akter odgovoran za realizaciju svake od aktivnosti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.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>a) Aktivnosti planirane za 20</w:t>
            </w:r>
            <w:r w:rsidR="009F6B68">
              <w:rPr>
                <w:rFonts w:ascii="Times New Roman" w:hAnsi="Times New Roman" w:cs="Times New Roman"/>
                <w:b/>
                <w:lang w:val="sr-Latn-RS"/>
              </w:rPr>
              <w:t>22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>b) Aktivnosti planirane za 202</w:t>
            </w:r>
            <w:r w:rsidR="009F6B68">
              <w:rPr>
                <w:rFonts w:ascii="Times New Roman" w:hAnsi="Times New Roman" w:cs="Times New Roman"/>
                <w:b/>
                <w:lang w:val="sr-Latn-RS"/>
              </w:rPr>
              <w:t>3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>c) Aktivnosti planirane za 202</w:t>
            </w:r>
            <w:r w:rsidR="009F6B68"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  <w:p w:rsidR="004867BE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553DC3" w:rsidRPr="009C5971" w:rsidRDefault="00553DC3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F7293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F7293" w:rsidRPr="009C5971" w:rsidRDefault="004F7293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Indikatori realizacije </w:t>
            </w:r>
            <w:r w:rsidR="006955BA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za reformsku meru </w:t>
            </w:r>
            <w:r w:rsidRPr="009C5971">
              <w:rPr>
                <w:rFonts w:ascii="Times New Roman" w:hAnsi="Times New Roman" w:cs="Times New Roman"/>
                <w:lang w:val="sr-Latn-RS"/>
              </w:rPr>
              <w:t>(</w:t>
            </w:r>
            <w:r w:rsidR="006955BA" w:rsidRPr="00505B13">
              <w:rPr>
                <w:rFonts w:ascii="Times New Roman" w:hAnsi="Times New Roman" w:cs="Times New Roman"/>
                <w:u w:val="single"/>
                <w:lang w:val="sr-Latn-RS"/>
              </w:rPr>
              <w:t>popuna tabele</w:t>
            </w:r>
            <w:r w:rsidR="006955BA"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F7293" w:rsidRPr="009C5971" w:rsidRDefault="008D7A23" w:rsidP="00A42BA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Defini</w:t>
            </w:r>
            <w:r w:rsidR="006612A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sati 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2 do 3 indikatore sa kojima će se moči pratiti </w:t>
            </w:r>
            <w:r w:rsidR="004D154D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sprovodjenje 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planiran</w:t>
            </w:r>
            <w:r w:rsidR="00131790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ih aktivnosti 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reformske mere</w:t>
            </w:r>
            <w:r w:rsidR="00131790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po pojedinim godinama</w:t>
            </w:r>
            <w:r w:rsidR="004D154D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. Kao metodološki alat za artikulisanje indikatora možete uzeti </w:t>
            </w:r>
            <w:r w:rsidR="006612A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»</w:t>
            </w:r>
            <w:r w:rsidR="004D154D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OECD ERP Monitoring Tool</w:t>
            </w:r>
            <w:r w:rsidR="006612A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«</w:t>
            </w:r>
            <w:r w:rsidR="004D154D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. Indikatori trebaju da budu prilagodjeni reformskoj meri koja je predložena.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Za reform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ske mere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koje se već nalaze u </w:t>
            </w:r>
            <w:r w:rsidR="00A42BAE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PER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20</w:t>
            </w:r>
            <w:r w:rsidR="004810E2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2</w:t>
            </w:r>
            <w:r w:rsidR="00314B4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1-2023,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navesti već definisane </w:t>
            </w:r>
            <w:r w:rsidR="00314B4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indikatore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uz unošenje dostignutih vrednosti indikatora za konkretne godine i definisanje ciljne vrednosti indikatora za 202</w:t>
            </w:r>
            <w:r w:rsidR="004810E2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2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. godinu.</w:t>
            </w:r>
            <w:r w:rsidR="001A7715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Za nove reform</w:t>
            </w:r>
            <w:r w:rsidR="000A31A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s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ke mere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definisati 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indikatore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koji se mogu kvantifikovati (ili preuzeti 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indikatore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koji su određeni nekim 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strateškim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dokumentom). Odrediti baznu godinu i početnu vrednost </w:t>
            </w:r>
            <w:r w:rsidR="009A2188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indikatora 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u toj godini, procene vrednosti indikatora u narednim godinama, kao i ciljnu vrednost indikatora u 202</w:t>
            </w:r>
            <w:r w:rsidR="001A7715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4</w:t>
            </w:r>
            <w:r w:rsidR="004810E2" w:rsidRPr="00C537F6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. god</w:t>
            </w:r>
            <w:r w:rsidR="001A7715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ini.</w:t>
            </w:r>
            <w:r w:rsidR="004D154D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</w:t>
            </w:r>
            <w:r w:rsidR="004F7293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  </w:t>
            </w:r>
          </w:p>
        </w:tc>
      </w:tr>
      <w:tr w:rsidR="004F7293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F7293" w:rsidRPr="009C5971" w:rsidRDefault="004F7293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tbl>
            <w:tblPr>
              <w:tblStyle w:val="TableGrid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843"/>
              <w:gridCol w:w="1701"/>
              <w:gridCol w:w="1701"/>
            </w:tblGrid>
            <w:tr w:rsidR="00131790" w:rsidRPr="005312C7" w:rsidTr="00AE45A7">
              <w:tc>
                <w:tcPr>
                  <w:tcW w:w="5098" w:type="dxa"/>
                </w:tcPr>
                <w:p w:rsidR="00131790" w:rsidRPr="005312C7" w:rsidRDefault="00C07A82" w:rsidP="00C07A8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I</w:t>
                  </w:r>
                  <w:r w:rsidR="00131790"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 xml:space="preserve">ndikator </w:t>
                  </w:r>
                </w:p>
              </w:tc>
              <w:tc>
                <w:tcPr>
                  <w:tcW w:w="1843" w:type="dxa"/>
                </w:tcPr>
                <w:p w:rsidR="00131790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 xml:space="preserve">Početna vrednost </w:t>
                  </w:r>
                </w:p>
                <w:p w:rsidR="00314B41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(godina)</w:t>
                  </w:r>
                </w:p>
              </w:tc>
              <w:tc>
                <w:tcPr>
                  <w:tcW w:w="1701" w:type="dxa"/>
                </w:tcPr>
                <w:p w:rsidR="00131790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Medjurezultat</w:t>
                  </w:r>
                </w:p>
                <w:p w:rsidR="00314B41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(godina)</w:t>
                  </w:r>
                </w:p>
              </w:tc>
              <w:tc>
                <w:tcPr>
                  <w:tcW w:w="1701" w:type="dxa"/>
                </w:tcPr>
                <w:p w:rsidR="00131790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Ciljna vrednost</w:t>
                  </w:r>
                </w:p>
                <w:p w:rsidR="00314B41" w:rsidRPr="005312C7" w:rsidRDefault="00314B41" w:rsidP="00314B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  <w:r w:rsidRPr="005312C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  <w:t>(ciljna)</w:t>
                  </w:r>
                </w:p>
              </w:tc>
            </w:tr>
            <w:tr w:rsidR="00131790" w:rsidRPr="005312C7" w:rsidTr="00AE45A7">
              <w:tc>
                <w:tcPr>
                  <w:tcW w:w="5098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  <w:tr w:rsidR="00131790" w:rsidRPr="005312C7" w:rsidTr="00AE45A7">
              <w:tc>
                <w:tcPr>
                  <w:tcW w:w="5098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  <w:tr w:rsidR="00131790" w:rsidRPr="005312C7" w:rsidTr="00AE45A7">
              <w:tc>
                <w:tcPr>
                  <w:tcW w:w="5098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:rsidR="00131790" w:rsidRPr="005312C7" w:rsidRDefault="00131790" w:rsidP="000F63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:rsidR="00131790" w:rsidRPr="009C5971" w:rsidRDefault="00131790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9C5971" w:rsidRPr="009C5971" w:rsidRDefault="009C5971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CB1D66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CB1D66" w:rsidRPr="009C5971" w:rsidRDefault="00CB1D66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Očekivani uticaj </w:t>
            </w:r>
            <w:r w:rsidR="00131790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reformske mere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na konkurentnost </w:t>
            </w:r>
            <w:r w:rsidR="00131790" w:rsidRPr="009C5971"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 w:rsidR="00131790" w:rsidRPr="009C5971">
              <w:rPr>
                <w:rFonts w:ascii="Times New Roman" w:hAnsi="Times New Roman" w:cs="Times New Roman"/>
                <w:b/>
                <w:i/>
                <w:lang w:val="sr-Latn-RS"/>
              </w:rPr>
              <w:t>nije relevantno za oblast »socialna zaštita i jednakost«</w:t>
            </w:r>
            <w:r w:rsidR="00131790" w:rsidRPr="009C5971">
              <w:rPr>
                <w:rFonts w:ascii="Times New Roman" w:hAnsi="Times New Roman" w:cs="Times New Roman"/>
                <w:b/>
                <w:lang w:val="sr-Latn-RS"/>
              </w:rPr>
              <w:t>)</w:t>
            </w:r>
            <w:r w:rsidR="00131790" w:rsidRPr="009C5971">
              <w:rPr>
                <w:rFonts w:ascii="Times New Roman" w:hAnsi="Times New Roman" w:cs="Times New Roman"/>
                <w:b/>
                <w:i/>
                <w:lang w:val="sr-Latn-RS"/>
              </w:rPr>
              <w:t xml:space="preserve"> </w:t>
            </w:r>
            <w:r w:rsidRPr="009C5971">
              <w:rPr>
                <w:rFonts w:ascii="Times New Roman" w:hAnsi="Times New Roman" w:cs="Times New Roman"/>
                <w:lang w:val="sr-Latn-RS"/>
              </w:rPr>
              <w:t>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ne više od 10 redova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286D0F" w:rsidP="00D42254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roceniti očekivani uticaj </w:t>
            </w:r>
            <w:r w:rsidR="00131790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reformske mere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na konkurentnost i/ili rast, uključujući kvantitativne indikatore koliko je to moguće.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Definišite 1 do 3 indikatore u</w:t>
            </w:r>
            <w:r w:rsidR="00D42254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t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icaja (impact / output indicators) sa kojima će se moči pratiti uticaj planirane reformske mere na </w:t>
            </w:r>
            <w:r w:rsidR="006955BA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rast i konkurentnost zemlje na srednji i dugi rok. Kao metodološki alat za artikulisanje indikatora možete uzeti </w:t>
            </w:r>
            <w:r w:rsidR="006612A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»</w:t>
            </w:r>
            <w:r w:rsidR="006955BA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OECD ERP Monitoring Tool</w:t>
            </w:r>
            <w:r w:rsidR="006612A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«</w:t>
            </w:r>
            <w:r w:rsidR="006955BA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. Indikatori bi trebali pomoči kod odgovarnja na sledeće pitanja: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Koliko sektori, preduzeća i dr. na koje je usmerena reform</w:t>
            </w:r>
            <w:r w:rsidR="006955BA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ska mera s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ada doprinose BDP-u</w:t>
            </w:r>
            <w:r w:rsidR="00D42254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,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rastu BDP-a</w:t>
            </w:r>
            <w:r w:rsidR="00D42254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, tranziciji ka zelenoj ekonomiji, izvozu i rastu izvoza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i u kojoj meri se očekuje da se to promeni nakon sprovođenja reform</w:t>
            </w:r>
            <w:r w:rsidR="006955BA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ske mere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?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C5971" w:rsidRPr="009C5971" w:rsidRDefault="009C5971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Procenjeni troškovi </w:t>
            </w:r>
            <w:r w:rsidR="006955BA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sprovodjenja reformske mere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i </w:t>
            </w:r>
            <w:r w:rsidR="006955BA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predvidjeni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izvori </w:t>
            </w:r>
            <w:r w:rsidR="006955BA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njihovog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finansiranja</w:t>
            </w:r>
            <w:r w:rsidRPr="009C5971">
              <w:rPr>
                <w:rFonts w:ascii="Times New Roman" w:hAnsi="Times New Roman" w:cs="Times New Roman"/>
                <w:lang w:val="sr-Latn-RS"/>
              </w:rPr>
              <w:t xml:space="preserve"> 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ne više od 10 redova</w:t>
            </w:r>
            <w:r w:rsidR="006955BA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 plus popuna Tabela 10 a i 10b</w:t>
            </w:r>
            <w:r w:rsidR="00653112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 iz </w:t>
            </w:r>
            <w:r w:rsidR="006955BA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 </w:t>
            </w:r>
            <w:r w:rsidR="00653112" w:rsidRPr="00505B13">
              <w:rPr>
                <w:rFonts w:ascii="Times New Roman" w:hAnsi="Times New Roman" w:cs="Times New Roman"/>
                <w:u w:val="single"/>
                <w:lang w:val="sr-Latn-RS"/>
              </w:rPr>
              <w:t>PER 202</w:t>
            </w:r>
            <w:r w:rsidR="001F336C" w:rsidRPr="00505B13">
              <w:rPr>
                <w:rFonts w:ascii="Times New Roman" w:hAnsi="Times New Roman" w:cs="Times New Roman"/>
                <w:u w:val="single"/>
                <w:lang w:val="sr-Latn-RS"/>
              </w:rPr>
              <w:t>2</w:t>
            </w:r>
            <w:r w:rsidR="00653112" w:rsidRPr="00505B13">
              <w:rPr>
                <w:rFonts w:ascii="Times New Roman" w:hAnsi="Times New Roman" w:cs="Times New Roman"/>
                <w:u w:val="single"/>
                <w:lang w:val="sr-Latn-RS"/>
              </w:rPr>
              <w:t>-202</w:t>
            </w:r>
            <w:r w:rsidR="001F336C" w:rsidRPr="00505B13">
              <w:rPr>
                <w:rFonts w:ascii="Times New Roman" w:hAnsi="Times New Roman" w:cs="Times New Roman"/>
                <w:u w:val="single"/>
                <w:lang w:val="sr-Latn-RS"/>
              </w:rPr>
              <w:t>4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6612AE" w:rsidP="00A42BA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Dati tekstualni opis troškova povezanih sa sprovodjenjem reformske mere i predvidjenih izvora za njezino financiranje. Ako se </w:t>
            </w:r>
            <w:r w:rsidR="00163129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reformska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mera nastavlja iz prošle ili čak prethodnih godina, onda treba jasno zapisati u kojoj godini se </w:t>
            </w:r>
            <w:r w:rsidR="00163129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mera </w:t>
            </w:r>
            <w:r w:rsidR="00163129" w:rsidRPr="00006521">
              <w:rPr>
                <w:rFonts w:ascii="Times New Roman" w:hAnsi="Times New Roman" w:cs="Times New Roman"/>
                <w:i/>
                <w:color w:val="808080" w:themeColor="background1" w:themeShade="80"/>
                <w:u w:val="single"/>
                <w:lang w:val="sr-Latn-RS"/>
              </w:rPr>
              <w:t xml:space="preserve">po </w:t>
            </w:r>
            <w:r w:rsidRPr="00006521">
              <w:rPr>
                <w:rFonts w:ascii="Times New Roman" w:hAnsi="Times New Roman" w:cs="Times New Roman"/>
                <w:i/>
                <w:color w:val="808080" w:themeColor="background1" w:themeShade="80"/>
                <w:u w:val="single"/>
                <w:lang w:val="sr-Latn-RS"/>
              </w:rPr>
              <w:t>prvi put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sprovodila</w:t>
            </w:r>
            <w:r w:rsidR="00163129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u okviru </w:t>
            </w:r>
            <w:r w:rsidR="00A42BAE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PER</w:t>
            </w:r>
            <w:r w:rsidR="00163129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-a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. Tabele 10a i 10b popun</w:t>
            </w:r>
            <w:r w:rsidR="00163129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iti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u skladu »CEF Guidance on Costing«. </w:t>
            </w:r>
            <w:r w:rsidR="0000652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Nejasnoće i pretpostavke koje se odnose na procenu troškova i njihovo financiranje trebaju biti obrazložene. 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6955BA" w:rsidRPr="00915DA1" w:rsidRDefault="007D4885" w:rsidP="00901A2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15DA1">
              <w:rPr>
                <w:rFonts w:ascii="Times New Roman" w:hAnsi="Times New Roman" w:cs="Times New Roman"/>
                <w:b/>
                <w:lang w:val="sr-Latn-RS"/>
              </w:rPr>
              <w:t>Tabela 10 a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 xml:space="preserve"> (iz PER 202</w:t>
            </w:r>
            <w:r w:rsidR="000634AB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>-202</w:t>
            </w:r>
            <w:r w:rsidR="000634AB"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>)</w:t>
            </w:r>
          </w:p>
          <w:p w:rsidR="007D4885" w:rsidRPr="009C5971" w:rsidRDefault="007D4885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01A2B" w:rsidRPr="009C5971" w:rsidRDefault="00901A2B" w:rsidP="0059067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noProof/>
                <w:lang w:val="en-GB" w:eastAsia="en-GB" w:bidi="ar-SA"/>
              </w:rPr>
              <w:drawing>
                <wp:inline distT="0" distB="0" distL="0" distR="0" wp14:anchorId="01DBA3B3" wp14:editId="6223C3B8">
                  <wp:extent cx="6242050" cy="647676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813" cy="65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496" w:rsidRPr="009C5971" w:rsidRDefault="00F21496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7D4885" w:rsidRPr="00915DA1" w:rsidRDefault="007D4885" w:rsidP="00901A2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15DA1">
              <w:rPr>
                <w:rFonts w:ascii="Times New Roman" w:hAnsi="Times New Roman" w:cs="Times New Roman"/>
                <w:b/>
                <w:lang w:val="sr-Latn-RS"/>
              </w:rPr>
              <w:t>Tabela 10 b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 xml:space="preserve"> (iz PER 202</w:t>
            </w:r>
            <w:r w:rsidR="000634AB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>-202</w:t>
            </w:r>
            <w:r w:rsidR="000634AB"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 w:rsidR="00915DA1">
              <w:rPr>
                <w:rFonts w:ascii="Times New Roman" w:hAnsi="Times New Roman" w:cs="Times New Roman"/>
                <w:b/>
                <w:lang w:val="sr-Latn-RS"/>
              </w:rPr>
              <w:t>)</w:t>
            </w:r>
          </w:p>
          <w:p w:rsidR="006955BA" w:rsidRPr="009C5971" w:rsidRDefault="006955BA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F21496" w:rsidRPr="009C5971" w:rsidRDefault="00F21496" w:rsidP="00590678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noProof/>
                <w:lang w:val="en-GB" w:eastAsia="en-GB" w:bidi="ar-SA"/>
              </w:rPr>
              <w:drawing>
                <wp:inline distT="0" distB="0" distL="0" distR="0" wp14:anchorId="111864CE" wp14:editId="6FE00016">
                  <wp:extent cx="6203950" cy="5905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817" cy="59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Očekivani uticaj </w:t>
            </w:r>
            <w:r w:rsidR="002C4967">
              <w:rPr>
                <w:rFonts w:ascii="Times New Roman" w:hAnsi="Times New Roman" w:cs="Times New Roman"/>
                <w:b/>
                <w:lang w:val="sr-Latn-RS"/>
              </w:rPr>
              <w:t xml:space="preserve">reformske </w:t>
            </w:r>
            <w:r w:rsidR="00901A2B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mere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na </w:t>
            </w:r>
            <w:r w:rsidR="00901A2B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socialne ciljeve, kao što su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zaposlenost</w:t>
            </w:r>
            <w:r w:rsidR="00901A2B" w:rsidRPr="009C5971">
              <w:rPr>
                <w:rFonts w:ascii="Times New Roman" w:hAnsi="Times New Roman" w:cs="Times New Roman"/>
                <w:b/>
                <w:lang w:val="sr-Latn-RS"/>
              </w:rPr>
              <w:t xml:space="preserve">, smanjenje siromaštva, jednakost i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>rod</w:t>
            </w:r>
            <w:r w:rsidR="00006521">
              <w:rPr>
                <w:rFonts w:ascii="Times New Roman" w:hAnsi="Times New Roman" w:cs="Times New Roman"/>
                <w:b/>
                <w:lang w:val="sr-Latn-RS"/>
              </w:rPr>
              <w:t xml:space="preserve"> te dostup do zdravstvenih usluga </w:t>
            </w:r>
            <w:r w:rsidRPr="009C5971">
              <w:rPr>
                <w:rFonts w:ascii="Times New Roman" w:hAnsi="Times New Roman" w:cs="Times New Roman"/>
                <w:lang w:val="sr-Latn-RS"/>
              </w:rPr>
              <w:t>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ne više od </w:t>
            </w:r>
            <w:r w:rsidR="00901A2B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10 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redova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901A2B" w:rsidP="0000652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roceniti očekivani uticaj reform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ske mere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na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sledeće socialne cilje: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zaposlenost (kvantitativno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), smanjenje siromaštva, jednakost i na rodni 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aspekt (kvalitativno i/ili kvantitativno)</w:t>
            </w:r>
            <w:r w:rsidR="0000652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te dostup do stravstvenih usluga. </w:t>
            </w:r>
            <w:r w:rsidR="00006521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Ako je strukturna mera neutralna u smislu uticaja na rodni aspekt treba, to jasno reći.</w:t>
            </w:r>
            <w:r w:rsidR="0000652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Indicirajte izpunjavanu kojeg od 17 SDG doprinosi strukturna mera. 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9C5971" w:rsidRPr="009C5971" w:rsidRDefault="009C5971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867BE" w:rsidRPr="009C5971" w:rsidRDefault="004762B2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Očekivani uticaj </w:t>
            </w:r>
            <w:r w:rsidR="002C4967">
              <w:rPr>
                <w:rFonts w:ascii="Times New Roman" w:hAnsi="Times New Roman" w:cs="Times New Roman"/>
                <w:b/>
                <w:lang w:val="sr-Latn-RS"/>
              </w:rPr>
              <w:t xml:space="preserve">reformske </w:t>
            </w: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mere na životnu sredinu  </w:t>
            </w:r>
            <w:r w:rsidR="004867BE" w:rsidRPr="009C5971">
              <w:rPr>
                <w:rFonts w:ascii="Times New Roman" w:hAnsi="Times New Roman" w:cs="Times New Roman"/>
                <w:lang w:val="sr-Latn-RS"/>
              </w:rPr>
              <w:t>(</w:t>
            </w:r>
            <w:r w:rsidR="004867BE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ne više od </w:t>
            </w:r>
            <w:r w:rsidR="00A44805" w:rsidRPr="00505B13">
              <w:rPr>
                <w:rFonts w:ascii="Times New Roman" w:hAnsi="Times New Roman" w:cs="Times New Roman"/>
                <w:u w:val="single"/>
                <w:lang w:val="sr-Latn-RS"/>
              </w:rPr>
              <w:t>10</w:t>
            </w:r>
            <w:r w:rsidR="004867BE" w:rsidRPr="00505B13">
              <w:rPr>
                <w:rFonts w:ascii="Times New Roman" w:hAnsi="Times New Roman" w:cs="Times New Roman"/>
                <w:u w:val="single"/>
                <w:lang w:val="sr-Latn-RS"/>
              </w:rPr>
              <w:t xml:space="preserve"> redova</w:t>
            </w:r>
            <w:r w:rsidR="004867BE"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867BE" w:rsidRPr="009C5971" w:rsidRDefault="004762B2" w:rsidP="00AF7CBD">
            <w:pPr>
              <w:jc w:val="both"/>
              <w:rPr>
                <w:rFonts w:ascii="Times New Roman" w:hAnsi="Times New Roman" w:cs="Times New Roman"/>
                <w:i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</w:t>
            </w:r>
            <w:r w:rsidR="004867BE"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roceniti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očekivani uticaj strukturne mere na životnu srediu</w:t>
            </w:r>
            <w:r w:rsidR="00AF7CBD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, na klimatske promene te na ostvarivanje ciljeva zelenog prehoda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 to na kraći, srednji i/ili duži rok. Ako je strukturna mera neutralna u smislu uticaja na </w:t>
            </w:r>
            <w:r w:rsidR="00AF7CBD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klimatske / zeleni prehod, t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reba to jasno reći.</w:t>
            </w:r>
          </w:p>
        </w:tc>
      </w:tr>
      <w:tr w:rsidR="004867BE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4867BE" w:rsidRPr="009C5971" w:rsidRDefault="004867BE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9C5971" w:rsidRPr="009C5971" w:rsidRDefault="009C5971" w:rsidP="000F63BA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4762B2" w:rsidRPr="009C5971" w:rsidTr="00AE45A7">
        <w:trPr>
          <w:trHeight w:val="20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762B2" w:rsidRPr="009C5971" w:rsidRDefault="004762B2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9C5971">
              <w:rPr>
                <w:rFonts w:ascii="Times New Roman" w:hAnsi="Times New Roman" w:cs="Times New Roman"/>
                <w:b/>
                <w:lang w:val="sr-Latn-RS"/>
              </w:rPr>
              <w:t xml:space="preserve">Potencijalni rizici povezani sprovodjenje reformske mere </w:t>
            </w:r>
            <w:r w:rsidRPr="009C5971">
              <w:rPr>
                <w:rFonts w:ascii="Times New Roman" w:hAnsi="Times New Roman" w:cs="Times New Roman"/>
                <w:lang w:val="sr-Latn-RS"/>
              </w:rPr>
              <w:t>(</w:t>
            </w:r>
            <w:r w:rsidRPr="00505B13">
              <w:rPr>
                <w:rFonts w:ascii="Times New Roman" w:hAnsi="Times New Roman" w:cs="Times New Roman"/>
                <w:u w:val="single"/>
                <w:lang w:val="sr-Latn-RS"/>
              </w:rPr>
              <w:t>popuna tabele</w:t>
            </w:r>
            <w:r w:rsidRPr="009C5971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4762B2" w:rsidRPr="009C5971" w:rsidRDefault="00C07A82" w:rsidP="00915DA1">
            <w:pPr>
              <w:jc w:val="both"/>
              <w:rPr>
                <w:rFonts w:ascii="Times New Roman" w:hAnsi="Times New Roman" w:cs="Times New Roman"/>
                <w:i/>
                <w:lang w:val="sr-Latn-RS"/>
              </w:rPr>
            </w:pP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Identifikovati i artikusati rizike </w:t>
            </w:r>
            <w:r w:rsid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(njihv broj je prepušten vašoj proceni) koji su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povezan</w:t>
            </w:r>
            <w:r w:rsid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>i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 sa sprovodjenjem reformske mere, proceniti verovatnoću svakog od </w:t>
            </w:r>
            <w:r w:rsid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tih rizika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da će se ostvariti te navesti aktivnosti za ublažavanje negativnih efekata </w:t>
            </w:r>
            <w:r w:rsid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svakog od </w:t>
            </w:r>
            <w:r w:rsidRPr="009C5971">
              <w:rPr>
                <w:rFonts w:ascii="Times New Roman" w:hAnsi="Times New Roman" w:cs="Times New Roman"/>
                <w:i/>
                <w:color w:val="808080" w:themeColor="background1" w:themeShade="80"/>
                <w:lang w:val="sr-Latn-RS"/>
              </w:rPr>
              <w:t xml:space="preserve">rizika </w:t>
            </w:r>
            <w:r w:rsidR="004762B2" w:rsidRPr="009C5971">
              <w:rPr>
                <w:rFonts w:ascii="Times New Roman" w:hAnsi="Times New Roman" w:cs="Times New Roman"/>
                <w:i/>
                <w:lang w:val="sr-Latn-RS"/>
              </w:rPr>
              <w:t>.</w:t>
            </w:r>
          </w:p>
        </w:tc>
      </w:tr>
      <w:tr w:rsidR="00C07A82" w:rsidRPr="009C5971" w:rsidTr="00AE45A7">
        <w:trPr>
          <w:trHeight w:val="1316"/>
          <w:jc w:val="right"/>
        </w:trPr>
        <w:tc>
          <w:tcPr>
            <w:tcW w:w="10348" w:type="dxa"/>
            <w:tcBorders>
              <w:top w:val="single" w:sz="6" w:space="0" w:color="000000"/>
              <w:bottom w:val="single" w:sz="6" w:space="0" w:color="000000"/>
            </w:tcBorders>
          </w:tcPr>
          <w:p w:rsidR="00C07A82" w:rsidRPr="009C5971" w:rsidRDefault="00C07A82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  <w:tbl>
            <w:tblPr>
              <w:tblStyle w:val="TableGrid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693"/>
              <w:gridCol w:w="2977"/>
            </w:tblGrid>
            <w:tr w:rsidR="00C07A82" w:rsidRPr="009C5971" w:rsidTr="00AE45A7">
              <w:tc>
                <w:tcPr>
                  <w:tcW w:w="4673" w:type="dxa"/>
                </w:tcPr>
                <w:p w:rsidR="00C07A82" w:rsidRPr="009C5971" w:rsidRDefault="00C07A82" w:rsidP="00C07A82">
                  <w:pPr>
                    <w:jc w:val="center"/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  <w:r w:rsidRPr="009C5971">
                    <w:rPr>
                      <w:rFonts w:ascii="Times New Roman" w:hAnsi="Times New Roman" w:cs="Times New Roman"/>
                      <w:b/>
                      <w:lang w:val="sr-Latn-RS"/>
                    </w:rPr>
                    <w:t xml:space="preserve">Rizik </w:t>
                  </w:r>
                </w:p>
              </w:tc>
              <w:tc>
                <w:tcPr>
                  <w:tcW w:w="2693" w:type="dxa"/>
                </w:tcPr>
                <w:p w:rsidR="00C07A82" w:rsidRPr="009C5971" w:rsidRDefault="00C07A82" w:rsidP="00C07A82">
                  <w:pPr>
                    <w:jc w:val="center"/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  <w:r w:rsidRPr="009C5971">
                    <w:rPr>
                      <w:rFonts w:ascii="Times New Roman" w:hAnsi="Times New Roman" w:cs="Times New Roman"/>
                      <w:b/>
                      <w:lang w:val="sr-Latn-RS"/>
                    </w:rPr>
                    <w:t xml:space="preserve">Verovatnoća za ostvarivanje rizika </w:t>
                  </w:r>
                </w:p>
              </w:tc>
              <w:tc>
                <w:tcPr>
                  <w:tcW w:w="2977" w:type="dxa"/>
                </w:tcPr>
                <w:p w:rsidR="00C07A82" w:rsidRPr="009C5971" w:rsidRDefault="00C07A82" w:rsidP="00C07A82">
                  <w:pPr>
                    <w:jc w:val="center"/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  <w:r w:rsidRPr="009C5971">
                    <w:rPr>
                      <w:rFonts w:ascii="Times New Roman" w:hAnsi="Times New Roman" w:cs="Times New Roman"/>
                      <w:b/>
                      <w:lang w:val="sr-Latn-RS"/>
                    </w:rPr>
                    <w:t>Aktivnost za ublažavanje negativnih efekata rizika</w:t>
                  </w:r>
                </w:p>
              </w:tc>
            </w:tr>
            <w:tr w:rsidR="00C07A82" w:rsidRPr="009C5971" w:rsidTr="00AE45A7">
              <w:tc>
                <w:tcPr>
                  <w:tcW w:w="4673" w:type="dxa"/>
                </w:tcPr>
                <w:p w:rsidR="00C07A82" w:rsidRPr="009C5971" w:rsidRDefault="00C07A82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  <w:tc>
                <w:tcPr>
                  <w:tcW w:w="2693" w:type="dxa"/>
                </w:tcPr>
                <w:p w:rsidR="00C07A82" w:rsidRPr="009C5971" w:rsidRDefault="00C07A82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  <w:tc>
                <w:tcPr>
                  <w:tcW w:w="2977" w:type="dxa"/>
                </w:tcPr>
                <w:p w:rsidR="00C07A82" w:rsidRPr="009C5971" w:rsidRDefault="00C07A82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</w:tr>
            <w:tr w:rsidR="00034579" w:rsidRPr="009C5971" w:rsidTr="00AE45A7">
              <w:tc>
                <w:tcPr>
                  <w:tcW w:w="4673" w:type="dxa"/>
                </w:tcPr>
                <w:p w:rsidR="00034579" w:rsidRPr="009C5971" w:rsidRDefault="00034579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  <w:tc>
                <w:tcPr>
                  <w:tcW w:w="2693" w:type="dxa"/>
                </w:tcPr>
                <w:p w:rsidR="00034579" w:rsidRPr="009C5971" w:rsidRDefault="00034579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  <w:tc>
                <w:tcPr>
                  <w:tcW w:w="2977" w:type="dxa"/>
                </w:tcPr>
                <w:p w:rsidR="00034579" w:rsidRPr="009C5971" w:rsidRDefault="00034579" w:rsidP="000F63BA">
                  <w:pPr>
                    <w:rPr>
                      <w:rFonts w:ascii="Times New Roman" w:hAnsi="Times New Roman" w:cs="Times New Roman"/>
                      <w:b/>
                      <w:lang w:val="sr-Latn-RS"/>
                    </w:rPr>
                  </w:pPr>
                </w:p>
              </w:tc>
            </w:tr>
          </w:tbl>
          <w:p w:rsidR="00C07A82" w:rsidRPr="009C5971" w:rsidRDefault="00C07A82" w:rsidP="000F63B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:rsidR="0020480C" w:rsidRDefault="0020480C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B5678C" w:rsidRDefault="00B5678C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B5678C" w:rsidRDefault="00B5678C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B5678C" w:rsidRDefault="00B5678C" w:rsidP="00B5678C">
      <w:pPr>
        <w:pStyle w:val="ListParagraph"/>
        <w:numPr>
          <w:ilvl w:val="0"/>
          <w:numId w:val="1"/>
        </w:num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Veza izmedju reformske mere i relevantnih strateških dokumenata </w:t>
      </w:r>
      <w:r w:rsidR="0050618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(input za </w:t>
      </w:r>
      <w:r w:rsidR="00506186" w:rsidRPr="00D5498B">
        <w:rPr>
          <w:rFonts w:ascii="Times New Roman" w:eastAsia="Times New Roman" w:hAnsi="Times New Roman" w:cs="Times New Roman"/>
          <w:b/>
          <w:i/>
          <w:sz w:val="24"/>
          <w:szCs w:val="24"/>
          <w:lang w:val="sl-SI"/>
        </w:rPr>
        <w:t>Annex 2</w:t>
      </w:r>
      <w:r w:rsidR="0050618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(</w:t>
      </w:r>
      <w:r w:rsidRPr="00B5678C">
        <w:rPr>
          <w:rFonts w:ascii="Times New Roman" w:eastAsia="Times New Roman" w:hAnsi="Times New Roman" w:cs="Times New Roman"/>
          <w:sz w:val="24"/>
          <w:szCs w:val="24"/>
          <w:u w:val="single"/>
          <w:lang w:val="sl-SI"/>
        </w:rPr>
        <w:t>popuna tabele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)</w:t>
      </w:r>
      <w:r w:rsidRPr="00B5678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:rsidR="00B5678C" w:rsidRPr="00D5498B" w:rsidRDefault="00B5678C" w:rsidP="00B5678C">
      <w:pPr>
        <w:spacing w:before="120" w:after="60"/>
        <w:rPr>
          <w:rFonts w:ascii="Times New Roman" w:eastAsia="Times New Roman" w:hAnsi="Times New Roman" w:cs="Times New Roman"/>
          <w:b/>
          <w:sz w:val="16"/>
          <w:szCs w:val="16"/>
          <w:lang w:val="sl-SI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7"/>
        <w:gridCol w:w="1457"/>
        <w:gridCol w:w="1457"/>
        <w:gridCol w:w="1457"/>
      </w:tblGrid>
      <w:tr w:rsidR="00B5678C" w:rsidRPr="00D5498B" w:rsidTr="00D54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:rsidR="00B5678C" w:rsidRPr="00D5498B" w:rsidRDefault="00B5678C" w:rsidP="00506186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Glavni strukturni izazovi </w:t>
            </w:r>
            <w:r w:rsidR="00506186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prema </w:t>
            </w: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Analiz</w:t>
            </w:r>
            <w:r w:rsidR="00506186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i </w:t>
            </w: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EK</w:t>
            </w:r>
            <w:r w:rsidR="00506186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           (</w:t>
            </w: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april 2021)</w:t>
            </w:r>
          </w:p>
        </w:tc>
        <w:tc>
          <w:tcPr>
            <w:tcW w:w="1456" w:type="dxa"/>
          </w:tcPr>
          <w:p w:rsidR="00B5678C" w:rsidRPr="00D5498B" w:rsidRDefault="0034126D" w:rsidP="0034126D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PER u</w:t>
            </w:r>
            <w:r w:rsidR="00E176B3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putstvo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   (jul</w:t>
            </w:r>
            <w:r w:rsidR="00E176B3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 xml:space="preserve"> 2021</w:t>
            </w:r>
            <w:r w:rsidR="00506186"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)</w:t>
            </w:r>
          </w:p>
        </w:tc>
        <w:tc>
          <w:tcPr>
            <w:tcW w:w="1456" w:type="dxa"/>
          </w:tcPr>
          <w:p w:rsidR="00B5678C" w:rsidRPr="00B40D1F" w:rsidRDefault="00E176B3" w:rsidP="00E176B3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B40D1F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Enlargement Package 2021</w:t>
            </w:r>
          </w:p>
        </w:tc>
        <w:tc>
          <w:tcPr>
            <w:tcW w:w="1457" w:type="dxa"/>
          </w:tcPr>
          <w:p w:rsidR="00B5678C" w:rsidRPr="00D5498B" w:rsidRDefault="00E176B3" w:rsidP="00E176B3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Održevi ciljevi razvoja (SDG) 2020-2030</w:t>
            </w:r>
          </w:p>
        </w:tc>
        <w:tc>
          <w:tcPr>
            <w:tcW w:w="1457" w:type="dxa"/>
          </w:tcPr>
          <w:p w:rsidR="00B5678C" w:rsidRPr="00D5498B" w:rsidRDefault="00E176B3" w:rsidP="00E176B3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Europski zeleni dogovor / Zelena agenda za Zapadni Balkan</w:t>
            </w:r>
          </w:p>
        </w:tc>
        <w:tc>
          <w:tcPr>
            <w:tcW w:w="1457" w:type="dxa"/>
          </w:tcPr>
          <w:p w:rsidR="00B5678C" w:rsidRPr="00D5498B" w:rsidRDefault="002028D0" w:rsidP="002028D0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Europska digitalna agenda / Digitalna agenda za Zapadni Balkan</w:t>
            </w:r>
          </w:p>
        </w:tc>
        <w:tc>
          <w:tcPr>
            <w:tcW w:w="1457" w:type="dxa"/>
          </w:tcPr>
          <w:p w:rsidR="00B5678C" w:rsidRPr="00D5498B" w:rsidRDefault="00DB7F11" w:rsidP="00DB7F11">
            <w:pPr>
              <w:spacing w:before="12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sz w:val="16"/>
                <w:szCs w:val="16"/>
                <w:lang w:val="sr-Latn-ME"/>
              </w:rPr>
              <w:t>IPA III projekti koji podržavaju ovu meru</w:t>
            </w:r>
          </w:p>
        </w:tc>
      </w:tr>
      <w:tr w:rsidR="00DB7F11" w:rsidRPr="00D5498B" w:rsidTr="00D54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:rsidR="001B433A" w:rsidRPr="00D5498B" w:rsidRDefault="001B433A" w:rsidP="00E176B3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</w:pPr>
          </w:p>
          <w:p w:rsidR="00B5678C" w:rsidRPr="00D5498B" w:rsidRDefault="00B5678C" w:rsidP="00506186">
            <w:pPr>
              <w:pStyle w:val="NoSpacing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 xml:space="preserve">Ovde treba </w:t>
            </w:r>
            <w:r w:rsidR="00506186"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 xml:space="preserve">reći </w:t>
            </w:r>
            <w:r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>koje glavne izazove iz Analize EK</w:t>
            </w:r>
            <w:r w:rsidR="00506186"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 xml:space="preserve"> (</w:t>
            </w:r>
            <w:r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>april 2021</w:t>
            </w:r>
            <w:r w:rsidR="00506186"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>)</w:t>
            </w:r>
            <w:r w:rsidRPr="00D5498B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val="sr-Latn-ME"/>
              </w:rPr>
              <w:t xml:space="preserve"> mera adresira</w:t>
            </w:r>
          </w:p>
        </w:tc>
        <w:tc>
          <w:tcPr>
            <w:tcW w:w="1456" w:type="dxa"/>
          </w:tcPr>
          <w:p w:rsidR="001B433A" w:rsidRPr="00D5498B" w:rsidRDefault="001B433A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</w:p>
          <w:p w:rsidR="00B5678C" w:rsidRPr="00D5498B" w:rsidRDefault="00B5678C" w:rsidP="0034126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 xml:space="preserve">Ovde treba reći </w:t>
            </w:r>
            <w:r w:rsidR="00E176B3"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 xml:space="preserve">dali </w:t>
            </w: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 xml:space="preserve">/ kako mera adresira </w:t>
            </w:r>
            <w:r w:rsidR="003412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PER  u</w:t>
            </w: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putstv</w:t>
            </w:r>
            <w:r w:rsidR="003412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 xml:space="preserve">o </w:t>
            </w:r>
            <w:r w:rsidR="00506186"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(jul 2021)</w:t>
            </w:r>
          </w:p>
        </w:tc>
        <w:tc>
          <w:tcPr>
            <w:tcW w:w="1456" w:type="dxa"/>
          </w:tcPr>
          <w:p w:rsidR="001B433A" w:rsidRPr="00B40D1F" w:rsidRDefault="001B433A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</w:p>
          <w:p w:rsidR="00E176B3" w:rsidRPr="00B40D1F" w:rsidRDefault="00E176B3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B40D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Ovde treba reći dali / kako mera adresira p</w:t>
            </w:r>
            <w:r w:rsidR="00506186" w:rsidRPr="00B40D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r</w:t>
            </w:r>
            <w:r w:rsidRPr="00B40D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eporuke date u Enlargement Package 2021</w:t>
            </w:r>
          </w:p>
        </w:tc>
        <w:tc>
          <w:tcPr>
            <w:tcW w:w="1457" w:type="dxa"/>
          </w:tcPr>
          <w:p w:rsidR="00B5678C" w:rsidRPr="00D5498B" w:rsidRDefault="00E176B3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Ovde treba pomenuti relevantne SDG 2020-2030 i dati kratku deskripciju kako mera doprinosi njihovom ispunjavanju</w:t>
            </w:r>
          </w:p>
        </w:tc>
        <w:tc>
          <w:tcPr>
            <w:tcW w:w="1457" w:type="dxa"/>
          </w:tcPr>
          <w:p w:rsidR="001B433A" w:rsidRPr="00D5498B" w:rsidRDefault="001B433A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</w:p>
          <w:p w:rsidR="00B5678C" w:rsidRPr="00D5498B" w:rsidRDefault="00E176B3" w:rsidP="00E176B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 xml:space="preserve">Ovde treba reći dali / kako mera adresira ciljeve Europskog zelenog dogovora / </w:t>
            </w:r>
            <w:r w:rsidR="001B433A"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Zelene agende za Zapadni Balkan</w:t>
            </w:r>
          </w:p>
        </w:tc>
        <w:tc>
          <w:tcPr>
            <w:tcW w:w="1457" w:type="dxa"/>
          </w:tcPr>
          <w:p w:rsidR="002028D0" w:rsidRPr="00D5498B" w:rsidRDefault="002028D0" w:rsidP="002028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</w:p>
          <w:p w:rsidR="00B5678C" w:rsidRPr="00D5498B" w:rsidRDefault="002028D0" w:rsidP="002028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Ovde treba reći dali / kako mera adresira ciljeve Europske digitalne agende / Digitalne agende za Zapadni Balkan</w:t>
            </w:r>
          </w:p>
        </w:tc>
        <w:tc>
          <w:tcPr>
            <w:tcW w:w="1457" w:type="dxa"/>
          </w:tcPr>
          <w:p w:rsidR="00B5678C" w:rsidRPr="00D5498B" w:rsidRDefault="00DB7F11" w:rsidP="00DB7F1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</w:pPr>
            <w:r w:rsidRPr="00D549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Latn-ME"/>
              </w:rPr>
              <w:t>Ovde treba navesti IPA III projekat(ke) koji podržavaju ovu meru. Navesti treba naziv projekta, iznos i godinu</w:t>
            </w:r>
          </w:p>
        </w:tc>
      </w:tr>
    </w:tbl>
    <w:p w:rsidR="00B5678C" w:rsidRPr="00B5678C" w:rsidRDefault="00B5678C" w:rsidP="00B5678C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sectPr w:rsidR="00B5678C" w:rsidRPr="00B5678C" w:rsidSect="00AE45A7">
      <w:footerReference w:type="default" r:id="rId10"/>
      <w:pgSz w:w="11906" w:h="16838"/>
      <w:pgMar w:top="142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20" w:rsidRDefault="00AB3520" w:rsidP="009C5971">
      <w:r>
        <w:separator/>
      </w:r>
    </w:p>
  </w:endnote>
  <w:endnote w:type="continuationSeparator" w:id="0">
    <w:p w:rsidR="00AB3520" w:rsidRDefault="00AB3520" w:rsidP="009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98201"/>
      <w:docPartObj>
        <w:docPartGallery w:val="Page Numbers (Bottom of Page)"/>
        <w:docPartUnique/>
      </w:docPartObj>
    </w:sdtPr>
    <w:sdtEndPr/>
    <w:sdtContent>
      <w:p w:rsidR="009C5971" w:rsidRDefault="009C59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D0" w:rsidRPr="00790AD0">
          <w:rPr>
            <w:noProof/>
            <w:lang w:val="sl-SI"/>
          </w:rPr>
          <w:t>1</w:t>
        </w:r>
        <w:r>
          <w:fldChar w:fldCharType="end"/>
        </w:r>
      </w:p>
    </w:sdtContent>
  </w:sdt>
  <w:p w:rsidR="009C5971" w:rsidRDefault="009C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20" w:rsidRDefault="00AB3520" w:rsidP="009C5971">
      <w:r>
        <w:separator/>
      </w:r>
    </w:p>
  </w:footnote>
  <w:footnote w:type="continuationSeparator" w:id="0">
    <w:p w:rsidR="00AB3520" w:rsidRDefault="00AB3520" w:rsidP="009C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79D9"/>
    <w:multiLevelType w:val="hybridMultilevel"/>
    <w:tmpl w:val="A2CC145C"/>
    <w:lvl w:ilvl="0" w:tplc="4DF63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C"/>
    <w:rsid w:val="00006521"/>
    <w:rsid w:val="00034579"/>
    <w:rsid w:val="000634AB"/>
    <w:rsid w:val="00077F5F"/>
    <w:rsid w:val="000A31A1"/>
    <w:rsid w:val="00131790"/>
    <w:rsid w:val="00163129"/>
    <w:rsid w:val="001A7715"/>
    <w:rsid w:val="001B1A09"/>
    <w:rsid w:val="001B433A"/>
    <w:rsid w:val="001F336C"/>
    <w:rsid w:val="002028D0"/>
    <w:rsid w:val="0020480C"/>
    <w:rsid w:val="00255FBC"/>
    <w:rsid w:val="00286D0F"/>
    <w:rsid w:val="002C4967"/>
    <w:rsid w:val="00302830"/>
    <w:rsid w:val="00314B41"/>
    <w:rsid w:val="0034126D"/>
    <w:rsid w:val="00386F26"/>
    <w:rsid w:val="003A616F"/>
    <w:rsid w:val="00435D29"/>
    <w:rsid w:val="00461C77"/>
    <w:rsid w:val="004762B2"/>
    <w:rsid w:val="004810E2"/>
    <w:rsid w:val="0048342B"/>
    <w:rsid w:val="004867BE"/>
    <w:rsid w:val="004D0353"/>
    <w:rsid w:val="004D154D"/>
    <w:rsid w:val="004F7293"/>
    <w:rsid w:val="00505B13"/>
    <w:rsid w:val="00506186"/>
    <w:rsid w:val="005312C7"/>
    <w:rsid w:val="00542FBB"/>
    <w:rsid w:val="0054311A"/>
    <w:rsid w:val="00553DC3"/>
    <w:rsid w:val="00590678"/>
    <w:rsid w:val="00653112"/>
    <w:rsid w:val="006612AE"/>
    <w:rsid w:val="00680D63"/>
    <w:rsid w:val="006955BA"/>
    <w:rsid w:val="00763AFA"/>
    <w:rsid w:val="00790AD0"/>
    <w:rsid w:val="007979C4"/>
    <w:rsid w:val="007A1B73"/>
    <w:rsid w:val="007A4FF6"/>
    <w:rsid w:val="007C004F"/>
    <w:rsid w:val="007D4885"/>
    <w:rsid w:val="007E61E9"/>
    <w:rsid w:val="00801380"/>
    <w:rsid w:val="008254F2"/>
    <w:rsid w:val="0084164A"/>
    <w:rsid w:val="008A7D81"/>
    <w:rsid w:val="008B1912"/>
    <w:rsid w:val="008D7A23"/>
    <w:rsid w:val="00901A2B"/>
    <w:rsid w:val="00906E58"/>
    <w:rsid w:val="00915DA1"/>
    <w:rsid w:val="009A2188"/>
    <w:rsid w:val="009C5971"/>
    <w:rsid w:val="009F6B68"/>
    <w:rsid w:val="00A07204"/>
    <w:rsid w:val="00A112A8"/>
    <w:rsid w:val="00A42BAE"/>
    <w:rsid w:val="00A44805"/>
    <w:rsid w:val="00AB3520"/>
    <w:rsid w:val="00AE45A7"/>
    <w:rsid w:val="00AF7CBD"/>
    <w:rsid w:val="00B321CD"/>
    <w:rsid w:val="00B40D1F"/>
    <w:rsid w:val="00B43CA5"/>
    <w:rsid w:val="00B5678C"/>
    <w:rsid w:val="00C07A82"/>
    <w:rsid w:val="00C23026"/>
    <w:rsid w:val="00C54CE8"/>
    <w:rsid w:val="00CB1D66"/>
    <w:rsid w:val="00CB46F7"/>
    <w:rsid w:val="00D25EB8"/>
    <w:rsid w:val="00D42254"/>
    <w:rsid w:val="00D5498B"/>
    <w:rsid w:val="00D8566E"/>
    <w:rsid w:val="00DA7FF9"/>
    <w:rsid w:val="00DB7F11"/>
    <w:rsid w:val="00DC086C"/>
    <w:rsid w:val="00DD3C02"/>
    <w:rsid w:val="00E176B3"/>
    <w:rsid w:val="00E33941"/>
    <w:rsid w:val="00E36E3B"/>
    <w:rsid w:val="00E471E4"/>
    <w:rsid w:val="00EC380F"/>
    <w:rsid w:val="00F21496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96FD5-3AF9-4E16-A945-9B16C09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C02"/>
    <w:pPr>
      <w:widowControl w:val="0"/>
      <w:spacing w:after="0" w:line="240" w:lineRule="auto"/>
    </w:pPr>
    <w:rPr>
      <w:lang w:val="sr-Cyrl-CS" w:eastAsia="sr-Cyrl-CS" w:bidi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0C"/>
    <w:rPr>
      <w:rFonts w:ascii="Tahoma" w:hAnsi="Tahoma" w:cs="Tahoma"/>
      <w:sz w:val="16"/>
      <w:szCs w:val="16"/>
      <w:lang w:val="sr-Cyrl-CS" w:eastAsia="sr-Cyrl-CS" w:bidi="sr-Cyrl-CS"/>
    </w:rPr>
  </w:style>
  <w:style w:type="paragraph" w:styleId="ListParagraph">
    <w:name w:val="List Paragraph"/>
    <w:basedOn w:val="Normal"/>
    <w:uiPriority w:val="34"/>
    <w:qFormat/>
    <w:rsid w:val="004867BE"/>
    <w:pPr>
      <w:ind w:left="720"/>
      <w:contextualSpacing/>
    </w:pPr>
  </w:style>
  <w:style w:type="table" w:styleId="TableGrid">
    <w:name w:val="Table Grid"/>
    <w:basedOn w:val="TableNormal"/>
    <w:uiPriority w:val="59"/>
    <w:rsid w:val="0013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 w:eastAsia="sr-Cyrl-CS" w:bidi="sr-Cyrl-CS"/>
    </w:rPr>
  </w:style>
  <w:style w:type="paragraph" w:styleId="Header">
    <w:name w:val="header"/>
    <w:basedOn w:val="Normal"/>
    <w:link w:val="HeaderChar"/>
    <w:uiPriority w:val="99"/>
    <w:unhideWhenUsed/>
    <w:rsid w:val="009C5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71"/>
    <w:rPr>
      <w:lang w:val="sr-Cyrl-CS" w:eastAsia="sr-Cyrl-CS" w:bidi="sr-Cyrl-CS"/>
    </w:rPr>
  </w:style>
  <w:style w:type="paragraph" w:styleId="Footer">
    <w:name w:val="footer"/>
    <w:basedOn w:val="Normal"/>
    <w:link w:val="FooterChar"/>
    <w:uiPriority w:val="99"/>
    <w:unhideWhenUsed/>
    <w:rsid w:val="009C5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71"/>
    <w:rPr>
      <w:lang w:val="sr-Cyrl-CS" w:eastAsia="sr-Cyrl-CS" w:bidi="sr-Cyrl-CS"/>
    </w:rPr>
  </w:style>
  <w:style w:type="paragraph" w:customStyle="1" w:styleId="Default">
    <w:name w:val="Default"/>
    <w:rsid w:val="00B56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176B3"/>
    <w:pPr>
      <w:widowControl w:val="0"/>
      <w:spacing w:after="0" w:line="240" w:lineRule="auto"/>
    </w:pPr>
    <w:rPr>
      <w:lang w:val="sr-Cyrl-CS" w:eastAsia="sr-Cyrl-CS" w:bidi="sr-Cyrl-CS"/>
    </w:rPr>
  </w:style>
  <w:style w:type="table" w:styleId="PlainTable1">
    <w:name w:val="Plain Table 1"/>
    <w:basedOn w:val="TableNormal"/>
    <w:uiPriority w:val="41"/>
    <w:rsid w:val="00D549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7286-05B0-4DDC-A3F3-3B8B525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fakulteta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Mojmir Mrak</dc:creator>
  <cp:lastModifiedBy>JI</cp:lastModifiedBy>
  <cp:revision>2</cp:revision>
  <cp:lastPrinted>2021-07-27T06:49:00Z</cp:lastPrinted>
  <dcterms:created xsi:type="dcterms:W3CDTF">2021-07-30T10:29:00Z</dcterms:created>
  <dcterms:modified xsi:type="dcterms:W3CDTF">2021-07-30T10:29:00Z</dcterms:modified>
</cp:coreProperties>
</file>