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4EB" w:rsidRPr="00A92173" w:rsidRDefault="00B534EB" w:rsidP="00B534EB">
      <w:pPr>
        <w:rPr>
          <w:rFonts w:ascii="Cambria" w:hAnsi="Cambria"/>
          <w:sz w:val="22"/>
          <w:szCs w:val="22"/>
        </w:rPr>
      </w:pPr>
      <w:bookmarkStart w:id="0" w:name="_GoBack"/>
      <w:bookmarkEnd w:id="0"/>
    </w:p>
    <w:p w:rsidR="004D0495" w:rsidRPr="00A92173" w:rsidRDefault="004D0495" w:rsidP="004D0495">
      <w:pPr>
        <w:rPr>
          <w:rFonts w:ascii="Cambria" w:hAnsi="Cambria"/>
          <w:sz w:val="22"/>
          <w:szCs w:val="22"/>
        </w:rPr>
      </w:pPr>
    </w:p>
    <w:p w:rsidR="004D0495" w:rsidRPr="00A92173" w:rsidRDefault="004D0495" w:rsidP="004D0495">
      <w:pPr>
        <w:spacing w:line="276" w:lineRule="auto"/>
        <w:rPr>
          <w:rFonts w:ascii="Cambria" w:hAnsi="Cambria"/>
          <w:sz w:val="22"/>
          <w:szCs w:val="22"/>
        </w:rPr>
      </w:pPr>
    </w:p>
    <w:p w:rsidR="004D0495" w:rsidRPr="00A92173" w:rsidRDefault="004D0495" w:rsidP="004D0495">
      <w:pPr>
        <w:spacing w:line="276" w:lineRule="auto"/>
        <w:jc w:val="both"/>
        <w:rPr>
          <w:rFonts w:ascii="Cambria" w:hAnsi="Cambria" w:cs="Arial"/>
          <w:sz w:val="22"/>
          <w:szCs w:val="22"/>
          <w:lang w:val="sr-Latn-ME"/>
        </w:rPr>
      </w:pPr>
    </w:p>
    <w:p w:rsidR="004D0495" w:rsidRPr="00A92173" w:rsidRDefault="004D0495" w:rsidP="004D0495">
      <w:pPr>
        <w:spacing w:line="276" w:lineRule="auto"/>
        <w:jc w:val="both"/>
        <w:rPr>
          <w:rFonts w:ascii="Cambria" w:hAnsi="Cambria" w:cs="Arial"/>
          <w:sz w:val="22"/>
          <w:szCs w:val="22"/>
          <w:lang w:val="sr-Latn-ME"/>
        </w:rPr>
      </w:pPr>
    </w:p>
    <w:p w:rsidR="004D0495" w:rsidRPr="00A92173" w:rsidRDefault="004D0495" w:rsidP="004D0495">
      <w:pPr>
        <w:spacing w:line="276" w:lineRule="auto"/>
        <w:jc w:val="both"/>
        <w:rPr>
          <w:rFonts w:ascii="Cambria" w:hAnsi="Cambria" w:cs="Arial"/>
          <w:sz w:val="22"/>
          <w:szCs w:val="22"/>
          <w:lang w:val="sr-Latn-ME"/>
        </w:rPr>
      </w:pPr>
    </w:p>
    <w:p w:rsidR="004D0495" w:rsidRPr="00A92173" w:rsidRDefault="004D0495" w:rsidP="004D0495">
      <w:pPr>
        <w:spacing w:line="276" w:lineRule="auto"/>
        <w:jc w:val="both"/>
        <w:rPr>
          <w:rFonts w:ascii="Cambria" w:hAnsi="Cambria" w:cs="Arial"/>
          <w:sz w:val="22"/>
          <w:szCs w:val="22"/>
          <w:lang w:val="sr-Latn-ME"/>
        </w:rPr>
      </w:pPr>
    </w:p>
    <w:p w:rsidR="004D0495" w:rsidRPr="00A92173" w:rsidRDefault="004D0495" w:rsidP="004D0495">
      <w:pPr>
        <w:spacing w:line="276" w:lineRule="auto"/>
        <w:jc w:val="both"/>
        <w:rPr>
          <w:rFonts w:ascii="Cambria" w:hAnsi="Cambria" w:cs="Arial"/>
          <w:sz w:val="22"/>
          <w:szCs w:val="22"/>
          <w:lang w:val="sr-Latn-ME"/>
        </w:rPr>
      </w:pPr>
    </w:p>
    <w:p w:rsidR="00773897" w:rsidRPr="00773897" w:rsidRDefault="00773897" w:rsidP="00CE5081">
      <w:pPr>
        <w:spacing w:after="160" w:line="259" w:lineRule="auto"/>
        <w:ind w:left="2880" w:firstLine="720"/>
        <w:rPr>
          <w:rFonts w:ascii="Cambria" w:eastAsia="Cambria" w:hAnsi="Cambria"/>
          <w:b/>
          <w:color w:val="418AB3"/>
          <w:sz w:val="36"/>
          <w:szCs w:val="36"/>
          <w:lang w:val="en-GB" w:eastAsia="en-US"/>
        </w:rPr>
      </w:pPr>
      <w:r w:rsidRPr="00773897">
        <w:rPr>
          <w:rFonts w:ascii="Cambria" w:eastAsia="Cambria" w:hAnsi="Cambria"/>
          <w:noProof/>
          <w:sz w:val="22"/>
          <w:szCs w:val="22"/>
          <w:lang w:val="en-GB" w:eastAsia="en-GB"/>
        </w:rPr>
        <w:drawing>
          <wp:anchor distT="0" distB="0" distL="114300" distR="114300" simplePos="0" relativeHeight="251665408" behindDoc="1" locked="0" layoutInCell="1" allowOverlap="1" wp14:anchorId="1650CA27" wp14:editId="3467F9EF">
            <wp:simplePos x="0" y="0"/>
            <wp:positionH relativeFrom="column">
              <wp:posOffset>2414905</wp:posOffset>
            </wp:positionH>
            <wp:positionV relativeFrom="page">
              <wp:posOffset>904875</wp:posOffset>
            </wp:positionV>
            <wp:extent cx="800735" cy="923925"/>
            <wp:effectExtent l="0" t="0" r="0" b="9525"/>
            <wp:wrapTight wrapText="bothSides">
              <wp:wrapPolygon edited="0">
                <wp:start x="0" y="0"/>
                <wp:lineTo x="0" y="21377"/>
                <wp:lineTo x="21069" y="21377"/>
                <wp:lineTo x="21069" y="0"/>
                <wp:lineTo x="0" y="0"/>
              </wp:wrapPolygon>
            </wp:wrapTight>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735" cy="923925"/>
                    </a:xfrm>
                    <a:prstGeom prst="rect">
                      <a:avLst/>
                    </a:prstGeom>
                  </pic:spPr>
                </pic:pic>
              </a:graphicData>
            </a:graphic>
            <wp14:sizeRelH relativeFrom="margin">
              <wp14:pctWidth>0</wp14:pctWidth>
            </wp14:sizeRelH>
            <wp14:sizeRelV relativeFrom="margin">
              <wp14:pctHeight>0</wp14:pctHeight>
            </wp14:sizeRelV>
          </wp:anchor>
        </w:drawing>
      </w:r>
      <w:r w:rsidRPr="00773897">
        <w:rPr>
          <w:rFonts w:ascii="Cambria" w:eastAsia="Cambria" w:hAnsi="Cambria"/>
          <w:b/>
          <w:color w:val="418AB3"/>
          <w:sz w:val="36"/>
          <w:szCs w:val="36"/>
          <w:lang w:val="en-GB" w:eastAsia="en-US"/>
        </w:rPr>
        <w:t xml:space="preserve">CRNA GORA </w:t>
      </w:r>
    </w:p>
    <w:p w:rsidR="00773897" w:rsidRPr="00773897" w:rsidRDefault="00773897" w:rsidP="00773897">
      <w:pPr>
        <w:spacing w:after="160" w:line="259" w:lineRule="auto"/>
        <w:jc w:val="center"/>
        <w:rPr>
          <w:rFonts w:ascii="Cambria" w:eastAsia="Cambria" w:hAnsi="Cambria"/>
          <w:b/>
          <w:color w:val="418AB3"/>
          <w:sz w:val="36"/>
          <w:szCs w:val="36"/>
          <w:lang w:val="en-GB" w:eastAsia="en-US"/>
        </w:rPr>
      </w:pPr>
      <w:r w:rsidRPr="00773897">
        <w:rPr>
          <w:rFonts w:ascii="Cambria" w:eastAsia="Cambria" w:hAnsi="Cambria"/>
          <w:b/>
          <w:color w:val="418AB3"/>
          <w:sz w:val="36"/>
          <w:szCs w:val="36"/>
          <w:lang w:val="en-GB" w:eastAsia="en-US"/>
        </w:rPr>
        <w:t>MINISTARSTVO FINANSIJA</w:t>
      </w:r>
    </w:p>
    <w:p w:rsidR="00773897" w:rsidRPr="00773897" w:rsidRDefault="00773897" w:rsidP="00773897">
      <w:pPr>
        <w:spacing w:after="160" w:line="259" w:lineRule="auto"/>
        <w:jc w:val="center"/>
        <w:rPr>
          <w:rFonts w:ascii="Cambria" w:eastAsia="Cambria" w:hAnsi="Cambria"/>
          <w:b/>
          <w:color w:val="418AB3"/>
          <w:sz w:val="36"/>
          <w:szCs w:val="36"/>
          <w:lang w:val="en-GB" w:eastAsia="en-US"/>
        </w:rPr>
      </w:pPr>
    </w:p>
    <w:p w:rsidR="00773897" w:rsidRPr="00773897" w:rsidRDefault="00773897" w:rsidP="00773897">
      <w:pPr>
        <w:spacing w:after="160" w:line="259" w:lineRule="auto"/>
        <w:jc w:val="center"/>
        <w:rPr>
          <w:rFonts w:ascii="Cambria" w:eastAsia="Cambria" w:hAnsi="Cambria"/>
          <w:b/>
          <w:color w:val="418AB3"/>
          <w:sz w:val="36"/>
          <w:szCs w:val="36"/>
          <w:lang w:val="en-GB" w:eastAsia="en-US"/>
        </w:rPr>
      </w:pPr>
    </w:p>
    <w:p w:rsidR="00773897" w:rsidRPr="00773897" w:rsidRDefault="00773897" w:rsidP="00773897">
      <w:pPr>
        <w:spacing w:after="160" w:line="259" w:lineRule="auto"/>
        <w:jc w:val="center"/>
        <w:rPr>
          <w:rFonts w:ascii="Cambria" w:eastAsia="Cambria" w:hAnsi="Cambria"/>
          <w:b/>
          <w:color w:val="418AB3"/>
          <w:sz w:val="36"/>
          <w:szCs w:val="36"/>
          <w:lang w:val="en-GB" w:eastAsia="en-US"/>
        </w:rPr>
      </w:pPr>
    </w:p>
    <w:p w:rsidR="00773897" w:rsidRPr="00773897" w:rsidRDefault="00773897" w:rsidP="00773897">
      <w:pPr>
        <w:spacing w:after="160" w:line="259" w:lineRule="auto"/>
        <w:jc w:val="center"/>
        <w:rPr>
          <w:rFonts w:ascii="Cambria" w:eastAsia="Cambria" w:hAnsi="Cambria"/>
          <w:b/>
          <w:color w:val="418AB3"/>
          <w:sz w:val="36"/>
          <w:szCs w:val="36"/>
          <w:lang w:val="en-GB" w:eastAsia="en-US"/>
        </w:rPr>
      </w:pPr>
    </w:p>
    <w:p w:rsidR="00773897" w:rsidRPr="00773897" w:rsidRDefault="00773897" w:rsidP="00773897">
      <w:pPr>
        <w:spacing w:after="160" w:line="259" w:lineRule="auto"/>
        <w:jc w:val="center"/>
        <w:rPr>
          <w:rFonts w:ascii="Cambria" w:eastAsia="Cambria" w:hAnsi="Cambria"/>
          <w:b/>
          <w:color w:val="418AB3"/>
          <w:sz w:val="36"/>
          <w:szCs w:val="36"/>
          <w:lang w:val="sr-Latn-RS" w:eastAsia="en-US"/>
        </w:rPr>
      </w:pPr>
      <w:r w:rsidRPr="00773897">
        <w:rPr>
          <w:rFonts w:ascii="Cambria" w:eastAsia="Cambria" w:hAnsi="Cambria"/>
          <w:b/>
          <w:color w:val="418AB3"/>
          <w:sz w:val="36"/>
          <w:szCs w:val="36"/>
          <w:lang w:val="en-GB" w:eastAsia="en-US"/>
        </w:rPr>
        <w:t>IZVJE</w:t>
      </w:r>
      <w:r w:rsidRPr="00773897">
        <w:rPr>
          <w:rFonts w:ascii="Cambria" w:eastAsia="Cambria" w:hAnsi="Cambria"/>
          <w:b/>
          <w:color w:val="418AB3"/>
          <w:sz w:val="36"/>
          <w:szCs w:val="36"/>
          <w:lang w:val="sr-Latn-RS" w:eastAsia="en-US"/>
        </w:rPr>
        <w:t>ŠTAJ O JAVNOM DUGU CRNE GORE</w:t>
      </w:r>
    </w:p>
    <w:p w:rsidR="00773897" w:rsidRPr="00773897" w:rsidRDefault="00773897" w:rsidP="00773897">
      <w:pPr>
        <w:spacing w:after="160" w:line="259" w:lineRule="auto"/>
        <w:jc w:val="center"/>
        <w:rPr>
          <w:rFonts w:ascii="Cambria" w:eastAsia="Cambria" w:hAnsi="Cambria"/>
          <w:b/>
          <w:color w:val="418AB3"/>
          <w:sz w:val="36"/>
          <w:szCs w:val="36"/>
          <w:lang w:val="sr-Latn-RS" w:eastAsia="en-US"/>
        </w:rPr>
      </w:pPr>
      <w:r w:rsidRPr="00773897">
        <w:rPr>
          <w:rFonts w:ascii="Cambria" w:eastAsia="Cambria" w:hAnsi="Cambria"/>
          <w:b/>
          <w:color w:val="418AB3"/>
          <w:sz w:val="36"/>
          <w:szCs w:val="36"/>
          <w:lang w:val="sr-Latn-RS" w:eastAsia="en-US"/>
        </w:rPr>
        <w:t>31.12.2019. GODINE</w:t>
      </w:r>
    </w:p>
    <w:p w:rsidR="00773897" w:rsidRPr="00773897" w:rsidRDefault="00773897" w:rsidP="00773897">
      <w:pPr>
        <w:spacing w:after="160" w:line="259" w:lineRule="auto"/>
        <w:rPr>
          <w:rFonts w:ascii="Cambria" w:eastAsia="Cambria" w:hAnsi="Cambria"/>
          <w:b/>
          <w:color w:val="418AB3"/>
          <w:sz w:val="36"/>
          <w:szCs w:val="36"/>
          <w:lang w:val="sr-Latn-RS" w:eastAsia="en-US"/>
        </w:rPr>
      </w:pPr>
    </w:p>
    <w:p w:rsidR="00773897" w:rsidRPr="00773897" w:rsidRDefault="00773897" w:rsidP="00773897">
      <w:pPr>
        <w:spacing w:after="160" w:line="259" w:lineRule="auto"/>
        <w:jc w:val="center"/>
        <w:rPr>
          <w:rFonts w:ascii="Cambria" w:eastAsia="Cambria" w:hAnsi="Cambria"/>
          <w:b/>
          <w:color w:val="418AB3"/>
          <w:sz w:val="36"/>
          <w:szCs w:val="36"/>
          <w:lang w:val="sr-Latn-RS" w:eastAsia="en-US"/>
        </w:rPr>
      </w:pPr>
    </w:p>
    <w:p w:rsidR="00773897" w:rsidRPr="00773897" w:rsidRDefault="00773897" w:rsidP="00773897">
      <w:pPr>
        <w:spacing w:after="160" w:line="259" w:lineRule="auto"/>
        <w:jc w:val="center"/>
        <w:rPr>
          <w:rFonts w:ascii="Cambria" w:eastAsia="Cambria" w:hAnsi="Cambria"/>
          <w:b/>
          <w:color w:val="418AB3"/>
          <w:sz w:val="36"/>
          <w:szCs w:val="36"/>
          <w:lang w:val="sr-Latn-RS" w:eastAsia="en-US"/>
        </w:rPr>
      </w:pPr>
    </w:p>
    <w:p w:rsidR="00773897" w:rsidRPr="00773897" w:rsidRDefault="00773897" w:rsidP="00773897">
      <w:pPr>
        <w:spacing w:after="160" w:line="259" w:lineRule="auto"/>
        <w:jc w:val="center"/>
        <w:rPr>
          <w:rFonts w:ascii="Cambria" w:eastAsia="Cambria" w:hAnsi="Cambria"/>
          <w:b/>
          <w:color w:val="418AB3"/>
          <w:sz w:val="36"/>
          <w:szCs w:val="36"/>
          <w:lang w:val="sr-Latn-RS" w:eastAsia="en-US"/>
        </w:rPr>
      </w:pPr>
    </w:p>
    <w:p w:rsidR="00773897" w:rsidRPr="00773897" w:rsidRDefault="00773897" w:rsidP="00773897">
      <w:pPr>
        <w:spacing w:after="160" w:line="259" w:lineRule="auto"/>
        <w:jc w:val="center"/>
        <w:rPr>
          <w:rFonts w:ascii="Cambria" w:eastAsia="Cambria" w:hAnsi="Cambria"/>
          <w:b/>
          <w:color w:val="418AB3"/>
          <w:sz w:val="36"/>
          <w:szCs w:val="36"/>
          <w:lang w:val="sr-Latn-RS" w:eastAsia="en-US"/>
        </w:rPr>
      </w:pPr>
    </w:p>
    <w:p w:rsidR="00773897" w:rsidRPr="00773897" w:rsidRDefault="00773897" w:rsidP="00773897">
      <w:pPr>
        <w:spacing w:after="160" w:line="259" w:lineRule="auto"/>
        <w:jc w:val="center"/>
        <w:rPr>
          <w:rFonts w:ascii="Cambria" w:eastAsia="Cambria" w:hAnsi="Cambria"/>
          <w:b/>
          <w:color w:val="418AB3"/>
          <w:sz w:val="36"/>
          <w:szCs w:val="36"/>
          <w:lang w:val="sr-Latn-RS" w:eastAsia="en-US"/>
        </w:rPr>
      </w:pPr>
    </w:p>
    <w:p w:rsidR="00773897" w:rsidRPr="00773897" w:rsidRDefault="00773897" w:rsidP="00773897">
      <w:pPr>
        <w:spacing w:after="160" w:line="259" w:lineRule="auto"/>
        <w:jc w:val="center"/>
        <w:rPr>
          <w:rFonts w:ascii="Cambria" w:eastAsia="Cambria" w:hAnsi="Cambria"/>
          <w:b/>
          <w:color w:val="418AB3"/>
          <w:sz w:val="36"/>
          <w:szCs w:val="36"/>
          <w:lang w:val="sr-Latn-RS" w:eastAsia="en-US"/>
        </w:rPr>
      </w:pPr>
    </w:p>
    <w:p w:rsidR="00773897" w:rsidRPr="00773897" w:rsidRDefault="00773897" w:rsidP="00773897">
      <w:pPr>
        <w:spacing w:after="160" w:line="259" w:lineRule="auto"/>
        <w:jc w:val="center"/>
        <w:rPr>
          <w:rFonts w:ascii="Cambria" w:eastAsia="Cambria" w:hAnsi="Cambria"/>
          <w:b/>
          <w:color w:val="418AB3"/>
          <w:sz w:val="36"/>
          <w:szCs w:val="36"/>
          <w:lang w:val="sr-Latn-RS" w:eastAsia="en-US"/>
        </w:rPr>
      </w:pPr>
    </w:p>
    <w:p w:rsidR="00773897" w:rsidRPr="00773897" w:rsidRDefault="00773897" w:rsidP="00773897">
      <w:pPr>
        <w:spacing w:after="160" w:line="259" w:lineRule="auto"/>
        <w:jc w:val="center"/>
        <w:rPr>
          <w:rFonts w:ascii="Cambria" w:eastAsia="Cambria" w:hAnsi="Cambria"/>
          <w:b/>
          <w:color w:val="418AB3"/>
          <w:sz w:val="36"/>
          <w:szCs w:val="36"/>
          <w:lang w:val="sr-Latn-RS" w:eastAsia="en-US"/>
        </w:rPr>
      </w:pPr>
    </w:p>
    <w:p w:rsidR="00773897" w:rsidRPr="00773897" w:rsidRDefault="00773897" w:rsidP="00773897">
      <w:pPr>
        <w:spacing w:after="160" w:line="259" w:lineRule="auto"/>
        <w:jc w:val="center"/>
        <w:rPr>
          <w:rFonts w:ascii="Cambria" w:eastAsia="Cambria" w:hAnsi="Cambria"/>
          <w:b/>
          <w:color w:val="418AB3"/>
          <w:sz w:val="36"/>
          <w:szCs w:val="36"/>
          <w:lang w:val="sr-Latn-RS" w:eastAsia="en-US"/>
        </w:rPr>
      </w:pPr>
    </w:p>
    <w:p w:rsidR="00773897" w:rsidRPr="00773897" w:rsidRDefault="00773897" w:rsidP="00773897">
      <w:pPr>
        <w:spacing w:after="160" w:line="259" w:lineRule="auto"/>
        <w:jc w:val="center"/>
        <w:rPr>
          <w:rFonts w:ascii="Cambria" w:eastAsia="Cambria" w:hAnsi="Cambria"/>
          <w:b/>
          <w:color w:val="418AB3"/>
          <w:sz w:val="36"/>
          <w:szCs w:val="36"/>
          <w:lang w:val="sr-Latn-RS" w:eastAsia="en-US"/>
        </w:rPr>
      </w:pPr>
      <w:r w:rsidRPr="00773897">
        <w:rPr>
          <w:rFonts w:ascii="Cambria" w:eastAsia="Cambria" w:hAnsi="Cambria"/>
          <w:b/>
          <w:color w:val="418AB3"/>
          <w:sz w:val="36"/>
          <w:szCs w:val="36"/>
          <w:lang w:val="sr-Latn-RS" w:eastAsia="en-US"/>
        </w:rPr>
        <w:t>Mart, 2020. godine</w:t>
      </w:r>
    </w:p>
    <w:sdt>
      <w:sdtPr>
        <w:rPr>
          <w:rFonts w:ascii="Cambria" w:eastAsia="Cambria" w:hAnsi="Cambria"/>
          <w:sz w:val="22"/>
          <w:szCs w:val="22"/>
          <w:lang w:val="en-GB" w:eastAsia="en-US"/>
        </w:rPr>
        <w:id w:val="1270047133"/>
        <w:docPartObj>
          <w:docPartGallery w:val="Table of Contents"/>
          <w:docPartUnique/>
        </w:docPartObj>
      </w:sdtPr>
      <w:sdtEndPr>
        <w:rPr>
          <w:b/>
          <w:bCs/>
          <w:noProof/>
          <w:color w:val="418AB3"/>
        </w:rPr>
      </w:sdtEndPr>
      <w:sdtContent>
        <w:p w:rsidR="00773897" w:rsidRPr="00773897" w:rsidRDefault="00773897" w:rsidP="00773897">
          <w:pPr>
            <w:keepNext/>
            <w:keepLines/>
            <w:spacing w:before="400" w:after="40"/>
            <w:rPr>
              <w:rFonts w:ascii="Cambria" w:hAnsi="Cambria"/>
              <w:color w:val="204559"/>
              <w:sz w:val="36"/>
              <w:szCs w:val="36"/>
              <w:lang w:val="en-GB" w:eastAsia="en-US"/>
            </w:rPr>
          </w:pPr>
          <w:r w:rsidRPr="00773897">
            <w:rPr>
              <w:rFonts w:ascii="Cambria" w:hAnsi="Cambria"/>
              <w:color w:val="204559"/>
              <w:sz w:val="36"/>
              <w:szCs w:val="36"/>
              <w:lang w:val="en-GB" w:eastAsia="en-US"/>
            </w:rPr>
            <w:t>Sadržaj</w:t>
          </w:r>
        </w:p>
        <w:p w:rsidR="001B4626" w:rsidRDefault="00773897">
          <w:pPr>
            <w:pStyle w:val="TOC2"/>
            <w:tabs>
              <w:tab w:val="right" w:leader="dot" w:pos="9062"/>
            </w:tabs>
            <w:rPr>
              <w:rFonts w:eastAsiaTheme="minorEastAsia"/>
              <w:noProof/>
              <w:lang w:eastAsia="en-GB"/>
            </w:rPr>
          </w:pPr>
          <w:r w:rsidRPr="00773897">
            <w:rPr>
              <w:rFonts w:ascii="Cambria" w:eastAsia="Cambria" w:hAnsi="Cambria"/>
              <w:color w:val="418AB3"/>
            </w:rPr>
            <w:fldChar w:fldCharType="begin"/>
          </w:r>
          <w:r w:rsidRPr="00773897">
            <w:rPr>
              <w:rFonts w:ascii="Cambria" w:eastAsia="Cambria" w:hAnsi="Cambria"/>
              <w:color w:val="418AB3"/>
            </w:rPr>
            <w:instrText xml:space="preserve"> TOC \o "1-3" \h \z \u </w:instrText>
          </w:r>
          <w:r w:rsidRPr="00773897">
            <w:rPr>
              <w:rFonts w:ascii="Cambria" w:eastAsia="Cambria" w:hAnsi="Cambria"/>
              <w:color w:val="418AB3"/>
            </w:rPr>
            <w:fldChar w:fldCharType="separate"/>
          </w:r>
          <w:hyperlink w:anchor="_Toc41286657" w:history="1">
            <w:r w:rsidR="001B4626" w:rsidRPr="00B90A85">
              <w:rPr>
                <w:rStyle w:val="Hyperlink"/>
                <w:rFonts w:ascii="Cambria" w:hAnsi="Cambria"/>
                <w:b/>
                <w:noProof/>
                <w:lang w:val="sr-Latn-ME"/>
              </w:rPr>
              <w:t>Uvod</w:t>
            </w:r>
            <w:r w:rsidR="001B4626">
              <w:rPr>
                <w:noProof/>
                <w:webHidden/>
              </w:rPr>
              <w:tab/>
            </w:r>
            <w:r w:rsidR="001B4626">
              <w:rPr>
                <w:noProof/>
                <w:webHidden/>
              </w:rPr>
              <w:fldChar w:fldCharType="begin"/>
            </w:r>
            <w:r w:rsidR="001B4626">
              <w:rPr>
                <w:noProof/>
                <w:webHidden/>
              </w:rPr>
              <w:instrText xml:space="preserve"> PAGEREF _Toc41286657 \h </w:instrText>
            </w:r>
            <w:r w:rsidR="001B4626">
              <w:rPr>
                <w:noProof/>
                <w:webHidden/>
              </w:rPr>
            </w:r>
            <w:r w:rsidR="001B4626">
              <w:rPr>
                <w:noProof/>
                <w:webHidden/>
              </w:rPr>
              <w:fldChar w:fldCharType="separate"/>
            </w:r>
            <w:r w:rsidR="00250EF7">
              <w:rPr>
                <w:noProof/>
                <w:webHidden/>
              </w:rPr>
              <w:t>3</w:t>
            </w:r>
            <w:r w:rsidR="001B4626">
              <w:rPr>
                <w:noProof/>
                <w:webHidden/>
              </w:rPr>
              <w:fldChar w:fldCharType="end"/>
            </w:r>
          </w:hyperlink>
        </w:p>
        <w:p w:rsidR="001B4626" w:rsidRDefault="001A0E7E">
          <w:pPr>
            <w:pStyle w:val="TOC2"/>
            <w:tabs>
              <w:tab w:val="left" w:pos="660"/>
              <w:tab w:val="right" w:leader="dot" w:pos="9062"/>
            </w:tabs>
            <w:rPr>
              <w:rFonts w:eastAsiaTheme="minorEastAsia"/>
              <w:noProof/>
              <w:lang w:eastAsia="en-GB"/>
            </w:rPr>
          </w:pPr>
          <w:hyperlink w:anchor="_Toc41286658" w:history="1">
            <w:r w:rsidR="001B4626" w:rsidRPr="00B90A85">
              <w:rPr>
                <w:rStyle w:val="Hyperlink"/>
                <w:rFonts w:ascii="Cambria" w:hAnsi="Cambria"/>
                <w:b/>
                <w:noProof/>
                <w:lang w:val="sr-Latn-ME"/>
              </w:rPr>
              <w:t>1.</w:t>
            </w:r>
            <w:r w:rsidR="001B4626">
              <w:rPr>
                <w:rFonts w:eastAsiaTheme="minorEastAsia"/>
                <w:noProof/>
                <w:lang w:eastAsia="en-GB"/>
              </w:rPr>
              <w:tab/>
            </w:r>
            <w:r w:rsidR="001B4626" w:rsidRPr="00B90A85">
              <w:rPr>
                <w:rStyle w:val="Hyperlink"/>
                <w:rFonts w:ascii="Cambria" w:hAnsi="Cambria"/>
                <w:b/>
                <w:noProof/>
                <w:lang w:val="sr-Latn-ME"/>
              </w:rPr>
              <w:t>Stanje duga i promjene u javnom dugu Crne Gore</w:t>
            </w:r>
            <w:r w:rsidR="001B4626">
              <w:rPr>
                <w:noProof/>
                <w:webHidden/>
              </w:rPr>
              <w:tab/>
            </w:r>
            <w:r w:rsidR="001B4626">
              <w:rPr>
                <w:noProof/>
                <w:webHidden/>
              </w:rPr>
              <w:fldChar w:fldCharType="begin"/>
            </w:r>
            <w:r w:rsidR="001B4626">
              <w:rPr>
                <w:noProof/>
                <w:webHidden/>
              </w:rPr>
              <w:instrText xml:space="preserve"> PAGEREF _Toc41286658 \h </w:instrText>
            </w:r>
            <w:r w:rsidR="001B4626">
              <w:rPr>
                <w:noProof/>
                <w:webHidden/>
              </w:rPr>
            </w:r>
            <w:r w:rsidR="001B4626">
              <w:rPr>
                <w:noProof/>
                <w:webHidden/>
              </w:rPr>
              <w:fldChar w:fldCharType="separate"/>
            </w:r>
            <w:r w:rsidR="00250EF7">
              <w:rPr>
                <w:noProof/>
                <w:webHidden/>
              </w:rPr>
              <w:t>3</w:t>
            </w:r>
            <w:r w:rsidR="001B4626">
              <w:rPr>
                <w:noProof/>
                <w:webHidden/>
              </w:rPr>
              <w:fldChar w:fldCharType="end"/>
            </w:r>
          </w:hyperlink>
        </w:p>
        <w:p w:rsidR="001B4626" w:rsidRDefault="001A0E7E">
          <w:pPr>
            <w:pStyle w:val="TOC2"/>
            <w:tabs>
              <w:tab w:val="left" w:pos="660"/>
              <w:tab w:val="right" w:leader="dot" w:pos="9062"/>
            </w:tabs>
            <w:rPr>
              <w:rFonts w:eastAsiaTheme="minorEastAsia"/>
              <w:noProof/>
              <w:lang w:eastAsia="en-GB"/>
            </w:rPr>
          </w:pPr>
          <w:hyperlink w:anchor="_Toc41286659" w:history="1">
            <w:r w:rsidR="001B4626" w:rsidRPr="00B90A85">
              <w:rPr>
                <w:rStyle w:val="Hyperlink"/>
                <w:rFonts w:ascii="Cambria" w:hAnsi="Cambria"/>
                <w:b/>
                <w:noProof/>
                <w:lang w:val="sr-Latn-ME"/>
              </w:rPr>
              <w:t>2.</w:t>
            </w:r>
            <w:r w:rsidR="001B4626">
              <w:rPr>
                <w:rFonts w:eastAsiaTheme="minorEastAsia"/>
                <w:noProof/>
                <w:lang w:eastAsia="en-GB"/>
              </w:rPr>
              <w:tab/>
            </w:r>
            <w:r w:rsidR="001B4626" w:rsidRPr="00B90A85">
              <w:rPr>
                <w:rStyle w:val="Hyperlink"/>
                <w:rFonts w:ascii="Cambria" w:hAnsi="Cambria"/>
                <w:b/>
                <w:noProof/>
                <w:lang w:val="sr-Latn-ME"/>
              </w:rPr>
              <w:t>Kretanje državnog duga u toku 2019. godine</w:t>
            </w:r>
            <w:r w:rsidR="001B4626">
              <w:rPr>
                <w:noProof/>
                <w:webHidden/>
              </w:rPr>
              <w:tab/>
            </w:r>
            <w:r w:rsidR="001B4626">
              <w:rPr>
                <w:noProof/>
                <w:webHidden/>
              </w:rPr>
              <w:fldChar w:fldCharType="begin"/>
            </w:r>
            <w:r w:rsidR="001B4626">
              <w:rPr>
                <w:noProof/>
                <w:webHidden/>
              </w:rPr>
              <w:instrText xml:space="preserve"> PAGEREF _Toc41286659 \h </w:instrText>
            </w:r>
            <w:r w:rsidR="001B4626">
              <w:rPr>
                <w:noProof/>
                <w:webHidden/>
              </w:rPr>
            </w:r>
            <w:r w:rsidR="001B4626">
              <w:rPr>
                <w:noProof/>
                <w:webHidden/>
              </w:rPr>
              <w:fldChar w:fldCharType="separate"/>
            </w:r>
            <w:r w:rsidR="00250EF7">
              <w:rPr>
                <w:noProof/>
                <w:webHidden/>
              </w:rPr>
              <w:t>5</w:t>
            </w:r>
            <w:r w:rsidR="001B4626">
              <w:rPr>
                <w:noProof/>
                <w:webHidden/>
              </w:rPr>
              <w:fldChar w:fldCharType="end"/>
            </w:r>
          </w:hyperlink>
        </w:p>
        <w:p w:rsidR="001B4626" w:rsidRDefault="001A0E7E">
          <w:pPr>
            <w:pStyle w:val="TOC2"/>
            <w:tabs>
              <w:tab w:val="left" w:pos="880"/>
              <w:tab w:val="right" w:leader="dot" w:pos="9062"/>
            </w:tabs>
            <w:rPr>
              <w:rFonts w:eastAsiaTheme="minorEastAsia"/>
              <w:noProof/>
              <w:lang w:eastAsia="en-GB"/>
            </w:rPr>
          </w:pPr>
          <w:hyperlink w:anchor="_Toc41286660" w:history="1">
            <w:r w:rsidR="001B4626" w:rsidRPr="00B90A85">
              <w:rPr>
                <w:rStyle w:val="Hyperlink"/>
                <w:rFonts w:ascii="Cambria" w:hAnsi="Cambria"/>
                <w:b/>
                <w:noProof/>
                <w:lang w:val="sr-Latn-ME"/>
              </w:rPr>
              <w:t>2.1</w:t>
            </w:r>
            <w:r w:rsidR="001B4626">
              <w:rPr>
                <w:rFonts w:eastAsiaTheme="minorEastAsia"/>
                <w:noProof/>
                <w:lang w:eastAsia="en-GB"/>
              </w:rPr>
              <w:tab/>
            </w:r>
            <w:r w:rsidR="001B4626" w:rsidRPr="00B90A85">
              <w:rPr>
                <w:rStyle w:val="Hyperlink"/>
                <w:rFonts w:ascii="Cambria" w:hAnsi="Cambria"/>
                <w:b/>
                <w:noProof/>
                <w:lang w:val="sr-Latn-ME"/>
              </w:rPr>
              <w:t>Spoljni dug</w:t>
            </w:r>
            <w:r w:rsidR="001B4626">
              <w:rPr>
                <w:noProof/>
                <w:webHidden/>
              </w:rPr>
              <w:tab/>
            </w:r>
            <w:r w:rsidR="001B4626">
              <w:rPr>
                <w:noProof/>
                <w:webHidden/>
              </w:rPr>
              <w:fldChar w:fldCharType="begin"/>
            </w:r>
            <w:r w:rsidR="001B4626">
              <w:rPr>
                <w:noProof/>
                <w:webHidden/>
              </w:rPr>
              <w:instrText xml:space="preserve"> PAGEREF _Toc41286660 \h </w:instrText>
            </w:r>
            <w:r w:rsidR="001B4626">
              <w:rPr>
                <w:noProof/>
                <w:webHidden/>
              </w:rPr>
            </w:r>
            <w:r w:rsidR="001B4626">
              <w:rPr>
                <w:noProof/>
                <w:webHidden/>
              </w:rPr>
              <w:fldChar w:fldCharType="separate"/>
            </w:r>
            <w:r w:rsidR="00250EF7">
              <w:rPr>
                <w:noProof/>
                <w:webHidden/>
              </w:rPr>
              <w:t>6</w:t>
            </w:r>
            <w:r w:rsidR="001B4626">
              <w:rPr>
                <w:noProof/>
                <w:webHidden/>
              </w:rPr>
              <w:fldChar w:fldCharType="end"/>
            </w:r>
          </w:hyperlink>
        </w:p>
        <w:p w:rsidR="001B4626" w:rsidRDefault="001A0E7E">
          <w:pPr>
            <w:pStyle w:val="TOC2"/>
            <w:tabs>
              <w:tab w:val="left" w:pos="880"/>
              <w:tab w:val="right" w:leader="dot" w:pos="9062"/>
            </w:tabs>
            <w:rPr>
              <w:rFonts w:eastAsiaTheme="minorEastAsia"/>
              <w:noProof/>
              <w:lang w:eastAsia="en-GB"/>
            </w:rPr>
          </w:pPr>
          <w:hyperlink w:anchor="_Toc41286661" w:history="1">
            <w:r w:rsidR="001B4626" w:rsidRPr="00B90A85">
              <w:rPr>
                <w:rStyle w:val="Hyperlink"/>
                <w:rFonts w:ascii="Cambria" w:hAnsi="Cambria"/>
                <w:b/>
                <w:noProof/>
                <w:lang w:val="sr-Latn-ME"/>
              </w:rPr>
              <w:t>2.2</w:t>
            </w:r>
            <w:r w:rsidR="001B4626">
              <w:rPr>
                <w:rFonts w:eastAsiaTheme="minorEastAsia"/>
                <w:noProof/>
                <w:lang w:eastAsia="en-GB"/>
              </w:rPr>
              <w:tab/>
            </w:r>
            <w:r w:rsidR="001B4626" w:rsidRPr="00B90A85">
              <w:rPr>
                <w:rStyle w:val="Hyperlink"/>
                <w:rFonts w:ascii="Cambria" w:hAnsi="Cambria"/>
                <w:b/>
                <w:noProof/>
                <w:lang w:val="sr-Latn-ME"/>
              </w:rPr>
              <w:t>Domaći dug</w:t>
            </w:r>
            <w:r w:rsidR="001B4626">
              <w:rPr>
                <w:noProof/>
                <w:webHidden/>
              </w:rPr>
              <w:tab/>
            </w:r>
            <w:r w:rsidR="001B4626">
              <w:rPr>
                <w:noProof/>
                <w:webHidden/>
              </w:rPr>
              <w:fldChar w:fldCharType="begin"/>
            </w:r>
            <w:r w:rsidR="001B4626">
              <w:rPr>
                <w:noProof/>
                <w:webHidden/>
              </w:rPr>
              <w:instrText xml:space="preserve"> PAGEREF _Toc41286661 \h </w:instrText>
            </w:r>
            <w:r w:rsidR="001B4626">
              <w:rPr>
                <w:noProof/>
                <w:webHidden/>
              </w:rPr>
            </w:r>
            <w:r w:rsidR="001B4626">
              <w:rPr>
                <w:noProof/>
                <w:webHidden/>
              </w:rPr>
              <w:fldChar w:fldCharType="separate"/>
            </w:r>
            <w:r w:rsidR="00250EF7">
              <w:rPr>
                <w:noProof/>
                <w:webHidden/>
              </w:rPr>
              <w:t>8</w:t>
            </w:r>
            <w:r w:rsidR="001B4626">
              <w:rPr>
                <w:noProof/>
                <w:webHidden/>
              </w:rPr>
              <w:fldChar w:fldCharType="end"/>
            </w:r>
          </w:hyperlink>
        </w:p>
        <w:p w:rsidR="001B4626" w:rsidRDefault="001A0E7E">
          <w:pPr>
            <w:pStyle w:val="TOC2"/>
            <w:tabs>
              <w:tab w:val="right" w:leader="dot" w:pos="9062"/>
            </w:tabs>
            <w:rPr>
              <w:rFonts w:eastAsiaTheme="minorEastAsia"/>
              <w:noProof/>
              <w:lang w:eastAsia="en-GB"/>
            </w:rPr>
          </w:pPr>
          <w:hyperlink w:anchor="_Toc41286662" w:history="1">
            <w:r w:rsidR="001B4626" w:rsidRPr="00B90A85">
              <w:rPr>
                <w:rStyle w:val="Hyperlink"/>
                <w:rFonts w:ascii="Cambria" w:hAnsi="Cambria"/>
                <w:b/>
                <w:noProof/>
                <w:lang w:val="sr-Latn-ME"/>
              </w:rPr>
              <w:t>3. Otplata duga</w:t>
            </w:r>
            <w:r w:rsidR="001B4626">
              <w:rPr>
                <w:noProof/>
                <w:webHidden/>
              </w:rPr>
              <w:tab/>
            </w:r>
            <w:r w:rsidR="001B4626">
              <w:rPr>
                <w:noProof/>
                <w:webHidden/>
              </w:rPr>
              <w:fldChar w:fldCharType="begin"/>
            </w:r>
            <w:r w:rsidR="001B4626">
              <w:rPr>
                <w:noProof/>
                <w:webHidden/>
              </w:rPr>
              <w:instrText xml:space="preserve"> PAGEREF _Toc41286662 \h </w:instrText>
            </w:r>
            <w:r w:rsidR="001B4626">
              <w:rPr>
                <w:noProof/>
                <w:webHidden/>
              </w:rPr>
            </w:r>
            <w:r w:rsidR="001B4626">
              <w:rPr>
                <w:noProof/>
                <w:webHidden/>
              </w:rPr>
              <w:fldChar w:fldCharType="separate"/>
            </w:r>
            <w:r w:rsidR="00250EF7">
              <w:rPr>
                <w:noProof/>
                <w:webHidden/>
              </w:rPr>
              <w:t>10</w:t>
            </w:r>
            <w:r w:rsidR="001B4626">
              <w:rPr>
                <w:noProof/>
                <w:webHidden/>
              </w:rPr>
              <w:fldChar w:fldCharType="end"/>
            </w:r>
          </w:hyperlink>
        </w:p>
        <w:p w:rsidR="001B4626" w:rsidRDefault="001A0E7E">
          <w:pPr>
            <w:pStyle w:val="TOC2"/>
            <w:tabs>
              <w:tab w:val="right" w:leader="dot" w:pos="9062"/>
            </w:tabs>
            <w:rPr>
              <w:rFonts w:eastAsiaTheme="minorEastAsia"/>
              <w:noProof/>
              <w:lang w:eastAsia="en-GB"/>
            </w:rPr>
          </w:pPr>
          <w:hyperlink w:anchor="_Toc41286663" w:history="1">
            <w:r w:rsidR="001B4626" w:rsidRPr="00B90A85">
              <w:rPr>
                <w:rStyle w:val="Hyperlink"/>
                <w:rFonts w:ascii="Cambria" w:hAnsi="Cambria"/>
                <w:b/>
                <w:noProof/>
                <w:lang w:val="sr-Latn-ME"/>
              </w:rPr>
              <w:t>4. Dug lokalne samouprave</w:t>
            </w:r>
            <w:r w:rsidR="001B4626">
              <w:rPr>
                <w:noProof/>
                <w:webHidden/>
              </w:rPr>
              <w:tab/>
            </w:r>
            <w:r w:rsidR="001B4626">
              <w:rPr>
                <w:noProof/>
                <w:webHidden/>
              </w:rPr>
              <w:fldChar w:fldCharType="begin"/>
            </w:r>
            <w:r w:rsidR="001B4626">
              <w:rPr>
                <w:noProof/>
                <w:webHidden/>
              </w:rPr>
              <w:instrText xml:space="preserve"> PAGEREF _Toc41286663 \h </w:instrText>
            </w:r>
            <w:r w:rsidR="001B4626">
              <w:rPr>
                <w:noProof/>
                <w:webHidden/>
              </w:rPr>
            </w:r>
            <w:r w:rsidR="001B4626">
              <w:rPr>
                <w:noProof/>
                <w:webHidden/>
              </w:rPr>
              <w:fldChar w:fldCharType="separate"/>
            </w:r>
            <w:r w:rsidR="00250EF7">
              <w:rPr>
                <w:noProof/>
                <w:webHidden/>
              </w:rPr>
              <w:t>11</w:t>
            </w:r>
            <w:r w:rsidR="001B4626">
              <w:rPr>
                <w:noProof/>
                <w:webHidden/>
              </w:rPr>
              <w:fldChar w:fldCharType="end"/>
            </w:r>
          </w:hyperlink>
        </w:p>
        <w:p w:rsidR="001B4626" w:rsidRDefault="001A0E7E">
          <w:pPr>
            <w:pStyle w:val="TOC2"/>
            <w:tabs>
              <w:tab w:val="right" w:leader="dot" w:pos="9062"/>
            </w:tabs>
            <w:rPr>
              <w:rFonts w:eastAsiaTheme="minorEastAsia"/>
              <w:noProof/>
              <w:lang w:eastAsia="en-GB"/>
            </w:rPr>
          </w:pPr>
          <w:hyperlink w:anchor="_Toc41286664" w:history="1">
            <w:r w:rsidR="001B4626" w:rsidRPr="00B90A85">
              <w:rPr>
                <w:rStyle w:val="Hyperlink"/>
                <w:rFonts w:ascii="Cambria" w:hAnsi="Cambria"/>
                <w:b/>
                <w:noProof/>
                <w:lang w:val="sr-Latn-ME"/>
              </w:rPr>
              <w:t>5. Kretanje državnih garancija tokom 2019. godine</w:t>
            </w:r>
            <w:r w:rsidR="001B4626">
              <w:rPr>
                <w:noProof/>
                <w:webHidden/>
              </w:rPr>
              <w:tab/>
            </w:r>
            <w:r w:rsidR="001B4626">
              <w:rPr>
                <w:noProof/>
                <w:webHidden/>
              </w:rPr>
              <w:fldChar w:fldCharType="begin"/>
            </w:r>
            <w:r w:rsidR="001B4626">
              <w:rPr>
                <w:noProof/>
                <w:webHidden/>
              </w:rPr>
              <w:instrText xml:space="preserve"> PAGEREF _Toc41286664 \h </w:instrText>
            </w:r>
            <w:r w:rsidR="001B4626">
              <w:rPr>
                <w:noProof/>
                <w:webHidden/>
              </w:rPr>
            </w:r>
            <w:r w:rsidR="001B4626">
              <w:rPr>
                <w:noProof/>
                <w:webHidden/>
              </w:rPr>
              <w:fldChar w:fldCharType="separate"/>
            </w:r>
            <w:r w:rsidR="00250EF7">
              <w:rPr>
                <w:noProof/>
                <w:webHidden/>
              </w:rPr>
              <w:t>12</w:t>
            </w:r>
            <w:r w:rsidR="001B4626">
              <w:rPr>
                <w:noProof/>
                <w:webHidden/>
              </w:rPr>
              <w:fldChar w:fldCharType="end"/>
            </w:r>
          </w:hyperlink>
        </w:p>
        <w:p w:rsidR="001B4626" w:rsidRDefault="001A0E7E">
          <w:pPr>
            <w:pStyle w:val="TOC3"/>
            <w:tabs>
              <w:tab w:val="right" w:leader="dot" w:pos="9062"/>
            </w:tabs>
            <w:rPr>
              <w:rFonts w:eastAsiaTheme="minorEastAsia"/>
              <w:noProof/>
              <w:lang w:eastAsia="en-GB"/>
            </w:rPr>
          </w:pPr>
          <w:hyperlink w:anchor="_Toc41286665" w:history="1">
            <w:r w:rsidR="001B4626" w:rsidRPr="00B90A85">
              <w:rPr>
                <w:rStyle w:val="Hyperlink"/>
                <w:rFonts w:ascii="Cambria" w:hAnsi="Cambria"/>
                <w:b/>
                <w:noProof/>
                <w:lang w:val="sr-Latn-ME"/>
              </w:rPr>
              <w:t>5.1 Spoljnje garancije</w:t>
            </w:r>
            <w:r w:rsidR="001B4626">
              <w:rPr>
                <w:noProof/>
                <w:webHidden/>
              </w:rPr>
              <w:tab/>
            </w:r>
            <w:r w:rsidR="001B4626">
              <w:rPr>
                <w:noProof/>
                <w:webHidden/>
              </w:rPr>
              <w:fldChar w:fldCharType="begin"/>
            </w:r>
            <w:r w:rsidR="001B4626">
              <w:rPr>
                <w:noProof/>
                <w:webHidden/>
              </w:rPr>
              <w:instrText xml:space="preserve"> PAGEREF _Toc41286665 \h </w:instrText>
            </w:r>
            <w:r w:rsidR="001B4626">
              <w:rPr>
                <w:noProof/>
                <w:webHidden/>
              </w:rPr>
            </w:r>
            <w:r w:rsidR="001B4626">
              <w:rPr>
                <w:noProof/>
                <w:webHidden/>
              </w:rPr>
              <w:fldChar w:fldCharType="separate"/>
            </w:r>
            <w:r w:rsidR="00250EF7">
              <w:rPr>
                <w:noProof/>
                <w:webHidden/>
              </w:rPr>
              <w:t>13</w:t>
            </w:r>
            <w:r w:rsidR="001B4626">
              <w:rPr>
                <w:noProof/>
                <w:webHidden/>
              </w:rPr>
              <w:fldChar w:fldCharType="end"/>
            </w:r>
          </w:hyperlink>
        </w:p>
        <w:p w:rsidR="001B4626" w:rsidRDefault="001A0E7E">
          <w:pPr>
            <w:pStyle w:val="TOC3"/>
            <w:tabs>
              <w:tab w:val="right" w:leader="dot" w:pos="9062"/>
            </w:tabs>
            <w:rPr>
              <w:rFonts w:eastAsiaTheme="minorEastAsia"/>
              <w:noProof/>
              <w:lang w:eastAsia="en-GB"/>
            </w:rPr>
          </w:pPr>
          <w:hyperlink w:anchor="_Toc41286666" w:history="1">
            <w:r w:rsidR="001B4626" w:rsidRPr="00B90A85">
              <w:rPr>
                <w:rStyle w:val="Hyperlink"/>
                <w:rFonts w:ascii="Cambria" w:hAnsi="Cambria"/>
                <w:b/>
                <w:noProof/>
                <w:lang w:val="sr-Latn-ME"/>
              </w:rPr>
              <w:t>5.2 Domaće garancije</w:t>
            </w:r>
            <w:r w:rsidR="001B4626">
              <w:rPr>
                <w:noProof/>
                <w:webHidden/>
              </w:rPr>
              <w:tab/>
            </w:r>
            <w:r w:rsidR="001B4626">
              <w:rPr>
                <w:noProof/>
                <w:webHidden/>
              </w:rPr>
              <w:fldChar w:fldCharType="begin"/>
            </w:r>
            <w:r w:rsidR="001B4626">
              <w:rPr>
                <w:noProof/>
                <w:webHidden/>
              </w:rPr>
              <w:instrText xml:space="preserve"> PAGEREF _Toc41286666 \h </w:instrText>
            </w:r>
            <w:r w:rsidR="001B4626">
              <w:rPr>
                <w:noProof/>
                <w:webHidden/>
              </w:rPr>
            </w:r>
            <w:r w:rsidR="001B4626">
              <w:rPr>
                <w:noProof/>
                <w:webHidden/>
              </w:rPr>
              <w:fldChar w:fldCharType="separate"/>
            </w:r>
            <w:r w:rsidR="00250EF7">
              <w:rPr>
                <w:noProof/>
                <w:webHidden/>
              </w:rPr>
              <w:t>15</w:t>
            </w:r>
            <w:r w:rsidR="001B4626">
              <w:rPr>
                <w:noProof/>
                <w:webHidden/>
              </w:rPr>
              <w:fldChar w:fldCharType="end"/>
            </w:r>
          </w:hyperlink>
        </w:p>
        <w:p w:rsidR="00773897" w:rsidRPr="00773897" w:rsidRDefault="00773897" w:rsidP="00773897">
          <w:pPr>
            <w:tabs>
              <w:tab w:val="right" w:leader="dot" w:pos="9062"/>
            </w:tabs>
            <w:spacing w:after="100" w:line="259" w:lineRule="auto"/>
            <w:ind w:left="440"/>
            <w:rPr>
              <w:rFonts w:ascii="Cambria" w:hAnsi="Cambria"/>
              <w:noProof/>
              <w:sz w:val="22"/>
              <w:szCs w:val="22"/>
              <w:lang w:val="en-GB" w:eastAsia="en-GB"/>
            </w:rPr>
          </w:pPr>
          <w:r w:rsidRPr="00773897">
            <w:rPr>
              <w:rFonts w:ascii="Cambria" w:eastAsia="Cambria" w:hAnsi="Cambria"/>
              <w:b/>
              <w:bCs/>
              <w:noProof/>
              <w:color w:val="418AB3"/>
              <w:sz w:val="22"/>
              <w:szCs w:val="22"/>
              <w:lang w:val="en-GB" w:eastAsia="en-US"/>
            </w:rPr>
            <w:fldChar w:fldCharType="end"/>
          </w:r>
        </w:p>
      </w:sdtContent>
    </w:sdt>
    <w:p w:rsidR="001B4626" w:rsidRDefault="00773897">
      <w:pPr>
        <w:pStyle w:val="TableofFigures"/>
        <w:tabs>
          <w:tab w:val="right" w:leader="dot" w:pos="9062"/>
        </w:tabs>
        <w:rPr>
          <w:rFonts w:eastAsiaTheme="minorEastAsia"/>
          <w:noProof/>
          <w:lang w:eastAsia="en-GB"/>
        </w:rPr>
      </w:pPr>
      <w:r w:rsidRPr="00773897">
        <w:rPr>
          <w:rFonts w:ascii="Cambria" w:eastAsia="Cambria" w:hAnsi="Cambria"/>
          <w:b/>
          <w:color w:val="418AB3"/>
          <w:sz w:val="36"/>
          <w:szCs w:val="36"/>
          <w:lang w:val="sr-Latn-RS"/>
        </w:rPr>
        <w:fldChar w:fldCharType="begin"/>
      </w:r>
      <w:r w:rsidRPr="00773897">
        <w:rPr>
          <w:rFonts w:ascii="Cambria" w:eastAsia="Cambria" w:hAnsi="Cambria"/>
          <w:b/>
          <w:color w:val="418AB3"/>
          <w:sz w:val="36"/>
          <w:szCs w:val="36"/>
          <w:lang w:val="sr-Latn-RS"/>
        </w:rPr>
        <w:instrText xml:space="preserve"> TOC \h \z \c "Table" </w:instrText>
      </w:r>
      <w:r w:rsidRPr="00773897">
        <w:rPr>
          <w:rFonts w:ascii="Cambria" w:eastAsia="Cambria" w:hAnsi="Cambria"/>
          <w:b/>
          <w:color w:val="418AB3"/>
          <w:sz w:val="36"/>
          <w:szCs w:val="36"/>
          <w:lang w:val="sr-Latn-RS"/>
        </w:rPr>
        <w:fldChar w:fldCharType="separate"/>
      </w:r>
      <w:hyperlink w:anchor="_Toc41286667" w:history="1">
        <w:r w:rsidR="001B4626" w:rsidRPr="00DD55D9">
          <w:rPr>
            <w:rStyle w:val="Hyperlink"/>
            <w:rFonts w:ascii="Cambria" w:hAnsi="Cambria"/>
            <w:b/>
            <w:noProof/>
            <w:lang w:val="sr-Latn-ME"/>
          </w:rPr>
          <w:t>Tabela 1 Stanje duga na dan 31.12.2019. godine</w:t>
        </w:r>
        <w:r w:rsidR="001B4626">
          <w:rPr>
            <w:noProof/>
            <w:webHidden/>
          </w:rPr>
          <w:tab/>
        </w:r>
        <w:r w:rsidR="001B4626">
          <w:rPr>
            <w:noProof/>
            <w:webHidden/>
          </w:rPr>
          <w:fldChar w:fldCharType="begin"/>
        </w:r>
        <w:r w:rsidR="001B4626">
          <w:rPr>
            <w:noProof/>
            <w:webHidden/>
          </w:rPr>
          <w:instrText xml:space="preserve"> PAGEREF _Toc41286667 \h </w:instrText>
        </w:r>
        <w:r w:rsidR="001B4626">
          <w:rPr>
            <w:noProof/>
            <w:webHidden/>
          </w:rPr>
        </w:r>
        <w:r w:rsidR="001B4626">
          <w:rPr>
            <w:noProof/>
            <w:webHidden/>
          </w:rPr>
          <w:fldChar w:fldCharType="separate"/>
        </w:r>
        <w:r w:rsidR="00250EF7">
          <w:rPr>
            <w:noProof/>
            <w:webHidden/>
          </w:rPr>
          <w:t>4</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68" w:history="1">
        <w:r w:rsidR="001B4626" w:rsidRPr="00DD55D9">
          <w:rPr>
            <w:rStyle w:val="Hyperlink"/>
            <w:rFonts w:ascii="Cambria" w:hAnsi="Cambria"/>
            <w:b/>
            <w:noProof/>
            <w:lang w:val="sr-Latn-ME"/>
          </w:rPr>
          <w:t>Tabela 2 Najveći ino kreditori u 2019. godini</w:t>
        </w:r>
        <w:r w:rsidR="001B4626">
          <w:rPr>
            <w:noProof/>
            <w:webHidden/>
          </w:rPr>
          <w:tab/>
        </w:r>
        <w:r w:rsidR="001B4626">
          <w:rPr>
            <w:noProof/>
            <w:webHidden/>
          </w:rPr>
          <w:fldChar w:fldCharType="begin"/>
        </w:r>
        <w:r w:rsidR="001B4626">
          <w:rPr>
            <w:noProof/>
            <w:webHidden/>
          </w:rPr>
          <w:instrText xml:space="preserve"> PAGEREF _Toc41286668 \h </w:instrText>
        </w:r>
        <w:r w:rsidR="001B4626">
          <w:rPr>
            <w:noProof/>
            <w:webHidden/>
          </w:rPr>
        </w:r>
        <w:r w:rsidR="001B4626">
          <w:rPr>
            <w:noProof/>
            <w:webHidden/>
          </w:rPr>
          <w:fldChar w:fldCharType="separate"/>
        </w:r>
        <w:r w:rsidR="00250EF7">
          <w:rPr>
            <w:noProof/>
            <w:webHidden/>
          </w:rPr>
          <w:t>6</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69" w:history="1">
        <w:r w:rsidR="001B4626" w:rsidRPr="00DD55D9">
          <w:rPr>
            <w:rStyle w:val="Hyperlink"/>
            <w:rFonts w:ascii="Cambria" w:hAnsi="Cambria"/>
            <w:b/>
            <w:noProof/>
            <w:lang w:val="sr-Latn-ME"/>
          </w:rPr>
          <w:t>Tabela 3 Najveće obaveze za domaći dug, na kraju  2019. godine</w:t>
        </w:r>
        <w:r w:rsidR="001B4626">
          <w:rPr>
            <w:noProof/>
            <w:webHidden/>
          </w:rPr>
          <w:tab/>
        </w:r>
        <w:r w:rsidR="001B4626">
          <w:rPr>
            <w:noProof/>
            <w:webHidden/>
          </w:rPr>
          <w:fldChar w:fldCharType="begin"/>
        </w:r>
        <w:r w:rsidR="001B4626">
          <w:rPr>
            <w:noProof/>
            <w:webHidden/>
          </w:rPr>
          <w:instrText xml:space="preserve"> PAGEREF _Toc41286669 \h </w:instrText>
        </w:r>
        <w:r w:rsidR="001B4626">
          <w:rPr>
            <w:noProof/>
            <w:webHidden/>
          </w:rPr>
        </w:r>
        <w:r w:rsidR="001B4626">
          <w:rPr>
            <w:noProof/>
            <w:webHidden/>
          </w:rPr>
          <w:fldChar w:fldCharType="separate"/>
        </w:r>
        <w:r w:rsidR="00250EF7">
          <w:rPr>
            <w:noProof/>
            <w:webHidden/>
          </w:rPr>
          <w:t>8</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70" w:history="1">
        <w:r w:rsidR="001B4626" w:rsidRPr="00DD55D9">
          <w:rPr>
            <w:rStyle w:val="Hyperlink"/>
            <w:rFonts w:ascii="Cambria" w:hAnsi="Cambria"/>
            <w:b/>
            <w:noProof/>
            <w:lang w:val="sr-Latn-ME"/>
          </w:rPr>
          <w:t>Tabela 4 Servisiranje državnog duga u 2019. godini u mil. eura</w:t>
        </w:r>
        <w:r w:rsidR="001B4626">
          <w:rPr>
            <w:noProof/>
            <w:webHidden/>
          </w:rPr>
          <w:tab/>
        </w:r>
        <w:r w:rsidR="001B4626">
          <w:rPr>
            <w:noProof/>
            <w:webHidden/>
          </w:rPr>
          <w:fldChar w:fldCharType="begin"/>
        </w:r>
        <w:r w:rsidR="001B4626">
          <w:rPr>
            <w:noProof/>
            <w:webHidden/>
          </w:rPr>
          <w:instrText xml:space="preserve"> PAGEREF _Toc41286670 \h </w:instrText>
        </w:r>
        <w:r w:rsidR="001B4626">
          <w:rPr>
            <w:noProof/>
            <w:webHidden/>
          </w:rPr>
        </w:r>
        <w:r w:rsidR="001B4626">
          <w:rPr>
            <w:noProof/>
            <w:webHidden/>
          </w:rPr>
          <w:fldChar w:fldCharType="separate"/>
        </w:r>
        <w:r w:rsidR="00250EF7">
          <w:rPr>
            <w:noProof/>
            <w:webHidden/>
          </w:rPr>
          <w:t>10</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71" w:history="1">
        <w:r w:rsidR="001B4626" w:rsidRPr="00DD55D9">
          <w:rPr>
            <w:rStyle w:val="Hyperlink"/>
            <w:rFonts w:ascii="Cambria" w:hAnsi="Cambria"/>
            <w:b/>
            <w:noProof/>
            <w:lang w:val="sr-Latn-ME"/>
          </w:rPr>
          <w:t>Tabela 5 Konsolidovani dug lokalne samouprave u mil.eura</w:t>
        </w:r>
        <w:r w:rsidR="001B4626">
          <w:rPr>
            <w:noProof/>
            <w:webHidden/>
          </w:rPr>
          <w:tab/>
        </w:r>
        <w:r w:rsidR="001B4626">
          <w:rPr>
            <w:noProof/>
            <w:webHidden/>
          </w:rPr>
          <w:fldChar w:fldCharType="begin"/>
        </w:r>
        <w:r w:rsidR="001B4626">
          <w:rPr>
            <w:noProof/>
            <w:webHidden/>
          </w:rPr>
          <w:instrText xml:space="preserve"> PAGEREF _Toc41286671 \h </w:instrText>
        </w:r>
        <w:r w:rsidR="001B4626">
          <w:rPr>
            <w:noProof/>
            <w:webHidden/>
          </w:rPr>
        </w:r>
        <w:r w:rsidR="001B4626">
          <w:rPr>
            <w:noProof/>
            <w:webHidden/>
          </w:rPr>
          <w:fldChar w:fldCharType="separate"/>
        </w:r>
        <w:r w:rsidR="00250EF7">
          <w:rPr>
            <w:noProof/>
            <w:webHidden/>
          </w:rPr>
          <w:t>11</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72" w:history="1">
        <w:r w:rsidR="001B4626" w:rsidRPr="00DD55D9">
          <w:rPr>
            <w:rStyle w:val="Hyperlink"/>
            <w:rFonts w:ascii="Cambria" w:hAnsi="Cambria"/>
            <w:b/>
            <w:noProof/>
            <w:lang w:val="sr-Latn-ME"/>
          </w:rPr>
          <w:t>Tabela 6 Spoljne garancije u mil.eura</w:t>
        </w:r>
        <w:r w:rsidR="001B4626">
          <w:rPr>
            <w:noProof/>
            <w:webHidden/>
          </w:rPr>
          <w:tab/>
        </w:r>
        <w:r w:rsidR="001B4626">
          <w:rPr>
            <w:noProof/>
            <w:webHidden/>
          </w:rPr>
          <w:fldChar w:fldCharType="begin"/>
        </w:r>
        <w:r w:rsidR="001B4626">
          <w:rPr>
            <w:noProof/>
            <w:webHidden/>
          </w:rPr>
          <w:instrText xml:space="preserve"> PAGEREF _Toc41286672 \h </w:instrText>
        </w:r>
        <w:r w:rsidR="001B4626">
          <w:rPr>
            <w:noProof/>
            <w:webHidden/>
          </w:rPr>
        </w:r>
        <w:r w:rsidR="001B4626">
          <w:rPr>
            <w:noProof/>
            <w:webHidden/>
          </w:rPr>
          <w:fldChar w:fldCharType="separate"/>
        </w:r>
        <w:r w:rsidR="00250EF7">
          <w:rPr>
            <w:noProof/>
            <w:webHidden/>
          </w:rPr>
          <w:t>13</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73" w:history="1">
        <w:r w:rsidR="001B4626" w:rsidRPr="00DD55D9">
          <w:rPr>
            <w:rStyle w:val="Hyperlink"/>
            <w:rFonts w:ascii="Cambria" w:hAnsi="Cambria"/>
            <w:b/>
            <w:noProof/>
            <w:lang w:val="sr-Latn-ME"/>
          </w:rPr>
          <w:t>Tabela 7 Domaće garancije u mil.eura</w:t>
        </w:r>
        <w:r w:rsidR="001B4626">
          <w:rPr>
            <w:noProof/>
            <w:webHidden/>
          </w:rPr>
          <w:tab/>
        </w:r>
        <w:r w:rsidR="001B4626">
          <w:rPr>
            <w:noProof/>
            <w:webHidden/>
          </w:rPr>
          <w:fldChar w:fldCharType="begin"/>
        </w:r>
        <w:r w:rsidR="001B4626">
          <w:rPr>
            <w:noProof/>
            <w:webHidden/>
          </w:rPr>
          <w:instrText xml:space="preserve"> PAGEREF _Toc41286673 \h </w:instrText>
        </w:r>
        <w:r w:rsidR="001B4626">
          <w:rPr>
            <w:noProof/>
            <w:webHidden/>
          </w:rPr>
        </w:r>
        <w:r w:rsidR="001B4626">
          <w:rPr>
            <w:noProof/>
            <w:webHidden/>
          </w:rPr>
          <w:fldChar w:fldCharType="separate"/>
        </w:r>
        <w:r w:rsidR="00250EF7">
          <w:rPr>
            <w:noProof/>
            <w:webHidden/>
          </w:rPr>
          <w:t>15</w:t>
        </w:r>
        <w:r w:rsidR="001B4626">
          <w:rPr>
            <w:noProof/>
            <w:webHidden/>
          </w:rPr>
          <w:fldChar w:fldCharType="end"/>
        </w:r>
      </w:hyperlink>
    </w:p>
    <w:p w:rsidR="00773897" w:rsidRPr="00773897" w:rsidRDefault="00773897" w:rsidP="00773897">
      <w:pPr>
        <w:spacing w:after="160" w:line="259" w:lineRule="auto"/>
        <w:rPr>
          <w:rFonts w:ascii="Cambria" w:eastAsia="Cambria" w:hAnsi="Cambria"/>
          <w:b/>
          <w:color w:val="418AB3"/>
          <w:sz w:val="36"/>
          <w:szCs w:val="36"/>
          <w:lang w:val="sr-Latn-RS" w:eastAsia="en-US"/>
        </w:rPr>
      </w:pPr>
      <w:r w:rsidRPr="00773897">
        <w:rPr>
          <w:rFonts w:ascii="Cambria" w:eastAsia="Cambria" w:hAnsi="Cambria"/>
          <w:b/>
          <w:color w:val="418AB3"/>
          <w:sz w:val="36"/>
          <w:szCs w:val="36"/>
          <w:lang w:val="sr-Latn-RS" w:eastAsia="en-US"/>
        </w:rPr>
        <w:fldChar w:fldCharType="end"/>
      </w:r>
    </w:p>
    <w:p w:rsidR="001B4626" w:rsidRDefault="00773897">
      <w:pPr>
        <w:pStyle w:val="TableofFigures"/>
        <w:tabs>
          <w:tab w:val="left" w:pos="4387"/>
          <w:tab w:val="right" w:leader="dot" w:pos="9062"/>
        </w:tabs>
        <w:rPr>
          <w:rFonts w:eastAsiaTheme="minorEastAsia"/>
          <w:noProof/>
          <w:lang w:eastAsia="en-GB"/>
        </w:rPr>
      </w:pPr>
      <w:r w:rsidRPr="00773897">
        <w:rPr>
          <w:rFonts w:ascii="Cambria" w:eastAsia="Cambria" w:hAnsi="Cambria"/>
          <w:b/>
          <w:color w:val="418AB3"/>
          <w:sz w:val="36"/>
          <w:szCs w:val="36"/>
          <w:lang w:val="sr-Latn-RS"/>
        </w:rPr>
        <w:fldChar w:fldCharType="begin"/>
      </w:r>
      <w:r w:rsidRPr="00773897">
        <w:rPr>
          <w:rFonts w:ascii="Cambria" w:eastAsia="Cambria" w:hAnsi="Cambria"/>
          <w:b/>
          <w:color w:val="418AB3"/>
          <w:sz w:val="36"/>
          <w:szCs w:val="36"/>
          <w:lang w:val="sr-Latn-RS"/>
        </w:rPr>
        <w:instrText xml:space="preserve"> TOC \h \z \c "Figure" </w:instrText>
      </w:r>
      <w:r w:rsidRPr="00773897">
        <w:rPr>
          <w:rFonts w:ascii="Cambria" w:eastAsia="Cambria" w:hAnsi="Cambria"/>
          <w:b/>
          <w:color w:val="418AB3"/>
          <w:sz w:val="36"/>
          <w:szCs w:val="36"/>
          <w:lang w:val="sr-Latn-RS"/>
        </w:rPr>
        <w:fldChar w:fldCharType="separate"/>
      </w:r>
      <w:hyperlink w:anchor="_Toc41286674" w:history="1">
        <w:r w:rsidR="001B4626" w:rsidRPr="00405BF2">
          <w:rPr>
            <w:rStyle w:val="Hyperlink"/>
            <w:rFonts w:ascii="Cambria" w:hAnsi="Cambria"/>
            <w:b/>
            <w:noProof/>
            <w:lang w:val="sr-Latn-ME"/>
          </w:rPr>
          <w:t xml:space="preserve">Grafik 1 Kretanje državnog i javnog duga </w:t>
        </w:r>
        <w:r w:rsidR="001B4626">
          <w:rPr>
            <w:rFonts w:eastAsiaTheme="minorEastAsia"/>
            <w:noProof/>
            <w:lang w:eastAsia="en-GB"/>
          </w:rPr>
          <w:tab/>
        </w:r>
        <w:r w:rsidR="001B4626" w:rsidRPr="00405BF2">
          <w:rPr>
            <w:rStyle w:val="Hyperlink"/>
            <w:rFonts w:ascii="Cambria" w:hAnsi="Cambria"/>
            <w:b/>
            <w:noProof/>
            <w:lang w:val="sr-Latn-ME"/>
          </w:rPr>
          <w:t xml:space="preserve">  Grafik 2</w:t>
        </w:r>
        <w:r w:rsidR="001B4626" w:rsidRPr="00405BF2">
          <w:rPr>
            <w:rStyle w:val="Hyperlink"/>
            <w:rFonts w:ascii="Cambria" w:eastAsia="Cambria" w:hAnsi="Cambria"/>
            <w:b/>
            <w:bCs/>
            <w:smallCaps/>
            <w:noProof/>
          </w:rPr>
          <w:t xml:space="preserve"> </w:t>
        </w:r>
        <w:r w:rsidR="001B4626" w:rsidRPr="00405BF2">
          <w:rPr>
            <w:rStyle w:val="Hyperlink"/>
            <w:rFonts w:ascii="Cambria" w:hAnsi="Cambria"/>
            <w:b/>
            <w:noProof/>
            <w:lang w:val="sr-Latn-ME"/>
          </w:rPr>
          <w:t>Neto državni i javni dug</w:t>
        </w:r>
        <w:r w:rsidR="001B4626">
          <w:rPr>
            <w:noProof/>
            <w:webHidden/>
          </w:rPr>
          <w:tab/>
        </w:r>
        <w:r w:rsidR="001B4626">
          <w:rPr>
            <w:noProof/>
            <w:webHidden/>
          </w:rPr>
          <w:fldChar w:fldCharType="begin"/>
        </w:r>
        <w:r w:rsidR="001B4626">
          <w:rPr>
            <w:noProof/>
            <w:webHidden/>
          </w:rPr>
          <w:instrText xml:space="preserve"> PAGEREF _Toc41286674 \h </w:instrText>
        </w:r>
        <w:r w:rsidR="001B4626">
          <w:rPr>
            <w:noProof/>
            <w:webHidden/>
          </w:rPr>
        </w:r>
        <w:r w:rsidR="001B4626">
          <w:rPr>
            <w:noProof/>
            <w:webHidden/>
          </w:rPr>
          <w:fldChar w:fldCharType="separate"/>
        </w:r>
        <w:r w:rsidR="00250EF7">
          <w:rPr>
            <w:noProof/>
            <w:webHidden/>
          </w:rPr>
          <w:t>3</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75" w:history="1">
        <w:r w:rsidR="001B4626" w:rsidRPr="00405BF2">
          <w:rPr>
            <w:rStyle w:val="Hyperlink"/>
            <w:rFonts w:ascii="Cambria" w:hAnsi="Cambria"/>
            <w:b/>
            <w:noProof/>
            <w:lang w:val="sr-Latn-ME"/>
          </w:rPr>
          <w:t>Grafik 3 Odnos spoljnjeg i domaćeg duga</w:t>
        </w:r>
        <w:r w:rsidR="001B4626">
          <w:rPr>
            <w:noProof/>
            <w:webHidden/>
          </w:rPr>
          <w:tab/>
        </w:r>
        <w:r w:rsidR="001B4626">
          <w:rPr>
            <w:noProof/>
            <w:webHidden/>
          </w:rPr>
          <w:fldChar w:fldCharType="begin"/>
        </w:r>
        <w:r w:rsidR="001B4626">
          <w:rPr>
            <w:noProof/>
            <w:webHidden/>
          </w:rPr>
          <w:instrText xml:space="preserve"> PAGEREF _Toc41286675 \h </w:instrText>
        </w:r>
        <w:r w:rsidR="001B4626">
          <w:rPr>
            <w:noProof/>
            <w:webHidden/>
          </w:rPr>
        </w:r>
        <w:r w:rsidR="001B4626">
          <w:rPr>
            <w:noProof/>
            <w:webHidden/>
          </w:rPr>
          <w:fldChar w:fldCharType="separate"/>
        </w:r>
        <w:r w:rsidR="00250EF7">
          <w:rPr>
            <w:noProof/>
            <w:webHidden/>
          </w:rPr>
          <w:t>5</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76" w:history="1">
        <w:r w:rsidR="001B4626" w:rsidRPr="00405BF2">
          <w:rPr>
            <w:rStyle w:val="Hyperlink"/>
            <w:rFonts w:ascii="Cambria" w:hAnsi="Cambria"/>
            <w:b/>
            <w:noProof/>
            <w:lang w:val="sr-Latn-ME"/>
          </w:rPr>
          <w:t>Grafik 4 Valutna struktura državnog duga</w:t>
        </w:r>
        <w:r w:rsidR="001B4626">
          <w:rPr>
            <w:noProof/>
            <w:webHidden/>
          </w:rPr>
          <w:tab/>
        </w:r>
        <w:r w:rsidR="001B4626">
          <w:rPr>
            <w:noProof/>
            <w:webHidden/>
          </w:rPr>
          <w:fldChar w:fldCharType="begin"/>
        </w:r>
        <w:r w:rsidR="001B4626">
          <w:rPr>
            <w:noProof/>
            <w:webHidden/>
          </w:rPr>
          <w:instrText xml:space="preserve"> PAGEREF _Toc41286676 \h </w:instrText>
        </w:r>
        <w:r w:rsidR="001B4626">
          <w:rPr>
            <w:noProof/>
            <w:webHidden/>
          </w:rPr>
        </w:r>
        <w:r w:rsidR="001B4626">
          <w:rPr>
            <w:noProof/>
            <w:webHidden/>
          </w:rPr>
          <w:fldChar w:fldCharType="separate"/>
        </w:r>
        <w:r w:rsidR="00250EF7">
          <w:rPr>
            <w:noProof/>
            <w:webHidden/>
          </w:rPr>
          <w:t>5</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77" w:history="1">
        <w:r w:rsidR="001B4626" w:rsidRPr="00405BF2">
          <w:rPr>
            <w:rStyle w:val="Hyperlink"/>
            <w:rFonts w:ascii="Cambria" w:hAnsi="Cambria"/>
            <w:b/>
            <w:noProof/>
            <w:lang w:val="sr-Latn-ME"/>
          </w:rPr>
          <w:t>Grafik 5 Kamatna struktura državnog duga</w:t>
        </w:r>
        <w:r w:rsidR="001B4626">
          <w:rPr>
            <w:noProof/>
            <w:webHidden/>
          </w:rPr>
          <w:tab/>
        </w:r>
        <w:r w:rsidR="001B4626">
          <w:rPr>
            <w:noProof/>
            <w:webHidden/>
          </w:rPr>
          <w:fldChar w:fldCharType="begin"/>
        </w:r>
        <w:r w:rsidR="001B4626">
          <w:rPr>
            <w:noProof/>
            <w:webHidden/>
          </w:rPr>
          <w:instrText xml:space="preserve"> PAGEREF _Toc41286677 \h </w:instrText>
        </w:r>
        <w:r w:rsidR="001B4626">
          <w:rPr>
            <w:noProof/>
            <w:webHidden/>
          </w:rPr>
        </w:r>
        <w:r w:rsidR="001B4626">
          <w:rPr>
            <w:noProof/>
            <w:webHidden/>
          </w:rPr>
          <w:fldChar w:fldCharType="separate"/>
        </w:r>
        <w:r w:rsidR="00250EF7">
          <w:rPr>
            <w:noProof/>
            <w:webHidden/>
          </w:rPr>
          <w:t>6</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78" w:history="1">
        <w:r w:rsidR="001B4626" w:rsidRPr="00405BF2">
          <w:rPr>
            <w:rStyle w:val="Hyperlink"/>
            <w:rFonts w:ascii="Cambria" w:hAnsi="Cambria"/>
            <w:b/>
            <w:noProof/>
            <w:lang w:val="sr-Latn-ME"/>
          </w:rPr>
          <w:t>Grafik 6 Kretanje realne podnerisane prosječne kamatne stope u periodu 2014-2019.god.</w:t>
        </w:r>
        <w:r w:rsidR="001B4626">
          <w:rPr>
            <w:noProof/>
            <w:webHidden/>
          </w:rPr>
          <w:tab/>
        </w:r>
        <w:r w:rsidR="001B4626">
          <w:rPr>
            <w:noProof/>
            <w:webHidden/>
          </w:rPr>
          <w:fldChar w:fldCharType="begin"/>
        </w:r>
        <w:r w:rsidR="001B4626">
          <w:rPr>
            <w:noProof/>
            <w:webHidden/>
          </w:rPr>
          <w:instrText xml:space="preserve"> PAGEREF _Toc41286678 \h </w:instrText>
        </w:r>
        <w:r w:rsidR="001B4626">
          <w:rPr>
            <w:noProof/>
            <w:webHidden/>
          </w:rPr>
        </w:r>
        <w:r w:rsidR="001B4626">
          <w:rPr>
            <w:noProof/>
            <w:webHidden/>
          </w:rPr>
          <w:fldChar w:fldCharType="separate"/>
        </w:r>
        <w:r w:rsidR="00250EF7">
          <w:rPr>
            <w:noProof/>
            <w:webHidden/>
          </w:rPr>
          <w:t>6</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79" w:history="1">
        <w:r w:rsidR="001B4626" w:rsidRPr="00405BF2">
          <w:rPr>
            <w:rStyle w:val="Hyperlink"/>
            <w:rFonts w:ascii="Cambria" w:hAnsi="Cambria"/>
            <w:b/>
            <w:noProof/>
            <w:lang w:val="sr-Latn-ME"/>
          </w:rPr>
          <w:t>Grafik 7 Stanje nepovučenih sredstava, u mil. eura</w:t>
        </w:r>
        <w:r w:rsidR="001B4626">
          <w:rPr>
            <w:noProof/>
            <w:webHidden/>
          </w:rPr>
          <w:tab/>
        </w:r>
        <w:r w:rsidR="001B4626">
          <w:rPr>
            <w:noProof/>
            <w:webHidden/>
          </w:rPr>
          <w:fldChar w:fldCharType="begin"/>
        </w:r>
        <w:r w:rsidR="001B4626">
          <w:rPr>
            <w:noProof/>
            <w:webHidden/>
          </w:rPr>
          <w:instrText xml:space="preserve"> PAGEREF _Toc41286679 \h </w:instrText>
        </w:r>
        <w:r w:rsidR="001B4626">
          <w:rPr>
            <w:noProof/>
            <w:webHidden/>
          </w:rPr>
        </w:r>
        <w:r w:rsidR="001B4626">
          <w:rPr>
            <w:noProof/>
            <w:webHidden/>
          </w:rPr>
          <w:fldChar w:fldCharType="separate"/>
        </w:r>
        <w:r w:rsidR="00250EF7">
          <w:rPr>
            <w:noProof/>
            <w:webHidden/>
          </w:rPr>
          <w:t>7</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80" w:history="1">
        <w:r w:rsidR="001B4626" w:rsidRPr="001B4626">
          <w:rPr>
            <w:rStyle w:val="Hyperlink"/>
            <w:rFonts w:ascii="Cambria" w:hAnsi="Cambria"/>
            <w:b/>
            <w:noProof/>
            <w:lang w:val="sr-Latn-ME"/>
          </w:rPr>
          <w:t>Grafik 8 Struktura unutrašnjeg duga</w:t>
        </w:r>
        <w:r w:rsidR="001B4626">
          <w:rPr>
            <w:noProof/>
            <w:webHidden/>
          </w:rPr>
          <w:tab/>
        </w:r>
        <w:r w:rsidR="001B4626">
          <w:rPr>
            <w:noProof/>
            <w:webHidden/>
          </w:rPr>
          <w:fldChar w:fldCharType="begin"/>
        </w:r>
        <w:r w:rsidR="001B4626">
          <w:rPr>
            <w:noProof/>
            <w:webHidden/>
          </w:rPr>
          <w:instrText xml:space="preserve"> PAGEREF _Toc41286680 \h </w:instrText>
        </w:r>
        <w:r w:rsidR="001B4626">
          <w:rPr>
            <w:noProof/>
            <w:webHidden/>
          </w:rPr>
        </w:r>
        <w:r w:rsidR="001B4626">
          <w:rPr>
            <w:noProof/>
            <w:webHidden/>
          </w:rPr>
          <w:fldChar w:fldCharType="separate"/>
        </w:r>
        <w:r w:rsidR="00250EF7">
          <w:rPr>
            <w:noProof/>
            <w:webHidden/>
          </w:rPr>
          <w:t>9</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81" w:history="1">
        <w:r w:rsidR="001B4626" w:rsidRPr="00405BF2">
          <w:rPr>
            <w:rStyle w:val="Hyperlink"/>
            <w:rFonts w:ascii="Cambria" w:hAnsi="Cambria"/>
            <w:b/>
            <w:noProof/>
            <w:lang w:val="sr-Latn-ME"/>
          </w:rPr>
          <w:t>Grafik 9 Odnos konsolidovanog unutrašnjeg i spoljnjeg duga lokalne samouprave</w:t>
        </w:r>
        <w:r w:rsidR="001B4626">
          <w:rPr>
            <w:noProof/>
            <w:webHidden/>
          </w:rPr>
          <w:tab/>
        </w:r>
        <w:r w:rsidR="001B4626">
          <w:rPr>
            <w:noProof/>
            <w:webHidden/>
          </w:rPr>
          <w:fldChar w:fldCharType="begin"/>
        </w:r>
        <w:r w:rsidR="001B4626">
          <w:rPr>
            <w:noProof/>
            <w:webHidden/>
          </w:rPr>
          <w:instrText xml:space="preserve"> PAGEREF _Toc41286681 \h </w:instrText>
        </w:r>
        <w:r w:rsidR="001B4626">
          <w:rPr>
            <w:noProof/>
            <w:webHidden/>
          </w:rPr>
        </w:r>
        <w:r w:rsidR="001B4626">
          <w:rPr>
            <w:noProof/>
            <w:webHidden/>
          </w:rPr>
          <w:fldChar w:fldCharType="separate"/>
        </w:r>
        <w:r w:rsidR="00250EF7">
          <w:rPr>
            <w:noProof/>
            <w:webHidden/>
          </w:rPr>
          <w:t>12</w:t>
        </w:r>
        <w:r w:rsidR="001B4626">
          <w:rPr>
            <w:noProof/>
            <w:webHidden/>
          </w:rPr>
          <w:fldChar w:fldCharType="end"/>
        </w:r>
      </w:hyperlink>
    </w:p>
    <w:p w:rsidR="001B4626" w:rsidRDefault="001A0E7E">
      <w:pPr>
        <w:pStyle w:val="TableofFigures"/>
        <w:tabs>
          <w:tab w:val="right" w:leader="dot" w:pos="9062"/>
        </w:tabs>
        <w:rPr>
          <w:rFonts w:eastAsiaTheme="minorEastAsia"/>
          <w:noProof/>
          <w:lang w:eastAsia="en-GB"/>
        </w:rPr>
      </w:pPr>
      <w:hyperlink w:anchor="_Toc41286682" w:history="1">
        <w:r w:rsidR="001B4626" w:rsidRPr="00405BF2">
          <w:rPr>
            <w:rStyle w:val="Hyperlink"/>
            <w:rFonts w:ascii="Cambria" w:hAnsi="Cambria"/>
            <w:b/>
            <w:noProof/>
            <w:lang w:val="sr-Latn-ME"/>
          </w:rPr>
          <w:t>Grafik 10 Državne garancije u mil. Eura</w:t>
        </w:r>
        <w:r w:rsidR="001B4626">
          <w:rPr>
            <w:noProof/>
            <w:webHidden/>
          </w:rPr>
          <w:tab/>
        </w:r>
        <w:r w:rsidR="001B4626">
          <w:rPr>
            <w:noProof/>
            <w:webHidden/>
          </w:rPr>
          <w:fldChar w:fldCharType="begin"/>
        </w:r>
        <w:r w:rsidR="001B4626">
          <w:rPr>
            <w:noProof/>
            <w:webHidden/>
          </w:rPr>
          <w:instrText xml:space="preserve"> PAGEREF _Toc41286682 \h </w:instrText>
        </w:r>
        <w:r w:rsidR="001B4626">
          <w:rPr>
            <w:noProof/>
            <w:webHidden/>
          </w:rPr>
        </w:r>
        <w:r w:rsidR="001B4626">
          <w:rPr>
            <w:noProof/>
            <w:webHidden/>
          </w:rPr>
          <w:fldChar w:fldCharType="separate"/>
        </w:r>
        <w:r w:rsidR="00250EF7">
          <w:rPr>
            <w:noProof/>
            <w:webHidden/>
          </w:rPr>
          <w:t>12</w:t>
        </w:r>
        <w:r w:rsidR="001B4626">
          <w:rPr>
            <w:noProof/>
            <w:webHidden/>
          </w:rPr>
          <w:fldChar w:fldCharType="end"/>
        </w:r>
      </w:hyperlink>
    </w:p>
    <w:p w:rsidR="00773897" w:rsidRPr="00773897" w:rsidRDefault="00773897" w:rsidP="00773897">
      <w:pPr>
        <w:spacing w:after="160" w:line="259" w:lineRule="auto"/>
        <w:rPr>
          <w:rFonts w:ascii="Cambria" w:eastAsia="Cambria" w:hAnsi="Cambria"/>
          <w:b/>
          <w:sz w:val="36"/>
          <w:szCs w:val="36"/>
          <w:lang w:val="sr-Latn-RS" w:eastAsia="en-US"/>
        </w:rPr>
      </w:pPr>
      <w:r w:rsidRPr="00773897">
        <w:rPr>
          <w:rFonts w:ascii="Cambria" w:eastAsia="Cambria" w:hAnsi="Cambria"/>
          <w:b/>
          <w:color w:val="418AB3"/>
          <w:sz w:val="36"/>
          <w:szCs w:val="36"/>
          <w:lang w:val="sr-Latn-RS" w:eastAsia="en-US"/>
        </w:rPr>
        <w:fldChar w:fldCharType="end"/>
      </w:r>
    </w:p>
    <w:p w:rsidR="00773897" w:rsidRPr="00773897" w:rsidRDefault="00773897" w:rsidP="00773897">
      <w:pPr>
        <w:spacing w:after="160" w:line="259" w:lineRule="auto"/>
        <w:rPr>
          <w:rFonts w:ascii="Cambria" w:eastAsia="Cambria" w:hAnsi="Cambria"/>
          <w:b/>
          <w:sz w:val="36"/>
          <w:szCs w:val="36"/>
          <w:lang w:val="sr-Latn-RS" w:eastAsia="en-US"/>
        </w:rPr>
      </w:pPr>
    </w:p>
    <w:p w:rsidR="00773897" w:rsidRPr="00773897" w:rsidRDefault="00773897" w:rsidP="00773897">
      <w:pPr>
        <w:spacing w:after="160" w:line="259" w:lineRule="auto"/>
        <w:rPr>
          <w:rFonts w:ascii="Cambria" w:eastAsia="Cambria" w:hAnsi="Cambria"/>
          <w:b/>
          <w:sz w:val="36"/>
          <w:szCs w:val="36"/>
          <w:lang w:val="sr-Latn-RS" w:eastAsia="en-US"/>
        </w:rPr>
      </w:pPr>
    </w:p>
    <w:p w:rsidR="00773897" w:rsidRPr="00773897" w:rsidRDefault="00773897" w:rsidP="00773897">
      <w:pPr>
        <w:spacing w:after="160" w:line="259" w:lineRule="auto"/>
        <w:rPr>
          <w:rFonts w:ascii="Cambria" w:eastAsia="Cambria" w:hAnsi="Cambria"/>
          <w:b/>
          <w:sz w:val="36"/>
          <w:szCs w:val="36"/>
          <w:lang w:val="sr-Latn-RS" w:eastAsia="en-US"/>
        </w:rPr>
      </w:pPr>
    </w:p>
    <w:p w:rsidR="00773897" w:rsidRPr="00773897" w:rsidRDefault="00773897" w:rsidP="00773897">
      <w:pPr>
        <w:spacing w:after="160" w:line="259" w:lineRule="auto"/>
        <w:rPr>
          <w:rFonts w:ascii="Cambria" w:eastAsia="Cambria" w:hAnsi="Cambria"/>
          <w:b/>
          <w:sz w:val="36"/>
          <w:szCs w:val="36"/>
          <w:lang w:val="sr-Latn-RS" w:eastAsia="en-US"/>
        </w:rPr>
      </w:pPr>
    </w:p>
    <w:p w:rsidR="00773897" w:rsidRPr="00773897" w:rsidRDefault="00773897" w:rsidP="00773897">
      <w:pPr>
        <w:spacing w:after="160" w:line="259" w:lineRule="auto"/>
        <w:rPr>
          <w:rFonts w:ascii="Cambria" w:eastAsia="Cambria" w:hAnsi="Cambria"/>
          <w:b/>
          <w:sz w:val="36"/>
          <w:szCs w:val="36"/>
          <w:lang w:val="sr-Latn-RS" w:eastAsia="en-US"/>
        </w:rPr>
      </w:pPr>
    </w:p>
    <w:p w:rsidR="00773897" w:rsidRPr="00773897" w:rsidRDefault="00773897" w:rsidP="00773897">
      <w:pPr>
        <w:keepNext/>
        <w:keepLines/>
        <w:spacing w:before="40" w:line="259" w:lineRule="auto"/>
        <w:outlineLvl w:val="1"/>
        <w:rPr>
          <w:rFonts w:ascii="Cambria" w:hAnsi="Cambria"/>
          <w:b/>
          <w:color w:val="418AB3"/>
          <w:lang w:val="sr-Latn-ME" w:eastAsia="en-US"/>
        </w:rPr>
      </w:pPr>
      <w:bookmarkStart w:id="1" w:name="_Toc41286657"/>
      <w:r w:rsidRPr="00773897">
        <w:rPr>
          <w:rFonts w:ascii="Cambria" w:hAnsi="Cambria"/>
          <w:b/>
          <w:color w:val="418AB3"/>
          <w:lang w:val="sr-Latn-ME" w:eastAsia="en-US"/>
        </w:rPr>
        <w:lastRenderedPageBreak/>
        <w:t>Uvod</w:t>
      </w:r>
      <w:bookmarkEnd w:id="1"/>
    </w:p>
    <w:p w:rsidR="00773897" w:rsidRPr="00773897" w:rsidRDefault="00773897" w:rsidP="00773897">
      <w:pPr>
        <w:jc w:val="both"/>
        <w:rPr>
          <w:rFonts w:ascii="Cambria" w:hAnsi="Cambria" w:cs="Arial"/>
          <w:sz w:val="22"/>
          <w:szCs w:val="22"/>
          <w:lang w:val="sr-Latn-ME" w:eastAsia="en-US"/>
        </w:rPr>
      </w:pPr>
    </w:p>
    <w:p w:rsidR="00773897" w:rsidRPr="00773897" w:rsidRDefault="00773897" w:rsidP="00773897">
      <w:pPr>
        <w:jc w:val="both"/>
        <w:rPr>
          <w:rFonts w:ascii="Cambria" w:hAnsi="Cambria" w:cs="Arial"/>
          <w:sz w:val="22"/>
          <w:szCs w:val="22"/>
          <w:lang w:val="sr-Latn-ME" w:eastAsia="en-US"/>
        </w:rPr>
      </w:pPr>
      <w:r w:rsidRPr="00773897">
        <w:rPr>
          <w:rFonts w:ascii="Cambria" w:hAnsi="Cambria" w:cs="Arial"/>
          <w:sz w:val="22"/>
          <w:szCs w:val="22"/>
          <w:lang w:val="sr-Latn-ME" w:eastAsia="en-US"/>
        </w:rPr>
        <w:t xml:space="preserve">Zakonska regulativa koja se odnosi na pitanje javnog duga Crne Gore definisana je odredbama Zakona o budžetu i fiskalnoj odgovornosti  („Sl. list Crne Gore“, br.20/14, 56/14, 70/17, 4/18, 55/18 i 66/19). </w:t>
      </w:r>
    </w:p>
    <w:p w:rsidR="00773897" w:rsidRPr="00773897" w:rsidRDefault="00773897" w:rsidP="00773897">
      <w:pPr>
        <w:ind w:firstLine="720"/>
        <w:jc w:val="both"/>
        <w:rPr>
          <w:rFonts w:ascii="Cambria" w:hAnsi="Cambria" w:cs="Arial"/>
          <w:sz w:val="22"/>
          <w:szCs w:val="22"/>
          <w:lang w:val="sr-Latn-ME" w:eastAsia="en-US"/>
        </w:rPr>
      </w:pPr>
    </w:p>
    <w:p w:rsidR="00773897" w:rsidRPr="00773897" w:rsidRDefault="00773897" w:rsidP="00773897">
      <w:pPr>
        <w:jc w:val="both"/>
        <w:rPr>
          <w:rFonts w:ascii="Cambria" w:hAnsi="Cambria" w:cs="Arial"/>
          <w:sz w:val="22"/>
          <w:szCs w:val="22"/>
          <w:lang w:val="sr-Latn-ME" w:eastAsia="en-US"/>
        </w:rPr>
      </w:pPr>
      <w:r w:rsidRPr="00773897">
        <w:rPr>
          <w:rFonts w:ascii="Cambria" w:hAnsi="Cambria" w:cs="Arial"/>
          <w:sz w:val="22"/>
          <w:szCs w:val="22"/>
          <w:lang w:val="sr-Latn-ME" w:eastAsia="en-US"/>
        </w:rPr>
        <w:t xml:space="preserve">Javni dug je, u skladu sa pomenutim Zakonom, definisan kao dug centralnog i lokalnog nivoa, odnosno opšteg nivoa države. Centralni nivo države su državni organi i organi državne uprave, pravna lica i privredna društva koja pretežno pružaju usluge od javnog interesa, koja su pod upravljačkom kontrolom i najvećim dijelom finansirana od države. Lokalni nivo su organi opštine, pravna lica i privredna društva koja pretežno pružaju usluge od lokalnog interesa i koja su pod upravljačkom kontrolom i najvećim dijelom finansirana od opštine. </w:t>
      </w:r>
    </w:p>
    <w:p w:rsidR="00773897" w:rsidRPr="00773897" w:rsidRDefault="00773897" w:rsidP="00773897">
      <w:pPr>
        <w:jc w:val="both"/>
        <w:rPr>
          <w:rFonts w:ascii="Cambria" w:hAnsi="Cambria" w:cs="Arial"/>
          <w:sz w:val="22"/>
          <w:szCs w:val="22"/>
          <w:lang w:val="sr-Latn-ME" w:eastAsia="en-US"/>
        </w:rPr>
      </w:pPr>
    </w:p>
    <w:p w:rsidR="00773897" w:rsidRPr="00773897" w:rsidRDefault="00773897" w:rsidP="00773897">
      <w:pPr>
        <w:jc w:val="both"/>
        <w:rPr>
          <w:rFonts w:ascii="Cambria" w:hAnsi="Cambria" w:cs="Arial"/>
          <w:sz w:val="22"/>
          <w:szCs w:val="22"/>
          <w:lang w:val="sr-Latn-ME" w:eastAsia="en-US"/>
        </w:rPr>
      </w:pPr>
      <w:r w:rsidRPr="00773897">
        <w:rPr>
          <w:rFonts w:ascii="Cambria" w:hAnsi="Cambria" w:cs="Arial"/>
          <w:sz w:val="22"/>
          <w:szCs w:val="22"/>
          <w:lang w:val="sr-Latn-ME" w:eastAsia="en-US"/>
        </w:rPr>
        <w:t>Shodno odredbama Zakona, Državnim dugom upravlja i evidenciju o postojećem dugu države, uzetim dugoročnim i kratkoročnim pozajmicama i datim garancijama vodi Ministarstvo finansija.</w:t>
      </w:r>
    </w:p>
    <w:p w:rsidR="00773897" w:rsidRPr="00773897" w:rsidRDefault="00773897" w:rsidP="00773897">
      <w:pPr>
        <w:ind w:firstLine="720"/>
        <w:jc w:val="both"/>
        <w:rPr>
          <w:rFonts w:ascii="Cambria" w:hAnsi="Cambria" w:cs="Arial"/>
          <w:sz w:val="22"/>
          <w:szCs w:val="22"/>
          <w:lang w:val="sr-Latn-ME" w:eastAsia="en-US"/>
        </w:rPr>
      </w:pPr>
    </w:p>
    <w:p w:rsidR="00773897" w:rsidRPr="00773897" w:rsidRDefault="00773897" w:rsidP="00773897">
      <w:pPr>
        <w:jc w:val="both"/>
        <w:rPr>
          <w:rFonts w:ascii="Cambria" w:hAnsi="Cambria" w:cs="Arial"/>
          <w:sz w:val="22"/>
          <w:szCs w:val="22"/>
          <w:lang w:val="sr-Latn-ME" w:eastAsia="en-US"/>
        </w:rPr>
      </w:pPr>
      <w:r w:rsidRPr="00773897">
        <w:rPr>
          <w:rFonts w:ascii="Cambria" w:hAnsi="Cambria" w:cs="Arial"/>
          <w:sz w:val="22"/>
          <w:szCs w:val="22"/>
          <w:lang w:val="sr-Latn-ME" w:eastAsia="en-US"/>
        </w:rPr>
        <w:t xml:space="preserve">Nadležni organ u opštini vodi evidenciju o postojećem dugu opštine, uzetim dugoročnim i kratkoričnim pozajmicama i datim garancijama, i o tome dostavlja Ministarstvu finansija izvještaj kvartalno u roku od 30 dana, od isteka kvartala. </w:t>
      </w:r>
    </w:p>
    <w:p w:rsidR="00773897" w:rsidRPr="00773897" w:rsidRDefault="00773897" w:rsidP="00773897">
      <w:pPr>
        <w:ind w:firstLine="720"/>
        <w:jc w:val="both"/>
        <w:rPr>
          <w:rFonts w:ascii="Cambria" w:hAnsi="Cambria" w:cs="Arial"/>
          <w:sz w:val="22"/>
          <w:szCs w:val="22"/>
          <w:lang w:val="sr-Latn-ME" w:eastAsia="en-US"/>
        </w:rPr>
      </w:pPr>
    </w:p>
    <w:p w:rsidR="00773897" w:rsidRPr="00773897" w:rsidRDefault="00773897" w:rsidP="00773897">
      <w:pPr>
        <w:jc w:val="both"/>
        <w:rPr>
          <w:rFonts w:ascii="Cambria" w:hAnsi="Cambria" w:cs="Arial"/>
          <w:sz w:val="22"/>
          <w:szCs w:val="22"/>
          <w:lang w:val="sr-Latn-ME" w:eastAsia="en-US"/>
        </w:rPr>
      </w:pPr>
      <w:r w:rsidRPr="00773897">
        <w:rPr>
          <w:rFonts w:ascii="Cambria" w:hAnsi="Cambria" w:cs="Arial"/>
          <w:sz w:val="22"/>
          <w:szCs w:val="22"/>
          <w:lang w:val="sr-Latn-ME" w:eastAsia="en-US"/>
        </w:rPr>
        <w:t>Ministarstvo finansija objedinjava evidenciju o javnom dugu i godišnji izvještaj o javnom dugu dostavlja Vladi Crne Gore u roku od 90 dana od isteka fiskalne godine.</w:t>
      </w:r>
    </w:p>
    <w:p w:rsidR="00773897" w:rsidRPr="00773897" w:rsidRDefault="00773897" w:rsidP="00773897">
      <w:pPr>
        <w:spacing w:after="160" w:line="259" w:lineRule="auto"/>
        <w:jc w:val="center"/>
        <w:rPr>
          <w:rFonts w:ascii="Cambria" w:eastAsia="Cambria" w:hAnsi="Cambria"/>
          <w:b/>
          <w:sz w:val="36"/>
          <w:szCs w:val="36"/>
          <w:lang w:val="sr-Latn-RS" w:eastAsia="en-US"/>
        </w:rPr>
      </w:pPr>
    </w:p>
    <w:p w:rsidR="00773897" w:rsidRPr="00773897" w:rsidRDefault="00773897" w:rsidP="00773897">
      <w:pPr>
        <w:keepNext/>
        <w:keepLines/>
        <w:numPr>
          <w:ilvl w:val="0"/>
          <w:numId w:val="48"/>
        </w:numPr>
        <w:spacing w:before="40" w:after="160" w:line="259" w:lineRule="auto"/>
        <w:contextualSpacing/>
        <w:outlineLvl w:val="1"/>
        <w:rPr>
          <w:rFonts w:ascii="Cambria" w:hAnsi="Cambria"/>
          <w:b/>
          <w:color w:val="418AB3"/>
          <w:lang w:val="sr-Latn-ME" w:eastAsia="en-US"/>
        </w:rPr>
      </w:pPr>
      <w:bookmarkStart w:id="2" w:name="_Toc41286658"/>
      <w:r w:rsidRPr="00773897">
        <w:rPr>
          <w:rFonts w:ascii="Cambria" w:hAnsi="Cambria"/>
          <w:b/>
          <w:color w:val="418AB3"/>
          <w:lang w:val="sr-Latn-ME" w:eastAsia="en-US"/>
        </w:rPr>
        <w:t>Stanje duga i promjene u javnom dugu Crne Gore</w:t>
      </w:r>
      <w:bookmarkEnd w:id="2"/>
    </w:p>
    <w:p w:rsidR="00773897" w:rsidRPr="00773897" w:rsidRDefault="00773897" w:rsidP="00773897">
      <w:pPr>
        <w:spacing w:after="160" w:line="259" w:lineRule="auto"/>
        <w:rPr>
          <w:rFonts w:ascii="Cambria" w:eastAsia="Cambria" w:hAnsi="Cambria"/>
          <w:sz w:val="22"/>
          <w:szCs w:val="22"/>
          <w:lang w:val="sr-Latn-ME" w:eastAsia="en-US"/>
        </w:rPr>
      </w:pPr>
    </w:p>
    <w:p w:rsidR="00773897" w:rsidRPr="00FF4027" w:rsidRDefault="00773897" w:rsidP="00773897">
      <w:pPr>
        <w:spacing w:after="160" w:line="259" w:lineRule="auto"/>
        <w:jc w:val="both"/>
        <w:rPr>
          <w:rFonts w:ascii="Cambria" w:eastAsia="Cambria" w:hAnsi="Cambria"/>
          <w:sz w:val="22"/>
          <w:szCs w:val="22"/>
          <w:lang w:val="sr-Latn-RS" w:eastAsia="en-US"/>
        </w:rPr>
      </w:pPr>
      <w:r w:rsidRPr="00773897">
        <w:rPr>
          <w:rFonts w:ascii="Cambria" w:eastAsia="Cambria" w:hAnsi="Cambria"/>
          <w:sz w:val="22"/>
          <w:szCs w:val="22"/>
          <w:lang w:val="sr-Latn-RS" w:eastAsia="en-US"/>
        </w:rPr>
        <w:t xml:space="preserve">Ukupan javni dug Crne Gore, na dan 31.12.2019. godine, iznosi </w:t>
      </w:r>
      <w:r w:rsidR="00CE5081" w:rsidRPr="002D7483">
        <w:rPr>
          <w:b/>
        </w:rPr>
        <w:t>3.789,26</w:t>
      </w:r>
      <w:r w:rsidR="00CE5081">
        <w:rPr>
          <w:b/>
        </w:rPr>
        <w:t xml:space="preserve"> </w:t>
      </w:r>
      <w:r w:rsidRPr="00773897">
        <w:rPr>
          <w:rFonts w:ascii="Cambria" w:eastAsia="Cambria" w:hAnsi="Cambria"/>
          <w:sz w:val="22"/>
          <w:szCs w:val="22"/>
          <w:lang w:val="sr-Latn-RS" w:eastAsia="en-US"/>
        </w:rPr>
        <w:t>miliona eura, odnosno</w:t>
      </w:r>
      <w:r w:rsidRPr="00773897">
        <w:rPr>
          <w:rFonts w:ascii="Cambria" w:eastAsia="Cambria" w:hAnsi="Cambria"/>
          <w:b/>
          <w:sz w:val="36"/>
          <w:szCs w:val="36"/>
          <w:lang w:val="sr-Latn-RS" w:eastAsia="en-US"/>
        </w:rPr>
        <w:t xml:space="preserve"> </w:t>
      </w:r>
      <w:r w:rsidR="007E1A35" w:rsidRPr="00FF4027">
        <w:rPr>
          <w:rFonts w:ascii="Cambria" w:eastAsia="Cambria" w:hAnsi="Cambria"/>
          <w:b/>
          <w:sz w:val="22"/>
          <w:szCs w:val="22"/>
          <w:lang w:val="sr-Latn-RS" w:eastAsia="en-US"/>
        </w:rPr>
        <w:t>76</w:t>
      </w:r>
      <w:r w:rsidRPr="00FF4027">
        <w:rPr>
          <w:rFonts w:ascii="Cambria" w:eastAsia="Cambria" w:hAnsi="Cambria"/>
          <w:b/>
          <w:sz w:val="22"/>
          <w:szCs w:val="22"/>
          <w:lang w:val="sr-Latn-RS" w:eastAsia="en-US"/>
        </w:rPr>
        <w:t>,</w:t>
      </w:r>
      <w:r w:rsidR="007E1A35" w:rsidRPr="00FF4027">
        <w:rPr>
          <w:rFonts w:ascii="Cambria" w:eastAsia="Cambria" w:hAnsi="Cambria"/>
          <w:b/>
          <w:sz w:val="22"/>
          <w:szCs w:val="22"/>
          <w:lang w:val="sr-Latn-RS" w:eastAsia="en-US"/>
        </w:rPr>
        <w:t>54</w:t>
      </w:r>
      <w:r w:rsidRPr="00FF4027">
        <w:rPr>
          <w:rFonts w:ascii="Cambria" w:eastAsia="Cambria" w:hAnsi="Cambria"/>
          <w:b/>
          <w:sz w:val="22"/>
          <w:szCs w:val="22"/>
          <w:lang w:val="sr-Latn-RS" w:eastAsia="en-US"/>
        </w:rPr>
        <w:t>%</w:t>
      </w:r>
      <w:r w:rsidRPr="00FF4027">
        <w:rPr>
          <w:rFonts w:ascii="Cambria" w:eastAsia="Cambria" w:hAnsi="Cambria"/>
          <w:sz w:val="22"/>
          <w:szCs w:val="22"/>
          <w:lang w:val="sr-Latn-RS" w:eastAsia="en-US"/>
        </w:rPr>
        <w:t xml:space="preserve"> BDP-a</w:t>
      </w:r>
      <w:r w:rsidRPr="00FF4027">
        <w:rPr>
          <w:rFonts w:ascii="Cambria" w:eastAsia="Cambria" w:hAnsi="Cambria"/>
          <w:sz w:val="22"/>
          <w:szCs w:val="22"/>
          <w:vertAlign w:val="superscript"/>
          <w:lang w:val="sr-Latn-RS" w:eastAsia="en-US"/>
        </w:rPr>
        <w:footnoteReference w:id="1"/>
      </w:r>
      <w:r w:rsidRPr="00FF4027">
        <w:rPr>
          <w:rFonts w:ascii="Cambria" w:eastAsia="Cambria" w:hAnsi="Cambria"/>
          <w:sz w:val="22"/>
          <w:szCs w:val="22"/>
          <w:lang w:val="sr-Latn-RS" w:eastAsia="en-US"/>
        </w:rPr>
        <w:t xml:space="preserve">. </w:t>
      </w:r>
    </w:p>
    <w:p w:rsidR="00773897" w:rsidRPr="00773897" w:rsidRDefault="00773897" w:rsidP="00773897">
      <w:pPr>
        <w:spacing w:after="160" w:line="259" w:lineRule="auto"/>
        <w:jc w:val="both"/>
        <w:rPr>
          <w:rFonts w:ascii="Cambria" w:eastAsia="Cambria" w:hAnsi="Cambria"/>
          <w:b/>
          <w:sz w:val="22"/>
          <w:szCs w:val="22"/>
          <w:lang w:val="sr-Latn-RS" w:eastAsia="en-US"/>
        </w:rPr>
      </w:pPr>
      <w:r w:rsidRPr="00FF4027">
        <w:rPr>
          <w:rFonts w:ascii="Cambria" w:eastAsia="Cambria" w:hAnsi="Cambria"/>
          <w:sz w:val="22"/>
          <w:szCs w:val="22"/>
          <w:lang w:val="sr-Latn-RS" w:eastAsia="en-US"/>
        </w:rPr>
        <w:t xml:space="preserve">Uzimajući u obzir depozite Ministartva finansija, (uključujući i 38.477 unci zlata), a koji su, na kraju 2019. godine, iznosili 597,13 miliona eura, neto javni dug Crne Gore, na dan 31.12.2019. godine, iznosi </w:t>
      </w:r>
      <w:r w:rsidR="00CE5081" w:rsidRPr="00FF4027">
        <w:rPr>
          <w:rFonts w:ascii="Cambria" w:eastAsia="Cambria" w:hAnsi="Cambria"/>
          <w:b/>
          <w:sz w:val="22"/>
          <w:szCs w:val="22"/>
          <w:lang w:val="sr-Latn-RS" w:eastAsia="en-US"/>
        </w:rPr>
        <w:t xml:space="preserve">3.192,14 </w:t>
      </w:r>
      <w:r w:rsidRPr="00FF4027">
        <w:rPr>
          <w:rFonts w:ascii="Cambria" w:eastAsia="Cambria" w:hAnsi="Cambria"/>
          <w:sz w:val="22"/>
          <w:szCs w:val="22"/>
          <w:lang w:val="sr-Latn-RS" w:eastAsia="en-US"/>
        </w:rPr>
        <w:t xml:space="preserve">miliona eura, odnosno </w:t>
      </w:r>
      <w:r w:rsidR="007E1A35" w:rsidRPr="00FF4027">
        <w:rPr>
          <w:rFonts w:ascii="Cambria" w:eastAsia="Cambria" w:hAnsi="Cambria"/>
          <w:b/>
          <w:sz w:val="22"/>
          <w:szCs w:val="22"/>
          <w:lang w:val="sr-Latn-RS" w:eastAsia="en-US"/>
        </w:rPr>
        <w:t xml:space="preserve">64, 47 </w:t>
      </w:r>
      <w:r w:rsidRPr="00FF4027">
        <w:rPr>
          <w:rFonts w:ascii="Cambria" w:eastAsia="Cambria" w:hAnsi="Cambria"/>
          <w:b/>
          <w:sz w:val="22"/>
          <w:szCs w:val="22"/>
          <w:lang w:val="sr-Latn-RS" w:eastAsia="en-US"/>
        </w:rPr>
        <w:t xml:space="preserve">% </w:t>
      </w:r>
      <w:r w:rsidRPr="00FF4027">
        <w:rPr>
          <w:rFonts w:ascii="Cambria" w:eastAsia="Cambria" w:hAnsi="Cambria"/>
          <w:sz w:val="22"/>
          <w:szCs w:val="22"/>
          <w:lang w:val="sr-Latn-RS" w:eastAsia="en-US"/>
        </w:rPr>
        <w:t>BDP-a</w:t>
      </w:r>
      <w:r w:rsidRPr="00FF4027">
        <w:rPr>
          <w:rFonts w:ascii="Cambria" w:eastAsia="Cambria" w:hAnsi="Cambria"/>
          <w:b/>
          <w:sz w:val="22"/>
          <w:szCs w:val="22"/>
          <w:lang w:val="sr-Latn-RS" w:eastAsia="en-US"/>
        </w:rPr>
        <w:t>.</w:t>
      </w:r>
      <w:r w:rsidRPr="00773897">
        <w:rPr>
          <w:rFonts w:ascii="Cambria" w:eastAsia="Cambria" w:hAnsi="Cambria"/>
          <w:b/>
          <w:sz w:val="22"/>
          <w:szCs w:val="22"/>
          <w:lang w:val="sr-Latn-RS" w:eastAsia="en-US"/>
        </w:rPr>
        <w:t xml:space="preserve"> </w:t>
      </w:r>
    </w:p>
    <w:p w:rsidR="00773897" w:rsidRPr="00773897" w:rsidRDefault="00773897" w:rsidP="00773897">
      <w:pPr>
        <w:spacing w:after="160"/>
        <w:rPr>
          <w:rFonts w:ascii="Cambria" w:hAnsi="Cambria"/>
          <w:b/>
          <w:color w:val="418AB3"/>
          <w:sz w:val="20"/>
          <w:szCs w:val="20"/>
          <w:lang w:val="sr-Latn-ME" w:eastAsia="en-US"/>
        </w:rPr>
      </w:pPr>
      <w:bookmarkStart w:id="3" w:name="_Toc41286674"/>
      <w:r w:rsidRPr="00773897">
        <w:rPr>
          <w:rFonts w:ascii="Cambria" w:hAnsi="Cambria"/>
          <w:b/>
          <w:color w:val="418AB3"/>
          <w:sz w:val="20"/>
          <w:szCs w:val="20"/>
          <w:lang w:val="sr-Latn-ME" w:eastAsia="en-US"/>
        </w:rPr>
        <w:t xml:space="preserve">Grafik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Figure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1</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Kretanje državnog i javnog duga </w:t>
      </w:r>
      <w:r w:rsidRPr="00773897">
        <w:rPr>
          <w:rFonts w:ascii="Cambria" w:hAnsi="Cambria"/>
          <w:b/>
          <w:color w:val="418AB3"/>
          <w:sz w:val="20"/>
          <w:szCs w:val="20"/>
          <w:lang w:val="sr-Latn-ME" w:eastAsia="en-US"/>
        </w:rPr>
        <w:tab/>
      </w:r>
      <w:r w:rsidRPr="00773897">
        <w:rPr>
          <w:rFonts w:ascii="Cambria" w:hAnsi="Cambria"/>
          <w:b/>
          <w:color w:val="418AB3"/>
          <w:sz w:val="20"/>
          <w:szCs w:val="20"/>
          <w:lang w:val="sr-Latn-ME" w:eastAsia="en-US"/>
        </w:rPr>
        <w:tab/>
      </w:r>
      <w:r w:rsidRPr="00773897">
        <w:rPr>
          <w:rFonts w:ascii="Cambria" w:hAnsi="Cambria"/>
          <w:b/>
          <w:color w:val="418AB3"/>
          <w:sz w:val="20"/>
          <w:szCs w:val="20"/>
          <w:lang w:val="sr-Latn-ME" w:eastAsia="en-US"/>
        </w:rPr>
        <w:tab/>
        <w:t xml:space="preserve">Grafik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Figure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2</w:t>
      </w:r>
      <w:r w:rsidRPr="00773897">
        <w:rPr>
          <w:rFonts w:ascii="Cambria" w:hAnsi="Cambria"/>
          <w:b/>
          <w:color w:val="418AB3"/>
          <w:sz w:val="20"/>
          <w:szCs w:val="20"/>
          <w:lang w:val="sr-Latn-ME" w:eastAsia="en-US"/>
        </w:rPr>
        <w:fldChar w:fldCharType="end"/>
      </w:r>
      <w:r w:rsidRPr="00773897">
        <w:rPr>
          <w:rFonts w:ascii="Cambria" w:eastAsia="Cambria" w:hAnsi="Cambria"/>
          <w:b/>
          <w:bCs/>
          <w:smallCaps/>
          <w:color w:val="5E5E5E"/>
          <w:sz w:val="22"/>
          <w:szCs w:val="22"/>
          <w:lang w:val="en-GB" w:eastAsia="en-US"/>
        </w:rPr>
        <w:t xml:space="preserve"> </w:t>
      </w:r>
      <w:r w:rsidRPr="00773897">
        <w:rPr>
          <w:rFonts w:ascii="Cambria" w:hAnsi="Cambria"/>
          <w:b/>
          <w:color w:val="418AB3"/>
          <w:sz w:val="20"/>
          <w:szCs w:val="20"/>
          <w:lang w:val="sr-Latn-ME" w:eastAsia="en-US"/>
        </w:rPr>
        <w:t>Neto državni i javni dug</w:t>
      </w:r>
      <w:bookmarkEnd w:id="3"/>
    </w:p>
    <w:p w:rsidR="00773897" w:rsidRPr="00773897" w:rsidRDefault="00B45A50" w:rsidP="00773897">
      <w:pPr>
        <w:spacing w:after="160" w:line="259" w:lineRule="auto"/>
        <w:rPr>
          <w:rFonts w:ascii="Cambria" w:eastAsia="Cambria" w:hAnsi="Cambria"/>
          <w:sz w:val="20"/>
          <w:szCs w:val="20"/>
          <w:lang w:val="en-GB" w:eastAsia="en-US"/>
        </w:rPr>
      </w:pPr>
      <w:r>
        <w:rPr>
          <w:noProof/>
          <w:lang w:val="en-GB" w:eastAsia="en-GB"/>
        </w:rPr>
        <w:drawing>
          <wp:inline distT="0" distB="0" distL="0" distR="0" wp14:anchorId="589E2A40" wp14:editId="46C7D110">
            <wp:extent cx="2743200" cy="24479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D6E97">
        <w:rPr>
          <w:noProof/>
          <w:lang w:val="en-US" w:eastAsia="en-US"/>
        </w:rPr>
        <w:t xml:space="preserve">  </w:t>
      </w:r>
      <w:r w:rsidR="008D6E97">
        <w:rPr>
          <w:noProof/>
          <w:lang w:val="en-GB" w:eastAsia="en-GB"/>
        </w:rPr>
        <w:drawing>
          <wp:inline distT="0" distB="0" distL="0" distR="0" wp14:anchorId="21C51D90" wp14:editId="3A640669">
            <wp:extent cx="2905125" cy="2453005"/>
            <wp:effectExtent l="0" t="0" r="9525" b="44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82664" w:rsidRDefault="00773897" w:rsidP="00111289">
      <w:pPr>
        <w:spacing w:after="160"/>
        <w:rPr>
          <w:rFonts w:ascii="Cambria" w:hAnsi="Cambria"/>
          <w:b/>
          <w:color w:val="418AB3"/>
          <w:sz w:val="20"/>
          <w:szCs w:val="20"/>
          <w:lang w:val="sr-Latn-ME" w:eastAsia="en-US"/>
        </w:rPr>
      </w:pPr>
      <w:bookmarkStart w:id="4" w:name="_Toc41286667"/>
      <w:r w:rsidRPr="00773897">
        <w:rPr>
          <w:rFonts w:ascii="Cambria" w:hAnsi="Cambria"/>
          <w:b/>
          <w:color w:val="418AB3"/>
          <w:sz w:val="20"/>
          <w:szCs w:val="20"/>
          <w:lang w:val="sr-Latn-ME" w:eastAsia="en-US"/>
        </w:rPr>
        <w:lastRenderedPageBreak/>
        <w:t xml:space="preserve">Tabela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Table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1</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Stanje duga na dan 31.12.2019. godine</w:t>
      </w:r>
      <w:bookmarkEnd w:id="4"/>
      <w:r w:rsidRPr="00773897">
        <w:rPr>
          <w:rFonts w:ascii="Cambria" w:hAnsi="Cambria"/>
          <w:b/>
          <w:color w:val="418AB3"/>
          <w:sz w:val="20"/>
          <w:szCs w:val="20"/>
          <w:lang w:val="sr-Latn-ME" w:eastAsia="en-US"/>
        </w:rPr>
        <w:t xml:space="preserve">                        </w:t>
      </w:r>
      <w:bookmarkStart w:id="5" w:name="_Toc3474459"/>
      <w:bookmarkStart w:id="6" w:name="_Toc35253505"/>
    </w:p>
    <w:tbl>
      <w:tblPr>
        <w:tblStyle w:val="GridTable6Colorful-Accent112"/>
        <w:tblW w:w="5216" w:type="pct"/>
        <w:tblLook w:val="04A0" w:firstRow="1" w:lastRow="0" w:firstColumn="1" w:lastColumn="0" w:noHBand="0" w:noVBand="1"/>
      </w:tblPr>
      <w:tblGrid>
        <w:gridCol w:w="4597"/>
        <w:gridCol w:w="1340"/>
        <w:gridCol w:w="880"/>
        <w:gridCol w:w="1734"/>
        <w:gridCol w:w="902"/>
      </w:tblGrid>
      <w:tr w:rsidR="001B4626" w:rsidRPr="001B4626" w:rsidTr="00B4110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noWrap/>
            <w:hideMark/>
          </w:tcPr>
          <w:p w:rsidR="00111289" w:rsidRPr="00111289" w:rsidRDefault="00111289" w:rsidP="00111289">
            <w:pPr>
              <w:rPr>
                <w:rFonts w:ascii="Calibri" w:hAnsi="Calibri"/>
                <w:color w:val="000000"/>
                <w:sz w:val="22"/>
                <w:szCs w:val="22"/>
                <w:lang w:val="en-GB" w:eastAsia="en-GB"/>
              </w:rPr>
            </w:pPr>
            <w:r w:rsidRPr="00111289">
              <w:rPr>
                <w:rFonts w:ascii="Calibri" w:hAnsi="Calibri"/>
                <w:color w:val="000000"/>
                <w:sz w:val="22"/>
                <w:szCs w:val="22"/>
                <w:lang w:val="en-GB" w:eastAsia="en-GB"/>
              </w:rPr>
              <w:t> </w:t>
            </w:r>
          </w:p>
        </w:tc>
        <w:tc>
          <w:tcPr>
            <w:tcW w:w="709" w:type="pct"/>
            <w:noWrap/>
            <w:hideMark/>
          </w:tcPr>
          <w:p w:rsidR="00111289" w:rsidRPr="00111289" w:rsidRDefault="00111289" w:rsidP="00111289">
            <w:pPr>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 </w:t>
            </w:r>
          </w:p>
        </w:tc>
        <w:tc>
          <w:tcPr>
            <w:tcW w:w="465" w:type="pct"/>
            <w:noWrap/>
            <w:hideMark/>
          </w:tcPr>
          <w:p w:rsidR="00111289" w:rsidRPr="00111289" w:rsidRDefault="00111289" w:rsidP="00111289">
            <w:pPr>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 </w:t>
            </w:r>
          </w:p>
        </w:tc>
        <w:tc>
          <w:tcPr>
            <w:tcW w:w="917" w:type="pct"/>
            <w:noWrap/>
            <w:hideMark/>
          </w:tcPr>
          <w:p w:rsidR="00111289" w:rsidRPr="00111289" w:rsidRDefault="00111289" w:rsidP="00111289">
            <w:pPr>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BDP* u mil. eura</w:t>
            </w:r>
          </w:p>
        </w:tc>
        <w:tc>
          <w:tcPr>
            <w:tcW w:w="477" w:type="pct"/>
            <w:noWrap/>
            <w:hideMark/>
          </w:tcPr>
          <w:p w:rsidR="00111289" w:rsidRPr="00111289" w:rsidRDefault="00FF4027" w:rsidP="00111289">
            <w:pPr>
              <w:jc w:val="right"/>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Pr>
                <w:rFonts w:ascii="Calibri" w:hAnsi="Calibri"/>
                <w:color w:val="000000"/>
                <w:sz w:val="22"/>
                <w:szCs w:val="22"/>
                <w:lang w:val="en-GB" w:eastAsia="en-GB"/>
              </w:rPr>
              <w:t>4951</w:t>
            </w:r>
          </w:p>
        </w:tc>
      </w:tr>
      <w:tr w:rsidR="001B4626" w:rsidRPr="001B4626" w:rsidTr="00B41105">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432" w:type="pct"/>
            <w:hideMark/>
          </w:tcPr>
          <w:p w:rsidR="00111289" w:rsidRPr="00111289" w:rsidRDefault="00111289" w:rsidP="00111289">
            <w:pPr>
              <w:jc w:val="center"/>
              <w:rPr>
                <w:rFonts w:ascii="Calibri" w:hAnsi="Calibri"/>
                <w:color w:val="000000"/>
                <w:sz w:val="22"/>
                <w:szCs w:val="22"/>
                <w:lang w:val="en-GB" w:eastAsia="en-GB"/>
              </w:rPr>
            </w:pPr>
            <w:r w:rsidRPr="00111289">
              <w:rPr>
                <w:rFonts w:ascii="Calibri" w:hAnsi="Calibri"/>
                <w:color w:val="000000"/>
                <w:sz w:val="22"/>
                <w:szCs w:val="22"/>
                <w:lang w:val="en-GB" w:eastAsia="en-GB"/>
              </w:rPr>
              <w:t>Kreditor</w:t>
            </w:r>
          </w:p>
        </w:tc>
        <w:tc>
          <w:tcPr>
            <w:tcW w:w="709" w:type="pct"/>
            <w:hideMark/>
          </w:tcPr>
          <w:p w:rsidR="00111289" w:rsidRPr="00111289" w:rsidRDefault="00111289" w:rsidP="00111289">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Stanje duga u mil. eura</w:t>
            </w:r>
          </w:p>
        </w:tc>
        <w:tc>
          <w:tcPr>
            <w:tcW w:w="465" w:type="pct"/>
            <w:hideMark/>
          </w:tcPr>
          <w:p w:rsidR="00111289" w:rsidRPr="00111289" w:rsidRDefault="00111289" w:rsidP="00111289">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Stanje duga u % BDP-a</w:t>
            </w:r>
          </w:p>
        </w:tc>
        <w:tc>
          <w:tcPr>
            <w:tcW w:w="917" w:type="pct"/>
            <w:hideMark/>
          </w:tcPr>
          <w:p w:rsidR="00111289" w:rsidRPr="00111289" w:rsidRDefault="00111289" w:rsidP="00111289">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 učešće u spoljnjem dugu</w:t>
            </w:r>
          </w:p>
        </w:tc>
        <w:tc>
          <w:tcPr>
            <w:tcW w:w="477" w:type="pct"/>
            <w:hideMark/>
          </w:tcPr>
          <w:p w:rsidR="00111289" w:rsidRPr="00111289" w:rsidRDefault="00111289" w:rsidP="00111289">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 učešće u javnom dugu</w:t>
            </w:r>
          </w:p>
        </w:tc>
      </w:tr>
      <w:tr w:rsidR="00B41105" w:rsidRPr="001B4626" w:rsidTr="00B41105">
        <w:trPr>
          <w:trHeight w:val="315"/>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Međunarodna banka za obnovu i razvoj (IBRD)</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184,88</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US" w:eastAsia="en-US"/>
              </w:rPr>
            </w:pPr>
            <w:r w:rsidRPr="00FF4027">
              <w:rPr>
                <w:rFonts w:ascii="Calibri" w:hAnsi="Calibri"/>
                <w:color w:val="000000"/>
                <w:sz w:val="22"/>
                <w:szCs w:val="22"/>
              </w:rPr>
              <w:t>3,73%</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5,91%</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4,88%</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Pariski klub Povjerilaca</w:t>
            </w:r>
          </w:p>
        </w:tc>
        <w:tc>
          <w:tcPr>
            <w:tcW w:w="709" w:type="pct"/>
            <w:noWrap/>
            <w:hideMark/>
          </w:tcPr>
          <w:p w:rsidR="00B41105" w:rsidRPr="00111289" w:rsidRDefault="00B41105" w:rsidP="00B41105">
            <w:pPr>
              <w:ind w:left="-279" w:firstLine="279"/>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78,04</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1,58%</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2,49%</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2,06%</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Međunarodna Asocijacija za razvoj (IDA)</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31,98</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0,65%</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1,02%</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0,84%</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Evropska investiciona banka (EIB)</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107,66</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2,17%</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3,44%</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2,84%</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Evropska banka za obnovu i razvoj (EBRD)</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23,27</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0,47%</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0,74%</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0,61%</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Banka za razvoj Savjeta Evrope (CEB)</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32,51</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0,66%</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1,04%</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0,86%</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 xml:space="preserve">Evropska Komisija </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0,30</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0,01%</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0,01%</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0,01%</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Njemačka banka za razvoj (KFW)</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38,31</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0,77%</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1,22%</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1,01%</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Mađarski zajam</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2,97</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0,06%</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0,09%</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0,08%</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Poljski zajam</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4,85</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0,10%</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0,15%</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0,13%</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Francuski kredit - NATIXIS</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3,02</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0,06%</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0,10%</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0,08%</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Steiermarkische Bank und Sparkassen AG</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3,30</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0,07%</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0,11%</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0,09%</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Credit Suisse Banka</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54,22</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1,10%</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1,73%</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1,43%</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Kineska Exim Banka</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671,71</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13,57%</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21,47%</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17,73%</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noWrap/>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 xml:space="preserve">Instituto del credito oficial (ICO) - Španski kredit </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2,49</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0,05%</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0,08%</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0,07%</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Austrijski kredit - Erste banka</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1,33</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0,03%</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0,04%</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0,04%</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 xml:space="preserve">Banka Intesa </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20,00</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0,40%</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0,64%</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0,53%</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IFAD</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1,89</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0,04%</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0,06%</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0,05%</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Sindicirani zajam-OTP -Erste Group-Zagrebačka banka</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48,60</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0,98%</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1,55%</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1,28%</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Export Development Canada EDC - Helikopteri</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18,85</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0,38%</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0,60%</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0,50%</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 xml:space="preserve">Sindicirani zajam - PBG </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250,00</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5,05%</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7,99%</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6,60%</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EUROBOND</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1.548,54</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31,28%</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49,49%</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40,87%</w:t>
            </w:r>
          </w:p>
        </w:tc>
      </w:tr>
      <w:tr w:rsidR="00B41105" w:rsidRPr="001B4626" w:rsidTr="00B41105">
        <w:trPr>
          <w:trHeight w:val="285"/>
        </w:trPr>
        <w:tc>
          <w:tcPr>
            <w:cnfStyle w:val="001000000000" w:firstRow="0" w:lastRow="0" w:firstColumn="1" w:lastColumn="0" w:oddVBand="0" w:evenVBand="0" w:oddHBand="0" w:evenHBand="0" w:firstRowFirstColumn="0" w:firstRowLastColumn="0" w:lastRowFirstColumn="0" w:lastRowLastColumn="0"/>
            <w:tcW w:w="2432" w:type="pct"/>
            <w:noWrap/>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Ukupno spoljni dug</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3.128,72</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rPr>
            </w:pPr>
            <w:r w:rsidRPr="00FF4027">
              <w:rPr>
                <w:rFonts w:ascii="Calibri" w:hAnsi="Calibri"/>
                <w:b/>
                <w:bCs/>
                <w:color w:val="000000"/>
                <w:sz w:val="22"/>
                <w:szCs w:val="22"/>
              </w:rPr>
              <w:t>63,19%</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100,00%</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82,57%</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Stara devizna štednja</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10,81</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0,22%</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1,86%</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0,29%</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Obaveze po osnovu obeštećenja</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86,35</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1,74%</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14,89%</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2,28%</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Krediti kod poslovnih banaka</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140,23</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2,83%</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24,18%</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3,70%</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Zaostale penzije</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1,90</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0,04%</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0,33%</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0,05%</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Državni zapisi</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72,00</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1,45%</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12,41%</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1,90%</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Domaće obveznice - GB16</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80,41</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1,62%</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13,86%</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2,12%</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Domaće obveznice - GB24</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92,44</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1,87%</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15,94%</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2,44%</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Domaće obveznice - GB26</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50,00</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1,01%</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8,62%</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1,32%</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Pravna lica i privredna drustva</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45,80</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0,93%</w:t>
            </w:r>
          </w:p>
        </w:tc>
        <w:tc>
          <w:tcPr>
            <w:tcW w:w="91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7,90%</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1,21%</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noWrap/>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Ukupno unutrašnji dug</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579,96</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rPr>
            </w:pPr>
            <w:r w:rsidRPr="00FF4027">
              <w:rPr>
                <w:rFonts w:ascii="Calibri" w:hAnsi="Calibri"/>
                <w:b/>
                <w:bCs/>
                <w:color w:val="000000"/>
                <w:sz w:val="22"/>
                <w:szCs w:val="22"/>
              </w:rPr>
              <w:t>11,71%</w:t>
            </w:r>
          </w:p>
        </w:tc>
        <w:tc>
          <w:tcPr>
            <w:tcW w:w="91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100,00%</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15,31%</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noWrap/>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Ukupno državni dug</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3.708,67</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74,</w:t>
            </w:r>
            <w:r w:rsidR="00552B8B" w:rsidRPr="00FF4027">
              <w:rPr>
                <w:rFonts w:ascii="Calibri" w:hAnsi="Calibri"/>
                <w:color w:val="000000"/>
                <w:sz w:val="22"/>
                <w:szCs w:val="22"/>
              </w:rPr>
              <w:t>91</w:t>
            </w:r>
            <w:r w:rsidRPr="00FF4027">
              <w:rPr>
                <w:rFonts w:ascii="Calibri" w:hAnsi="Calibri"/>
                <w:color w:val="000000"/>
                <w:sz w:val="22"/>
                <w:szCs w:val="22"/>
              </w:rPr>
              <w:t>%</w:t>
            </w:r>
          </w:p>
        </w:tc>
        <w:tc>
          <w:tcPr>
            <w:tcW w:w="917" w:type="pct"/>
            <w:noWrap/>
            <w:hideMark/>
          </w:tcPr>
          <w:p w:rsidR="00B41105" w:rsidRPr="00111289" w:rsidRDefault="00B41105" w:rsidP="00B41105">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 </w:t>
            </w:r>
          </w:p>
        </w:tc>
        <w:tc>
          <w:tcPr>
            <w:tcW w:w="477" w:type="pct"/>
            <w:noWrap/>
            <w:hideMark/>
          </w:tcPr>
          <w:p w:rsidR="00B41105" w:rsidRPr="00111289"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97,87%</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noWrap/>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Dug lokalne samouprave</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80,59</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1,</w:t>
            </w:r>
            <w:r w:rsidR="00552B8B" w:rsidRPr="00FF4027">
              <w:rPr>
                <w:rFonts w:ascii="Calibri" w:hAnsi="Calibri"/>
                <w:color w:val="000000"/>
                <w:sz w:val="22"/>
                <w:szCs w:val="22"/>
              </w:rPr>
              <w:t>63</w:t>
            </w:r>
            <w:r w:rsidRPr="00FF4027">
              <w:rPr>
                <w:rFonts w:ascii="Calibri" w:hAnsi="Calibri"/>
                <w:color w:val="000000"/>
                <w:sz w:val="22"/>
                <w:szCs w:val="22"/>
              </w:rPr>
              <w:t>%</w:t>
            </w:r>
          </w:p>
        </w:tc>
        <w:tc>
          <w:tcPr>
            <w:tcW w:w="917" w:type="pct"/>
            <w:noWrap/>
            <w:hideMark/>
          </w:tcPr>
          <w:p w:rsidR="00B41105" w:rsidRPr="00111289" w:rsidRDefault="00B41105" w:rsidP="00B41105">
            <w:pP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 </w:t>
            </w:r>
          </w:p>
        </w:tc>
        <w:tc>
          <w:tcPr>
            <w:tcW w:w="477" w:type="pct"/>
            <w:noWrap/>
            <w:hideMark/>
          </w:tcPr>
          <w:p w:rsidR="00B41105" w:rsidRPr="00111289"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2,13%</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2" w:type="pct"/>
            <w:noWrap/>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Ukupno javni dug</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3.789,26</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76,</w:t>
            </w:r>
            <w:r w:rsidR="00552B8B" w:rsidRPr="00FF4027">
              <w:rPr>
                <w:rFonts w:ascii="Calibri" w:hAnsi="Calibri"/>
                <w:color w:val="000000"/>
                <w:sz w:val="22"/>
                <w:szCs w:val="22"/>
              </w:rPr>
              <w:t>54</w:t>
            </w:r>
            <w:r w:rsidRPr="00FF4027">
              <w:rPr>
                <w:rFonts w:ascii="Calibri" w:hAnsi="Calibri"/>
                <w:color w:val="000000"/>
                <w:sz w:val="22"/>
                <w:szCs w:val="22"/>
              </w:rPr>
              <w:t>%</w:t>
            </w:r>
          </w:p>
        </w:tc>
        <w:tc>
          <w:tcPr>
            <w:tcW w:w="917" w:type="pct"/>
            <w:noWrap/>
            <w:hideMark/>
          </w:tcPr>
          <w:p w:rsidR="00B41105" w:rsidRPr="00111289" w:rsidRDefault="00B41105" w:rsidP="00B41105">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 </w:t>
            </w:r>
          </w:p>
        </w:tc>
        <w:tc>
          <w:tcPr>
            <w:tcW w:w="477" w:type="pct"/>
            <w:noWrap/>
            <w:hideMark/>
          </w:tcPr>
          <w:p w:rsidR="00B41105" w:rsidRPr="00111289" w:rsidRDefault="00B41105" w:rsidP="00B41105">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 </w:t>
            </w:r>
          </w:p>
        </w:tc>
      </w:tr>
      <w:tr w:rsidR="00B41105" w:rsidRPr="001B4626" w:rsidTr="00B41105">
        <w:trPr>
          <w:trHeight w:val="285"/>
        </w:trPr>
        <w:tc>
          <w:tcPr>
            <w:cnfStyle w:val="001000000000" w:firstRow="0" w:lastRow="0" w:firstColumn="1" w:lastColumn="0" w:oddVBand="0" w:evenVBand="0" w:oddHBand="0" w:evenHBand="0" w:firstRowFirstColumn="0" w:firstRowLastColumn="0" w:lastRowFirstColumn="0" w:lastRowLastColumn="0"/>
            <w:tcW w:w="2432" w:type="pct"/>
            <w:noWrap/>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Depoziti</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597,13</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12,06%</w:t>
            </w:r>
          </w:p>
        </w:tc>
        <w:tc>
          <w:tcPr>
            <w:tcW w:w="917" w:type="pct"/>
            <w:noWrap/>
            <w:hideMark/>
          </w:tcPr>
          <w:p w:rsidR="00B41105" w:rsidRPr="00111289" w:rsidRDefault="00B41105" w:rsidP="00B41105">
            <w:pP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 </w:t>
            </w:r>
          </w:p>
        </w:tc>
        <w:tc>
          <w:tcPr>
            <w:tcW w:w="477" w:type="pct"/>
            <w:noWrap/>
            <w:hideMark/>
          </w:tcPr>
          <w:p w:rsidR="00B41105" w:rsidRPr="00111289" w:rsidRDefault="00B41105" w:rsidP="00B41105">
            <w:pP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 </w:t>
            </w:r>
          </w:p>
        </w:tc>
      </w:tr>
      <w:tr w:rsidR="00B41105" w:rsidRPr="001B4626" w:rsidTr="00B4110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32" w:type="pct"/>
            <w:noWrap/>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lastRenderedPageBreak/>
              <w:t>Ukupno državni dug, uključujući depozite</w:t>
            </w:r>
          </w:p>
        </w:tc>
        <w:tc>
          <w:tcPr>
            <w:tcW w:w="709" w:type="pct"/>
            <w:noWrap/>
            <w:hideMark/>
          </w:tcPr>
          <w:p w:rsidR="00B41105" w:rsidRPr="00111289" w:rsidRDefault="00B41105" w:rsidP="00B41105">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3.111,55</w:t>
            </w:r>
          </w:p>
        </w:tc>
        <w:tc>
          <w:tcPr>
            <w:tcW w:w="465" w:type="pct"/>
            <w:noWrap/>
            <w:vAlign w:val="bottom"/>
            <w:hideMark/>
          </w:tcPr>
          <w:p w:rsidR="00B41105" w:rsidRPr="00FF4027" w:rsidRDefault="00B41105" w:rsidP="00B41105">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62,</w:t>
            </w:r>
            <w:r w:rsidR="00552B8B" w:rsidRPr="00FF4027">
              <w:rPr>
                <w:rFonts w:ascii="Calibri" w:hAnsi="Calibri"/>
                <w:color w:val="000000"/>
                <w:sz w:val="22"/>
                <w:szCs w:val="22"/>
              </w:rPr>
              <w:t>85</w:t>
            </w:r>
            <w:r w:rsidRPr="00FF4027">
              <w:rPr>
                <w:rFonts w:ascii="Calibri" w:hAnsi="Calibri"/>
                <w:color w:val="000000"/>
                <w:sz w:val="22"/>
                <w:szCs w:val="22"/>
              </w:rPr>
              <w:t>%</w:t>
            </w:r>
          </w:p>
        </w:tc>
        <w:tc>
          <w:tcPr>
            <w:tcW w:w="917" w:type="pct"/>
            <w:noWrap/>
            <w:hideMark/>
          </w:tcPr>
          <w:p w:rsidR="00B41105" w:rsidRPr="00111289" w:rsidRDefault="00B41105" w:rsidP="00B41105">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 </w:t>
            </w:r>
          </w:p>
        </w:tc>
        <w:tc>
          <w:tcPr>
            <w:tcW w:w="477" w:type="pct"/>
            <w:noWrap/>
            <w:hideMark/>
          </w:tcPr>
          <w:p w:rsidR="00B41105" w:rsidRPr="00111289" w:rsidRDefault="00B41105" w:rsidP="00B41105">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 </w:t>
            </w:r>
          </w:p>
        </w:tc>
      </w:tr>
      <w:tr w:rsidR="00B41105" w:rsidRPr="001B4626" w:rsidTr="00B41105">
        <w:trPr>
          <w:trHeight w:val="300"/>
        </w:trPr>
        <w:tc>
          <w:tcPr>
            <w:cnfStyle w:val="001000000000" w:firstRow="0" w:lastRow="0" w:firstColumn="1" w:lastColumn="0" w:oddVBand="0" w:evenVBand="0" w:oddHBand="0" w:evenHBand="0" w:firstRowFirstColumn="0" w:firstRowLastColumn="0" w:lastRowFirstColumn="0" w:lastRowLastColumn="0"/>
            <w:tcW w:w="2432" w:type="pct"/>
            <w:noWrap/>
            <w:hideMark/>
          </w:tcPr>
          <w:p w:rsidR="00B41105" w:rsidRPr="00111289" w:rsidRDefault="00B41105" w:rsidP="00B41105">
            <w:pPr>
              <w:rPr>
                <w:rFonts w:ascii="Calibri" w:hAnsi="Calibri"/>
                <w:color w:val="000000"/>
                <w:sz w:val="22"/>
                <w:szCs w:val="22"/>
                <w:lang w:val="en-GB" w:eastAsia="en-GB"/>
              </w:rPr>
            </w:pPr>
            <w:r w:rsidRPr="00111289">
              <w:rPr>
                <w:rFonts w:ascii="Calibri" w:hAnsi="Calibri"/>
                <w:color w:val="000000"/>
                <w:sz w:val="22"/>
                <w:szCs w:val="22"/>
                <w:lang w:val="en-GB" w:eastAsia="en-GB"/>
              </w:rPr>
              <w:t>Javni dug, uključujući depozite</w:t>
            </w:r>
          </w:p>
        </w:tc>
        <w:tc>
          <w:tcPr>
            <w:tcW w:w="709" w:type="pct"/>
            <w:noWrap/>
            <w:hideMark/>
          </w:tcPr>
          <w:p w:rsidR="00B41105" w:rsidRPr="00111289" w:rsidRDefault="00B41105" w:rsidP="00B41105">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lang w:val="en-GB" w:eastAsia="en-GB"/>
              </w:rPr>
            </w:pPr>
            <w:r w:rsidRPr="00111289">
              <w:rPr>
                <w:rFonts w:ascii="Calibri" w:hAnsi="Calibri"/>
                <w:b/>
                <w:bCs/>
                <w:color w:val="000000"/>
                <w:sz w:val="22"/>
                <w:szCs w:val="22"/>
                <w:lang w:val="en-GB" w:eastAsia="en-GB"/>
              </w:rPr>
              <w:t>3.192,14</w:t>
            </w:r>
          </w:p>
        </w:tc>
        <w:tc>
          <w:tcPr>
            <w:tcW w:w="465" w:type="pct"/>
            <w:noWrap/>
            <w:vAlign w:val="bottom"/>
            <w:hideMark/>
          </w:tcPr>
          <w:p w:rsidR="00B41105" w:rsidRPr="00FF4027" w:rsidRDefault="00B41105" w:rsidP="00B41105">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F4027">
              <w:rPr>
                <w:rFonts w:ascii="Calibri" w:hAnsi="Calibri"/>
                <w:color w:val="000000"/>
                <w:sz w:val="22"/>
                <w:szCs w:val="22"/>
              </w:rPr>
              <w:t>64,47%</w:t>
            </w:r>
          </w:p>
        </w:tc>
        <w:tc>
          <w:tcPr>
            <w:tcW w:w="917" w:type="pct"/>
            <w:noWrap/>
            <w:hideMark/>
          </w:tcPr>
          <w:p w:rsidR="00B41105" w:rsidRPr="00111289" w:rsidRDefault="00B41105" w:rsidP="00B41105">
            <w:pP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 </w:t>
            </w:r>
          </w:p>
        </w:tc>
        <w:tc>
          <w:tcPr>
            <w:tcW w:w="477" w:type="pct"/>
            <w:noWrap/>
            <w:hideMark/>
          </w:tcPr>
          <w:p w:rsidR="00B41105" w:rsidRPr="00111289" w:rsidRDefault="00B41105" w:rsidP="00B41105">
            <w:pP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GB" w:eastAsia="en-GB"/>
              </w:rPr>
            </w:pPr>
            <w:r w:rsidRPr="00111289">
              <w:rPr>
                <w:rFonts w:ascii="Calibri" w:hAnsi="Calibri"/>
                <w:color w:val="000000"/>
                <w:sz w:val="22"/>
                <w:szCs w:val="22"/>
                <w:lang w:val="en-GB" w:eastAsia="en-GB"/>
              </w:rPr>
              <w:t> </w:t>
            </w:r>
          </w:p>
        </w:tc>
      </w:tr>
    </w:tbl>
    <w:p w:rsidR="00111289" w:rsidRPr="00E82664" w:rsidRDefault="00111289" w:rsidP="00111289">
      <w:pPr>
        <w:spacing w:after="160"/>
        <w:rPr>
          <w:rFonts w:ascii="Cambria" w:hAnsi="Cambria"/>
          <w:b/>
          <w:color w:val="418AB3"/>
          <w:lang w:val="sr-Latn-ME" w:eastAsia="en-US"/>
        </w:rPr>
      </w:pPr>
    </w:p>
    <w:p w:rsidR="00E82664" w:rsidRPr="00E82664" w:rsidRDefault="00E82664" w:rsidP="00E82664">
      <w:pPr>
        <w:keepNext/>
        <w:keepLines/>
        <w:spacing w:before="40" w:after="160" w:line="259" w:lineRule="auto"/>
        <w:ind w:left="720"/>
        <w:contextualSpacing/>
        <w:outlineLvl w:val="1"/>
        <w:rPr>
          <w:rFonts w:ascii="Cambria" w:hAnsi="Cambria"/>
          <w:b/>
          <w:color w:val="418AB3"/>
          <w:lang w:val="sr-Latn-ME" w:eastAsia="en-US"/>
        </w:rPr>
      </w:pPr>
    </w:p>
    <w:p w:rsidR="00773897" w:rsidRPr="00773897" w:rsidRDefault="00773897" w:rsidP="00773897">
      <w:pPr>
        <w:keepNext/>
        <w:keepLines/>
        <w:numPr>
          <w:ilvl w:val="0"/>
          <w:numId w:val="48"/>
        </w:numPr>
        <w:spacing w:before="40" w:after="160" w:line="259" w:lineRule="auto"/>
        <w:contextualSpacing/>
        <w:outlineLvl w:val="1"/>
        <w:rPr>
          <w:rFonts w:ascii="Cambria" w:hAnsi="Cambria"/>
          <w:b/>
          <w:color w:val="418AB3"/>
          <w:lang w:val="sr-Latn-ME" w:eastAsia="en-US"/>
        </w:rPr>
      </w:pPr>
      <w:bookmarkStart w:id="7" w:name="_Toc41286659"/>
      <w:r w:rsidRPr="00773897">
        <w:rPr>
          <w:rFonts w:ascii="Cambria" w:hAnsi="Cambria"/>
          <w:b/>
          <w:color w:val="418AB3"/>
          <w:lang w:val="sr-Latn-ME" w:eastAsia="en-US"/>
        </w:rPr>
        <w:t>Kretanje državnog duga u toku 2019. godine</w:t>
      </w:r>
      <w:bookmarkEnd w:id="7"/>
    </w:p>
    <w:p w:rsidR="00773897" w:rsidRPr="00773897" w:rsidRDefault="00E82664" w:rsidP="00E82664">
      <w:pPr>
        <w:tabs>
          <w:tab w:val="left" w:pos="6765"/>
        </w:tabs>
        <w:spacing w:after="160"/>
        <w:rPr>
          <w:rFonts w:ascii="Cambria" w:hAnsi="Cambria"/>
          <w:b/>
          <w:color w:val="418AB3"/>
          <w:sz w:val="22"/>
          <w:szCs w:val="22"/>
          <w:lang w:val="sr-Latn-ME" w:eastAsia="en-US"/>
        </w:rPr>
      </w:pPr>
      <w:r>
        <w:rPr>
          <w:rFonts w:ascii="Cambria" w:hAnsi="Cambria"/>
          <w:b/>
          <w:color w:val="418AB3"/>
          <w:sz w:val="22"/>
          <w:szCs w:val="22"/>
          <w:lang w:val="sr-Latn-ME" w:eastAsia="en-US"/>
        </w:rPr>
        <w:tab/>
      </w:r>
    </w:p>
    <w:p w:rsidR="00773897" w:rsidRPr="00773897" w:rsidRDefault="00773897" w:rsidP="00773897">
      <w:pPr>
        <w:spacing w:after="160"/>
        <w:jc w:val="right"/>
        <w:rPr>
          <w:rFonts w:ascii="Cambria" w:hAnsi="Cambria"/>
          <w:b/>
          <w:color w:val="306785"/>
          <w:sz w:val="22"/>
          <w:szCs w:val="22"/>
          <w:lang w:val="sr-Latn-ME" w:eastAsia="en-US"/>
        </w:rPr>
      </w:pPr>
      <w:r w:rsidRPr="00773897">
        <w:rPr>
          <w:rFonts w:ascii="Cambria" w:hAnsi="Cambria"/>
          <w:b/>
          <w:color w:val="418AB3"/>
          <w:sz w:val="22"/>
          <w:szCs w:val="22"/>
          <w:lang w:val="sr-Latn-ME" w:eastAsia="en-US"/>
        </w:rPr>
        <w:t xml:space="preserve">       </w:t>
      </w:r>
      <w:bookmarkStart w:id="8" w:name="_Toc41286675"/>
      <w:r w:rsidRPr="00773897">
        <w:rPr>
          <w:rFonts w:ascii="Cambria" w:hAnsi="Cambria"/>
          <w:b/>
          <w:color w:val="418AB3"/>
          <w:sz w:val="20"/>
          <w:szCs w:val="20"/>
          <w:lang w:val="sr-Latn-ME" w:eastAsia="en-US"/>
        </w:rPr>
        <w:t xml:space="preserve">Grafik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Figure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3</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Odnos spoljnjeg i domaćeg duga</w:t>
      </w:r>
      <w:bookmarkEnd w:id="5"/>
      <w:bookmarkEnd w:id="8"/>
      <w:r w:rsidRPr="00773897">
        <w:rPr>
          <w:rFonts w:ascii="Cambria" w:hAnsi="Cambria"/>
          <w:b/>
          <w:color w:val="418AB3"/>
          <w:sz w:val="20"/>
          <w:szCs w:val="20"/>
          <w:lang w:val="sr-Latn-ME" w:eastAsia="en-US"/>
        </w:rPr>
        <w:tab/>
      </w:r>
      <w:r w:rsidRPr="00773897">
        <w:rPr>
          <w:rFonts w:ascii="Cambria" w:hAnsi="Cambria"/>
          <w:b/>
          <w:color w:val="306785"/>
          <w:sz w:val="22"/>
          <w:szCs w:val="22"/>
          <w:lang w:val="sr-Latn-ME" w:eastAsia="en-US"/>
        </w:rPr>
        <w:t xml:space="preserve">                         </w:t>
      </w:r>
    </w:p>
    <w:p w:rsidR="00773897" w:rsidRPr="00773897" w:rsidRDefault="00773897" w:rsidP="00773897">
      <w:pPr>
        <w:spacing w:after="160"/>
        <w:jc w:val="both"/>
        <w:rPr>
          <w:rFonts w:ascii="Cambria" w:eastAsia="Cambria" w:hAnsi="Cambria"/>
          <w:bCs/>
          <w:color w:val="5E5E5E"/>
          <w:sz w:val="22"/>
          <w:szCs w:val="22"/>
          <w:lang w:val="sr-Latn-ME" w:eastAsia="en-US"/>
        </w:rPr>
      </w:pPr>
      <w:r w:rsidRPr="00773897">
        <w:rPr>
          <w:rFonts w:ascii="Cambria" w:hAnsi="Cambria"/>
          <w:b/>
          <w:noProof/>
          <w:color w:val="418AB3"/>
          <w:sz w:val="22"/>
          <w:szCs w:val="22"/>
          <w:lang w:val="en-GB" w:eastAsia="en-GB"/>
        </w:rPr>
        <w:drawing>
          <wp:anchor distT="0" distB="0" distL="114300" distR="114300" simplePos="0" relativeHeight="251661312" behindDoc="1" locked="0" layoutInCell="1" allowOverlap="1" wp14:anchorId="371CC30B" wp14:editId="657358EE">
            <wp:simplePos x="0" y="0"/>
            <wp:positionH relativeFrom="margin">
              <wp:posOffset>3249295</wp:posOffset>
            </wp:positionH>
            <wp:positionV relativeFrom="paragraph">
              <wp:posOffset>6985</wp:posOffset>
            </wp:positionV>
            <wp:extent cx="2682240" cy="2171700"/>
            <wp:effectExtent l="0" t="0" r="3810" b="0"/>
            <wp:wrapTight wrapText="bothSides">
              <wp:wrapPolygon edited="0">
                <wp:start x="0" y="0"/>
                <wp:lineTo x="0" y="21411"/>
                <wp:lineTo x="21477" y="21411"/>
                <wp:lineTo x="21477" y="0"/>
                <wp:lineTo x="0" y="0"/>
              </wp:wrapPolygon>
            </wp:wrapTight>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773897">
        <w:rPr>
          <w:rFonts w:ascii="Cambria" w:hAnsi="Cambria" w:cs="Tahoma"/>
          <w:bCs/>
          <w:color w:val="000000"/>
          <w:sz w:val="22"/>
          <w:szCs w:val="22"/>
          <w:lang w:val="sr-Latn-ME" w:eastAsia="en-US"/>
        </w:rPr>
        <w:t>Ukupan državni dug (bez depozita), na 31.12.2</w:t>
      </w:r>
      <w:r w:rsidR="00CE5081">
        <w:rPr>
          <w:rFonts w:ascii="Cambria" w:hAnsi="Cambria" w:cs="Tahoma"/>
          <w:bCs/>
          <w:color w:val="000000"/>
          <w:sz w:val="22"/>
          <w:szCs w:val="22"/>
          <w:lang w:val="sr-Latn-ME" w:eastAsia="en-US"/>
        </w:rPr>
        <w:t>019. godine, iznosio je 3.708,67</w:t>
      </w:r>
      <w:r w:rsidR="00552B8B">
        <w:rPr>
          <w:rFonts w:ascii="Cambria" w:hAnsi="Cambria" w:cs="Tahoma"/>
          <w:bCs/>
          <w:color w:val="000000"/>
          <w:sz w:val="22"/>
          <w:szCs w:val="22"/>
          <w:lang w:val="sr-Latn-ME" w:eastAsia="en-US"/>
        </w:rPr>
        <w:t xml:space="preserve"> miliona eura, ili </w:t>
      </w:r>
      <w:r w:rsidR="00552B8B" w:rsidRPr="00ED5990">
        <w:rPr>
          <w:rFonts w:ascii="Cambria" w:hAnsi="Cambria" w:cs="Tahoma"/>
          <w:bCs/>
          <w:color w:val="000000"/>
          <w:sz w:val="22"/>
          <w:szCs w:val="22"/>
          <w:lang w:val="sr-Latn-ME" w:eastAsia="en-US"/>
        </w:rPr>
        <w:t>74,91</w:t>
      </w:r>
      <w:r w:rsidRPr="00ED5990">
        <w:rPr>
          <w:rFonts w:ascii="Cambria" w:hAnsi="Cambria" w:cs="Tahoma"/>
          <w:bCs/>
          <w:color w:val="000000"/>
          <w:sz w:val="22"/>
          <w:szCs w:val="22"/>
          <w:lang w:val="sr-Latn-ME" w:eastAsia="en-US"/>
        </w:rPr>
        <w:t>% BDP-a. Ukupan državni dug uključujući depozite, na kraju 2019. godine, iznosio je 3.111,</w:t>
      </w:r>
      <w:r w:rsidR="00D56604" w:rsidRPr="00ED5990">
        <w:rPr>
          <w:rFonts w:ascii="Cambria" w:hAnsi="Cambria" w:cs="Tahoma"/>
          <w:bCs/>
          <w:color w:val="000000"/>
          <w:sz w:val="22"/>
          <w:szCs w:val="22"/>
          <w:lang w:val="sr-Latn-ME" w:eastAsia="en-US"/>
        </w:rPr>
        <w:t xml:space="preserve">55 miliona eura ili </w:t>
      </w:r>
      <w:r w:rsidR="00552B8B" w:rsidRPr="00ED5990">
        <w:rPr>
          <w:rFonts w:ascii="Cambria" w:hAnsi="Cambria" w:cs="Tahoma"/>
          <w:bCs/>
          <w:color w:val="000000"/>
          <w:sz w:val="22"/>
          <w:szCs w:val="22"/>
          <w:lang w:val="sr-Latn-ME" w:eastAsia="en-US"/>
        </w:rPr>
        <w:t>62,85</w:t>
      </w:r>
      <w:r w:rsidRPr="00ED5990">
        <w:rPr>
          <w:rFonts w:ascii="Cambria" w:hAnsi="Cambria" w:cs="Tahoma"/>
          <w:bCs/>
          <w:color w:val="000000"/>
          <w:sz w:val="22"/>
          <w:szCs w:val="22"/>
          <w:lang w:val="sr-Latn-ME" w:eastAsia="en-US"/>
        </w:rPr>
        <w:t>% BDP-a.</w:t>
      </w:r>
      <w:r w:rsidR="00CE5081" w:rsidRPr="00ED5990">
        <w:rPr>
          <w:rFonts w:ascii="Cambria" w:hAnsi="Cambria" w:cs="Tahoma"/>
          <w:bCs/>
          <w:color w:val="000000"/>
          <w:sz w:val="22"/>
          <w:szCs w:val="22"/>
          <w:lang w:val="sr-Latn-ME" w:eastAsia="en-US"/>
        </w:rPr>
        <w:t xml:space="preserve"> Spoljni dug iznosio je 3.128,72 miliona eura, odnosno 63,</w:t>
      </w:r>
      <w:r w:rsidR="00552B8B" w:rsidRPr="00ED5990">
        <w:rPr>
          <w:rFonts w:ascii="Cambria" w:hAnsi="Cambria" w:cs="Tahoma"/>
          <w:bCs/>
          <w:color w:val="000000"/>
          <w:sz w:val="22"/>
          <w:szCs w:val="22"/>
          <w:lang w:val="sr-Latn-ME" w:eastAsia="en-US"/>
        </w:rPr>
        <w:t>19</w:t>
      </w:r>
      <w:r w:rsidRPr="00ED5990">
        <w:rPr>
          <w:rFonts w:ascii="Cambria" w:hAnsi="Cambria" w:cs="Tahoma"/>
          <w:bCs/>
          <w:color w:val="000000"/>
          <w:sz w:val="22"/>
          <w:szCs w:val="22"/>
          <w:lang w:val="sr-Latn-ME" w:eastAsia="en-US"/>
        </w:rPr>
        <w:t>% BDP-a, dok je unutrašnji dug iznosio 579,96 miliona eura, odnosno 11,</w:t>
      </w:r>
      <w:r w:rsidR="00552B8B" w:rsidRPr="00ED5990">
        <w:rPr>
          <w:rFonts w:ascii="Cambria" w:hAnsi="Cambria" w:cs="Tahoma"/>
          <w:bCs/>
          <w:color w:val="000000"/>
          <w:sz w:val="22"/>
          <w:szCs w:val="22"/>
          <w:lang w:val="sr-Latn-ME" w:eastAsia="en-US"/>
        </w:rPr>
        <w:t>71</w:t>
      </w:r>
      <w:r w:rsidRPr="00ED5990">
        <w:rPr>
          <w:rFonts w:ascii="Cambria" w:hAnsi="Cambria" w:cs="Tahoma"/>
          <w:bCs/>
          <w:color w:val="000000"/>
          <w:sz w:val="22"/>
          <w:szCs w:val="22"/>
          <w:lang w:val="sr-Latn-ME" w:eastAsia="en-US"/>
        </w:rPr>
        <w:t>%BDP-a.</w:t>
      </w:r>
      <w:bookmarkEnd w:id="6"/>
    </w:p>
    <w:p w:rsidR="00773897" w:rsidRPr="00773897" w:rsidRDefault="00773897" w:rsidP="00773897">
      <w:pPr>
        <w:spacing w:line="259" w:lineRule="auto"/>
        <w:jc w:val="both"/>
        <w:rPr>
          <w:rFonts w:ascii="Cambria" w:hAnsi="Cambria" w:cs="Tahoma"/>
          <w:color w:val="000000"/>
          <w:sz w:val="22"/>
          <w:szCs w:val="22"/>
          <w:lang w:val="sr-Latn-ME" w:eastAsia="en-US"/>
        </w:rPr>
      </w:pPr>
      <w:r w:rsidRPr="00773897">
        <w:rPr>
          <w:rFonts w:ascii="Cambria" w:hAnsi="Cambria" w:cs="Tahoma"/>
          <w:color w:val="000000"/>
          <w:sz w:val="22"/>
          <w:szCs w:val="22"/>
          <w:lang w:val="sr-Latn-ME" w:eastAsia="en-US"/>
        </w:rPr>
        <w:t xml:space="preserve">U stanje državnog duga uključen je i dio duga lokalne  samouprave, u iznosu od 38,11 miliona eura, po osnovu ugovora za koje je Ministarstvo finansija zaključilo ugovore sa međunarodnim kreditorima, a sa opštinama potkreditne ugovore, jer se Ministarstvo finansija pojavljuje kao direktni </w:t>
      </w:r>
    </w:p>
    <w:p w:rsidR="00773897" w:rsidRPr="00773897" w:rsidRDefault="00773897" w:rsidP="00773897">
      <w:pPr>
        <w:spacing w:line="259" w:lineRule="auto"/>
        <w:jc w:val="both"/>
        <w:rPr>
          <w:rFonts w:ascii="Cambria" w:hAnsi="Cambria" w:cs="Tahoma"/>
          <w:color w:val="000000"/>
          <w:sz w:val="22"/>
          <w:szCs w:val="22"/>
          <w:lang w:val="sr-Latn-ME" w:eastAsia="en-US"/>
        </w:rPr>
      </w:pPr>
      <w:r w:rsidRPr="00773897">
        <w:rPr>
          <w:rFonts w:ascii="Cambria" w:hAnsi="Cambria" w:cs="Tahoma"/>
          <w:color w:val="000000"/>
          <w:sz w:val="22"/>
          <w:szCs w:val="22"/>
          <w:lang w:val="sr-Latn-ME" w:eastAsia="en-US"/>
        </w:rPr>
        <w:t xml:space="preserve">zajmoprimac. </w:t>
      </w:r>
    </w:p>
    <w:p w:rsidR="00773897" w:rsidRPr="00773897" w:rsidRDefault="00773897" w:rsidP="00773897">
      <w:pPr>
        <w:spacing w:line="259" w:lineRule="auto"/>
        <w:jc w:val="both"/>
        <w:rPr>
          <w:rFonts w:ascii="Cambria" w:hAnsi="Cambria" w:cs="Tahoma"/>
          <w:color w:val="000000"/>
          <w:sz w:val="22"/>
          <w:szCs w:val="22"/>
          <w:lang w:val="sr-Latn-ME" w:eastAsia="en-US"/>
        </w:rPr>
      </w:pPr>
    </w:p>
    <w:p w:rsidR="00773897" w:rsidRPr="00773897" w:rsidRDefault="00773897" w:rsidP="00773897">
      <w:pPr>
        <w:spacing w:after="160"/>
        <w:jc w:val="right"/>
        <w:rPr>
          <w:rFonts w:ascii="Cambria" w:hAnsi="Cambria"/>
          <w:b/>
          <w:color w:val="418AB3"/>
          <w:sz w:val="20"/>
          <w:szCs w:val="20"/>
          <w:lang w:val="sr-Latn-ME" w:eastAsia="en-US"/>
        </w:rPr>
      </w:pPr>
    </w:p>
    <w:p w:rsidR="00773897" w:rsidRPr="00773897" w:rsidRDefault="00773897" w:rsidP="00773897">
      <w:pPr>
        <w:spacing w:after="160"/>
        <w:jc w:val="right"/>
        <w:rPr>
          <w:rFonts w:ascii="Cambria" w:hAnsi="Cambria"/>
          <w:b/>
          <w:color w:val="418AB3"/>
          <w:sz w:val="20"/>
          <w:szCs w:val="20"/>
          <w:lang w:val="sr-Latn-ME" w:eastAsia="en-US"/>
        </w:rPr>
      </w:pPr>
      <w:bookmarkStart w:id="9" w:name="_Toc41286676"/>
      <w:r w:rsidRPr="00773897">
        <w:rPr>
          <w:rFonts w:ascii="Cambria" w:hAnsi="Cambria"/>
          <w:b/>
          <w:color w:val="418AB3"/>
          <w:sz w:val="20"/>
          <w:szCs w:val="20"/>
          <w:lang w:val="sr-Latn-ME" w:eastAsia="en-US"/>
        </w:rPr>
        <w:t xml:space="preserve">Grafik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Figure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4</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Valutna struktura državnog duga</w:t>
      </w:r>
      <w:bookmarkEnd w:id="9"/>
      <w:r w:rsidRPr="00773897">
        <w:rPr>
          <w:rFonts w:ascii="Cambria" w:hAnsi="Cambria"/>
          <w:b/>
          <w:color w:val="418AB3"/>
          <w:sz w:val="20"/>
          <w:szCs w:val="20"/>
          <w:lang w:val="sr-Latn-ME" w:eastAsia="en-US"/>
        </w:rPr>
        <w:t xml:space="preserve">             </w:t>
      </w:r>
    </w:p>
    <w:p w:rsidR="00773897" w:rsidRPr="00773897" w:rsidRDefault="00773897" w:rsidP="00773897">
      <w:pPr>
        <w:spacing w:line="259" w:lineRule="auto"/>
        <w:jc w:val="both"/>
        <w:rPr>
          <w:rFonts w:ascii="Cambria" w:hAnsi="Cambria" w:cs="Tahoma"/>
          <w:color w:val="000000"/>
          <w:sz w:val="22"/>
          <w:szCs w:val="22"/>
          <w:lang w:val="sr-Latn-ME" w:eastAsia="en-US"/>
        </w:rPr>
      </w:pPr>
    </w:p>
    <w:p w:rsidR="00773897" w:rsidRPr="00773897" w:rsidRDefault="00773897" w:rsidP="00773897">
      <w:pPr>
        <w:spacing w:line="259" w:lineRule="auto"/>
        <w:jc w:val="both"/>
        <w:rPr>
          <w:rFonts w:ascii="Cambria" w:hAnsi="Cambria" w:cs="Tahoma"/>
          <w:color w:val="000000"/>
          <w:sz w:val="22"/>
          <w:szCs w:val="22"/>
          <w:lang w:val="sr-Latn-ME" w:eastAsia="en-US"/>
        </w:rPr>
      </w:pPr>
      <w:r w:rsidRPr="00773897">
        <w:rPr>
          <w:rFonts w:ascii="Cambria" w:eastAsia="Cambria" w:hAnsi="Cambria"/>
          <w:noProof/>
          <w:sz w:val="22"/>
          <w:szCs w:val="22"/>
          <w:lang w:val="en-GB" w:eastAsia="en-GB"/>
        </w:rPr>
        <w:drawing>
          <wp:anchor distT="0" distB="0" distL="114300" distR="114300" simplePos="0" relativeHeight="251663360" behindDoc="1" locked="0" layoutInCell="1" allowOverlap="1" wp14:anchorId="15279DCC" wp14:editId="2BDD4DD6">
            <wp:simplePos x="0" y="0"/>
            <wp:positionH relativeFrom="margin">
              <wp:align>right</wp:align>
            </wp:positionH>
            <wp:positionV relativeFrom="paragraph">
              <wp:posOffset>15875</wp:posOffset>
            </wp:positionV>
            <wp:extent cx="2533650" cy="1924050"/>
            <wp:effectExtent l="0" t="0" r="0" b="0"/>
            <wp:wrapTight wrapText="bothSides">
              <wp:wrapPolygon edited="0">
                <wp:start x="0" y="0"/>
                <wp:lineTo x="0" y="21386"/>
                <wp:lineTo x="21438" y="21386"/>
                <wp:lineTo x="21438" y="0"/>
                <wp:lineTo x="0" y="0"/>
              </wp:wrapPolygon>
            </wp:wrapTight>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773897">
        <w:rPr>
          <w:rFonts w:ascii="Cambria" w:hAnsi="Cambria" w:cs="Tahoma"/>
          <w:color w:val="000000"/>
          <w:sz w:val="22"/>
          <w:szCs w:val="22"/>
          <w:lang w:val="sr-Latn-ME" w:eastAsia="en-US"/>
        </w:rPr>
        <w:t>U odnosu na kraj 2018. godine, došlo je do povećanja državnog duga u ukupnom iznosu od 555,</w:t>
      </w:r>
      <w:r w:rsidR="00CE5081">
        <w:rPr>
          <w:rFonts w:ascii="Cambria" w:hAnsi="Cambria" w:cs="Tahoma"/>
          <w:color w:val="000000"/>
          <w:sz w:val="22"/>
          <w:szCs w:val="22"/>
          <w:lang w:val="sr-Latn-ME" w:eastAsia="en-US"/>
        </w:rPr>
        <w:t>69</w:t>
      </w:r>
      <w:r w:rsidRPr="00773897">
        <w:rPr>
          <w:rFonts w:ascii="Cambria" w:hAnsi="Cambria" w:cs="Tahoma"/>
          <w:color w:val="000000"/>
          <w:sz w:val="22"/>
          <w:szCs w:val="22"/>
          <w:lang w:val="sr-Latn-ME" w:eastAsia="en-US"/>
        </w:rPr>
        <w:t xml:space="preserve"> miliona eura, što je rezultat povećanja spoljnjeg duga za 368,47 miliona eura, i povećanja domaćeg duga za</w:t>
      </w:r>
      <w:r w:rsidRPr="00773897">
        <w:rPr>
          <w:rFonts w:ascii="Cambria" w:eastAsia="Cambria" w:hAnsi="Cambria"/>
          <w:sz w:val="22"/>
          <w:szCs w:val="22"/>
          <w:lang w:val="sr-Latn-ME" w:eastAsia="en-US"/>
        </w:rPr>
        <w:t xml:space="preserve"> 186,98 miliona eura. Do povećanja spoljnjeg duga došlo je prvenstveno </w:t>
      </w:r>
      <w:r w:rsidRPr="00773897">
        <w:rPr>
          <w:rFonts w:ascii="Cambria" w:hAnsi="Cambria" w:cs="Tahoma"/>
          <w:color w:val="000000"/>
          <w:sz w:val="22"/>
          <w:szCs w:val="22"/>
          <w:lang w:val="sr-Latn-ME" w:eastAsia="en-US"/>
        </w:rPr>
        <w:t xml:space="preserve">zbog </w:t>
      </w:r>
      <w:r w:rsidRPr="00773897">
        <w:rPr>
          <w:rFonts w:ascii="Cambria" w:eastAsia="Cambria" w:hAnsi="Cambria"/>
          <w:sz w:val="22"/>
          <w:szCs w:val="22"/>
          <w:lang w:val="sr-Latn-ME" w:eastAsia="en-US"/>
        </w:rPr>
        <w:t>emisije euroobveznica na međunarodnom tržištu, u iznosu od 500 miliona eura,  kao i zbog zaduženja kod kineske EXIM banke, radi izgradnje prioritetne dionice autoputa. Domaći dug je povećan u najvećoj mjeri usled emitovanih domaćih obveznica, u iznosu od 142,44 miliona eura</w:t>
      </w:r>
    </w:p>
    <w:p w:rsidR="00773897" w:rsidRPr="00773897" w:rsidRDefault="00773897" w:rsidP="00773897">
      <w:pPr>
        <w:spacing w:after="160"/>
        <w:ind w:left="4320" w:firstLine="720"/>
        <w:jc w:val="right"/>
        <w:rPr>
          <w:rFonts w:ascii="Cambria" w:hAnsi="Cambria"/>
          <w:b/>
          <w:color w:val="418AB3"/>
          <w:sz w:val="20"/>
          <w:szCs w:val="20"/>
          <w:lang w:val="sr-Latn-ME" w:eastAsia="en-US"/>
        </w:rPr>
      </w:pPr>
      <w:bookmarkStart w:id="10" w:name="_Toc3474460"/>
      <w:bookmarkStart w:id="11" w:name="_Toc35253506"/>
    </w:p>
    <w:p w:rsidR="00773897" w:rsidRPr="00773897" w:rsidRDefault="00773897" w:rsidP="00773897">
      <w:pPr>
        <w:spacing w:after="160"/>
        <w:ind w:left="4320" w:firstLine="720"/>
        <w:jc w:val="right"/>
        <w:rPr>
          <w:rFonts w:ascii="Cambria" w:hAnsi="Cambria"/>
          <w:b/>
          <w:color w:val="418AB3"/>
          <w:sz w:val="20"/>
          <w:szCs w:val="20"/>
          <w:lang w:val="sr-Latn-ME" w:eastAsia="en-US"/>
        </w:rPr>
      </w:pPr>
    </w:p>
    <w:p w:rsidR="00773897" w:rsidRPr="00773897" w:rsidRDefault="00773897" w:rsidP="00773897">
      <w:pPr>
        <w:spacing w:after="160"/>
        <w:ind w:left="4320" w:firstLine="720"/>
        <w:jc w:val="right"/>
        <w:rPr>
          <w:rFonts w:ascii="Cambria" w:hAnsi="Cambria"/>
          <w:b/>
          <w:color w:val="418AB3"/>
          <w:sz w:val="20"/>
          <w:szCs w:val="20"/>
          <w:lang w:val="sr-Latn-ME" w:eastAsia="en-US"/>
        </w:rPr>
      </w:pPr>
    </w:p>
    <w:p w:rsidR="00773897" w:rsidRPr="00773897" w:rsidRDefault="00773897" w:rsidP="00773897">
      <w:pPr>
        <w:spacing w:after="160"/>
        <w:ind w:left="4320" w:firstLine="720"/>
        <w:jc w:val="right"/>
        <w:rPr>
          <w:rFonts w:ascii="Cambria" w:hAnsi="Cambria"/>
          <w:b/>
          <w:color w:val="418AB3"/>
          <w:sz w:val="20"/>
          <w:szCs w:val="20"/>
          <w:lang w:val="sr-Latn-ME" w:eastAsia="en-US"/>
        </w:rPr>
      </w:pPr>
    </w:p>
    <w:p w:rsidR="00773897" w:rsidRDefault="00773897" w:rsidP="00773897">
      <w:pPr>
        <w:spacing w:after="160"/>
        <w:ind w:left="4320" w:firstLine="720"/>
        <w:jc w:val="right"/>
        <w:rPr>
          <w:rFonts w:ascii="Cambria" w:hAnsi="Cambria"/>
          <w:b/>
          <w:color w:val="418AB3"/>
          <w:sz w:val="20"/>
          <w:szCs w:val="20"/>
          <w:lang w:val="sr-Latn-ME" w:eastAsia="en-US"/>
        </w:rPr>
      </w:pPr>
    </w:p>
    <w:p w:rsidR="00AE39E1" w:rsidRPr="00773897" w:rsidRDefault="00AE39E1" w:rsidP="00773897">
      <w:pPr>
        <w:spacing w:after="160"/>
        <w:ind w:left="4320" w:firstLine="720"/>
        <w:jc w:val="right"/>
        <w:rPr>
          <w:rFonts w:ascii="Cambria" w:hAnsi="Cambria"/>
          <w:b/>
          <w:color w:val="418AB3"/>
          <w:sz w:val="20"/>
          <w:szCs w:val="20"/>
          <w:lang w:val="sr-Latn-ME" w:eastAsia="en-US"/>
        </w:rPr>
      </w:pPr>
    </w:p>
    <w:p w:rsidR="00773897" w:rsidRPr="00773897" w:rsidRDefault="00773897" w:rsidP="00773897">
      <w:pPr>
        <w:spacing w:after="160"/>
        <w:ind w:left="4320" w:firstLine="720"/>
        <w:jc w:val="right"/>
        <w:rPr>
          <w:rFonts w:ascii="Cambria" w:hAnsi="Cambria"/>
          <w:b/>
          <w:color w:val="306785"/>
          <w:sz w:val="22"/>
          <w:szCs w:val="22"/>
          <w:lang w:val="sr-Latn-ME" w:eastAsia="en-US"/>
        </w:rPr>
      </w:pPr>
      <w:bookmarkStart w:id="12" w:name="_Toc41286677"/>
      <w:r w:rsidRPr="00773897">
        <w:rPr>
          <w:rFonts w:ascii="Cambria" w:hAnsi="Cambria"/>
          <w:b/>
          <w:color w:val="418AB3"/>
          <w:sz w:val="20"/>
          <w:szCs w:val="20"/>
          <w:lang w:val="sr-Latn-ME" w:eastAsia="en-US"/>
        </w:rPr>
        <w:lastRenderedPageBreak/>
        <w:t xml:space="preserve">Grafik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Figure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5</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Kamatna struktura državnog duga</w:t>
      </w:r>
      <w:bookmarkEnd w:id="10"/>
      <w:bookmarkEnd w:id="11"/>
      <w:bookmarkEnd w:id="12"/>
      <w:r w:rsidRPr="00773897">
        <w:rPr>
          <w:rFonts w:ascii="Cambria" w:hAnsi="Cambria"/>
          <w:b/>
          <w:color w:val="306785"/>
          <w:sz w:val="22"/>
          <w:szCs w:val="22"/>
          <w:lang w:val="sr-Latn-ME" w:eastAsia="en-US"/>
        </w:rPr>
        <w:tab/>
      </w:r>
      <w:r w:rsidRPr="00773897">
        <w:rPr>
          <w:rFonts w:ascii="Cambria" w:hAnsi="Cambria"/>
          <w:b/>
          <w:color w:val="306785"/>
          <w:sz w:val="22"/>
          <w:szCs w:val="22"/>
          <w:lang w:val="sr-Latn-ME" w:eastAsia="en-US"/>
        </w:rPr>
        <w:tab/>
      </w:r>
      <w:r w:rsidRPr="00773897">
        <w:rPr>
          <w:rFonts w:ascii="Cambria" w:hAnsi="Cambria"/>
          <w:b/>
          <w:color w:val="306785"/>
          <w:sz w:val="22"/>
          <w:szCs w:val="22"/>
          <w:lang w:val="sr-Latn-ME" w:eastAsia="en-US"/>
        </w:rPr>
        <w:tab/>
      </w:r>
      <w:r w:rsidRPr="00773897">
        <w:rPr>
          <w:rFonts w:ascii="Cambria" w:hAnsi="Cambria"/>
          <w:b/>
          <w:color w:val="306785"/>
          <w:sz w:val="22"/>
          <w:szCs w:val="22"/>
          <w:lang w:val="sr-Latn-ME" w:eastAsia="en-US"/>
        </w:rPr>
        <w:tab/>
      </w:r>
      <w:r w:rsidRPr="00773897">
        <w:rPr>
          <w:rFonts w:ascii="Cambria" w:hAnsi="Cambria"/>
          <w:b/>
          <w:color w:val="306785"/>
          <w:sz w:val="22"/>
          <w:szCs w:val="22"/>
          <w:lang w:val="sr-Latn-ME" w:eastAsia="en-US"/>
        </w:rPr>
        <w:tab/>
      </w:r>
      <w:r w:rsidRPr="00773897">
        <w:rPr>
          <w:rFonts w:ascii="Cambria" w:hAnsi="Cambria"/>
          <w:b/>
          <w:color w:val="306785"/>
          <w:sz w:val="22"/>
          <w:szCs w:val="22"/>
          <w:lang w:val="sr-Latn-ME" w:eastAsia="en-US"/>
        </w:rPr>
        <w:tab/>
      </w:r>
      <w:r w:rsidRPr="00773897">
        <w:rPr>
          <w:rFonts w:ascii="Cambria" w:hAnsi="Cambria"/>
          <w:b/>
          <w:color w:val="306785"/>
          <w:sz w:val="22"/>
          <w:szCs w:val="22"/>
          <w:lang w:val="sr-Latn-ME" w:eastAsia="en-US"/>
        </w:rPr>
        <w:tab/>
        <w:t xml:space="preserve"> </w:t>
      </w:r>
    </w:p>
    <w:p w:rsidR="00773897" w:rsidRPr="00773897" w:rsidRDefault="00773897" w:rsidP="00773897">
      <w:pPr>
        <w:spacing w:after="160" w:line="259" w:lineRule="auto"/>
        <w:jc w:val="both"/>
        <w:rPr>
          <w:rFonts w:ascii="Cambria" w:eastAsia="Cambria" w:hAnsi="Cambria"/>
          <w:noProof/>
          <w:sz w:val="22"/>
          <w:szCs w:val="22"/>
          <w:lang w:val="sr-Latn-ME" w:eastAsia="en-US"/>
        </w:rPr>
      </w:pPr>
      <w:r w:rsidRPr="00773897">
        <w:rPr>
          <w:rFonts w:ascii="Cambria" w:eastAsia="Cambria" w:hAnsi="Cambria"/>
          <w:noProof/>
          <w:sz w:val="22"/>
          <w:szCs w:val="22"/>
          <w:lang w:val="en-GB" w:eastAsia="en-GB"/>
        </w:rPr>
        <w:drawing>
          <wp:anchor distT="0" distB="0" distL="114300" distR="114300" simplePos="0" relativeHeight="251662336" behindDoc="1" locked="0" layoutInCell="1" allowOverlap="1" wp14:anchorId="63FFE375" wp14:editId="6AC5DBBD">
            <wp:simplePos x="0" y="0"/>
            <wp:positionH relativeFrom="margin">
              <wp:align>right</wp:align>
            </wp:positionH>
            <wp:positionV relativeFrom="paragraph">
              <wp:posOffset>4445</wp:posOffset>
            </wp:positionV>
            <wp:extent cx="2613660" cy="1876425"/>
            <wp:effectExtent l="0" t="0" r="15240" b="9525"/>
            <wp:wrapTight wrapText="bothSides">
              <wp:wrapPolygon edited="0">
                <wp:start x="0" y="0"/>
                <wp:lineTo x="0" y="21490"/>
                <wp:lineTo x="21569" y="21490"/>
                <wp:lineTo x="21569" y="0"/>
                <wp:lineTo x="0" y="0"/>
              </wp:wrapPolygon>
            </wp:wrapTight>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773897">
        <w:rPr>
          <w:rFonts w:ascii="Cambria" w:eastAsia="Cambria" w:hAnsi="Cambria"/>
          <w:sz w:val="22"/>
          <w:szCs w:val="22"/>
          <w:lang w:val="sr-Latn-ME" w:eastAsia="en-US"/>
        </w:rPr>
        <w:t>Sa aspekta kamatne stope, kreditni portfolio je stabilan imajući u vidu dominantno učešće zaduženja po fiksnoj kamatnoj stopi, dok su zaduženja sa varijabilnom kamatnom stopom uglavnom vezana sa EURIBOR, koji bilježi istorijski niske vrijednosti.</w:t>
      </w:r>
      <w:r w:rsidRPr="00773897">
        <w:rPr>
          <w:rFonts w:ascii="Cambria" w:eastAsia="Cambria" w:hAnsi="Cambria"/>
          <w:noProof/>
          <w:sz w:val="22"/>
          <w:szCs w:val="22"/>
          <w:lang w:val="en-GB" w:eastAsia="en-GB"/>
        </w:rPr>
        <w:t xml:space="preserve"> </w:t>
      </w:r>
    </w:p>
    <w:p w:rsidR="00773897" w:rsidRPr="00773897" w:rsidRDefault="00773897" w:rsidP="00773897">
      <w:pPr>
        <w:spacing w:after="160" w:line="259" w:lineRule="auto"/>
        <w:jc w:val="both"/>
        <w:rPr>
          <w:rFonts w:ascii="Cambria" w:eastAsia="Cambria" w:hAnsi="Cambria"/>
          <w:sz w:val="22"/>
          <w:szCs w:val="22"/>
          <w:lang w:val="sr-Latn-ME" w:eastAsia="en-US"/>
        </w:rPr>
      </w:pPr>
      <w:r w:rsidRPr="00773897">
        <w:rPr>
          <w:rFonts w:ascii="Cambria" w:eastAsia="Cambria" w:hAnsi="Cambria"/>
          <w:sz w:val="22"/>
          <w:szCs w:val="22"/>
          <w:lang w:val="sr-Latn-ME" w:eastAsia="en-US"/>
        </w:rPr>
        <w:t>Takođe, produžena je prosječna ročnost duga sa 5,2 godina, koliko je iznosila na kraju 2018. godine, na 5,9</w:t>
      </w:r>
      <w:r w:rsidRPr="00773897">
        <w:rPr>
          <w:rFonts w:ascii="Cambria" w:eastAsia="Cambria" w:hAnsi="Cambria"/>
          <w:sz w:val="22"/>
          <w:szCs w:val="22"/>
          <w:vertAlign w:val="superscript"/>
          <w:lang w:val="sr-Latn-ME" w:eastAsia="en-US"/>
        </w:rPr>
        <w:footnoteReference w:id="2"/>
      </w:r>
      <w:r w:rsidRPr="00773897">
        <w:rPr>
          <w:rFonts w:ascii="Cambria" w:eastAsia="Cambria" w:hAnsi="Cambria"/>
          <w:sz w:val="22"/>
          <w:szCs w:val="22"/>
          <w:lang w:val="sr-Latn-ME" w:eastAsia="en-US"/>
        </w:rPr>
        <w:t xml:space="preserve"> godine koliko iznosi na kraju 2019. godine. </w:t>
      </w:r>
    </w:p>
    <w:p w:rsidR="00773897" w:rsidRPr="00773897" w:rsidRDefault="00773897" w:rsidP="00773897">
      <w:pPr>
        <w:spacing w:after="160"/>
        <w:rPr>
          <w:rFonts w:ascii="Cambria" w:eastAsia="Cambria" w:hAnsi="Cambria"/>
          <w:b/>
          <w:bCs/>
          <w:color w:val="5E5E5E"/>
          <w:sz w:val="22"/>
          <w:szCs w:val="22"/>
          <w:lang w:val="en-GB" w:eastAsia="en-US"/>
        </w:rPr>
      </w:pPr>
    </w:p>
    <w:p w:rsidR="00773897" w:rsidRPr="00773897" w:rsidRDefault="00773897" w:rsidP="00773897">
      <w:pPr>
        <w:spacing w:after="160"/>
        <w:rPr>
          <w:rFonts w:ascii="Cambria" w:hAnsi="Cambria"/>
          <w:b/>
          <w:color w:val="418AB3"/>
          <w:sz w:val="22"/>
          <w:szCs w:val="22"/>
          <w:lang w:val="sr-Latn-ME" w:eastAsia="en-US"/>
        </w:rPr>
      </w:pPr>
      <w:bookmarkStart w:id="13" w:name="_Toc41286678"/>
      <w:r w:rsidRPr="00773897">
        <w:rPr>
          <w:rFonts w:ascii="Cambria" w:hAnsi="Cambria"/>
          <w:b/>
          <w:color w:val="418AB3"/>
          <w:sz w:val="20"/>
          <w:szCs w:val="20"/>
          <w:lang w:val="sr-Latn-ME" w:eastAsia="en-US"/>
        </w:rPr>
        <w:t xml:space="preserve">Grafik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Figure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6</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Kretanje realne podnerisane prosječne kamatne stope u periodu 2014-2019.god.</w:t>
      </w:r>
      <w:r w:rsidRPr="00773897">
        <w:rPr>
          <w:rFonts w:ascii="Cambria" w:hAnsi="Cambria"/>
          <w:b/>
          <w:noProof/>
          <w:color w:val="418AB3"/>
          <w:sz w:val="22"/>
          <w:szCs w:val="22"/>
          <w:lang w:val="en-GB" w:eastAsia="en-GB"/>
        </w:rPr>
        <w:drawing>
          <wp:anchor distT="0" distB="0" distL="114300" distR="114300" simplePos="0" relativeHeight="251664384" behindDoc="1" locked="0" layoutInCell="1" allowOverlap="1" wp14:anchorId="438BD281" wp14:editId="6617679E">
            <wp:simplePos x="0" y="0"/>
            <wp:positionH relativeFrom="column">
              <wp:posOffset>-23495</wp:posOffset>
            </wp:positionH>
            <wp:positionV relativeFrom="paragraph">
              <wp:posOffset>288925</wp:posOffset>
            </wp:positionV>
            <wp:extent cx="4238625" cy="1866900"/>
            <wp:effectExtent l="0" t="0" r="0" b="0"/>
            <wp:wrapTight wrapText="bothSides">
              <wp:wrapPolygon edited="0">
                <wp:start x="0" y="0"/>
                <wp:lineTo x="0" y="21380"/>
                <wp:lineTo x="21454" y="21380"/>
                <wp:lineTo x="21454"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bookmarkEnd w:id="13"/>
    </w:p>
    <w:p w:rsidR="00773897" w:rsidRPr="00773897" w:rsidRDefault="00773897" w:rsidP="00773897">
      <w:pPr>
        <w:spacing w:after="160" w:line="259" w:lineRule="auto"/>
        <w:jc w:val="both"/>
        <w:rPr>
          <w:rFonts w:ascii="Cambria" w:eastAsia="Cambria" w:hAnsi="Cambria"/>
          <w:sz w:val="22"/>
          <w:szCs w:val="22"/>
          <w:lang w:val="sr-Latn-ME" w:eastAsia="en-US"/>
        </w:rPr>
      </w:pPr>
      <w:r w:rsidRPr="00773897">
        <w:rPr>
          <w:rFonts w:ascii="Cambria" w:eastAsia="Cambria" w:hAnsi="Cambria"/>
          <w:sz w:val="22"/>
          <w:szCs w:val="22"/>
          <w:lang w:val="sr-Latn-ME" w:eastAsia="en-US"/>
        </w:rPr>
        <w:t>Struktura državnog duga na kraju 2019. godine ima realnu ponderisanu prosječnu kamatnu stopu od 2,8%, što znači da je trošak zaduživanja smanjen za 0,2% u odnosu na kraj 2018. godine.</w:t>
      </w:r>
    </w:p>
    <w:p w:rsidR="00773897" w:rsidRPr="00773897" w:rsidRDefault="00773897" w:rsidP="00773897">
      <w:pPr>
        <w:spacing w:after="160" w:line="259" w:lineRule="auto"/>
        <w:jc w:val="both"/>
        <w:rPr>
          <w:rFonts w:ascii="Cambria" w:eastAsia="Cambria" w:hAnsi="Cambria"/>
          <w:sz w:val="22"/>
          <w:szCs w:val="22"/>
          <w:lang w:val="sr-Latn-ME" w:eastAsia="en-US"/>
        </w:rPr>
      </w:pPr>
    </w:p>
    <w:p w:rsidR="00773897" w:rsidRPr="00773897" w:rsidRDefault="00773897" w:rsidP="00773897">
      <w:pPr>
        <w:spacing w:line="259" w:lineRule="auto"/>
        <w:jc w:val="both"/>
        <w:rPr>
          <w:rFonts w:ascii="Cambria" w:eastAsia="Cambria" w:hAnsi="Cambria"/>
          <w:lang w:val="sr-Latn-ME" w:eastAsia="en-US"/>
        </w:rPr>
      </w:pPr>
    </w:p>
    <w:p w:rsidR="00773897" w:rsidRPr="00773897" w:rsidRDefault="00773897" w:rsidP="00773897">
      <w:pPr>
        <w:keepNext/>
        <w:keepLines/>
        <w:numPr>
          <w:ilvl w:val="1"/>
          <w:numId w:val="48"/>
        </w:numPr>
        <w:spacing w:before="40" w:after="160" w:line="259" w:lineRule="auto"/>
        <w:contextualSpacing/>
        <w:outlineLvl w:val="1"/>
        <w:rPr>
          <w:rFonts w:ascii="Cambria" w:hAnsi="Cambria"/>
          <w:b/>
          <w:color w:val="418AB3"/>
          <w:lang w:val="sr-Latn-ME" w:eastAsia="en-US"/>
        </w:rPr>
      </w:pPr>
      <w:bookmarkStart w:id="14" w:name="_Toc3787621"/>
      <w:bookmarkStart w:id="15" w:name="_Toc41286660"/>
      <w:r w:rsidRPr="00773897">
        <w:rPr>
          <w:rFonts w:ascii="Cambria" w:hAnsi="Cambria"/>
          <w:b/>
          <w:color w:val="418AB3"/>
          <w:lang w:val="sr-Latn-ME" w:eastAsia="en-US"/>
        </w:rPr>
        <w:t>Spoljni dug</w:t>
      </w:r>
      <w:bookmarkEnd w:id="14"/>
      <w:bookmarkEnd w:id="15"/>
    </w:p>
    <w:p w:rsidR="00773897" w:rsidRPr="00773897" w:rsidRDefault="00773897" w:rsidP="00773897">
      <w:pPr>
        <w:spacing w:line="259" w:lineRule="auto"/>
        <w:jc w:val="both"/>
        <w:rPr>
          <w:rFonts w:ascii="Cambria" w:eastAsia="Cambria" w:hAnsi="Cambria"/>
          <w:sz w:val="22"/>
          <w:szCs w:val="22"/>
          <w:lang w:val="sr-Latn-ME" w:eastAsia="en-US"/>
        </w:rPr>
      </w:pPr>
    </w:p>
    <w:p w:rsidR="00773897" w:rsidRPr="00773897" w:rsidRDefault="00773897" w:rsidP="00773897">
      <w:pPr>
        <w:spacing w:after="160" w:line="259" w:lineRule="auto"/>
        <w:jc w:val="both"/>
        <w:rPr>
          <w:rFonts w:ascii="Cambria" w:eastAsia="Cambria" w:hAnsi="Cambria"/>
          <w:color w:val="418AB3"/>
          <w:lang w:val="sr-Latn-ME" w:eastAsia="en-US"/>
        </w:rPr>
      </w:pPr>
      <w:r w:rsidRPr="00773897">
        <w:rPr>
          <w:rFonts w:ascii="Cambria" w:eastAsia="Cambria" w:hAnsi="Cambria"/>
          <w:sz w:val="22"/>
          <w:szCs w:val="22"/>
          <w:lang w:val="sr-Latn-ME" w:eastAsia="en-US"/>
        </w:rPr>
        <w:t xml:space="preserve">Spoljni dug na kraju 2019. godine iznosio </w:t>
      </w:r>
      <w:r w:rsidR="00CE5081">
        <w:rPr>
          <w:rFonts w:ascii="Cambria" w:hAnsi="Cambria"/>
          <w:b/>
          <w:bCs/>
          <w:sz w:val="22"/>
          <w:szCs w:val="22"/>
          <w:lang w:val="en-GB" w:eastAsia="en-GB"/>
        </w:rPr>
        <w:t>3.128,72</w:t>
      </w:r>
      <w:r w:rsidRPr="00773897">
        <w:rPr>
          <w:rFonts w:ascii="Cambria" w:hAnsi="Cambria"/>
          <w:b/>
          <w:bCs/>
          <w:sz w:val="22"/>
          <w:szCs w:val="22"/>
          <w:lang w:val="en-GB" w:eastAsia="en-GB"/>
        </w:rPr>
        <w:t xml:space="preserve"> </w:t>
      </w:r>
      <w:r w:rsidRPr="00773897">
        <w:rPr>
          <w:rFonts w:ascii="Cambria" w:eastAsia="Cambria" w:hAnsi="Cambria"/>
          <w:sz w:val="22"/>
          <w:szCs w:val="22"/>
          <w:lang w:val="sr-Latn-ME" w:eastAsia="en-US"/>
        </w:rPr>
        <w:t xml:space="preserve">miliona eura, osnosno </w:t>
      </w:r>
      <w:r w:rsidR="00CE5081" w:rsidRPr="00E8701F">
        <w:rPr>
          <w:rFonts w:ascii="Cambria" w:eastAsia="Cambria" w:hAnsi="Cambria"/>
          <w:b/>
          <w:sz w:val="22"/>
          <w:szCs w:val="22"/>
          <w:lang w:val="sr-Latn-ME" w:eastAsia="en-US"/>
        </w:rPr>
        <w:t>63,</w:t>
      </w:r>
      <w:r w:rsidR="00552B8B" w:rsidRPr="00E8701F">
        <w:rPr>
          <w:rFonts w:ascii="Cambria" w:eastAsia="Cambria" w:hAnsi="Cambria"/>
          <w:b/>
          <w:sz w:val="22"/>
          <w:szCs w:val="22"/>
          <w:lang w:val="sr-Latn-ME" w:eastAsia="en-US"/>
        </w:rPr>
        <w:t>19</w:t>
      </w:r>
      <w:r w:rsidRPr="00E8701F">
        <w:rPr>
          <w:rFonts w:ascii="Cambria" w:eastAsia="Cambria" w:hAnsi="Cambria"/>
          <w:b/>
          <w:sz w:val="22"/>
          <w:szCs w:val="22"/>
          <w:lang w:val="sr-Latn-ME" w:eastAsia="en-US"/>
        </w:rPr>
        <w:t xml:space="preserve">% </w:t>
      </w:r>
      <w:r w:rsidRPr="00E8701F">
        <w:rPr>
          <w:rFonts w:ascii="Cambria" w:eastAsia="Cambria" w:hAnsi="Cambria"/>
          <w:sz w:val="22"/>
          <w:szCs w:val="22"/>
          <w:lang w:val="sr-Latn-ME" w:eastAsia="en-US"/>
        </w:rPr>
        <w:t>BDP-a.</w:t>
      </w:r>
    </w:p>
    <w:p w:rsidR="00773897" w:rsidRPr="00773897" w:rsidRDefault="00773897" w:rsidP="00773897">
      <w:pPr>
        <w:spacing w:after="160"/>
        <w:rPr>
          <w:rFonts w:ascii="Cambria" w:hAnsi="Cambria"/>
          <w:b/>
          <w:color w:val="418AB3"/>
          <w:sz w:val="20"/>
          <w:szCs w:val="20"/>
          <w:lang w:val="sr-Latn-ME" w:eastAsia="en-US"/>
        </w:rPr>
      </w:pPr>
      <w:bookmarkStart w:id="16" w:name="_Toc3279326"/>
      <w:bookmarkStart w:id="17" w:name="_Toc41286668"/>
      <w:r w:rsidRPr="00773897">
        <w:rPr>
          <w:rFonts w:ascii="Cambria" w:hAnsi="Cambria"/>
          <w:b/>
          <w:color w:val="418AB3"/>
          <w:sz w:val="20"/>
          <w:szCs w:val="20"/>
          <w:lang w:val="sr-Latn-ME" w:eastAsia="en-US"/>
        </w:rPr>
        <w:t xml:space="preserve">Tabela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Table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2</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Najveći ino kreditori u 2019. godini</w:t>
      </w:r>
      <w:bookmarkEnd w:id="16"/>
      <w:bookmarkEnd w:id="17"/>
    </w:p>
    <w:tbl>
      <w:tblPr>
        <w:tblStyle w:val="GridTable6Colorful-Accent123"/>
        <w:tblW w:w="5299" w:type="dxa"/>
        <w:tblLook w:val="04A0" w:firstRow="1" w:lastRow="0" w:firstColumn="1" w:lastColumn="0" w:noHBand="0" w:noVBand="1"/>
      </w:tblPr>
      <w:tblGrid>
        <w:gridCol w:w="4158"/>
        <w:gridCol w:w="1141"/>
      </w:tblGrid>
      <w:tr w:rsidR="00773897" w:rsidRPr="00773897" w:rsidTr="00CE5081">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158" w:type="dxa"/>
          </w:tcPr>
          <w:p w:rsidR="00773897" w:rsidRPr="00773897" w:rsidRDefault="00773897" w:rsidP="00773897">
            <w:pPr>
              <w:spacing w:after="160" w:line="259" w:lineRule="auto"/>
              <w:jc w:val="both"/>
              <w:rPr>
                <w:rFonts w:ascii="Calibri" w:eastAsia="Cambria" w:hAnsi="Calibri" w:cs="Arial"/>
                <w:sz w:val="20"/>
                <w:szCs w:val="18"/>
                <w:lang w:val="sr-Latn-ME" w:eastAsia="en-US"/>
              </w:rPr>
            </w:pPr>
          </w:p>
        </w:tc>
        <w:tc>
          <w:tcPr>
            <w:tcW w:w="1141" w:type="dxa"/>
          </w:tcPr>
          <w:p w:rsidR="00773897" w:rsidRPr="00773897" w:rsidRDefault="00773897" w:rsidP="0077389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mbria" w:hAnsi="Calibri" w:cs="Arial"/>
                <w:sz w:val="20"/>
                <w:szCs w:val="18"/>
                <w:lang w:val="sr-Latn-ME" w:eastAsia="en-US"/>
              </w:rPr>
            </w:pPr>
            <w:r w:rsidRPr="00773897">
              <w:rPr>
                <w:rFonts w:ascii="Calibri" w:eastAsia="Cambria" w:hAnsi="Calibri" w:cs="Arial"/>
                <w:color w:val="000000"/>
                <w:sz w:val="20"/>
                <w:szCs w:val="18"/>
                <w:lang w:val="sr-Latn-ME" w:eastAsia="en-US"/>
              </w:rPr>
              <w:t>u mil. eur</w:t>
            </w:r>
          </w:p>
        </w:tc>
      </w:tr>
      <w:tr w:rsidR="00773897" w:rsidRPr="00773897" w:rsidTr="00773897">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158" w:type="dxa"/>
          </w:tcPr>
          <w:p w:rsidR="00773897" w:rsidRPr="00773897" w:rsidRDefault="00773897" w:rsidP="00773897">
            <w:pPr>
              <w:spacing w:after="160" w:line="259" w:lineRule="auto"/>
              <w:jc w:val="both"/>
              <w:rPr>
                <w:rFonts w:ascii="Calibri" w:eastAsia="Cambria" w:hAnsi="Calibri" w:cs="Arial"/>
                <w:color w:val="000000"/>
                <w:sz w:val="20"/>
                <w:szCs w:val="22"/>
                <w:lang w:val="sr-Latn-ME" w:eastAsia="en-US"/>
              </w:rPr>
            </w:pPr>
            <w:r w:rsidRPr="00773897">
              <w:rPr>
                <w:rFonts w:ascii="Calibri" w:eastAsia="Cambria" w:hAnsi="Calibri" w:cs="Arial"/>
                <w:color w:val="000000"/>
                <w:sz w:val="20"/>
                <w:szCs w:val="22"/>
                <w:lang w:val="sr-Latn-ME" w:eastAsia="en-US"/>
              </w:rPr>
              <w:t>Eurobond</w:t>
            </w:r>
          </w:p>
        </w:tc>
        <w:tc>
          <w:tcPr>
            <w:tcW w:w="1141" w:type="dxa"/>
          </w:tcPr>
          <w:p w:rsidR="00773897" w:rsidRPr="00773897" w:rsidRDefault="00773897" w:rsidP="0077389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mbria" w:hAnsi="Calibri" w:cs="Arial"/>
                <w:color w:val="000000"/>
                <w:sz w:val="20"/>
                <w:szCs w:val="18"/>
                <w:lang w:val="sr-Latn-ME" w:eastAsia="en-US"/>
              </w:rPr>
            </w:pPr>
            <w:r w:rsidRPr="00773897">
              <w:rPr>
                <w:rFonts w:ascii="Calibri" w:eastAsia="Cambria" w:hAnsi="Calibri" w:cs="Arial"/>
                <w:color w:val="000000"/>
                <w:sz w:val="20"/>
                <w:szCs w:val="18"/>
                <w:lang w:val="sr-Latn-ME" w:eastAsia="en-US"/>
              </w:rPr>
              <w:t>1.548,54</w:t>
            </w:r>
          </w:p>
        </w:tc>
      </w:tr>
      <w:tr w:rsidR="00773897" w:rsidRPr="00773897" w:rsidTr="00CE5081">
        <w:trPr>
          <w:trHeight w:hRule="exact" w:val="340"/>
        </w:trPr>
        <w:tc>
          <w:tcPr>
            <w:cnfStyle w:val="001000000000" w:firstRow="0" w:lastRow="0" w:firstColumn="1" w:lastColumn="0" w:oddVBand="0" w:evenVBand="0" w:oddHBand="0" w:evenHBand="0" w:firstRowFirstColumn="0" w:firstRowLastColumn="0" w:lastRowFirstColumn="0" w:lastRowLastColumn="0"/>
            <w:tcW w:w="4158" w:type="dxa"/>
          </w:tcPr>
          <w:p w:rsidR="00773897" w:rsidRPr="00773897" w:rsidRDefault="00773897" w:rsidP="00773897">
            <w:pPr>
              <w:spacing w:after="160" w:line="259" w:lineRule="auto"/>
              <w:jc w:val="both"/>
              <w:rPr>
                <w:rFonts w:ascii="Calibri" w:eastAsia="Cambria" w:hAnsi="Calibri" w:cs="Arial"/>
                <w:color w:val="000000"/>
                <w:sz w:val="20"/>
                <w:szCs w:val="22"/>
                <w:lang w:val="sr-Latn-ME" w:eastAsia="en-US"/>
              </w:rPr>
            </w:pPr>
            <w:r w:rsidRPr="00773897">
              <w:rPr>
                <w:rFonts w:ascii="Calibri" w:eastAsia="Cambria" w:hAnsi="Calibri" w:cs="Arial"/>
                <w:color w:val="000000"/>
                <w:sz w:val="20"/>
                <w:szCs w:val="22"/>
                <w:lang w:val="sr-Latn-ME" w:eastAsia="en-US"/>
              </w:rPr>
              <w:t>Kineska EXIM banka</w:t>
            </w:r>
          </w:p>
        </w:tc>
        <w:tc>
          <w:tcPr>
            <w:tcW w:w="1141" w:type="dxa"/>
          </w:tcPr>
          <w:p w:rsidR="00773897" w:rsidRPr="00773897" w:rsidRDefault="00773897" w:rsidP="0077389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mbria" w:hAnsi="Calibri" w:cs="Arial"/>
                <w:color w:val="000000"/>
                <w:sz w:val="20"/>
                <w:szCs w:val="18"/>
                <w:lang w:val="sr-Latn-ME" w:eastAsia="en-US"/>
              </w:rPr>
            </w:pPr>
            <w:r w:rsidRPr="00773897">
              <w:rPr>
                <w:rFonts w:ascii="Calibri" w:eastAsia="Cambria" w:hAnsi="Calibri" w:cs="Arial"/>
                <w:color w:val="000000"/>
                <w:sz w:val="20"/>
                <w:szCs w:val="18"/>
                <w:lang w:val="sr-Latn-ME" w:eastAsia="en-US"/>
              </w:rPr>
              <w:t>671,71</w:t>
            </w:r>
          </w:p>
        </w:tc>
      </w:tr>
      <w:tr w:rsidR="00773897" w:rsidRPr="00773897" w:rsidTr="00773897">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158" w:type="dxa"/>
          </w:tcPr>
          <w:p w:rsidR="00773897" w:rsidRPr="00773897" w:rsidRDefault="00773897" w:rsidP="00773897">
            <w:pPr>
              <w:jc w:val="both"/>
              <w:rPr>
                <w:rFonts w:ascii="Calibri" w:eastAsia="Cambria" w:hAnsi="Calibri" w:cs="Arial"/>
                <w:color w:val="000000"/>
                <w:sz w:val="20"/>
                <w:szCs w:val="22"/>
                <w:lang w:val="sr-Latn-ME" w:eastAsia="en-US"/>
              </w:rPr>
            </w:pPr>
            <w:r w:rsidRPr="00773897">
              <w:rPr>
                <w:rFonts w:ascii="Calibri" w:eastAsia="Cambria" w:hAnsi="Calibri" w:cs="Arial"/>
                <w:color w:val="000000"/>
                <w:sz w:val="20"/>
                <w:szCs w:val="22"/>
                <w:lang w:val="sr-Latn-ME" w:eastAsia="en-US"/>
              </w:rPr>
              <w:t xml:space="preserve">Sindicirani zajam PBG </w:t>
            </w:r>
          </w:p>
        </w:tc>
        <w:tc>
          <w:tcPr>
            <w:tcW w:w="1141" w:type="dxa"/>
          </w:tcPr>
          <w:p w:rsidR="00773897" w:rsidRPr="00773897" w:rsidRDefault="00773897" w:rsidP="00773897">
            <w:pPr>
              <w:jc w:val="center"/>
              <w:cnfStyle w:val="000000100000" w:firstRow="0" w:lastRow="0" w:firstColumn="0" w:lastColumn="0" w:oddVBand="0" w:evenVBand="0" w:oddHBand="1" w:evenHBand="0" w:firstRowFirstColumn="0" w:firstRowLastColumn="0" w:lastRowFirstColumn="0" w:lastRowLastColumn="0"/>
              <w:rPr>
                <w:rFonts w:ascii="Calibri" w:eastAsia="Cambria" w:hAnsi="Calibri" w:cs="Arial"/>
                <w:color w:val="000000"/>
                <w:sz w:val="20"/>
                <w:szCs w:val="18"/>
                <w:lang w:val="sr-Latn-ME" w:eastAsia="en-US"/>
              </w:rPr>
            </w:pPr>
            <w:r w:rsidRPr="00773897">
              <w:rPr>
                <w:rFonts w:ascii="Calibri" w:eastAsia="Cambria" w:hAnsi="Calibri" w:cs="Arial"/>
                <w:color w:val="000000"/>
                <w:sz w:val="20"/>
                <w:szCs w:val="18"/>
                <w:lang w:val="sr-Latn-ME" w:eastAsia="en-US"/>
              </w:rPr>
              <w:t>250,00</w:t>
            </w:r>
          </w:p>
        </w:tc>
      </w:tr>
      <w:tr w:rsidR="00773897" w:rsidRPr="00773897" w:rsidTr="00CE5081">
        <w:trPr>
          <w:trHeight w:hRule="exact" w:val="357"/>
        </w:trPr>
        <w:tc>
          <w:tcPr>
            <w:cnfStyle w:val="001000000000" w:firstRow="0" w:lastRow="0" w:firstColumn="1" w:lastColumn="0" w:oddVBand="0" w:evenVBand="0" w:oddHBand="0" w:evenHBand="0" w:firstRowFirstColumn="0" w:firstRowLastColumn="0" w:lastRowFirstColumn="0" w:lastRowLastColumn="0"/>
            <w:tcW w:w="4158" w:type="dxa"/>
          </w:tcPr>
          <w:p w:rsidR="00773897" w:rsidRPr="00773897" w:rsidRDefault="00773897" w:rsidP="00773897">
            <w:pPr>
              <w:spacing w:after="160" w:line="259" w:lineRule="auto"/>
              <w:rPr>
                <w:rFonts w:ascii="Calibri" w:eastAsia="Cambria" w:hAnsi="Calibri" w:cs="Arial"/>
                <w:color w:val="000000"/>
                <w:sz w:val="20"/>
                <w:szCs w:val="22"/>
                <w:lang w:val="sr-Latn-ME" w:eastAsia="en-US"/>
              </w:rPr>
            </w:pPr>
            <w:r w:rsidRPr="00773897">
              <w:rPr>
                <w:rFonts w:ascii="Calibri" w:eastAsia="Cambria" w:hAnsi="Calibri" w:cs="Arial"/>
                <w:color w:val="000000"/>
                <w:sz w:val="20"/>
                <w:szCs w:val="22"/>
                <w:lang w:val="sr-Latn-ME" w:eastAsia="en-US"/>
              </w:rPr>
              <w:t>Međunarodna banka za obnovu i razvoj (IBRD)</w:t>
            </w:r>
          </w:p>
        </w:tc>
        <w:tc>
          <w:tcPr>
            <w:tcW w:w="1141" w:type="dxa"/>
          </w:tcPr>
          <w:p w:rsidR="00773897" w:rsidRPr="00773897" w:rsidRDefault="00773897" w:rsidP="0077389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mbria" w:hAnsi="Calibri" w:cs="Arial"/>
                <w:color w:val="000000"/>
                <w:sz w:val="20"/>
                <w:szCs w:val="18"/>
                <w:lang w:val="sr-Latn-ME" w:eastAsia="en-US"/>
              </w:rPr>
            </w:pPr>
            <w:r w:rsidRPr="00773897">
              <w:rPr>
                <w:rFonts w:ascii="Calibri" w:eastAsia="Cambria" w:hAnsi="Calibri" w:cs="Arial"/>
                <w:color w:val="000000"/>
                <w:sz w:val="20"/>
                <w:szCs w:val="18"/>
                <w:lang w:val="sr-Latn-ME" w:eastAsia="en-US"/>
              </w:rPr>
              <w:t>184,88</w:t>
            </w:r>
          </w:p>
        </w:tc>
      </w:tr>
      <w:tr w:rsidR="00773897" w:rsidRPr="00773897" w:rsidTr="00773897">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158" w:type="dxa"/>
          </w:tcPr>
          <w:p w:rsidR="00773897" w:rsidRPr="00773897" w:rsidRDefault="00773897" w:rsidP="00773897">
            <w:pPr>
              <w:spacing w:after="160" w:line="259" w:lineRule="auto"/>
              <w:jc w:val="both"/>
              <w:rPr>
                <w:rFonts w:ascii="Calibri" w:eastAsia="Cambria" w:hAnsi="Calibri" w:cs="Arial"/>
                <w:color w:val="000000"/>
                <w:sz w:val="20"/>
                <w:szCs w:val="22"/>
                <w:lang w:val="sr-Latn-ME" w:eastAsia="en-US"/>
              </w:rPr>
            </w:pPr>
            <w:r w:rsidRPr="00773897">
              <w:rPr>
                <w:rFonts w:ascii="Calibri" w:eastAsia="Cambria" w:hAnsi="Calibri" w:cs="Arial"/>
                <w:color w:val="000000"/>
                <w:sz w:val="20"/>
                <w:szCs w:val="22"/>
                <w:lang w:val="sr-Latn-ME" w:eastAsia="en-US"/>
              </w:rPr>
              <w:t>Evropska investiciona banka (EIB)</w:t>
            </w:r>
          </w:p>
        </w:tc>
        <w:tc>
          <w:tcPr>
            <w:tcW w:w="1141" w:type="dxa"/>
          </w:tcPr>
          <w:p w:rsidR="00773897" w:rsidRPr="00773897" w:rsidRDefault="00773897" w:rsidP="0077389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mbria" w:hAnsi="Calibri" w:cs="Arial"/>
                <w:color w:val="000000"/>
                <w:sz w:val="20"/>
                <w:szCs w:val="18"/>
                <w:lang w:val="sr-Latn-ME" w:eastAsia="en-US"/>
              </w:rPr>
            </w:pPr>
            <w:r w:rsidRPr="00773897">
              <w:rPr>
                <w:rFonts w:ascii="Calibri" w:eastAsia="Cambria" w:hAnsi="Calibri" w:cs="Arial"/>
                <w:color w:val="000000"/>
                <w:sz w:val="20"/>
                <w:szCs w:val="18"/>
                <w:lang w:val="sr-Latn-ME" w:eastAsia="en-US"/>
              </w:rPr>
              <w:t>107,66</w:t>
            </w:r>
          </w:p>
        </w:tc>
      </w:tr>
    </w:tbl>
    <w:p w:rsidR="00773897" w:rsidRPr="00773897" w:rsidRDefault="00773897" w:rsidP="00773897">
      <w:pPr>
        <w:contextualSpacing/>
        <w:jc w:val="both"/>
        <w:rPr>
          <w:rFonts w:ascii="Cambria" w:eastAsia="Cambria" w:hAnsi="Cambria"/>
          <w:color w:val="000000"/>
          <w:lang w:val="sr-Latn-ME" w:eastAsia="en-US"/>
        </w:rPr>
      </w:pPr>
    </w:p>
    <w:p w:rsidR="00773897" w:rsidRPr="00773897" w:rsidRDefault="00773897" w:rsidP="00773897">
      <w:pPr>
        <w:contextualSpacing/>
        <w:jc w:val="both"/>
        <w:rPr>
          <w:rFonts w:ascii="Cambria" w:eastAsia="Cambria" w:hAnsi="Cambria"/>
          <w:color w:val="000000"/>
          <w:sz w:val="22"/>
          <w:szCs w:val="22"/>
          <w:lang w:val="sr-Latn-ME" w:eastAsia="en-US"/>
        </w:rPr>
      </w:pPr>
      <w:r w:rsidRPr="00773897">
        <w:rPr>
          <w:rFonts w:ascii="Cambria" w:eastAsia="Cambria" w:hAnsi="Cambria"/>
          <w:color w:val="000000"/>
          <w:sz w:val="22"/>
          <w:szCs w:val="22"/>
          <w:lang w:val="sr-Latn-ME" w:eastAsia="en-US"/>
        </w:rPr>
        <w:t xml:space="preserve">Krajem septembra 2019. godine, emitovane su obveznice na međunarodnom tržištu, u ukupnom iznosu od 500 miliona, rokom dospijeća od 10 godina i kamatnom stopom od 2,55%, što predstavlja najpovoljnije uslove do sada za ovaj tip transkacije. Navedena sredstva biće iskorišćena za otplatu duga po osnovu obaveza koje dospijevaju tokom 2020. godine. </w:t>
      </w:r>
    </w:p>
    <w:p w:rsidR="00773897" w:rsidRPr="00773897" w:rsidRDefault="00773897" w:rsidP="00773897">
      <w:pPr>
        <w:contextualSpacing/>
        <w:jc w:val="both"/>
        <w:rPr>
          <w:rFonts w:ascii="Cambria" w:eastAsia="Cambria" w:hAnsi="Cambria"/>
          <w:color w:val="000000"/>
          <w:lang w:val="sr-Latn-ME" w:eastAsia="en-US"/>
        </w:rPr>
      </w:pPr>
    </w:p>
    <w:p w:rsidR="00773897" w:rsidRPr="00773897" w:rsidRDefault="00773897" w:rsidP="00773897">
      <w:pPr>
        <w:contextualSpacing/>
        <w:jc w:val="both"/>
        <w:rPr>
          <w:rFonts w:ascii="Cambria" w:eastAsia="Cambria" w:hAnsi="Cambria"/>
          <w:color w:val="000000"/>
          <w:sz w:val="22"/>
          <w:szCs w:val="22"/>
          <w:lang w:val="sr-Latn-ME" w:eastAsia="en-US"/>
        </w:rPr>
      </w:pPr>
      <w:r w:rsidRPr="00773897">
        <w:rPr>
          <w:rFonts w:ascii="Cambria" w:eastAsia="Cambria" w:hAnsi="Cambria"/>
          <w:color w:val="000000"/>
          <w:sz w:val="22"/>
          <w:szCs w:val="22"/>
          <w:lang w:val="sr-Latn-ME" w:eastAsia="en-US"/>
        </w:rPr>
        <w:lastRenderedPageBreak/>
        <w:t>Tokom  2019.  godine, na  povećanje  spoljnjeg  duga  uticalo  je  i angažovanje kreditnih sredstava, u ukupnom iznosu od 186,5 miliona eura i to:</w:t>
      </w:r>
    </w:p>
    <w:p w:rsidR="00773897" w:rsidRPr="00773897" w:rsidRDefault="00773897" w:rsidP="00773897">
      <w:pPr>
        <w:contextualSpacing/>
        <w:jc w:val="both"/>
        <w:rPr>
          <w:rFonts w:ascii="Cambria" w:eastAsia="Cambria" w:hAnsi="Cambria"/>
          <w:color w:val="000000"/>
          <w:sz w:val="22"/>
          <w:szCs w:val="22"/>
          <w:lang w:val="sr-Latn-ME" w:eastAsia="en-US"/>
        </w:rPr>
      </w:pPr>
    </w:p>
    <w:p w:rsidR="00773897" w:rsidRPr="00773897" w:rsidRDefault="00773897" w:rsidP="00773897">
      <w:pPr>
        <w:numPr>
          <w:ilvl w:val="0"/>
          <w:numId w:val="42"/>
        </w:numPr>
        <w:spacing w:after="160" w:line="259" w:lineRule="auto"/>
        <w:contextualSpacing/>
        <w:jc w:val="both"/>
        <w:rPr>
          <w:rFonts w:ascii="Cambria" w:eastAsia="Cambria" w:hAnsi="Cambria"/>
          <w:color w:val="000000"/>
          <w:sz w:val="22"/>
          <w:szCs w:val="22"/>
          <w:lang w:val="sr-Latn-ME" w:eastAsia="en-US"/>
        </w:rPr>
      </w:pPr>
      <w:r w:rsidRPr="00773897">
        <w:rPr>
          <w:rFonts w:ascii="Cambria" w:eastAsia="Cambria" w:hAnsi="Cambria"/>
          <w:color w:val="000000"/>
          <w:sz w:val="22"/>
          <w:szCs w:val="22"/>
          <w:lang w:val="sr-Latn-ME" w:eastAsia="en-US"/>
        </w:rPr>
        <w:t>Iz kredita sa kineskom Exim bankom, za projekat “Finansiranje autoputa Bar-Boljare (Smokovac – Mateševo), u iznosu od 142,9</w:t>
      </w:r>
      <w:r w:rsidRPr="00773897">
        <w:rPr>
          <w:rFonts w:ascii="Cambria" w:eastAsia="Cambria" w:hAnsi="Cambria"/>
          <w:color w:val="000000"/>
          <w:sz w:val="22"/>
          <w:szCs w:val="22"/>
          <w:vertAlign w:val="superscript"/>
          <w:lang w:val="sr-Latn-ME" w:eastAsia="en-US"/>
        </w:rPr>
        <w:footnoteReference w:id="3"/>
      </w:r>
      <w:r w:rsidRPr="00773897">
        <w:rPr>
          <w:rFonts w:ascii="Cambria" w:eastAsia="Cambria" w:hAnsi="Cambria"/>
          <w:color w:val="000000"/>
          <w:sz w:val="22"/>
          <w:szCs w:val="22"/>
          <w:lang w:val="sr-Latn-ME" w:eastAsia="en-US"/>
        </w:rPr>
        <w:t xml:space="preserve"> miliona eura;</w:t>
      </w:r>
    </w:p>
    <w:p w:rsidR="00773897" w:rsidRPr="00773897" w:rsidRDefault="00773897" w:rsidP="00773897">
      <w:pPr>
        <w:numPr>
          <w:ilvl w:val="0"/>
          <w:numId w:val="42"/>
        </w:numPr>
        <w:spacing w:after="160" w:line="259" w:lineRule="auto"/>
        <w:contextualSpacing/>
        <w:jc w:val="both"/>
        <w:rPr>
          <w:rFonts w:ascii="Cambria" w:eastAsia="Cambria" w:hAnsi="Cambria"/>
          <w:color w:val="000000"/>
          <w:sz w:val="22"/>
          <w:szCs w:val="22"/>
          <w:lang w:val="sr-Latn-ME" w:eastAsia="en-US"/>
        </w:rPr>
      </w:pPr>
      <w:r w:rsidRPr="00773897">
        <w:rPr>
          <w:rFonts w:ascii="Cambria" w:eastAsia="Cambria" w:hAnsi="Cambria"/>
          <w:color w:val="000000"/>
          <w:sz w:val="22"/>
          <w:szCs w:val="22"/>
          <w:lang w:val="sr-Latn-ME" w:eastAsia="en-US"/>
        </w:rPr>
        <w:t>Za projekte Svjetske banke, u iznosu od 11,2 miliona eura;</w:t>
      </w:r>
    </w:p>
    <w:p w:rsidR="00773897" w:rsidRPr="00773897" w:rsidRDefault="00773897" w:rsidP="00773897">
      <w:pPr>
        <w:numPr>
          <w:ilvl w:val="0"/>
          <w:numId w:val="42"/>
        </w:numPr>
        <w:spacing w:after="160" w:line="259" w:lineRule="auto"/>
        <w:contextualSpacing/>
        <w:jc w:val="both"/>
        <w:rPr>
          <w:rFonts w:ascii="Cambria" w:eastAsia="Cambria" w:hAnsi="Cambria"/>
          <w:color w:val="000000"/>
          <w:sz w:val="22"/>
          <w:szCs w:val="22"/>
          <w:lang w:val="sr-Latn-ME" w:eastAsia="en-US"/>
        </w:rPr>
      </w:pPr>
      <w:r w:rsidRPr="00773897">
        <w:rPr>
          <w:rFonts w:ascii="Cambria" w:eastAsia="Cambria" w:hAnsi="Cambria"/>
          <w:color w:val="000000"/>
          <w:sz w:val="22"/>
          <w:szCs w:val="22"/>
          <w:lang w:val="sr-Latn-ME" w:eastAsia="en-US"/>
        </w:rPr>
        <w:t>Za projekte iz kredita Evropske banke za obnovu i razvoj (EBRD), u iznosu od 10,0 miliona eura;</w:t>
      </w:r>
    </w:p>
    <w:p w:rsidR="00773897" w:rsidRPr="00773897" w:rsidRDefault="00773897" w:rsidP="00773897">
      <w:pPr>
        <w:numPr>
          <w:ilvl w:val="0"/>
          <w:numId w:val="42"/>
        </w:numPr>
        <w:spacing w:after="160" w:line="259" w:lineRule="auto"/>
        <w:contextualSpacing/>
        <w:jc w:val="both"/>
        <w:rPr>
          <w:rFonts w:ascii="Cambria" w:eastAsia="Cambria" w:hAnsi="Cambria"/>
          <w:color w:val="000000"/>
          <w:sz w:val="22"/>
          <w:szCs w:val="22"/>
          <w:lang w:val="sr-Latn-ME" w:eastAsia="en-US"/>
        </w:rPr>
      </w:pPr>
      <w:r w:rsidRPr="00773897">
        <w:rPr>
          <w:rFonts w:ascii="Cambria" w:eastAsia="Cambria" w:hAnsi="Cambria"/>
          <w:color w:val="000000"/>
          <w:sz w:val="22"/>
          <w:szCs w:val="22"/>
          <w:lang w:val="sr-Latn-ME" w:eastAsia="en-US"/>
        </w:rPr>
        <w:t>Za projekte iz kredita KfW banke, u ukupnom iznosu od 9,1 miliona eura;</w:t>
      </w:r>
    </w:p>
    <w:p w:rsidR="00773897" w:rsidRPr="00773897" w:rsidRDefault="00773897" w:rsidP="00773897">
      <w:pPr>
        <w:numPr>
          <w:ilvl w:val="0"/>
          <w:numId w:val="42"/>
        </w:numPr>
        <w:spacing w:after="160" w:line="259" w:lineRule="auto"/>
        <w:contextualSpacing/>
        <w:jc w:val="both"/>
        <w:rPr>
          <w:rFonts w:ascii="Cambria" w:eastAsia="Cambria" w:hAnsi="Cambria"/>
          <w:color w:val="000000"/>
          <w:sz w:val="22"/>
          <w:szCs w:val="22"/>
          <w:lang w:val="sr-Latn-ME" w:eastAsia="en-US"/>
        </w:rPr>
      </w:pPr>
      <w:r w:rsidRPr="00773897">
        <w:rPr>
          <w:rFonts w:ascii="Cambria" w:eastAsia="Cambria" w:hAnsi="Cambria"/>
          <w:color w:val="000000"/>
          <w:sz w:val="22"/>
          <w:szCs w:val="22"/>
          <w:lang w:val="sr-Latn-ME" w:eastAsia="en-US"/>
        </w:rPr>
        <w:t>Za projekte iz kredita sa Bankom Savjeta Evrope (CEB), u ukupnom iznosu od 9,9 miliona eura;</w:t>
      </w:r>
    </w:p>
    <w:p w:rsidR="00773897" w:rsidRPr="00773897" w:rsidRDefault="00773897" w:rsidP="00773897">
      <w:pPr>
        <w:numPr>
          <w:ilvl w:val="0"/>
          <w:numId w:val="42"/>
        </w:numPr>
        <w:spacing w:after="160" w:line="259" w:lineRule="auto"/>
        <w:contextualSpacing/>
        <w:jc w:val="both"/>
        <w:rPr>
          <w:rFonts w:ascii="Cambria" w:eastAsia="Cambria" w:hAnsi="Cambria"/>
          <w:color w:val="000000"/>
          <w:sz w:val="22"/>
          <w:szCs w:val="22"/>
          <w:lang w:val="sr-Latn-ME" w:eastAsia="en-US"/>
        </w:rPr>
      </w:pPr>
      <w:r w:rsidRPr="00773897">
        <w:rPr>
          <w:rFonts w:ascii="Cambria" w:eastAsia="Cambria" w:hAnsi="Cambria"/>
          <w:color w:val="000000"/>
          <w:sz w:val="22"/>
          <w:szCs w:val="22"/>
          <w:lang w:val="sr-Latn-ME" w:eastAsia="en-US"/>
        </w:rPr>
        <w:t>Za projekat iz kredita sa IFAD-om, u iznosu od 0,7 miliona eura;</w:t>
      </w:r>
    </w:p>
    <w:p w:rsidR="00773897" w:rsidRPr="00773897" w:rsidRDefault="00773897" w:rsidP="00773897">
      <w:pPr>
        <w:numPr>
          <w:ilvl w:val="0"/>
          <w:numId w:val="42"/>
        </w:numPr>
        <w:spacing w:after="160" w:line="259" w:lineRule="auto"/>
        <w:contextualSpacing/>
        <w:jc w:val="both"/>
        <w:rPr>
          <w:rFonts w:ascii="Cambria" w:eastAsia="Cambria" w:hAnsi="Cambria"/>
          <w:color w:val="000000"/>
          <w:sz w:val="22"/>
          <w:szCs w:val="22"/>
          <w:lang w:val="sr-Latn-ME" w:eastAsia="en-US"/>
        </w:rPr>
      </w:pPr>
      <w:r w:rsidRPr="00773897">
        <w:rPr>
          <w:rFonts w:ascii="Cambria" w:eastAsia="Cambria" w:hAnsi="Cambria"/>
          <w:color w:val="000000"/>
          <w:sz w:val="22"/>
          <w:szCs w:val="22"/>
          <w:lang w:val="sr-Latn-ME" w:eastAsia="en-US"/>
        </w:rPr>
        <w:t>Za projekat iz kredita sa Agencijom za razvoj izvoza Kanade (EDC), u iznosu od 2,7 miliona eura.</w:t>
      </w:r>
    </w:p>
    <w:p w:rsidR="00773897" w:rsidRPr="00773897" w:rsidRDefault="00773897" w:rsidP="00773897">
      <w:pPr>
        <w:contextualSpacing/>
        <w:jc w:val="both"/>
        <w:rPr>
          <w:rFonts w:ascii="Cambria" w:eastAsia="Cambria" w:hAnsi="Cambria"/>
          <w:color w:val="000000"/>
          <w:sz w:val="22"/>
          <w:szCs w:val="22"/>
          <w:lang w:val="sr-Latn-ME" w:eastAsia="en-US"/>
        </w:rPr>
      </w:pPr>
    </w:p>
    <w:p w:rsidR="00773897" w:rsidRPr="00773897" w:rsidRDefault="00773897" w:rsidP="00773897">
      <w:pPr>
        <w:contextualSpacing/>
        <w:jc w:val="both"/>
        <w:rPr>
          <w:rFonts w:ascii="Cambria" w:eastAsia="Cambria" w:hAnsi="Cambria"/>
          <w:color w:val="000000"/>
          <w:sz w:val="22"/>
          <w:szCs w:val="22"/>
          <w:lang w:val="sr-Latn-ME" w:eastAsia="en-US"/>
        </w:rPr>
      </w:pPr>
      <w:r w:rsidRPr="00773897">
        <w:rPr>
          <w:rFonts w:ascii="Cambria" w:eastAsia="Cambria" w:hAnsi="Cambria"/>
          <w:color w:val="000000"/>
          <w:sz w:val="22"/>
          <w:szCs w:val="22"/>
          <w:lang w:val="sr-Latn-ME" w:eastAsia="en-US"/>
        </w:rPr>
        <w:t>Otplata spoljnjeg duga u 2019. godini izvršena je u iznosu od 328,9 miliona eura, što se odnosi na otplatu spoljnjeg duga po osnovu kreditnih zaduženja kod međunarodnih kreditora.</w:t>
      </w:r>
    </w:p>
    <w:p w:rsidR="00773897" w:rsidRPr="00773897" w:rsidRDefault="00773897" w:rsidP="00773897">
      <w:pPr>
        <w:contextualSpacing/>
        <w:jc w:val="both"/>
        <w:rPr>
          <w:rFonts w:ascii="Cambria" w:eastAsia="Cambria" w:hAnsi="Cambria"/>
          <w:color w:val="000000"/>
          <w:sz w:val="22"/>
          <w:szCs w:val="22"/>
          <w:lang w:val="sr-Latn-ME" w:eastAsia="en-US"/>
        </w:rPr>
      </w:pPr>
    </w:p>
    <w:p w:rsidR="00773897" w:rsidRPr="00773897" w:rsidRDefault="00773897" w:rsidP="00773897">
      <w:pPr>
        <w:contextualSpacing/>
        <w:jc w:val="both"/>
        <w:rPr>
          <w:rFonts w:ascii="Cambria" w:eastAsia="Cambria" w:hAnsi="Cambria"/>
          <w:color w:val="000000"/>
          <w:sz w:val="22"/>
          <w:szCs w:val="22"/>
          <w:lang w:val="sr-Latn-ME" w:eastAsia="en-US"/>
        </w:rPr>
      </w:pPr>
      <w:r w:rsidRPr="00773897">
        <w:rPr>
          <w:rFonts w:ascii="Cambria" w:eastAsia="Cambria" w:hAnsi="Cambria"/>
          <w:color w:val="000000"/>
          <w:sz w:val="22"/>
          <w:szCs w:val="22"/>
          <w:lang w:val="sr-Latn-ME" w:eastAsia="en-US"/>
        </w:rPr>
        <w:t>Na narednom grafiku prikazani su podaci o stanju nepovučenih sredstava prema kreditorima, po osnovu kreditnih aranžmana kod kojih nisu angažovana (povučena) sva ugovorena sredstva.</w:t>
      </w:r>
    </w:p>
    <w:p w:rsidR="00773897" w:rsidRPr="00773897" w:rsidRDefault="00773897" w:rsidP="00773897">
      <w:pPr>
        <w:contextualSpacing/>
        <w:jc w:val="both"/>
        <w:rPr>
          <w:rFonts w:ascii="Cambria" w:eastAsia="Cambria" w:hAnsi="Cambria"/>
          <w:color w:val="000000"/>
          <w:sz w:val="20"/>
          <w:szCs w:val="20"/>
          <w:lang w:val="sr-Latn-ME" w:eastAsia="en-US"/>
        </w:rPr>
      </w:pPr>
    </w:p>
    <w:p w:rsidR="00773897" w:rsidRPr="00773897" w:rsidRDefault="00773897" w:rsidP="00773897">
      <w:pPr>
        <w:spacing w:after="160"/>
        <w:rPr>
          <w:rFonts w:ascii="Cambria" w:hAnsi="Cambria"/>
          <w:b/>
          <w:color w:val="418AB3"/>
          <w:sz w:val="20"/>
          <w:szCs w:val="20"/>
          <w:lang w:val="sr-Latn-ME" w:eastAsia="en-US"/>
        </w:rPr>
      </w:pPr>
      <w:bookmarkStart w:id="18" w:name="_Toc3474461"/>
      <w:bookmarkStart w:id="19" w:name="_Toc35253507"/>
      <w:bookmarkStart w:id="20" w:name="_Toc41286679"/>
      <w:r w:rsidRPr="00773897">
        <w:rPr>
          <w:rFonts w:ascii="Cambria" w:hAnsi="Cambria"/>
          <w:b/>
          <w:color w:val="418AB3"/>
          <w:sz w:val="20"/>
          <w:szCs w:val="20"/>
          <w:lang w:val="sr-Latn-ME" w:eastAsia="en-US"/>
        </w:rPr>
        <w:t xml:space="preserve">Grafik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Figure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7</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Stanje nepovučenih sredstava, u mil. eura</w:t>
      </w:r>
      <w:bookmarkEnd w:id="18"/>
      <w:bookmarkEnd w:id="19"/>
      <w:bookmarkEnd w:id="20"/>
    </w:p>
    <w:p w:rsidR="00773897" w:rsidRPr="00773897" w:rsidRDefault="00773897" w:rsidP="00773897">
      <w:pPr>
        <w:spacing w:after="160" w:line="259" w:lineRule="auto"/>
        <w:rPr>
          <w:rFonts w:ascii="Cambria" w:eastAsia="Cambria" w:hAnsi="Cambria"/>
          <w:sz w:val="22"/>
          <w:szCs w:val="22"/>
          <w:lang w:val="sr-Latn-ME" w:eastAsia="en-US"/>
        </w:rPr>
      </w:pPr>
      <w:r w:rsidRPr="00773897">
        <w:rPr>
          <w:rFonts w:ascii="Cambria" w:eastAsia="Cambria" w:hAnsi="Cambria"/>
          <w:noProof/>
          <w:sz w:val="22"/>
          <w:szCs w:val="22"/>
          <w:lang w:val="en-GB" w:eastAsia="en-GB"/>
        </w:rPr>
        <w:drawing>
          <wp:inline distT="0" distB="0" distL="0" distR="0" wp14:anchorId="2AEF008D" wp14:editId="2DF4E722">
            <wp:extent cx="5760720" cy="2543448"/>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73897" w:rsidRPr="00773897" w:rsidRDefault="00773897" w:rsidP="00773897">
      <w:pPr>
        <w:spacing w:after="160" w:line="259" w:lineRule="auto"/>
        <w:jc w:val="both"/>
        <w:rPr>
          <w:rFonts w:ascii="Cambria" w:eastAsia="Cambria" w:hAnsi="Cambria" w:cs="Tahoma"/>
          <w:color w:val="000000"/>
          <w:sz w:val="22"/>
          <w:szCs w:val="22"/>
          <w:lang w:val="sr-Latn-ME" w:eastAsia="en-US"/>
        </w:rPr>
      </w:pPr>
      <w:r w:rsidRPr="00773897">
        <w:rPr>
          <w:rFonts w:ascii="Cambria" w:eastAsia="Cambria" w:hAnsi="Cambria" w:cs="Tahoma"/>
          <w:color w:val="000000"/>
          <w:sz w:val="22"/>
          <w:szCs w:val="22"/>
          <w:lang w:val="sr-Latn-ME" w:eastAsia="en-US"/>
        </w:rPr>
        <w:t>Prema postojećem stanju spoljnjeg duga, zaduženje kod međunarodnih finansijskih institucija (Svjetska banka i njene afilijacije – IBRD, IDA, zatim Pariski klub, EIB, EBRD, CEB, Evropska komisi</w:t>
      </w:r>
      <w:r w:rsidR="00570C7D">
        <w:rPr>
          <w:rFonts w:ascii="Cambria" w:eastAsia="Cambria" w:hAnsi="Cambria" w:cs="Tahoma"/>
          <w:color w:val="000000"/>
          <w:sz w:val="22"/>
          <w:szCs w:val="22"/>
          <w:lang w:val="sr-Latn-ME" w:eastAsia="en-US"/>
        </w:rPr>
        <w:t xml:space="preserve">ja, KfW i IFAD) iznosi oko </w:t>
      </w:r>
      <w:r w:rsidR="00570C7D" w:rsidRPr="00E8701F">
        <w:rPr>
          <w:rFonts w:ascii="Cambria" w:eastAsia="Cambria" w:hAnsi="Cambria" w:cs="Tahoma"/>
          <w:color w:val="000000"/>
          <w:sz w:val="22"/>
          <w:szCs w:val="22"/>
          <w:lang w:val="sr-Latn-ME" w:eastAsia="en-US"/>
        </w:rPr>
        <w:t>10,07</w:t>
      </w:r>
      <w:r w:rsidRPr="00E8701F">
        <w:rPr>
          <w:rFonts w:ascii="Cambria" w:eastAsia="Cambria" w:hAnsi="Cambria" w:cs="Tahoma"/>
          <w:color w:val="000000"/>
          <w:sz w:val="22"/>
          <w:szCs w:val="22"/>
          <w:lang w:val="sr-Latn-ME" w:eastAsia="en-US"/>
        </w:rPr>
        <w:t>% BDP-a, dug po bilateralnim (mekim) zajmovima (ugovori sa Vladom Austrije, Mađarske, Poljske, Francuske, Španije, Kineska Exim banka i Steiermarkische Bank und Sparkassen AG, Export Development Canada EDC –</w:t>
      </w:r>
      <w:r w:rsidR="00570C7D" w:rsidRPr="00E8701F">
        <w:rPr>
          <w:rFonts w:ascii="Cambria" w:eastAsia="Cambria" w:hAnsi="Cambria" w:cs="Tahoma"/>
          <w:color w:val="000000"/>
          <w:sz w:val="22"/>
          <w:szCs w:val="22"/>
          <w:lang w:val="sr-Latn-ME" w:eastAsia="en-US"/>
        </w:rPr>
        <w:t xml:space="preserve"> Helikopteri) iznosi oko 14,31</w:t>
      </w:r>
      <w:r w:rsidRPr="00E8701F">
        <w:rPr>
          <w:rFonts w:ascii="Cambria" w:eastAsia="Cambria" w:hAnsi="Cambria" w:cs="Tahoma"/>
          <w:color w:val="000000"/>
          <w:sz w:val="22"/>
          <w:szCs w:val="22"/>
          <w:lang w:val="sr-Latn-ME" w:eastAsia="en-US"/>
        </w:rPr>
        <w:t>% BDP-a, dok dug po osnovu kreditnih aranžmana za potrebe finansiranja budžeta (Eurobond, Credit Suisse, Banka Intesa, OTP banka i Zagrebačka banka, Sindicirani zajam – PBG) iznosi oko 3</w:t>
      </w:r>
      <w:r w:rsidR="00570C7D" w:rsidRPr="00E8701F">
        <w:rPr>
          <w:rFonts w:ascii="Cambria" w:eastAsia="Cambria" w:hAnsi="Cambria" w:cs="Tahoma"/>
          <w:color w:val="000000"/>
          <w:sz w:val="22"/>
          <w:szCs w:val="22"/>
          <w:lang w:val="sr-Latn-ME" w:eastAsia="en-US"/>
        </w:rPr>
        <w:t>8,81</w:t>
      </w:r>
      <w:r w:rsidRPr="00E8701F">
        <w:rPr>
          <w:rFonts w:ascii="Cambria" w:eastAsia="Cambria" w:hAnsi="Cambria" w:cs="Tahoma"/>
          <w:color w:val="000000"/>
          <w:sz w:val="22"/>
          <w:szCs w:val="22"/>
          <w:lang w:val="sr-Latn-ME" w:eastAsia="en-US"/>
        </w:rPr>
        <w:t>% BDP-a.</w:t>
      </w:r>
    </w:p>
    <w:p w:rsidR="00773897" w:rsidRPr="00773897" w:rsidRDefault="00773897" w:rsidP="00773897">
      <w:pPr>
        <w:spacing w:after="160" w:line="259" w:lineRule="auto"/>
        <w:jc w:val="both"/>
        <w:rPr>
          <w:rFonts w:ascii="Cambria" w:eastAsia="Cambria" w:hAnsi="Cambria"/>
          <w:sz w:val="22"/>
          <w:szCs w:val="22"/>
          <w:lang w:val="sr-Latn-ME" w:eastAsia="en-US"/>
        </w:rPr>
      </w:pPr>
      <w:r w:rsidRPr="00773897">
        <w:rPr>
          <w:rFonts w:ascii="Cambria" w:eastAsia="Cambria" w:hAnsi="Cambria"/>
          <w:sz w:val="22"/>
          <w:szCs w:val="22"/>
          <w:lang w:val="sr-Latn-ME" w:eastAsia="en-US"/>
        </w:rPr>
        <w:t>Tokom 2019. godine, potpisani su sledeći kreditni aranžmani:</w:t>
      </w:r>
    </w:p>
    <w:p w:rsidR="00773897" w:rsidRPr="00773897" w:rsidRDefault="00773897" w:rsidP="00773897">
      <w:pPr>
        <w:numPr>
          <w:ilvl w:val="0"/>
          <w:numId w:val="44"/>
        </w:numPr>
        <w:spacing w:after="160" w:line="259" w:lineRule="auto"/>
        <w:contextualSpacing/>
        <w:jc w:val="both"/>
        <w:rPr>
          <w:rFonts w:ascii="Cambria" w:hAnsi="Cambria" w:cs="Arial"/>
          <w:sz w:val="22"/>
          <w:szCs w:val="22"/>
          <w:lang w:val="pl-PL" w:eastAsia="en-US"/>
        </w:rPr>
      </w:pPr>
      <w:r w:rsidRPr="00773897">
        <w:rPr>
          <w:rFonts w:ascii="Cambria" w:hAnsi="Cambria" w:cs="Arial"/>
          <w:sz w:val="22"/>
          <w:szCs w:val="22"/>
          <w:lang w:val="pl-PL" w:eastAsia="en-US"/>
        </w:rPr>
        <w:lastRenderedPageBreak/>
        <w:t>Sa Međunarodnom bankom za obnovu i razvoj - IBRD, za realizaciju projekta „Reforma Poreske Administracije-dodatno finansiranje”, u iznosu od 4,8 miliona eura</w:t>
      </w:r>
    </w:p>
    <w:p w:rsidR="00773897" w:rsidRPr="00773897" w:rsidRDefault="00773897" w:rsidP="00773897">
      <w:pPr>
        <w:numPr>
          <w:ilvl w:val="0"/>
          <w:numId w:val="44"/>
        </w:numPr>
        <w:spacing w:after="160" w:line="259" w:lineRule="auto"/>
        <w:contextualSpacing/>
        <w:jc w:val="both"/>
        <w:rPr>
          <w:rFonts w:ascii="Cambria" w:hAnsi="Cambria" w:cs="Arial"/>
          <w:sz w:val="22"/>
          <w:szCs w:val="22"/>
          <w:lang w:val="pl-PL" w:eastAsia="en-US"/>
        </w:rPr>
      </w:pPr>
      <w:r w:rsidRPr="00773897">
        <w:rPr>
          <w:rFonts w:ascii="Cambria" w:hAnsi="Cambria" w:cs="Arial"/>
          <w:sz w:val="22"/>
          <w:szCs w:val="22"/>
          <w:lang w:val="pl-PL" w:eastAsia="en-US"/>
        </w:rPr>
        <w:t>Sa Evropskom investicionom bankom - EIB, za potrebe realizacij projetka „Reforma Obrazovanja” u iznosu od 18 miliona eura;</w:t>
      </w:r>
    </w:p>
    <w:p w:rsidR="00773897" w:rsidRPr="00773897" w:rsidRDefault="00773897" w:rsidP="00773897">
      <w:pPr>
        <w:numPr>
          <w:ilvl w:val="0"/>
          <w:numId w:val="44"/>
        </w:numPr>
        <w:spacing w:after="160" w:line="259" w:lineRule="auto"/>
        <w:contextualSpacing/>
        <w:jc w:val="both"/>
        <w:rPr>
          <w:rFonts w:ascii="Cambria" w:hAnsi="Cambria" w:cs="Arial"/>
          <w:sz w:val="22"/>
          <w:szCs w:val="22"/>
          <w:lang w:val="pl-PL" w:eastAsia="en-US"/>
        </w:rPr>
      </w:pPr>
      <w:r w:rsidRPr="00773897">
        <w:rPr>
          <w:rFonts w:ascii="Cambria" w:hAnsi="Cambria" w:cs="Arial"/>
          <w:sz w:val="22"/>
          <w:szCs w:val="22"/>
          <w:lang w:val="pl-PL" w:eastAsia="en-US"/>
        </w:rPr>
        <w:t>Sa Bankom za razvoj Savjeta Evrope - CEB, za potrebe realizacije projekta izgradnje predškolskih ustanova u Crnoj Gori, u iznosu od 10 miliona eura;</w:t>
      </w:r>
    </w:p>
    <w:p w:rsidR="00773897" w:rsidRPr="00773897" w:rsidRDefault="00773897" w:rsidP="00773897">
      <w:pPr>
        <w:numPr>
          <w:ilvl w:val="0"/>
          <w:numId w:val="44"/>
        </w:numPr>
        <w:spacing w:after="160" w:line="259" w:lineRule="auto"/>
        <w:contextualSpacing/>
        <w:jc w:val="both"/>
        <w:rPr>
          <w:rFonts w:ascii="Cambria" w:hAnsi="Cambria" w:cs="Arial"/>
          <w:sz w:val="22"/>
          <w:szCs w:val="22"/>
          <w:lang w:val="pl-PL" w:eastAsia="en-US"/>
        </w:rPr>
      </w:pPr>
      <w:r w:rsidRPr="00773897">
        <w:rPr>
          <w:rFonts w:ascii="Cambria" w:hAnsi="Cambria" w:cs="Arial"/>
          <w:sz w:val="22"/>
          <w:szCs w:val="22"/>
          <w:lang w:val="pl-PL" w:eastAsia="en-US"/>
        </w:rPr>
        <w:t>Sa Bankom za razvoj Savjeta Evrope - CEB, za potrebe realizacije faze VI projekta socijalnog stanovanja 1000+, u iznosu od 10 miliona eura;</w:t>
      </w:r>
    </w:p>
    <w:p w:rsidR="00773897" w:rsidRPr="00773897" w:rsidRDefault="00773897" w:rsidP="00773897">
      <w:pPr>
        <w:numPr>
          <w:ilvl w:val="0"/>
          <w:numId w:val="44"/>
        </w:numPr>
        <w:spacing w:after="160" w:line="259" w:lineRule="auto"/>
        <w:contextualSpacing/>
        <w:jc w:val="both"/>
        <w:rPr>
          <w:rFonts w:ascii="Cambria" w:hAnsi="Cambria" w:cs="Arial"/>
          <w:sz w:val="22"/>
          <w:szCs w:val="22"/>
          <w:lang w:val="pl-PL" w:eastAsia="en-US"/>
        </w:rPr>
      </w:pPr>
      <w:r w:rsidRPr="00773897">
        <w:rPr>
          <w:rFonts w:ascii="Cambria" w:hAnsi="Cambria" w:cs="Arial"/>
          <w:sz w:val="22"/>
          <w:szCs w:val="22"/>
          <w:lang w:val="pl-PL" w:eastAsia="en-US"/>
        </w:rPr>
        <w:t>Sa Njemačkom razvojnom bankom - KfW, za realizaciju projekta „Energetska efikasnost u javnim zgradama – faza III”, u iznosu do 45 miliona eura.</w:t>
      </w:r>
    </w:p>
    <w:p w:rsidR="00773897" w:rsidRPr="00773897" w:rsidRDefault="00773897" w:rsidP="00773897">
      <w:pPr>
        <w:contextualSpacing/>
        <w:jc w:val="both"/>
        <w:rPr>
          <w:rFonts w:ascii="Cambria" w:eastAsia="Cambria" w:hAnsi="Cambria" w:cs="Tahoma"/>
          <w:color w:val="000000"/>
          <w:sz w:val="22"/>
          <w:szCs w:val="22"/>
          <w:lang w:val="sr-Latn-ME" w:eastAsia="en-US"/>
        </w:rPr>
      </w:pPr>
    </w:p>
    <w:p w:rsidR="00773897" w:rsidRPr="00773897" w:rsidRDefault="00773897" w:rsidP="00773897">
      <w:pPr>
        <w:contextualSpacing/>
        <w:jc w:val="both"/>
        <w:rPr>
          <w:rFonts w:ascii="Cambria" w:eastAsia="Cambria" w:hAnsi="Cambria" w:cs="Tahoma"/>
          <w:color w:val="000000"/>
          <w:sz w:val="22"/>
          <w:szCs w:val="22"/>
          <w:lang w:val="sr-Latn-ME" w:eastAsia="en-US"/>
        </w:rPr>
      </w:pPr>
      <w:r w:rsidRPr="00773897">
        <w:rPr>
          <w:rFonts w:ascii="Cambria" w:eastAsia="Cambria" w:hAnsi="Cambria" w:cs="Tahoma"/>
          <w:color w:val="000000"/>
          <w:sz w:val="22"/>
          <w:szCs w:val="22"/>
          <w:lang w:val="sr-Latn-ME" w:eastAsia="en-US"/>
        </w:rPr>
        <w:t xml:space="preserve">U iznos spoljnjeg duga nijesu uključene obaveze po osnovu neriješenih dužničko-povjerilačkih pitanja prema Libiji, Kuvajtu i Slovačkoj u visini od </w:t>
      </w:r>
      <w:r w:rsidRPr="00E8701F">
        <w:rPr>
          <w:rFonts w:ascii="Cambria" w:eastAsia="Cambria" w:hAnsi="Cambria" w:cs="Tahoma"/>
          <w:color w:val="000000"/>
          <w:sz w:val="22"/>
          <w:szCs w:val="22"/>
          <w:lang w:val="sr-Latn-ME" w:eastAsia="en-US"/>
        </w:rPr>
        <w:t>oko 1% BDP-a.</w:t>
      </w:r>
      <w:r w:rsidRPr="00773897">
        <w:rPr>
          <w:rFonts w:ascii="Cambria" w:eastAsia="Cambria" w:hAnsi="Cambria" w:cs="Tahoma"/>
          <w:color w:val="000000"/>
          <w:sz w:val="22"/>
          <w:szCs w:val="22"/>
          <w:lang w:val="sr-Latn-ME" w:eastAsia="en-US"/>
        </w:rPr>
        <w:t xml:space="preserve"> Dug prema vladama ove tri zemlje Crnoj Gori je pripao po osnovu raspodjele nealociranog duga (5,88% od 38% za Srbiju i Crnu Goru), i shodno Sporazumu o pitanjima sukcesije iz Beča 29. juna 2001. godine rješava se usaglašenim stavovima u okviru Komiteta za podjelu finansijske aktive i pasive bivše SFRJ.</w:t>
      </w:r>
    </w:p>
    <w:p w:rsidR="00773897" w:rsidRPr="00773897" w:rsidRDefault="00773897" w:rsidP="00773897">
      <w:pPr>
        <w:spacing w:after="160" w:line="259" w:lineRule="auto"/>
        <w:jc w:val="center"/>
        <w:rPr>
          <w:rFonts w:ascii="Cambria" w:eastAsia="Cambria" w:hAnsi="Cambria"/>
          <w:b/>
          <w:color w:val="418AB3"/>
          <w:sz w:val="36"/>
          <w:szCs w:val="36"/>
          <w:lang w:val="sr-Latn-RS" w:eastAsia="en-US"/>
        </w:rPr>
      </w:pPr>
    </w:p>
    <w:p w:rsidR="00773897" w:rsidRPr="00773897" w:rsidRDefault="00773897" w:rsidP="00773897">
      <w:pPr>
        <w:keepNext/>
        <w:keepLines/>
        <w:numPr>
          <w:ilvl w:val="1"/>
          <w:numId w:val="48"/>
        </w:numPr>
        <w:spacing w:before="40" w:after="160" w:line="259" w:lineRule="auto"/>
        <w:contextualSpacing/>
        <w:outlineLvl w:val="1"/>
        <w:rPr>
          <w:rFonts w:ascii="Cambria" w:hAnsi="Cambria"/>
          <w:b/>
          <w:color w:val="418AB3"/>
          <w:lang w:val="sr-Latn-ME" w:eastAsia="en-US"/>
        </w:rPr>
      </w:pPr>
      <w:r w:rsidRPr="00773897">
        <w:rPr>
          <w:rFonts w:ascii="Cambria" w:hAnsi="Cambria"/>
          <w:b/>
          <w:color w:val="418AB3"/>
          <w:lang w:val="sr-Latn-ME" w:eastAsia="en-US"/>
        </w:rPr>
        <w:t xml:space="preserve"> </w:t>
      </w:r>
      <w:bookmarkStart w:id="21" w:name="_Toc41286661"/>
      <w:r w:rsidRPr="00773897">
        <w:rPr>
          <w:rFonts w:ascii="Cambria" w:hAnsi="Cambria"/>
          <w:b/>
          <w:color w:val="418AB3"/>
          <w:lang w:val="sr-Latn-ME" w:eastAsia="en-US"/>
        </w:rPr>
        <w:t>Domaći dug</w:t>
      </w:r>
      <w:bookmarkEnd w:id="21"/>
    </w:p>
    <w:p w:rsidR="00773897" w:rsidRPr="00773897" w:rsidRDefault="00773897" w:rsidP="00773897">
      <w:pPr>
        <w:spacing w:after="160" w:line="259" w:lineRule="auto"/>
        <w:jc w:val="both"/>
        <w:rPr>
          <w:rFonts w:ascii="Cambria" w:eastAsia="Cambria" w:hAnsi="Cambria"/>
          <w:sz w:val="22"/>
          <w:szCs w:val="22"/>
          <w:lang w:val="sr-Latn-ME" w:eastAsia="en-US"/>
        </w:rPr>
      </w:pPr>
    </w:p>
    <w:p w:rsidR="00773897" w:rsidRPr="00773897" w:rsidRDefault="00773897" w:rsidP="00773897">
      <w:pPr>
        <w:spacing w:after="160" w:line="259" w:lineRule="auto"/>
        <w:jc w:val="both"/>
        <w:rPr>
          <w:rFonts w:ascii="Cambria" w:eastAsia="Cambria" w:hAnsi="Cambria"/>
          <w:sz w:val="22"/>
          <w:szCs w:val="22"/>
          <w:lang w:val="sr-Latn-ME" w:eastAsia="en-US"/>
        </w:rPr>
      </w:pPr>
      <w:r w:rsidRPr="00773897">
        <w:rPr>
          <w:rFonts w:ascii="Cambria" w:eastAsia="Cambria" w:hAnsi="Cambria"/>
          <w:sz w:val="22"/>
          <w:szCs w:val="22"/>
          <w:lang w:val="sr-Latn-ME" w:eastAsia="en-US"/>
        </w:rPr>
        <w:t xml:space="preserve">Domaći dug na kraju 2019. godine iznosi </w:t>
      </w:r>
      <w:r w:rsidRPr="00773897">
        <w:rPr>
          <w:rFonts w:ascii="Cambria" w:hAnsi="Cambria"/>
          <w:b/>
          <w:bCs/>
          <w:sz w:val="22"/>
          <w:szCs w:val="22"/>
          <w:lang w:val="en-GB" w:eastAsia="en-GB"/>
        </w:rPr>
        <w:t xml:space="preserve">579,96 </w:t>
      </w:r>
      <w:r w:rsidRPr="00773897">
        <w:rPr>
          <w:rFonts w:ascii="Cambria" w:eastAsia="Cambria" w:hAnsi="Cambria"/>
          <w:sz w:val="22"/>
          <w:szCs w:val="22"/>
          <w:lang w:val="sr-Latn-ME" w:eastAsia="en-US"/>
        </w:rPr>
        <w:t xml:space="preserve">miliona eura, osnosno </w:t>
      </w:r>
      <w:r w:rsidRPr="00E8701F">
        <w:rPr>
          <w:rFonts w:ascii="Cambria" w:eastAsia="Cambria" w:hAnsi="Cambria"/>
          <w:b/>
          <w:sz w:val="22"/>
          <w:szCs w:val="22"/>
          <w:lang w:val="sr-Latn-ME" w:eastAsia="en-US"/>
        </w:rPr>
        <w:t>11,</w:t>
      </w:r>
      <w:r w:rsidR="00570C7D" w:rsidRPr="00E8701F">
        <w:rPr>
          <w:rFonts w:ascii="Cambria" w:eastAsia="Cambria" w:hAnsi="Cambria"/>
          <w:b/>
          <w:sz w:val="22"/>
          <w:szCs w:val="22"/>
          <w:lang w:val="sr-Latn-ME" w:eastAsia="en-US"/>
        </w:rPr>
        <w:t>71</w:t>
      </w:r>
      <w:r w:rsidRPr="00E8701F">
        <w:rPr>
          <w:rFonts w:ascii="Cambria" w:eastAsia="Cambria" w:hAnsi="Cambria"/>
          <w:b/>
          <w:sz w:val="22"/>
          <w:szCs w:val="22"/>
          <w:lang w:val="sr-Latn-ME" w:eastAsia="en-US"/>
        </w:rPr>
        <w:t xml:space="preserve">% </w:t>
      </w:r>
      <w:r w:rsidRPr="00E8701F">
        <w:rPr>
          <w:rFonts w:ascii="Cambria" w:eastAsia="Cambria" w:hAnsi="Cambria"/>
          <w:sz w:val="22"/>
          <w:szCs w:val="22"/>
          <w:lang w:val="sr-Latn-ME" w:eastAsia="en-US"/>
        </w:rPr>
        <w:t>BDP-a.</w:t>
      </w:r>
    </w:p>
    <w:p w:rsidR="00773897" w:rsidRPr="00773897" w:rsidRDefault="00773897" w:rsidP="00773897">
      <w:pPr>
        <w:spacing w:after="160" w:line="259" w:lineRule="auto"/>
        <w:jc w:val="both"/>
        <w:rPr>
          <w:rFonts w:ascii="Cambria" w:eastAsia="Cambria" w:hAnsi="Cambria"/>
          <w:sz w:val="22"/>
          <w:szCs w:val="22"/>
          <w:lang w:val="sr-Latn-ME" w:eastAsia="en-US"/>
        </w:rPr>
      </w:pPr>
      <w:r w:rsidRPr="00773897">
        <w:rPr>
          <w:rFonts w:ascii="Cambria" w:eastAsia="Cambria" w:hAnsi="Cambria"/>
          <w:sz w:val="22"/>
          <w:szCs w:val="22"/>
          <w:lang w:val="sr-Latn-ME" w:eastAsia="en-US"/>
        </w:rPr>
        <w:t>Domaći dug najvećim dijelom čini dug po osnovu restitucije, domaćih obveznica GB16, GB24 i GB26, državnih zapisa i kratkoročnih i dugoročnih kredita uzetih kod domaćih komercijalnih banaka. U stanje domaćeg duga uključen je i dug pravnih lica i privrednih društava koja pretežno pružaju usluge od javnog interesa.  Tabela 2 prikazuje najveće domaće obaveze prema rezidentima.</w:t>
      </w:r>
    </w:p>
    <w:p w:rsidR="00773897" w:rsidRPr="00773897" w:rsidRDefault="00773897" w:rsidP="00773897">
      <w:pPr>
        <w:spacing w:after="160"/>
        <w:rPr>
          <w:rFonts w:ascii="Cambria" w:hAnsi="Cambria"/>
          <w:b/>
          <w:color w:val="418AB3"/>
          <w:sz w:val="20"/>
          <w:szCs w:val="20"/>
          <w:lang w:val="sr-Latn-ME" w:eastAsia="en-US"/>
        </w:rPr>
      </w:pPr>
      <w:bookmarkStart w:id="22" w:name="_Toc41286669"/>
      <w:r w:rsidRPr="00773897">
        <w:rPr>
          <w:rFonts w:ascii="Cambria" w:hAnsi="Cambria"/>
          <w:b/>
          <w:color w:val="418AB3"/>
          <w:sz w:val="20"/>
          <w:szCs w:val="20"/>
          <w:lang w:val="sr-Latn-ME" w:eastAsia="en-US"/>
        </w:rPr>
        <w:t xml:space="preserve">Tabela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Table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3</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Najveće obaveze za domaći dug, na kraju  2019. godine</w:t>
      </w:r>
      <w:bookmarkEnd w:id="22"/>
      <w:r w:rsidRPr="00773897">
        <w:rPr>
          <w:rFonts w:ascii="Cambria" w:eastAsia="Cambria" w:hAnsi="Cambria"/>
          <w:b/>
          <w:bCs/>
          <w:smallCaps/>
          <w:color w:val="5E5E5E"/>
          <w:sz w:val="22"/>
          <w:szCs w:val="22"/>
          <w:lang w:val="sr-Latn-ME" w:eastAsia="en-US"/>
        </w:rPr>
        <w:fldChar w:fldCharType="begin"/>
      </w:r>
      <w:r w:rsidRPr="00773897">
        <w:rPr>
          <w:rFonts w:ascii="Cambria" w:eastAsia="Cambria" w:hAnsi="Cambria"/>
          <w:b/>
          <w:bCs/>
          <w:smallCaps/>
          <w:color w:val="5E5E5E"/>
          <w:sz w:val="22"/>
          <w:szCs w:val="22"/>
          <w:lang w:val="sr-Latn-ME" w:eastAsia="en-US"/>
        </w:rPr>
        <w:instrText xml:space="preserve"> LINK Excel.Sheet.12 "C:\\Users\\jelena.djurovic\\Desktop\\Javni dug\\2020\\Grafici za javni dug 4817.xlsx" "otplata duga!R13C2:R19C4" \a \f 4 \h  \* MERGEFORMAT </w:instrText>
      </w:r>
      <w:r w:rsidRPr="00773897">
        <w:rPr>
          <w:rFonts w:ascii="Cambria" w:eastAsia="Cambria" w:hAnsi="Cambria"/>
          <w:b/>
          <w:bCs/>
          <w:smallCaps/>
          <w:color w:val="5E5E5E"/>
          <w:sz w:val="22"/>
          <w:szCs w:val="22"/>
          <w:lang w:val="sr-Latn-ME" w:eastAsia="en-US"/>
        </w:rPr>
        <w:fldChar w:fldCharType="separate"/>
      </w:r>
    </w:p>
    <w:tbl>
      <w:tblPr>
        <w:tblStyle w:val="GridTable6Colorful-Accent123"/>
        <w:tblW w:w="7200" w:type="dxa"/>
        <w:tblLook w:val="04A0" w:firstRow="1" w:lastRow="0" w:firstColumn="1" w:lastColumn="0" w:noHBand="0" w:noVBand="1"/>
      </w:tblPr>
      <w:tblGrid>
        <w:gridCol w:w="5780"/>
        <w:gridCol w:w="1420"/>
      </w:tblGrid>
      <w:tr w:rsidR="00773897" w:rsidRPr="00773897" w:rsidTr="00CE508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80" w:type="dxa"/>
            <w:noWrap/>
            <w:hideMark/>
          </w:tcPr>
          <w:p w:rsidR="00773897" w:rsidRPr="00773897" w:rsidRDefault="00773897" w:rsidP="00773897">
            <w:pPr>
              <w:rPr>
                <w:rFonts w:ascii="Calibri" w:hAnsi="Calibri"/>
                <w:sz w:val="20"/>
                <w:szCs w:val="20"/>
                <w:lang w:val="en-GB" w:eastAsia="en-GB"/>
              </w:rPr>
            </w:pPr>
          </w:p>
        </w:tc>
        <w:tc>
          <w:tcPr>
            <w:tcW w:w="1420" w:type="dxa"/>
            <w:noWrap/>
            <w:hideMark/>
          </w:tcPr>
          <w:p w:rsidR="00773897" w:rsidRPr="00773897" w:rsidRDefault="00773897" w:rsidP="00773897">
            <w:pPr>
              <w:jc w:val="center"/>
              <w:cnfStyle w:val="100000000000" w:firstRow="1" w:lastRow="0" w:firstColumn="0" w:lastColumn="0" w:oddVBand="0" w:evenVBand="0" w:oddHBand="0" w:evenHBand="0" w:firstRowFirstColumn="0" w:firstRowLastColumn="0" w:lastRowFirstColumn="0" w:lastRowLastColumn="0"/>
              <w:rPr>
                <w:rFonts w:ascii="Cambria" w:eastAsia="Cambria" w:hAnsi="Cambria"/>
                <w:sz w:val="22"/>
                <w:szCs w:val="22"/>
                <w:lang w:val="en-GB" w:eastAsia="en-US"/>
              </w:rPr>
            </w:pPr>
            <w:r w:rsidRPr="00433E14">
              <w:rPr>
                <w:rFonts w:ascii="Cambria" w:eastAsia="Cambria" w:hAnsi="Cambria"/>
                <w:sz w:val="22"/>
                <w:szCs w:val="22"/>
                <w:lang w:val="en-GB" w:eastAsia="en-US"/>
              </w:rPr>
              <w:t>u</w:t>
            </w:r>
            <w:r w:rsidRPr="00773897">
              <w:rPr>
                <w:rFonts w:ascii="Cambria" w:eastAsia="Cambria" w:hAnsi="Cambria"/>
                <w:sz w:val="22"/>
                <w:szCs w:val="22"/>
                <w:lang w:val="en-GB" w:eastAsia="en-US"/>
              </w:rPr>
              <w:t xml:space="preserve"> mil.eura</w:t>
            </w:r>
          </w:p>
        </w:tc>
      </w:tr>
      <w:tr w:rsidR="00773897" w:rsidRPr="00773897" w:rsidTr="007738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80" w:type="dxa"/>
            <w:noWrap/>
            <w:hideMark/>
          </w:tcPr>
          <w:p w:rsidR="00773897" w:rsidRPr="00773897" w:rsidRDefault="00773897" w:rsidP="00773897">
            <w:pPr>
              <w:rPr>
                <w:rFonts w:ascii="Calibri" w:hAnsi="Calibri"/>
                <w:color w:val="000000"/>
                <w:sz w:val="20"/>
                <w:szCs w:val="20"/>
                <w:lang w:val="en-GB" w:eastAsia="en-GB"/>
              </w:rPr>
            </w:pPr>
            <w:r w:rsidRPr="00773897">
              <w:rPr>
                <w:rFonts w:ascii="Calibri" w:hAnsi="Calibri"/>
                <w:color w:val="000000"/>
                <w:sz w:val="20"/>
                <w:szCs w:val="20"/>
                <w:lang w:val="sr-Latn-ME" w:eastAsia="en-GB"/>
              </w:rPr>
              <w:t>Kreditne linije kod poslovnih banaka</w:t>
            </w:r>
          </w:p>
        </w:tc>
        <w:tc>
          <w:tcPr>
            <w:tcW w:w="1420" w:type="dxa"/>
            <w:noWrap/>
            <w:hideMark/>
          </w:tcPr>
          <w:p w:rsidR="00773897" w:rsidRPr="00773897" w:rsidRDefault="00773897" w:rsidP="0077389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en-GB" w:eastAsia="en-GB"/>
              </w:rPr>
            </w:pPr>
            <w:r w:rsidRPr="00773897">
              <w:rPr>
                <w:rFonts w:ascii="Calibri" w:hAnsi="Calibri"/>
                <w:color w:val="000000"/>
                <w:sz w:val="20"/>
                <w:szCs w:val="20"/>
                <w:lang w:val="sr-Latn-ME" w:eastAsia="en-GB"/>
              </w:rPr>
              <w:t>140,23</w:t>
            </w:r>
          </w:p>
        </w:tc>
      </w:tr>
      <w:tr w:rsidR="00773897" w:rsidRPr="00773897" w:rsidTr="00CE5081">
        <w:trPr>
          <w:trHeight w:val="300"/>
        </w:trPr>
        <w:tc>
          <w:tcPr>
            <w:cnfStyle w:val="001000000000" w:firstRow="0" w:lastRow="0" w:firstColumn="1" w:lastColumn="0" w:oddVBand="0" w:evenVBand="0" w:oddHBand="0" w:evenHBand="0" w:firstRowFirstColumn="0" w:firstRowLastColumn="0" w:lastRowFirstColumn="0" w:lastRowLastColumn="0"/>
            <w:tcW w:w="5780" w:type="dxa"/>
            <w:noWrap/>
            <w:hideMark/>
          </w:tcPr>
          <w:p w:rsidR="00773897" w:rsidRPr="00773897" w:rsidRDefault="00773897" w:rsidP="00773897">
            <w:pPr>
              <w:rPr>
                <w:rFonts w:ascii="Calibri" w:hAnsi="Calibri"/>
                <w:color w:val="000000"/>
                <w:sz w:val="20"/>
                <w:szCs w:val="20"/>
                <w:lang w:val="en-GB" w:eastAsia="en-GB"/>
              </w:rPr>
            </w:pPr>
            <w:r w:rsidRPr="00773897">
              <w:rPr>
                <w:rFonts w:ascii="Calibri" w:hAnsi="Calibri"/>
                <w:color w:val="000000"/>
                <w:sz w:val="20"/>
                <w:szCs w:val="20"/>
                <w:lang w:val="sr-Latn-ME" w:eastAsia="en-GB"/>
              </w:rPr>
              <w:t>Domaće obveznice GB24</w:t>
            </w:r>
          </w:p>
        </w:tc>
        <w:tc>
          <w:tcPr>
            <w:tcW w:w="1420" w:type="dxa"/>
            <w:noWrap/>
            <w:hideMark/>
          </w:tcPr>
          <w:p w:rsidR="00773897" w:rsidRPr="00773897" w:rsidRDefault="00773897" w:rsidP="0077389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en-GB" w:eastAsia="en-GB"/>
              </w:rPr>
            </w:pPr>
            <w:r w:rsidRPr="00773897">
              <w:rPr>
                <w:rFonts w:ascii="Calibri" w:hAnsi="Calibri"/>
                <w:color w:val="000000"/>
                <w:sz w:val="20"/>
                <w:szCs w:val="20"/>
                <w:lang w:val="sr-Latn-ME" w:eastAsia="en-GB"/>
              </w:rPr>
              <w:t>92,44</w:t>
            </w:r>
          </w:p>
        </w:tc>
      </w:tr>
      <w:tr w:rsidR="00773897" w:rsidRPr="00773897" w:rsidTr="007738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80" w:type="dxa"/>
            <w:noWrap/>
            <w:hideMark/>
          </w:tcPr>
          <w:p w:rsidR="00773897" w:rsidRPr="00773897" w:rsidRDefault="00773897" w:rsidP="00773897">
            <w:pPr>
              <w:rPr>
                <w:rFonts w:ascii="Calibri" w:hAnsi="Calibri"/>
                <w:color w:val="000000"/>
                <w:sz w:val="20"/>
                <w:szCs w:val="20"/>
                <w:lang w:val="en-GB" w:eastAsia="en-GB"/>
              </w:rPr>
            </w:pPr>
            <w:r w:rsidRPr="00773897">
              <w:rPr>
                <w:rFonts w:ascii="Calibri" w:hAnsi="Calibri"/>
                <w:color w:val="000000"/>
                <w:sz w:val="20"/>
                <w:szCs w:val="20"/>
                <w:lang w:val="sr-Latn-ME" w:eastAsia="en-GB"/>
              </w:rPr>
              <w:t>Obaveze po osnovu obeštećenja</w:t>
            </w:r>
          </w:p>
        </w:tc>
        <w:tc>
          <w:tcPr>
            <w:tcW w:w="1420" w:type="dxa"/>
            <w:noWrap/>
            <w:hideMark/>
          </w:tcPr>
          <w:p w:rsidR="00773897" w:rsidRPr="00773897" w:rsidRDefault="00773897" w:rsidP="0077389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en-GB" w:eastAsia="en-GB"/>
              </w:rPr>
            </w:pPr>
            <w:r w:rsidRPr="00773897">
              <w:rPr>
                <w:rFonts w:ascii="Calibri" w:hAnsi="Calibri"/>
                <w:color w:val="000000"/>
                <w:sz w:val="20"/>
                <w:szCs w:val="20"/>
                <w:lang w:val="sr-Latn-ME" w:eastAsia="en-GB"/>
              </w:rPr>
              <w:t>86,35</w:t>
            </w:r>
          </w:p>
        </w:tc>
      </w:tr>
      <w:tr w:rsidR="00773897" w:rsidRPr="00773897" w:rsidTr="00CE5081">
        <w:trPr>
          <w:trHeight w:val="300"/>
        </w:trPr>
        <w:tc>
          <w:tcPr>
            <w:cnfStyle w:val="001000000000" w:firstRow="0" w:lastRow="0" w:firstColumn="1" w:lastColumn="0" w:oddVBand="0" w:evenVBand="0" w:oddHBand="0" w:evenHBand="0" w:firstRowFirstColumn="0" w:firstRowLastColumn="0" w:lastRowFirstColumn="0" w:lastRowLastColumn="0"/>
            <w:tcW w:w="5780" w:type="dxa"/>
            <w:noWrap/>
            <w:hideMark/>
          </w:tcPr>
          <w:p w:rsidR="00773897" w:rsidRPr="00773897" w:rsidRDefault="00773897" w:rsidP="00773897">
            <w:pPr>
              <w:rPr>
                <w:rFonts w:ascii="Calibri" w:hAnsi="Calibri"/>
                <w:color w:val="000000"/>
                <w:sz w:val="20"/>
                <w:szCs w:val="20"/>
                <w:lang w:val="en-GB" w:eastAsia="en-GB"/>
              </w:rPr>
            </w:pPr>
            <w:r w:rsidRPr="00773897">
              <w:rPr>
                <w:rFonts w:ascii="Calibri" w:hAnsi="Calibri"/>
                <w:color w:val="000000"/>
                <w:sz w:val="20"/>
                <w:szCs w:val="20"/>
                <w:lang w:val="sr-Latn-ME" w:eastAsia="en-GB"/>
              </w:rPr>
              <w:t>Domaće obveznice GB16</w:t>
            </w:r>
          </w:p>
        </w:tc>
        <w:tc>
          <w:tcPr>
            <w:tcW w:w="1420" w:type="dxa"/>
            <w:noWrap/>
            <w:hideMark/>
          </w:tcPr>
          <w:p w:rsidR="00773897" w:rsidRPr="00773897" w:rsidRDefault="00773897" w:rsidP="0077389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en-GB" w:eastAsia="en-GB"/>
              </w:rPr>
            </w:pPr>
            <w:r w:rsidRPr="00773897">
              <w:rPr>
                <w:rFonts w:ascii="Calibri" w:hAnsi="Calibri"/>
                <w:color w:val="000000"/>
                <w:sz w:val="20"/>
                <w:szCs w:val="20"/>
                <w:lang w:val="sr-Latn-ME" w:eastAsia="en-GB"/>
              </w:rPr>
              <w:t>80,41</w:t>
            </w:r>
          </w:p>
        </w:tc>
      </w:tr>
      <w:tr w:rsidR="00773897" w:rsidRPr="00773897" w:rsidTr="007738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80" w:type="dxa"/>
            <w:noWrap/>
            <w:hideMark/>
          </w:tcPr>
          <w:p w:rsidR="00773897" w:rsidRPr="00773897" w:rsidRDefault="00773897" w:rsidP="00773897">
            <w:pPr>
              <w:rPr>
                <w:rFonts w:ascii="Calibri" w:hAnsi="Calibri"/>
                <w:color w:val="000000"/>
                <w:sz w:val="20"/>
                <w:szCs w:val="20"/>
                <w:lang w:val="en-GB" w:eastAsia="en-GB"/>
              </w:rPr>
            </w:pPr>
            <w:r w:rsidRPr="00773897">
              <w:rPr>
                <w:rFonts w:ascii="Calibri" w:hAnsi="Calibri"/>
                <w:color w:val="000000"/>
                <w:sz w:val="20"/>
                <w:szCs w:val="20"/>
                <w:lang w:val="en-GB" w:eastAsia="en-GB"/>
              </w:rPr>
              <w:t>Državni zapisi</w:t>
            </w:r>
          </w:p>
        </w:tc>
        <w:tc>
          <w:tcPr>
            <w:tcW w:w="1420" w:type="dxa"/>
            <w:noWrap/>
            <w:hideMark/>
          </w:tcPr>
          <w:p w:rsidR="00773897" w:rsidRPr="00773897" w:rsidRDefault="00773897" w:rsidP="0077389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en-GB" w:eastAsia="en-GB"/>
              </w:rPr>
            </w:pPr>
            <w:r w:rsidRPr="00773897">
              <w:rPr>
                <w:rFonts w:ascii="Calibri" w:hAnsi="Calibri"/>
                <w:color w:val="000000"/>
                <w:sz w:val="20"/>
                <w:szCs w:val="20"/>
                <w:lang w:val="sr-Latn-ME" w:eastAsia="en-GB"/>
              </w:rPr>
              <w:t>72</w:t>
            </w:r>
          </w:p>
        </w:tc>
      </w:tr>
      <w:tr w:rsidR="00773897" w:rsidRPr="00773897" w:rsidTr="00CE5081">
        <w:trPr>
          <w:trHeight w:val="300"/>
        </w:trPr>
        <w:tc>
          <w:tcPr>
            <w:cnfStyle w:val="001000000000" w:firstRow="0" w:lastRow="0" w:firstColumn="1" w:lastColumn="0" w:oddVBand="0" w:evenVBand="0" w:oddHBand="0" w:evenHBand="0" w:firstRowFirstColumn="0" w:firstRowLastColumn="0" w:lastRowFirstColumn="0" w:lastRowLastColumn="0"/>
            <w:tcW w:w="5780" w:type="dxa"/>
            <w:noWrap/>
            <w:hideMark/>
          </w:tcPr>
          <w:p w:rsidR="00773897" w:rsidRPr="00773897" w:rsidRDefault="00773897" w:rsidP="00773897">
            <w:pPr>
              <w:rPr>
                <w:rFonts w:ascii="Calibri" w:hAnsi="Calibri"/>
                <w:color w:val="000000"/>
                <w:sz w:val="20"/>
                <w:szCs w:val="20"/>
                <w:lang w:val="en-GB" w:eastAsia="en-GB"/>
              </w:rPr>
            </w:pPr>
            <w:r w:rsidRPr="00773897">
              <w:rPr>
                <w:rFonts w:ascii="Calibri" w:hAnsi="Calibri"/>
                <w:color w:val="000000"/>
                <w:sz w:val="20"/>
                <w:szCs w:val="20"/>
                <w:lang w:val="sr-Latn-ME" w:eastAsia="en-GB"/>
              </w:rPr>
              <w:t>Domaće obveznice GB26</w:t>
            </w:r>
          </w:p>
        </w:tc>
        <w:tc>
          <w:tcPr>
            <w:tcW w:w="1420" w:type="dxa"/>
            <w:noWrap/>
            <w:hideMark/>
          </w:tcPr>
          <w:p w:rsidR="00773897" w:rsidRPr="00773897" w:rsidRDefault="00773897" w:rsidP="0077389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en-GB" w:eastAsia="en-GB"/>
              </w:rPr>
            </w:pPr>
            <w:r w:rsidRPr="00773897">
              <w:rPr>
                <w:rFonts w:ascii="Calibri" w:hAnsi="Calibri"/>
                <w:color w:val="000000"/>
                <w:sz w:val="20"/>
                <w:szCs w:val="20"/>
                <w:lang w:val="sr-Latn-ME" w:eastAsia="en-GB"/>
              </w:rPr>
              <w:t>50</w:t>
            </w:r>
          </w:p>
        </w:tc>
      </w:tr>
    </w:tbl>
    <w:p w:rsidR="00773897" w:rsidRPr="00773897" w:rsidRDefault="00773897" w:rsidP="00773897">
      <w:pPr>
        <w:spacing w:after="160" w:line="259" w:lineRule="auto"/>
        <w:rPr>
          <w:rFonts w:ascii="Cambria" w:eastAsia="Cambria" w:hAnsi="Cambria"/>
          <w:sz w:val="22"/>
          <w:szCs w:val="22"/>
          <w:lang w:val="sr-Latn-ME" w:eastAsia="en-US"/>
        </w:rPr>
      </w:pPr>
      <w:r w:rsidRPr="00773897">
        <w:rPr>
          <w:rFonts w:ascii="Cambria" w:eastAsia="Cambria" w:hAnsi="Cambria"/>
          <w:sz w:val="22"/>
          <w:szCs w:val="22"/>
          <w:lang w:val="sr-Latn-ME" w:eastAsia="en-US"/>
        </w:rPr>
        <w:fldChar w:fldCharType="end"/>
      </w:r>
      <w:bookmarkStart w:id="23" w:name="_Toc35253508"/>
    </w:p>
    <w:p w:rsidR="00773897" w:rsidRPr="00773897" w:rsidRDefault="00773897" w:rsidP="00773897">
      <w:pPr>
        <w:spacing w:after="160" w:line="259" w:lineRule="auto"/>
        <w:rPr>
          <w:rFonts w:ascii="Cambria" w:eastAsia="Cambria" w:hAnsi="Cambria"/>
          <w:sz w:val="22"/>
          <w:szCs w:val="22"/>
          <w:lang w:val="sr-Latn-ME" w:eastAsia="en-US"/>
        </w:rPr>
      </w:pPr>
      <w:bookmarkStart w:id="24" w:name="_Toc41286680"/>
      <w:r w:rsidRPr="00773897">
        <w:rPr>
          <w:rFonts w:ascii="Cambria" w:hAnsi="Cambria"/>
          <w:color w:val="418AB3"/>
          <w:sz w:val="20"/>
          <w:szCs w:val="20"/>
          <w:lang w:val="sr-Latn-ME" w:eastAsia="en-US"/>
        </w:rPr>
        <w:lastRenderedPageBreak/>
        <w:t xml:space="preserve">Grafik </w:t>
      </w:r>
      <w:r w:rsidRPr="00773897">
        <w:rPr>
          <w:rFonts w:ascii="Cambria" w:hAnsi="Cambria"/>
          <w:bCs/>
          <w:smallCaps/>
          <w:color w:val="418AB3"/>
          <w:sz w:val="20"/>
          <w:szCs w:val="20"/>
          <w:lang w:val="sr-Latn-ME" w:eastAsia="en-US"/>
        </w:rPr>
        <w:fldChar w:fldCharType="begin"/>
      </w:r>
      <w:r w:rsidRPr="00773897">
        <w:rPr>
          <w:rFonts w:ascii="Cambria" w:hAnsi="Cambria"/>
          <w:color w:val="418AB3"/>
          <w:sz w:val="20"/>
          <w:szCs w:val="20"/>
          <w:lang w:val="sr-Latn-ME" w:eastAsia="en-US"/>
        </w:rPr>
        <w:instrText xml:space="preserve"> SEQ Figure \* ARABIC </w:instrText>
      </w:r>
      <w:r w:rsidRPr="00773897">
        <w:rPr>
          <w:rFonts w:ascii="Cambria" w:hAnsi="Cambria"/>
          <w:bCs/>
          <w:smallCaps/>
          <w:color w:val="418AB3"/>
          <w:sz w:val="20"/>
          <w:szCs w:val="20"/>
          <w:lang w:val="sr-Latn-ME" w:eastAsia="en-US"/>
        </w:rPr>
        <w:fldChar w:fldCharType="separate"/>
      </w:r>
      <w:r w:rsidR="00250EF7">
        <w:rPr>
          <w:rFonts w:ascii="Cambria" w:hAnsi="Cambria"/>
          <w:noProof/>
          <w:color w:val="418AB3"/>
          <w:sz w:val="20"/>
          <w:szCs w:val="20"/>
          <w:lang w:val="sr-Latn-ME" w:eastAsia="en-US"/>
        </w:rPr>
        <w:t>8</w:t>
      </w:r>
      <w:r w:rsidRPr="00773897">
        <w:rPr>
          <w:rFonts w:ascii="Cambria" w:hAnsi="Cambria"/>
          <w:bCs/>
          <w:smallCaps/>
          <w:color w:val="418AB3"/>
          <w:sz w:val="20"/>
          <w:szCs w:val="20"/>
          <w:lang w:val="sr-Latn-ME" w:eastAsia="en-US"/>
        </w:rPr>
        <w:fldChar w:fldCharType="end"/>
      </w:r>
      <w:r w:rsidRPr="00773897">
        <w:rPr>
          <w:rFonts w:ascii="Cambria" w:hAnsi="Cambria"/>
          <w:color w:val="418AB3"/>
          <w:sz w:val="20"/>
          <w:szCs w:val="20"/>
          <w:lang w:val="sr-Latn-ME" w:eastAsia="en-US"/>
        </w:rPr>
        <w:t xml:space="preserve"> </w:t>
      </w:r>
      <w:bookmarkEnd w:id="23"/>
      <w:r w:rsidRPr="00773897">
        <w:rPr>
          <w:rFonts w:ascii="Cambria" w:hAnsi="Cambria"/>
          <w:color w:val="418AB3"/>
          <w:sz w:val="20"/>
          <w:szCs w:val="20"/>
          <w:lang w:val="sr-Latn-ME" w:eastAsia="en-US"/>
        </w:rPr>
        <w:t>Struktura unutrašnjeg duga</w:t>
      </w:r>
      <w:r w:rsidRPr="00773897">
        <w:rPr>
          <w:rFonts w:ascii="Cambria" w:eastAsia="Cambria" w:hAnsi="Cambria"/>
          <w:noProof/>
          <w:sz w:val="22"/>
          <w:szCs w:val="22"/>
          <w:lang w:val="en-GB" w:eastAsia="en-GB"/>
        </w:rPr>
        <w:drawing>
          <wp:inline distT="0" distB="0" distL="0" distR="0" wp14:anchorId="2753C8E3" wp14:editId="544E7585">
            <wp:extent cx="5534025" cy="2409825"/>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24"/>
    </w:p>
    <w:p w:rsidR="00773897" w:rsidRPr="00773897" w:rsidRDefault="00773897" w:rsidP="00773897">
      <w:pPr>
        <w:spacing w:after="160" w:line="259" w:lineRule="auto"/>
        <w:jc w:val="both"/>
        <w:rPr>
          <w:rFonts w:ascii="Cambria" w:eastAsia="Cambria" w:hAnsi="Cambria"/>
          <w:bCs/>
          <w:iCs/>
          <w:sz w:val="22"/>
          <w:szCs w:val="22"/>
          <w:lang w:val="en-GB" w:eastAsia="en-US"/>
        </w:rPr>
      </w:pPr>
      <w:bookmarkStart w:id="25" w:name="_Toc508901971"/>
      <w:r w:rsidRPr="00773897">
        <w:rPr>
          <w:rFonts w:ascii="Cambria" w:eastAsia="Cambria" w:hAnsi="Cambria"/>
          <w:bCs/>
          <w:iCs/>
          <w:sz w:val="22"/>
          <w:szCs w:val="22"/>
          <w:lang w:val="en-GB" w:eastAsia="en-US"/>
        </w:rPr>
        <w:t xml:space="preserve">Kreditne linije kod poslovnih banaka se odnose na kratkoročne revolving kredite i dugoročne kredite, zaključene u periodu prije 2019. godine, kao i na dugoročne kredite uzete u toku 2019. godine. Kratkoročni revolving krediti su, tokom 2019. godine, reprogramirani na rok od godinu dana po nižim kamatnim stopama, koje se kreću u rasponu od 2,65-2,99%. Dug po osnovu kredita kod domaćih komercijalnih banaka se povećao za 47,58 miliona eura, što je nastalo kao rezultat novog zaduživanja u iznosu od 77,00 miliona eura, s jedne strane, odnosno  otplate duga u iznosu od 29,42 miliona eura, s druge strane. </w:t>
      </w:r>
    </w:p>
    <w:p w:rsidR="00773897" w:rsidRPr="00773897" w:rsidRDefault="00773897" w:rsidP="00773897">
      <w:pPr>
        <w:spacing w:after="160" w:line="259" w:lineRule="auto"/>
        <w:jc w:val="both"/>
        <w:rPr>
          <w:rFonts w:ascii="Cambria" w:eastAsia="Cambria" w:hAnsi="Cambria"/>
          <w:sz w:val="22"/>
          <w:szCs w:val="22"/>
          <w:lang w:val="sr-Latn-ME" w:eastAsia="en-US"/>
        </w:rPr>
      </w:pPr>
      <w:r w:rsidRPr="00773897">
        <w:rPr>
          <w:rFonts w:ascii="Cambria" w:eastAsia="Cambria" w:hAnsi="Cambria"/>
          <w:sz w:val="22"/>
          <w:szCs w:val="22"/>
          <w:lang w:val="sr-Latn-ME" w:eastAsia="en-US"/>
        </w:rPr>
        <w:t>Tokom 2019. godine, potpisani su sljedeći dugoročni kreditni aranžmani:</w:t>
      </w:r>
    </w:p>
    <w:p w:rsidR="00773897" w:rsidRPr="00773897" w:rsidRDefault="00773897" w:rsidP="00773897">
      <w:pPr>
        <w:numPr>
          <w:ilvl w:val="0"/>
          <w:numId w:val="44"/>
        </w:numPr>
        <w:spacing w:after="160" w:line="259" w:lineRule="auto"/>
        <w:contextualSpacing/>
        <w:jc w:val="both"/>
        <w:rPr>
          <w:rFonts w:ascii="Cambria" w:hAnsi="Cambria" w:cs="Arial"/>
          <w:sz w:val="22"/>
          <w:szCs w:val="22"/>
          <w:lang w:val="sr-Latn-ME" w:eastAsia="en-US"/>
        </w:rPr>
      </w:pPr>
      <w:r w:rsidRPr="00773897">
        <w:rPr>
          <w:rFonts w:ascii="Cambria" w:hAnsi="Cambria" w:cs="Arial"/>
          <w:sz w:val="22"/>
          <w:szCs w:val="22"/>
          <w:lang w:val="sr-Latn-ME" w:eastAsia="en-US"/>
        </w:rPr>
        <w:t>Sa Crnogorskom komercijalnom bankom a.d. Podgorica - CKB, za nabavku oklopnih vozila za potrebe Ministarstva odbrane,  u iznosu od 30,00 miliona eura;</w:t>
      </w:r>
    </w:p>
    <w:p w:rsidR="00773897" w:rsidRPr="00773897" w:rsidRDefault="00773897" w:rsidP="00773897">
      <w:pPr>
        <w:numPr>
          <w:ilvl w:val="0"/>
          <w:numId w:val="44"/>
        </w:numPr>
        <w:spacing w:after="160" w:line="259" w:lineRule="auto"/>
        <w:contextualSpacing/>
        <w:jc w:val="both"/>
        <w:rPr>
          <w:rFonts w:ascii="Cambria" w:hAnsi="Cambria" w:cs="Arial"/>
          <w:sz w:val="22"/>
          <w:szCs w:val="22"/>
          <w:lang w:val="sr-Latn-ME" w:eastAsia="en-US"/>
        </w:rPr>
      </w:pPr>
      <w:r w:rsidRPr="00773897">
        <w:rPr>
          <w:rFonts w:ascii="Cambria" w:hAnsi="Cambria" w:cs="Arial"/>
          <w:sz w:val="22"/>
          <w:szCs w:val="22"/>
          <w:lang w:val="sr-Latn-ME" w:eastAsia="en-US"/>
        </w:rPr>
        <w:t>Sa Podgoričkom bankom a.d. Podgorica OTP group – PGB, u cilju obezbjeđivanja nedostajućih sredstava za potrebe finansiranja budžeta za 2019. godinu, u iznosu od 47,00 miliona eura.</w:t>
      </w:r>
    </w:p>
    <w:p w:rsidR="00773897" w:rsidRPr="00773897" w:rsidRDefault="00773897" w:rsidP="00773897">
      <w:pPr>
        <w:ind w:left="720"/>
        <w:contextualSpacing/>
        <w:jc w:val="both"/>
        <w:rPr>
          <w:rFonts w:ascii="Cambria" w:hAnsi="Cambria" w:cs="Arial"/>
          <w:sz w:val="22"/>
          <w:szCs w:val="22"/>
          <w:lang w:val="sr-Latn-ME" w:eastAsia="en-US"/>
        </w:rPr>
      </w:pPr>
    </w:p>
    <w:p w:rsidR="00773897" w:rsidRPr="00773897" w:rsidRDefault="00773897" w:rsidP="00773897">
      <w:pPr>
        <w:spacing w:after="160" w:line="259" w:lineRule="auto"/>
        <w:jc w:val="both"/>
        <w:rPr>
          <w:rFonts w:ascii="Cambria" w:eastAsia="Cambria" w:hAnsi="Cambria"/>
          <w:sz w:val="22"/>
          <w:szCs w:val="22"/>
          <w:lang w:val="sr-Latn-ME" w:eastAsia="en-US"/>
        </w:rPr>
      </w:pPr>
      <w:r w:rsidRPr="00773897">
        <w:rPr>
          <w:rFonts w:ascii="Cambria" w:eastAsia="Cambria" w:hAnsi="Cambria"/>
          <w:sz w:val="22"/>
          <w:szCs w:val="22"/>
          <w:lang w:val="sr-Latn-ME" w:eastAsia="en-US"/>
        </w:rPr>
        <w:t xml:space="preserve">Ukupna obaveza po osnovu obeštećenja (restitucije), na kraju 2019. godine, iznosi oko 86,35 miliona eura što je za 0,25 miliona manje nego na kraju 2018. godine, kada je ova obaveza isnosila 86,60 miliona eura. Smanjenje iznosa duga po osnovu restitucije je bilo u iznosu od oko 4,38 miliona eura, a uzrokovano je otplatom redovne rate restitucije u iznosu od oko 2,16 miliona eura i plaćanjem carine i poreza u visini od oko 2,22 miliona eura, dok je s druge strane došlo do povećanja duga po osnovu novih rješenja tokom 2019. godine u visini  od oko 4,13 miliona eura. Stanje duga po ovom osnovu bilježi blagi pad iz perioda u period, međutim, posebno treba napomenuti da dug po ovom osnovu bilježi i povremeni rast zbog donošenja novih rješenja o povraćaju oduzetih imovinskih prava. </w:t>
      </w:r>
    </w:p>
    <w:p w:rsidR="00773897" w:rsidRPr="00773897" w:rsidRDefault="00773897" w:rsidP="00773897">
      <w:pPr>
        <w:spacing w:after="160" w:line="259" w:lineRule="auto"/>
        <w:jc w:val="both"/>
        <w:rPr>
          <w:rFonts w:ascii="Cambria" w:eastAsia="Cambria" w:hAnsi="Cambria"/>
          <w:sz w:val="22"/>
          <w:szCs w:val="22"/>
          <w:lang w:val="sr-Latn-ME" w:eastAsia="en-US"/>
        </w:rPr>
      </w:pPr>
      <w:r w:rsidRPr="00773897">
        <w:rPr>
          <w:rFonts w:ascii="Cambria" w:eastAsia="Cambria" w:hAnsi="Cambria"/>
          <w:sz w:val="22"/>
          <w:szCs w:val="22"/>
          <w:lang w:val="sr-Latn-ME" w:eastAsia="en-US"/>
        </w:rPr>
        <w:t>Dug po osnovu domaćih obveznica odnosi se na obveznice emitovane tokom 2016. godine, kao i obveznice emitovane tokom 2019. godine, sa rokom otplate od pet i sedam godina. Po ovom osnovu dug se tokom 2019. godine povećao u ukupnom iznosu od 142,44 miliona eura, odnosno 92,44 miliona eura za obveznice emitovane sa rokom dospijeća od pet godina – GB24, sa kamatnom stopom od 3%, i 50,00 miliona eura, za obvenice emitovane sa rokom dospijeća od sedama godina – GB26, i kamatnom stopom od 3.5%.</w:t>
      </w:r>
    </w:p>
    <w:bookmarkEnd w:id="25"/>
    <w:p w:rsidR="00773897" w:rsidRPr="00773897" w:rsidRDefault="00773897" w:rsidP="00773897">
      <w:pPr>
        <w:jc w:val="both"/>
        <w:rPr>
          <w:rFonts w:ascii="Cambria" w:eastAsia="Cambria" w:hAnsi="Cambria" w:cs="Cambria"/>
          <w:sz w:val="22"/>
          <w:szCs w:val="22"/>
          <w:lang w:val="sr-Latn-ME" w:eastAsia="en-US"/>
        </w:rPr>
      </w:pPr>
      <w:r w:rsidRPr="00773897">
        <w:rPr>
          <w:rFonts w:ascii="Cambria" w:eastAsia="Cambria" w:hAnsi="Cambria" w:cs="Cambria"/>
          <w:sz w:val="22"/>
          <w:szCs w:val="22"/>
          <w:lang w:val="sr-Latn-ME" w:eastAsia="en-US"/>
        </w:rPr>
        <w:t xml:space="preserve">U toku 2019. godine izvršena je otplata dijela duga za deviznu štednju u iznosu od oko 1,08 miliona eura. Takođe, tokom godine je izvršeno refinansiranje duga po osnovu državnih zapisa, kao i državnih zapisa koji su korišćeni za tekuću likvidnost tokom godine u iznosu od oko 144,00  </w:t>
      </w:r>
      <w:r w:rsidRPr="00773897">
        <w:rPr>
          <w:rFonts w:ascii="Cambria" w:eastAsia="Cambria" w:hAnsi="Cambria" w:cs="Cambria"/>
          <w:sz w:val="22"/>
          <w:szCs w:val="22"/>
          <w:lang w:val="sr-Latn-ME" w:eastAsia="en-US"/>
        </w:rPr>
        <w:lastRenderedPageBreak/>
        <w:t xml:space="preserve">miliona eura. Na kraju godine dug po osnovu državnih zapisa, u odnosu na kraj 2018. godine je smanjen za 5,00 miliona eura. </w:t>
      </w:r>
    </w:p>
    <w:p w:rsidR="00773897" w:rsidRPr="00773897" w:rsidRDefault="00773897" w:rsidP="00773897">
      <w:pPr>
        <w:jc w:val="both"/>
        <w:rPr>
          <w:rFonts w:ascii="Cambria" w:eastAsia="Cambria" w:hAnsi="Cambria" w:cs="Cambria"/>
          <w:sz w:val="22"/>
          <w:szCs w:val="22"/>
          <w:lang w:val="sr-Latn-ME" w:eastAsia="en-US"/>
        </w:rPr>
      </w:pPr>
    </w:p>
    <w:p w:rsidR="00773897" w:rsidRPr="00773897" w:rsidRDefault="00773897" w:rsidP="00773897">
      <w:pPr>
        <w:jc w:val="both"/>
        <w:rPr>
          <w:rFonts w:ascii="Cambria" w:eastAsia="Cambria" w:hAnsi="Cambria"/>
          <w:bCs/>
          <w:iCs/>
          <w:color w:val="000000"/>
          <w:sz w:val="22"/>
          <w:szCs w:val="22"/>
          <w:lang w:val="sr-Latn-ME" w:eastAsia="en-US"/>
        </w:rPr>
      </w:pPr>
      <w:r w:rsidRPr="00773897">
        <w:rPr>
          <w:rFonts w:ascii="Cambria" w:eastAsia="Cambria" w:hAnsi="Cambria" w:cs="Cambria"/>
          <w:sz w:val="22"/>
          <w:szCs w:val="22"/>
          <w:lang w:val="sr-Latn-ME" w:eastAsia="en-US"/>
        </w:rPr>
        <w:t xml:space="preserve">Ukupna otplata domaćeg duga, uključujući i refinansiranje državnih zapisa u iznosu od 144,00 miliona eura, iznosila je 178,42 miliona eura. </w:t>
      </w:r>
    </w:p>
    <w:p w:rsidR="00773897" w:rsidRPr="00773897" w:rsidRDefault="00773897" w:rsidP="00773897">
      <w:pPr>
        <w:jc w:val="both"/>
        <w:rPr>
          <w:rFonts w:ascii="Cambria" w:eastAsia="Cambria" w:hAnsi="Cambria"/>
          <w:bCs/>
          <w:iCs/>
          <w:color w:val="000000"/>
          <w:sz w:val="22"/>
          <w:szCs w:val="22"/>
          <w:lang w:val="en-GB" w:eastAsia="en-US"/>
        </w:rPr>
      </w:pPr>
    </w:p>
    <w:p w:rsidR="00773897" w:rsidRPr="00773897" w:rsidRDefault="00773897" w:rsidP="00773897">
      <w:pPr>
        <w:autoSpaceDE w:val="0"/>
        <w:autoSpaceDN w:val="0"/>
        <w:adjustRightInd w:val="0"/>
        <w:jc w:val="both"/>
        <w:rPr>
          <w:rFonts w:ascii="Cambria" w:eastAsia="Cambria" w:hAnsi="Cambria" w:cs="Cambria"/>
          <w:color w:val="000000"/>
          <w:sz w:val="22"/>
          <w:szCs w:val="22"/>
          <w:lang w:eastAsia="en-US"/>
        </w:rPr>
      </w:pPr>
      <w:r w:rsidRPr="00773897">
        <w:rPr>
          <w:rFonts w:ascii="Cambria" w:eastAsia="Cambria" w:hAnsi="Cambria" w:cs="Cambria"/>
          <w:color w:val="000000"/>
          <w:sz w:val="22"/>
          <w:szCs w:val="22"/>
          <w:lang w:eastAsia="en-US"/>
        </w:rPr>
        <w:t xml:space="preserve">U stanje domaćeg duga uključen je i dug pravnih lica i privrednih društava koja pretežno pružaju usluge od javnog interesa, koja su pod upravljačkom kontrolom i najvećim dijelom finansirana iz budžeta države, u iznosu od oko 45,80 miliona eura. U iznos pomenutog duga najvećim dijelom uključen je dug Željezničke infrastrukture u iznosu od oko 38,48 miliona eura, Željezničkog prevoza u iznosu od oko 6,92 miliona eura, duga Radio televizije Crne Gore u iznosu od oko 0,38 miliona eura i drugi. </w:t>
      </w:r>
    </w:p>
    <w:p w:rsidR="00773897" w:rsidRPr="00773897" w:rsidRDefault="00773897" w:rsidP="00773897">
      <w:pPr>
        <w:autoSpaceDE w:val="0"/>
        <w:autoSpaceDN w:val="0"/>
        <w:adjustRightInd w:val="0"/>
        <w:jc w:val="both"/>
        <w:rPr>
          <w:rFonts w:ascii="Cambria" w:eastAsia="Cambria" w:hAnsi="Cambria" w:cs="Cambria"/>
          <w:color w:val="000000"/>
          <w:sz w:val="22"/>
          <w:szCs w:val="22"/>
          <w:lang w:eastAsia="en-US"/>
        </w:rPr>
      </w:pPr>
    </w:p>
    <w:p w:rsidR="00773897" w:rsidRPr="00773897" w:rsidRDefault="00773897" w:rsidP="00773897">
      <w:pPr>
        <w:spacing w:after="160" w:line="259" w:lineRule="auto"/>
        <w:jc w:val="both"/>
        <w:rPr>
          <w:rFonts w:ascii="Cambria" w:eastAsia="Cambria" w:hAnsi="Cambria" w:cs="Cambria"/>
          <w:color w:val="000000"/>
          <w:sz w:val="22"/>
          <w:szCs w:val="22"/>
          <w:lang w:eastAsia="en-US"/>
        </w:rPr>
      </w:pPr>
      <w:r w:rsidRPr="00773897">
        <w:rPr>
          <w:rFonts w:ascii="Cambria" w:eastAsia="Cambria" w:hAnsi="Cambria" w:cs="Cambria"/>
          <w:color w:val="000000"/>
          <w:sz w:val="22"/>
          <w:szCs w:val="22"/>
          <w:lang w:eastAsia="en-US"/>
        </w:rPr>
        <w:t>Tokom 2019. godine, došlo je do povećanja duga pravnih lica i privrednih društava u iznosu od 2,98 miliona eura, prvenstveno zbog povlačenja kreditnih sredstava željezničkih preduzeća iz već potpisanih ugovora o kreditu.</w:t>
      </w:r>
    </w:p>
    <w:p w:rsidR="00773897" w:rsidRPr="00773897" w:rsidRDefault="00773897" w:rsidP="00773897">
      <w:pPr>
        <w:spacing w:after="160" w:line="259" w:lineRule="auto"/>
        <w:jc w:val="both"/>
        <w:rPr>
          <w:rFonts w:ascii="Cambria" w:eastAsia="Cambria" w:hAnsi="Cambria"/>
          <w:b/>
          <w:sz w:val="22"/>
          <w:szCs w:val="22"/>
          <w:lang w:val="sr-Latn-RS" w:eastAsia="en-US"/>
        </w:rPr>
      </w:pPr>
    </w:p>
    <w:p w:rsidR="00773897" w:rsidRPr="00773897" w:rsidRDefault="00773897" w:rsidP="00773897">
      <w:pPr>
        <w:keepNext/>
        <w:keepLines/>
        <w:spacing w:before="40" w:line="259" w:lineRule="auto"/>
        <w:outlineLvl w:val="1"/>
        <w:rPr>
          <w:rFonts w:ascii="Cambria" w:hAnsi="Cambria"/>
          <w:b/>
          <w:color w:val="418AB3"/>
          <w:lang w:val="sr-Latn-ME" w:eastAsia="en-US"/>
        </w:rPr>
      </w:pPr>
      <w:bookmarkStart w:id="26" w:name="_Toc3787623"/>
      <w:bookmarkStart w:id="27" w:name="_Toc41286662"/>
      <w:r w:rsidRPr="00773897">
        <w:rPr>
          <w:rFonts w:ascii="Cambria" w:hAnsi="Cambria"/>
          <w:b/>
          <w:color w:val="418AB3"/>
          <w:lang w:val="sr-Latn-ME" w:eastAsia="en-US"/>
        </w:rPr>
        <w:t>3. Otplata duga</w:t>
      </w:r>
      <w:bookmarkEnd w:id="26"/>
      <w:bookmarkEnd w:id="27"/>
    </w:p>
    <w:p w:rsidR="00773897" w:rsidRPr="00773897" w:rsidRDefault="00773897" w:rsidP="00773897">
      <w:pPr>
        <w:autoSpaceDE w:val="0"/>
        <w:autoSpaceDN w:val="0"/>
        <w:adjustRightInd w:val="0"/>
        <w:rPr>
          <w:rFonts w:ascii="Cambria" w:eastAsia="Calibri" w:hAnsi="Cambria" w:cs="Arial"/>
          <w:sz w:val="23"/>
          <w:szCs w:val="23"/>
          <w:lang w:val="sr-Latn-ME" w:eastAsia="en-US"/>
        </w:rPr>
      </w:pPr>
    </w:p>
    <w:p w:rsidR="00773897" w:rsidRPr="00773897" w:rsidRDefault="00773897" w:rsidP="00773897">
      <w:pPr>
        <w:spacing w:after="160" w:line="259" w:lineRule="auto"/>
        <w:jc w:val="both"/>
        <w:rPr>
          <w:rFonts w:ascii="Cambria" w:eastAsia="Calibri" w:hAnsi="Cambria"/>
          <w:sz w:val="22"/>
          <w:szCs w:val="22"/>
          <w:lang w:val="sr-Latn-ME" w:eastAsia="en-US"/>
        </w:rPr>
      </w:pPr>
      <w:r w:rsidRPr="00773897">
        <w:rPr>
          <w:rFonts w:ascii="Cambria" w:eastAsia="Calibri" w:hAnsi="Cambria"/>
          <w:sz w:val="22"/>
          <w:szCs w:val="22"/>
          <w:lang w:val="sr-Latn-ME" w:eastAsia="en-US"/>
        </w:rPr>
        <w:t xml:space="preserve">U toku 2019. godine izvršena je otplata državnog duga po osnovu glavnice rezidentima i nerezidentima, kao i otplate obaveza iz prethodnog perioda, u ukupnom iznosu od 508,67 miliona eura. Od navedenog, izvršena je otplata glavnice rezidentima u iznosu od 178,42 miliona eura, prvenstveno usled refinansiranja duga po osnovu državnih zapisa, u iznosu od oko 144,00 miliona eura. Otplata glavnice nerezidentima iznosila je 328,93 miliona eura, </w:t>
      </w:r>
      <w:r w:rsidRPr="00773897">
        <w:rPr>
          <w:rFonts w:ascii="Cambria" w:eastAsia="Cambria" w:hAnsi="Cambria"/>
          <w:color w:val="000000"/>
          <w:sz w:val="22"/>
          <w:szCs w:val="22"/>
          <w:lang w:val="sr-Latn-RS" w:eastAsia="en-US"/>
        </w:rPr>
        <w:t>š</w:t>
      </w:r>
      <w:r w:rsidRPr="00773897">
        <w:rPr>
          <w:rFonts w:ascii="Cambria" w:eastAsia="Cambria" w:hAnsi="Cambria"/>
          <w:color w:val="000000"/>
          <w:sz w:val="22"/>
          <w:szCs w:val="22"/>
          <w:lang w:val="sr-Latn-ME" w:eastAsia="en-US"/>
        </w:rPr>
        <w:t xml:space="preserve">to uključuje i </w:t>
      </w:r>
      <w:r w:rsidRPr="00773897">
        <w:rPr>
          <w:rFonts w:ascii="Cambria" w:eastAsia="Cambria" w:hAnsi="Cambria"/>
          <w:color w:val="000000"/>
          <w:sz w:val="22"/>
          <w:szCs w:val="22"/>
          <w:lang w:val="sr-Latn-RS" w:eastAsia="en-US"/>
        </w:rPr>
        <w:t>169,1 milion eura za otplatu euroobveznica emitovanih u 2014. godini</w:t>
      </w:r>
      <w:r w:rsidRPr="00773897">
        <w:rPr>
          <w:rFonts w:ascii="Cambria" w:eastAsia="Calibri" w:hAnsi="Cambria"/>
          <w:sz w:val="22"/>
          <w:szCs w:val="22"/>
          <w:lang w:val="sr-Latn-ME" w:eastAsia="en-US"/>
        </w:rPr>
        <w:t>. Otplata duga iz ranijeg perioda po osnovu stare devizne štednje iznosi 1,08 miliona eura, dok otplata obaveza po osnovu restitucije iznosi oko 0,25 miliona eura.</w:t>
      </w:r>
    </w:p>
    <w:p w:rsidR="00773897" w:rsidRPr="00773897" w:rsidRDefault="00773897" w:rsidP="00773897">
      <w:pPr>
        <w:spacing w:after="160" w:line="259" w:lineRule="auto"/>
        <w:jc w:val="both"/>
        <w:rPr>
          <w:rFonts w:ascii="Cambria" w:eastAsia="Calibri" w:hAnsi="Cambria"/>
          <w:sz w:val="22"/>
          <w:szCs w:val="22"/>
          <w:lang w:val="sr-Latn-ME" w:eastAsia="en-US"/>
        </w:rPr>
      </w:pPr>
      <w:r w:rsidRPr="00773897">
        <w:rPr>
          <w:rFonts w:ascii="Cambria" w:eastAsia="Calibri" w:hAnsi="Cambria"/>
          <w:sz w:val="22"/>
          <w:szCs w:val="22"/>
          <w:lang w:val="sr-Latn-ME" w:eastAsia="en-US"/>
        </w:rPr>
        <w:t>Otplata kamata, rezidentima i nerezidentima iznosi 105,60 miliona eura. Od pomenutog iznosa, izvršena je otplata kamate rezidentima u iznosu od 6,91 miliona eura, od čega se najveći dio  odnosi na otplatu kamate za kredite kod domaćih banka, dok je otplata kamate nerezidentima iznosila 98,69 miliona eura i prvenstveno se odnosi na obaveze po osnovu kamata refinansiranih euroobveznica.</w:t>
      </w:r>
    </w:p>
    <w:p w:rsidR="00773897" w:rsidRPr="00773897" w:rsidRDefault="00773897" w:rsidP="00773897">
      <w:pPr>
        <w:spacing w:after="160"/>
        <w:rPr>
          <w:rFonts w:ascii="Cambria" w:eastAsia="Calibri" w:hAnsi="Cambria"/>
          <w:sz w:val="22"/>
          <w:szCs w:val="22"/>
          <w:lang w:val="sr-Latn-ME" w:eastAsia="en-US"/>
        </w:rPr>
      </w:pPr>
      <w:r w:rsidRPr="00773897">
        <w:rPr>
          <w:rFonts w:ascii="Cambria" w:eastAsia="Calibri" w:hAnsi="Cambria"/>
          <w:sz w:val="22"/>
          <w:szCs w:val="22"/>
          <w:lang w:val="sr-Latn-ME" w:eastAsia="en-US"/>
        </w:rPr>
        <w:t xml:space="preserve"> Struktura otplate je prikazana u narednoj tabeli.</w:t>
      </w:r>
    </w:p>
    <w:p w:rsidR="00773897" w:rsidRPr="00773897" w:rsidRDefault="00773897" w:rsidP="00773897">
      <w:pPr>
        <w:spacing w:after="160"/>
        <w:rPr>
          <w:rFonts w:ascii="Cambria" w:hAnsi="Cambria"/>
          <w:b/>
          <w:color w:val="418AB3"/>
          <w:sz w:val="20"/>
          <w:szCs w:val="20"/>
          <w:lang w:val="sr-Latn-ME" w:eastAsia="en-US"/>
        </w:rPr>
      </w:pPr>
      <w:bookmarkStart w:id="28" w:name="_Toc3279327"/>
    </w:p>
    <w:p w:rsidR="00773897" w:rsidRPr="00773897" w:rsidRDefault="00773897" w:rsidP="00773897">
      <w:pPr>
        <w:spacing w:after="160"/>
        <w:rPr>
          <w:rFonts w:ascii="Cambria" w:hAnsi="Cambria"/>
          <w:b/>
          <w:color w:val="418AB3"/>
          <w:sz w:val="20"/>
          <w:szCs w:val="20"/>
          <w:lang w:val="sr-Latn-ME" w:eastAsia="en-US"/>
        </w:rPr>
      </w:pPr>
      <w:bookmarkStart w:id="29" w:name="_Toc41286670"/>
      <w:r w:rsidRPr="00773897">
        <w:rPr>
          <w:rFonts w:ascii="Cambria" w:hAnsi="Cambria"/>
          <w:b/>
          <w:color w:val="418AB3"/>
          <w:sz w:val="20"/>
          <w:szCs w:val="20"/>
          <w:lang w:val="sr-Latn-ME" w:eastAsia="en-US"/>
        </w:rPr>
        <w:t xml:space="preserve">Tabela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Table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4</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Servisiranje državnog duga u 2019. godini</w:t>
      </w:r>
      <w:bookmarkEnd w:id="28"/>
      <w:r w:rsidRPr="00773897">
        <w:rPr>
          <w:rFonts w:ascii="Cambria" w:hAnsi="Cambria"/>
          <w:b/>
          <w:color w:val="418AB3"/>
          <w:sz w:val="20"/>
          <w:szCs w:val="20"/>
          <w:lang w:val="sr-Latn-ME" w:eastAsia="en-US"/>
        </w:rPr>
        <w:t xml:space="preserve"> u mil. eura</w:t>
      </w:r>
      <w:bookmarkEnd w:id="29"/>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LINK Excel.Sheet.12 "C:\\Users\\jelena.djurovic\\Desktop\\Javni dug\\2020\\Grafici za javni dug 4817.xlsx" "otplata duga!R2C2:R11C4" \a \f 4 \h  \* MERGEFORMAT </w:instrText>
      </w:r>
      <w:r w:rsidRPr="00773897">
        <w:rPr>
          <w:rFonts w:ascii="Cambria" w:hAnsi="Cambria"/>
          <w:b/>
          <w:color w:val="418AB3"/>
          <w:sz w:val="20"/>
          <w:szCs w:val="20"/>
          <w:lang w:val="sr-Latn-ME" w:eastAsia="en-US"/>
        </w:rPr>
        <w:fldChar w:fldCharType="separate"/>
      </w:r>
    </w:p>
    <w:tbl>
      <w:tblPr>
        <w:tblStyle w:val="GridTable6Colorful-Accent123"/>
        <w:tblW w:w="7366" w:type="dxa"/>
        <w:tblLook w:val="04A0" w:firstRow="1" w:lastRow="0" w:firstColumn="1" w:lastColumn="0" w:noHBand="0" w:noVBand="1"/>
      </w:tblPr>
      <w:tblGrid>
        <w:gridCol w:w="6232"/>
        <w:gridCol w:w="1134"/>
      </w:tblGrid>
      <w:tr w:rsidR="00773897" w:rsidRPr="00773897" w:rsidTr="00CE5081">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32" w:type="dxa"/>
            <w:noWrap/>
            <w:hideMark/>
          </w:tcPr>
          <w:p w:rsidR="00773897" w:rsidRPr="00773897" w:rsidRDefault="00773897" w:rsidP="00773897">
            <w:pPr>
              <w:rPr>
                <w:rFonts w:ascii="Calibri" w:eastAsia="Cambria" w:hAnsi="Calibri"/>
                <w:sz w:val="20"/>
                <w:szCs w:val="20"/>
                <w:lang w:val="en-GB" w:eastAsia="en-US"/>
              </w:rPr>
            </w:pPr>
            <w:r w:rsidRPr="00773897">
              <w:rPr>
                <w:rFonts w:ascii="Calibri" w:eastAsia="Cambria" w:hAnsi="Calibri"/>
                <w:sz w:val="20"/>
                <w:szCs w:val="20"/>
                <w:lang w:val="en-GB" w:eastAsia="en-US"/>
              </w:rPr>
              <w:t>Budžetska pozicija</w:t>
            </w:r>
          </w:p>
        </w:tc>
        <w:tc>
          <w:tcPr>
            <w:tcW w:w="1134" w:type="dxa"/>
            <w:noWrap/>
            <w:hideMark/>
          </w:tcPr>
          <w:p w:rsidR="00773897" w:rsidRPr="00773897" w:rsidRDefault="00773897" w:rsidP="00773897">
            <w:pPr>
              <w:jc w:val="center"/>
              <w:cnfStyle w:val="100000000000" w:firstRow="1" w:lastRow="0" w:firstColumn="0" w:lastColumn="0" w:oddVBand="0" w:evenVBand="0" w:oddHBand="0" w:evenHBand="0" w:firstRowFirstColumn="0" w:firstRowLastColumn="0" w:lastRowFirstColumn="0" w:lastRowLastColumn="0"/>
              <w:rPr>
                <w:rFonts w:ascii="Calibri" w:eastAsia="Cambria" w:hAnsi="Calibri"/>
                <w:sz w:val="20"/>
                <w:szCs w:val="20"/>
                <w:lang w:val="en-GB" w:eastAsia="en-US"/>
              </w:rPr>
            </w:pPr>
            <w:r w:rsidRPr="00773897">
              <w:rPr>
                <w:rFonts w:ascii="Calibri" w:eastAsia="Cambria" w:hAnsi="Calibri"/>
                <w:sz w:val="20"/>
                <w:szCs w:val="20"/>
                <w:lang w:val="en-GB" w:eastAsia="en-US"/>
              </w:rPr>
              <w:t>2019</w:t>
            </w:r>
          </w:p>
        </w:tc>
      </w:tr>
      <w:tr w:rsidR="00773897" w:rsidRPr="00773897" w:rsidTr="0077389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32" w:type="dxa"/>
            <w:noWrap/>
            <w:hideMark/>
          </w:tcPr>
          <w:p w:rsidR="00773897" w:rsidRPr="00773897" w:rsidRDefault="00773897" w:rsidP="00773897">
            <w:pPr>
              <w:rPr>
                <w:rFonts w:ascii="Calibri" w:eastAsia="Cambria" w:hAnsi="Calibri"/>
                <w:sz w:val="20"/>
                <w:szCs w:val="20"/>
                <w:lang w:val="en-GB" w:eastAsia="en-US"/>
              </w:rPr>
            </w:pPr>
            <w:r w:rsidRPr="00773897">
              <w:rPr>
                <w:rFonts w:ascii="Calibri" w:eastAsia="Cambria" w:hAnsi="Calibri"/>
                <w:sz w:val="20"/>
                <w:szCs w:val="20"/>
                <w:lang w:val="en-GB" w:eastAsia="en-US"/>
              </w:rPr>
              <w:t>4611 - Otplata glavnice rezidentima</w:t>
            </w:r>
          </w:p>
        </w:tc>
        <w:tc>
          <w:tcPr>
            <w:tcW w:w="1134" w:type="dxa"/>
            <w:noWrap/>
            <w:hideMark/>
          </w:tcPr>
          <w:p w:rsidR="00773897" w:rsidRPr="00773897" w:rsidRDefault="00773897" w:rsidP="00773897">
            <w:pPr>
              <w:jc w:val="center"/>
              <w:cnfStyle w:val="000000100000" w:firstRow="0" w:lastRow="0" w:firstColumn="0" w:lastColumn="0" w:oddVBand="0" w:evenVBand="0" w:oddHBand="1" w:evenHBand="0" w:firstRowFirstColumn="0" w:firstRowLastColumn="0" w:lastRowFirstColumn="0" w:lastRowLastColumn="0"/>
              <w:rPr>
                <w:rFonts w:ascii="Calibri" w:eastAsia="Cambria" w:hAnsi="Calibri"/>
                <w:b/>
                <w:bCs/>
                <w:sz w:val="20"/>
                <w:szCs w:val="20"/>
                <w:lang w:val="en-GB" w:eastAsia="en-US"/>
              </w:rPr>
            </w:pPr>
            <w:r w:rsidRPr="00773897">
              <w:rPr>
                <w:rFonts w:ascii="Calibri" w:eastAsia="Cambria" w:hAnsi="Calibri"/>
                <w:b/>
                <w:bCs/>
                <w:sz w:val="20"/>
                <w:szCs w:val="20"/>
                <w:lang w:val="en-GB" w:eastAsia="en-US"/>
              </w:rPr>
              <w:t>178,42</w:t>
            </w:r>
            <w:r w:rsidRPr="00773897">
              <w:rPr>
                <w:rFonts w:ascii="Calibri" w:eastAsia="Cambria" w:hAnsi="Calibri"/>
                <w:b/>
                <w:bCs/>
                <w:sz w:val="20"/>
                <w:szCs w:val="20"/>
                <w:vertAlign w:val="superscript"/>
                <w:lang w:val="en-GB" w:eastAsia="en-US"/>
              </w:rPr>
              <w:footnoteReference w:id="4"/>
            </w:r>
          </w:p>
        </w:tc>
      </w:tr>
      <w:tr w:rsidR="00773897" w:rsidRPr="00773897" w:rsidTr="00CE5081">
        <w:trPr>
          <w:trHeight w:val="57"/>
        </w:trPr>
        <w:tc>
          <w:tcPr>
            <w:cnfStyle w:val="001000000000" w:firstRow="0" w:lastRow="0" w:firstColumn="1" w:lastColumn="0" w:oddVBand="0" w:evenVBand="0" w:oddHBand="0" w:evenHBand="0" w:firstRowFirstColumn="0" w:firstRowLastColumn="0" w:lastRowFirstColumn="0" w:lastRowLastColumn="0"/>
            <w:tcW w:w="6232" w:type="dxa"/>
            <w:noWrap/>
            <w:hideMark/>
          </w:tcPr>
          <w:p w:rsidR="00773897" w:rsidRPr="00773897" w:rsidRDefault="00773897" w:rsidP="00773897">
            <w:pPr>
              <w:rPr>
                <w:rFonts w:ascii="Calibri" w:eastAsia="Cambria" w:hAnsi="Calibri"/>
                <w:sz w:val="20"/>
                <w:szCs w:val="20"/>
                <w:lang w:val="en-GB" w:eastAsia="en-US"/>
              </w:rPr>
            </w:pPr>
            <w:r w:rsidRPr="00773897">
              <w:rPr>
                <w:rFonts w:ascii="Calibri" w:eastAsia="Cambria" w:hAnsi="Calibri"/>
                <w:sz w:val="20"/>
                <w:szCs w:val="20"/>
                <w:lang w:val="en-GB" w:eastAsia="en-US"/>
              </w:rPr>
              <w:t xml:space="preserve">4612 - Otplata glavnice nerezidentima </w:t>
            </w:r>
          </w:p>
        </w:tc>
        <w:tc>
          <w:tcPr>
            <w:tcW w:w="1134" w:type="dxa"/>
            <w:noWrap/>
            <w:hideMark/>
          </w:tcPr>
          <w:p w:rsidR="00773897" w:rsidRPr="00773897" w:rsidRDefault="00773897" w:rsidP="00773897">
            <w:pPr>
              <w:jc w:val="center"/>
              <w:cnfStyle w:val="000000000000" w:firstRow="0" w:lastRow="0" w:firstColumn="0" w:lastColumn="0" w:oddVBand="0" w:evenVBand="0" w:oddHBand="0" w:evenHBand="0" w:firstRowFirstColumn="0" w:firstRowLastColumn="0" w:lastRowFirstColumn="0" w:lastRowLastColumn="0"/>
              <w:rPr>
                <w:rFonts w:ascii="Calibri" w:eastAsia="Cambria" w:hAnsi="Calibri"/>
                <w:b/>
                <w:bCs/>
                <w:sz w:val="20"/>
                <w:szCs w:val="20"/>
                <w:lang w:val="en-GB" w:eastAsia="en-US"/>
              </w:rPr>
            </w:pPr>
            <w:r w:rsidRPr="00773897">
              <w:rPr>
                <w:rFonts w:ascii="Calibri" w:eastAsia="Cambria" w:hAnsi="Calibri"/>
                <w:b/>
                <w:bCs/>
                <w:sz w:val="20"/>
                <w:szCs w:val="20"/>
                <w:lang w:val="en-GB" w:eastAsia="en-US"/>
              </w:rPr>
              <w:t>328,93</w:t>
            </w:r>
          </w:p>
        </w:tc>
      </w:tr>
      <w:tr w:rsidR="00773897" w:rsidRPr="00773897" w:rsidTr="0077389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32" w:type="dxa"/>
            <w:noWrap/>
            <w:hideMark/>
          </w:tcPr>
          <w:p w:rsidR="00773897" w:rsidRPr="00773897" w:rsidRDefault="00773897" w:rsidP="00773897">
            <w:pPr>
              <w:rPr>
                <w:rFonts w:ascii="Calibri" w:eastAsia="Cambria" w:hAnsi="Calibri"/>
                <w:sz w:val="20"/>
                <w:szCs w:val="20"/>
                <w:lang w:val="en-GB" w:eastAsia="en-US"/>
              </w:rPr>
            </w:pPr>
            <w:r w:rsidRPr="00773897">
              <w:rPr>
                <w:rFonts w:ascii="Calibri" w:eastAsia="Cambria" w:hAnsi="Calibri"/>
                <w:sz w:val="20"/>
                <w:szCs w:val="20"/>
                <w:lang w:val="en-GB" w:eastAsia="en-US"/>
              </w:rPr>
              <w:t>4630 - Otplata obaveza iz prethodnih godina – stara devizna štednja</w:t>
            </w:r>
          </w:p>
        </w:tc>
        <w:tc>
          <w:tcPr>
            <w:tcW w:w="1134" w:type="dxa"/>
            <w:noWrap/>
            <w:hideMark/>
          </w:tcPr>
          <w:p w:rsidR="00773897" w:rsidRPr="00773897" w:rsidRDefault="00773897" w:rsidP="00773897">
            <w:pPr>
              <w:jc w:val="center"/>
              <w:cnfStyle w:val="000000100000" w:firstRow="0" w:lastRow="0" w:firstColumn="0" w:lastColumn="0" w:oddVBand="0" w:evenVBand="0" w:oddHBand="1" w:evenHBand="0" w:firstRowFirstColumn="0" w:firstRowLastColumn="0" w:lastRowFirstColumn="0" w:lastRowLastColumn="0"/>
              <w:rPr>
                <w:rFonts w:ascii="Calibri" w:eastAsia="Cambria" w:hAnsi="Calibri"/>
                <w:b/>
                <w:bCs/>
                <w:sz w:val="20"/>
                <w:szCs w:val="20"/>
                <w:lang w:val="en-GB" w:eastAsia="en-US"/>
              </w:rPr>
            </w:pPr>
            <w:r w:rsidRPr="00773897">
              <w:rPr>
                <w:rFonts w:ascii="Calibri" w:eastAsia="Cambria" w:hAnsi="Calibri"/>
                <w:b/>
                <w:bCs/>
                <w:sz w:val="20"/>
                <w:szCs w:val="20"/>
                <w:lang w:val="en-GB" w:eastAsia="en-US"/>
              </w:rPr>
              <w:t>1,08</w:t>
            </w:r>
          </w:p>
        </w:tc>
      </w:tr>
      <w:tr w:rsidR="00773897" w:rsidRPr="00773897" w:rsidTr="00CE5081">
        <w:trPr>
          <w:trHeight w:val="57"/>
        </w:trPr>
        <w:tc>
          <w:tcPr>
            <w:cnfStyle w:val="001000000000" w:firstRow="0" w:lastRow="0" w:firstColumn="1" w:lastColumn="0" w:oddVBand="0" w:evenVBand="0" w:oddHBand="0" w:evenHBand="0" w:firstRowFirstColumn="0" w:firstRowLastColumn="0" w:lastRowFirstColumn="0" w:lastRowLastColumn="0"/>
            <w:tcW w:w="6232" w:type="dxa"/>
            <w:noWrap/>
            <w:hideMark/>
          </w:tcPr>
          <w:p w:rsidR="00773897" w:rsidRPr="00773897" w:rsidRDefault="00773897" w:rsidP="00773897">
            <w:pPr>
              <w:rPr>
                <w:rFonts w:ascii="Calibri" w:eastAsia="Cambria" w:hAnsi="Calibri"/>
                <w:sz w:val="20"/>
                <w:szCs w:val="20"/>
                <w:lang w:val="en-GB" w:eastAsia="en-US"/>
              </w:rPr>
            </w:pPr>
            <w:r w:rsidRPr="00773897">
              <w:rPr>
                <w:rFonts w:ascii="Calibri" w:eastAsia="Cambria" w:hAnsi="Calibri"/>
                <w:sz w:val="20"/>
                <w:szCs w:val="20"/>
                <w:lang w:val="en-GB" w:eastAsia="en-US"/>
              </w:rPr>
              <w:t>4630 - Otplata obaveza iz prethodnih godina – restitucija</w:t>
            </w:r>
          </w:p>
        </w:tc>
        <w:tc>
          <w:tcPr>
            <w:tcW w:w="1134" w:type="dxa"/>
            <w:noWrap/>
            <w:hideMark/>
          </w:tcPr>
          <w:p w:rsidR="00773897" w:rsidRPr="00773897" w:rsidRDefault="00773897" w:rsidP="00773897">
            <w:pPr>
              <w:jc w:val="center"/>
              <w:cnfStyle w:val="000000000000" w:firstRow="0" w:lastRow="0" w:firstColumn="0" w:lastColumn="0" w:oddVBand="0" w:evenVBand="0" w:oddHBand="0" w:evenHBand="0" w:firstRowFirstColumn="0" w:firstRowLastColumn="0" w:lastRowFirstColumn="0" w:lastRowLastColumn="0"/>
              <w:rPr>
                <w:rFonts w:ascii="Calibri" w:eastAsia="Cambria" w:hAnsi="Calibri"/>
                <w:b/>
                <w:bCs/>
                <w:sz w:val="20"/>
                <w:szCs w:val="20"/>
                <w:lang w:val="en-GB" w:eastAsia="en-US"/>
              </w:rPr>
            </w:pPr>
            <w:r w:rsidRPr="00773897">
              <w:rPr>
                <w:rFonts w:ascii="Calibri" w:eastAsia="Cambria" w:hAnsi="Calibri"/>
                <w:b/>
                <w:bCs/>
                <w:sz w:val="20"/>
                <w:szCs w:val="20"/>
                <w:lang w:val="en-GB" w:eastAsia="en-US"/>
              </w:rPr>
              <w:t>0,25</w:t>
            </w:r>
          </w:p>
        </w:tc>
      </w:tr>
      <w:tr w:rsidR="00773897" w:rsidRPr="00773897" w:rsidTr="0077389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32" w:type="dxa"/>
            <w:noWrap/>
            <w:hideMark/>
          </w:tcPr>
          <w:p w:rsidR="00773897" w:rsidRPr="00773897" w:rsidRDefault="00773897" w:rsidP="00773897">
            <w:pPr>
              <w:rPr>
                <w:rFonts w:ascii="Calibri" w:eastAsia="Cambria" w:hAnsi="Calibri"/>
                <w:sz w:val="20"/>
                <w:szCs w:val="20"/>
                <w:lang w:val="en-GB" w:eastAsia="en-US"/>
              </w:rPr>
            </w:pPr>
            <w:r w:rsidRPr="00773897">
              <w:rPr>
                <w:rFonts w:ascii="Calibri" w:eastAsia="Cambria" w:hAnsi="Calibri"/>
                <w:sz w:val="20"/>
                <w:szCs w:val="20"/>
                <w:lang w:val="en-GB" w:eastAsia="en-US"/>
              </w:rPr>
              <w:t xml:space="preserve">Ukupna otplata glavnice </w:t>
            </w:r>
          </w:p>
        </w:tc>
        <w:tc>
          <w:tcPr>
            <w:tcW w:w="1134" w:type="dxa"/>
            <w:noWrap/>
            <w:hideMark/>
          </w:tcPr>
          <w:p w:rsidR="00773897" w:rsidRPr="00773897" w:rsidRDefault="00773897" w:rsidP="00773897">
            <w:pPr>
              <w:jc w:val="center"/>
              <w:cnfStyle w:val="000000100000" w:firstRow="0" w:lastRow="0" w:firstColumn="0" w:lastColumn="0" w:oddVBand="0" w:evenVBand="0" w:oddHBand="1" w:evenHBand="0" w:firstRowFirstColumn="0" w:firstRowLastColumn="0" w:lastRowFirstColumn="0" w:lastRowLastColumn="0"/>
              <w:rPr>
                <w:rFonts w:ascii="Calibri" w:eastAsia="Cambria" w:hAnsi="Calibri"/>
                <w:b/>
                <w:bCs/>
                <w:sz w:val="20"/>
                <w:szCs w:val="20"/>
                <w:lang w:val="en-GB" w:eastAsia="en-US"/>
              </w:rPr>
            </w:pPr>
            <w:r w:rsidRPr="00773897">
              <w:rPr>
                <w:rFonts w:ascii="Calibri" w:eastAsia="Cambria" w:hAnsi="Calibri"/>
                <w:b/>
                <w:bCs/>
                <w:sz w:val="20"/>
                <w:szCs w:val="20"/>
                <w:lang w:val="en-GB" w:eastAsia="en-US"/>
              </w:rPr>
              <w:t>508,67</w:t>
            </w:r>
          </w:p>
        </w:tc>
      </w:tr>
      <w:tr w:rsidR="00773897" w:rsidRPr="00773897" w:rsidTr="00CE5081">
        <w:trPr>
          <w:trHeight w:val="57"/>
        </w:trPr>
        <w:tc>
          <w:tcPr>
            <w:cnfStyle w:val="001000000000" w:firstRow="0" w:lastRow="0" w:firstColumn="1" w:lastColumn="0" w:oddVBand="0" w:evenVBand="0" w:oddHBand="0" w:evenHBand="0" w:firstRowFirstColumn="0" w:firstRowLastColumn="0" w:lastRowFirstColumn="0" w:lastRowLastColumn="0"/>
            <w:tcW w:w="6232" w:type="dxa"/>
            <w:noWrap/>
            <w:hideMark/>
          </w:tcPr>
          <w:p w:rsidR="00773897" w:rsidRPr="00773897" w:rsidRDefault="00773897" w:rsidP="00773897">
            <w:pPr>
              <w:rPr>
                <w:rFonts w:ascii="Calibri" w:eastAsia="Cambria" w:hAnsi="Calibri"/>
                <w:sz w:val="20"/>
                <w:szCs w:val="20"/>
                <w:lang w:val="en-GB" w:eastAsia="en-US"/>
              </w:rPr>
            </w:pPr>
            <w:r w:rsidRPr="00773897">
              <w:rPr>
                <w:rFonts w:ascii="Calibri" w:eastAsia="Cambria" w:hAnsi="Calibri"/>
                <w:sz w:val="20"/>
                <w:szCs w:val="20"/>
                <w:lang w:val="en-GB" w:eastAsia="en-US"/>
              </w:rPr>
              <w:t xml:space="preserve">4161 - Otplata kamate rezidentima </w:t>
            </w:r>
          </w:p>
        </w:tc>
        <w:tc>
          <w:tcPr>
            <w:tcW w:w="1134" w:type="dxa"/>
            <w:noWrap/>
            <w:hideMark/>
          </w:tcPr>
          <w:p w:rsidR="00773897" w:rsidRPr="00773897" w:rsidRDefault="00773897" w:rsidP="00773897">
            <w:pPr>
              <w:jc w:val="center"/>
              <w:cnfStyle w:val="000000000000" w:firstRow="0" w:lastRow="0" w:firstColumn="0" w:lastColumn="0" w:oddVBand="0" w:evenVBand="0" w:oddHBand="0" w:evenHBand="0" w:firstRowFirstColumn="0" w:firstRowLastColumn="0" w:lastRowFirstColumn="0" w:lastRowLastColumn="0"/>
              <w:rPr>
                <w:rFonts w:ascii="Calibri" w:eastAsia="Cambria" w:hAnsi="Calibri"/>
                <w:b/>
                <w:bCs/>
                <w:sz w:val="20"/>
                <w:szCs w:val="20"/>
                <w:lang w:val="en-GB" w:eastAsia="en-US"/>
              </w:rPr>
            </w:pPr>
            <w:r w:rsidRPr="00773897">
              <w:rPr>
                <w:rFonts w:ascii="Calibri" w:eastAsia="Cambria" w:hAnsi="Calibri"/>
                <w:b/>
                <w:bCs/>
                <w:sz w:val="20"/>
                <w:szCs w:val="20"/>
                <w:lang w:val="en-GB" w:eastAsia="en-US"/>
              </w:rPr>
              <w:t>6,91</w:t>
            </w:r>
          </w:p>
        </w:tc>
      </w:tr>
      <w:tr w:rsidR="00773897" w:rsidRPr="00773897" w:rsidTr="0077389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232" w:type="dxa"/>
            <w:noWrap/>
            <w:hideMark/>
          </w:tcPr>
          <w:p w:rsidR="00773897" w:rsidRPr="00773897" w:rsidRDefault="00773897" w:rsidP="00773897">
            <w:pPr>
              <w:rPr>
                <w:rFonts w:ascii="Calibri" w:eastAsia="Cambria" w:hAnsi="Calibri"/>
                <w:sz w:val="20"/>
                <w:szCs w:val="20"/>
                <w:lang w:val="en-GB" w:eastAsia="en-US"/>
              </w:rPr>
            </w:pPr>
            <w:r w:rsidRPr="00773897">
              <w:rPr>
                <w:rFonts w:ascii="Calibri" w:eastAsia="Cambria" w:hAnsi="Calibri"/>
                <w:sz w:val="20"/>
                <w:szCs w:val="20"/>
                <w:lang w:val="en-GB" w:eastAsia="en-US"/>
              </w:rPr>
              <w:t>4162 - Otplata kamate nerezidentima</w:t>
            </w:r>
          </w:p>
        </w:tc>
        <w:tc>
          <w:tcPr>
            <w:tcW w:w="1134" w:type="dxa"/>
            <w:noWrap/>
            <w:hideMark/>
          </w:tcPr>
          <w:p w:rsidR="00773897" w:rsidRPr="00773897" w:rsidRDefault="00773897" w:rsidP="00773897">
            <w:pPr>
              <w:jc w:val="center"/>
              <w:cnfStyle w:val="000000100000" w:firstRow="0" w:lastRow="0" w:firstColumn="0" w:lastColumn="0" w:oddVBand="0" w:evenVBand="0" w:oddHBand="1" w:evenHBand="0" w:firstRowFirstColumn="0" w:firstRowLastColumn="0" w:lastRowFirstColumn="0" w:lastRowLastColumn="0"/>
              <w:rPr>
                <w:rFonts w:ascii="Calibri" w:eastAsia="Cambria" w:hAnsi="Calibri"/>
                <w:b/>
                <w:bCs/>
                <w:sz w:val="20"/>
                <w:szCs w:val="20"/>
                <w:lang w:val="en-GB" w:eastAsia="en-US"/>
              </w:rPr>
            </w:pPr>
            <w:r w:rsidRPr="00773897">
              <w:rPr>
                <w:rFonts w:ascii="Calibri" w:eastAsia="Cambria" w:hAnsi="Calibri"/>
                <w:b/>
                <w:bCs/>
                <w:sz w:val="20"/>
                <w:szCs w:val="20"/>
                <w:lang w:val="en-GB" w:eastAsia="en-US"/>
              </w:rPr>
              <w:t>98,69</w:t>
            </w:r>
          </w:p>
        </w:tc>
      </w:tr>
      <w:tr w:rsidR="00773897" w:rsidRPr="00773897" w:rsidTr="00CE5081">
        <w:trPr>
          <w:trHeight w:val="57"/>
        </w:trPr>
        <w:tc>
          <w:tcPr>
            <w:cnfStyle w:val="001000000000" w:firstRow="0" w:lastRow="0" w:firstColumn="1" w:lastColumn="0" w:oddVBand="0" w:evenVBand="0" w:oddHBand="0" w:evenHBand="0" w:firstRowFirstColumn="0" w:firstRowLastColumn="0" w:lastRowFirstColumn="0" w:lastRowLastColumn="0"/>
            <w:tcW w:w="6232" w:type="dxa"/>
            <w:noWrap/>
            <w:hideMark/>
          </w:tcPr>
          <w:p w:rsidR="00773897" w:rsidRPr="00773897" w:rsidRDefault="00773897" w:rsidP="00773897">
            <w:pPr>
              <w:rPr>
                <w:rFonts w:ascii="Calibri" w:eastAsia="Cambria" w:hAnsi="Calibri"/>
                <w:sz w:val="20"/>
                <w:szCs w:val="20"/>
                <w:lang w:val="en-GB" w:eastAsia="en-US"/>
              </w:rPr>
            </w:pPr>
            <w:r w:rsidRPr="00773897">
              <w:rPr>
                <w:rFonts w:ascii="Calibri" w:eastAsia="Cambria" w:hAnsi="Calibri"/>
                <w:sz w:val="20"/>
                <w:szCs w:val="20"/>
                <w:lang w:val="en-GB" w:eastAsia="en-US"/>
              </w:rPr>
              <w:t>Ukupna otplata kamate</w:t>
            </w:r>
          </w:p>
        </w:tc>
        <w:tc>
          <w:tcPr>
            <w:tcW w:w="1134" w:type="dxa"/>
            <w:noWrap/>
            <w:hideMark/>
          </w:tcPr>
          <w:p w:rsidR="00773897" w:rsidRPr="00773897" w:rsidRDefault="00773897" w:rsidP="00773897">
            <w:pPr>
              <w:jc w:val="center"/>
              <w:cnfStyle w:val="000000000000" w:firstRow="0" w:lastRow="0" w:firstColumn="0" w:lastColumn="0" w:oddVBand="0" w:evenVBand="0" w:oddHBand="0" w:evenHBand="0" w:firstRowFirstColumn="0" w:firstRowLastColumn="0" w:lastRowFirstColumn="0" w:lastRowLastColumn="0"/>
              <w:rPr>
                <w:rFonts w:ascii="Calibri" w:eastAsia="Cambria" w:hAnsi="Calibri"/>
                <w:b/>
                <w:bCs/>
                <w:sz w:val="20"/>
                <w:szCs w:val="20"/>
                <w:lang w:val="en-GB" w:eastAsia="en-US"/>
              </w:rPr>
            </w:pPr>
            <w:r w:rsidRPr="00773897">
              <w:rPr>
                <w:rFonts w:ascii="Calibri" w:eastAsia="Cambria" w:hAnsi="Calibri"/>
                <w:b/>
                <w:bCs/>
                <w:sz w:val="20"/>
                <w:szCs w:val="20"/>
                <w:lang w:val="en-GB" w:eastAsia="en-US"/>
              </w:rPr>
              <w:t>105,60</w:t>
            </w:r>
          </w:p>
        </w:tc>
      </w:tr>
      <w:tr w:rsidR="00773897" w:rsidRPr="00773897" w:rsidTr="00773897">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6232" w:type="dxa"/>
            <w:noWrap/>
            <w:hideMark/>
          </w:tcPr>
          <w:p w:rsidR="00773897" w:rsidRPr="00773897" w:rsidRDefault="00773897" w:rsidP="00773897">
            <w:pPr>
              <w:rPr>
                <w:rFonts w:ascii="Calibri" w:eastAsia="Cambria" w:hAnsi="Calibri"/>
                <w:sz w:val="20"/>
                <w:szCs w:val="20"/>
                <w:lang w:val="en-GB" w:eastAsia="en-US"/>
              </w:rPr>
            </w:pPr>
            <w:r w:rsidRPr="00773897">
              <w:rPr>
                <w:rFonts w:ascii="Calibri" w:eastAsia="Cambria" w:hAnsi="Calibri"/>
                <w:sz w:val="20"/>
                <w:szCs w:val="20"/>
                <w:lang w:val="en-GB" w:eastAsia="en-US"/>
              </w:rPr>
              <w:t>UKUPNO</w:t>
            </w:r>
          </w:p>
        </w:tc>
        <w:tc>
          <w:tcPr>
            <w:tcW w:w="1134" w:type="dxa"/>
            <w:noWrap/>
            <w:hideMark/>
          </w:tcPr>
          <w:p w:rsidR="00773897" w:rsidRPr="00773897" w:rsidRDefault="00773897" w:rsidP="00773897">
            <w:pPr>
              <w:jc w:val="center"/>
              <w:cnfStyle w:val="000000100000" w:firstRow="0" w:lastRow="0" w:firstColumn="0" w:lastColumn="0" w:oddVBand="0" w:evenVBand="0" w:oddHBand="1" w:evenHBand="0" w:firstRowFirstColumn="0" w:firstRowLastColumn="0" w:lastRowFirstColumn="0" w:lastRowLastColumn="0"/>
              <w:rPr>
                <w:rFonts w:ascii="Calibri" w:eastAsia="Cambria" w:hAnsi="Calibri"/>
                <w:b/>
                <w:bCs/>
                <w:sz w:val="20"/>
                <w:szCs w:val="20"/>
                <w:lang w:val="en-GB" w:eastAsia="en-US"/>
              </w:rPr>
            </w:pPr>
            <w:r w:rsidRPr="00773897">
              <w:rPr>
                <w:rFonts w:ascii="Calibri" w:eastAsia="Cambria" w:hAnsi="Calibri"/>
                <w:b/>
                <w:bCs/>
                <w:sz w:val="20"/>
                <w:szCs w:val="20"/>
                <w:lang w:val="en-GB" w:eastAsia="en-US"/>
              </w:rPr>
              <w:t>614,27</w:t>
            </w:r>
          </w:p>
        </w:tc>
      </w:tr>
    </w:tbl>
    <w:p w:rsidR="00773897" w:rsidRPr="00773897" w:rsidRDefault="00773897" w:rsidP="00773897">
      <w:pPr>
        <w:spacing w:after="160"/>
        <w:rPr>
          <w:rFonts w:ascii="Cambria" w:eastAsia="Cambria" w:hAnsi="Cambria"/>
          <w:b/>
          <w:bCs/>
          <w:color w:val="A6B727"/>
          <w:sz w:val="22"/>
          <w:szCs w:val="22"/>
          <w:lang w:val="en-GB" w:eastAsia="en-US"/>
        </w:rPr>
      </w:pPr>
      <w:r w:rsidRPr="00773897">
        <w:rPr>
          <w:rFonts w:ascii="Cambria" w:eastAsia="Cambria" w:hAnsi="Cambria"/>
          <w:b/>
          <w:bCs/>
          <w:color w:val="A6B727"/>
          <w:sz w:val="22"/>
          <w:szCs w:val="22"/>
          <w:lang w:val="en-GB" w:eastAsia="en-US"/>
        </w:rPr>
        <w:fldChar w:fldCharType="end"/>
      </w:r>
    </w:p>
    <w:p w:rsidR="00773897" w:rsidRPr="00773897" w:rsidRDefault="00773897" w:rsidP="00773897">
      <w:pPr>
        <w:spacing w:after="160" w:line="259" w:lineRule="auto"/>
        <w:rPr>
          <w:rFonts w:ascii="Cambria" w:hAnsi="Cambria"/>
          <w:b/>
          <w:color w:val="418AB3"/>
          <w:lang w:val="sr-Latn-ME" w:eastAsia="en-US"/>
        </w:rPr>
      </w:pPr>
    </w:p>
    <w:p w:rsidR="00773897" w:rsidRPr="00773897" w:rsidRDefault="00773897" w:rsidP="00773897">
      <w:pPr>
        <w:keepNext/>
        <w:keepLines/>
        <w:spacing w:before="40" w:line="259" w:lineRule="auto"/>
        <w:outlineLvl w:val="1"/>
        <w:rPr>
          <w:rFonts w:ascii="Cambria" w:hAnsi="Cambria"/>
          <w:b/>
          <w:color w:val="418AB3"/>
          <w:lang w:val="sr-Latn-ME" w:eastAsia="en-US"/>
        </w:rPr>
      </w:pPr>
      <w:bookmarkStart w:id="30" w:name="_Toc41286663"/>
      <w:r w:rsidRPr="00773897">
        <w:rPr>
          <w:rFonts w:ascii="Cambria" w:hAnsi="Cambria"/>
          <w:b/>
          <w:color w:val="418AB3"/>
          <w:lang w:val="sr-Latn-ME" w:eastAsia="en-US"/>
        </w:rPr>
        <w:t>4. Dug lokalne samouprave</w:t>
      </w:r>
      <w:bookmarkEnd w:id="30"/>
    </w:p>
    <w:p w:rsidR="00773897" w:rsidRPr="00773897" w:rsidRDefault="00773897" w:rsidP="00773897">
      <w:pPr>
        <w:spacing w:after="160" w:line="259" w:lineRule="auto"/>
        <w:jc w:val="both"/>
        <w:rPr>
          <w:rFonts w:ascii="Cambria" w:eastAsia="Cambria" w:hAnsi="Cambria"/>
          <w:sz w:val="22"/>
          <w:szCs w:val="22"/>
          <w:lang w:val="en-GB" w:eastAsia="en-US"/>
        </w:rPr>
      </w:pPr>
    </w:p>
    <w:p w:rsidR="00773897" w:rsidRPr="00773897" w:rsidRDefault="00773897" w:rsidP="00773897">
      <w:pPr>
        <w:spacing w:after="160" w:line="259" w:lineRule="auto"/>
        <w:jc w:val="both"/>
        <w:rPr>
          <w:rFonts w:ascii="Cambria" w:eastAsia="Cambria" w:hAnsi="Cambria"/>
          <w:sz w:val="22"/>
          <w:szCs w:val="22"/>
          <w:lang w:val="en-GB" w:eastAsia="en-US"/>
        </w:rPr>
      </w:pPr>
      <w:r w:rsidRPr="00773897">
        <w:rPr>
          <w:rFonts w:ascii="Cambria" w:eastAsia="Cambria" w:hAnsi="Cambria"/>
          <w:sz w:val="22"/>
          <w:szCs w:val="22"/>
          <w:lang w:val="en-GB" w:eastAsia="en-US"/>
        </w:rPr>
        <w:t>Konsolidova</w:t>
      </w:r>
      <w:r w:rsidR="00CE5081">
        <w:rPr>
          <w:rFonts w:ascii="Cambria" w:eastAsia="Cambria" w:hAnsi="Cambria"/>
          <w:sz w:val="22"/>
          <w:szCs w:val="22"/>
          <w:lang w:val="en-GB" w:eastAsia="en-US"/>
        </w:rPr>
        <w:t>ni dug opština iznosi oko 118,70</w:t>
      </w:r>
      <w:r w:rsidRPr="00773897">
        <w:rPr>
          <w:rFonts w:ascii="Cambria" w:eastAsia="Cambria" w:hAnsi="Cambria"/>
          <w:sz w:val="22"/>
          <w:szCs w:val="22"/>
          <w:lang w:val="en-GB" w:eastAsia="en-US"/>
        </w:rPr>
        <w:t xml:space="preserve"> miliona eura, prema podacima dostavljenim od strane opština za kraj 2019. godine, kao i prema podacima Ministarstv</w:t>
      </w:r>
      <w:r w:rsidR="00433E14">
        <w:rPr>
          <w:rFonts w:ascii="Cambria" w:eastAsia="Cambria" w:hAnsi="Cambria"/>
          <w:sz w:val="22"/>
          <w:szCs w:val="22"/>
          <w:lang w:val="en-GB" w:eastAsia="en-US"/>
        </w:rPr>
        <w:t>a finansija, što je za oko 32,10</w:t>
      </w:r>
      <w:r w:rsidRPr="00773897">
        <w:rPr>
          <w:rFonts w:ascii="Cambria" w:eastAsia="Cambria" w:hAnsi="Cambria"/>
          <w:sz w:val="22"/>
          <w:szCs w:val="22"/>
          <w:lang w:val="en-GB" w:eastAsia="en-US"/>
        </w:rPr>
        <w:t xml:space="preserve"> miliona eura manje nego na kraju 2018. godine. </w:t>
      </w:r>
    </w:p>
    <w:p w:rsidR="00773897" w:rsidRPr="00773897" w:rsidRDefault="00773897" w:rsidP="00773897">
      <w:pPr>
        <w:spacing w:after="160" w:line="259" w:lineRule="auto"/>
        <w:jc w:val="both"/>
        <w:rPr>
          <w:rFonts w:ascii="Cambria" w:eastAsia="Cambria" w:hAnsi="Cambria"/>
          <w:sz w:val="22"/>
          <w:szCs w:val="22"/>
          <w:lang w:val="en-GB" w:eastAsia="en-US"/>
        </w:rPr>
      </w:pPr>
      <w:r w:rsidRPr="00773897">
        <w:rPr>
          <w:rFonts w:ascii="Cambria" w:eastAsia="Cambria" w:hAnsi="Cambria"/>
          <w:sz w:val="22"/>
          <w:szCs w:val="22"/>
          <w:lang w:val="en-GB" w:eastAsia="en-US"/>
        </w:rPr>
        <w:t>Dug lokalnih samouprava prikazan je na dva načina:</w:t>
      </w:r>
    </w:p>
    <w:p w:rsidR="00773897" w:rsidRPr="00773897" w:rsidRDefault="00773897" w:rsidP="00773897">
      <w:pPr>
        <w:numPr>
          <w:ilvl w:val="0"/>
          <w:numId w:val="40"/>
        </w:numPr>
        <w:spacing w:after="160" w:line="259" w:lineRule="auto"/>
        <w:contextualSpacing/>
        <w:jc w:val="both"/>
        <w:rPr>
          <w:rFonts w:ascii="Cambria" w:eastAsia="Cambria" w:hAnsi="Cambria"/>
          <w:sz w:val="22"/>
          <w:szCs w:val="22"/>
          <w:lang w:val="en-GB" w:eastAsia="en-US"/>
        </w:rPr>
      </w:pPr>
      <w:r w:rsidRPr="00773897">
        <w:rPr>
          <w:rFonts w:ascii="Cambria" w:eastAsia="Cambria" w:hAnsi="Cambria"/>
          <w:sz w:val="22"/>
          <w:szCs w:val="22"/>
          <w:lang w:val="en-GB" w:eastAsia="en-US"/>
        </w:rPr>
        <w:t>Kroz stanje državnog ino duga uključen je dug opština po Ugovorima koje je potpisala Vlada Crne Gore sa ino kreditorima, a sa opštinama podkretidne sporazume, u iznosu od oko 38,11 miliona eura (iznos povučenih, neotplaćenih sredstava);</w:t>
      </w:r>
    </w:p>
    <w:p w:rsidR="00773897" w:rsidRPr="00773897" w:rsidRDefault="00773897" w:rsidP="00773897">
      <w:pPr>
        <w:numPr>
          <w:ilvl w:val="0"/>
          <w:numId w:val="40"/>
        </w:numPr>
        <w:spacing w:after="160" w:line="259" w:lineRule="auto"/>
        <w:contextualSpacing/>
        <w:jc w:val="both"/>
        <w:rPr>
          <w:rFonts w:ascii="Cambria" w:eastAsia="Cambria" w:hAnsi="Cambria"/>
          <w:sz w:val="22"/>
          <w:szCs w:val="22"/>
          <w:lang w:val="en-GB" w:eastAsia="en-US"/>
        </w:rPr>
      </w:pPr>
      <w:r w:rsidRPr="00773897">
        <w:rPr>
          <w:rFonts w:ascii="Cambria" w:eastAsia="Cambria" w:hAnsi="Cambria"/>
          <w:sz w:val="22"/>
          <w:szCs w:val="22"/>
          <w:lang w:val="en-GB" w:eastAsia="en-US"/>
        </w:rPr>
        <w:t xml:space="preserve">kroz stanje duga lokalne </w:t>
      </w:r>
      <w:r w:rsidR="00CE5081">
        <w:rPr>
          <w:rFonts w:ascii="Cambria" w:eastAsia="Cambria" w:hAnsi="Cambria"/>
          <w:sz w:val="22"/>
          <w:szCs w:val="22"/>
          <w:lang w:val="en-GB" w:eastAsia="en-US"/>
        </w:rPr>
        <w:t>samouprave, u iznosu od oko 80,59</w:t>
      </w:r>
      <w:r w:rsidRPr="00773897">
        <w:rPr>
          <w:rFonts w:ascii="Cambria" w:eastAsia="Cambria" w:hAnsi="Cambria"/>
          <w:sz w:val="22"/>
          <w:szCs w:val="22"/>
          <w:lang w:val="en-GB" w:eastAsia="en-US"/>
        </w:rPr>
        <w:t xml:space="preserve"> miliona eura.</w:t>
      </w:r>
    </w:p>
    <w:p w:rsidR="00773897" w:rsidRPr="00773897" w:rsidRDefault="00773897" w:rsidP="00773897">
      <w:pPr>
        <w:spacing w:after="160"/>
        <w:rPr>
          <w:rFonts w:ascii="Cambria" w:eastAsia="Cambria" w:hAnsi="Cambria"/>
          <w:b/>
          <w:bCs/>
          <w:smallCaps/>
          <w:color w:val="5E5E5E"/>
          <w:sz w:val="22"/>
          <w:szCs w:val="22"/>
          <w:lang w:val="en-GB" w:eastAsia="en-US"/>
        </w:rPr>
      </w:pPr>
    </w:p>
    <w:p w:rsidR="00773897" w:rsidRPr="00773897" w:rsidRDefault="00773897" w:rsidP="00773897">
      <w:pPr>
        <w:spacing w:after="160"/>
        <w:rPr>
          <w:rFonts w:ascii="Cambria" w:eastAsia="Cambria" w:hAnsi="Cambria"/>
          <w:b/>
          <w:bCs/>
          <w:color w:val="418AB3"/>
          <w:sz w:val="22"/>
          <w:szCs w:val="22"/>
          <w:lang w:val="en-GB" w:eastAsia="en-US"/>
        </w:rPr>
      </w:pPr>
      <w:r w:rsidRPr="00773897">
        <w:rPr>
          <w:rFonts w:ascii="Cambria" w:eastAsia="Cambria" w:hAnsi="Cambria"/>
          <w:b/>
          <w:bCs/>
          <w:smallCaps/>
          <w:color w:val="5E5E5E"/>
          <w:sz w:val="22"/>
          <w:szCs w:val="22"/>
          <w:lang w:val="en-GB" w:eastAsia="en-US"/>
        </w:rPr>
        <w:t>U nastavku slijedi tabela konsolidovanog duga lokalne samouprave na kraju 2019. godine</w:t>
      </w:r>
    </w:p>
    <w:p w:rsidR="00773897" w:rsidRPr="00773897" w:rsidRDefault="00773897" w:rsidP="00773897">
      <w:pPr>
        <w:spacing w:after="160"/>
        <w:rPr>
          <w:rFonts w:ascii="Cambria" w:hAnsi="Cambria"/>
          <w:b/>
          <w:color w:val="418AB3"/>
          <w:sz w:val="20"/>
          <w:szCs w:val="20"/>
          <w:lang w:val="sr-Latn-ME" w:eastAsia="en-US"/>
        </w:rPr>
      </w:pPr>
      <w:bookmarkStart w:id="31" w:name="_Toc41286671"/>
      <w:r w:rsidRPr="00773897">
        <w:rPr>
          <w:rFonts w:ascii="Cambria" w:hAnsi="Cambria"/>
          <w:b/>
          <w:color w:val="418AB3"/>
          <w:sz w:val="20"/>
          <w:szCs w:val="20"/>
          <w:lang w:val="sr-Latn-ME" w:eastAsia="en-US"/>
        </w:rPr>
        <w:t xml:space="preserve">Tabela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Table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5</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Konsolidovani dug lokalne samouprave u mil.eura</w:t>
      </w:r>
      <w:bookmarkEnd w:id="31"/>
    </w:p>
    <w:tbl>
      <w:tblPr>
        <w:tblStyle w:val="GridTable6Colorful-Accent115"/>
        <w:tblW w:w="7196" w:type="dxa"/>
        <w:tblLook w:val="04A0" w:firstRow="1" w:lastRow="0" w:firstColumn="1" w:lastColumn="0" w:noHBand="0" w:noVBand="1"/>
      </w:tblPr>
      <w:tblGrid>
        <w:gridCol w:w="1400"/>
        <w:gridCol w:w="2110"/>
        <w:gridCol w:w="1701"/>
        <w:gridCol w:w="1985"/>
      </w:tblGrid>
      <w:tr w:rsidR="00CE5081" w:rsidRPr="00CE5081" w:rsidTr="00CE508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jc w:val="center"/>
              <w:rPr>
                <w:rFonts w:ascii="Calibri" w:hAnsi="Calibri"/>
                <w:sz w:val="22"/>
                <w:szCs w:val="22"/>
                <w:lang w:val="en-GB" w:eastAsia="en-GB"/>
              </w:rPr>
            </w:pPr>
            <w:r w:rsidRPr="00CE5081">
              <w:rPr>
                <w:rFonts w:ascii="Calibri" w:hAnsi="Calibri"/>
                <w:sz w:val="22"/>
                <w:szCs w:val="22"/>
                <w:lang w:val="en-GB" w:eastAsia="en-GB"/>
              </w:rPr>
              <w:t>Grad</w:t>
            </w:r>
          </w:p>
        </w:tc>
        <w:tc>
          <w:tcPr>
            <w:tcW w:w="2110" w:type="dxa"/>
            <w:noWrap/>
            <w:hideMark/>
          </w:tcPr>
          <w:p w:rsidR="00CE5081" w:rsidRPr="00CE5081" w:rsidRDefault="00CE5081" w:rsidP="00CE5081">
            <w:pPr>
              <w:jc w:val="center"/>
              <w:cnfStyle w:val="100000000000" w:firstRow="1"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Domaći dug</w:t>
            </w:r>
          </w:p>
        </w:tc>
        <w:tc>
          <w:tcPr>
            <w:tcW w:w="1701" w:type="dxa"/>
            <w:noWrap/>
            <w:hideMark/>
          </w:tcPr>
          <w:p w:rsidR="00CE5081" w:rsidRPr="00CE5081" w:rsidRDefault="00CE5081" w:rsidP="00CE5081">
            <w:pPr>
              <w:jc w:val="center"/>
              <w:cnfStyle w:val="100000000000" w:firstRow="1"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Ino dug</w:t>
            </w:r>
          </w:p>
        </w:tc>
        <w:tc>
          <w:tcPr>
            <w:tcW w:w="1985" w:type="dxa"/>
            <w:noWrap/>
            <w:hideMark/>
          </w:tcPr>
          <w:p w:rsidR="00CE5081" w:rsidRPr="00CE5081" w:rsidRDefault="00CE5081" w:rsidP="00CE5081">
            <w:pPr>
              <w:jc w:val="center"/>
              <w:cnfStyle w:val="100000000000" w:firstRow="1"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Ukupno</w:t>
            </w:r>
          </w:p>
        </w:tc>
      </w:tr>
      <w:tr w:rsidR="00CE5081" w:rsidRPr="00CE5081" w:rsidTr="00CE50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Andrijevica </w:t>
            </w:r>
          </w:p>
        </w:tc>
        <w:tc>
          <w:tcPr>
            <w:tcW w:w="2110"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0,55</w:t>
            </w:r>
          </w:p>
        </w:tc>
        <w:tc>
          <w:tcPr>
            <w:tcW w:w="1701"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0,11</w:t>
            </w:r>
          </w:p>
        </w:tc>
        <w:tc>
          <w:tcPr>
            <w:tcW w:w="1985"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0,66</w:t>
            </w:r>
          </w:p>
        </w:tc>
      </w:tr>
      <w:tr w:rsidR="00CE5081" w:rsidRPr="00CE5081" w:rsidTr="00CE5081">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Bar </w:t>
            </w:r>
          </w:p>
        </w:tc>
        <w:tc>
          <w:tcPr>
            <w:tcW w:w="2110"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701"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2,04</w:t>
            </w:r>
          </w:p>
        </w:tc>
        <w:tc>
          <w:tcPr>
            <w:tcW w:w="1985"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2,04</w:t>
            </w:r>
          </w:p>
        </w:tc>
      </w:tr>
      <w:tr w:rsidR="00CE5081" w:rsidRPr="00CE5081" w:rsidTr="00CE50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Berane </w:t>
            </w:r>
          </w:p>
        </w:tc>
        <w:tc>
          <w:tcPr>
            <w:tcW w:w="2110"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3,77</w:t>
            </w:r>
          </w:p>
        </w:tc>
        <w:tc>
          <w:tcPr>
            <w:tcW w:w="1701"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985"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3,77</w:t>
            </w:r>
          </w:p>
        </w:tc>
      </w:tr>
      <w:tr w:rsidR="00CE5081" w:rsidRPr="00CE5081" w:rsidTr="00CE5081">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Bijelo Polje </w:t>
            </w:r>
          </w:p>
        </w:tc>
        <w:tc>
          <w:tcPr>
            <w:tcW w:w="2110"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8,74</w:t>
            </w:r>
          </w:p>
        </w:tc>
        <w:tc>
          <w:tcPr>
            <w:tcW w:w="1701"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0,22</w:t>
            </w:r>
          </w:p>
        </w:tc>
        <w:tc>
          <w:tcPr>
            <w:tcW w:w="1985"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8,96</w:t>
            </w:r>
          </w:p>
        </w:tc>
      </w:tr>
      <w:tr w:rsidR="00CE5081" w:rsidRPr="00CE5081" w:rsidTr="00CE50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Budva </w:t>
            </w:r>
          </w:p>
        </w:tc>
        <w:tc>
          <w:tcPr>
            <w:tcW w:w="2110"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0,19</w:t>
            </w:r>
          </w:p>
        </w:tc>
        <w:tc>
          <w:tcPr>
            <w:tcW w:w="1701"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24,53</w:t>
            </w:r>
          </w:p>
        </w:tc>
        <w:tc>
          <w:tcPr>
            <w:tcW w:w="1985"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24,72</w:t>
            </w:r>
          </w:p>
        </w:tc>
      </w:tr>
      <w:tr w:rsidR="00CE5081" w:rsidRPr="00CE5081" w:rsidTr="00CE5081">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Cetinje </w:t>
            </w:r>
          </w:p>
        </w:tc>
        <w:tc>
          <w:tcPr>
            <w:tcW w:w="2110"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6,47</w:t>
            </w:r>
          </w:p>
        </w:tc>
        <w:tc>
          <w:tcPr>
            <w:tcW w:w="1701"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1,51</w:t>
            </w:r>
          </w:p>
        </w:tc>
        <w:tc>
          <w:tcPr>
            <w:tcW w:w="1985"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7,98</w:t>
            </w:r>
          </w:p>
        </w:tc>
      </w:tr>
      <w:tr w:rsidR="00CE5081" w:rsidRPr="00CE5081" w:rsidTr="00CE50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Danilovgrad </w:t>
            </w:r>
          </w:p>
        </w:tc>
        <w:tc>
          <w:tcPr>
            <w:tcW w:w="2110"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1,71</w:t>
            </w:r>
          </w:p>
        </w:tc>
        <w:tc>
          <w:tcPr>
            <w:tcW w:w="1701"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1,16</w:t>
            </w:r>
          </w:p>
        </w:tc>
        <w:tc>
          <w:tcPr>
            <w:tcW w:w="1985"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2,87</w:t>
            </w:r>
          </w:p>
        </w:tc>
      </w:tr>
      <w:tr w:rsidR="00CE5081" w:rsidRPr="00CE5081" w:rsidTr="00CE5081">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Gusinje </w:t>
            </w:r>
          </w:p>
        </w:tc>
        <w:tc>
          <w:tcPr>
            <w:tcW w:w="2110"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701"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985"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r>
      <w:tr w:rsidR="00CE5081" w:rsidRPr="00CE5081" w:rsidTr="00CE50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Herceg Novi </w:t>
            </w:r>
          </w:p>
        </w:tc>
        <w:tc>
          <w:tcPr>
            <w:tcW w:w="2110"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1,29</w:t>
            </w:r>
          </w:p>
        </w:tc>
        <w:tc>
          <w:tcPr>
            <w:tcW w:w="1701"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6,22</w:t>
            </w:r>
          </w:p>
        </w:tc>
        <w:tc>
          <w:tcPr>
            <w:tcW w:w="1985"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7,51</w:t>
            </w:r>
          </w:p>
        </w:tc>
      </w:tr>
      <w:tr w:rsidR="00CE5081" w:rsidRPr="00CE5081" w:rsidTr="00CE5081">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Kolašin </w:t>
            </w:r>
          </w:p>
        </w:tc>
        <w:tc>
          <w:tcPr>
            <w:tcW w:w="2110"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4,88</w:t>
            </w:r>
          </w:p>
        </w:tc>
        <w:tc>
          <w:tcPr>
            <w:tcW w:w="1701"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985"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4,88</w:t>
            </w:r>
          </w:p>
        </w:tc>
      </w:tr>
      <w:tr w:rsidR="00CE5081" w:rsidRPr="00CE5081" w:rsidTr="00CE50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Kotor </w:t>
            </w:r>
          </w:p>
        </w:tc>
        <w:tc>
          <w:tcPr>
            <w:tcW w:w="2110"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701"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1,01</w:t>
            </w:r>
          </w:p>
        </w:tc>
        <w:tc>
          <w:tcPr>
            <w:tcW w:w="1985"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1,01</w:t>
            </w:r>
          </w:p>
        </w:tc>
      </w:tr>
      <w:tr w:rsidR="00CE5081" w:rsidRPr="00CE5081" w:rsidTr="00CE5081">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Mojkovac </w:t>
            </w:r>
          </w:p>
        </w:tc>
        <w:tc>
          <w:tcPr>
            <w:tcW w:w="2110"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0,29</w:t>
            </w:r>
          </w:p>
        </w:tc>
        <w:tc>
          <w:tcPr>
            <w:tcW w:w="1701"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985"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0,29</w:t>
            </w:r>
          </w:p>
        </w:tc>
      </w:tr>
      <w:tr w:rsidR="00CE5081" w:rsidRPr="00CE5081" w:rsidTr="00CE50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Nikšić </w:t>
            </w:r>
          </w:p>
        </w:tc>
        <w:tc>
          <w:tcPr>
            <w:tcW w:w="2110"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1,27</w:t>
            </w:r>
          </w:p>
        </w:tc>
        <w:tc>
          <w:tcPr>
            <w:tcW w:w="1701"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11,78</w:t>
            </w:r>
          </w:p>
        </w:tc>
        <w:tc>
          <w:tcPr>
            <w:tcW w:w="1985"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13,06</w:t>
            </w:r>
          </w:p>
        </w:tc>
      </w:tr>
      <w:tr w:rsidR="00CE5081" w:rsidRPr="00CE5081" w:rsidTr="00CE5081">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Petnjica </w:t>
            </w:r>
          </w:p>
        </w:tc>
        <w:tc>
          <w:tcPr>
            <w:tcW w:w="2110"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701"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985"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r>
      <w:tr w:rsidR="00CE5081" w:rsidRPr="00CE5081" w:rsidTr="00CE50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Plav </w:t>
            </w:r>
          </w:p>
        </w:tc>
        <w:tc>
          <w:tcPr>
            <w:tcW w:w="2110"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0,54</w:t>
            </w:r>
          </w:p>
        </w:tc>
        <w:tc>
          <w:tcPr>
            <w:tcW w:w="1701"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985"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0,54</w:t>
            </w:r>
          </w:p>
        </w:tc>
      </w:tr>
      <w:tr w:rsidR="00CE5081" w:rsidRPr="00CE5081" w:rsidTr="00CE5081">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Plužine </w:t>
            </w:r>
          </w:p>
        </w:tc>
        <w:tc>
          <w:tcPr>
            <w:tcW w:w="2110"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0,14</w:t>
            </w:r>
          </w:p>
        </w:tc>
        <w:tc>
          <w:tcPr>
            <w:tcW w:w="1701"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985"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0,14</w:t>
            </w:r>
          </w:p>
        </w:tc>
      </w:tr>
      <w:tr w:rsidR="00CE5081" w:rsidRPr="00CE5081" w:rsidTr="00CE50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Pljevlja </w:t>
            </w:r>
          </w:p>
        </w:tc>
        <w:tc>
          <w:tcPr>
            <w:tcW w:w="2110"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0,16</w:t>
            </w:r>
          </w:p>
        </w:tc>
        <w:tc>
          <w:tcPr>
            <w:tcW w:w="1701"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2,51</w:t>
            </w:r>
          </w:p>
        </w:tc>
        <w:tc>
          <w:tcPr>
            <w:tcW w:w="1985"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2,67</w:t>
            </w:r>
          </w:p>
        </w:tc>
      </w:tr>
      <w:tr w:rsidR="00CE5081" w:rsidRPr="00CE5081" w:rsidTr="00CE5081">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Podgorica </w:t>
            </w:r>
          </w:p>
        </w:tc>
        <w:tc>
          <w:tcPr>
            <w:tcW w:w="2110"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2,17</w:t>
            </w:r>
          </w:p>
        </w:tc>
        <w:tc>
          <w:tcPr>
            <w:tcW w:w="1701"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18,90</w:t>
            </w:r>
          </w:p>
        </w:tc>
        <w:tc>
          <w:tcPr>
            <w:tcW w:w="1985"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21,06</w:t>
            </w:r>
          </w:p>
        </w:tc>
      </w:tr>
      <w:tr w:rsidR="00CE5081" w:rsidRPr="00CE5081" w:rsidTr="00CE50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Rožaje </w:t>
            </w:r>
          </w:p>
        </w:tc>
        <w:tc>
          <w:tcPr>
            <w:tcW w:w="2110"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3,21</w:t>
            </w:r>
          </w:p>
        </w:tc>
        <w:tc>
          <w:tcPr>
            <w:tcW w:w="1701"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1,05</w:t>
            </w:r>
          </w:p>
        </w:tc>
        <w:tc>
          <w:tcPr>
            <w:tcW w:w="1985"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4,26</w:t>
            </w:r>
          </w:p>
        </w:tc>
      </w:tr>
      <w:tr w:rsidR="00CE5081" w:rsidRPr="00CE5081" w:rsidTr="00CE5081">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Šavnik </w:t>
            </w:r>
          </w:p>
        </w:tc>
        <w:tc>
          <w:tcPr>
            <w:tcW w:w="2110"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0,14</w:t>
            </w:r>
          </w:p>
        </w:tc>
        <w:tc>
          <w:tcPr>
            <w:tcW w:w="1701"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985"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0,14</w:t>
            </w:r>
          </w:p>
        </w:tc>
      </w:tr>
      <w:tr w:rsidR="00CE5081" w:rsidRPr="00CE5081" w:rsidTr="00CE50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Tivat </w:t>
            </w:r>
          </w:p>
        </w:tc>
        <w:tc>
          <w:tcPr>
            <w:tcW w:w="2110"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701"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8,02</w:t>
            </w:r>
          </w:p>
        </w:tc>
        <w:tc>
          <w:tcPr>
            <w:tcW w:w="1985"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8,02</w:t>
            </w:r>
          </w:p>
        </w:tc>
      </w:tr>
      <w:tr w:rsidR="00CE5081" w:rsidRPr="00CE5081" w:rsidTr="00CE5081">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Ulcinj </w:t>
            </w:r>
          </w:p>
        </w:tc>
        <w:tc>
          <w:tcPr>
            <w:tcW w:w="2110"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3,05</w:t>
            </w:r>
          </w:p>
        </w:tc>
        <w:tc>
          <w:tcPr>
            <w:tcW w:w="1701"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1,06</w:t>
            </w:r>
          </w:p>
        </w:tc>
        <w:tc>
          <w:tcPr>
            <w:tcW w:w="1985"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4,12</w:t>
            </w:r>
          </w:p>
        </w:tc>
      </w:tr>
      <w:tr w:rsidR="00CE5081" w:rsidRPr="00CE5081" w:rsidTr="00CE50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Žabljak </w:t>
            </w:r>
          </w:p>
        </w:tc>
        <w:tc>
          <w:tcPr>
            <w:tcW w:w="2110"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701"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985"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r>
      <w:tr w:rsidR="00CE5081" w:rsidRPr="00CE5081" w:rsidTr="00CE5081">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Tuzi </w:t>
            </w:r>
          </w:p>
        </w:tc>
        <w:tc>
          <w:tcPr>
            <w:tcW w:w="2110"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701"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c>
          <w:tcPr>
            <w:tcW w:w="1985" w:type="dxa"/>
            <w:noWrap/>
            <w:hideMark/>
          </w:tcPr>
          <w:p w:rsidR="00CE5081" w:rsidRPr="00CE5081" w:rsidRDefault="00CE5081" w:rsidP="00CE5081">
            <w:pPr>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eastAsia="en-GB"/>
              </w:rPr>
            </w:pPr>
            <w:r w:rsidRPr="00CE5081">
              <w:rPr>
                <w:rFonts w:ascii="Calibri" w:hAnsi="Calibri"/>
                <w:sz w:val="22"/>
                <w:szCs w:val="22"/>
                <w:lang w:val="en-GB" w:eastAsia="en-GB"/>
              </w:rPr>
              <w:t>0,00</w:t>
            </w:r>
          </w:p>
        </w:tc>
      </w:tr>
      <w:tr w:rsidR="00CE5081" w:rsidRPr="00CE5081" w:rsidTr="00CE50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CE5081" w:rsidRPr="00CE5081" w:rsidRDefault="00CE5081" w:rsidP="00CE5081">
            <w:pPr>
              <w:rPr>
                <w:rFonts w:ascii="Calibri" w:hAnsi="Calibri"/>
                <w:sz w:val="22"/>
                <w:szCs w:val="22"/>
                <w:lang w:val="en-GB" w:eastAsia="en-GB"/>
              </w:rPr>
            </w:pPr>
            <w:r w:rsidRPr="00CE5081">
              <w:rPr>
                <w:rFonts w:ascii="Calibri" w:hAnsi="Calibri"/>
                <w:sz w:val="22"/>
                <w:szCs w:val="22"/>
                <w:lang w:val="en-GB" w:eastAsia="en-GB"/>
              </w:rPr>
              <w:t xml:space="preserve"> UKUPNO </w:t>
            </w:r>
          </w:p>
        </w:tc>
        <w:tc>
          <w:tcPr>
            <w:tcW w:w="2110"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lang w:val="en-GB" w:eastAsia="en-GB"/>
              </w:rPr>
            </w:pPr>
            <w:r w:rsidRPr="00CE5081">
              <w:rPr>
                <w:rFonts w:ascii="Calibri" w:hAnsi="Calibri"/>
                <w:b/>
                <w:bCs/>
                <w:sz w:val="22"/>
                <w:szCs w:val="22"/>
                <w:lang w:val="en-GB" w:eastAsia="en-GB"/>
              </w:rPr>
              <w:t>38,58</w:t>
            </w:r>
          </w:p>
        </w:tc>
        <w:tc>
          <w:tcPr>
            <w:tcW w:w="1701"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lang w:val="en-GB" w:eastAsia="en-GB"/>
              </w:rPr>
            </w:pPr>
            <w:r w:rsidRPr="00CE5081">
              <w:rPr>
                <w:rFonts w:ascii="Calibri" w:hAnsi="Calibri"/>
                <w:b/>
                <w:bCs/>
                <w:sz w:val="22"/>
                <w:szCs w:val="22"/>
                <w:lang w:val="en-GB" w:eastAsia="en-GB"/>
              </w:rPr>
              <w:t>80,12</w:t>
            </w:r>
          </w:p>
        </w:tc>
        <w:tc>
          <w:tcPr>
            <w:tcW w:w="1985" w:type="dxa"/>
            <w:noWrap/>
            <w:hideMark/>
          </w:tcPr>
          <w:p w:rsidR="00CE5081" w:rsidRPr="00CE5081" w:rsidRDefault="00CE5081" w:rsidP="00CE5081">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2"/>
                <w:szCs w:val="22"/>
                <w:lang w:val="en-GB" w:eastAsia="en-GB"/>
              </w:rPr>
            </w:pPr>
            <w:r w:rsidRPr="00CE5081">
              <w:rPr>
                <w:rFonts w:ascii="Calibri" w:hAnsi="Calibri"/>
                <w:b/>
                <w:bCs/>
                <w:sz w:val="22"/>
                <w:szCs w:val="22"/>
                <w:lang w:val="en-GB" w:eastAsia="en-GB"/>
              </w:rPr>
              <w:t>118,70</w:t>
            </w:r>
          </w:p>
        </w:tc>
      </w:tr>
    </w:tbl>
    <w:p w:rsidR="001B4626" w:rsidRDefault="001B4626" w:rsidP="00773897">
      <w:pPr>
        <w:spacing w:after="160"/>
        <w:rPr>
          <w:rFonts w:ascii="Cambria" w:hAnsi="Cambria"/>
          <w:b/>
          <w:color w:val="418AB3"/>
          <w:sz w:val="20"/>
          <w:szCs w:val="20"/>
          <w:lang w:val="sr-Latn-ME" w:eastAsia="en-US"/>
        </w:rPr>
      </w:pPr>
      <w:bookmarkStart w:id="32" w:name="_Toc35253509"/>
    </w:p>
    <w:p w:rsidR="001B4626" w:rsidRDefault="001B4626" w:rsidP="00773897">
      <w:pPr>
        <w:spacing w:after="160"/>
        <w:rPr>
          <w:rFonts w:ascii="Cambria" w:hAnsi="Cambria"/>
          <w:b/>
          <w:color w:val="418AB3"/>
          <w:sz w:val="20"/>
          <w:szCs w:val="20"/>
          <w:lang w:val="sr-Latn-ME" w:eastAsia="en-US"/>
        </w:rPr>
      </w:pPr>
    </w:p>
    <w:p w:rsidR="00773897" w:rsidRDefault="00773897" w:rsidP="00773897">
      <w:pPr>
        <w:spacing w:after="160"/>
        <w:rPr>
          <w:rFonts w:ascii="Cambria" w:hAnsi="Cambria"/>
          <w:b/>
          <w:color w:val="418AB3"/>
          <w:sz w:val="20"/>
          <w:szCs w:val="20"/>
          <w:lang w:val="sr-Latn-ME" w:eastAsia="en-US"/>
        </w:rPr>
      </w:pPr>
      <w:bookmarkStart w:id="33" w:name="_Toc41286681"/>
      <w:r w:rsidRPr="00773897">
        <w:rPr>
          <w:rFonts w:ascii="Cambria" w:hAnsi="Cambria"/>
          <w:b/>
          <w:color w:val="418AB3"/>
          <w:sz w:val="20"/>
          <w:szCs w:val="20"/>
          <w:lang w:val="sr-Latn-ME" w:eastAsia="en-US"/>
        </w:rPr>
        <w:lastRenderedPageBreak/>
        <w:t xml:space="preserve">Grafik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Figure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9</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Odnos konsolidovanog unutrašnjeg i spoljnjeg duga lokalne samouprave</w:t>
      </w:r>
      <w:bookmarkEnd w:id="33"/>
    </w:p>
    <w:p w:rsidR="00CE5081" w:rsidRDefault="00CE5081" w:rsidP="00773897">
      <w:pPr>
        <w:spacing w:after="160"/>
        <w:rPr>
          <w:rFonts w:ascii="Cambria" w:hAnsi="Cambria"/>
          <w:b/>
          <w:color w:val="418AB3"/>
          <w:sz w:val="20"/>
          <w:szCs w:val="20"/>
          <w:lang w:val="sr-Latn-ME" w:eastAsia="en-US"/>
        </w:rPr>
      </w:pPr>
    </w:p>
    <w:p w:rsidR="00CE5081" w:rsidRDefault="00CE5081" w:rsidP="00773897">
      <w:pPr>
        <w:spacing w:after="160"/>
        <w:rPr>
          <w:rFonts w:ascii="Cambria" w:hAnsi="Cambria"/>
          <w:b/>
          <w:color w:val="418AB3"/>
          <w:sz w:val="20"/>
          <w:szCs w:val="20"/>
          <w:lang w:val="sr-Latn-ME" w:eastAsia="en-US"/>
        </w:rPr>
      </w:pPr>
    </w:p>
    <w:p w:rsidR="00CE5081" w:rsidRPr="00773897" w:rsidRDefault="00CE5081" w:rsidP="00773897">
      <w:pPr>
        <w:spacing w:after="160"/>
        <w:rPr>
          <w:rFonts w:ascii="Cambria" w:eastAsia="Cambria" w:hAnsi="Cambria"/>
          <w:b/>
          <w:bCs/>
          <w:smallCaps/>
          <w:color w:val="5E5E5E"/>
          <w:sz w:val="22"/>
          <w:szCs w:val="22"/>
          <w:lang w:val="en-GB" w:eastAsia="en-US"/>
        </w:rPr>
      </w:pPr>
      <w:r>
        <w:rPr>
          <w:noProof/>
          <w:lang w:val="en-GB" w:eastAsia="en-GB"/>
        </w:rPr>
        <w:drawing>
          <wp:inline distT="0" distB="0" distL="0" distR="0" wp14:anchorId="60FF4CFA" wp14:editId="3D38EE9C">
            <wp:extent cx="5760720" cy="3165935"/>
            <wp:effectExtent l="0" t="0" r="11430"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bookmarkEnd w:id="32"/>
    <w:p w:rsidR="00773897" w:rsidRPr="00773897" w:rsidRDefault="00773897" w:rsidP="00773897">
      <w:pPr>
        <w:spacing w:after="160" w:line="259" w:lineRule="auto"/>
        <w:rPr>
          <w:rFonts w:ascii="Cambria" w:eastAsia="Cambria" w:hAnsi="Cambria"/>
          <w:b/>
          <w:sz w:val="36"/>
          <w:szCs w:val="36"/>
          <w:lang w:val="sr-Latn-RS" w:eastAsia="en-US"/>
        </w:rPr>
      </w:pPr>
    </w:p>
    <w:p w:rsidR="00773897" w:rsidRPr="00773897" w:rsidRDefault="00773897" w:rsidP="00773897">
      <w:pPr>
        <w:keepNext/>
        <w:keepLines/>
        <w:spacing w:before="40" w:line="259" w:lineRule="auto"/>
        <w:outlineLvl w:val="1"/>
        <w:rPr>
          <w:rFonts w:ascii="Cambria" w:hAnsi="Cambria"/>
          <w:b/>
          <w:color w:val="418AB3"/>
          <w:lang w:val="sr-Latn-ME" w:eastAsia="en-US"/>
        </w:rPr>
      </w:pPr>
      <w:bookmarkStart w:id="34" w:name="_Toc41286664"/>
      <w:r w:rsidRPr="00773897">
        <w:rPr>
          <w:rFonts w:ascii="Cambria" w:hAnsi="Cambria"/>
          <w:b/>
          <w:color w:val="418AB3"/>
          <w:lang w:val="sr-Latn-ME" w:eastAsia="en-US"/>
        </w:rPr>
        <w:t>5. Kretanje državnih garancija tokom 2019. godine</w:t>
      </w:r>
      <w:bookmarkEnd w:id="34"/>
    </w:p>
    <w:p w:rsidR="00773897" w:rsidRPr="00773897" w:rsidRDefault="00773897" w:rsidP="00773897">
      <w:pPr>
        <w:spacing w:after="160" w:line="259" w:lineRule="auto"/>
        <w:rPr>
          <w:rFonts w:ascii="Cambria" w:eastAsia="Cambria" w:hAnsi="Cambria"/>
          <w:sz w:val="22"/>
          <w:szCs w:val="22"/>
          <w:lang w:val="en-GB" w:eastAsia="en-US"/>
        </w:rPr>
      </w:pPr>
    </w:p>
    <w:p w:rsidR="00773897" w:rsidRPr="00773897" w:rsidRDefault="00773897" w:rsidP="00773897">
      <w:pPr>
        <w:spacing w:after="160"/>
        <w:ind w:left="2880" w:firstLine="720"/>
        <w:jc w:val="center"/>
        <w:rPr>
          <w:rFonts w:ascii="Cambria" w:hAnsi="Cambria"/>
          <w:b/>
          <w:color w:val="418AB3"/>
          <w:sz w:val="20"/>
          <w:szCs w:val="20"/>
          <w:lang w:val="sr-Latn-ME" w:eastAsia="en-US"/>
        </w:rPr>
      </w:pPr>
      <w:bookmarkStart w:id="35" w:name="_Toc41286682"/>
      <w:r w:rsidRPr="00773897">
        <w:rPr>
          <w:rFonts w:ascii="Cambria" w:hAnsi="Cambria"/>
          <w:b/>
          <w:color w:val="418AB3"/>
          <w:sz w:val="20"/>
          <w:szCs w:val="20"/>
          <w:lang w:val="sr-Latn-ME" w:eastAsia="en-US"/>
        </w:rPr>
        <w:t xml:space="preserve">Grafik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Figure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10</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Državne garancije u mil. Eura</w:t>
      </w:r>
      <w:bookmarkEnd w:id="35"/>
    </w:p>
    <w:p w:rsidR="00773897" w:rsidRPr="00773897" w:rsidRDefault="00773897" w:rsidP="00773897">
      <w:pPr>
        <w:tabs>
          <w:tab w:val="right" w:pos="9072"/>
        </w:tabs>
        <w:spacing w:after="200"/>
        <w:jc w:val="both"/>
        <w:rPr>
          <w:rFonts w:ascii="Cambria" w:eastAsia="Calibri" w:hAnsi="Cambria" w:cs="Arial"/>
          <w:bCs/>
          <w:color w:val="000000"/>
          <w:sz w:val="22"/>
          <w:szCs w:val="22"/>
          <w:lang w:val="sr-Latn-ME" w:eastAsia="en-US"/>
        </w:rPr>
      </w:pPr>
      <w:r w:rsidRPr="00773897">
        <w:rPr>
          <w:rFonts w:ascii="Cambria" w:eastAsia="Cambria" w:hAnsi="Cambria"/>
          <w:noProof/>
          <w:sz w:val="22"/>
          <w:szCs w:val="22"/>
          <w:lang w:val="en-GB" w:eastAsia="en-GB"/>
        </w:rPr>
        <w:drawing>
          <wp:anchor distT="0" distB="0" distL="114300" distR="114300" simplePos="0" relativeHeight="251666432" behindDoc="0" locked="0" layoutInCell="1" allowOverlap="1" wp14:anchorId="4C269DB4" wp14:editId="007CE3BA">
            <wp:simplePos x="0" y="0"/>
            <wp:positionH relativeFrom="column">
              <wp:posOffset>2792095</wp:posOffset>
            </wp:positionH>
            <wp:positionV relativeFrom="paragraph">
              <wp:posOffset>43204</wp:posOffset>
            </wp:positionV>
            <wp:extent cx="2966085" cy="2284730"/>
            <wp:effectExtent l="0" t="0" r="5715" b="1270"/>
            <wp:wrapSquare wrapText="bothSides"/>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773897">
        <w:rPr>
          <w:rFonts w:ascii="Cambria" w:eastAsia="Calibri" w:hAnsi="Cambria" w:cs="Arial"/>
          <w:bCs/>
          <w:color w:val="000000"/>
          <w:sz w:val="22"/>
          <w:szCs w:val="22"/>
          <w:lang w:val="sr-Latn-ME" w:eastAsia="en-US"/>
        </w:rPr>
        <w:t>Ugovoreni iznos izdatih državnih garancija</w:t>
      </w:r>
      <w:r w:rsidRPr="00773897">
        <w:rPr>
          <w:rFonts w:ascii="Cambria" w:eastAsia="Calibri" w:hAnsi="Cambria" w:cs="Arial"/>
          <w:bCs/>
          <w:sz w:val="22"/>
          <w:szCs w:val="22"/>
          <w:lang w:val="sr-Latn-ME" w:eastAsia="en-US"/>
        </w:rPr>
        <w:t xml:space="preserve"> nakraju 2019. godine iznosi oko 601,93 miliona eura, što je za oko 30,89 miliona eura više u odnosu na isti period 2018. godine. Od ovog iznosa, angažovana  sredstva  iznose oko 477,77 miliona eura.  Stanje duga na kraju 2019. godine, po garancijama izdatim domaćim i ino kreditorima iznosi 244,30 mi</w:t>
      </w:r>
      <w:r w:rsidR="00387CFA">
        <w:rPr>
          <w:rFonts w:ascii="Cambria" w:eastAsia="Calibri" w:hAnsi="Cambria" w:cs="Arial"/>
          <w:bCs/>
          <w:sz w:val="22"/>
          <w:szCs w:val="22"/>
          <w:lang w:val="sr-Latn-ME" w:eastAsia="en-US"/>
        </w:rPr>
        <w:t xml:space="preserve">liona eura, što predstavlja </w:t>
      </w:r>
      <w:r w:rsidR="00387CFA" w:rsidRPr="00E8701F">
        <w:rPr>
          <w:rFonts w:ascii="Cambria" w:eastAsia="Calibri" w:hAnsi="Cambria" w:cs="Arial"/>
          <w:bCs/>
          <w:sz w:val="22"/>
          <w:szCs w:val="22"/>
          <w:lang w:val="sr-Latn-ME" w:eastAsia="en-US"/>
        </w:rPr>
        <w:t>4,93</w:t>
      </w:r>
      <w:r w:rsidRPr="00E8701F">
        <w:rPr>
          <w:rFonts w:ascii="Cambria" w:eastAsia="Calibri" w:hAnsi="Cambria" w:cs="Arial"/>
          <w:bCs/>
          <w:sz w:val="22"/>
          <w:szCs w:val="22"/>
          <w:lang w:val="sr-Latn-ME" w:eastAsia="en-US"/>
        </w:rPr>
        <w:t>% BDP-a.</w:t>
      </w:r>
      <w:r w:rsidRPr="00773897">
        <w:rPr>
          <w:rFonts w:ascii="Cambria" w:eastAsia="Calibri" w:hAnsi="Cambria" w:cs="Arial"/>
          <w:bCs/>
          <w:sz w:val="22"/>
          <w:szCs w:val="22"/>
          <w:lang w:val="sr-Latn-ME" w:eastAsia="en-US"/>
        </w:rPr>
        <w:t xml:space="preserve"> U odnosu da kraj 2018. godine, na kraju 2019. godine stanje duga po osnovu izdatih državnih garancija se smanjilo za 43,19 miliona eura</w:t>
      </w:r>
      <w:r w:rsidRPr="00773897">
        <w:rPr>
          <w:rFonts w:ascii="Cambria" w:eastAsia="Calibri" w:hAnsi="Cambria" w:cs="Arial"/>
          <w:bCs/>
          <w:lang w:val="sr-Latn-ME" w:eastAsia="en-US"/>
        </w:rPr>
        <w:t xml:space="preserve">. </w:t>
      </w:r>
    </w:p>
    <w:p w:rsidR="00773897" w:rsidRPr="00773897" w:rsidRDefault="00773897" w:rsidP="00773897">
      <w:pPr>
        <w:spacing w:after="160" w:line="259" w:lineRule="auto"/>
        <w:jc w:val="both"/>
        <w:rPr>
          <w:rFonts w:ascii="Cambria" w:eastAsia="Calibri" w:hAnsi="Cambria" w:cs="Arial"/>
          <w:bCs/>
          <w:sz w:val="22"/>
          <w:szCs w:val="22"/>
          <w:lang w:val="sr-Latn-ME" w:eastAsia="en-US"/>
        </w:rPr>
      </w:pPr>
    </w:p>
    <w:p w:rsidR="00773897" w:rsidRPr="00773897" w:rsidRDefault="00773897" w:rsidP="00773897">
      <w:pPr>
        <w:spacing w:after="160" w:line="259" w:lineRule="auto"/>
        <w:jc w:val="both"/>
        <w:rPr>
          <w:rFonts w:ascii="Cambria" w:eastAsia="Calibri" w:hAnsi="Cambria" w:cs="Arial"/>
          <w:bCs/>
          <w:sz w:val="22"/>
          <w:szCs w:val="22"/>
          <w:lang w:val="sr-Latn-ME" w:eastAsia="en-US"/>
        </w:rPr>
      </w:pPr>
      <w:r w:rsidRPr="00773897">
        <w:rPr>
          <w:rFonts w:ascii="Cambria" w:eastAsia="Calibri" w:hAnsi="Cambria" w:cs="Arial"/>
          <w:bCs/>
          <w:sz w:val="22"/>
          <w:szCs w:val="22"/>
          <w:lang w:val="sr-Latn-ME" w:eastAsia="en-US"/>
        </w:rPr>
        <w:t>Domaće garancije su uglavnom izdate u cilju podrške kompanijama za realizaciju kapitalnih projekata, za restrukturiranje i kao podrška realizaciji sanacionih planova lokalnih samouprava. Spoljne garancije su izdate za implementaciju raznih infrastrukturnih projekata, obezbjeđenje podrške razvoju malih i srednjih preduzeća, kao i u cilju podrške za restrukturiranje željezničke infrastrukture, modernizaciju aerodroma i energetskog sistema.</w:t>
      </w:r>
    </w:p>
    <w:p w:rsidR="00773897" w:rsidRPr="00773897" w:rsidRDefault="00773897" w:rsidP="00773897">
      <w:pPr>
        <w:autoSpaceDE w:val="0"/>
        <w:autoSpaceDN w:val="0"/>
        <w:adjustRightInd w:val="0"/>
        <w:jc w:val="both"/>
        <w:rPr>
          <w:rFonts w:ascii="Cambria" w:eastAsia="Calibri" w:hAnsi="Cambria" w:cs="Arial"/>
          <w:sz w:val="22"/>
          <w:szCs w:val="22"/>
          <w:lang w:val="sr-Latn-ME" w:eastAsia="en-US"/>
        </w:rPr>
      </w:pPr>
      <w:r w:rsidRPr="00773897">
        <w:rPr>
          <w:rFonts w:ascii="Cambria" w:eastAsia="Calibri" w:hAnsi="Cambria" w:cs="Arial"/>
          <w:sz w:val="22"/>
          <w:szCs w:val="22"/>
          <w:lang w:val="sr-Latn-ME" w:eastAsia="en-US"/>
        </w:rPr>
        <w:t xml:space="preserve">U skladu sa Zakonom o budžetu za 2019. godinu, Vlada Crne Gore izdala je sledeće garancije: </w:t>
      </w:r>
    </w:p>
    <w:p w:rsidR="00773897" w:rsidRPr="00773897" w:rsidRDefault="00773897" w:rsidP="00773897">
      <w:pPr>
        <w:autoSpaceDE w:val="0"/>
        <w:autoSpaceDN w:val="0"/>
        <w:adjustRightInd w:val="0"/>
        <w:jc w:val="both"/>
        <w:rPr>
          <w:rFonts w:ascii="Cambria" w:eastAsia="Calibri" w:hAnsi="Cambria" w:cs="Arial"/>
          <w:sz w:val="22"/>
          <w:szCs w:val="22"/>
          <w:lang w:val="sr-Latn-ME" w:eastAsia="en-US"/>
        </w:rPr>
      </w:pPr>
    </w:p>
    <w:p w:rsidR="00773897" w:rsidRPr="00773897" w:rsidRDefault="00773897" w:rsidP="00773897">
      <w:pPr>
        <w:numPr>
          <w:ilvl w:val="0"/>
          <w:numId w:val="39"/>
        </w:numPr>
        <w:spacing w:after="160" w:line="259" w:lineRule="auto"/>
        <w:contextualSpacing/>
        <w:jc w:val="both"/>
        <w:rPr>
          <w:rFonts w:ascii="Cambria" w:eastAsia="Calibri" w:hAnsi="Cambria" w:cs="Arial"/>
          <w:sz w:val="22"/>
          <w:szCs w:val="22"/>
          <w:lang w:val="sr-Latn-ME" w:eastAsia="en-US"/>
        </w:rPr>
      </w:pPr>
      <w:r w:rsidRPr="00773897">
        <w:rPr>
          <w:rFonts w:ascii="Cambria" w:eastAsia="Calibri" w:hAnsi="Cambria" w:cs="Arial"/>
          <w:sz w:val="22"/>
          <w:szCs w:val="22"/>
          <w:lang w:val="sr-Latn-ME" w:eastAsia="en-US"/>
        </w:rPr>
        <w:t>za potrebe komercijalnog kreditnog aranžmana između sindikata banaka koji čine Prva banke Crne Gore i Erste banke  i JP “Regionalni vodovod crnogorsko primorje” u iznosu od 10 miliona eura;</w:t>
      </w:r>
    </w:p>
    <w:p w:rsidR="00773897" w:rsidRPr="00773897" w:rsidRDefault="00773897" w:rsidP="00773897">
      <w:pPr>
        <w:numPr>
          <w:ilvl w:val="0"/>
          <w:numId w:val="39"/>
        </w:numPr>
        <w:spacing w:after="160" w:line="259" w:lineRule="auto"/>
        <w:contextualSpacing/>
        <w:jc w:val="both"/>
        <w:rPr>
          <w:rFonts w:ascii="Cambria" w:eastAsia="Calibri" w:hAnsi="Cambria" w:cs="Arial"/>
          <w:sz w:val="22"/>
          <w:szCs w:val="22"/>
          <w:lang w:val="sr-Latn-ME" w:eastAsia="en-US"/>
        </w:rPr>
      </w:pPr>
      <w:r w:rsidRPr="00773897">
        <w:rPr>
          <w:rFonts w:ascii="Cambria" w:eastAsia="Calibri" w:hAnsi="Cambria" w:cs="Arial"/>
          <w:sz w:val="22"/>
          <w:szCs w:val="22"/>
          <w:lang w:val="sr-Latn-ME" w:eastAsia="en-US"/>
        </w:rPr>
        <w:t>za kreditni aranžman između Željezničke infrastrukture Crne Gore i Evropske investicione banke (EIB), za projekte koji se odnose na rekonstrukciju i unapređenje željezničke infrastrukture, u iznosu od 13 miliona eura;</w:t>
      </w:r>
    </w:p>
    <w:p w:rsidR="00773897" w:rsidRPr="00773897" w:rsidRDefault="00773897" w:rsidP="00773897">
      <w:pPr>
        <w:numPr>
          <w:ilvl w:val="0"/>
          <w:numId w:val="39"/>
        </w:numPr>
        <w:spacing w:after="160" w:line="259" w:lineRule="auto"/>
        <w:contextualSpacing/>
        <w:jc w:val="both"/>
        <w:rPr>
          <w:rFonts w:ascii="Cambria" w:eastAsia="Calibri" w:hAnsi="Cambria" w:cs="Arial"/>
          <w:sz w:val="22"/>
          <w:szCs w:val="22"/>
          <w:lang w:val="sr-Latn-ME" w:eastAsia="en-US"/>
        </w:rPr>
      </w:pPr>
      <w:r w:rsidRPr="00773897">
        <w:rPr>
          <w:rFonts w:ascii="Cambria" w:eastAsia="Calibri" w:hAnsi="Cambria" w:cs="Arial"/>
          <w:sz w:val="22"/>
          <w:szCs w:val="22"/>
          <w:lang w:val="sr-Latn-ME" w:eastAsia="en-US"/>
        </w:rPr>
        <w:t>za potrebe realizacije kreditnog aranžmana između EPCG i Njemačke razvojne banke (KfW), za potrebe rekonstrukcije i modernizacije HE Perućica, faza 2, u iznosu od 33 miliona eura;</w:t>
      </w:r>
    </w:p>
    <w:p w:rsidR="00773897" w:rsidRPr="00773897" w:rsidRDefault="00773897" w:rsidP="00773897">
      <w:pPr>
        <w:numPr>
          <w:ilvl w:val="0"/>
          <w:numId w:val="39"/>
        </w:numPr>
        <w:spacing w:after="160" w:line="259" w:lineRule="auto"/>
        <w:contextualSpacing/>
        <w:jc w:val="both"/>
        <w:rPr>
          <w:rFonts w:ascii="Cambria" w:eastAsia="Calibri" w:hAnsi="Cambria" w:cs="Arial"/>
          <w:sz w:val="22"/>
          <w:szCs w:val="22"/>
          <w:lang w:val="sr-Latn-ME" w:eastAsia="en-US"/>
        </w:rPr>
      </w:pPr>
      <w:r w:rsidRPr="00773897">
        <w:rPr>
          <w:rFonts w:ascii="Cambria" w:eastAsia="Calibri" w:hAnsi="Cambria" w:cs="Arial"/>
          <w:sz w:val="22"/>
          <w:szCs w:val="22"/>
          <w:lang w:val="sr-Latn-ME" w:eastAsia="en-US"/>
        </w:rPr>
        <w:t>za kreditni aranžman između EBRD-a i JP „Regionalni vodovod Crnogorsko primorje“, za realizaciju Projekta proširenja regionalnog sistema za vodosnabdijevanje u iznosu 12 miliona eura;</w:t>
      </w:r>
    </w:p>
    <w:p w:rsidR="00773897" w:rsidRPr="00773897" w:rsidRDefault="00773897" w:rsidP="00773897">
      <w:pPr>
        <w:numPr>
          <w:ilvl w:val="0"/>
          <w:numId w:val="39"/>
        </w:numPr>
        <w:spacing w:after="160" w:line="259" w:lineRule="auto"/>
        <w:contextualSpacing/>
        <w:jc w:val="both"/>
        <w:rPr>
          <w:rFonts w:ascii="Cambria" w:eastAsia="Calibri" w:hAnsi="Cambria" w:cs="Arial"/>
          <w:sz w:val="22"/>
          <w:szCs w:val="22"/>
          <w:lang w:val="en-GB" w:eastAsia="en-US"/>
        </w:rPr>
      </w:pPr>
      <w:r w:rsidRPr="00773897">
        <w:rPr>
          <w:rFonts w:ascii="Cambria" w:eastAsia="Calibri" w:hAnsi="Cambria" w:cs="Arial"/>
          <w:sz w:val="22"/>
          <w:szCs w:val="22"/>
          <w:lang w:val="en-GB" w:eastAsia="en-US"/>
        </w:rPr>
        <w:t>Za kreditni aranžman između Prve banke Crne Gore osnovana 1901. Godine i Stambene zadruge prosvjetnih radnika, za realizaciju projekta izgradnje stanova za prosvjetne radnike u Opštini Budva, na iznos od 1,2 miliona eura.</w:t>
      </w:r>
    </w:p>
    <w:p w:rsidR="00773897" w:rsidRPr="00773897" w:rsidRDefault="00773897" w:rsidP="00773897">
      <w:pPr>
        <w:ind w:left="720"/>
        <w:contextualSpacing/>
        <w:jc w:val="both"/>
        <w:rPr>
          <w:rFonts w:ascii="Cambria" w:eastAsia="Calibri" w:hAnsi="Cambria" w:cs="Arial"/>
          <w:sz w:val="22"/>
          <w:szCs w:val="22"/>
          <w:lang w:val="sr-Latn-ME" w:eastAsia="en-US"/>
        </w:rPr>
      </w:pPr>
    </w:p>
    <w:p w:rsidR="00773897" w:rsidRPr="00773897" w:rsidRDefault="00773897" w:rsidP="00773897">
      <w:pPr>
        <w:ind w:left="720"/>
        <w:contextualSpacing/>
        <w:jc w:val="both"/>
        <w:rPr>
          <w:rFonts w:ascii="Cambria" w:eastAsia="Calibri" w:hAnsi="Cambria" w:cs="Arial"/>
          <w:sz w:val="22"/>
          <w:szCs w:val="22"/>
          <w:lang w:val="sr-Latn-ME" w:eastAsia="en-US"/>
        </w:rPr>
      </w:pPr>
    </w:p>
    <w:p w:rsidR="00773897" w:rsidRPr="00773897" w:rsidRDefault="00773897" w:rsidP="00773897">
      <w:pPr>
        <w:spacing w:after="160" w:line="259" w:lineRule="auto"/>
        <w:jc w:val="both"/>
        <w:rPr>
          <w:rFonts w:ascii="Cambria" w:eastAsia="Calibri" w:hAnsi="Cambria"/>
          <w:sz w:val="22"/>
          <w:szCs w:val="22"/>
          <w:lang w:val="sr-Latn-ME" w:eastAsia="en-US"/>
        </w:rPr>
      </w:pPr>
      <w:r w:rsidRPr="00773897">
        <w:rPr>
          <w:rFonts w:ascii="Cambria" w:eastAsia="Calibri" w:hAnsi="Cambria"/>
          <w:sz w:val="22"/>
          <w:szCs w:val="22"/>
          <w:lang w:val="sr-Latn-ME" w:eastAsia="en-US"/>
        </w:rPr>
        <w:t>U prethodnom periodu aktivirane su dvije garancije za Invest Banku Montenegro i Atlas banku prema Evropskoj investicionoj banci u iznosu od 2,2 miliona eura i 7,2 miliona eura eura, odnosno ukupno 9,4 miliona eura. Navedene garancije izdate su u periodu 2009. i 2010. godine, a do aktiviranja garancije došlo je iz razloga što je u pomenutim bankama, 07. decembra 2018. godine, uvedena prinudna uprava kao i privremena obustava plaćanja obaveza (moratorijum), što je onemogućilo izvršenje obaveza prema EIB-u.</w:t>
      </w:r>
    </w:p>
    <w:p w:rsidR="00773897" w:rsidRPr="00773897" w:rsidRDefault="00773897" w:rsidP="00773897">
      <w:pPr>
        <w:spacing w:after="160" w:line="259" w:lineRule="auto"/>
        <w:jc w:val="both"/>
        <w:rPr>
          <w:rFonts w:ascii="Cambria" w:eastAsia="Calibri" w:hAnsi="Cambria"/>
          <w:sz w:val="22"/>
          <w:szCs w:val="22"/>
          <w:lang w:val="sr-Latn-ME" w:eastAsia="en-US"/>
        </w:rPr>
      </w:pPr>
      <w:r w:rsidRPr="00773897">
        <w:rPr>
          <w:rFonts w:ascii="Cambria" w:eastAsia="Calibri" w:hAnsi="Cambria"/>
          <w:sz w:val="22"/>
          <w:szCs w:val="22"/>
          <w:lang w:val="sr-Latn-ME" w:eastAsia="en-US"/>
        </w:rPr>
        <w:t>Takođe, došlo je do aktiviranja državne garancije u iznosu od 29,25 miliona eura izdate u korist njemačko austrijskog privrednog WTE/EVN grupe, za potrebe izgradnje postrojenja za prečišćavanje otpadnih voda u Budvi.</w:t>
      </w:r>
    </w:p>
    <w:p w:rsidR="00773897" w:rsidRPr="00773897" w:rsidRDefault="00773897" w:rsidP="00773897">
      <w:pPr>
        <w:spacing w:after="160" w:line="259" w:lineRule="auto"/>
        <w:jc w:val="both"/>
        <w:rPr>
          <w:rFonts w:ascii="Cambria" w:eastAsia="Calibri" w:hAnsi="Cambria"/>
          <w:sz w:val="22"/>
          <w:szCs w:val="22"/>
          <w:lang w:val="sr-Latn-ME" w:eastAsia="en-US"/>
        </w:rPr>
      </w:pPr>
      <w:r w:rsidRPr="00773897">
        <w:rPr>
          <w:rFonts w:ascii="Cambria" w:eastAsia="Calibri" w:hAnsi="Cambria"/>
          <w:sz w:val="22"/>
          <w:szCs w:val="22"/>
          <w:lang w:val="sr-Latn-ME" w:eastAsia="en-US"/>
        </w:rPr>
        <w:t xml:space="preserve">U narednom periodu ne očekuje aktiviranje novih garancija. </w:t>
      </w:r>
    </w:p>
    <w:p w:rsidR="00773897" w:rsidRPr="00773897" w:rsidRDefault="00773897" w:rsidP="00773897">
      <w:pPr>
        <w:spacing w:after="160" w:line="259" w:lineRule="auto"/>
        <w:jc w:val="both"/>
        <w:rPr>
          <w:rFonts w:ascii="Cambria" w:eastAsia="Calibri" w:hAnsi="Cambria"/>
          <w:sz w:val="22"/>
          <w:szCs w:val="22"/>
          <w:lang w:val="sr-Latn-ME" w:eastAsia="en-US"/>
        </w:rPr>
      </w:pPr>
    </w:p>
    <w:p w:rsidR="00773897" w:rsidRPr="00773897" w:rsidRDefault="00773897" w:rsidP="00773897">
      <w:pPr>
        <w:keepNext/>
        <w:keepLines/>
        <w:spacing w:before="40" w:line="259" w:lineRule="auto"/>
        <w:outlineLvl w:val="2"/>
        <w:rPr>
          <w:rFonts w:ascii="Cambria" w:hAnsi="Cambria"/>
          <w:b/>
          <w:color w:val="418AB3"/>
          <w:sz w:val="22"/>
          <w:szCs w:val="22"/>
          <w:lang w:val="sr-Latn-ME" w:eastAsia="en-US"/>
        </w:rPr>
      </w:pPr>
      <w:bookmarkStart w:id="36" w:name="_Toc3787626"/>
      <w:bookmarkStart w:id="37" w:name="_Toc41286665"/>
      <w:r w:rsidRPr="00773897">
        <w:rPr>
          <w:rFonts w:ascii="Cambria" w:hAnsi="Cambria"/>
          <w:b/>
          <w:color w:val="418AB3"/>
          <w:sz w:val="22"/>
          <w:szCs w:val="22"/>
          <w:lang w:val="sr-Latn-ME" w:eastAsia="en-US"/>
        </w:rPr>
        <w:t>5.1 Spoljnje garancije</w:t>
      </w:r>
      <w:bookmarkEnd w:id="36"/>
      <w:bookmarkEnd w:id="37"/>
    </w:p>
    <w:p w:rsidR="00773897" w:rsidRPr="00773897" w:rsidRDefault="00773897" w:rsidP="00773897">
      <w:pPr>
        <w:spacing w:after="160" w:line="259" w:lineRule="auto"/>
        <w:rPr>
          <w:rFonts w:ascii="Cambria" w:eastAsia="Cambria" w:hAnsi="Cambria"/>
          <w:sz w:val="22"/>
          <w:szCs w:val="22"/>
          <w:lang w:val="en-GB" w:eastAsia="en-US"/>
        </w:rPr>
      </w:pPr>
    </w:p>
    <w:p w:rsidR="00773897" w:rsidRPr="00773897" w:rsidRDefault="00773897" w:rsidP="00773897">
      <w:pPr>
        <w:spacing w:after="160" w:line="259" w:lineRule="auto"/>
        <w:jc w:val="both"/>
        <w:rPr>
          <w:rFonts w:ascii="Cambria" w:eastAsia="Calibri" w:hAnsi="Cambria"/>
          <w:sz w:val="22"/>
          <w:szCs w:val="22"/>
          <w:lang w:val="sr-Latn-ME" w:eastAsia="en-US"/>
        </w:rPr>
      </w:pPr>
      <w:r w:rsidRPr="00773897">
        <w:rPr>
          <w:rFonts w:ascii="Cambria" w:eastAsia="Calibri" w:hAnsi="Cambria"/>
          <w:sz w:val="22"/>
          <w:szCs w:val="22"/>
          <w:lang w:val="sr-Latn-ME" w:eastAsia="en-US"/>
        </w:rPr>
        <w:t xml:space="preserve">Angažovani/povučeni iznos garancija koje je Vlada Crne Gore izdala za zajmove kod inostranih kreditora iznosi oko 405,71 miliona eura, dok je stanje duga po istim 198,95 miliona </w:t>
      </w:r>
      <w:r w:rsidRPr="00E8701F">
        <w:rPr>
          <w:rFonts w:ascii="Cambria" w:eastAsia="Calibri" w:hAnsi="Cambria"/>
          <w:sz w:val="22"/>
          <w:szCs w:val="22"/>
          <w:lang w:val="sr-Latn-ME" w:eastAsia="en-US"/>
        </w:rPr>
        <w:t>eura ili 4,</w:t>
      </w:r>
      <w:r w:rsidR="00387CFA" w:rsidRPr="00E8701F">
        <w:rPr>
          <w:rFonts w:ascii="Cambria" w:eastAsia="Calibri" w:hAnsi="Cambria"/>
          <w:sz w:val="22"/>
          <w:szCs w:val="22"/>
          <w:lang w:val="sr-Latn-ME" w:eastAsia="en-US"/>
        </w:rPr>
        <w:t>02</w:t>
      </w:r>
      <w:r w:rsidRPr="00E8701F">
        <w:rPr>
          <w:rFonts w:ascii="Cambria" w:eastAsia="Calibri" w:hAnsi="Cambria"/>
          <w:sz w:val="22"/>
          <w:szCs w:val="22"/>
          <w:lang w:val="sr-Latn-ME" w:eastAsia="en-US"/>
        </w:rPr>
        <w:t>% BDP-a.</w:t>
      </w:r>
    </w:p>
    <w:p w:rsidR="009E0B7D" w:rsidRDefault="00773897" w:rsidP="009E0B7D">
      <w:pPr>
        <w:spacing w:after="160"/>
        <w:rPr>
          <w:rFonts w:ascii="Cambria" w:hAnsi="Cambria"/>
          <w:b/>
          <w:color w:val="418AB3"/>
          <w:sz w:val="20"/>
          <w:szCs w:val="20"/>
          <w:lang w:val="sr-Latn-ME" w:eastAsia="en-US"/>
        </w:rPr>
      </w:pPr>
      <w:bookmarkStart w:id="38" w:name="_Toc41286672"/>
      <w:r w:rsidRPr="00773897">
        <w:rPr>
          <w:rFonts w:ascii="Cambria" w:hAnsi="Cambria"/>
          <w:b/>
          <w:color w:val="418AB3"/>
          <w:sz w:val="20"/>
          <w:szCs w:val="20"/>
          <w:lang w:val="sr-Latn-ME" w:eastAsia="en-US"/>
        </w:rPr>
        <w:t xml:space="preserve">Tabela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Table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6</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Spoljne garancije u mil.eura</w:t>
      </w:r>
      <w:bookmarkEnd w:id="38"/>
    </w:p>
    <w:tbl>
      <w:tblPr>
        <w:tblStyle w:val="GridTable6Colorful-Accent112"/>
        <w:tblW w:w="5159" w:type="pct"/>
        <w:jc w:val="center"/>
        <w:tblLook w:val="04A0" w:firstRow="1" w:lastRow="0" w:firstColumn="1" w:lastColumn="0" w:noHBand="0" w:noVBand="1"/>
      </w:tblPr>
      <w:tblGrid>
        <w:gridCol w:w="2064"/>
        <w:gridCol w:w="1705"/>
        <w:gridCol w:w="1683"/>
        <w:gridCol w:w="1204"/>
        <w:gridCol w:w="1419"/>
        <w:gridCol w:w="1275"/>
      </w:tblGrid>
      <w:tr w:rsidR="009E0B7D" w:rsidRPr="009E0B7D" w:rsidTr="003B6CAE">
        <w:trPr>
          <w:cnfStyle w:val="100000000000" w:firstRow="1" w:lastRow="0" w:firstColumn="0" w:lastColumn="0" w:oddVBand="0" w:evenVBand="0" w:oddHBand="0"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jc w:val="center"/>
              <w:rPr>
                <w:rFonts w:ascii="Arial" w:hAnsi="Arial" w:cs="Arial"/>
                <w:sz w:val="20"/>
                <w:szCs w:val="20"/>
                <w:lang w:val="en-GB" w:eastAsia="en-GB"/>
              </w:rPr>
            </w:pPr>
            <w:r w:rsidRPr="009E0B7D">
              <w:rPr>
                <w:rFonts w:ascii="Arial" w:hAnsi="Arial" w:cs="Arial"/>
                <w:sz w:val="20"/>
                <w:szCs w:val="20"/>
                <w:lang w:val="en-GB" w:eastAsia="en-GB"/>
              </w:rPr>
              <w:t>KREDITOR</w:t>
            </w:r>
          </w:p>
        </w:tc>
        <w:tc>
          <w:tcPr>
            <w:tcW w:w="912" w:type="pct"/>
            <w:hideMark/>
          </w:tcPr>
          <w:p w:rsidR="009E0B7D" w:rsidRPr="009E0B7D" w:rsidRDefault="009E0B7D" w:rsidP="009E0B7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ZAJMOPRIMAC</w:t>
            </w:r>
          </w:p>
        </w:tc>
        <w:tc>
          <w:tcPr>
            <w:tcW w:w="900" w:type="pct"/>
            <w:hideMark/>
          </w:tcPr>
          <w:p w:rsidR="009E0B7D" w:rsidRPr="009E0B7D" w:rsidRDefault="009E0B7D" w:rsidP="009E0B7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DATUM POTPISIVANJA</w:t>
            </w:r>
          </w:p>
        </w:tc>
        <w:tc>
          <w:tcPr>
            <w:tcW w:w="644" w:type="pct"/>
            <w:hideMark/>
          </w:tcPr>
          <w:p w:rsidR="009E0B7D" w:rsidRPr="009E0B7D" w:rsidRDefault="009E0B7D" w:rsidP="009E0B7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IZNOS (EUR)</w:t>
            </w:r>
          </w:p>
        </w:tc>
        <w:tc>
          <w:tcPr>
            <w:tcW w:w="759" w:type="pct"/>
            <w:hideMark/>
          </w:tcPr>
          <w:p w:rsidR="009E0B7D" w:rsidRPr="009E0B7D" w:rsidRDefault="009E0B7D" w:rsidP="009E0B7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Angažovani iznos u 2019</w:t>
            </w:r>
          </w:p>
        </w:tc>
        <w:tc>
          <w:tcPr>
            <w:tcW w:w="682" w:type="pct"/>
            <w:hideMark/>
          </w:tcPr>
          <w:p w:rsidR="009E0B7D" w:rsidRPr="009E0B7D" w:rsidRDefault="009E0B7D" w:rsidP="009E0B7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 xml:space="preserve">Stanje duga </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Projekat Evropskih puteva</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Monteput</w:t>
            </w: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17.05.2004.</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24,00</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24,00</w:t>
            </w:r>
          </w:p>
        </w:tc>
        <w:tc>
          <w:tcPr>
            <w:tcW w:w="682"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13,48</w:t>
            </w:r>
          </w:p>
        </w:tc>
      </w:tr>
      <w:tr w:rsidR="009E0B7D" w:rsidRPr="009E0B7D" w:rsidTr="003B6CAE">
        <w:trPr>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Rekonstrukcija elektroenergetskog sistema</w:t>
            </w:r>
          </w:p>
        </w:tc>
        <w:tc>
          <w:tcPr>
            <w:tcW w:w="912" w:type="pct"/>
            <w:hideMark/>
          </w:tcPr>
          <w:p w:rsidR="009E0B7D" w:rsidRPr="009E0B7D"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EPCG I CGES</w:t>
            </w:r>
          </w:p>
        </w:tc>
        <w:tc>
          <w:tcPr>
            <w:tcW w:w="900"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15.08.2002.</w:t>
            </w:r>
          </w:p>
        </w:tc>
        <w:tc>
          <w:tcPr>
            <w:tcW w:w="644" w:type="pct"/>
            <w:noWrap/>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GB" w:eastAsia="en-GB"/>
              </w:rPr>
            </w:pPr>
            <w:r w:rsidRPr="009E0B7D">
              <w:rPr>
                <w:rFonts w:ascii="Arial" w:hAnsi="Arial" w:cs="Arial"/>
                <w:color w:val="000000"/>
                <w:sz w:val="20"/>
                <w:szCs w:val="20"/>
                <w:lang w:val="en-GB" w:eastAsia="en-GB"/>
              </w:rPr>
              <w:t>11,00</w:t>
            </w:r>
          </w:p>
        </w:tc>
        <w:tc>
          <w:tcPr>
            <w:tcW w:w="759" w:type="pct"/>
            <w:noWrap/>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GB" w:eastAsia="en-GB"/>
              </w:rPr>
            </w:pPr>
            <w:r w:rsidRPr="009E0B7D">
              <w:rPr>
                <w:rFonts w:ascii="Arial" w:hAnsi="Arial" w:cs="Arial"/>
                <w:color w:val="000000"/>
                <w:sz w:val="20"/>
                <w:szCs w:val="20"/>
                <w:lang w:val="en-GB" w:eastAsia="en-GB"/>
              </w:rPr>
              <w:t>8,02</w:t>
            </w:r>
          </w:p>
        </w:tc>
        <w:tc>
          <w:tcPr>
            <w:tcW w:w="682" w:type="pct"/>
            <w:noWrap/>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GB" w:eastAsia="en-GB"/>
              </w:rPr>
            </w:pPr>
            <w:r w:rsidRPr="009E0B7D">
              <w:rPr>
                <w:rFonts w:ascii="Arial" w:hAnsi="Arial" w:cs="Arial"/>
                <w:color w:val="000000"/>
                <w:sz w:val="20"/>
                <w:szCs w:val="20"/>
                <w:lang w:val="en-GB" w:eastAsia="en-GB"/>
              </w:rPr>
              <w:t>2,77</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Modernizacija aerodroma</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JP Aerodromi Crne Gore</w:t>
            </w: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27.03.2004.</w:t>
            </w:r>
          </w:p>
        </w:tc>
        <w:tc>
          <w:tcPr>
            <w:tcW w:w="644" w:type="pct"/>
            <w:noWrap/>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12,00</w:t>
            </w:r>
          </w:p>
        </w:tc>
        <w:tc>
          <w:tcPr>
            <w:tcW w:w="759" w:type="pct"/>
            <w:noWrap/>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12,00</w:t>
            </w:r>
          </w:p>
        </w:tc>
        <w:tc>
          <w:tcPr>
            <w:tcW w:w="682" w:type="pct"/>
            <w:noWrap/>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5,07</w:t>
            </w:r>
          </w:p>
        </w:tc>
      </w:tr>
      <w:tr w:rsidR="009E0B7D" w:rsidRPr="009E0B7D" w:rsidTr="003B6CAE">
        <w:trPr>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Mala i srednja preduzeća preko poslovnih banaka</w:t>
            </w:r>
          </w:p>
        </w:tc>
        <w:tc>
          <w:tcPr>
            <w:tcW w:w="912" w:type="pct"/>
            <w:hideMark/>
          </w:tcPr>
          <w:p w:rsidR="009E0B7D" w:rsidRPr="009E0B7D"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Poslovne banke</w:t>
            </w:r>
          </w:p>
        </w:tc>
        <w:tc>
          <w:tcPr>
            <w:tcW w:w="900"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02.07.2009.</w:t>
            </w:r>
          </w:p>
        </w:tc>
        <w:tc>
          <w:tcPr>
            <w:tcW w:w="644"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90,00</w:t>
            </w:r>
          </w:p>
        </w:tc>
        <w:tc>
          <w:tcPr>
            <w:tcW w:w="759"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90,00</w:t>
            </w:r>
          </w:p>
        </w:tc>
        <w:tc>
          <w:tcPr>
            <w:tcW w:w="682"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7,96</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lastRenderedPageBreak/>
              <w:t>Modernizacija željezničke infrastrukture</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ZICG</w:t>
            </w: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F497D"/>
                <w:sz w:val="20"/>
                <w:szCs w:val="20"/>
                <w:lang w:val="en-GB" w:eastAsia="en-GB"/>
              </w:rPr>
            </w:pPr>
            <w:r w:rsidRPr="009E0B7D">
              <w:rPr>
                <w:rFonts w:ascii="Arial" w:hAnsi="Arial" w:cs="Arial"/>
                <w:color w:val="1F497D"/>
                <w:sz w:val="20"/>
                <w:szCs w:val="20"/>
                <w:lang w:val="en-GB" w:eastAsia="en-GB"/>
              </w:rPr>
              <w:t>03.01.2011.</w:t>
            </w:r>
          </w:p>
        </w:tc>
        <w:tc>
          <w:tcPr>
            <w:tcW w:w="644" w:type="pct"/>
            <w:noWrap/>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F497D"/>
                <w:sz w:val="20"/>
                <w:szCs w:val="20"/>
                <w:lang w:val="en-GB" w:eastAsia="en-GB"/>
              </w:rPr>
            </w:pPr>
            <w:r w:rsidRPr="009E0B7D">
              <w:rPr>
                <w:rFonts w:ascii="Arial" w:hAnsi="Arial" w:cs="Arial"/>
                <w:color w:val="1F497D"/>
                <w:sz w:val="20"/>
                <w:szCs w:val="20"/>
                <w:lang w:val="en-GB" w:eastAsia="en-GB"/>
              </w:rPr>
              <w:t>7,00</w:t>
            </w:r>
          </w:p>
        </w:tc>
        <w:tc>
          <w:tcPr>
            <w:tcW w:w="759" w:type="pct"/>
            <w:noWrap/>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F497D"/>
                <w:sz w:val="20"/>
                <w:szCs w:val="20"/>
                <w:lang w:val="en-GB" w:eastAsia="en-GB"/>
              </w:rPr>
            </w:pPr>
            <w:r w:rsidRPr="009E0B7D">
              <w:rPr>
                <w:rFonts w:ascii="Arial" w:hAnsi="Arial" w:cs="Arial"/>
                <w:color w:val="1F497D"/>
                <w:sz w:val="20"/>
                <w:szCs w:val="20"/>
                <w:lang w:val="en-GB" w:eastAsia="en-GB"/>
              </w:rPr>
              <w:t>7,00</w:t>
            </w:r>
          </w:p>
        </w:tc>
        <w:tc>
          <w:tcPr>
            <w:tcW w:w="682" w:type="pct"/>
            <w:noWrap/>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F497D"/>
                <w:sz w:val="20"/>
                <w:szCs w:val="20"/>
                <w:lang w:val="en-GB" w:eastAsia="en-GB"/>
              </w:rPr>
            </w:pPr>
            <w:r w:rsidRPr="009E0B7D">
              <w:rPr>
                <w:rFonts w:ascii="Arial" w:hAnsi="Arial" w:cs="Arial"/>
                <w:color w:val="1F497D"/>
                <w:sz w:val="20"/>
                <w:szCs w:val="20"/>
                <w:lang w:val="en-GB" w:eastAsia="en-GB"/>
              </w:rPr>
              <w:t>6,85</w:t>
            </w:r>
          </w:p>
        </w:tc>
      </w:tr>
      <w:tr w:rsidR="009E0B7D" w:rsidRPr="009E0B7D" w:rsidTr="003B6CAE">
        <w:trPr>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Rekonstrukcija željezničke infrastrukture</w:t>
            </w:r>
          </w:p>
        </w:tc>
        <w:tc>
          <w:tcPr>
            <w:tcW w:w="912" w:type="pct"/>
            <w:hideMark/>
          </w:tcPr>
          <w:p w:rsidR="009E0B7D" w:rsidRPr="009E0B7D"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ZICG</w:t>
            </w:r>
          </w:p>
        </w:tc>
        <w:tc>
          <w:tcPr>
            <w:tcW w:w="900" w:type="pct"/>
            <w:hideMark/>
          </w:tcPr>
          <w:p w:rsidR="009E0B7D" w:rsidRPr="009E0B7D" w:rsidRDefault="009E0B7D" w:rsidP="00CA17A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GB" w:eastAsia="en-GB"/>
              </w:rPr>
            </w:pPr>
            <w:r w:rsidRPr="00CA17AC">
              <w:rPr>
                <w:rFonts w:ascii="Arial" w:hAnsi="Arial" w:cs="Arial"/>
                <w:color w:val="1F497D"/>
                <w:sz w:val="20"/>
                <w:szCs w:val="20"/>
                <w:lang w:val="en-GB" w:eastAsia="en-GB"/>
              </w:rPr>
              <w:t>20</w:t>
            </w:r>
            <w:r w:rsidR="00CA17AC">
              <w:rPr>
                <w:rFonts w:ascii="Arial" w:hAnsi="Arial" w:cs="Arial"/>
                <w:color w:val="1F497D"/>
                <w:sz w:val="20"/>
                <w:szCs w:val="20"/>
                <w:lang w:val="en-GB" w:eastAsia="en-GB"/>
              </w:rPr>
              <w:t>.</w:t>
            </w:r>
            <w:r w:rsidR="00346CD4">
              <w:rPr>
                <w:rFonts w:ascii="Arial" w:hAnsi="Arial" w:cs="Arial"/>
                <w:color w:val="1F497D"/>
                <w:sz w:val="20"/>
                <w:szCs w:val="20"/>
                <w:lang w:val="en-GB" w:eastAsia="en-GB"/>
              </w:rPr>
              <w:t>3.</w:t>
            </w:r>
            <w:r w:rsidRPr="00CA17AC">
              <w:rPr>
                <w:rFonts w:ascii="Arial" w:hAnsi="Arial" w:cs="Arial"/>
                <w:color w:val="1F497D"/>
                <w:sz w:val="20"/>
                <w:szCs w:val="20"/>
                <w:lang w:val="en-GB" w:eastAsia="en-GB"/>
              </w:rPr>
              <w:t>2017</w:t>
            </w:r>
          </w:p>
        </w:tc>
        <w:tc>
          <w:tcPr>
            <w:tcW w:w="644" w:type="pct"/>
            <w:noWrap/>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20,00</w:t>
            </w:r>
          </w:p>
        </w:tc>
        <w:tc>
          <w:tcPr>
            <w:tcW w:w="759" w:type="pct"/>
            <w:noWrap/>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14,00</w:t>
            </w:r>
          </w:p>
        </w:tc>
        <w:tc>
          <w:tcPr>
            <w:tcW w:w="682" w:type="pct"/>
            <w:noWrap/>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14,00</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 xml:space="preserve">Ukupno EIB </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 </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164,00</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155,02</w:t>
            </w:r>
          </w:p>
        </w:tc>
        <w:tc>
          <w:tcPr>
            <w:tcW w:w="682" w:type="pct"/>
            <w:noWrap/>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50,12</w:t>
            </w:r>
          </w:p>
        </w:tc>
      </w:tr>
      <w:tr w:rsidR="009E0B7D" w:rsidRPr="009E0B7D" w:rsidTr="003B6CAE">
        <w:trPr>
          <w:trHeight w:val="765"/>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Projekat izgradnje regionalnog vodovoda -južni krak faza I</w:t>
            </w:r>
          </w:p>
        </w:tc>
        <w:tc>
          <w:tcPr>
            <w:tcW w:w="912" w:type="pct"/>
            <w:hideMark/>
          </w:tcPr>
          <w:p w:rsidR="009E0B7D" w:rsidRPr="009E0B7D"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JP Regionalni vodovod</w:t>
            </w:r>
          </w:p>
        </w:tc>
        <w:tc>
          <w:tcPr>
            <w:tcW w:w="900"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09.11.2007.</w:t>
            </w:r>
          </w:p>
        </w:tc>
        <w:tc>
          <w:tcPr>
            <w:tcW w:w="644"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8,00</w:t>
            </w:r>
          </w:p>
        </w:tc>
        <w:tc>
          <w:tcPr>
            <w:tcW w:w="759"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8,00</w:t>
            </w:r>
          </w:p>
        </w:tc>
        <w:tc>
          <w:tcPr>
            <w:tcW w:w="682" w:type="pct"/>
            <w:vMerge w:val="restar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4,92</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Projekat izgradnje regionalnog vodovoda -južni krak faza II</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JP Regionalni vodovod</w:t>
            </w: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16.05.2008.</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7,00</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7,00</w:t>
            </w:r>
          </w:p>
        </w:tc>
        <w:tc>
          <w:tcPr>
            <w:tcW w:w="682" w:type="pct"/>
            <w:vMerge/>
            <w:hideMark/>
          </w:tcPr>
          <w:p w:rsidR="009E0B7D" w:rsidRPr="009E0B7D" w:rsidRDefault="009E0B7D" w:rsidP="009E0B7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p>
        </w:tc>
      </w:tr>
      <w:tr w:rsidR="009E0B7D" w:rsidRPr="009E0B7D" w:rsidTr="003B6CAE">
        <w:trPr>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Projekat izgradnje regionalnog vodovoda -južni krak faza I Anex</w:t>
            </w:r>
          </w:p>
        </w:tc>
        <w:tc>
          <w:tcPr>
            <w:tcW w:w="912" w:type="pct"/>
            <w:hideMark/>
          </w:tcPr>
          <w:p w:rsidR="009E0B7D" w:rsidRPr="009E0B7D"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JP Regionalni vodovod</w:t>
            </w:r>
          </w:p>
        </w:tc>
        <w:tc>
          <w:tcPr>
            <w:tcW w:w="900"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10.07.2009</w:t>
            </w:r>
            <w:r w:rsidR="00346CD4">
              <w:rPr>
                <w:rFonts w:ascii="Arial" w:hAnsi="Arial" w:cs="Arial"/>
                <w:sz w:val="20"/>
                <w:szCs w:val="20"/>
                <w:lang w:val="en-GB" w:eastAsia="en-GB"/>
              </w:rPr>
              <w:t>.</w:t>
            </w:r>
          </w:p>
        </w:tc>
        <w:tc>
          <w:tcPr>
            <w:tcW w:w="644"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3,00</w:t>
            </w:r>
          </w:p>
        </w:tc>
        <w:tc>
          <w:tcPr>
            <w:tcW w:w="759"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3,00</w:t>
            </w:r>
          </w:p>
        </w:tc>
        <w:tc>
          <w:tcPr>
            <w:tcW w:w="682" w:type="pct"/>
            <w:vMerge/>
            <w:hideMark/>
          </w:tcPr>
          <w:p w:rsidR="009E0B7D" w:rsidRPr="009E0B7D" w:rsidRDefault="009E0B7D" w:rsidP="009E0B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Projekat obnove željezničke</w:t>
            </w:r>
            <w:r w:rsidRPr="009E0B7D">
              <w:rPr>
                <w:rFonts w:ascii="Arial" w:hAnsi="Arial" w:cs="Arial"/>
                <w:sz w:val="20"/>
                <w:szCs w:val="20"/>
                <w:lang w:val="en-GB" w:eastAsia="en-GB"/>
              </w:rPr>
              <w:br/>
              <w:t>infrastrukture - Faza III</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ZICG- III transa</w:t>
            </w: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06.04.2009.</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4,00</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4,00</w:t>
            </w:r>
          </w:p>
        </w:tc>
        <w:tc>
          <w:tcPr>
            <w:tcW w:w="682"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2,23</w:t>
            </w:r>
          </w:p>
        </w:tc>
      </w:tr>
      <w:tr w:rsidR="009E0B7D" w:rsidRPr="009E0B7D" w:rsidTr="003B6CAE">
        <w:trPr>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Projekat obnove željezničke</w:t>
            </w:r>
            <w:r w:rsidRPr="009E0B7D">
              <w:rPr>
                <w:rFonts w:ascii="Arial" w:hAnsi="Arial" w:cs="Arial"/>
                <w:sz w:val="20"/>
                <w:szCs w:val="20"/>
                <w:lang w:val="en-GB" w:eastAsia="en-GB"/>
              </w:rPr>
              <w:br/>
              <w:t>infrastrukture Faza III Anex</w:t>
            </w:r>
          </w:p>
        </w:tc>
        <w:tc>
          <w:tcPr>
            <w:tcW w:w="912" w:type="pct"/>
            <w:hideMark/>
          </w:tcPr>
          <w:p w:rsidR="009E0B7D" w:rsidRPr="009E0B7D"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ZICG</w:t>
            </w:r>
          </w:p>
        </w:tc>
        <w:tc>
          <w:tcPr>
            <w:tcW w:w="900"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12.10.2012.</w:t>
            </w:r>
          </w:p>
        </w:tc>
        <w:tc>
          <w:tcPr>
            <w:tcW w:w="644"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10,00</w:t>
            </w:r>
          </w:p>
        </w:tc>
        <w:tc>
          <w:tcPr>
            <w:tcW w:w="759"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9,86</w:t>
            </w:r>
          </w:p>
        </w:tc>
        <w:tc>
          <w:tcPr>
            <w:tcW w:w="682"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7,47</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Projekat hitne obnove</w:t>
            </w:r>
            <w:r w:rsidRPr="009E0B7D">
              <w:rPr>
                <w:rFonts w:ascii="Arial" w:hAnsi="Arial" w:cs="Arial"/>
                <w:sz w:val="20"/>
                <w:szCs w:val="20"/>
                <w:lang w:val="en-GB" w:eastAsia="en-GB"/>
              </w:rPr>
              <w:br/>
              <w:t>željezničke infrastrukture 2</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ZICG</w:t>
            </w:r>
          </w:p>
        </w:tc>
        <w:tc>
          <w:tcPr>
            <w:tcW w:w="900" w:type="pct"/>
            <w:hideMark/>
          </w:tcPr>
          <w:p w:rsidR="009E0B7D" w:rsidRPr="009E0B7D" w:rsidRDefault="009E0B7D" w:rsidP="00346C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w:t>
            </w:r>
            <w:r w:rsidR="00346CD4">
              <w:rPr>
                <w:rFonts w:ascii="Arial" w:hAnsi="Arial" w:cs="Arial"/>
                <w:sz w:val="20"/>
                <w:szCs w:val="20"/>
                <w:lang w:val="en-GB" w:eastAsia="en-GB"/>
              </w:rPr>
              <w:t>1.12.</w:t>
            </w:r>
            <w:r w:rsidRPr="009E0B7D">
              <w:rPr>
                <w:rFonts w:ascii="Arial" w:hAnsi="Arial" w:cs="Arial"/>
                <w:sz w:val="20"/>
                <w:szCs w:val="20"/>
                <w:lang w:val="en-GB" w:eastAsia="en-GB"/>
              </w:rPr>
              <w:t>009</w:t>
            </w:r>
            <w:r w:rsidR="00346CD4">
              <w:rPr>
                <w:rFonts w:ascii="Arial" w:hAnsi="Arial" w:cs="Arial"/>
                <w:sz w:val="20"/>
                <w:szCs w:val="20"/>
                <w:lang w:val="en-GB" w:eastAsia="en-GB"/>
              </w:rPr>
              <w:t>.</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15,00</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13,72</w:t>
            </w:r>
          </w:p>
        </w:tc>
        <w:tc>
          <w:tcPr>
            <w:tcW w:w="682"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6,43</w:t>
            </w:r>
          </w:p>
        </w:tc>
      </w:tr>
      <w:tr w:rsidR="009E0B7D" w:rsidRPr="009E0B7D" w:rsidTr="003B6CAE">
        <w:trPr>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Projekat nabavke</w:t>
            </w:r>
            <w:r w:rsidRPr="009E0B7D">
              <w:rPr>
                <w:rFonts w:ascii="Arial" w:hAnsi="Arial" w:cs="Arial"/>
                <w:sz w:val="20"/>
                <w:szCs w:val="20"/>
                <w:lang w:val="en-GB" w:eastAsia="en-GB"/>
              </w:rPr>
              <w:br/>
              <w:t>elektromotornih jedinica i</w:t>
            </w:r>
            <w:r w:rsidRPr="009E0B7D">
              <w:rPr>
                <w:rFonts w:ascii="Arial" w:hAnsi="Arial" w:cs="Arial"/>
                <w:sz w:val="20"/>
                <w:szCs w:val="20"/>
                <w:lang w:val="en-GB" w:eastAsia="en-GB"/>
              </w:rPr>
              <w:br/>
              <w:t>dijagnostičke opreme</w:t>
            </w:r>
          </w:p>
        </w:tc>
        <w:tc>
          <w:tcPr>
            <w:tcW w:w="912" w:type="pct"/>
            <w:hideMark/>
          </w:tcPr>
          <w:p w:rsidR="009E0B7D" w:rsidRPr="009E0B7D"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Zeljeznicki prevoz AD</w:t>
            </w:r>
          </w:p>
        </w:tc>
        <w:tc>
          <w:tcPr>
            <w:tcW w:w="900" w:type="pct"/>
            <w:hideMark/>
          </w:tcPr>
          <w:p w:rsidR="009E0B7D" w:rsidRPr="009E0B7D" w:rsidRDefault="00346CD4"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Pr>
                <w:rFonts w:ascii="Arial" w:hAnsi="Arial" w:cs="Arial"/>
                <w:sz w:val="20"/>
                <w:szCs w:val="20"/>
                <w:lang w:val="en-GB" w:eastAsia="en-GB"/>
              </w:rPr>
              <w:t>8.11.</w:t>
            </w:r>
            <w:r w:rsidR="009E0B7D" w:rsidRPr="009E0B7D">
              <w:rPr>
                <w:rFonts w:ascii="Arial" w:hAnsi="Arial" w:cs="Arial"/>
                <w:sz w:val="20"/>
                <w:szCs w:val="20"/>
                <w:lang w:val="en-GB" w:eastAsia="en-GB"/>
              </w:rPr>
              <w:t>2010</w:t>
            </w:r>
          </w:p>
        </w:tc>
        <w:tc>
          <w:tcPr>
            <w:tcW w:w="644"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13,55</w:t>
            </w:r>
          </w:p>
        </w:tc>
        <w:tc>
          <w:tcPr>
            <w:tcW w:w="759"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13,55</w:t>
            </w:r>
          </w:p>
        </w:tc>
        <w:tc>
          <w:tcPr>
            <w:tcW w:w="682"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6,92</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Kreditna linija za zaštitu depozita</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Fond za zastitu depozita</w:t>
            </w:r>
          </w:p>
        </w:tc>
        <w:tc>
          <w:tcPr>
            <w:tcW w:w="900" w:type="pct"/>
            <w:hideMark/>
          </w:tcPr>
          <w:p w:rsidR="009E0B7D" w:rsidRPr="009E0B7D" w:rsidRDefault="00346CD4"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Pr>
                <w:rFonts w:ascii="Arial" w:hAnsi="Arial" w:cs="Arial"/>
                <w:sz w:val="20"/>
                <w:szCs w:val="20"/>
                <w:lang w:val="en-GB" w:eastAsia="en-GB"/>
              </w:rPr>
              <w:t>8.11.</w:t>
            </w:r>
            <w:r w:rsidR="009E0B7D" w:rsidRPr="009E0B7D">
              <w:rPr>
                <w:rFonts w:ascii="Arial" w:hAnsi="Arial" w:cs="Arial"/>
                <w:sz w:val="20"/>
                <w:szCs w:val="20"/>
                <w:lang w:val="en-GB" w:eastAsia="en-GB"/>
              </w:rPr>
              <w:t>2010</w:t>
            </w:r>
            <w:r>
              <w:rPr>
                <w:rFonts w:ascii="Arial" w:hAnsi="Arial" w:cs="Arial"/>
                <w:sz w:val="20"/>
                <w:szCs w:val="20"/>
                <w:lang w:val="en-GB" w:eastAsia="en-GB"/>
              </w:rPr>
              <w:t>.</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30,00</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0,00</w:t>
            </w:r>
          </w:p>
        </w:tc>
        <w:tc>
          <w:tcPr>
            <w:tcW w:w="682"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0,00</w:t>
            </w:r>
          </w:p>
        </w:tc>
      </w:tr>
      <w:tr w:rsidR="009E0B7D" w:rsidRPr="009E0B7D" w:rsidTr="003B6CAE">
        <w:trPr>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Pljevlja Interkonektivni kabal</w:t>
            </w:r>
          </w:p>
        </w:tc>
        <w:tc>
          <w:tcPr>
            <w:tcW w:w="912" w:type="pct"/>
            <w:vMerge w:val="restart"/>
            <w:hideMark/>
          </w:tcPr>
          <w:p w:rsidR="009E0B7D" w:rsidRPr="009E0B7D"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CGES</w:t>
            </w:r>
          </w:p>
        </w:tc>
        <w:tc>
          <w:tcPr>
            <w:tcW w:w="900"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09.06.2014.</w:t>
            </w:r>
          </w:p>
        </w:tc>
        <w:tc>
          <w:tcPr>
            <w:tcW w:w="644"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20,00</w:t>
            </w:r>
          </w:p>
        </w:tc>
        <w:tc>
          <w:tcPr>
            <w:tcW w:w="759"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50,53</w:t>
            </w:r>
          </w:p>
        </w:tc>
        <w:tc>
          <w:tcPr>
            <w:tcW w:w="682"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40,80</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Postavljanje visoko naponskog kabla između Tivta i Pljevalja</w:t>
            </w:r>
          </w:p>
        </w:tc>
        <w:tc>
          <w:tcPr>
            <w:tcW w:w="912" w:type="pct"/>
            <w:vMerge/>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30.12.2015.</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40,00</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0,00</w:t>
            </w:r>
          </w:p>
        </w:tc>
        <w:tc>
          <w:tcPr>
            <w:tcW w:w="682"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0,00</w:t>
            </w:r>
          </w:p>
        </w:tc>
      </w:tr>
      <w:tr w:rsidR="009E0B7D" w:rsidRPr="009E0B7D" w:rsidTr="003B6CAE">
        <w:trPr>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Projekat izgradnje regionalnog vodovoda -južni krak faza I</w:t>
            </w:r>
          </w:p>
        </w:tc>
        <w:tc>
          <w:tcPr>
            <w:tcW w:w="912" w:type="pct"/>
            <w:hideMark/>
          </w:tcPr>
          <w:p w:rsidR="009E0B7D" w:rsidRPr="009E0B7D"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JP Regionalni vodovod</w:t>
            </w:r>
          </w:p>
        </w:tc>
        <w:tc>
          <w:tcPr>
            <w:tcW w:w="900"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26/12/2019</w:t>
            </w:r>
          </w:p>
        </w:tc>
        <w:tc>
          <w:tcPr>
            <w:tcW w:w="644"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12,00</w:t>
            </w:r>
          </w:p>
        </w:tc>
        <w:tc>
          <w:tcPr>
            <w:tcW w:w="759"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0,00</w:t>
            </w:r>
          </w:p>
        </w:tc>
        <w:tc>
          <w:tcPr>
            <w:tcW w:w="682"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0,00</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Ukupno EBRD</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 </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162,55</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109,67</w:t>
            </w:r>
          </w:p>
        </w:tc>
        <w:tc>
          <w:tcPr>
            <w:tcW w:w="682"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68,76</w:t>
            </w:r>
          </w:p>
        </w:tc>
      </w:tr>
      <w:tr w:rsidR="009E0B7D" w:rsidRPr="009E0B7D" w:rsidTr="003B6CAE">
        <w:trPr>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EPCG - Piva</w:t>
            </w:r>
          </w:p>
        </w:tc>
        <w:tc>
          <w:tcPr>
            <w:tcW w:w="912" w:type="pct"/>
            <w:hideMark/>
          </w:tcPr>
          <w:p w:rsidR="009E0B7D" w:rsidRPr="003E6B68"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3E6B68">
              <w:rPr>
                <w:rFonts w:ascii="Arial" w:hAnsi="Arial" w:cs="Arial"/>
                <w:sz w:val="20"/>
                <w:szCs w:val="20"/>
                <w:lang w:val="en-GB" w:eastAsia="en-GB"/>
              </w:rPr>
              <w:t>EPCG</w:t>
            </w:r>
          </w:p>
        </w:tc>
        <w:tc>
          <w:tcPr>
            <w:tcW w:w="900"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28.12.2007.</w:t>
            </w:r>
          </w:p>
        </w:tc>
        <w:tc>
          <w:tcPr>
            <w:tcW w:w="644"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16,00</w:t>
            </w:r>
          </w:p>
        </w:tc>
        <w:tc>
          <w:tcPr>
            <w:tcW w:w="759"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10,18</w:t>
            </w:r>
          </w:p>
        </w:tc>
        <w:tc>
          <w:tcPr>
            <w:tcW w:w="682"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0,18</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EPCG - trafo stanica</w:t>
            </w:r>
            <w:r w:rsidRPr="009E0B7D">
              <w:rPr>
                <w:rFonts w:ascii="Arial" w:hAnsi="Arial" w:cs="Arial"/>
                <w:sz w:val="20"/>
                <w:szCs w:val="20"/>
                <w:lang w:val="en-GB" w:eastAsia="en-GB"/>
              </w:rPr>
              <w:br/>
              <w:t>Podgorica-Ribarevine</w:t>
            </w:r>
          </w:p>
        </w:tc>
        <w:tc>
          <w:tcPr>
            <w:tcW w:w="912" w:type="pct"/>
            <w:hideMark/>
          </w:tcPr>
          <w:p w:rsidR="009E0B7D" w:rsidRPr="003E6B68"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3E6B68">
              <w:rPr>
                <w:rFonts w:ascii="Arial" w:hAnsi="Arial" w:cs="Arial"/>
                <w:sz w:val="20"/>
                <w:szCs w:val="20"/>
                <w:lang w:val="en-GB" w:eastAsia="en-GB"/>
              </w:rPr>
              <w:t>EPCG I CGES</w:t>
            </w: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20.07.2007.</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5,40</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4,79</w:t>
            </w:r>
          </w:p>
        </w:tc>
        <w:tc>
          <w:tcPr>
            <w:tcW w:w="682"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0,00</w:t>
            </w:r>
          </w:p>
        </w:tc>
      </w:tr>
      <w:tr w:rsidR="009E0B7D" w:rsidRPr="009E0B7D" w:rsidTr="003B6CAE">
        <w:trPr>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EPCG - Zamjena filtera u TE</w:t>
            </w:r>
            <w:r w:rsidRPr="009E0B7D">
              <w:rPr>
                <w:rFonts w:ascii="Arial" w:hAnsi="Arial" w:cs="Arial"/>
                <w:sz w:val="20"/>
                <w:szCs w:val="20"/>
                <w:lang w:val="en-GB" w:eastAsia="en-GB"/>
              </w:rPr>
              <w:br/>
            </w:r>
            <w:r w:rsidRPr="009E0B7D">
              <w:rPr>
                <w:rFonts w:ascii="Arial" w:hAnsi="Arial" w:cs="Arial"/>
                <w:sz w:val="20"/>
                <w:szCs w:val="20"/>
                <w:lang w:val="en-GB" w:eastAsia="en-GB"/>
              </w:rPr>
              <w:lastRenderedPageBreak/>
              <w:t>Pljevlja i proširenje trafo stanica</w:t>
            </w:r>
            <w:r w:rsidRPr="009E0B7D">
              <w:rPr>
                <w:rFonts w:ascii="Arial" w:hAnsi="Arial" w:cs="Arial"/>
                <w:sz w:val="20"/>
                <w:szCs w:val="20"/>
                <w:lang w:val="en-GB" w:eastAsia="en-GB"/>
              </w:rPr>
              <w:br/>
              <w:t>Podgorica-Ribarevine</w:t>
            </w:r>
          </w:p>
        </w:tc>
        <w:tc>
          <w:tcPr>
            <w:tcW w:w="912" w:type="pct"/>
            <w:hideMark/>
          </w:tcPr>
          <w:p w:rsidR="009E0B7D" w:rsidRPr="003E6B68"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3E6B68">
              <w:rPr>
                <w:rFonts w:ascii="Arial" w:hAnsi="Arial" w:cs="Arial"/>
                <w:sz w:val="20"/>
                <w:szCs w:val="20"/>
                <w:lang w:val="en-GB" w:eastAsia="en-GB"/>
              </w:rPr>
              <w:lastRenderedPageBreak/>
              <w:t>EPCG I CGES</w:t>
            </w:r>
          </w:p>
        </w:tc>
        <w:tc>
          <w:tcPr>
            <w:tcW w:w="900"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11.12.2008.</w:t>
            </w:r>
          </w:p>
        </w:tc>
        <w:tc>
          <w:tcPr>
            <w:tcW w:w="644"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15,00</w:t>
            </w:r>
          </w:p>
        </w:tc>
        <w:tc>
          <w:tcPr>
            <w:tcW w:w="759"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14,81</w:t>
            </w:r>
          </w:p>
        </w:tc>
        <w:tc>
          <w:tcPr>
            <w:tcW w:w="682"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5,06</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lastRenderedPageBreak/>
              <w:t>Interkonektivni kabal</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CGES</w:t>
            </w: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08.05.2013.</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25,00</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22,43</w:t>
            </w:r>
          </w:p>
        </w:tc>
        <w:tc>
          <w:tcPr>
            <w:tcW w:w="682"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12,71</w:t>
            </w:r>
          </w:p>
        </w:tc>
      </w:tr>
      <w:tr w:rsidR="009E0B7D" w:rsidRPr="009E0B7D" w:rsidTr="003B6CAE">
        <w:trPr>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Interkonektivni kabal- Luštica</w:t>
            </w:r>
          </w:p>
        </w:tc>
        <w:tc>
          <w:tcPr>
            <w:tcW w:w="912" w:type="pct"/>
            <w:hideMark/>
          </w:tcPr>
          <w:p w:rsidR="009E0B7D" w:rsidRPr="009E0B7D"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CGES</w:t>
            </w:r>
          </w:p>
        </w:tc>
        <w:tc>
          <w:tcPr>
            <w:tcW w:w="900"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26.12.2018</w:t>
            </w:r>
          </w:p>
        </w:tc>
        <w:tc>
          <w:tcPr>
            <w:tcW w:w="644"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20,00</w:t>
            </w:r>
          </w:p>
        </w:tc>
        <w:tc>
          <w:tcPr>
            <w:tcW w:w="759"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0,00</w:t>
            </w:r>
          </w:p>
        </w:tc>
        <w:tc>
          <w:tcPr>
            <w:tcW w:w="682"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0,00</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Rekonsutrukcija HE Perućica faza II</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EPCG</w:t>
            </w: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11/10/2019</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33,00</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0,00</w:t>
            </w:r>
          </w:p>
        </w:tc>
        <w:tc>
          <w:tcPr>
            <w:tcW w:w="682"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0,00</w:t>
            </w:r>
          </w:p>
        </w:tc>
      </w:tr>
      <w:tr w:rsidR="009E0B7D" w:rsidRPr="009E0B7D" w:rsidTr="003B6CAE">
        <w:trPr>
          <w:trHeight w:val="30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Ukupno KfW</w:t>
            </w:r>
          </w:p>
        </w:tc>
        <w:tc>
          <w:tcPr>
            <w:tcW w:w="912" w:type="pct"/>
            <w:hideMark/>
          </w:tcPr>
          <w:p w:rsidR="009E0B7D" w:rsidRPr="009E0B7D"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eastAsia="en-GB"/>
              </w:rPr>
            </w:pPr>
          </w:p>
        </w:tc>
        <w:tc>
          <w:tcPr>
            <w:tcW w:w="900"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 </w:t>
            </w:r>
          </w:p>
        </w:tc>
        <w:tc>
          <w:tcPr>
            <w:tcW w:w="644"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114,40</w:t>
            </w:r>
          </w:p>
        </w:tc>
        <w:tc>
          <w:tcPr>
            <w:tcW w:w="759"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52,21</w:t>
            </w:r>
          </w:p>
        </w:tc>
        <w:tc>
          <w:tcPr>
            <w:tcW w:w="682"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17,95</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Nabavka i remont brodova</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Crnogorska plovidba</w:t>
            </w: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F497D"/>
                <w:sz w:val="20"/>
                <w:szCs w:val="20"/>
                <w:lang w:val="en-GB" w:eastAsia="en-GB"/>
              </w:rPr>
            </w:pPr>
            <w:r w:rsidRPr="009E0B7D">
              <w:rPr>
                <w:rFonts w:ascii="Arial" w:hAnsi="Arial" w:cs="Arial"/>
                <w:color w:val="1F497D"/>
                <w:sz w:val="20"/>
                <w:szCs w:val="20"/>
                <w:lang w:val="en-GB" w:eastAsia="en-GB"/>
              </w:rPr>
              <w:t>26.01.2010.</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42,36</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42,36</w:t>
            </w:r>
          </w:p>
        </w:tc>
        <w:tc>
          <w:tcPr>
            <w:tcW w:w="682"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23,30</w:t>
            </w:r>
          </w:p>
        </w:tc>
      </w:tr>
      <w:tr w:rsidR="009E0B7D" w:rsidRPr="009E0B7D" w:rsidTr="003B6CAE">
        <w:trPr>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Nabavka i remont brodova</w:t>
            </w:r>
          </w:p>
        </w:tc>
        <w:tc>
          <w:tcPr>
            <w:tcW w:w="912" w:type="pct"/>
            <w:hideMark/>
          </w:tcPr>
          <w:p w:rsidR="009E0B7D" w:rsidRPr="009E0B7D"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Barska plovidba</w:t>
            </w:r>
          </w:p>
        </w:tc>
        <w:tc>
          <w:tcPr>
            <w:tcW w:w="900"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29.01.2013.</w:t>
            </w:r>
          </w:p>
        </w:tc>
        <w:tc>
          <w:tcPr>
            <w:tcW w:w="644"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41,47</w:t>
            </w:r>
          </w:p>
        </w:tc>
        <w:tc>
          <w:tcPr>
            <w:tcW w:w="759"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41,47</w:t>
            </w:r>
          </w:p>
        </w:tc>
        <w:tc>
          <w:tcPr>
            <w:tcW w:w="682"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37,32</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Ukupno EXIM</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 </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83,83</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83,83</w:t>
            </w:r>
          </w:p>
        </w:tc>
        <w:tc>
          <w:tcPr>
            <w:tcW w:w="682"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60,62</w:t>
            </w:r>
          </w:p>
        </w:tc>
      </w:tr>
      <w:tr w:rsidR="009E0B7D" w:rsidRPr="009E0B7D" w:rsidTr="003B6CAE">
        <w:trPr>
          <w:trHeight w:val="51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Završetak pruge Podgorica - Nikšić</w:t>
            </w:r>
          </w:p>
        </w:tc>
        <w:tc>
          <w:tcPr>
            <w:tcW w:w="912" w:type="pct"/>
            <w:hideMark/>
          </w:tcPr>
          <w:p w:rsidR="009E0B7D" w:rsidRPr="009E0B7D" w:rsidRDefault="009E0B7D" w:rsidP="003B6C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ZICG</w:t>
            </w:r>
          </w:p>
        </w:tc>
        <w:tc>
          <w:tcPr>
            <w:tcW w:w="900"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12.12.2011.</w:t>
            </w:r>
          </w:p>
        </w:tc>
        <w:tc>
          <w:tcPr>
            <w:tcW w:w="644"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5,00</w:t>
            </w:r>
          </w:p>
        </w:tc>
        <w:tc>
          <w:tcPr>
            <w:tcW w:w="759"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4,98</w:t>
            </w:r>
          </w:p>
        </w:tc>
        <w:tc>
          <w:tcPr>
            <w:tcW w:w="682" w:type="pct"/>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en-GB"/>
              </w:rPr>
            </w:pPr>
            <w:r w:rsidRPr="009E0B7D">
              <w:rPr>
                <w:rFonts w:ascii="Arial" w:hAnsi="Arial" w:cs="Arial"/>
                <w:sz w:val="20"/>
                <w:szCs w:val="20"/>
                <w:lang w:val="en-GB" w:eastAsia="en-GB"/>
              </w:rPr>
              <w:t>1,49</w:t>
            </w:r>
          </w:p>
        </w:tc>
      </w:tr>
      <w:tr w:rsidR="009E0B7D" w:rsidRPr="009E0B7D" w:rsidTr="003B6CAE">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 xml:space="preserve">Ukupno Ceska eksportna banka </w:t>
            </w:r>
          </w:p>
        </w:tc>
        <w:tc>
          <w:tcPr>
            <w:tcW w:w="912" w:type="pct"/>
            <w:hideMark/>
          </w:tcPr>
          <w:p w:rsidR="009E0B7D" w:rsidRPr="009E0B7D" w:rsidRDefault="009E0B7D" w:rsidP="003B6CA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p>
        </w:tc>
        <w:tc>
          <w:tcPr>
            <w:tcW w:w="900"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 </w:t>
            </w:r>
          </w:p>
        </w:tc>
        <w:tc>
          <w:tcPr>
            <w:tcW w:w="644"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5,00</w:t>
            </w:r>
          </w:p>
        </w:tc>
        <w:tc>
          <w:tcPr>
            <w:tcW w:w="759"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4,98</w:t>
            </w:r>
          </w:p>
        </w:tc>
        <w:tc>
          <w:tcPr>
            <w:tcW w:w="682" w:type="pct"/>
            <w:hideMark/>
          </w:tcPr>
          <w:p w:rsidR="009E0B7D" w:rsidRPr="009E0B7D" w:rsidRDefault="009E0B7D" w:rsidP="009E0B7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1,49</w:t>
            </w:r>
          </w:p>
        </w:tc>
      </w:tr>
      <w:tr w:rsidR="009E0B7D" w:rsidRPr="009E0B7D" w:rsidTr="003B6CAE">
        <w:trPr>
          <w:trHeight w:val="480"/>
          <w:jc w:val="center"/>
        </w:trPr>
        <w:tc>
          <w:tcPr>
            <w:cnfStyle w:val="001000000000" w:firstRow="0" w:lastRow="0" w:firstColumn="1" w:lastColumn="0" w:oddVBand="0" w:evenVBand="0" w:oddHBand="0" w:evenHBand="0" w:firstRowFirstColumn="0" w:firstRowLastColumn="0" w:lastRowFirstColumn="0" w:lastRowLastColumn="0"/>
            <w:tcW w:w="1103" w:type="pct"/>
            <w:hideMark/>
          </w:tcPr>
          <w:p w:rsidR="009E0B7D" w:rsidRDefault="009E0B7D" w:rsidP="009E0B7D">
            <w:pPr>
              <w:rPr>
                <w:rFonts w:ascii="Arial" w:hAnsi="Arial" w:cs="Arial"/>
                <w:sz w:val="20"/>
                <w:szCs w:val="20"/>
                <w:lang w:val="en-GB" w:eastAsia="en-GB"/>
              </w:rPr>
            </w:pPr>
          </w:p>
          <w:p w:rsidR="009E0B7D" w:rsidRPr="009E0B7D" w:rsidRDefault="009E0B7D" w:rsidP="009E0B7D">
            <w:pPr>
              <w:rPr>
                <w:rFonts w:ascii="Arial" w:hAnsi="Arial" w:cs="Arial"/>
                <w:sz w:val="20"/>
                <w:szCs w:val="20"/>
                <w:lang w:val="en-GB" w:eastAsia="en-GB"/>
              </w:rPr>
            </w:pPr>
            <w:r w:rsidRPr="009E0B7D">
              <w:rPr>
                <w:rFonts w:ascii="Arial" w:hAnsi="Arial" w:cs="Arial"/>
                <w:sz w:val="20"/>
                <w:szCs w:val="20"/>
                <w:lang w:val="en-GB" w:eastAsia="en-GB"/>
              </w:rPr>
              <w:t>UKUPNO</w:t>
            </w:r>
          </w:p>
        </w:tc>
        <w:tc>
          <w:tcPr>
            <w:tcW w:w="912" w:type="pct"/>
            <w:noWrap/>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 </w:t>
            </w:r>
          </w:p>
        </w:tc>
        <w:tc>
          <w:tcPr>
            <w:tcW w:w="900" w:type="pct"/>
            <w:noWrap/>
            <w:hideMark/>
          </w:tcPr>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 </w:t>
            </w:r>
          </w:p>
        </w:tc>
        <w:tc>
          <w:tcPr>
            <w:tcW w:w="644" w:type="pct"/>
            <w:noWrap/>
            <w:hideMark/>
          </w:tcPr>
          <w:p w:rsid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eastAsia="en-GB"/>
              </w:rPr>
            </w:pPr>
          </w:p>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529,78</w:t>
            </w:r>
          </w:p>
        </w:tc>
        <w:tc>
          <w:tcPr>
            <w:tcW w:w="759" w:type="pct"/>
            <w:noWrap/>
            <w:hideMark/>
          </w:tcPr>
          <w:p w:rsid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eastAsia="en-GB"/>
              </w:rPr>
            </w:pPr>
          </w:p>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405,71</w:t>
            </w:r>
          </w:p>
        </w:tc>
        <w:tc>
          <w:tcPr>
            <w:tcW w:w="682" w:type="pct"/>
            <w:noWrap/>
            <w:hideMark/>
          </w:tcPr>
          <w:p w:rsid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eastAsia="en-GB"/>
              </w:rPr>
            </w:pPr>
          </w:p>
          <w:p w:rsidR="009E0B7D" w:rsidRPr="009E0B7D" w:rsidRDefault="009E0B7D" w:rsidP="009E0B7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eastAsia="en-GB"/>
              </w:rPr>
            </w:pPr>
            <w:r w:rsidRPr="009E0B7D">
              <w:rPr>
                <w:rFonts w:ascii="Arial" w:hAnsi="Arial" w:cs="Arial"/>
                <w:b/>
                <w:bCs/>
                <w:sz w:val="20"/>
                <w:szCs w:val="20"/>
                <w:lang w:val="en-GB" w:eastAsia="en-GB"/>
              </w:rPr>
              <w:t>198,95</w:t>
            </w:r>
          </w:p>
        </w:tc>
      </w:tr>
    </w:tbl>
    <w:p w:rsidR="009E0B7D" w:rsidRDefault="009E0B7D" w:rsidP="009E0B7D">
      <w:pPr>
        <w:spacing w:after="160"/>
        <w:rPr>
          <w:rFonts w:ascii="Cambria" w:hAnsi="Cambria"/>
          <w:b/>
          <w:color w:val="418AB3"/>
          <w:sz w:val="20"/>
          <w:szCs w:val="20"/>
          <w:lang w:val="sr-Latn-ME" w:eastAsia="en-US"/>
        </w:rPr>
      </w:pPr>
    </w:p>
    <w:p w:rsidR="009E0B7D" w:rsidRDefault="009E0B7D" w:rsidP="009E0B7D">
      <w:pPr>
        <w:spacing w:after="160"/>
        <w:rPr>
          <w:rFonts w:ascii="Cambria" w:hAnsi="Cambria"/>
          <w:b/>
          <w:color w:val="418AB3"/>
          <w:sz w:val="20"/>
          <w:szCs w:val="20"/>
          <w:lang w:val="sr-Latn-ME" w:eastAsia="en-US"/>
        </w:rPr>
      </w:pPr>
    </w:p>
    <w:p w:rsidR="00773897" w:rsidRPr="00773897" w:rsidRDefault="00773897" w:rsidP="00773897">
      <w:pPr>
        <w:keepNext/>
        <w:keepLines/>
        <w:spacing w:before="40" w:line="259" w:lineRule="auto"/>
        <w:outlineLvl w:val="2"/>
        <w:rPr>
          <w:rFonts w:ascii="Cambria" w:hAnsi="Cambria"/>
          <w:b/>
          <w:color w:val="418AB3"/>
          <w:sz w:val="22"/>
          <w:szCs w:val="22"/>
          <w:lang w:val="sr-Latn-ME" w:eastAsia="en-US"/>
        </w:rPr>
      </w:pPr>
      <w:bookmarkStart w:id="39" w:name="_Toc41286666"/>
      <w:r w:rsidRPr="00773897">
        <w:rPr>
          <w:rFonts w:ascii="Cambria" w:hAnsi="Cambria"/>
          <w:b/>
          <w:color w:val="418AB3"/>
          <w:sz w:val="22"/>
          <w:szCs w:val="22"/>
          <w:lang w:val="sr-Latn-ME" w:eastAsia="en-US"/>
        </w:rPr>
        <w:t>5.2 Domaće garancije</w:t>
      </w:r>
      <w:bookmarkEnd w:id="39"/>
    </w:p>
    <w:p w:rsidR="00773897" w:rsidRPr="00773897" w:rsidRDefault="00773897" w:rsidP="00773897">
      <w:pPr>
        <w:keepNext/>
        <w:keepLines/>
        <w:spacing w:before="40" w:line="259" w:lineRule="auto"/>
        <w:outlineLvl w:val="2"/>
        <w:rPr>
          <w:rFonts w:ascii="Cambria" w:hAnsi="Cambria"/>
          <w:b/>
          <w:color w:val="418AB3"/>
          <w:sz w:val="22"/>
          <w:szCs w:val="22"/>
          <w:lang w:val="sr-Latn-ME" w:eastAsia="en-US"/>
        </w:rPr>
      </w:pPr>
    </w:p>
    <w:p w:rsidR="008A434D" w:rsidRPr="00773897" w:rsidRDefault="00773897" w:rsidP="00AA0BC4">
      <w:pPr>
        <w:spacing w:after="160" w:line="259" w:lineRule="auto"/>
        <w:jc w:val="both"/>
        <w:rPr>
          <w:rFonts w:ascii="Cambria" w:hAnsi="Cambria"/>
          <w:b/>
          <w:color w:val="418AB3"/>
          <w:sz w:val="22"/>
          <w:szCs w:val="22"/>
          <w:lang w:val="sr-Latn-ME" w:eastAsia="en-US"/>
        </w:rPr>
      </w:pPr>
      <w:r w:rsidRPr="00773897">
        <w:rPr>
          <w:rFonts w:ascii="Cambria" w:eastAsia="Calibri" w:hAnsi="Cambria"/>
          <w:sz w:val="22"/>
          <w:szCs w:val="22"/>
          <w:lang w:val="sr-Latn-ME" w:eastAsia="en-US"/>
        </w:rPr>
        <w:t xml:space="preserve">Angažovani iznos garancija koje je Vlada Crne Gore izdala za zajmove kod domaćih kreditora iznosi oko 72,06 miliona eura, dok je stanje duga po istim na kraju 2019. godine 45,35 miliona eura </w:t>
      </w:r>
      <w:r w:rsidRPr="00E8701F">
        <w:rPr>
          <w:rFonts w:ascii="Cambria" w:eastAsia="Calibri" w:hAnsi="Cambria"/>
          <w:sz w:val="22"/>
          <w:szCs w:val="22"/>
          <w:lang w:val="sr-Latn-ME" w:eastAsia="en-US"/>
        </w:rPr>
        <w:t>ili 0,92% BDP-a.</w:t>
      </w:r>
    </w:p>
    <w:p w:rsidR="007E1A35" w:rsidRPr="007E1A35" w:rsidRDefault="00773897" w:rsidP="00AA0BC4">
      <w:pPr>
        <w:spacing w:after="160"/>
        <w:rPr>
          <w:rFonts w:ascii="Cambria" w:hAnsi="Cambria"/>
          <w:b/>
          <w:color w:val="418AB3"/>
          <w:sz w:val="20"/>
          <w:szCs w:val="20"/>
          <w:lang w:val="sr-Latn-ME" w:eastAsia="en-US"/>
        </w:rPr>
      </w:pPr>
      <w:bookmarkStart w:id="40" w:name="_Toc41286673"/>
      <w:r w:rsidRPr="00773897">
        <w:rPr>
          <w:rFonts w:ascii="Cambria" w:hAnsi="Cambria"/>
          <w:b/>
          <w:color w:val="418AB3"/>
          <w:sz w:val="20"/>
          <w:szCs w:val="20"/>
          <w:lang w:val="sr-Latn-ME" w:eastAsia="en-US"/>
        </w:rPr>
        <w:t xml:space="preserve">Tabela </w:t>
      </w:r>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SEQ Table \* ARABIC </w:instrText>
      </w:r>
      <w:r w:rsidRPr="00773897">
        <w:rPr>
          <w:rFonts w:ascii="Cambria" w:hAnsi="Cambria"/>
          <w:b/>
          <w:color w:val="418AB3"/>
          <w:sz w:val="20"/>
          <w:szCs w:val="20"/>
          <w:lang w:val="sr-Latn-ME" w:eastAsia="en-US"/>
        </w:rPr>
        <w:fldChar w:fldCharType="separate"/>
      </w:r>
      <w:r w:rsidR="00250EF7">
        <w:rPr>
          <w:rFonts w:ascii="Cambria" w:hAnsi="Cambria"/>
          <w:b/>
          <w:noProof/>
          <w:color w:val="418AB3"/>
          <w:sz w:val="20"/>
          <w:szCs w:val="20"/>
          <w:lang w:val="sr-Latn-ME" w:eastAsia="en-US"/>
        </w:rPr>
        <w:t>7</w:t>
      </w:r>
      <w:r w:rsidRPr="00773897">
        <w:rPr>
          <w:rFonts w:ascii="Cambria" w:hAnsi="Cambria"/>
          <w:b/>
          <w:color w:val="418AB3"/>
          <w:sz w:val="20"/>
          <w:szCs w:val="20"/>
          <w:lang w:val="sr-Latn-ME" w:eastAsia="en-US"/>
        </w:rPr>
        <w:fldChar w:fldCharType="end"/>
      </w:r>
      <w:r w:rsidRPr="00773897">
        <w:rPr>
          <w:rFonts w:ascii="Cambria" w:hAnsi="Cambria"/>
          <w:b/>
          <w:color w:val="418AB3"/>
          <w:sz w:val="20"/>
          <w:szCs w:val="20"/>
          <w:lang w:val="sr-Latn-ME" w:eastAsia="en-US"/>
        </w:rPr>
        <w:t xml:space="preserve"> Domaće garancije u mil.eura</w:t>
      </w:r>
      <w:bookmarkEnd w:id="40"/>
      <w:r w:rsidRPr="00773897">
        <w:rPr>
          <w:rFonts w:ascii="Cambria" w:hAnsi="Cambria"/>
          <w:b/>
          <w:color w:val="418AB3"/>
          <w:sz w:val="20"/>
          <w:szCs w:val="20"/>
          <w:lang w:val="sr-Latn-ME" w:eastAsia="en-US"/>
        </w:rPr>
        <w:fldChar w:fldCharType="begin"/>
      </w:r>
      <w:r w:rsidRPr="00773897">
        <w:rPr>
          <w:rFonts w:ascii="Cambria" w:hAnsi="Cambria"/>
          <w:b/>
          <w:color w:val="418AB3"/>
          <w:sz w:val="20"/>
          <w:szCs w:val="20"/>
          <w:lang w:val="sr-Latn-ME" w:eastAsia="en-US"/>
        </w:rPr>
        <w:instrText xml:space="preserve"> LINK </w:instrText>
      </w:r>
      <w:r w:rsidR="007E1A35">
        <w:rPr>
          <w:rFonts w:ascii="Cambria" w:hAnsi="Cambria"/>
          <w:b/>
          <w:color w:val="418AB3"/>
          <w:sz w:val="20"/>
          <w:szCs w:val="20"/>
          <w:lang w:val="sr-Latn-ME" w:eastAsia="en-US"/>
        </w:rPr>
        <w:instrText xml:space="preserve">Excel.Sheet.12 "C:\\Users\\Bojan\\Desktop\\New folder (2)\\Grafici za javni dug 4817.xlsx" "garancije domace!R2C11:R21C16" </w:instrText>
      </w:r>
      <w:r w:rsidRPr="00773897">
        <w:rPr>
          <w:rFonts w:ascii="Cambria" w:hAnsi="Cambria"/>
          <w:b/>
          <w:color w:val="418AB3"/>
          <w:sz w:val="20"/>
          <w:szCs w:val="20"/>
          <w:lang w:val="sr-Latn-ME" w:eastAsia="en-US"/>
        </w:rPr>
        <w:instrText xml:space="preserve">\a \f 4 \h  \* MERGEFORMAT </w:instrText>
      </w:r>
      <w:r w:rsidRPr="00773897">
        <w:rPr>
          <w:rFonts w:ascii="Cambria" w:hAnsi="Cambria"/>
          <w:b/>
          <w:color w:val="418AB3"/>
          <w:sz w:val="20"/>
          <w:szCs w:val="20"/>
          <w:lang w:val="sr-Latn-ME" w:eastAsia="en-US"/>
        </w:rPr>
        <w:fldChar w:fldCharType="separate"/>
      </w:r>
    </w:p>
    <w:tbl>
      <w:tblPr>
        <w:tblStyle w:val="GridTable6Colorful-Accent113"/>
        <w:tblW w:w="9506" w:type="dxa"/>
        <w:tblLook w:val="04A0" w:firstRow="1" w:lastRow="0" w:firstColumn="1" w:lastColumn="0" w:noHBand="0" w:noVBand="1"/>
      </w:tblPr>
      <w:tblGrid>
        <w:gridCol w:w="2693"/>
        <w:gridCol w:w="1968"/>
        <w:gridCol w:w="1498"/>
        <w:gridCol w:w="1157"/>
        <w:gridCol w:w="1287"/>
        <w:gridCol w:w="903"/>
      </w:tblGrid>
      <w:tr w:rsidR="007E1A35" w:rsidRPr="007E1A35" w:rsidTr="007E1A35">
        <w:trPr>
          <w:cnfStyle w:val="100000000000" w:firstRow="1" w:lastRow="0" w:firstColumn="0" w:lastColumn="0" w:oddVBand="0" w:evenVBand="0" w:oddHBand="0" w:evenHBand="0" w:firstRowFirstColumn="0" w:firstRowLastColumn="0" w:lastRowFirstColumn="0" w:lastRowLastColumn="0"/>
          <w:divId w:val="951203463"/>
          <w:trHeight w:val="345"/>
        </w:trPr>
        <w:tc>
          <w:tcPr>
            <w:cnfStyle w:val="001000000000" w:firstRow="0" w:lastRow="0" w:firstColumn="1" w:lastColumn="0" w:oddVBand="0" w:evenVBand="0" w:oddHBand="0" w:evenHBand="0" w:firstRowFirstColumn="0" w:firstRowLastColumn="0" w:lastRowFirstColumn="0" w:lastRowLastColumn="0"/>
            <w:tcW w:w="2693" w:type="dxa"/>
            <w:hideMark/>
          </w:tcPr>
          <w:p w:rsidR="007E1A35" w:rsidRPr="007E1A35" w:rsidRDefault="007E1A35" w:rsidP="007E1A35">
            <w:pPr>
              <w:jc w:val="center"/>
              <w:rPr>
                <w:rFonts w:ascii="Calibri" w:hAnsi="Calibri"/>
                <w:sz w:val="20"/>
                <w:szCs w:val="20"/>
                <w:lang w:val="sr-Latn-ME" w:eastAsia="en-US"/>
              </w:rPr>
            </w:pPr>
            <w:r w:rsidRPr="007E1A35">
              <w:rPr>
                <w:rFonts w:ascii="Calibri" w:hAnsi="Calibri"/>
                <w:sz w:val="20"/>
                <w:szCs w:val="20"/>
                <w:lang w:val="sr-Latn-ME" w:eastAsia="en-US"/>
              </w:rPr>
              <w:t>Kreditor/ Namjena</w:t>
            </w:r>
          </w:p>
        </w:tc>
        <w:tc>
          <w:tcPr>
            <w:tcW w:w="1697" w:type="dxa"/>
            <w:hideMark/>
          </w:tcPr>
          <w:p w:rsidR="007E1A35" w:rsidRPr="007E1A35" w:rsidRDefault="007E1A35" w:rsidP="007E1A35">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Zajmoprimac</w:t>
            </w:r>
          </w:p>
        </w:tc>
        <w:tc>
          <w:tcPr>
            <w:tcW w:w="1638" w:type="dxa"/>
            <w:hideMark/>
          </w:tcPr>
          <w:p w:rsidR="007E1A35" w:rsidRPr="007E1A35" w:rsidRDefault="007E1A35" w:rsidP="007E1A35">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Datum potpisivanja</w:t>
            </w:r>
          </w:p>
        </w:tc>
        <w:tc>
          <w:tcPr>
            <w:tcW w:w="1199" w:type="dxa"/>
            <w:hideMark/>
          </w:tcPr>
          <w:p w:rsidR="007E1A35" w:rsidRPr="007E1A35" w:rsidRDefault="007E1A35" w:rsidP="007E1A35">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Ugovoreni iznos</w:t>
            </w:r>
          </w:p>
        </w:tc>
        <w:tc>
          <w:tcPr>
            <w:tcW w:w="1287" w:type="dxa"/>
            <w:hideMark/>
          </w:tcPr>
          <w:p w:rsidR="007E1A35" w:rsidRPr="007E1A35" w:rsidRDefault="007E1A35" w:rsidP="007E1A35">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Angažovani iznos u 2019</w:t>
            </w:r>
          </w:p>
        </w:tc>
        <w:tc>
          <w:tcPr>
            <w:tcW w:w="992" w:type="dxa"/>
            <w:hideMark/>
          </w:tcPr>
          <w:p w:rsidR="007E1A35" w:rsidRPr="007E1A35" w:rsidRDefault="007E1A35" w:rsidP="007E1A35">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Stanje duga</w:t>
            </w:r>
          </w:p>
        </w:tc>
      </w:tr>
      <w:tr w:rsidR="007E1A35" w:rsidRPr="007E1A35" w:rsidTr="007E1A35">
        <w:trPr>
          <w:cnfStyle w:val="000000100000" w:firstRow="0" w:lastRow="0" w:firstColumn="0" w:lastColumn="0" w:oddVBand="0" w:evenVBand="0" w:oddHBand="1" w:evenHBand="0" w:firstRowFirstColumn="0" w:firstRowLastColumn="0" w:lastRowFirstColumn="0" w:lastRowLastColumn="0"/>
          <w:divId w:val="951203463"/>
          <w:trHeight w:val="198"/>
        </w:trPr>
        <w:tc>
          <w:tcPr>
            <w:cnfStyle w:val="001000000000" w:firstRow="0" w:lastRow="0" w:firstColumn="1" w:lastColumn="0" w:oddVBand="0" w:evenVBand="0" w:oddHBand="0" w:evenHBand="0" w:firstRowFirstColumn="0" w:firstRowLastColumn="0" w:lastRowFirstColumn="0" w:lastRowLastColumn="0"/>
            <w:tcW w:w="2693" w:type="dxa"/>
            <w:hideMark/>
          </w:tcPr>
          <w:p w:rsidR="007E1A35" w:rsidRPr="007E1A35" w:rsidRDefault="007E1A35" w:rsidP="007E1A35">
            <w:pPr>
              <w:rPr>
                <w:rFonts w:ascii="Calibri" w:hAnsi="Calibri"/>
                <w:b w:val="0"/>
                <w:sz w:val="20"/>
                <w:szCs w:val="20"/>
                <w:lang w:val="sr-Latn-ME" w:eastAsia="en-US"/>
              </w:rPr>
            </w:pPr>
            <w:r w:rsidRPr="007E1A35">
              <w:rPr>
                <w:rFonts w:ascii="Calibri" w:hAnsi="Calibri"/>
                <w:b w:val="0"/>
                <w:sz w:val="20"/>
                <w:szCs w:val="20"/>
                <w:lang w:val="sr-Latn-ME" w:eastAsia="en-US"/>
              </w:rPr>
              <w:t>Plan restrukturiranja</w:t>
            </w:r>
          </w:p>
        </w:tc>
        <w:tc>
          <w:tcPr>
            <w:tcW w:w="1697" w:type="dxa"/>
            <w:vMerge w:val="restart"/>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Montenegro Airlines</w:t>
            </w:r>
          </w:p>
        </w:tc>
        <w:tc>
          <w:tcPr>
            <w:tcW w:w="1638"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06.05.2011.</w:t>
            </w:r>
          </w:p>
        </w:tc>
        <w:tc>
          <w:tcPr>
            <w:tcW w:w="1199"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2.00</w:t>
            </w:r>
          </w:p>
        </w:tc>
        <w:tc>
          <w:tcPr>
            <w:tcW w:w="128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2.00</w:t>
            </w:r>
          </w:p>
        </w:tc>
        <w:tc>
          <w:tcPr>
            <w:tcW w:w="992"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0.00</w:t>
            </w:r>
          </w:p>
        </w:tc>
      </w:tr>
      <w:tr w:rsidR="007E1A35" w:rsidRPr="007E1A35" w:rsidTr="007E1A35">
        <w:trPr>
          <w:divId w:val="951203463"/>
          <w:trHeight w:val="172"/>
        </w:trPr>
        <w:tc>
          <w:tcPr>
            <w:cnfStyle w:val="001000000000" w:firstRow="0" w:lastRow="0" w:firstColumn="1" w:lastColumn="0" w:oddVBand="0" w:evenVBand="0" w:oddHBand="0" w:evenHBand="0" w:firstRowFirstColumn="0" w:firstRowLastColumn="0" w:lastRowFirstColumn="0" w:lastRowLastColumn="0"/>
            <w:tcW w:w="2693" w:type="dxa"/>
            <w:hideMark/>
          </w:tcPr>
          <w:p w:rsidR="007E1A35" w:rsidRPr="007E1A35" w:rsidRDefault="007E1A35" w:rsidP="007E1A35">
            <w:pPr>
              <w:rPr>
                <w:rFonts w:ascii="Calibri" w:hAnsi="Calibri"/>
                <w:b w:val="0"/>
                <w:sz w:val="20"/>
                <w:szCs w:val="20"/>
                <w:lang w:val="sr-Latn-ME" w:eastAsia="en-US"/>
              </w:rPr>
            </w:pPr>
            <w:r w:rsidRPr="007E1A35">
              <w:rPr>
                <w:rFonts w:ascii="Calibri" w:hAnsi="Calibri"/>
                <w:b w:val="0"/>
                <w:sz w:val="20"/>
                <w:szCs w:val="20"/>
                <w:lang w:val="sr-Latn-ME" w:eastAsia="en-US"/>
              </w:rPr>
              <w:t>Plan restrukturiranja</w:t>
            </w:r>
          </w:p>
        </w:tc>
        <w:tc>
          <w:tcPr>
            <w:tcW w:w="1697" w:type="dxa"/>
            <w:vMerge/>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p>
        </w:tc>
        <w:tc>
          <w:tcPr>
            <w:tcW w:w="1638"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16.12.2015.</w:t>
            </w:r>
          </w:p>
        </w:tc>
        <w:tc>
          <w:tcPr>
            <w:tcW w:w="1199"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1.12</w:t>
            </w:r>
          </w:p>
        </w:tc>
        <w:tc>
          <w:tcPr>
            <w:tcW w:w="128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1.12</w:t>
            </w:r>
          </w:p>
        </w:tc>
        <w:tc>
          <w:tcPr>
            <w:tcW w:w="992"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0.44</w:t>
            </w:r>
          </w:p>
        </w:tc>
      </w:tr>
      <w:tr w:rsidR="007E1A35" w:rsidRPr="007E1A35" w:rsidTr="007E1A35">
        <w:trPr>
          <w:cnfStyle w:val="000000100000" w:firstRow="0" w:lastRow="0" w:firstColumn="0" w:lastColumn="0" w:oddVBand="0" w:evenVBand="0" w:oddHBand="1" w:evenHBand="0" w:firstRowFirstColumn="0" w:firstRowLastColumn="0" w:lastRowFirstColumn="0" w:lastRowLastColumn="0"/>
          <w:divId w:val="951203463"/>
          <w:trHeight w:val="181"/>
        </w:trPr>
        <w:tc>
          <w:tcPr>
            <w:cnfStyle w:val="001000000000" w:firstRow="0" w:lastRow="0" w:firstColumn="1" w:lastColumn="0" w:oddVBand="0" w:evenVBand="0" w:oddHBand="0" w:evenHBand="0" w:firstRowFirstColumn="0" w:firstRowLastColumn="0" w:lastRowFirstColumn="0" w:lastRowLastColumn="0"/>
            <w:tcW w:w="2693" w:type="dxa"/>
            <w:hideMark/>
          </w:tcPr>
          <w:p w:rsidR="007E1A35" w:rsidRPr="007E1A35" w:rsidRDefault="007E1A35" w:rsidP="007E1A35">
            <w:pPr>
              <w:rPr>
                <w:rFonts w:ascii="Calibri" w:hAnsi="Calibri"/>
                <w:b w:val="0"/>
                <w:sz w:val="20"/>
                <w:szCs w:val="20"/>
                <w:lang w:val="sr-Latn-ME" w:eastAsia="en-US"/>
              </w:rPr>
            </w:pPr>
            <w:r w:rsidRPr="007E1A35">
              <w:rPr>
                <w:rFonts w:ascii="Calibri" w:hAnsi="Calibri"/>
                <w:b w:val="0"/>
                <w:sz w:val="20"/>
                <w:szCs w:val="20"/>
                <w:lang w:val="sr-Latn-ME" w:eastAsia="en-US"/>
              </w:rPr>
              <w:t>Plan restrukturiranja</w:t>
            </w:r>
          </w:p>
        </w:tc>
        <w:tc>
          <w:tcPr>
            <w:tcW w:w="1697" w:type="dxa"/>
            <w:vMerge/>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p>
        </w:tc>
        <w:tc>
          <w:tcPr>
            <w:tcW w:w="1638"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16.12.2015.</w:t>
            </w:r>
          </w:p>
        </w:tc>
        <w:tc>
          <w:tcPr>
            <w:tcW w:w="1199"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1.50</w:t>
            </w:r>
          </w:p>
        </w:tc>
        <w:tc>
          <w:tcPr>
            <w:tcW w:w="128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1.50</w:t>
            </w:r>
          </w:p>
        </w:tc>
        <w:tc>
          <w:tcPr>
            <w:tcW w:w="992"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0.18</w:t>
            </w:r>
          </w:p>
        </w:tc>
      </w:tr>
      <w:tr w:rsidR="007E1A35" w:rsidRPr="007E1A35" w:rsidTr="007E1A35">
        <w:trPr>
          <w:divId w:val="951203463"/>
          <w:trHeight w:val="181"/>
        </w:trPr>
        <w:tc>
          <w:tcPr>
            <w:cnfStyle w:val="001000000000" w:firstRow="0" w:lastRow="0" w:firstColumn="1" w:lastColumn="0" w:oddVBand="0" w:evenVBand="0" w:oddHBand="0" w:evenHBand="0" w:firstRowFirstColumn="0" w:firstRowLastColumn="0" w:lastRowFirstColumn="0" w:lastRowLastColumn="0"/>
            <w:tcW w:w="2693" w:type="dxa"/>
            <w:noWrap/>
            <w:hideMark/>
          </w:tcPr>
          <w:p w:rsidR="007E1A35" w:rsidRPr="007E1A35" w:rsidRDefault="007E1A35" w:rsidP="007E1A35">
            <w:r w:rsidRPr="007E1A35">
              <w:rPr>
                <w:rFonts w:ascii="Calibri" w:hAnsi="Calibri"/>
                <w:sz w:val="20"/>
                <w:szCs w:val="20"/>
                <w:lang w:val="sr-Latn-ME" w:eastAsia="en-US"/>
              </w:rPr>
              <w:t xml:space="preserve">Ukupno Hipotekarna banka AD </w:t>
            </w:r>
            <w:r w:rsidRPr="007E1A35">
              <w:t>I</w:t>
            </w:r>
          </w:p>
        </w:tc>
        <w:tc>
          <w:tcPr>
            <w:tcW w:w="169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pPr>
            <w:r w:rsidRPr="007E1A35">
              <w:rPr>
                <w:rFonts w:ascii="Calibri" w:hAnsi="Calibri"/>
                <w:b/>
                <w:sz w:val="20"/>
                <w:szCs w:val="20"/>
                <w:lang w:val="sr-Latn-ME" w:eastAsia="en-US"/>
              </w:rPr>
              <w:t> </w:t>
            </w:r>
          </w:p>
        </w:tc>
        <w:tc>
          <w:tcPr>
            <w:tcW w:w="1638"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pPr>
            <w:r w:rsidRPr="007E1A35">
              <w:rPr>
                <w:rFonts w:ascii="Calibri" w:hAnsi="Calibri"/>
                <w:b/>
                <w:sz w:val="20"/>
                <w:szCs w:val="20"/>
                <w:lang w:val="sr-Latn-ME" w:eastAsia="en-US"/>
              </w:rPr>
              <w:t> </w:t>
            </w:r>
          </w:p>
        </w:tc>
        <w:tc>
          <w:tcPr>
            <w:tcW w:w="1199"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4.62</w:t>
            </w:r>
          </w:p>
        </w:tc>
        <w:tc>
          <w:tcPr>
            <w:tcW w:w="128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4.62</w:t>
            </w:r>
          </w:p>
        </w:tc>
        <w:tc>
          <w:tcPr>
            <w:tcW w:w="992"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0.62</w:t>
            </w:r>
          </w:p>
        </w:tc>
      </w:tr>
      <w:tr w:rsidR="007E1A35" w:rsidRPr="007E1A35" w:rsidTr="007E1A35">
        <w:trPr>
          <w:cnfStyle w:val="000000100000" w:firstRow="0" w:lastRow="0" w:firstColumn="0" w:lastColumn="0" w:oddVBand="0" w:evenVBand="0" w:oddHBand="1" w:evenHBand="0" w:firstRowFirstColumn="0" w:firstRowLastColumn="0" w:lastRowFirstColumn="0" w:lastRowLastColumn="0"/>
          <w:divId w:val="951203463"/>
          <w:trHeight w:val="181"/>
        </w:trPr>
        <w:tc>
          <w:tcPr>
            <w:cnfStyle w:val="001000000000" w:firstRow="0" w:lastRow="0" w:firstColumn="1" w:lastColumn="0" w:oddVBand="0" w:evenVBand="0" w:oddHBand="0" w:evenHBand="0" w:firstRowFirstColumn="0" w:firstRowLastColumn="0" w:lastRowFirstColumn="0" w:lastRowLastColumn="0"/>
            <w:tcW w:w="2693" w:type="dxa"/>
            <w:hideMark/>
          </w:tcPr>
          <w:p w:rsidR="007E1A35" w:rsidRPr="007E1A35" w:rsidRDefault="007E1A35" w:rsidP="007E1A35">
            <w:pPr>
              <w:rPr>
                <w:rFonts w:ascii="Calibri" w:hAnsi="Calibri"/>
                <w:sz w:val="20"/>
                <w:szCs w:val="20"/>
                <w:lang w:val="sr-Latn-ME" w:eastAsia="en-US"/>
              </w:rPr>
            </w:pPr>
            <w:r w:rsidRPr="007E1A35">
              <w:rPr>
                <w:rFonts w:ascii="Calibri" w:hAnsi="Calibri"/>
                <w:sz w:val="20"/>
                <w:szCs w:val="20"/>
                <w:lang w:val="sr-Latn-ME" w:eastAsia="en-US"/>
              </w:rPr>
              <w:t>Plan restrukturiranja</w:t>
            </w:r>
          </w:p>
        </w:tc>
        <w:tc>
          <w:tcPr>
            <w:tcW w:w="169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Montenegro Airlines</w:t>
            </w:r>
          </w:p>
        </w:tc>
        <w:tc>
          <w:tcPr>
            <w:tcW w:w="1638"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13.12.2011.</w:t>
            </w:r>
          </w:p>
        </w:tc>
        <w:tc>
          <w:tcPr>
            <w:tcW w:w="1199"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0.41</w:t>
            </w:r>
          </w:p>
        </w:tc>
        <w:tc>
          <w:tcPr>
            <w:tcW w:w="128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0.41</w:t>
            </w:r>
          </w:p>
        </w:tc>
        <w:tc>
          <w:tcPr>
            <w:tcW w:w="992"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0.00</w:t>
            </w:r>
          </w:p>
        </w:tc>
      </w:tr>
      <w:tr w:rsidR="007E1A35" w:rsidRPr="007E1A35" w:rsidTr="007E1A35">
        <w:trPr>
          <w:divId w:val="951203463"/>
          <w:trHeight w:val="181"/>
        </w:trPr>
        <w:tc>
          <w:tcPr>
            <w:cnfStyle w:val="001000000000" w:firstRow="0" w:lastRow="0" w:firstColumn="1" w:lastColumn="0" w:oddVBand="0" w:evenVBand="0" w:oddHBand="0" w:evenHBand="0" w:firstRowFirstColumn="0" w:firstRowLastColumn="0" w:lastRowFirstColumn="0" w:lastRowLastColumn="0"/>
            <w:tcW w:w="2693" w:type="dxa"/>
            <w:noWrap/>
            <w:hideMark/>
          </w:tcPr>
          <w:p w:rsidR="007E1A35" w:rsidRPr="007E1A35" w:rsidRDefault="007E1A35" w:rsidP="007E1A35">
            <w:r w:rsidRPr="007E1A35">
              <w:rPr>
                <w:rFonts w:ascii="Calibri" w:hAnsi="Calibri"/>
                <w:sz w:val="20"/>
                <w:szCs w:val="20"/>
                <w:lang w:val="sr-Latn-ME" w:eastAsia="en-US"/>
              </w:rPr>
              <w:t xml:space="preserve">Ukupno NLB  Montenegro Banka AD </w:t>
            </w:r>
            <w:r w:rsidRPr="007E1A35">
              <w:t>II</w:t>
            </w:r>
          </w:p>
        </w:tc>
        <w:tc>
          <w:tcPr>
            <w:tcW w:w="169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pPr>
            <w:r w:rsidRPr="007E1A35">
              <w:rPr>
                <w:rFonts w:ascii="Calibri" w:hAnsi="Calibri"/>
                <w:b/>
                <w:sz w:val="20"/>
                <w:szCs w:val="20"/>
                <w:lang w:val="sr-Latn-ME" w:eastAsia="en-US"/>
              </w:rPr>
              <w:t> </w:t>
            </w:r>
          </w:p>
        </w:tc>
        <w:tc>
          <w:tcPr>
            <w:tcW w:w="1638"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pPr>
            <w:r w:rsidRPr="007E1A35">
              <w:rPr>
                <w:rFonts w:ascii="Calibri" w:hAnsi="Calibri"/>
                <w:b/>
                <w:sz w:val="20"/>
                <w:szCs w:val="20"/>
                <w:lang w:val="sr-Latn-ME" w:eastAsia="en-US"/>
              </w:rPr>
              <w:t> </w:t>
            </w:r>
          </w:p>
        </w:tc>
        <w:tc>
          <w:tcPr>
            <w:tcW w:w="1199"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0.41</w:t>
            </w:r>
          </w:p>
        </w:tc>
        <w:tc>
          <w:tcPr>
            <w:tcW w:w="128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0.41</w:t>
            </w:r>
          </w:p>
        </w:tc>
        <w:tc>
          <w:tcPr>
            <w:tcW w:w="992"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0.00</w:t>
            </w:r>
          </w:p>
        </w:tc>
      </w:tr>
      <w:tr w:rsidR="007E1A35" w:rsidRPr="007E1A35" w:rsidTr="007E1A35">
        <w:trPr>
          <w:cnfStyle w:val="000000100000" w:firstRow="0" w:lastRow="0" w:firstColumn="0" w:lastColumn="0" w:oddVBand="0" w:evenVBand="0" w:oddHBand="1" w:evenHBand="0" w:firstRowFirstColumn="0" w:firstRowLastColumn="0" w:lastRowFirstColumn="0" w:lastRowLastColumn="0"/>
          <w:divId w:val="951203463"/>
          <w:trHeight w:val="481"/>
        </w:trPr>
        <w:tc>
          <w:tcPr>
            <w:cnfStyle w:val="001000000000" w:firstRow="0" w:lastRow="0" w:firstColumn="1" w:lastColumn="0" w:oddVBand="0" w:evenVBand="0" w:oddHBand="0" w:evenHBand="0" w:firstRowFirstColumn="0" w:firstRowLastColumn="0" w:lastRowFirstColumn="0" w:lastRowLastColumn="0"/>
            <w:tcW w:w="2693" w:type="dxa"/>
            <w:hideMark/>
          </w:tcPr>
          <w:p w:rsidR="007E1A35" w:rsidRPr="007E1A35" w:rsidRDefault="007E1A35" w:rsidP="007E1A35">
            <w:pPr>
              <w:rPr>
                <w:rFonts w:ascii="Calibri" w:hAnsi="Calibri"/>
                <w:sz w:val="20"/>
                <w:szCs w:val="20"/>
                <w:lang w:val="sr-Latn-ME" w:eastAsia="en-US"/>
              </w:rPr>
            </w:pPr>
            <w:r w:rsidRPr="007E1A35">
              <w:rPr>
                <w:rFonts w:ascii="Calibri" w:hAnsi="Calibri"/>
                <w:sz w:val="20"/>
                <w:szCs w:val="20"/>
                <w:lang w:val="sr-Latn-ME" w:eastAsia="en-US"/>
              </w:rPr>
              <w:t>Kredit namijenjen uklanjanju industrijskog otpada (grita)</w:t>
            </w:r>
          </w:p>
        </w:tc>
        <w:tc>
          <w:tcPr>
            <w:tcW w:w="169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Jadransko brodogradilište a.d. Bijela</w:t>
            </w:r>
          </w:p>
        </w:tc>
        <w:tc>
          <w:tcPr>
            <w:tcW w:w="1638"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19.01.2012.</w:t>
            </w:r>
          </w:p>
        </w:tc>
        <w:tc>
          <w:tcPr>
            <w:tcW w:w="1199"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1.05</w:t>
            </w:r>
          </w:p>
        </w:tc>
        <w:tc>
          <w:tcPr>
            <w:tcW w:w="128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1.05</w:t>
            </w:r>
          </w:p>
        </w:tc>
        <w:tc>
          <w:tcPr>
            <w:tcW w:w="992"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0.16</w:t>
            </w:r>
          </w:p>
        </w:tc>
      </w:tr>
      <w:tr w:rsidR="007E1A35" w:rsidRPr="007E1A35" w:rsidTr="007E1A35">
        <w:trPr>
          <w:divId w:val="951203463"/>
          <w:trHeight w:val="181"/>
        </w:trPr>
        <w:tc>
          <w:tcPr>
            <w:cnfStyle w:val="001000000000" w:firstRow="0" w:lastRow="0" w:firstColumn="1" w:lastColumn="0" w:oddVBand="0" w:evenVBand="0" w:oddHBand="0" w:evenHBand="0" w:firstRowFirstColumn="0" w:firstRowLastColumn="0" w:lastRowFirstColumn="0" w:lastRowLastColumn="0"/>
            <w:tcW w:w="2693" w:type="dxa"/>
            <w:noWrap/>
            <w:hideMark/>
          </w:tcPr>
          <w:p w:rsidR="007E1A35" w:rsidRPr="007E1A35" w:rsidRDefault="007E1A35" w:rsidP="007E1A35">
            <w:r w:rsidRPr="007E1A35">
              <w:rPr>
                <w:rFonts w:ascii="Calibri" w:hAnsi="Calibri"/>
                <w:sz w:val="20"/>
                <w:szCs w:val="20"/>
                <w:lang w:val="sr-Latn-ME" w:eastAsia="en-US"/>
              </w:rPr>
              <w:t>Ukupno Crnogorska komercijalna banka AD</w:t>
            </w:r>
            <w:r w:rsidRPr="007E1A35">
              <w:t xml:space="preserve"> III</w:t>
            </w:r>
          </w:p>
        </w:tc>
        <w:tc>
          <w:tcPr>
            <w:tcW w:w="169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pPr>
            <w:r w:rsidRPr="007E1A35">
              <w:rPr>
                <w:rFonts w:ascii="Calibri" w:hAnsi="Calibri"/>
                <w:b/>
                <w:sz w:val="20"/>
                <w:szCs w:val="20"/>
                <w:lang w:val="sr-Latn-ME" w:eastAsia="en-US"/>
              </w:rPr>
              <w:t> </w:t>
            </w:r>
          </w:p>
        </w:tc>
        <w:tc>
          <w:tcPr>
            <w:tcW w:w="1638"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pPr>
            <w:r w:rsidRPr="007E1A35">
              <w:rPr>
                <w:rFonts w:ascii="Calibri" w:hAnsi="Calibri"/>
                <w:b/>
                <w:sz w:val="20"/>
                <w:szCs w:val="20"/>
                <w:lang w:val="sr-Latn-ME" w:eastAsia="en-US"/>
              </w:rPr>
              <w:t> </w:t>
            </w:r>
          </w:p>
        </w:tc>
        <w:tc>
          <w:tcPr>
            <w:tcW w:w="1199"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1.05</w:t>
            </w:r>
          </w:p>
        </w:tc>
        <w:tc>
          <w:tcPr>
            <w:tcW w:w="128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1.05</w:t>
            </w:r>
          </w:p>
        </w:tc>
        <w:tc>
          <w:tcPr>
            <w:tcW w:w="992"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0.16</w:t>
            </w:r>
          </w:p>
        </w:tc>
      </w:tr>
      <w:tr w:rsidR="007E1A35" w:rsidRPr="007E1A35" w:rsidTr="007E1A35">
        <w:trPr>
          <w:cnfStyle w:val="000000100000" w:firstRow="0" w:lastRow="0" w:firstColumn="0" w:lastColumn="0" w:oddVBand="0" w:evenVBand="0" w:oddHBand="1" w:evenHBand="0" w:firstRowFirstColumn="0" w:firstRowLastColumn="0" w:lastRowFirstColumn="0" w:lastRowLastColumn="0"/>
          <w:divId w:val="951203463"/>
          <w:trHeight w:val="448"/>
        </w:trPr>
        <w:tc>
          <w:tcPr>
            <w:cnfStyle w:val="001000000000" w:firstRow="0" w:lastRow="0" w:firstColumn="1" w:lastColumn="0" w:oddVBand="0" w:evenVBand="0" w:oddHBand="0" w:evenHBand="0" w:firstRowFirstColumn="0" w:firstRowLastColumn="0" w:lastRowFirstColumn="0" w:lastRowLastColumn="0"/>
            <w:tcW w:w="2693" w:type="dxa"/>
            <w:hideMark/>
          </w:tcPr>
          <w:p w:rsidR="007E1A35" w:rsidRPr="007E1A35" w:rsidRDefault="007E1A35" w:rsidP="007E1A35">
            <w:pPr>
              <w:rPr>
                <w:rFonts w:ascii="Calibri" w:hAnsi="Calibri"/>
                <w:sz w:val="20"/>
                <w:szCs w:val="20"/>
                <w:lang w:val="sr-Latn-ME" w:eastAsia="en-US"/>
              </w:rPr>
            </w:pPr>
            <w:r w:rsidRPr="007E1A35">
              <w:rPr>
                <w:rFonts w:ascii="Calibri" w:hAnsi="Calibri"/>
                <w:sz w:val="20"/>
                <w:szCs w:val="20"/>
                <w:lang w:val="sr-Latn-ME" w:eastAsia="en-US"/>
              </w:rPr>
              <w:t>Za izgradnju stambene zgrade za prosvjetne radnike u Budvi</w:t>
            </w:r>
          </w:p>
        </w:tc>
        <w:tc>
          <w:tcPr>
            <w:tcW w:w="169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Stambena zadruga radnika prosvjete CG "Solidarno" Podgorica</w:t>
            </w:r>
          </w:p>
        </w:tc>
        <w:tc>
          <w:tcPr>
            <w:tcW w:w="1638"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20.07.2015.</w:t>
            </w:r>
          </w:p>
        </w:tc>
        <w:tc>
          <w:tcPr>
            <w:tcW w:w="1199"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5.28</w:t>
            </w:r>
          </w:p>
        </w:tc>
        <w:tc>
          <w:tcPr>
            <w:tcW w:w="1287" w:type="dxa"/>
            <w:noWrap/>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5.28</w:t>
            </w:r>
          </w:p>
        </w:tc>
        <w:tc>
          <w:tcPr>
            <w:tcW w:w="992"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5.28</w:t>
            </w:r>
          </w:p>
        </w:tc>
      </w:tr>
      <w:tr w:rsidR="007E1A35" w:rsidRPr="007E1A35" w:rsidTr="007E1A35">
        <w:trPr>
          <w:divId w:val="951203463"/>
          <w:trHeight w:val="181"/>
        </w:trPr>
        <w:tc>
          <w:tcPr>
            <w:cnfStyle w:val="001000000000" w:firstRow="0" w:lastRow="0" w:firstColumn="1" w:lastColumn="0" w:oddVBand="0" w:evenVBand="0" w:oddHBand="0" w:evenHBand="0" w:firstRowFirstColumn="0" w:firstRowLastColumn="0" w:lastRowFirstColumn="0" w:lastRowLastColumn="0"/>
            <w:tcW w:w="2693" w:type="dxa"/>
            <w:noWrap/>
            <w:hideMark/>
          </w:tcPr>
          <w:p w:rsidR="007E1A35" w:rsidRPr="007E1A35" w:rsidRDefault="007E1A35" w:rsidP="007E1A35">
            <w:r w:rsidRPr="007E1A35">
              <w:rPr>
                <w:rFonts w:ascii="Calibri" w:hAnsi="Calibri"/>
                <w:sz w:val="20"/>
                <w:szCs w:val="20"/>
                <w:lang w:val="sr-Latn-ME" w:eastAsia="en-US"/>
              </w:rPr>
              <w:t>Ukupno Societe Generale Montenegro banka AD</w:t>
            </w:r>
            <w:r w:rsidRPr="007E1A35">
              <w:t xml:space="preserve"> IV</w:t>
            </w:r>
          </w:p>
        </w:tc>
        <w:tc>
          <w:tcPr>
            <w:tcW w:w="169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pPr>
            <w:r w:rsidRPr="007E1A35">
              <w:rPr>
                <w:rFonts w:ascii="Calibri" w:hAnsi="Calibri"/>
                <w:b/>
                <w:sz w:val="20"/>
                <w:szCs w:val="20"/>
                <w:lang w:val="sr-Latn-ME" w:eastAsia="en-US"/>
              </w:rPr>
              <w:t> </w:t>
            </w:r>
          </w:p>
        </w:tc>
        <w:tc>
          <w:tcPr>
            <w:tcW w:w="1638"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pPr>
            <w:r w:rsidRPr="007E1A35">
              <w:rPr>
                <w:rFonts w:ascii="Calibri" w:hAnsi="Calibri"/>
                <w:b/>
                <w:sz w:val="20"/>
                <w:szCs w:val="20"/>
                <w:lang w:val="sr-Latn-ME" w:eastAsia="en-US"/>
              </w:rPr>
              <w:t> </w:t>
            </w:r>
          </w:p>
        </w:tc>
        <w:tc>
          <w:tcPr>
            <w:tcW w:w="1199"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5.28</w:t>
            </w:r>
          </w:p>
        </w:tc>
        <w:tc>
          <w:tcPr>
            <w:tcW w:w="128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5.28</w:t>
            </w:r>
          </w:p>
        </w:tc>
        <w:tc>
          <w:tcPr>
            <w:tcW w:w="992"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5.28</w:t>
            </w:r>
          </w:p>
        </w:tc>
      </w:tr>
      <w:tr w:rsidR="007E1A35" w:rsidRPr="007E1A35" w:rsidTr="007E1A35">
        <w:trPr>
          <w:cnfStyle w:val="000000100000" w:firstRow="0" w:lastRow="0" w:firstColumn="0" w:lastColumn="0" w:oddVBand="0" w:evenVBand="0" w:oddHBand="1" w:evenHBand="0" w:firstRowFirstColumn="0" w:firstRowLastColumn="0" w:lastRowFirstColumn="0" w:lastRowLastColumn="0"/>
          <w:divId w:val="951203463"/>
          <w:trHeight w:val="457"/>
        </w:trPr>
        <w:tc>
          <w:tcPr>
            <w:cnfStyle w:val="001000000000" w:firstRow="0" w:lastRow="0" w:firstColumn="1" w:lastColumn="0" w:oddVBand="0" w:evenVBand="0" w:oddHBand="0" w:evenHBand="0" w:firstRowFirstColumn="0" w:firstRowLastColumn="0" w:lastRowFirstColumn="0" w:lastRowLastColumn="0"/>
            <w:tcW w:w="2693" w:type="dxa"/>
            <w:hideMark/>
          </w:tcPr>
          <w:p w:rsidR="007E1A35" w:rsidRPr="007E1A35" w:rsidRDefault="007E1A35" w:rsidP="007E1A35">
            <w:pPr>
              <w:rPr>
                <w:rFonts w:ascii="Calibri" w:hAnsi="Calibri"/>
                <w:sz w:val="20"/>
                <w:szCs w:val="20"/>
                <w:lang w:val="sr-Latn-ME" w:eastAsia="en-US"/>
              </w:rPr>
            </w:pPr>
            <w:r w:rsidRPr="007E1A35">
              <w:rPr>
                <w:rFonts w:ascii="Calibri" w:hAnsi="Calibri"/>
                <w:sz w:val="20"/>
                <w:szCs w:val="20"/>
                <w:lang w:val="sr-Latn-ME" w:eastAsia="en-US"/>
              </w:rPr>
              <w:lastRenderedPageBreak/>
              <w:t>Realizacija sanacionih planova jedinica lokalne samouprave</w:t>
            </w:r>
          </w:p>
        </w:tc>
        <w:tc>
          <w:tcPr>
            <w:tcW w:w="169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Jedinice lokalne samouprave</w:t>
            </w:r>
          </w:p>
        </w:tc>
        <w:tc>
          <w:tcPr>
            <w:tcW w:w="1638"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2015.god.</w:t>
            </w:r>
          </w:p>
        </w:tc>
        <w:tc>
          <w:tcPr>
            <w:tcW w:w="1199"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42.89</w:t>
            </w:r>
          </w:p>
        </w:tc>
        <w:tc>
          <w:tcPr>
            <w:tcW w:w="128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42.80</w:t>
            </w:r>
          </w:p>
        </w:tc>
        <w:tc>
          <w:tcPr>
            <w:tcW w:w="992"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26.67</w:t>
            </w:r>
          </w:p>
        </w:tc>
      </w:tr>
      <w:tr w:rsidR="007E1A35" w:rsidRPr="007E1A35" w:rsidTr="007E1A35">
        <w:trPr>
          <w:divId w:val="951203463"/>
          <w:trHeight w:val="181"/>
        </w:trPr>
        <w:tc>
          <w:tcPr>
            <w:cnfStyle w:val="001000000000" w:firstRow="0" w:lastRow="0" w:firstColumn="1" w:lastColumn="0" w:oddVBand="0" w:evenVBand="0" w:oddHBand="0" w:evenHBand="0" w:firstRowFirstColumn="0" w:firstRowLastColumn="0" w:lastRowFirstColumn="0" w:lastRowLastColumn="0"/>
            <w:tcW w:w="2693" w:type="dxa"/>
            <w:noWrap/>
            <w:hideMark/>
          </w:tcPr>
          <w:p w:rsidR="007E1A35" w:rsidRPr="007E1A35" w:rsidRDefault="007E1A35" w:rsidP="007E1A35">
            <w:r w:rsidRPr="007E1A35">
              <w:rPr>
                <w:rFonts w:ascii="Calibri" w:hAnsi="Calibri"/>
                <w:sz w:val="20"/>
                <w:szCs w:val="20"/>
                <w:lang w:val="sr-Latn-ME" w:eastAsia="en-US"/>
              </w:rPr>
              <w:t xml:space="preserve">Ukupno komercijalne banke </w:t>
            </w:r>
            <w:r w:rsidRPr="007E1A35">
              <w:t>V</w:t>
            </w:r>
          </w:p>
        </w:tc>
        <w:tc>
          <w:tcPr>
            <w:tcW w:w="169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pPr>
            <w:r w:rsidRPr="007E1A35">
              <w:rPr>
                <w:rFonts w:ascii="Calibri" w:hAnsi="Calibri"/>
                <w:b/>
                <w:sz w:val="20"/>
                <w:szCs w:val="20"/>
                <w:lang w:val="sr-Latn-ME" w:eastAsia="en-US"/>
              </w:rPr>
              <w:t> </w:t>
            </w:r>
          </w:p>
        </w:tc>
        <w:tc>
          <w:tcPr>
            <w:tcW w:w="1638"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pPr>
            <w:r w:rsidRPr="007E1A35">
              <w:rPr>
                <w:rFonts w:ascii="Calibri" w:hAnsi="Calibri"/>
                <w:b/>
                <w:sz w:val="20"/>
                <w:szCs w:val="20"/>
                <w:lang w:val="sr-Latn-ME" w:eastAsia="en-US"/>
              </w:rPr>
              <w:t> </w:t>
            </w:r>
          </w:p>
        </w:tc>
        <w:tc>
          <w:tcPr>
            <w:tcW w:w="1199"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42.89</w:t>
            </w:r>
          </w:p>
        </w:tc>
        <w:tc>
          <w:tcPr>
            <w:tcW w:w="128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42.80</w:t>
            </w:r>
          </w:p>
        </w:tc>
        <w:tc>
          <w:tcPr>
            <w:tcW w:w="992"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26.67</w:t>
            </w:r>
          </w:p>
        </w:tc>
      </w:tr>
      <w:tr w:rsidR="007E1A35" w:rsidRPr="007E1A35" w:rsidTr="007E1A35">
        <w:trPr>
          <w:cnfStyle w:val="000000100000" w:firstRow="0" w:lastRow="0" w:firstColumn="0" w:lastColumn="0" w:oddVBand="0" w:evenVBand="0" w:oddHBand="1" w:evenHBand="0" w:firstRowFirstColumn="0" w:firstRowLastColumn="0" w:lastRowFirstColumn="0" w:lastRowLastColumn="0"/>
          <w:divId w:val="951203463"/>
          <w:trHeight w:val="457"/>
        </w:trPr>
        <w:tc>
          <w:tcPr>
            <w:cnfStyle w:val="001000000000" w:firstRow="0" w:lastRow="0" w:firstColumn="1" w:lastColumn="0" w:oddVBand="0" w:evenVBand="0" w:oddHBand="0" w:evenHBand="0" w:firstRowFirstColumn="0" w:firstRowLastColumn="0" w:lastRowFirstColumn="0" w:lastRowLastColumn="0"/>
            <w:tcW w:w="2693" w:type="dxa"/>
            <w:hideMark/>
          </w:tcPr>
          <w:p w:rsidR="007E1A35" w:rsidRPr="007E1A35" w:rsidRDefault="007E1A35" w:rsidP="007E1A35">
            <w:pPr>
              <w:rPr>
                <w:rFonts w:ascii="Calibri" w:hAnsi="Calibri"/>
                <w:sz w:val="20"/>
                <w:szCs w:val="20"/>
                <w:lang w:val="sr-Latn-ME" w:eastAsia="en-US"/>
              </w:rPr>
            </w:pPr>
            <w:r w:rsidRPr="007E1A35">
              <w:rPr>
                <w:rFonts w:ascii="Calibri" w:hAnsi="Calibri"/>
                <w:sz w:val="20"/>
                <w:szCs w:val="20"/>
                <w:lang w:val="sr-Latn-ME" w:eastAsia="en-US"/>
              </w:rPr>
              <w:t>Refinansiranje kredita Abu Dhabi Fonda za razvoj</w:t>
            </w:r>
          </w:p>
        </w:tc>
        <w:tc>
          <w:tcPr>
            <w:tcW w:w="169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JP “Regionalni Vodovod  Crnogorsko Primorje” – Budva</w:t>
            </w:r>
          </w:p>
        </w:tc>
        <w:tc>
          <w:tcPr>
            <w:tcW w:w="1638"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27.04.2017.</w:t>
            </w:r>
          </w:p>
        </w:tc>
        <w:tc>
          <w:tcPr>
            <w:tcW w:w="1199"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6.70</w:t>
            </w:r>
          </w:p>
        </w:tc>
        <w:tc>
          <w:tcPr>
            <w:tcW w:w="128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6.70</w:t>
            </w:r>
          </w:p>
        </w:tc>
        <w:tc>
          <w:tcPr>
            <w:tcW w:w="992"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1.96</w:t>
            </w:r>
          </w:p>
        </w:tc>
      </w:tr>
      <w:tr w:rsidR="007E1A35" w:rsidRPr="007E1A35" w:rsidTr="007E1A35">
        <w:trPr>
          <w:divId w:val="951203463"/>
          <w:trHeight w:val="457"/>
        </w:trPr>
        <w:tc>
          <w:tcPr>
            <w:cnfStyle w:val="001000000000" w:firstRow="0" w:lastRow="0" w:firstColumn="1" w:lastColumn="0" w:oddVBand="0" w:evenVBand="0" w:oddHBand="0" w:evenHBand="0" w:firstRowFirstColumn="0" w:firstRowLastColumn="0" w:lastRowFirstColumn="0" w:lastRowLastColumn="0"/>
            <w:tcW w:w="2693" w:type="dxa"/>
            <w:hideMark/>
          </w:tcPr>
          <w:p w:rsidR="007E1A35" w:rsidRPr="007E1A35" w:rsidRDefault="007E1A35" w:rsidP="007E1A35">
            <w:pPr>
              <w:rPr>
                <w:rFonts w:ascii="Calibri" w:hAnsi="Calibri"/>
                <w:sz w:val="20"/>
                <w:szCs w:val="20"/>
                <w:lang w:val="sr-Latn-ME" w:eastAsia="en-US"/>
              </w:rPr>
            </w:pPr>
            <w:r w:rsidRPr="007E1A35">
              <w:rPr>
                <w:rFonts w:ascii="Calibri" w:hAnsi="Calibri"/>
                <w:sz w:val="20"/>
                <w:szCs w:val="20"/>
                <w:lang w:val="sr-Latn-ME" w:eastAsia="en-US"/>
              </w:rPr>
              <w:t>Za potrebe izmirenja obaveza prema Strabag AG</w:t>
            </w:r>
          </w:p>
        </w:tc>
        <w:tc>
          <w:tcPr>
            <w:tcW w:w="169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JP “Regionalni Vodovod  Crnogorsko Primorje” – Budva</w:t>
            </w:r>
          </w:p>
        </w:tc>
        <w:tc>
          <w:tcPr>
            <w:tcW w:w="1638"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08.05.2019</w:t>
            </w:r>
          </w:p>
        </w:tc>
        <w:tc>
          <w:tcPr>
            <w:tcW w:w="1199"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5.00</w:t>
            </w:r>
          </w:p>
        </w:tc>
        <w:tc>
          <w:tcPr>
            <w:tcW w:w="128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5.00</w:t>
            </w:r>
          </w:p>
        </w:tc>
        <w:tc>
          <w:tcPr>
            <w:tcW w:w="992"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4.72</w:t>
            </w:r>
          </w:p>
        </w:tc>
      </w:tr>
      <w:tr w:rsidR="007E1A35" w:rsidRPr="007E1A35" w:rsidTr="007E1A35">
        <w:trPr>
          <w:cnfStyle w:val="000000100000" w:firstRow="0" w:lastRow="0" w:firstColumn="0" w:lastColumn="0" w:oddVBand="0" w:evenVBand="0" w:oddHBand="1" w:evenHBand="0" w:firstRowFirstColumn="0" w:firstRowLastColumn="0" w:lastRowFirstColumn="0" w:lastRowLastColumn="0"/>
          <w:divId w:val="951203463"/>
          <w:trHeight w:val="181"/>
        </w:trPr>
        <w:tc>
          <w:tcPr>
            <w:cnfStyle w:val="001000000000" w:firstRow="0" w:lastRow="0" w:firstColumn="1" w:lastColumn="0" w:oddVBand="0" w:evenVBand="0" w:oddHBand="0" w:evenHBand="0" w:firstRowFirstColumn="0" w:firstRowLastColumn="0" w:lastRowFirstColumn="0" w:lastRowLastColumn="0"/>
            <w:tcW w:w="2693" w:type="dxa"/>
            <w:noWrap/>
            <w:hideMark/>
          </w:tcPr>
          <w:p w:rsidR="007E1A35" w:rsidRPr="007E1A35" w:rsidRDefault="007E1A35" w:rsidP="007E1A35">
            <w:r w:rsidRPr="007E1A35">
              <w:rPr>
                <w:rFonts w:ascii="Calibri" w:hAnsi="Calibri"/>
                <w:sz w:val="20"/>
                <w:szCs w:val="20"/>
                <w:lang w:val="sr-Latn-ME" w:eastAsia="en-US"/>
              </w:rPr>
              <w:t>Ukupno Erste Banka AD</w:t>
            </w:r>
            <w:r w:rsidRPr="007E1A35">
              <w:t xml:space="preserve"> VI</w:t>
            </w:r>
          </w:p>
        </w:tc>
        <w:tc>
          <w:tcPr>
            <w:tcW w:w="169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pPr>
            <w:r w:rsidRPr="007E1A35">
              <w:rPr>
                <w:rFonts w:ascii="Calibri" w:hAnsi="Calibri"/>
                <w:b/>
                <w:sz w:val="20"/>
                <w:szCs w:val="20"/>
                <w:lang w:val="sr-Latn-ME" w:eastAsia="en-US"/>
              </w:rPr>
              <w:t> </w:t>
            </w:r>
          </w:p>
        </w:tc>
        <w:tc>
          <w:tcPr>
            <w:tcW w:w="1638"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pPr>
            <w:r w:rsidRPr="007E1A35">
              <w:rPr>
                <w:rFonts w:ascii="Calibri" w:hAnsi="Calibri"/>
                <w:b/>
                <w:sz w:val="20"/>
                <w:szCs w:val="20"/>
                <w:lang w:val="sr-Latn-ME" w:eastAsia="en-US"/>
              </w:rPr>
              <w:t> </w:t>
            </w:r>
          </w:p>
        </w:tc>
        <w:tc>
          <w:tcPr>
            <w:tcW w:w="1199"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11.70</w:t>
            </w:r>
          </w:p>
        </w:tc>
        <w:tc>
          <w:tcPr>
            <w:tcW w:w="128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11.70</w:t>
            </w:r>
          </w:p>
        </w:tc>
        <w:tc>
          <w:tcPr>
            <w:tcW w:w="992"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6.67</w:t>
            </w:r>
          </w:p>
        </w:tc>
      </w:tr>
      <w:tr w:rsidR="007E1A35" w:rsidRPr="007E1A35" w:rsidTr="007E1A35">
        <w:trPr>
          <w:divId w:val="951203463"/>
          <w:trHeight w:val="457"/>
        </w:trPr>
        <w:tc>
          <w:tcPr>
            <w:cnfStyle w:val="001000000000" w:firstRow="0" w:lastRow="0" w:firstColumn="1" w:lastColumn="0" w:oddVBand="0" w:evenVBand="0" w:oddHBand="0" w:evenHBand="0" w:firstRowFirstColumn="0" w:firstRowLastColumn="0" w:lastRowFirstColumn="0" w:lastRowLastColumn="0"/>
            <w:tcW w:w="2693" w:type="dxa"/>
            <w:hideMark/>
          </w:tcPr>
          <w:p w:rsidR="007E1A35" w:rsidRPr="007E1A35" w:rsidRDefault="007E1A35" w:rsidP="007E1A35">
            <w:pPr>
              <w:rPr>
                <w:rFonts w:ascii="Calibri" w:hAnsi="Calibri"/>
                <w:sz w:val="20"/>
                <w:szCs w:val="20"/>
                <w:lang w:val="sr-Latn-ME" w:eastAsia="en-US"/>
              </w:rPr>
            </w:pPr>
            <w:r w:rsidRPr="007E1A35">
              <w:rPr>
                <w:rFonts w:ascii="Calibri" w:hAnsi="Calibri"/>
                <w:sz w:val="20"/>
                <w:szCs w:val="20"/>
                <w:lang w:val="sr-Latn-ME" w:eastAsia="en-US"/>
              </w:rPr>
              <w:t>Za potrebe izmirenja obaveza prema Strabag AG</w:t>
            </w:r>
          </w:p>
        </w:tc>
        <w:tc>
          <w:tcPr>
            <w:tcW w:w="169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JP “Regionalni Vodovod  Crnogorsko Primorje” – Budva</w:t>
            </w:r>
          </w:p>
        </w:tc>
        <w:tc>
          <w:tcPr>
            <w:tcW w:w="1638"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08.05.2019</w:t>
            </w:r>
          </w:p>
        </w:tc>
        <w:tc>
          <w:tcPr>
            <w:tcW w:w="1199"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5.00</w:t>
            </w:r>
          </w:p>
        </w:tc>
        <w:tc>
          <w:tcPr>
            <w:tcW w:w="128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5.00</w:t>
            </w:r>
          </w:p>
        </w:tc>
        <w:tc>
          <w:tcPr>
            <w:tcW w:w="992"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4.75</w:t>
            </w:r>
          </w:p>
        </w:tc>
      </w:tr>
      <w:tr w:rsidR="007E1A35" w:rsidRPr="007E1A35" w:rsidTr="007E1A35">
        <w:trPr>
          <w:cnfStyle w:val="000000100000" w:firstRow="0" w:lastRow="0" w:firstColumn="0" w:lastColumn="0" w:oddVBand="0" w:evenVBand="0" w:oddHBand="1" w:evenHBand="0" w:firstRowFirstColumn="0" w:firstRowLastColumn="0" w:lastRowFirstColumn="0" w:lastRowLastColumn="0"/>
          <w:divId w:val="951203463"/>
          <w:trHeight w:val="448"/>
        </w:trPr>
        <w:tc>
          <w:tcPr>
            <w:cnfStyle w:val="001000000000" w:firstRow="0" w:lastRow="0" w:firstColumn="1" w:lastColumn="0" w:oddVBand="0" w:evenVBand="0" w:oddHBand="0" w:evenHBand="0" w:firstRowFirstColumn="0" w:firstRowLastColumn="0" w:lastRowFirstColumn="0" w:lastRowLastColumn="0"/>
            <w:tcW w:w="2693" w:type="dxa"/>
            <w:hideMark/>
          </w:tcPr>
          <w:p w:rsidR="007E1A35" w:rsidRPr="007E1A35" w:rsidRDefault="007E1A35" w:rsidP="007E1A35">
            <w:pPr>
              <w:rPr>
                <w:rFonts w:ascii="Calibri" w:hAnsi="Calibri"/>
                <w:sz w:val="20"/>
                <w:szCs w:val="20"/>
                <w:lang w:val="sr-Latn-ME" w:eastAsia="en-US"/>
              </w:rPr>
            </w:pPr>
            <w:r w:rsidRPr="007E1A35">
              <w:rPr>
                <w:rFonts w:ascii="Calibri" w:hAnsi="Calibri"/>
                <w:sz w:val="20"/>
                <w:szCs w:val="20"/>
                <w:lang w:val="sr-Latn-ME" w:eastAsia="en-US"/>
              </w:rPr>
              <w:t>Za izgradnju stambene zgrade za prosvjetne radnike u Budvi</w:t>
            </w:r>
          </w:p>
        </w:tc>
        <w:tc>
          <w:tcPr>
            <w:tcW w:w="169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Stambena zadruga radnika prosvjete CG "Solidarno" Podgorica</w:t>
            </w:r>
          </w:p>
        </w:tc>
        <w:tc>
          <w:tcPr>
            <w:tcW w:w="1638"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30.12.2019</w:t>
            </w:r>
          </w:p>
        </w:tc>
        <w:tc>
          <w:tcPr>
            <w:tcW w:w="1199"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1.20</w:t>
            </w:r>
          </w:p>
        </w:tc>
        <w:tc>
          <w:tcPr>
            <w:tcW w:w="128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1.20</w:t>
            </w:r>
          </w:p>
        </w:tc>
        <w:tc>
          <w:tcPr>
            <w:tcW w:w="992"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lang w:val="sr-Latn-ME" w:eastAsia="en-US"/>
              </w:rPr>
            </w:pPr>
            <w:r w:rsidRPr="007E1A35">
              <w:rPr>
                <w:rFonts w:ascii="Calibri" w:hAnsi="Calibri"/>
                <w:sz w:val="20"/>
                <w:szCs w:val="20"/>
                <w:lang w:val="sr-Latn-ME" w:eastAsia="en-US"/>
              </w:rPr>
              <w:t>1.20</w:t>
            </w:r>
          </w:p>
        </w:tc>
      </w:tr>
      <w:tr w:rsidR="007E1A35" w:rsidRPr="007E1A35" w:rsidTr="007E1A35">
        <w:trPr>
          <w:divId w:val="951203463"/>
          <w:trHeight w:val="181"/>
        </w:trPr>
        <w:tc>
          <w:tcPr>
            <w:cnfStyle w:val="001000000000" w:firstRow="0" w:lastRow="0" w:firstColumn="1" w:lastColumn="0" w:oddVBand="0" w:evenVBand="0" w:oddHBand="0" w:evenHBand="0" w:firstRowFirstColumn="0" w:firstRowLastColumn="0" w:lastRowFirstColumn="0" w:lastRowLastColumn="0"/>
            <w:tcW w:w="2693" w:type="dxa"/>
            <w:noWrap/>
            <w:hideMark/>
          </w:tcPr>
          <w:p w:rsidR="007E1A35" w:rsidRPr="007E1A35" w:rsidRDefault="007E1A35" w:rsidP="007E1A35">
            <w:r w:rsidRPr="007E1A35">
              <w:rPr>
                <w:rFonts w:ascii="Calibri" w:hAnsi="Calibri"/>
                <w:sz w:val="20"/>
                <w:szCs w:val="20"/>
                <w:lang w:val="sr-Latn-ME" w:eastAsia="en-US"/>
              </w:rPr>
              <w:t xml:space="preserve">Ukupno Prva Banka </w:t>
            </w:r>
            <w:r w:rsidRPr="007E1A35">
              <w:t>VII</w:t>
            </w:r>
          </w:p>
        </w:tc>
        <w:tc>
          <w:tcPr>
            <w:tcW w:w="169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pPr>
            <w:r w:rsidRPr="007E1A35">
              <w:rPr>
                <w:rFonts w:ascii="Calibri" w:hAnsi="Calibri"/>
                <w:b/>
                <w:sz w:val="20"/>
                <w:szCs w:val="20"/>
                <w:lang w:val="sr-Latn-ME" w:eastAsia="en-US"/>
              </w:rPr>
              <w:t> </w:t>
            </w:r>
          </w:p>
        </w:tc>
        <w:tc>
          <w:tcPr>
            <w:tcW w:w="1638"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pPr>
            <w:r w:rsidRPr="007E1A35">
              <w:rPr>
                <w:rFonts w:ascii="Calibri" w:hAnsi="Calibri"/>
                <w:b/>
                <w:sz w:val="20"/>
                <w:szCs w:val="20"/>
                <w:lang w:val="sr-Latn-ME" w:eastAsia="en-US"/>
              </w:rPr>
              <w:t> </w:t>
            </w:r>
          </w:p>
        </w:tc>
        <w:tc>
          <w:tcPr>
            <w:tcW w:w="1199"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6.20</w:t>
            </w:r>
          </w:p>
        </w:tc>
        <w:tc>
          <w:tcPr>
            <w:tcW w:w="1287"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6.20</w:t>
            </w:r>
          </w:p>
        </w:tc>
        <w:tc>
          <w:tcPr>
            <w:tcW w:w="992" w:type="dxa"/>
            <w:hideMark/>
          </w:tcPr>
          <w:p w:rsidR="007E1A35" w:rsidRPr="007E1A35" w:rsidRDefault="007E1A35" w:rsidP="007E1A35">
            <w:pPr>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5.95</w:t>
            </w:r>
          </w:p>
        </w:tc>
      </w:tr>
      <w:tr w:rsidR="007E1A35" w:rsidRPr="007E1A35" w:rsidTr="007E1A35">
        <w:trPr>
          <w:cnfStyle w:val="000000100000" w:firstRow="0" w:lastRow="0" w:firstColumn="0" w:lastColumn="0" w:oddVBand="0" w:evenVBand="0" w:oddHBand="1" w:evenHBand="0" w:firstRowFirstColumn="0" w:firstRowLastColumn="0" w:lastRowFirstColumn="0" w:lastRowLastColumn="0"/>
          <w:divId w:val="951203463"/>
          <w:trHeight w:val="189"/>
        </w:trPr>
        <w:tc>
          <w:tcPr>
            <w:cnfStyle w:val="001000000000" w:firstRow="0" w:lastRow="0" w:firstColumn="1" w:lastColumn="0" w:oddVBand="0" w:evenVBand="0" w:oddHBand="0" w:evenHBand="0" w:firstRowFirstColumn="0" w:firstRowLastColumn="0" w:lastRowFirstColumn="0" w:lastRowLastColumn="0"/>
            <w:tcW w:w="2693" w:type="dxa"/>
            <w:noWrap/>
            <w:hideMark/>
          </w:tcPr>
          <w:p w:rsidR="007E1A35" w:rsidRPr="007E1A35" w:rsidRDefault="007E1A35" w:rsidP="007E1A35">
            <w:r w:rsidRPr="007E1A35">
              <w:rPr>
                <w:rFonts w:ascii="Calibri" w:hAnsi="Calibri"/>
                <w:sz w:val="20"/>
                <w:szCs w:val="20"/>
                <w:lang w:val="sr-Latn-ME" w:eastAsia="en-US"/>
              </w:rPr>
              <w:t xml:space="preserve">UKUPNO </w:t>
            </w:r>
            <w:r w:rsidRPr="007E1A35">
              <w:t>I+II+III+IV+V+VI+VII</w:t>
            </w:r>
          </w:p>
        </w:tc>
        <w:tc>
          <w:tcPr>
            <w:tcW w:w="169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pPr>
            <w:r w:rsidRPr="007E1A35">
              <w:rPr>
                <w:rFonts w:ascii="Calibri" w:hAnsi="Calibri"/>
                <w:b/>
                <w:sz w:val="20"/>
                <w:szCs w:val="20"/>
                <w:lang w:val="sr-Latn-ME" w:eastAsia="en-US"/>
              </w:rPr>
              <w:t> </w:t>
            </w:r>
          </w:p>
        </w:tc>
        <w:tc>
          <w:tcPr>
            <w:tcW w:w="1638"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pPr>
            <w:r w:rsidRPr="007E1A35">
              <w:rPr>
                <w:rFonts w:ascii="Calibri" w:hAnsi="Calibri"/>
                <w:b/>
                <w:sz w:val="20"/>
                <w:szCs w:val="20"/>
                <w:lang w:val="sr-Latn-ME" w:eastAsia="en-US"/>
              </w:rPr>
              <w:t> </w:t>
            </w:r>
          </w:p>
        </w:tc>
        <w:tc>
          <w:tcPr>
            <w:tcW w:w="1199"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72.15</w:t>
            </w:r>
          </w:p>
        </w:tc>
        <w:tc>
          <w:tcPr>
            <w:tcW w:w="1287"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72.06</w:t>
            </w:r>
          </w:p>
        </w:tc>
        <w:tc>
          <w:tcPr>
            <w:tcW w:w="992" w:type="dxa"/>
            <w:hideMark/>
          </w:tcPr>
          <w:p w:rsidR="007E1A35" w:rsidRPr="007E1A35" w:rsidRDefault="007E1A35" w:rsidP="007E1A35">
            <w:pPr>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lang w:val="sr-Latn-ME" w:eastAsia="en-US"/>
              </w:rPr>
            </w:pPr>
            <w:r w:rsidRPr="007E1A35">
              <w:rPr>
                <w:rFonts w:ascii="Calibri" w:hAnsi="Calibri"/>
                <w:b/>
                <w:sz w:val="20"/>
                <w:szCs w:val="20"/>
                <w:lang w:val="sr-Latn-ME" w:eastAsia="en-US"/>
              </w:rPr>
              <w:t>45.35</w:t>
            </w:r>
          </w:p>
        </w:tc>
      </w:tr>
    </w:tbl>
    <w:p w:rsidR="006A01CD" w:rsidRPr="00AA0BC4" w:rsidRDefault="00773897" w:rsidP="00AA0BC4">
      <w:pPr>
        <w:spacing w:after="160"/>
        <w:rPr>
          <w:rFonts w:ascii="Cambria" w:eastAsia="Cambria" w:hAnsi="Cambria"/>
          <w:bCs/>
          <w:smallCaps/>
          <w:color w:val="5E5E5E"/>
          <w:sz w:val="36"/>
          <w:szCs w:val="36"/>
          <w:lang w:val="sr-Latn-RS" w:eastAsia="en-US"/>
        </w:rPr>
      </w:pPr>
      <w:r w:rsidRPr="00773897">
        <w:rPr>
          <w:rFonts w:ascii="Cambria" w:hAnsi="Cambria"/>
          <w:b/>
          <w:color w:val="418AB3"/>
          <w:sz w:val="20"/>
          <w:szCs w:val="20"/>
          <w:lang w:val="sr-Latn-ME" w:eastAsia="en-US"/>
        </w:rPr>
        <w:fldChar w:fldCharType="end"/>
      </w:r>
    </w:p>
    <w:sectPr w:rsidR="006A01CD" w:rsidRPr="00AA0BC4" w:rsidSect="006B3676">
      <w:headerReference w:type="default" r:id="rId19"/>
      <w:footerReference w:type="defaul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E7E" w:rsidRDefault="001A0E7E" w:rsidP="008F6389">
      <w:r>
        <w:separator/>
      </w:r>
    </w:p>
  </w:endnote>
  <w:endnote w:type="continuationSeparator" w:id="0">
    <w:p w:rsidR="001A0E7E" w:rsidRDefault="001A0E7E" w:rsidP="008F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24170"/>
      <w:docPartObj>
        <w:docPartGallery w:val="Page Numbers (Bottom of Page)"/>
        <w:docPartUnique/>
      </w:docPartObj>
    </w:sdtPr>
    <w:sdtEndPr>
      <w:rPr>
        <w:noProof/>
      </w:rPr>
    </w:sdtEndPr>
    <w:sdtContent>
      <w:p w:rsidR="00B45A50" w:rsidRDefault="00B45A50">
        <w:pPr>
          <w:pStyle w:val="Footer"/>
          <w:jc w:val="right"/>
        </w:pPr>
        <w:r>
          <w:fldChar w:fldCharType="begin"/>
        </w:r>
        <w:r>
          <w:instrText xml:space="preserve"> PAGE   \* MERGEFORMAT </w:instrText>
        </w:r>
        <w:r>
          <w:fldChar w:fldCharType="separate"/>
        </w:r>
        <w:r w:rsidR="00FF0D2F">
          <w:rPr>
            <w:noProof/>
          </w:rPr>
          <w:t>2</w:t>
        </w:r>
        <w:r>
          <w:rPr>
            <w:noProof/>
          </w:rPr>
          <w:fldChar w:fldCharType="end"/>
        </w:r>
      </w:p>
    </w:sdtContent>
  </w:sdt>
  <w:p w:rsidR="00B45A50" w:rsidRDefault="00B45A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A50" w:rsidRPr="00B534EB" w:rsidRDefault="00B45A50" w:rsidP="00B534EB">
    <w:pPr>
      <w:tabs>
        <w:tab w:val="center" w:pos="4536"/>
        <w:tab w:val="right" w:pos="9072"/>
      </w:tabs>
    </w:pPr>
  </w:p>
  <w:p w:rsidR="00B45A50" w:rsidRDefault="00B45A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E7E" w:rsidRDefault="001A0E7E" w:rsidP="008F6389">
      <w:r>
        <w:separator/>
      </w:r>
    </w:p>
  </w:footnote>
  <w:footnote w:type="continuationSeparator" w:id="0">
    <w:p w:rsidR="001A0E7E" w:rsidRDefault="001A0E7E" w:rsidP="008F6389">
      <w:r>
        <w:continuationSeparator/>
      </w:r>
    </w:p>
  </w:footnote>
  <w:footnote w:id="1">
    <w:p w:rsidR="00B45A50" w:rsidRPr="00391EC4" w:rsidRDefault="00B45A50" w:rsidP="00773897">
      <w:pPr>
        <w:pStyle w:val="FootnoteText"/>
        <w:rPr>
          <w:lang w:val="sr-Latn-RS"/>
        </w:rPr>
      </w:pPr>
      <w:r>
        <w:rPr>
          <w:rStyle w:val="FootnoteReference"/>
        </w:rPr>
        <w:footnoteRef/>
      </w:r>
      <w:r>
        <w:t xml:space="preserve"> </w:t>
      </w:r>
      <w:r>
        <w:rPr>
          <w:lang w:val="sr-Latn-RS"/>
        </w:rPr>
        <w:t xml:space="preserve">Prema podacima MONSTAT-a, BDP za 2019. godinu </w:t>
      </w:r>
      <w:r w:rsidRPr="00FF4027">
        <w:rPr>
          <w:lang w:val="sr-Latn-RS"/>
        </w:rPr>
        <w:t>iznosi 4951 miliona</w:t>
      </w:r>
      <w:r>
        <w:rPr>
          <w:lang w:val="sr-Latn-RS"/>
        </w:rPr>
        <w:t xml:space="preserve"> eura.</w:t>
      </w:r>
    </w:p>
  </w:footnote>
  <w:footnote w:id="2">
    <w:p w:rsidR="00B45A50" w:rsidRPr="00786EA9" w:rsidRDefault="00B45A50" w:rsidP="00773897">
      <w:pPr>
        <w:pStyle w:val="FootnoteText"/>
        <w:jc w:val="both"/>
        <w:rPr>
          <w:rFonts w:ascii="Cambria" w:hAnsi="Cambria"/>
        </w:rPr>
      </w:pPr>
      <w:r w:rsidRPr="00786EA9">
        <w:rPr>
          <w:rStyle w:val="FootnoteReference"/>
          <w:rFonts w:ascii="Cambria" w:hAnsi="Cambria"/>
        </w:rPr>
        <w:footnoteRef/>
      </w:r>
      <w:r w:rsidRPr="00786EA9">
        <w:rPr>
          <w:rFonts w:ascii="Cambria" w:hAnsi="Cambria"/>
        </w:rPr>
        <w:t xml:space="preserve"> Navedeno stanje državnog duga ne uključuje dug po osnovu zaostalih penzija i pravnih lica i privrednih društava, u ukupnom iznosu od </w:t>
      </w:r>
      <w:r>
        <w:rPr>
          <w:rFonts w:ascii="Cambria" w:hAnsi="Cambria"/>
        </w:rPr>
        <w:t>47,7</w:t>
      </w:r>
      <w:r w:rsidRPr="00786EA9">
        <w:rPr>
          <w:rFonts w:ascii="Cambria" w:hAnsi="Cambria"/>
        </w:rPr>
        <w:t xml:space="preserve"> </w:t>
      </w:r>
      <w:r>
        <w:rPr>
          <w:rFonts w:ascii="Cambria" w:hAnsi="Cambria"/>
        </w:rPr>
        <w:t>miliona</w:t>
      </w:r>
      <w:r w:rsidRPr="00786EA9">
        <w:rPr>
          <w:rFonts w:ascii="Cambria" w:hAnsi="Cambria"/>
        </w:rPr>
        <w:t xml:space="preserve"> eura.</w:t>
      </w:r>
    </w:p>
  </w:footnote>
  <w:footnote w:id="3">
    <w:p w:rsidR="00B45A50" w:rsidRPr="00C94A6D" w:rsidRDefault="00B45A50" w:rsidP="00773897">
      <w:pPr>
        <w:pStyle w:val="FootnoteText"/>
        <w:rPr>
          <w:rFonts w:ascii="Cambria" w:hAnsi="Cambria"/>
        </w:rPr>
      </w:pPr>
      <w:r w:rsidRPr="00C94A6D">
        <w:rPr>
          <w:rStyle w:val="FootnoteReference"/>
          <w:rFonts w:ascii="Cambria" w:hAnsi="Cambria"/>
        </w:rPr>
        <w:footnoteRef/>
      </w:r>
      <w:r w:rsidRPr="00C94A6D">
        <w:rPr>
          <w:rFonts w:ascii="Cambria" w:hAnsi="Cambria"/>
        </w:rPr>
        <w:t xml:space="preserve"> Prema kursu na dan 31.12.201</w:t>
      </w:r>
      <w:r>
        <w:rPr>
          <w:rFonts w:ascii="Cambria" w:hAnsi="Cambria"/>
        </w:rPr>
        <w:t>9</w:t>
      </w:r>
      <w:r w:rsidRPr="00C94A6D">
        <w:rPr>
          <w:rFonts w:ascii="Cambria" w:hAnsi="Cambria"/>
        </w:rPr>
        <w:t>. godine</w:t>
      </w:r>
    </w:p>
  </w:footnote>
  <w:footnote w:id="4">
    <w:p w:rsidR="00B45A50" w:rsidRPr="003958AA" w:rsidRDefault="00B45A50" w:rsidP="00773897">
      <w:pPr>
        <w:pStyle w:val="FootnoteText"/>
        <w:rPr>
          <w:lang w:val="sr-Latn-ME"/>
        </w:rPr>
      </w:pPr>
      <w:r>
        <w:rPr>
          <w:rStyle w:val="FootnoteReference"/>
        </w:rPr>
        <w:footnoteRef/>
      </w:r>
      <w:r>
        <w:t xml:space="preserve"> Navedeni iznos uključuje i refinansiranje državnih zapisa u iznosu od 144 miliona eura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A50" w:rsidRPr="007E3411" w:rsidRDefault="00B45A50" w:rsidP="00224A5A">
    <w:pPr>
      <w:pStyle w:val="Header"/>
      <w:rPr>
        <w:lang w:val="sr-Latn-RS"/>
      </w:rPr>
    </w:pPr>
    <w:r>
      <w:rPr>
        <w:lang w:val="en-GB"/>
      </w:rPr>
      <w:tab/>
    </w:r>
    <w:r>
      <w:rPr>
        <w:lang w:val="en-GB"/>
      </w:rPr>
      <w:tab/>
    </w:r>
  </w:p>
  <w:p w:rsidR="00B45A50" w:rsidRPr="007E3411" w:rsidRDefault="00B45A50">
    <w:pPr>
      <w:pStyle w:val="Header"/>
      <w:rPr>
        <w:lang w:val="sr-Latn-R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3410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FC56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0CF2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229B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5858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E6F7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EE3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F4A1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CE2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2A5E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68C"/>
    <w:multiLevelType w:val="hybridMultilevel"/>
    <w:tmpl w:val="396A0C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1A555D"/>
    <w:multiLevelType w:val="hybridMultilevel"/>
    <w:tmpl w:val="FCF60B22"/>
    <w:lvl w:ilvl="0" w:tplc="0614A9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A62F7"/>
    <w:multiLevelType w:val="multilevel"/>
    <w:tmpl w:val="51DCDC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E190675"/>
    <w:multiLevelType w:val="hybridMultilevel"/>
    <w:tmpl w:val="6E5ADD16"/>
    <w:lvl w:ilvl="0" w:tplc="4E4E9C16">
      <w:start w:val="20"/>
      <w:numFmt w:val="bullet"/>
      <w:lvlText w:val="-"/>
      <w:lvlJc w:val="left"/>
      <w:pPr>
        <w:ind w:left="720" w:hanging="360"/>
      </w:pPr>
      <w:rPr>
        <w:rFonts w:ascii="Arial Narrow" w:eastAsia="Times New Roman" w:hAnsi="Arial Narrow"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660DD3"/>
    <w:multiLevelType w:val="hybridMultilevel"/>
    <w:tmpl w:val="4648AB78"/>
    <w:lvl w:ilvl="0" w:tplc="E470586A">
      <w:numFmt w:val="bullet"/>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4535905"/>
    <w:multiLevelType w:val="hybridMultilevel"/>
    <w:tmpl w:val="CDDA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EE7BC9"/>
    <w:multiLevelType w:val="hybridMultilevel"/>
    <w:tmpl w:val="48EE39E6"/>
    <w:lvl w:ilvl="0" w:tplc="E0DAC13A">
      <w:start w:val="1"/>
      <w:numFmt w:val="decimal"/>
      <w:lvlText w:val="%1."/>
      <w:lvlJc w:val="left"/>
      <w:pPr>
        <w:ind w:left="720" w:hanging="360"/>
      </w:pPr>
      <w:rPr>
        <w:rFonts w:ascii="Cambria" w:hAnsi="Cambria"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1264C0"/>
    <w:multiLevelType w:val="hybridMultilevel"/>
    <w:tmpl w:val="7E667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BD5AF9"/>
    <w:multiLevelType w:val="hybridMultilevel"/>
    <w:tmpl w:val="7E30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894A39"/>
    <w:multiLevelType w:val="hybridMultilevel"/>
    <w:tmpl w:val="6EB2FA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7779AA"/>
    <w:multiLevelType w:val="hybridMultilevel"/>
    <w:tmpl w:val="576AE61C"/>
    <w:lvl w:ilvl="0" w:tplc="3B24672A">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21" w15:restartNumberingAfterBreak="0">
    <w:nsid w:val="31EC6866"/>
    <w:multiLevelType w:val="hybridMultilevel"/>
    <w:tmpl w:val="D6D086D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5A07510"/>
    <w:multiLevelType w:val="hybridMultilevel"/>
    <w:tmpl w:val="56567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BF1B42"/>
    <w:multiLevelType w:val="multilevel"/>
    <w:tmpl w:val="FD4E1F0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4" w15:restartNumberingAfterBreak="0">
    <w:nsid w:val="40C15F27"/>
    <w:multiLevelType w:val="hybridMultilevel"/>
    <w:tmpl w:val="6EB2FA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12C640F"/>
    <w:multiLevelType w:val="hybridMultilevel"/>
    <w:tmpl w:val="D906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9525D"/>
    <w:multiLevelType w:val="hybridMultilevel"/>
    <w:tmpl w:val="F1387880"/>
    <w:lvl w:ilvl="0" w:tplc="8110AA94">
      <w:start w:val="1"/>
      <w:numFmt w:val="decimal"/>
      <w:lvlText w:val="%1."/>
      <w:lvlJc w:val="left"/>
      <w:pPr>
        <w:ind w:left="1506"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A6121B1"/>
    <w:multiLevelType w:val="hybridMultilevel"/>
    <w:tmpl w:val="96B04C26"/>
    <w:lvl w:ilvl="0" w:tplc="8110AA94">
      <w:start w:val="1"/>
      <w:numFmt w:val="decimal"/>
      <w:lvlText w:val="%1."/>
      <w:lvlJc w:val="left"/>
      <w:pPr>
        <w:ind w:left="1506"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B8A3472"/>
    <w:multiLevelType w:val="multilevel"/>
    <w:tmpl w:val="FD4E1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C5518C9"/>
    <w:multiLevelType w:val="hybridMultilevel"/>
    <w:tmpl w:val="5A1079A6"/>
    <w:lvl w:ilvl="0" w:tplc="BF64EB1C">
      <w:start w:val="7"/>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4DE33D67"/>
    <w:multiLevelType w:val="hybridMultilevel"/>
    <w:tmpl w:val="9CF8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7D26CF"/>
    <w:multiLevelType w:val="hybridMultilevel"/>
    <w:tmpl w:val="298C6A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47B39BB"/>
    <w:multiLevelType w:val="hybridMultilevel"/>
    <w:tmpl w:val="D020F950"/>
    <w:lvl w:ilvl="0" w:tplc="7B0E39F4">
      <w:start w:val="3"/>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74C5D"/>
    <w:multiLevelType w:val="hybridMultilevel"/>
    <w:tmpl w:val="FCA4C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9F3FF9"/>
    <w:multiLevelType w:val="hybridMultilevel"/>
    <w:tmpl w:val="41221C4E"/>
    <w:lvl w:ilvl="0" w:tplc="8110AA94">
      <w:start w:val="1"/>
      <w:numFmt w:val="decimal"/>
      <w:lvlText w:val="%1."/>
      <w:lvlJc w:val="left"/>
      <w:pPr>
        <w:ind w:left="360" w:hanging="360"/>
      </w:pPr>
      <w:rPr>
        <w:b w:val="0"/>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5" w15:restartNumberingAfterBreak="0">
    <w:nsid w:val="57C329DD"/>
    <w:multiLevelType w:val="hybridMultilevel"/>
    <w:tmpl w:val="E954FC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A372A1B"/>
    <w:multiLevelType w:val="hybridMultilevel"/>
    <w:tmpl w:val="CDAE0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C800FC"/>
    <w:multiLevelType w:val="hybridMultilevel"/>
    <w:tmpl w:val="F806C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30B597C"/>
    <w:multiLevelType w:val="hybridMultilevel"/>
    <w:tmpl w:val="4560D1B6"/>
    <w:lvl w:ilvl="0" w:tplc="9574FD8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65FD5573"/>
    <w:multiLevelType w:val="hybridMultilevel"/>
    <w:tmpl w:val="AA08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227A1B"/>
    <w:multiLevelType w:val="hybridMultilevel"/>
    <w:tmpl w:val="549A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AA33AC"/>
    <w:multiLevelType w:val="hybridMultilevel"/>
    <w:tmpl w:val="11C89E4A"/>
    <w:lvl w:ilvl="0" w:tplc="E470586A">
      <w:numFmt w:val="bullet"/>
      <w:lvlText w:val="-"/>
      <w:lvlJc w:val="left"/>
      <w:pPr>
        <w:ind w:left="720" w:hanging="360"/>
      </w:pPr>
      <w:rPr>
        <w:rFonts w:ascii="Calibri" w:eastAsia="Calibri" w:hAnsi="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54364F"/>
    <w:multiLevelType w:val="hybridMultilevel"/>
    <w:tmpl w:val="1D96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CC04E0"/>
    <w:multiLevelType w:val="hybridMultilevel"/>
    <w:tmpl w:val="1BF290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F2B202E"/>
    <w:multiLevelType w:val="hybridMultilevel"/>
    <w:tmpl w:val="CA7C87E4"/>
    <w:lvl w:ilvl="0" w:tplc="00DC4948">
      <w:start w:val="1"/>
      <w:numFmt w:val="decimal"/>
      <w:lvlText w:val="%1."/>
      <w:lvlJc w:val="left"/>
      <w:pPr>
        <w:ind w:left="720" w:hanging="360"/>
      </w:pPr>
      <w:rPr>
        <w:rFonts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040B96"/>
    <w:multiLevelType w:val="multilevel"/>
    <w:tmpl w:val="51DCDC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C7F6BC8"/>
    <w:multiLevelType w:val="hybridMultilevel"/>
    <w:tmpl w:val="F974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EC6B58"/>
    <w:multiLevelType w:val="hybridMultilevel"/>
    <w:tmpl w:val="D2DCE59A"/>
    <w:lvl w:ilvl="0" w:tplc="48C62A18">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B0F6C"/>
    <w:multiLevelType w:val="hybridMultilevel"/>
    <w:tmpl w:val="B338F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35"/>
  </w:num>
  <w:num w:numId="4">
    <w:abstractNumId w:val="34"/>
  </w:num>
  <w:num w:numId="5">
    <w:abstractNumId w:val="13"/>
  </w:num>
  <w:num w:numId="6">
    <w:abstractNumId w:val="4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38"/>
  </w:num>
  <w:num w:numId="19">
    <w:abstractNumId w:val="29"/>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num>
  <w:num w:numId="23">
    <w:abstractNumId w:val="33"/>
  </w:num>
  <w:num w:numId="24">
    <w:abstractNumId w:val="47"/>
  </w:num>
  <w:num w:numId="25">
    <w:abstractNumId w:val="31"/>
  </w:num>
  <w:num w:numId="26">
    <w:abstractNumId w:val="21"/>
  </w:num>
  <w:num w:numId="27">
    <w:abstractNumId w:val="27"/>
  </w:num>
  <w:num w:numId="28">
    <w:abstractNumId w:val="26"/>
  </w:num>
  <w:num w:numId="29">
    <w:abstractNumId w:val="36"/>
  </w:num>
  <w:num w:numId="30">
    <w:abstractNumId w:val="44"/>
  </w:num>
  <w:num w:numId="31">
    <w:abstractNumId w:val="19"/>
  </w:num>
  <w:num w:numId="32">
    <w:abstractNumId w:val="10"/>
  </w:num>
  <w:num w:numId="33">
    <w:abstractNumId w:val="24"/>
  </w:num>
  <w:num w:numId="34">
    <w:abstractNumId w:val="32"/>
  </w:num>
  <w:num w:numId="35">
    <w:abstractNumId w:val="43"/>
  </w:num>
  <w:num w:numId="36">
    <w:abstractNumId w:val="22"/>
  </w:num>
  <w:num w:numId="37">
    <w:abstractNumId w:val="48"/>
  </w:num>
  <w:num w:numId="38">
    <w:abstractNumId w:val="37"/>
  </w:num>
  <w:num w:numId="39">
    <w:abstractNumId w:val="42"/>
  </w:num>
  <w:num w:numId="40">
    <w:abstractNumId w:val="18"/>
  </w:num>
  <w:num w:numId="41">
    <w:abstractNumId w:val="39"/>
  </w:num>
  <w:num w:numId="42">
    <w:abstractNumId w:val="25"/>
  </w:num>
  <w:num w:numId="43">
    <w:abstractNumId w:val="45"/>
  </w:num>
  <w:num w:numId="44">
    <w:abstractNumId w:val="30"/>
  </w:num>
  <w:num w:numId="45">
    <w:abstractNumId w:val="12"/>
  </w:num>
  <w:num w:numId="46">
    <w:abstractNumId w:val="16"/>
  </w:num>
  <w:num w:numId="47">
    <w:abstractNumId w:val="17"/>
  </w:num>
  <w:num w:numId="48">
    <w:abstractNumId w:val="28"/>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C1"/>
    <w:rsid w:val="000079A9"/>
    <w:rsid w:val="000151F1"/>
    <w:rsid w:val="000174AE"/>
    <w:rsid w:val="0002141D"/>
    <w:rsid w:val="00022669"/>
    <w:rsid w:val="00025CF8"/>
    <w:rsid w:val="000322B9"/>
    <w:rsid w:val="00045D84"/>
    <w:rsid w:val="00055CE3"/>
    <w:rsid w:val="00070E80"/>
    <w:rsid w:val="00075DA6"/>
    <w:rsid w:val="00091C90"/>
    <w:rsid w:val="00097B0E"/>
    <w:rsid w:val="000A22D9"/>
    <w:rsid w:val="000A3E39"/>
    <w:rsid w:val="000A7C77"/>
    <w:rsid w:val="000B66F2"/>
    <w:rsid w:val="000C4598"/>
    <w:rsid w:val="000C4C7B"/>
    <w:rsid w:val="000D19DF"/>
    <w:rsid w:val="000D473F"/>
    <w:rsid w:val="000E08C9"/>
    <w:rsid w:val="000F3853"/>
    <w:rsid w:val="000F4BCB"/>
    <w:rsid w:val="00102161"/>
    <w:rsid w:val="00111289"/>
    <w:rsid w:val="00115B79"/>
    <w:rsid w:val="00120048"/>
    <w:rsid w:val="00121AFC"/>
    <w:rsid w:val="0013013F"/>
    <w:rsid w:val="0014467D"/>
    <w:rsid w:val="0015333D"/>
    <w:rsid w:val="00154217"/>
    <w:rsid w:val="0016074F"/>
    <w:rsid w:val="00172053"/>
    <w:rsid w:val="00174D6F"/>
    <w:rsid w:val="00181F44"/>
    <w:rsid w:val="00182B12"/>
    <w:rsid w:val="00186045"/>
    <w:rsid w:val="00191F50"/>
    <w:rsid w:val="001A0E7E"/>
    <w:rsid w:val="001A5A72"/>
    <w:rsid w:val="001B4626"/>
    <w:rsid w:val="001B766A"/>
    <w:rsid w:val="001D356D"/>
    <w:rsid w:val="0020464D"/>
    <w:rsid w:val="0020685E"/>
    <w:rsid w:val="00216495"/>
    <w:rsid w:val="00224A5A"/>
    <w:rsid w:val="00234239"/>
    <w:rsid w:val="002346C8"/>
    <w:rsid w:val="00235E0F"/>
    <w:rsid w:val="00236A0B"/>
    <w:rsid w:val="002500A6"/>
    <w:rsid w:val="00250EF7"/>
    <w:rsid w:val="00256829"/>
    <w:rsid w:val="00262218"/>
    <w:rsid w:val="002746B0"/>
    <w:rsid w:val="002773F9"/>
    <w:rsid w:val="00284107"/>
    <w:rsid w:val="0028462B"/>
    <w:rsid w:val="002B3EC8"/>
    <w:rsid w:val="002D39FE"/>
    <w:rsid w:val="00300D56"/>
    <w:rsid w:val="00305EB4"/>
    <w:rsid w:val="00306B9E"/>
    <w:rsid w:val="00316287"/>
    <w:rsid w:val="00343068"/>
    <w:rsid w:val="00346CD4"/>
    <w:rsid w:val="00350315"/>
    <w:rsid w:val="00354513"/>
    <w:rsid w:val="00356F75"/>
    <w:rsid w:val="003577CE"/>
    <w:rsid w:val="003620C1"/>
    <w:rsid w:val="00373ACA"/>
    <w:rsid w:val="00387B6E"/>
    <w:rsid w:val="00387CFA"/>
    <w:rsid w:val="00397676"/>
    <w:rsid w:val="003A6CE0"/>
    <w:rsid w:val="003B2514"/>
    <w:rsid w:val="003B6CAE"/>
    <w:rsid w:val="003C409A"/>
    <w:rsid w:val="003C6986"/>
    <w:rsid w:val="003D2BA0"/>
    <w:rsid w:val="003E6B68"/>
    <w:rsid w:val="003F0D51"/>
    <w:rsid w:val="003F7A75"/>
    <w:rsid w:val="0040469B"/>
    <w:rsid w:val="004325A5"/>
    <w:rsid w:val="00433C3B"/>
    <w:rsid w:val="00433E14"/>
    <w:rsid w:val="0043409A"/>
    <w:rsid w:val="00444986"/>
    <w:rsid w:val="00462591"/>
    <w:rsid w:val="00463262"/>
    <w:rsid w:val="00463DF3"/>
    <w:rsid w:val="00465E41"/>
    <w:rsid w:val="0048073B"/>
    <w:rsid w:val="004830DD"/>
    <w:rsid w:val="004859DD"/>
    <w:rsid w:val="00490C42"/>
    <w:rsid w:val="004961E5"/>
    <w:rsid w:val="004A14A4"/>
    <w:rsid w:val="004A297E"/>
    <w:rsid w:val="004A547D"/>
    <w:rsid w:val="004A73B2"/>
    <w:rsid w:val="004B0B2D"/>
    <w:rsid w:val="004C1079"/>
    <w:rsid w:val="004D0495"/>
    <w:rsid w:val="004E3950"/>
    <w:rsid w:val="004F07A4"/>
    <w:rsid w:val="005338BC"/>
    <w:rsid w:val="00535C69"/>
    <w:rsid w:val="005520EE"/>
    <w:rsid w:val="00552B8B"/>
    <w:rsid w:val="00552E5F"/>
    <w:rsid w:val="00560F18"/>
    <w:rsid w:val="00561FDC"/>
    <w:rsid w:val="00570415"/>
    <w:rsid w:val="00570C7D"/>
    <w:rsid w:val="005811B6"/>
    <w:rsid w:val="00583655"/>
    <w:rsid w:val="00584C04"/>
    <w:rsid w:val="00590F55"/>
    <w:rsid w:val="00595128"/>
    <w:rsid w:val="00595B4F"/>
    <w:rsid w:val="005A5313"/>
    <w:rsid w:val="005C0D02"/>
    <w:rsid w:val="005D66D9"/>
    <w:rsid w:val="006266C6"/>
    <w:rsid w:val="00627825"/>
    <w:rsid w:val="00654E4B"/>
    <w:rsid w:val="00670DF9"/>
    <w:rsid w:val="00673D00"/>
    <w:rsid w:val="00682922"/>
    <w:rsid w:val="006A01CD"/>
    <w:rsid w:val="006A38EA"/>
    <w:rsid w:val="006A6B18"/>
    <w:rsid w:val="006B3676"/>
    <w:rsid w:val="006B63C2"/>
    <w:rsid w:val="006C2E5A"/>
    <w:rsid w:val="006E6A37"/>
    <w:rsid w:val="006F7356"/>
    <w:rsid w:val="0071759C"/>
    <w:rsid w:val="00722817"/>
    <w:rsid w:val="0074274C"/>
    <w:rsid w:val="00746036"/>
    <w:rsid w:val="007461A4"/>
    <w:rsid w:val="00765329"/>
    <w:rsid w:val="00773897"/>
    <w:rsid w:val="00774CE4"/>
    <w:rsid w:val="00782955"/>
    <w:rsid w:val="00792913"/>
    <w:rsid w:val="007965B2"/>
    <w:rsid w:val="007A0AC0"/>
    <w:rsid w:val="007C17D9"/>
    <w:rsid w:val="007C3A04"/>
    <w:rsid w:val="007D700A"/>
    <w:rsid w:val="007E1A35"/>
    <w:rsid w:val="007E3411"/>
    <w:rsid w:val="00820CC5"/>
    <w:rsid w:val="00823F17"/>
    <w:rsid w:val="00826749"/>
    <w:rsid w:val="00833117"/>
    <w:rsid w:val="00833773"/>
    <w:rsid w:val="0083462F"/>
    <w:rsid w:val="00835FC8"/>
    <w:rsid w:val="0086689B"/>
    <w:rsid w:val="00874D31"/>
    <w:rsid w:val="00881220"/>
    <w:rsid w:val="00890F45"/>
    <w:rsid w:val="0089403B"/>
    <w:rsid w:val="00894108"/>
    <w:rsid w:val="00895351"/>
    <w:rsid w:val="008A0FBF"/>
    <w:rsid w:val="008A1C93"/>
    <w:rsid w:val="008A434D"/>
    <w:rsid w:val="008B52B4"/>
    <w:rsid w:val="008B5FCB"/>
    <w:rsid w:val="008C1FDB"/>
    <w:rsid w:val="008C2D10"/>
    <w:rsid w:val="008C4571"/>
    <w:rsid w:val="008D0899"/>
    <w:rsid w:val="008D6E97"/>
    <w:rsid w:val="008E49CB"/>
    <w:rsid w:val="008F3EFE"/>
    <w:rsid w:val="008F4E0B"/>
    <w:rsid w:val="008F6389"/>
    <w:rsid w:val="0090017E"/>
    <w:rsid w:val="009045F7"/>
    <w:rsid w:val="00905079"/>
    <w:rsid w:val="00906F11"/>
    <w:rsid w:val="00915F30"/>
    <w:rsid w:val="00922274"/>
    <w:rsid w:val="00924E6E"/>
    <w:rsid w:val="00926340"/>
    <w:rsid w:val="0093263A"/>
    <w:rsid w:val="00941085"/>
    <w:rsid w:val="00950B3A"/>
    <w:rsid w:val="0096704C"/>
    <w:rsid w:val="00973D24"/>
    <w:rsid w:val="00974E2B"/>
    <w:rsid w:val="009A25D1"/>
    <w:rsid w:val="009A6575"/>
    <w:rsid w:val="009B2808"/>
    <w:rsid w:val="009C6921"/>
    <w:rsid w:val="009E0B7D"/>
    <w:rsid w:val="009E5D23"/>
    <w:rsid w:val="009F1C20"/>
    <w:rsid w:val="00A16D57"/>
    <w:rsid w:val="00A2178E"/>
    <w:rsid w:val="00A21F55"/>
    <w:rsid w:val="00A233E2"/>
    <w:rsid w:val="00A31832"/>
    <w:rsid w:val="00A34B1B"/>
    <w:rsid w:val="00A35E29"/>
    <w:rsid w:val="00A41575"/>
    <w:rsid w:val="00A51FFC"/>
    <w:rsid w:val="00A55EF6"/>
    <w:rsid w:val="00A629F8"/>
    <w:rsid w:val="00A642F5"/>
    <w:rsid w:val="00A7168F"/>
    <w:rsid w:val="00A75AA0"/>
    <w:rsid w:val="00A775B2"/>
    <w:rsid w:val="00A778A0"/>
    <w:rsid w:val="00A844AC"/>
    <w:rsid w:val="00A92173"/>
    <w:rsid w:val="00AA0BC4"/>
    <w:rsid w:val="00AB0979"/>
    <w:rsid w:val="00AB4694"/>
    <w:rsid w:val="00AE09D7"/>
    <w:rsid w:val="00AE3663"/>
    <w:rsid w:val="00AE39E1"/>
    <w:rsid w:val="00AE5906"/>
    <w:rsid w:val="00AE64BC"/>
    <w:rsid w:val="00AF46F4"/>
    <w:rsid w:val="00AF5F4C"/>
    <w:rsid w:val="00B0222F"/>
    <w:rsid w:val="00B07FAD"/>
    <w:rsid w:val="00B322B2"/>
    <w:rsid w:val="00B32B8D"/>
    <w:rsid w:val="00B33D31"/>
    <w:rsid w:val="00B41105"/>
    <w:rsid w:val="00B45A50"/>
    <w:rsid w:val="00B4738C"/>
    <w:rsid w:val="00B534EB"/>
    <w:rsid w:val="00B54D9B"/>
    <w:rsid w:val="00B6634C"/>
    <w:rsid w:val="00B7089D"/>
    <w:rsid w:val="00B76C2D"/>
    <w:rsid w:val="00B81088"/>
    <w:rsid w:val="00B86AE0"/>
    <w:rsid w:val="00B95A5F"/>
    <w:rsid w:val="00BA2202"/>
    <w:rsid w:val="00BB2FAF"/>
    <w:rsid w:val="00BC2F62"/>
    <w:rsid w:val="00BC451E"/>
    <w:rsid w:val="00BD2B99"/>
    <w:rsid w:val="00BD5368"/>
    <w:rsid w:val="00BD7688"/>
    <w:rsid w:val="00BE11CC"/>
    <w:rsid w:val="00BE5501"/>
    <w:rsid w:val="00BF5620"/>
    <w:rsid w:val="00C11C08"/>
    <w:rsid w:val="00C20911"/>
    <w:rsid w:val="00C24981"/>
    <w:rsid w:val="00C2601F"/>
    <w:rsid w:val="00C401C2"/>
    <w:rsid w:val="00C44011"/>
    <w:rsid w:val="00C46AFF"/>
    <w:rsid w:val="00C531C1"/>
    <w:rsid w:val="00C60411"/>
    <w:rsid w:val="00C70C6E"/>
    <w:rsid w:val="00C75E77"/>
    <w:rsid w:val="00C8171A"/>
    <w:rsid w:val="00C92385"/>
    <w:rsid w:val="00CA17AC"/>
    <w:rsid w:val="00CB190E"/>
    <w:rsid w:val="00CB2BD1"/>
    <w:rsid w:val="00CD1F4B"/>
    <w:rsid w:val="00CD5E39"/>
    <w:rsid w:val="00CE0921"/>
    <w:rsid w:val="00CE5081"/>
    <w:rsid w:val="00CE5B31"/>
    <w:rsid w:val="00CE63B6"/>
    <w:rsid w:val="00CF1664"/>
    <w:rsid w:val="00CF4F3A"/>
    <w:rsid w:val="00D049F0"/>
    <w:rsid w:val="00D067D9"/>
    <w:rsid w:val="00D3042C"/>
    <w:rsid w:val="00D3147D"/>
    <w:rsid w:val="00D3498B"/>
    <w:rsid w:val="00D375C9"/>
    <w:rsid w:val="00D44699"/>
    <w:rsid w:val="00D4729C"/>
    <w:rsid w:val="00D56604"/>
    <w:rsid w:val="00D879FA"/>
    <w:rsid w:val="00D924F7"/>
    <w:rsid w:val="00D92F3C"/>
    <w:rsid w:val="00D96D0B"/>
    <w:rsid w:val="00DC2054"/>
    <w:rsid w:val="00DD1D83"/>
    <w:rsid w:val="00DD2349"/>
    <w:rsid w:val="00DD4A91"/>
    <w:rsid w:val="00DF2A66"/>
    <w:rsid w:val="00DF6FEE"/>
    <w:rsid w:val="00E01182"/>
    <w:rsid w:val="00E1317D"/>
    <w:rsid w:val="00E13F66"/>
    <w:rsid w:val="00E270B2"/>
    <w:rsid w:val="00E32A72"/>
    <w:rsid w:val="00E33584"/>
    <w:rsid w:val="00E33E8F"/>
    <w:rsid w:val="00E34E90"/>
    <w:rsid w:val="00E35EDD"/>
    <w:rsid w:val="00E45039"/>
    <w:rsid w:val="00E557CF"/>
    <w:rsid w:val="00E6343F"/>
    <w:rsid w:val="00E712B1"/>
    <w:rsid w:val="00E82664"/>
    <w:rsid w:val="00E829F5"/>
    <w:rsid w:val="00E8701F"/>
    <w:rsid w:val="00E91C4C"/>
    <w:rsid w:val="00E97213"/>
    <w:rsid w:val="00EB074B"/>
    <w:rsid w:val="00EB57C0"/>
    <w:rsid w:val="00ED210E"/>
    <w:rsid w:val="00ED5990"/>
    <w:rsid w:val="00EE52A8"/>
    <w:rsid w:val="00F0343E"/>
    <w:rsid w:val="00F15E4D"/>
    <w:rsid w:val="00F16AAE"/>
    <w:rsid w:val="00F21776"/>
    <w:rsid w:val="00F34413"/>
    <w:rsid w:val="00F37770"/>
    <w:rsid w:val="00F40A1C"/>
    <w:rsid w:val="00F42C11"/>
    <w:rsid w:val="00F448CF"/>
    <w:rsid w:val="00F51166"/>
    <w:rsid w:val="00F539EA"/>
    <w:rsid w:val="00F62BD4"/>
    <w:rsid w:val="00F81373"/>
    <w:rsid w:val="00F85F2B"/>
    <w:rsid w:val="00F878EE"/>
    <w:rsid w:val="00F9132E"/>
    <w:rsid w:val="00F93E7D"/>
    <w:rsid w:val="00FA65B7"/>
    <w:rsid w:val="00FA719A"/>
    <w:rsid w:val="00FA7B4F"/>
    <w:rsid w:val="00FB1C99"/>
    <w:rsid w:val="00FB6A4E"/>
    <w:rsid w:val="00FC728F"/>
    <w:rsid w:val="00FD2E74"/>
    <w:rsid w:val="00FD745D"/>
    <w:rsid w:val="00FE23A9"/>
    <w:rsid w:val="00FE41E6"/>
    <w:rsid w:val="00FE4AF1"/>
    <w:rsid w:val="00FF0D2F"/>
    <w:rsid w:val="00FF4027"/>
    <w:rsid w:val="00FF7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69E22C-0115-47AA-9F57-93221BC9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495"/>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uiPriority w:val="9"/>
    <w:qFormat/>
    <w:rsid w:val="00A92173"/>
    <w:pPr>
      <w:keepNext/>
      <w:keepLines/>
      <w:spacing w:before="400" w:after="40"/>
      <w:outlineLvl w:val="0"/>
    </w:pPr>
    <w:rPr>
      <w:rFonts w:asciiTheme="majorHAnsi" w:eastAsiaTheme="majorEastAsia" w:hAnsiTheme="majorHAnsi" w:cstheme="majorBidi"/>
      <w:color w:val="1F4E79" w:themeColor="accent1" w:themeShade="80"/>
      <w:sz w:val="36"/>
      <w:szCs w:val="36"/>
      <w:lang w:val="en-GB" w:eastAsia="en-US"/>
    </w:rPr>
  </w:style>
  <w:style w:type="paragraph" w:styleId="Heading2">
    <w:name w:val="heading 2"/>
    <w:basedOn w:val="Normal"/>
    <w:next w:val="Normal"/>
    <w:link w:val="Heading2Char"/>
    <w:uiPriority w:val="9"/>
    <w:semiHidden/>
    <w:unhideWhenUsed/>
    <w:qFormat/>
    <w:rsid w:val="00A92173"/>
    <w:pPr>
      <w:keepNext/>
      <w:keepLines/>
      <w:spacing w:before="40"/>
      <w:outlineLvl w:val="1"/>
    </w:pPr>
    <w:rPr>
      <w:rFonts w:asciiTheme="majorHAnsi" w:eastAsiaTheme="majorEastAsia" w:hAnsiTheme="majorHAnsi" w:cstheme="majorBidi"/>
      <w:color w:val="2E74B5" w:themeColor="accent1" w:themeShade="BF"/>
      <w:sz w:val="32"/>
      <w:szCs w:val="32"/>
      <w:lang w:val="en-GB" w:eastAsia="en-US"/>
    </w:rPr>
  </w:style>
  <w:style w:type="paragraph" w:styleId="Heading3">
    <w:name w:val="heading 3"/>
    <w:basedOn w:val="Normal"/>
    <w:next w:val="Normal"/>
    <w:link w:val="Heading3Char"/>
    <w:uiPriority w:val="9"/>
    <w:semiHidden/>
    <w:unhideWhenUsed/>
    <w:qFormat/>
    <w:rsid w:val="00A92173"/>
    <w:pPr>
      <w:keepNext/>
      <w:keepLines/>
      <w:spacing w:before="40"/>
      <w:outlineLvl w:val="2"/>
    </w:pPr>
    <w:rPr>
      <w:rFonts w:asciiTheme="majorHAnsi" w:eastAsiaTheme="majorEastAsia" w:hAnsiTheme="majorHAnsi" w:cstheme="majorBidi"/>
      <w:color w:val="2E74B5" w:themeColor="accent1" w:themeShade="BF"/>
      <w:sz w:val="28"/>
      <w:szCs w:val="28"/>
      <w:lang w:val="en-GB" w:eastAsia="en-US"/>
    </w:rPr>
  </w:style>
  <w:style w:type="paragraph" w:styleId="Heading4">
    <w:name w:val="heading 4"/>
    <w:basedOn w:val="Normal"/>
    <w:next w:val="Normal"/>
    <w:link w:val="Heading4Char"/>
    <w:uiPriority w:val="9"/>
    <w:semiHidden/>
    <w:unhideWhenUsed/>
    <w:qFormat/>
    <w:rsid w:val="00A92173"/>
    <w:pPr>
      <w:keepNext/>
      <w:keepLines/>
      <w:spacing w:before="40" w:line="259" w:lineRule="auto"/>
      <w:outlineLvl w:val="3"/>
    </w:pPr>
    <w:rPr>
      <w:rFonts w:asciiTheme="majorHAnsi" w:eastAsiaTheme="majorEastAsia" w:hAnsiTheme="majorHAnsi" w:cstheme="majorBidi"/>
      <w:color w:val="2E74B5" w:themeColor="accent1" w:themeShade="BF"/>
      <w:lang w:val="en-GB" w:eastAsia="en-US"/>
    </w:rPr>
  </w:style>
  <w:style w:type="paragraph" w:styleId="Heading5">
    <w:name w:val="heading 5"/>
    <w:basedOn w:val="Normal"/>
    <w:next w:val="Normal"/>
    <w:link w:val="Heading5Char"/>
    <w:uiPriority w:val="9"/>
    <w:semiHidden/>
    <w:unhideWhenUsed/>
    <w:qFormat/>
    <w:rsid w:val="00A92173"/>
    <w:pPr>
      <w:keepNext/>
      <w:keepLines/>
      <w:spacing w:before="40" w:line="259" w:lineRule="auto"/>
      <w:outlineLvl w:val="4"/>
    </w:pPr>
    <w:rPr>
      <w:rFonts w:asciiTheme="majorHAnsi" w:eastAsiaTheme="majorEastAsia" w:hAnsiTheme="majorHAnsi" w:cstheme="majorBidi"/>
      <w:caps/>
      <w:color w:val="2E74B5" w:themeColor="accent1" w:themeShade="BF"/>
      <w:sz w:val="22"/>
      <w:szCs w:val="22"/>
      <w:lang w:val="en-GB" w:eastAsia="en-US"/>
    </w:rPr>
  </w:style>
  <w:style w:type="paragraph" w:styleId="Heading6">
    <w:name w:val="heading 6"/>
    <w:basedOn w:val="Normal"/>
    <w:next w:val="Normal"/>
    <w:link w:val="Heading6Char"/>
    <w:uiPriority w:val="9"/>
    <w:semiHidden/>
    <w:unhideWhenUsed/>
    <w:qFormat/>
    <w:rsid w:val="00A92173"/>
    <w:pPr>
      <w:keepNext/>
      <w:keepLines/>
      <w:spacing w:before="40" w:line="259" w:lineRule="auto"/>
      <w:outlineLvl w:val="5"/>
    </w:pPr>
    <w:rPr>
      <w:rFonts w:asciiTheme="majorHAnsi" w:eastAsiaTheme="majorEastAsia" w:hAnsiTheme="majorHAnsi" w:cstheme="majorBidi"/>
      <w:i/>
      <w:iCs/>
      <w:caps/>
      <w:color w:val="1F4E79" w:themeColor="accent1" w:themeShade="80"/>
      <w:sz w:val="22"/>
      <w:szCs w:val="22"/>
      <w:lang w:val="en-GB" w:eastAsia="en-US"/>
    </w:rPr>
  </w:style>
  <w:style w:type="paragraph" w:styleId="Heading7">
    <w:name w:val="heading 7"/>
    <w:basedOn w:val="Normal"/>
    <w:next w:val="Normal"/>
    <w:link w:val="Heading7Char"/>
    <w:uiPriority w:val="9"/>
    <w:semiHidden/>
    <w:unhideWhenUsed/>
    <w:qFormat/>
    <w:rsid w:val="00A92173"/>
    <w:pPr>
      <w:keepNext/>
      <w:keepLines/>
      <w:spacing w:before="40" w:line="259" w:lineRule="auto"/>
      <w:outlineLvl w:val="6"/>
    </w:pPr>
    <w:rPr>
      <w:rFonts w:asciiTheme="majorHAnsi" w:eastAsiaTheme="majorEastAsia" w:hAnsiTheme="majorHAnsi" w:cstheme="majorBidi"/>
      <w:b/>
      <w:bCs/>
      <w:color w:val="1F4E79" w:themeColor="accent1" w:themeShade="80"/>
      <w:sz w:val="22"/>
      <w:szCs w:val="22"/>
      <w:lang w:val="en-GB" w:eastAsia="en-US"/>
    </w:rPr>
  </w:style>
  <w:style w:type="paragraph" w:styleId="Heading8">
    <w:name w:val="heading 8"/>
    <w:basedOn w:val="Normal"/>
    <w:next w:val="Normal"/>
    <w:link w:val="Heading8Char"/>
    <w:uiPriority w:val="9"/>
    <w:semiHidden/>
    <w:unhideWhenUsed/>
    <w:qFormat/>
    <w:rsid w:val="00A92173"/>
    <w:pPr>
      <w:keepNext/>
      <w:keepLines/>
      <w:spacing w:before="40" w:line="259" w:lineRule="auto"/>
      <w:outlineLvl w:val="7"/>
    </w:pPr>
    <w:rPr>
      <w:rFonts w:asciiTheme="majorHAnsi" w:eastAsiaTheme="majorEastAsia" w:hAnsiTheme="majorHAnsi" w:cstheme="majorBidi"/>
      <w:b/>
      <w:bCs/>
      <w:i/>
      <w:iCs/>
      <w:color w:val="1F4E79" w:themeColor="accent1" w:themeShade="80"/>
      <w:sz w:val="22"/>
      <w:szCs w:val="22"/>
      <w:lang w:val="en-GB" w:eastAsia="en-US"/>
    </w:rPr>
  </w:style>
  <w:style w:type="paragraph" w:styleId="Heading9">
    <w:name w:val="heading 9"/>
    <w:basedOn w:val="Normal"/>
    <w:next w:val="Normal"/>
    <w:link w:val="Heading9Char"/>
    <w:uiPriority w:val="9"/>
    <w:semiHidden/>
    <w:unhideWhenUsed/>
    <w:qFormat/>
    <w:rsid w:val="00A92173"/>
    <w:pPr>
      <w:keepNext/>
      <w:keepLines/>
      <w:spacing w:before="40" w:line="259" w:lineRule="auto"/>
      <w:outlineLvl w:val="8"/>
    </w:pPr>
    <w:rPr>
      <w:rFonts w:asciiTheme="majorHAnsi" w:eastAsiaTheme="majorEastAsia" w:hAnsiTheme="majorHAnsi" w:cstheme="majorBidi"/>
      <w:i/>
      <w:iCs/>
      <w:color w:val="1F4E79" w:themeColor="accent1" w:themeShade="8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173"/>
    <w:rPr>
      <w:rFonts w:asciiTheme="majorHAnsi" w:eastAsiaTheme="majorEastAsia" w:hAnsiTheme="majorHAnsi" w:cstheme="majorBidi"/>
      <w:color w:val="1F4E79" w:themeColor="accent1" w:themeShade="80"/>
      <w:sz w:val="36"/>
      <w:szCs w:val="36"/>
    </w:rPr>
  </w:style>
  <w:style w:type="paragraph" w:styleId="ListParagraph">
    <w:name w:val="List Paragraph"/>
    <w:aliases w:val="List_Paragraph,Multilevel para_II,List Paragraph1,Akapit z listą BS,Bullet1,List Paragraph 1,List Paragraph (numbered (a)),Numbered list,Forth level,NumberedParas,Bullets,PAD,Main numbered paragraph,List Paragraph-ExecSummary,References"/>
    <w:basedOn w:val="Normal"/>
    <w:link w:val="ListParagraphChar"/>
    <w:uiPriority w:val="34"/>
    <w:qFormat/>
    <w:rsid w:val="004D0495"/>
    <w:pPr>
      <w:ind w:left="720"/>
    </w:pPr>
  </w:style>
  <w:style w:type="character" w:customStyle="1" w:styleId="ListParagraphChar">
    <w:name w:val="List Paragraph Char"/>
    <w:aliases w:val="List_Paragraph Char,Multilevel para_II Char,List Paragraph1 Char,Akapit z listą BS Char,Bullet1 Char,List Paragraph 1 Char,List Paragraph (numbered (a)) Char,Numbered list Char,Forth level Char,NumberedParas Char,Bullets Char"/>
    <w:link w:val="ListParagraph"/>
    <w:uiPriority w:val="34"/>
    <w:qFormat/>
    <w:rsid w:val="004D0495"/>
    <w:rPr>
      <w:rFonts w:ascii="Times New Roman" w:eastAsia="Times New Roman" w:hAnsi="Times New Roman" w:cs="Times New Roman"/>
      <w:sz w:val="24"/>
      <w:szCs w:val="24"/>
      <w:lang w:val="sr-Latn-CS" w:eastAsia="sr-Latn-CS"/>
    </w:rPr>
  </w:style>
  <w:style w:type="paragraph" w:styleId="Header">
    <w:name w:val="header"/>
    <w:basedOn w:val="Normal"/>
    <w:link w:val="HeaderChar"/>
    <w:uiPriority w:val="99"/>
    <w:unhideWhenUsed/>
    <w:rsid w:val="008F6389"/>
    <w:pPr>
      <w:tabs>
        <w:tab w:val="center" w:pos="4536"/>
        <w:tab w:val="right" w:pos="9072"/>
      </w:tabs>
    </w:pPr>
  </w:style>
  <w:style w:type="character" w:customStyle="1" w:styleId="HeaderChar">
    <w:name w:val="Header Char"/>
    <w:basedOn w:val="DefaultParagraphFont"/>
    <w:link w:val="Header"/>
    <w:uiPriority w:val="99"/>
    <w:rsid w:val="008F6389"/>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8F6389"/>
    <w:pPr>
      <w:tabs>
        <w:tab w:val="center" w:pos="4536"/>
        <w:tab w:val="right" w:pos="9072"/>
      </w:tabs>
    </w:pPr>
  </w:style>
  <w:style w:type="character" w:customStyle="1" w:styleId="FooterChar">
    <w:name w:val="Footer Char"/>
    <w:basedOn w:val="DefaultParagraphFont"/>
    <w:link w:val="Footer"/>
    <w:uiPriority w:val="99"/>
    <w:rsid w:val="008F6389"/>
    <w:rPr>
      <w:rFonts w:ascii="Times New Roman" w:eastAsia="Times New Roman" w:hAnsi="Times New Roman" w:cs="Times New Roman"/>
      <w:sz w:val="24"/>
      <w:szCs w:val="24"/>
      <w:lang w:val="sr-Latn-CS" w:eastAsia="sr-Latn-CS"/>
    </w:rPr>
  </w:style>
  <w:style w:type="paragraph" w:styleId="BalloonText">
    <w:name w:val="Balloon Text"/>
    <w:basedOn w:val="Normal"/>
    <w:link w:val="BalloonTextChar"/>
    <w:uiPriority w:val="99"/>
    <w:semiHidden/>
    <w:unhideWhenUsed/>
    <w:rsid w:val="00A217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78E"/>
    <w:rPr>
      <w:rFonts w:ascii="Segoe UI" w:eastAsia="Times New Roman" w:hAnsi="Segoe UI" w:cs="Segoe UI"/>
      <w:sz w:val="18"/>
      <w:szCs w:val="18"/>
      <w:lang w:val="sr-Latn-CS" w:eastAsia="sr-Latn-CS"/>
    </w:rPr>
  </w:style>
  <w:style w:type="paragraph" w:styleId="NoSpacing">
    <w:name w:val="No Spacing"/>
    <w:link w:val="NoSpacingChar"/>
    <w:uiPriority w:val="1"/>
    <w:qFormat/>
    <w:rsid w:val="00AB4694"/>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A92173"/>
    <w:rPr>
      <w:rFonts w:ascii="Calibri" w:eastAsia="Times New Roman" w:hAnsi="Calibri" w:cs="Times New Roman"/>
      <w:lang w:val="en-US"/>
    </w:rPr>
  </w:style>
  <w:style w:type="character" w:styleId="SubtleEmphasis">
    <w:name w:val="Subtle Emphasis"/>
    <w:uiPriority w:val="19"/>
    <w:qFormat/>
    <w:rsid w:val="00AB4694"/>
    <w:rPr>
      <w:i/>
      <w:iCs/>
      <w:color w:val="404040"/>
    </w:rPr>
  </w:style>
  <w:style w:type="paragraph" w:customStyle="1" w:styleId="Default">
    <w:name w:val="Default"/>
    <w:rsid w:val="00AB4694"/>
    <w:pPr>
      <w:autoSpaceDE w:val="0"/>
      <w:autoSpaceDN w:val="0"/>
      <w:adjustRightInd w:val="0"/>
      <w:spacing w:after="0" w:line="240" w:lineRule="auto"/>
    </w:pPr>
    <w:rPr>
      <w:rFonts w:ascii="Arial" w:eastAsia="Times New Roman" w:hAnsi="Arial" w:cs="Arial"/>
      <w:color w:val="000000"/>
      <w:sz w:val="24"/>
      <w:szCs w:val="24"/>
      <w:lang w:val="sr-Latn-RS" w:eastAsia="sr-Latn-RS"/>
    </w:rPr>
  </w:style>
  <w:style w:type="character" w:styleId="Hyperlink">
    <w:name w:val="Hyperlink"/>
    <w:uiPriority w:val="99"/>
    <w:rsid w:val="00826749"/>
    <w:rPr>
      <w:color w:val="0000FF"/>
      <w:u w:val="single"/>
    </w:rPr>
  </w:style>
  <w:style w:type="paragraph" w:customStyle="1" w:styleId="stil1tekst">
    <w:name w:val="stil_1tekst"/>
    <w:basedOn w:val="Normal"/>
    <w:rsid w:val="00826749"/>
    <w:pPr>
      <w:spacing w:before="100" w:beforeAutospacing="1" w:after="100" w:afterAutospacing="1"/>
    </w:pPr>
    <w:rPr>
      <w:lang w:val="sr-Latn-ME" w:eastAsia="sr-Latn-ME"/>
    </w:rPr>
  </w:style>
  <w:style w:type="character" w:styleId="FollowedHyperlink">
    <w:name w:val="FollowedHyperlink"/>
    <w:uiPriority w:val="99"/>
    <w:semiHidden/>
    <w:unhideWhenUsed/>
    <w:rsid w:val="00826749"/>
    <w:rPr>
      <w:color w:val="800080"/>
      <w:u w:val="single"/>
    </w:rPr>
  </w:style>
  <w:style w:type="paragraph" w:customStyle="1" w:styleId="xl65">
    <w:name w:val="xl65"/>
    <w:basedOn w:val="Normal"/>
    <w:rsid w:val="00826749"/>
    <w:pPr>
      <w:spacing w:before="100" w:beforeAutospacing="1" w:after="100" w:afterAutospacing="1"/>
    </w:pPr>
    <w:rPr>
      <w:lang w:val="en-US" w:eastAsia="en-US"/>
    </w:rPr>
  </w:style>
  <w:style w:type="table" w:styleId="TableGrid">
    <w:name w:val="Table Grid"/>
    <w:basedOn w:val="TableNormal"/>
    <w:uiPriority w:val="39"/>
    <w:rsid w:val="0082674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46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346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8462B"/>
    <w:rPr>
      <w:sz w:val="20"/>
      <w:szCs w:val="20"/>
    </w:rPr>
  </w:style>
  <w:style w:type="character" w:customStyle="1" w:styleId="EndnoteTextChar">
    <w:name w:val="Endnote Text Char"/>
    <w:basedOn w:val="DefaultParagraphFont"/>
    <w:link w:val="EndnoteText"/>
    <w:uiPriority w:val="99"/>
    <w:semiHidden/>
    <w:rsid w:val="0028462B"/>
    <w:rPr>
      <w:rFonts w:ascii="Times New Roman" w:eastAsia="Times New Roman" w:hAnsi="Times New Roman" w:cs="Times New Roman"/>
      <w:sz w:val="20"/>
      <w:szCs w:val="20"/>
      <w:lang w:val="sr-Latn-CS" w:eastAsia="sr-Latn-CS"/>
    </w:rPr>
  </w:style>
  <w:style w:type="character" w:styleId="EndnoteReference">
    <w:name w:val="endnote reference"/>
    <w:basedOn w:val="DefaultParagraphFont"/>
    <w:uiPriority w:val="99"/>
    <w:semiHidden/>
    <w:unhideWhenUsed/>
    <w:rsid w:val="0028462B"/>
    <w:rPr>
      <w:vertAlign w:val="superscript"/>
    </w:rPr>
  </w:style>
  <w:style w:type="paragraph" w:styleId="FootnoteText">
    <w:name w:val="footnote text"/>
    <w:basedOn w:val="Normal"/>
    <w:link w:val="FootnoteTextChar"/>
    <w:uiPriority w:val="99"/>
    <w:semiHidden/>
    <w:unhideWhenUsed/>
    <w:rsid w:val="00E1317D"/>
    <w:rPr>
      <w:sz w:val="20"/>
      <w:szCs w:val="20"/>
    </w:rPr>
  </w:style>
  <w:style w:type="character" w:customStyle="1" w:styleId="FootnoteTextChar">
    <w:name w:val="Footnote Text Char"/>
    <w:basedOn w:val="DefaultParagraphFont"/>
    <w:link w:val="FootnoteText"/>
    <w:uiPriority w:val="99"/>
    <w:semiHidden/>
    <w:rsid w:val="00E1317D"/>
    <w:rPr>
      <w:rFonts w:ascii="Times New Roman" w:eastAsia="Times New Roman" w:hAnsi="Times New Roman" w:cs="Times New Roman"/>
      <w:sz w:val="20"/>
      <w:szCs w:val="20"/>
      <w:lang w:val="sr-Latn-CS" w:eastAsia="sr-Latn-CS"/>
    </w:rPr>
  </w:style>
  <w:style w:type="character" w:styleId="FootnoteReference">
    <w:name w:val="footnote reference"/>
    <w:basedOn w:val="DefaultParagraphFont"/>
    <w:uiPriority w:val="99"/>
    <w:semiHidden/>
    <w:unhideWhenUsed/>
    <w:rsid w:val="00E1317D"/>
    <w:rPr>
      <w:vertAlign w:val="superscript"/>
    </w:rPr>
  </w:style>
  <w:style w:type="paragraph" w:styleId="Title">
    <w:name w:val="Title"/>
    <w:basedOn w:val="Normal"/>
    <w:next w:val="Normal"/>
    <w:link w:val="TitleChar"/>
    <w:uiPriority w:val="10"/>
    <w:qFormat/>
    <w:rsid w:val="00EB57C0"/>
    <w:pPr>
      <w:spacing w:before="120" w:after="80" w:line="192" w:lineRule="auto"/>
      <w:ind w:left="1134"/>
    </w:pPr>
    <w:rPr>
      <w:rFonts w:ascii="Calibri" w:hAnsi="Calibri"/>
      <w:noProof/>
      <w:spacing w:val="-10"/>
      <w:kern w:val="28"/>
      <w:sz w:val="28"/>
      <w:szCs w:val="40"/>
      <w:lang w:val="en-US" w:eastAsia="en-US"/>
    </w:rPr>
  </w:style>
  <w:style w:type="character" w:customStyle="1" w:styleId="TitleChar">
    <w:name w:val="Title Char"/>
    <w:basedOn w:val="DefaultParagraphFont"/>
    <w:link w:val="Title"/>
    <w:uiPriority w:val="10"/>
    <w:rsid w:val="00EB57C0"/>
    <w:rPr>
      <w:rFonts w:ascii="Calibri" w:eastAsia="Times New Roman" w:hAnsi="Calibri" w:cs="Times New Roman"/>
      <w:noProof/>
      <w:spacing w:val="-10"/>
      <w:kern w:val="28"/>
      <w:sz w:val="28"/>
      <w:szCs w:val="40"/>
      <w:lang w:val="en-US"/>
    </w:rPr>
  </w:style>
  <w:style w:type="character" w:customStyle="1" w:styleId="Heading2Char">
    <w:name w:val="Heading 2 Char"/>
    <w:basedOn w:val="DefaultParagraphFont"/>
    <w:link w:val="Heading2"/>
    <w:uiPriority w:val="9"/>
    <w:semiHidden/>
    <w:rsid w:val="00A9217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9217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9217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9217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9217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9217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9217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92173"/>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unhideWhenUsed/>
    <w:qFormat/>
    <w:rsid w:val="00A92173"/>
    <w:pPr>
      <w:spacing w:after="160"/>
    </w:pPr>
    <w:rPr>
      <w:rFonts w:asciiTheme="minorHAnsi" w:eastAsiaTheme="minorHAnsi" w:hAnsiTheme="minorHAnsi" w:cstheme="minorBidi"/>
      <w:b/>
      <w:bCs/>
      <w:smallCaps/>
      <w:color w:val="44546A" w:themeColor="text2"/>
      <w:sz w:val="22"/>
      <w:szCs w:val="22"/>
      <w:lang w:val="en-GB" w:eastAsia="en-US"/>
    </w:rPr>
  </w:style>
  <w:style w:type="paragraph" w:styleId="Subtitle">
    <w:name w:val="Subtitle"/>
    <w:basedOn w:val="Normal"/>
    <w:next w:val="Normal"/>
    <w:link w:val="SubtitleChar"/>
    <w:uiPriority w:val="11"/>
    <w:qFormat/>
    <w:rsid w:val="00A92173"/>
    <w:pPr>
      <w:numPr>
        <w:ilvl w:val="1"/>
      </w:numPr>
      <w:spacing w:after="240"/>
    </w:pPr>
    <w:rPr>
      <w:rFonts w:asciiTheme="majorHAnsi" w:eastAsiaTheme="majorEastAsia" w:hAnsiTheme="majorHAnsi" w:cstheme="majorBidi"/>
      <w:color w:val="5B9BD5" w:themeColor="accent1"/>
      <w:sz w:val="28"/>
      <w:szCs w:val="28"/>
      <w:lang w:val="en-GB" w:eastAsia="en-US"/>
    </w:rPr>
  </w:style>
  <w:style w:type="character" w:customStyle="1" w:styleId="SubtitleChar">
    <w:name w:val="Subtitle Char"/>
    <w:basedOn w:val="DefaultParagraphFont"/>
    <w:link w:val="Subtitle"/>
    <w:uiPriority w:val="11"/>
    <w:rsid w:val="00A9217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92173"/>
    <w:rPr>
      <w:b/>
      <w:bCs/>
    </w:rPr>
  </w:style>
  <w:style w:type="character" w:styleId="Emphasis">
    <w:name w:val="Emphasis"/>
    <w:basedOn w:val="DefaultParagraphFont"/>
    <w:uiPriority w:val="20"/>
    <w:qFormat/>
    <w:rsid w:val="00A92173"/>
    <w:rPr>
      <w:i/>
      <w:iCs/>
    </w:rPr>
  </w:style>
  <w:style w:type="paragraph" w:styleId="Quote">
    <w:name w:val="Quote"/>
    <w:basedOn w:val="Normal"/>
    <w:next w:val="Normal"/>
    <w:link w:val="QuoteChar"/>
    <w:uiPriority w:val="29"/>
    <w:qFormat/>
    <w:rsid w:val="00A92173"/>
    <w:pPr>
      <w:spacing w:before="120" w:after="120" w:line="259" w:lineRule="auto"/>
      <w:ind w:left="720"/>
    </w:pPr>
    <w:rPr>
      <w:rFonts w:asciiTheme="minorHAnsi" w:eastAsiaTheme="minorHAnsi" w:hAnsiTheme="minorHAnsi" w:cstheme="minorBidi"/>
      <w:color w:val="44546A" w:themeColor="text2"/>
      <w:lang w:val="en-GB" w:eastAsia="en-US"/>
    </w:rPr>
  </w:style>
  <w:style w:type="character" w:customStyle="1" w:styleId="QuoteChar">
    <w:name w:val="Quote Char"/>
    <w:basedOn w:val="DefaultParagraphFont"/>
    <w:link w:val="Quote"/>
    <w:uiPriority w:val="29"/>
    <w:rsid w:val="00A92173"/>
    <w:rPr>
      <w:color w:val="44546A" w:themeColor="text2"/>
      <w:sz w:val="24"/>
      <w:szCs w:val="24"/>
    </w:rPr>
  </w:style>
  <w:style w:type="paragraph" w:styleId="IntenseQuote">
    <w:name w:val="Intense Quote"/>
    <w:basedOn w:val="Normal"/>
    <w:next w:val="Normal"/>
    <w:link w:val="IntenseQuoteChar"/>
    <w:uiPriority w:val="30"/>
    <w:qFormat/>
    <w:rsid w:val="00A92173"/>
    <w:pPr>
      <w:spacing w:before="100" w:beforeAutospacing="1" w:after="240"/>
      <w:ind w:left="720"/>
      <w:jc w:val="center"/>
    </w:pPr>
    <w:rPr>
      <w:rFonts w:asciiTheme="majorHAnsi" w:eastAsiaTheme="majorEastAsia" w:hAnsiTheme="majorHAnsi" w:cstheme="majorBidi"/>
      <w:color w:val="44546A" w:themeColor="text2"/>
      <w:spacing w:val="-6"/>
      <w:sz w:val="32"/>
      <w:szCs w:val="32"/>
      <w:lang w:val="en-GB" w:eastAsia="en-US"/>
    </w:rPr>
  </w:style>
  <w:style w:type="character" w:customStyle="1" w:styleId="IntenseQuoteChar">
    <w:name w:val="Intense Quote Char"/>
    <w:basedOn w:val="DefaultParagraphFont"/>
    <w:link w:val="IntenseQuote"/>
    <w:uiPriority w:val="30"/>
    <w:rsid w:val="00A92173"/>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A92173"/>
    <w:rPr>
      <w:b/>
      <w:bCs/>
      <w:i/>
      <w:iCs/>
    </w:rPr>
  </w:style>
  <w:style w:type="character" w:styleId="SubtleReference">
    <w:name w:val="Subtle Reference"/>
    <w:basedOn w:val="DefaultParagraphFont"/>
    <w:uiPriority w:val="31"/>
    <w:qFormat/>
    <w:rsid w:val="00A921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2173"/>
    <w:rPr>
      <w:b/>
      <w:bCs/>
      <w:smallCaps/>
      <w:color w:val="44546A" w:themeColor="text2"/>
      <w:u w:val="single"/>
    </w:rPr>
  </w:style>
  <w:style w:type="character" w:styleId="BookTitle">
    <w:name w:val="Book Title"/>
    <w:basedOn w:val="DefaultParagraphFont"/>
    <w:uiPriority w:val="33"/>
    <w:qFormat/>
    <w:rsid w:val="00A92173"/>
    <w:rPr>
      <w:b/>
      <w:bCs/>
      <w:smallCaps/>
      <w:spacing w:val="10"/>
    </w:rPr>
  </w:style>
  <w:style w:type="paragraph" w:styleId="TOCHeading">
    <w:name w:val="TOC Heading"/>
    <w:basedOn w:val="Heading1"/>
    <w:next w:val="Normal"/>
    <w:uiPriority w:val="39"/>
    <w:unhideWhenUsed/>
    <w:qFormat/>
    <w:rsid w:val="00A92173"/>
    <w:pPr>
      <w:outlineLvl w:val="9"/>
    </w:pPr>
  </w:style>
  <w:style w:type="paragraph" w:styleId="TableofFigures">
    <w:name w:val="table of figures"/>
    <w:basedOn w:val="Normal"/>
    <w:next w:val="Normal"/>
    <w:uiPriority w:val="99"/>
    <w:unhideWhenUsed/>
    <w:rsid w:val="00A92173"/>
    <w:pPr>
      <w:spacing w:line="259" w:lineRule="auto"/>
    </w:pPr>
    <w:rPr>
      <w:rFonts w:asciiTheme="minorHAnsi" w:eastAsiaTheme="minorHAnsi" w:hAnsiTheme="minorHAnsi" w:cstheme="minorBidi"/>
      <w:sz w:val="22"/>
      <w:szCs w:val="22"/>
      <w:lang w:val="en-GB" w:eastAsia="en-US"/>
    </w:rPr>
  </w:style>
  <w:style w:type="table" w:customStyle="1" w:styleId="GridTable6Colorful-Accent11">
    <w:name w:val="Grid Table 6 Colorful - Accent 11"/>
    <w:basedOn w:val="TableNormal"/>
    <w:uiPriority w:val="51"/>
    <w:rsid w:val="00A9217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1">
    <w:name w:val="toc 1"/>
    <w:basedOn w:val="Normal"/>
    <w:next w:val="Normal"/>
    <w:autoRedefine/>
    <w:uiPriority w:val="39"/>
    <w:unhideWhenUsed/>
    <w:rsid w:val="00A92173"/>
    <w:pPr>
      <w:spacing w:after="100" w:line="259" w:lineRule="auto"/>
    </w:pPr>
    <w:rPr>
      <w:rFonts w:asciiTheme="minorHAnsi" w:eastAsiaTheme="minorHAnsi" w:hAnsiTheme="minorHAnsi" w:cstheme="minorBidi"/>
      <w:sz w:val="22"/>
      <w:szCs w:val="22"/>
      <w:lang w:val="en-GB" w:eastAsia="en-US"/>
    </w:rPr>
  </w:style>
  <w:style w:type="paragraph" w:styleId="TOC2">
    <w:name w:val="toc 2"/>
    <w:basedOn w:val="Normal"/>
    <w:next w:val="Normal"/>
    <w:autoRedefine/>
    <w:uiPriority w:val="39"/>
    <w:unhideWhenUsed/>
    <w:rsid w:val="00A92173"/>
    <w:pPr>
      <w:spacing w:after="100" w:line="259" w:lineRule="auto"/>
      <w:ind w:left="220"/>
    </w:pPr>
    <w:rPr>
      <w:rFonts w:asciiTheme="minorHAnsi" w:eastAsiaTheme="minorHAnsi" w:hAnsiTheme="minorHAnsi" w:cstheme="minorBidi"/>
      <w:sz w:val="22"/>
      <w:szCs w:val="22"/>
      <w:lang w:val="en-GB" w:eastAsia="en-US"/>
    </w:rPr>
  </w:style>
  <w:style w:type="paragraph" w:styleId="TOC3">
    <w:name w:val="toc 3"/>
    <w:basedOn w:val="Normal"/>
    <w:next w:val="Normal"/>
    <w:autoRedefine/>
    <w:uiPriority w:val="39"/>
    <w:unhideWhenUsed/>
    <w:rsid w:val="00A92173"/>
    <w:pPr>
      <w:spacing w:after="100" w:line="259" w:lineRule="auto"/>
      <w:ind w:left="440"/>
    </w:pPr>
    <w:rPr>
      <w:rFonts w:asciiTheme="minorHAnsi" w:eastAsiaTheme="minorHAnsi" w:hAnsiTheme="minorHAnsi" w:cstheme="minorBidi"/>
      <w:sz w:val="22"/>
      <w:szCs w:val="22"/>
      <w:lang w:val="en-GB" w:eastAsia="en-US"/>
    </w:rPr>
  </w:style>
  <w:style w:type="character" w:customStyle="1" w:styleId="CommentTextChar">
    <w:name w:val="Comment Text Char"/>
    <w:basedOn w:val="DefaultParagraphFont"/>
    <w:link w:val="CommentText"/>
    <w:uiPriority w:val="99"/>
    <w:semiHidden/>
    <w:rsid w:val="00A92173"/>
    <w:rPr>
      <w:sz w:val="20"/>
      <w:szCs w:val="20"/>
    </w:rPr>
  </w:style>
  <w:style w:type="paragraph" w:styleId="CommentText">
    <w:name w:val="annotation text"/>
    <w:basedOn w:val="Normal"/>
    <w:link w:val="CommentTextChar"/>
    <w:uiPriority w:val="99"/>
    <w:semiHidden/>
    <w:unhideWhenUsed/>
    <w:rsid w:val="00A92173"/>
    <w:pPr>
      <w:spacing w:after="160"/>
    </w:pPr>
    <w:rPr>
      <w:rFonts w:asciiTheme="minorHAnsi" w:eastAsiaTheme="minorHAnsi" w:hAnsiTheme="minorHAnsi" w:cstheme="minorBidi"/>
      <w:sz w:val="20"/>
      <w:szCs w:val="20"/>
      <w:lang w:val="en-GB" w:eastAsia="en-US"/>
    </w:rPr>
  </w:style>
  <w:style w:type="table" w:customStyle="1" w:styleId="GridTable6Colorful-Accent12">
    <w:name w:val="Grid Table 6 Colorful - Accent 12"/>
    <w:basedOn w:val="TableNormal"/>
    <w:uiPriority w:val="51"/>
    <w:rsid w:val="00A9217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NoList1">
    <w:name w:val="No List1"/>
    <w:next w:val="NoList"/>
    <w:uiPriority w:val="99"/>
    <w:semiHidden/>
    <w:unhideWhenUsed/>
    <w:rsid w:val="00BC2F62"/>
  </w:style>
  <w:style w:type="character" w:styleId="PlaceholderText">
    <w:name w:val="Placeholder Text"/>
    <w:basedOn w:val="DefaultParagraphFont"/>
    <w:uiPriority w:val="99"/>
    <w:semiHidden/>
    <w:rsid w:val="00BC2F62"/>
    <w:rPr>
      <w:color w:val="808080"/>
    </w:rPr>
  </w:style>
  <w:style w:type="table" w:customStyle="1" w:styleId="TableGrid3">
    <w:name w:val="Table Grid3"/>
    <w:basedOn w:val="TableNormal"/>
    <w:next w:val="TableGrid"/>
    <w:uiPriority w:val="39"/>
    <w:rsid w:val="00BC2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BC2F62"/>
    <w:pPr>
      <w:spacing w:after="0" w:line="240" w:lineRule="auto"/>
    </w:pPr>
    <w:rPr>
      <w:color w:val="C19300"/>
    </w:rPr>
    <w:tblPr>
      <w:tblStyleRowBandSize w:val="1"/>
      <w:tblStyleColBandSize w:val="1"/>
      <w:tblBorders>
        <w:top w:val="single" w:sz="4" w:space="0" w:color="FEDA69"/>
        <w:left w:val="single" w:sz="4" w:space="0" w:color="FEDA69"/>
        <w:bottom w:val="single" w:sz="4" w:space="0" w:color="FEDA69"/>
        <w:right w:val="single" w:sz="4" w:space="0" w:color="FEDA69"/>
        <w:insideH w:val="single" w:sz="4" w:space="0" w:color="FEDA69"/>
        <w:insideV w:val="single" w:sz="4" w:space="0" w:color="FEDA69"/>
      </w:tblBorders>
    </w:tblPr>
    <w:tblStylePr w:type="firstRow">
      <w:rPr>
        <w:b/>
        <w:bCs/>
      </w:rPr>
      <w:tblPr/>
      <w:tcPr>
        <w:tcBorders>
          <w:bottom w:val="single" w:sz="12" w:space="0" w:color="FEDA69"/>
        </w:tcBorders>
      </w:tcPr>
    </w:tblStylePr>
    <w:tblStylePr w:type="lastRow">
      <w:rPr>
        <w:b/>
        <w:bCs/>
      </w:rPr>
      <w:tblPr/>
      <w:tcPr>
        <w:tcBorders>
          <w:top w:val="double" w:sz="4" w:space="0" w:color="FEDA69"/>
        </w:tcBorders>
      </w:tcPr>
    </w:tblStylePr>
    <w:tblStylePr w:type="firstCol">
      <w:rPr>
        <w:b/>
        <w:bCs/>
      </w:rPr>
    </w:tblStylePr>
    <w:tblStylePr w:type="lastCol">
      <w:rPr>
        <w:b/>
        <w:bCs/>
      </w:rPr>
    </w:tblStylePr>
    <w:tblStylePr w:type="band1Vert">
      <w:tblPr/>
      <w:tcPr>
        <w:shd w:val="clear" w:color="auto" w:fill="FEF2CD"/>
      </w:tcPr>
    </w:tblStylePr>
    <w:tblStylePr w:type="band1Horz">
      <w:tblPr/>
      <w:tcPr>
        <w:shd w:val="clear" w:color="auto" w:fill="FEF2CD"/>
      </w:tcPr>
    </w:tblStylePr>
  </w:style>
  <w:style w:type="table" w:customStyle="1" w:styleId="GridTable6Colorful-Accent111">
    <w:name w:val="Grid Table 6 Colorful - Accent 111"/>
    <w:basedOn w:val="TableNormal"/>
    <w:uiPriority w:val="51"/>
    <w:rsid w:val="00BC2F62"/>
    <w:pPr>
      <w:spacing w:after="0" w:line="240" w:lineRule="auto"/>
    </w:pPr>
    <w:rPr>
      <w:color w:val="306785"/>
    </w:rPr>
    <w:tblPr>
      <w:tblStyleRowBandSize w:val="1"/>
      <w:tblStyleColBandSize w:val="1"/>
      <w:tblBorders>
        <w:top w:val="single" w:sz="4" w:space="0" w:color="89B9D4"/>
        <w:left w:val="single" w:sz="4" w:space="0" w:color="89B9D4"/>
        <w:bottom w:val="single" w:sz="4" w:space="0" w:color="89B9D4"/>
        <w:right w:val="single" w:sz="4" w:space="0" w:color="89B9D4"/>
        <w:insideH w:val="single" w:sz="4" w:space="0" w:color="89B9D4"/>
        <w:insideV w:val="single" w:sz="4" w:space="0" w:color="89B9D4"/>
      </w:tblBorders>
    </w:tblPr>
    <w:tblStylePr w:type="firstRow">
      <w:rPr>
        <w:b/>
        <w:bCs/>
      </w:rPr>
      <w:tblPr/>
      <w:tcPr>
        <w:tcBorders>
          <w:bottom w:val="single" w:sz="12" w:space="0" w:color="89B9D4"/>
        </w:tcBorders>
      </w:tcPr>
    </w:tblStylePr>
    <w:tblStylePr w:type="lastRow">
      <w:rPr>
        <w:b/>
        <w:bCs/>
      </w:rPr>
      <w:tblPr/>
      <w:tcPr>
        <w:tcBorders>
          <w:top w:val="double" w:sz="4" w:space="0" w:color="89B9D4"/>
        </w:tcBorders>
      </w:tcPr>
    </w:tblStylePr>
    <w:tblStylePr w:type="firstCol">
      <w:rPr>
        <w:b/>
        <w:bCs/>
      </w:rPr>
    </w:tblStylePr>
    <w:tblStylePr w:type="lastCol">
      <w:rPr>
        <w:b/>
        <w:bCs/>
      </w:rPr>
    </w:tblStylePr>
    <w:tblStylePr w:type="band1Vert">
      <w:tblPr/>
      <w:tcPr>
        <w:shd w:val="clear" w:color="auto" w:fill="D7E7F0"/>
      </w:tcPr>
    </w:tblStylePr>
    <w:tblStylePr w:type="band1Horz">
      <w:tblPr/>
      <w:tcPr>
        <w:shd w:val="clear" w:color="auto" w:fill="D7E7F0"/>
      </w:tcPr>
    </w:tblStylePr>
  </w:style>
  <w:style w:type="table" w:customStyle="1" w:styleId="GridTable3-Accent412">
    <w:name w:val="Grid Table 3 - Accent 412"/>
    <w:basedOn w:val="TableNormal"/>
    <w:uiPriority w:val="48"/>
    <w:rsid w:val="00BC2F62"/>
    <w:pPr>
      <w:spacing w:after="0" w:line="240" w:lineRule="auto"/>
    </w:pPr>
    <w:rPr>
      <w:rFonts w:ascii="Calibri" w:eastAsia="Calibri" w:hAnsi="Calibri" w:cs="Times New Roman"/>
      <w:lang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character" w:styleId="CommentReference">
    <w:name w:val="annotation reference"/>
    <w:basedOn w:val="DefaultParagraphFont"/>
    <w:uiPriority w:val="99"/>
    <w:semiHidden/>
    <w:unhideWhenUsed/>
    <w:rsid w:val="00BC2F62"/>
    <w:rPr>
      <w:sz w:val="16"/>
      <w:szCs w:val="16"/>
    </w:rPr>
  </w:style>
  <w:style w:type="table" w:customStyle="1" w:styleId="ListTable4-Accent51">
    <w:name w:val="List Table 4 - Accent 51"/>
    <w:basedOn w:val="TableNormal"/>
    <w:uiPriority w:val="49"/>
    <w:rsid w:val="00BC2F62"/>
    <w:pPr>
      <w:spacing w:after="0" w:line="240" w:lineRule="auto"/>
    </w:pPr>
    <w:tblPr>
      <w:tblStyleRowBandSize w:val="1"/>
      <w:tblStyleColBandSize w:val="1"/>
      <w:tblBorders>
        <w:top w:val="single" w:sz="4" w:space="0" w:color="FEDA69"/>
        <w:left w:val="single" w:sz="4" w:space="0" w:color="FEDA69"/>
        <w:bottom w:val="single" w:sz="4" w:space="0" w:color="FEDA69"/>
        <w:right w:val="single" w:sz="4" w:space="0" w:color="FEDA69"/>
        <w:insideH w:val="single" w:sz="4" w:space="0" w:color="FEDA69"/>
      </w:tblBorders>
    </w:tblPr>
    <w:tblStylePr w:type="firstRow">
      <w:rPr>
        <w:b/>
        <w:bCs/>
        <w:color w:val="FFFFFF"/>
      </w:rPr>
      <w:tblPr/>
      <w:tcPr>
        <w:tcBorders>
          <w:top w:val="single" w:sz="4" w:space="0" w:color="FEC306"/>
          <w:left w:val="single" w:sz="4" w:space="0" w:color="FEC306"/>
          <w:bottom w:val="single" w:sz="4" w:space="0" w:color="FEC306"/>
          <w:right w:val="single" w:sz="4" w:space="0" w:color="FEC306"/>
          <w:insideH w:val="nil"/>
        </w:tcBorders>
        <w:shd w:val="clear" w:color="auto" w:fill="FEC306"/>
      </w:tcPr>
    </w:tblStylePr>
    <w:tblStylePr w:type="lastRow">
      <w:rPr>
        <w:b/>
        <w:bCs/>
      </w:rPr>
      <w:tblPr/>
      <w:tcPr>
        <w:tcBorders>
          <w:top w:val="double" w:sz="4" w:space="0" w:color="FEDA69"/>
        </w:tcBorders>
      </w:tcPr>
    </w:tblStylePr>
    <w:tblStylePr w:type="firstCol">
      <w:rPr>
        <w:b/>
        <w:bCs/>
      </w:rPr>
    </w:tblStylePr>
    <w:tblStylePr w:type="lastCol">
      <w:rPr>
        <w:b/>
        <w:bCs/>
      </w:rPr>
    </w:tblStylePr>
    <w:tblStylePr w:type="band1Vert">
      <w:tblPr/>
      <w:tcPr>
        <w:shd w:val="clear" w:color="auto" w:fill="FEF2CD"/>
      </w:tcPr>
    </w:tblStylePr>
    <w:tblStylePr w:type="band1Horz">
      <w:tblPr/>
      <w:tcPr>
        <w:shd w:val="clear" w:color="auto" w:fill="FEF2CD"/>
      </w:tcPr>
    </w:tblStylePr>
  </w:style>
  <w:style w:type="table" w:customStyle="1" w:styleId="ListTable2-Accent51">
    <w:name w:val="List Table 2 - Accent 51"/>
    <w:basedOn w:val="TableNormal"/>
    <w:uiPriority w:val="47"/>
    <w:rsid w:val="00BC2F62"/>
    <w:pPr>
      <w:spacing w:after="0" w:line="240" w:lineRule="auto"/>
    </w:pPr>
    <w:tblPr>
      <w:tblStyleRowBandSize w:val="1"/>
      <w:tblStyleColBandSize w:val="1"/>
      <w:tblBorders>
        <w:top w:val="single" w:sz="4" w:space="0" w:color="FEDA69"/>
        <w:bottom w:val="single" w:sz="4" w:space="0" w:color="FEDA69"/>
        <w:insideH w:val="single" w:sz="4" w:space="0" w:color="FEDA6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cPr>
    </w:tblStylePr>
    <w:tblStylePr w:type="band1Horz">
      <w:tblPr/>
      <w:tcPr>
        <w:shd w:val="clear" w:color="auto" w:fill="FEF2CD"/>
      </w:tcPr>
    </w:tblStylePr>
  </w:style>
  <w:style w:type="table" w:customStyle="1" w:styleId="GridTable1Light-Accent51">
    <w:name w:val="Grid Table 1 Light - Accent 51"/>
    <w:basedOn w:val="TableNormal"/>
    <w:uiPriority w:val="46"/>
    <w:rsid w:val="00BC2F62"/>
    <w:pPr>
      <w:spacing w:after="0" w:line="240" w:lineRule="auto"/>
    </w:pPr>
    <w:tblPr>
      <w:tblStyleRowBandSize w:val="1"/>
      <w:tblStyleColBandSize w:val="1"/>
      <w:tblBorders>
        <w:top w:val="single" w:sz="4" w:space="0" w:color="FEE69B"/>
        <w:left w:val="single" w:sz="4" w:space="0" w:color="FEE69B"/>
        <w:bottom w:val="single" w:sz="4" w:space="0" w:color="FEE69B"/>
        <w:right w:val="single" w:sz="4" w:space="0" w:color="FEE69B"/>
        <w:insideH w:val="single" w:sz="4" w:space="0" w:color="FEE69B"/>
        <w:insideV w:val="single" w:sz="4" w:space="0" w:color="FEE69B"/>
      </w:tblBorders>
    </w:tblPr>
    <w:tblStylePr w:type="firstRow">
      <w:rPr>
        <w:b/>
        <w:bCs/>
      </w:rPr>
      <w:tblPr/>
      <w:tcPr>
        <w:tcBorders>
          <w:bottom w:val="single" w:sz="12" w:space="0" w:color="FEDA69"/>
        </w:tcBorders>
      </w:tcPr>
    </w:tblStylePr>
    <w:tblStylePr w:type="lastRow">
      <w:rPr>
        <w:b/>
        <w:bCs/>
      </w:rPr>
      <w:tblPr/>
      <w:tcPr>
        <w:tcBorders>
          <w:top w:val="double" w:sz="2" w:space="0" w:color="FEDA69"/>
        </w:tcBorders>
      </w:tcPr>
    </w:tblStylePr>
    <w:tblStylePr w:type="firstCol">
      <w:rPr>
        <w:b/>
        <w:bCs/>
      </w:rPr>
    </w:tblStylePr>
    <w:tblStylePr w:type="lastCol">
      <w:rPr>
        <w:b/>
        <w:bCs/>
      </w:rPr>
    </w:tblStylePr>
  </w:style>
  <w:style w:type="table" w:customStyle="1" w:styleId="GridTable6Colorful-Accent121">
    <w:name w:val="Grid Table 6 Colorful - Accent 121"/>
    <w:basedOn w:val="TableNormal"/>
    <w:uiPriority w:val="51"/>
    <w:rsid w:val="00BC2F62"/>
    <w:pPr>
      <w:spacing w:after="0" w:line="240" w:lineRule="auto"/>
    </w:pPr>
    <w:rPr>
      <w:color w:val="306785"/>
    </w:rPr>
    <w:tblPr>
      <w:tblStyleRowBandSize w:val="1"/>
      <w:tblStyleColBandSize w:val="1"/>
      <w:tblBorders>
        <w:top w:val="single" w:sz="4" w:space="0" w:color="89B9D4"/>
        <w:left w:val="single" w:sz="4" w:space="0" w:color="89B9D4"/>
        <w:bottom w:val="single" w:sz="4" w:space="0" w:color="89B9D4"/>
        <w:right w:val="single" w:sz="4" w:space="0" w:color="89B9D4"/>
        <w:insideH w:val="single" w:sz="4" w:space="0" w:color="89B9D4"/>
        <w:insideV w:val="single" w:sz="4" w:space="0" w:color="89B9D4"/>
      </w:tblBorders>
    </w:tblPr>
    <w:tblStylePr w:type="firstRow">
      <w:rPr>
        <w:b/>
        <w:bCs/>
      </w:rPr>
      <w:tblPr/>
      <w:tcPr>
        <w:tcBorders>
          <w:bottom w:val="single" w:sz="12" w:space="0" w:color="89B9D4"/>
        </w:tcBorders>
      </w:tcPr>
    </w:tblStylePr>
    <w:tblStylePr w:type="lastRow">
      <w:rPr>
        <w:b/>
        <w:bCs/>
      </w:rPr>
      <w:tblPr/>
      <w:tcPr>
        <w:tcBorders>
          <w:top w:val="double" w:sz="4" w:space="0" w:color="89B9D4"/>
        </w:tcBorders>
      </w:tcPr>
    </w:tblStylePr>
    <w:tblStylePr w:type="firstCol">
      <w:rPr>
        <w:b/>
        <w:bCs/>
      </w:rPr>
    </w:tblStylePr>
    <w:tblStylePr w:type="lastCol">
      <w:rPr>
        <w:b/>
        <w:bCs/>
      </w:rPr>
    </w:tblStylePr>
    <w:tblStylePr w:type="band1Vert">
      <w:tblPr/>
      <w:tcPr>
        <w:shd w:val="clear" w:color="auto" w:fill="D7E7F0"/>
      </w:tcPr>
    </w:tblStylePr>
    <w:tblStylePr w:type="band1Horz">
      <w:tblPr/>
      <w:tcPr>
        <w:shd w:val="clear" w:color="auto" w:fill="D7E7F0"/>
      </w:tcPr>
    </w:tblStylePr>
  </w:style>
  <w:style w:type="numbering" w:customStyle="1" w:styleId="NoList2">
    <w:name w:val="No List2"/>
    <w:next w:val="NoList"/>
    <w:uiPriority w:val="99"/>
    <w:semiHidden/>
    <w:unhideWhenUsed/>
    <w:rsid w:val="00BB2FAF"/>
  </w:style>
  <w:style w:type="table" w:customStyle="1" w:styleId="TableGrid4">
    <w:name w:val="Table Grid4"/>
    <w:basedOn w:val="TableNormal"/>
    <w:next w:val="TableGrid"/>
    <w:uiPriority w:val="39"/>
    <w:rsid w:val="00BB2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1">
    <w:name w:val="Grid Table 6 Colorful - Accent 511"/>
    <w:basedOn w:val="TableNormal"/>
    <w:uiPriority w:val="51"/>
    <w:rsid w:val="00BB2FAF"/>
    <w:pPr>
      <w:spacing w:after="0" w:line="240" w:lineRule="auto"/>
    </w:pPr>
    <w:rPr>
      <w:color w:val="C19300"/>
    </w:rPr>
    <w:tblPr>
      <w:tblStyleRowBandSize w:val="1"/>
      <w:tblStyleColBandSize w:val="1"/>
      <w:tblBorders>
        <w:top w:val="single" w:sz="4" w:space="0" w:color="FEDA69"/>
        <w:left w:val="single" w:sz="4" w:space="0" w:color="FEDA69"/>
        <w:bottom w:val="single" w:sz="4" w:space="0" w:color="FEDA69"/>
        <w:right w:val="single" w:sz="4" w:space="0" w:color="FEDA69"/>
        <w:insideH w:val="single" w:sz="4" w:space="0" w:color="FEDA69"/>
        <w:insideV w:val="single" w:sz="4" w:space="0" w:color="FEDA69"/>
      </w:tblBorders>
    </w:tblPr>
    <w:tblStylePr w:type="firstRow">
      <w:rPr>
        <w:b/>
        <w:bCs/>
      </w:rPr>
      <w:tblPr/>
      <w:tcPr>
        <w:tcBorders>
          <w:bottom w:val="single" w:sz="12" w:space="0" w:color="FEDA69"/>
        </w:tcBorders>
      </w:tcPr>
    </w:tblStylePr>
    <w:tblStylePr w:type="lastRow">
      <w:rPr>
        <w:b/>
        <w:bCs/>
      </w:rPr>
      <w:tblPr/>
      <w:tcPr>
        <w:tcBorders>
          <w:top w:val="double" w:sz="4" w:space="0" w:color="FEDA69"/>
        </w:tcBorders>
      </w:tcPr>
    </w:tblStylePr>
    <w:tblStylePr w:type="firstCol">
      <w:rPr>
        <w:b/>
        <w:bCs/>
      </w:rPr>
    </w:tblStylePr>
    <w:tblStylePr w:type="lastCol">
      <w:rPr>
        <w:b/>
        <w:bCs/>
      </w:rPr>
    </w:tblStylePr>
    <w:tblStylePr w:type="band1Vert">
      <w:tblPr/>
      <w:tcPr>
        <w:shd w:val="clear" w:color="auto" w:fill="FEF2CD"/>
      </w:tcPr>
    </w:tblStylePr>
    <w:tblStylePr w:type="band1Horz">
      <w:tblPr/>
      <w:tcPr>
        <w:shd w:val="clear" w:color="auto" w:fill="FEF2CD"/>
      </w:tcPr>
    </w:tblStylePr>
  </w:style>
  <w:style w:type="table" w:customStyle="1" w:styleId="GridTable6Colorful-Accent112">
    <w:name w:val="Grid Table 6 Colorful - Accent 112"/>
    <w:basedOn w:val="TableNormal"/>
    <w:uiPriority w:val="51"/>
    <w:rsid w:val="00BB2FAF"/>
    <w:pPr>
      <w:spacing w:after="0" w:line="240" w:lineRule="auto"/>
    </w:pPr>
    <w:rPr>
      <w:color w:val="306785"/>
    </w:rPr>
    <w:tblPr>
      <w:tblStyleRowBandSize w:val="1"/>
      <w:tblStyleColBandSize w:val="1"/>
      <w:tblBorders>
        <w:top w:val="single" w:sz="4" w:space="0" w:color="89B9D4"/>
        <w:left w:val="single" w:sz="4" w:space="0" w:color="89B9D4"/>
        <w:bottom w:val="single" w:sz="4" w:space="0" w:color="89B9D4"/>
        <w:right w:val="single" w:sz="4" w:space="0" w:color="89B9D4"/>
        <w:insideH w:val="single" w:sz="4" w:space="0" w:color="89B9D4"/>
        <w:insideV w:val="single" w:sz="4" w:space="0" w:color="89B9D4"/>
      </w:tblBorders>
    </w:tblPr>
    <w:tblStylePr w:type="firstRow">
      <w:rPr>
        <w:b/>
        <w:bCs/>
      </w:rPr>
      <w:tblPr/>
      <w:tcPr>
        <w:tcBorders>
          <w:bottom w:val="single" w:sz="12" w:space="0" w:color="89B9D4"/>
        </w:tcBorders>
      </w:tcPr>
    </w:tblStylePr>
    <w:tblStylePr w:type="lastRow">
      <w:rPr>
        <w:b/>
        <w:bCs/>
      </w:rPr>
      <w:tblPr/>
      <w:tcPr>
        <w:tcBorders>
          <w:top w:val="double" w:sz="4" w:space="0" w:color="89B9D4"/>
        </w:tcBorders>
      </w:tcPr>
    </w:tblStylePr>
    <w:tblStylePr w:type="firstCol">
      <w:rPr>
        <w:b/>
        <w:bCs/>
      </w:rPr>
    </w:tblStylePr>
    <w:tblStylePr w:type="lastCol">
      <w:rPr>
        <w:b/>
        <w:bCs/>
      </w:rPr>
    </w:tblStylePr>
    <w:tblStylePr w:type="band1Vert">
      <w:tblPr/>
      <w:tcPr>
        <w:shd w:val="clear" w:color="auto" w:fill="D7E7F0"/>
      </w:tcPr>
    </w:tblStylePr>
    <w:tblStylePr w:type="band1Horz">
      <w:tblPr/>
      <w:tcPr>
        <w:shd w:val="clear" w:color="auto" w:fill="D7E7F0"/>
      </w:tcPr>
    </w:tblStylePr>
  </w:style>
  <w:style w:type="table" w:customStyle="1" w:styleId="GridTable3-Accent4121">
    <w:name w:val="Grid Table 3 - Accent 4121"/>
    <w:basedOn w:val="TableNormal"/>
    <w:uiPriority w:val="48"/>
    <w:rsid w:val="00BB2FAF"/>
    <w:pPr>
      <w:spacing w:after="0" w:line="240" w:lineRule="auto"/>
    </w:pPr>
    <w:rPr>
      <w:rFonts w:ascii="Calibri" w:eastAsia="Calibri" w:hAnsi="Calibri" w:cs="Times New Roman"/>
      <w:lang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ListTable4-Accent511">
    <w:name w:val="List Table 4 - Accent 511"/>
    <w:basedOn w:val="TableNormal"/>
    <w:uiPriority w:val="49"/>
    <w:rsid w:val="00BB2FAF"/>
    <w:pPr>
      <w:spacing w:after="0" w:line="240" w:lineRule="auto"/>
    </w:pPr>
    <w:tblPr>
      <w:tblStyleRowBandSize w:val="1"/>
      <w:tblStyleColBandSize w:val="1"/>
      <w:tblBorders>
        <w:top w:val="single" w:sz="4" w:space="0" w:color="FEDA69"/>
        <w:left w:val="single" w:sz="4" w:space="0" w:color="FEDA69"/>
        <w:bottom w:val="single" w:sz="4" w:space="0" w:color="FEDA69"/>
        <w:right w:val="single" w:sz="4" w:space="0" w:color="FEDA69"/>
        <w:insideH w:val="single" w:sz="4" w:space="0" w:color="FEDA69"/>
      </w:tblBorders>
    </w:tblPr>
    <w:tblStylePr w:type="firstRow">
      <w:rPr>
        <w:b/>
        <w:bCs/>
        <w:color w:val="FFFFFF"/>
      </w:rPr>
      <w:tblPr/>
      <w:tcPr>
        <w:tcBorders>
          <w:top w:val="single" w:sz="4" w:space="0" w:color="FEC306"/>
          <w:left w:val="single" w:sz="4" w:space="0" w:color="FEC306"/>
          <w:bottom w:val="single" w:sz="4" w:space="0" w:color="FEC306"/>
          <w:right w:val="single" w:sz="4" w:space="0" w:color="FEC306"/>
          <w:insideH w:val="nil"/>
        </w:tcBorders>
        <w:shd w:val="clear" w:color="auto" w:fill="FEC306"/>
      </w:tcPr>
    </w:tblStylePr>
    <w:tblStylePr w:type="lastRow">
      <w:rPr>
        <w:b/>
        <w:bCs/>
      </w:rPr>
      <w:tblPr/>
      <w:tcPr>
        <w:tcBorders>
          <w:top w:val="double" w:sz="4" w:space="0" w:color="FEDA69"/>
        </w:tcBorders>
      </w:tcPr>
    </w:tblStylePr>
    <w:tblStylePr w:type="firstCol">
      <w:rPr>
        <w:b/>
        <w:bCs/>
      </w:rPr>
    </w:tblStylePr>
    <w:tblStylePr w:type="lastCol">
      <w:rPr>
        <w:b/>
        <w:bCs/>
      </w:rPr>
    </w:tblStylePr>
    <w:tblStylePr w:type="band1Vert">
      <w:tblPr/>
      <w:tcPr>
        <w:shd w:val="clear" w:color="auto" w:fill="FEF2CD"/>
      </w:tcPr>
    </w:tblStylePr>
    <w:tblStylePr w:type="band1Horz">
      <w:tblPr/>
      <w:tcPr>
        <w:shd w:val="clear" w:color="auto" w:fill="FEF2CD"/>
      </w:tcPr>
    </w:tblStylePr>
  </w:style>
  <w:style w:type="table" w:customStyle="1" w:styleId="ListTable2-Accent511">
    <w:name w:val="List Table 2 - Accent 511"/>
    <w:basedOn w:val="TableNormal"/>
    <w:uiPriority w:val="47"/>
    <w:rsid w:val="00BB2FAF"/>
    <w:pPr>
      <w:spacing w:after="0" w:line="240" w:lineRule="auto"/>
    </w:pPr>
    <w:tblPr>
      <w:tblStyleRowBandSize w:val="1"/>
      <w:tblStyleColBandSize w:val="1"/>
      <w:tblBorders>
        <w:top w:val="single" w:sz="4" w:space="0" w:color="FEDA69"/>
        <w:bottom w:val="single" w:sz="4" w:space="0" w:color="FEDA69"/>
        <w:insideH w:val="single" w:sz="4" w:space="0" w:color="FEDA6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cPr>
    </w:tblStylePr>
    <w:tblStylePr w:type="band1Horz">
      <w:tblPr/>
      <w:tcPr>
        <w:shd w:val="clear" w:color="auto" w:fill="FEF2CD"/>
      </w:tcPr>
    </w:tblStylePr>
  </w:style>
  <w:style w:type="table" w:customStyle="1" w:styleId="GridTable1Light-Accent511">
    <w:name w:val="Grid Table 1 Light - Accent 511"/>
    <w:basedOn w:val="TableNormal"/>
    <w:uiPriority w:val="46"/>
    <w:rsid w:val="00BB2FAF"/>
    <w:pPr>
      <w:spacing w:after="0" w:line="240" w:lineRule="auto"/>
    </w:pPr>
    <w:tblPr>
      <w:tblStyleRowBandSize w:val="1"/>
      <w:tblStyleColBandSize w:val="1"/>
      <w:tblBorders>
        <w:top w:val="single" w:sz="4" w:space="0" w:color="FEE69B"/>
        <w:left w:val="single" w:sz="4" w:space="0" w:color="FEE69B"/>
        <w:bottom w:val="single" w:sz="4" w:space="0" w:color="FEE69B"/>
        <w:right w:val="single" w:sz="4" w:space="0" w:color="FEE69B"/>
        <w:insideH w:val="single" w:sz="4" w:space="0" w:color="FEE69B"/>
        <w:insideV w:val="single" w:sz="4" w:space="0" w:color="FEE69B"/>
      </w:tblBorders>
    </w:tblPr>
    <w:tblStylePr w:type="firstRow">
      <w:rPr>
        <w:b/>
        <w:bCs/>
      </w:rPr>
      <w:tblPr/>
      <w:tcPr>
        <w:tcBorders>
          <w:bottom w:val="single" w:sz="12" w:space="0" w:color="FEDA69"/>
        </w:tcBorders>
      </w:tcPr>
    </w:tblStylePr>
    <w:tblStylePr w:type="lastRow">
      <w:rPr>
        <w:b/>
        <w:bCs/>
      </w:rPr>
      <w:tblPr/>
      <w:tcPr>
        <w:tcBorders>
          <w:top w:val="double" w:sz="2" w:space="0" w:color="FEDA69"/>
        </w:tcBorders>
      </w:tcPr>
    </w:tblStylePr>
    <w:tblStylePr w:type="firstCol">
      <w:rPr>
        <w:b/>
        <w:bCs/>
      </w:rPr>
    </w:tblStylePr>
    <w:tblStylePr w:type="lastCol">
      <w:rPr>
        <w:b/>
        <w:bCs/>
      </w:rPr>
    </w:tblStylePr>
  </w:style>
  <w:style w:type="table" w:customStyle="1" w:styleId="GridTable6Colorful-Accent122">
    <w:name w:val="Grid Table 6 Colorful - Accent 122"/>
    <w:basedOn w:val="TableNormal"/>
    <w:uiPriority w:val="51"/>
    <w:rsid w:val="00BB2FAF"/>
    <w:pPr>
      <w:spacing w:after="0" w:line="240" w:lineRule="auto"/>
    </w:pPr>
    <w:rPr>
      <w:color w:val="306785"/>
    </w:rPr>
    <w:tblPr>
      <w:tblStyleRowBandSize w:val="1"/>
      <w:tblStyleColBandSize w:val="1"/>
      <w:tblBorders>
        <w:top w:val="single" w:sz="4" w:space="0" w:color="89B9D4"/>
        <w:left w:val="single" w:sz="4" w:space="0" w:color="89B9D4"/>
        <w:bottom w:val="single" w:sz="4" w:space="0" w:color="89B9D4"/>
        <w:right w:val="single" w:sz="4" w:space="0" w:color="89B9D4"/>
        <w:insideH w:val="single" w:sz="4" w:space="0" w:color="89B9D4"/>
        <w:insideV w:val="single" w:sz="4" w:space="0" w:color="89B9D4"/>
      </w:tblBorders>
    </w:tblPr>
    <w:tblStylePr w:type="firstRow">
      <w:rPr>
        <w:b/>
        <w:bCs/>
      </w:rPr>
      <w:tblPr/>
      <w:tcPr>
        <w:tcBorders>
          <w:bottom w:val="single" w:sz="12" w:space="0" w:color="89B9D4"/>
        </w:tcBorders>
      </w:tcPr>
    </w:tblStylePr>
    <w:tblStylePr w:type="lastRow">
      <w:rPr>
        <w:b/>
        <w:bCs/>
      </w:rPr>
      <w:tblPr/>
      <w:tcPr>
        <w:tcBorders>
          <w:top w:val="double" w:sz="4" w:space="0" w:color="89B9D4"/>
        </w:tcBorders>
      </w:tcPr>
    </w:tblStylePr>
    <w:tblStylePr w:type="firstCol">
      <w:rPr>
        <w:b/>
        <w:bCs/>
      </w:rPr>
    </w:tblStylePr>
    <w:tblStylePr w:type="lastCol">
      <w:rPr>
        <w:b/>
        <w:bCs/>
      </w:rPr>
    </w:tblStylePr>
    <w:tblStylePr w:type="band1Vert">
      <w:tblPr/>
      <w:tcPr>
        <w:shd w:val="clear" w:color="auto" w:fill="D7E7F0"/>
      </w:tcPr>
    </w:tblStylePr>
    <w:tblStylePr w:type="band1Horz">
      <w:tblPr/>
      <w:tcPr>
        <w:shd w:val="clear" w:color="auto" w:fill="D7E7F0"/>
      </w:tcPr>
    </w:tblStylePr>
  </w:style>
  <w:style w:type="numbering" w:customStyle="1" w:styleId="NoList3">
    <w:name w:val="No List3"/>
    <w:next w:val="NoList"/>
    <w:uiPriority w:val="99"/>
    <w:semiHidden/>
    <w:unhideWhenUsed/>
    <w:rsid w:val="00773897"/>
  </w:style>
  <w:style w:type="table" w:customStyle="1" w:styleId="TableGrid5">
    <w:name w:val="Table Grid5"/>
    <w:basedOn w:val="TableNormal"/>
    <w:next w:val="TableGrid"/>
    <w:uiPriority w:val="39"/>
    <w:rsid w:val="00773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2">
    <w:name w:val="Grid Table 6 Colorful - Accent 512"/>
    <w:basedOn w:val="TableNormal"/>
    <w:uiPriority w:val="51"/>
    <w:rsid w:val="00773897"/>
    <w:pPr>
      <w:spacing w:after="0" w:line="240" w:lineRule="auto"/>
    </w:pPr>
    <w:rPr>
      <w:color w:val="C19300"/>
    </w:rPr>
    <w:tblPr>
      <w:tblStyleRowBandSize w:val="1"/>
      <w:tblStyleColBandSize w:val="1"/>
      <w:tblBorders>
        <w:top w:val="single" w:sz="4" w:space="0" w:color="FEDA69"/>
        <w:left w:val="single" w:sz="4" w:space="0" w:color="FEDA69"/>
        <w:bottom w:val="single" w:sz="4" w:space="0" w:color="FEDA69"/>
        <w:right w:val="single" w:sz="4" w:space="0" w:color="FEDA69"/>
        <w:insideH w:val="single" w:sz="4" w:space="0" w:color="FEDA69"/>
        <w:insideV w:val="single" w:sz="4" w:space="0" w:color="FEDA69"/>
      </w:tblBorders>
    </w:tblPr>
    <w:tblStylePr w:type="firstRow">
      <w:rPr>
        <w:b/>
        <w:bCs/>
      </w:rPr>
      <w:tblPr/>
      <w:tcPr>
        <w:tcBorders>
          <w:bottom w:val="single" w:sz="12" w:space="0" w:color="FEDA69"/>
        </w:tcBorders>
      </w:tcPr>
    </w:tblStylePr>
    <w:tblStylePr w:type="lastRow">
      <w:rPr>
        <w:b/>
        <w:bCs/>
      </w:rPr>
      <w:tblPr/>
      <w:tcPr>
        <w:tcBorders>
          <w:top w:val="double" w:sz="4" w:space="0" w:color="FEDA69"/>
        </w:tcBorders>
      </w:tcPr>
    </w:tblStylePr>
    <w:tblStylePr w:type="firstCol">
      <w:rPr>
        <w:b/>
        <w:bCs/>
      </w:rPr>
    </w:tblStylePr>
    <w:tblStylePr w:type="lastCol">
      <w:rPr>
        <w:b/>
        <w:bCs/>
      </w:rPr>
    </w:tblStylePr>
    <w:tblStylePr w:type="band1Vert">
      <w:tblPr/>
      <w:tcPr>
        <w:shd w:val="clear" w:color="auto" w:fill="FEF2CD"/>
      </w:tcPr>
    </w:tblStylePr>
    <w:tblStylePr w:type="band1Horz">
      <w:tblPr/>
      <w:tcPr>
        <w:shd w:val="clear" w:color="auto" w:fill="FEF2CD"/>
      </w:tcPr>
    </w:tblStylePr>
  </w:style>
  <w:style w:type="table" w:customStyle="1" w:styleId="GridTable6Colorful-Accent113">
    <w:name w:val="Grid Table 6 Colorful - Accent 113"/>
    <w:basedOn w:val="TableNormal"/>
    <w:uiPriority w:val="51"/>
    <w:rsid w:val="00773897"/>
    <w:pPr>
      <w:spacing w:after="0" w:line="240" w:lineRule="auto"/>
    </w:pPr>
    <w:rPr>
      <w:color w:val="306785"/>
    </w:rPr>
    <w:tblPr>
      <w:tblStyleRowBandSize w:val="1"/>
      <w:tblStyleColBandSize w:val="1"/>
      <w:tblBorders>
        <w:top w:val="single" w:sz="4" w:space="0" w:color="89B9D4"/>
        <w:left w:val="single" w:sz="4" w:space="0" w:color="89B9D4"/>
        <w:bottom w:val="single" w:sz="4" w:space="0" w:color="89B9D4"/>
        <w:right w:val="single" w:sz="4" w:space="0" w:color="89B9D4"/>
        <w:insideH w:val="single" w:sz="4" w:space="0" w:color="89B9D4"/>
        <w:insideV w:val="single" w:sz="4" w:space="0" w:color="89B9D4"/>
      </w:tblBorders>
    </w:tblPr>
    <w:tblStylePr w:type="firstRow">
      <w:rPr>
        <w:b/>
        <w:bCs/>
      </w:rPr>
      <w:tblPr/>
      <w:tcPr>
        <w:tcBorders>
          <w:bottom w:val="single" w:sz="12" w:space="0" w:color="89B9D4"/>
        </w:tcBorders>
      </w:tcPr>
    </w:tblStylePr>
    <w:tblStylePr w:type="lastRow">
      <w:rPr>
        <w:b/>
        <w:bCs/>
      </w:rPr>
      <w:tblPr/>
      <w:tcPr>
        <w:tcBorders>
          <w:top w:val="double" w:sz="4" w:space="0" w:color="89B9D4"/>
        </w:tcBorders>
      </w:tcPr>
    </w:tblStylePr>
    <w:tblStylePr w:type="firstCol">
      <w:rPr>
        <w:b/>
        <w:bCs/>
      </w:rPr>
    </w:tblStylePr>
    <w:tblStylePr w:type="lastCol">
      <w:rPr>
        <w:b/>
        <w:bCs/>
      </w:rPr>
    </w:tblStylePr>
    <w:tblStylePr w:type="band1Vert">
      <w:tblPr/>
      <w:tcPr>
        <w:shd w:val="clear" w:color="auto" w:fill="D7E7F0"/>
      </w:tcPr>
    </w:tblStylePr>
    <w:tblStylePr w:type="band1Horz">
      <w:tblPr/>
      <w:tcPr>
        <w:shd w:val="clear" w:color="auto" w:fill="D7E7F0"/>
      </w:tcPr>
    </w:tblStylePr>
  </w:style>
  <w:style w:type="table" w:customStyle="1" w:styleId="GridTable3-Accent4122">
    <w:name w:val="Grid Table 3 - Accent 4122"/>
    <w:basedOn w:val="TableNormal"/>
    <w:uiPriority w:val="48"/>
    <w:rsid w:val="00773897"/>
    <w:pPr>
      <w:spacing w:after="0" w:line="240" w:lineRule="auto"/>
    </w:pPr>
    <w:rPr>
      <w:rFonts w:ascii="Calibri" w:eastAsia="Calibri" w:hAnsi="Calibri" w:cs="Times New Roman"/>
      <w:lang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ListTable4-Accent512">
    <w:name w:val="List Table 4 - Accent 512"/>
    <w:basedOn w:val="TableNormal"/>
    <w:uiPriority w:val="49"/>
    <w:rsid w:val="00773897"/>
    <w:pPr>
      <w:spacing w:after="0" w:line="240" w:lineRule="auto"/>
    </w:pPr>
    <w:tblPr>
      <w:tblStyleRowBandSize w:val="1"/>
      <w:tblStyleColBandSize w:val="1"/>
      <w:tblBorders>
        <w:top w:val="single" w:sz="4" w:space="0" w:color="FEDA69"/>
        <w:left w:val="single" w:sz="4" w:space="0" w:color="FEDA69"/>
        <w:bottom w:val="single" w:sz="4" w:space="0" w:color="FEDA69"/>
        <w:right w:val="single" w:sz="4" w:space="0" w:color="FEDA69"/>
        <w:insideH w:val="single" w:sz="4" w:space="0" w:color="FEDA69"/>
      </w:tblBorders>
    </w:tblPr>
    <w:tblStylePr w:type="firstRow">
      <w:rPr>
        <w:b/>
        <w:bCs/>
        <w:color w:val="FFFFFF"/>
      </w:rPr>
      <w:tblPr/>
      <w:tcPr>
        <w:tcBorders>
          <w:top w:val="single" w:sz="4" w:space="0" w:color="FEC306"/>
          <w:left w:val="single" w:sz="4" w:space="0" w:color="FEC306"/>
          <w:bottom w:val="single" w:sz="4" w:space="0" w:color="FEC306"/>
          <w:right w:val="single" w:sz="4" w:space="0" w:color="FEC306"/>
          <w:insideH w:val="nil"/>
        </w:tcBorders>
        <w:shd w:val="clear" w:color="auto" w:fill="FEC306"/>
      </w:tcPr>
    </w:tblStylePr>
    <w:tblStylePr w:type="lastRow">
      <w:rPr>
        <w:b/>
        <w:bCs/>
      </w:rPr>
      <w:tblPr/>
      <w:tcPr>
        <w:tcBorders>
          <w:top w:val="double" w:sz="4" w:space="0" w:color="FEDA69"/>
        </w:tcBorders>
      </w:tcPr>
    </w:tblStylePr>
    <w:tblStylePr w:type="firstCol">
      <w:rPr>
        <w:b/>
        <w:bCs/>
      </w:rPr>
    </w:tblStylePr>
    <w:tblStylePr w:type="lastCol">
      <w:rPr>
        <w:b/>
        <w:bCs/>
      </w:rPr>
    </w:tblStylePr>
    <w:tblStylePr w:type="band1Vert">
      <w:tblPr/>
      <w:tcPr>
        <w:shd w:val="clear" w:color="auto" w:fill="FEF2CD"/>
      </w:tcPr>
    </w:tblStylePr>
    <w:tblStylePr w:type="band1Horz">
      <w:tblPr/>
      <w:tcPr>
        <w:shd w:val="clear" w:color="auto" w:fill="FEF2CD"/>
      </w:tcPr>
    </w:tblStylePr>
  </w:style>
  <w:style w:type="table" w:customStyle="1" w:styleId="ListTable2-Accent512">
    <w:name w:val="List Table 2 - Accent 512"/>
    <w:basedOn w:val="TableNormal"/>
    <w:uiPriority w:val="47"/>
    <w:rsid w:val="00773897"/>
    <w:pPr>
      <w:spacing w:after="0" w:line="240" w:lineRule="auto"/>
    </w:pPr>
    <w:tblPr>
      <w:tblStyleRowBandSize w:val="1"/>
      <w:tblStyleColBandSize w:val="1"/>
      <w:tblBorders>
        <w:top w:val="single" w:sz="4" w:space="0" w:color="FEDA69"/>
        <w:bottom w:val="single" w:sz="4" w:space="0" w:color="FEDA69"/>
        <w:insideH w:val="single" w:sz="4" w:space="0" w:color="FEDA6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cPr>
    </w:tblStylePr>
    <w:tblStylePr w:type="band1Horz">
      <w:tblPr/>
      <w:tcPr>
        <w:shd w:val="clear" w:color="auto" w:fill="FEF2CD"/>
      </w:tcPr>
    </w:tblStylePr>
  </w:style>
  <w:style w:type="table" w:customStyle="1" w:styleId="GridTable1Light-Accent512">
    <w:name w:val="Grid Table 1 Light - Accent 512"/>
    <w:basedOn w:val="TableNormal"/>
    <w:uiPriority w:val="46"/>
    <w:rsid w:val="00773897"/>
    <w:pPr>
      <w:spacing w:after="0" w:line="240" w:lineRule="auto"/>
    </w:pPr>
    <w:tblPr>
      <w:tblStyleRowBandSize w:val="1"/>
      <w:tblStyleColBandSize w:val="1"/>
      <w:tblBorders>
        <w:top w:val="single" w:sz="4" w:space="0" w:color="FEE69B"/>
        <w:left w:val="single" w:sz="4" w:space="0" w:color="FEE69B"/>
        <w:bottom w:val="single" w:sz="4" w:space="0" w:color="FEE69B"/>
        <w:right w:val="single" w:sz="4" w:space="0" w:color="FEE69B"/>
        <w:insideH w:val="single" w:sz="4" w:space="0" w:color="FEE69B"/>
        <w:insideV w:val="single" w:sz="4" w:space="0" w:color="FEE69B"/>
      </w:tblBorders>
    </w:tblPr>
    <w:tblStylePr w:type="firstRow">
      <w:rPr>
        <w:b/>
        <w:bCs/>
      </w:rPr>
      <w:tblPr/>
      <w:tcPr>
        <w:tcBorders>
          <w:bottom w:val="single" w:sz="12" w:space="0" w:color="FEDA69"/>
        </w:tcBorders>
      </w:tcPr>
    </w:tblStylePr>
    <w:tblStylePr w:type="lastRow">
      <w:rPr>
        <w:b/>
        <w:bCs/>
      </w:rPr>
      <w:tblPr/>
      <w:tcPr>
        <w:tcBorders>
          <w:top w:val="double" w:sz="2" w:space="0" w:color="FEDA69"/>
        </w:tcBorders>
      </w:tcPr>
    </w:tblStylePr>
    <w:tblStylePr w:type="firstCol">
      <w:rPr>
        <w:b/>
        <w:bCs/>
      </w:rPr>
    </w:tblStylePr>
    <w:tblStylePr w:type="lastCol">
      <w:rPr>
        <w:b/>
        <w:bCs/>
      </w:rPr>
    </w:tblStylePr>
  </w:style>
  <w:style w:type="table" w:customStyle="1" w:styleId="GridTable6Colorful-Accent123">
    <w:name w:val="Grid Table 6 Colorful - Accent 123"/>
    <w:basedOn w:val="TableNormal"/>
    <w:uiPriority w:val="51"/>
    <w:rsid w:val="00773897"/>
    <w:pPr>
      <w:spacing w:after="0" w:line="240" w:lineRule="auto"/>
    </w:pPr>
    <w:rPr>
      <w:color w:val="306785"/>
    </w:rPr>
    <w:tblPr>
      <w:tblStyleRowBandSize w:val="1"/>
      <w:tblStyleColBandSize w:val="1"/>
      <w:tblBorders>
        <w:top w:val="single" w:sz="4" w:space="0" w:color="89B9D4"/>
        <w:left w:val="single" w:sz="4" w:space="0" w:color="89B9D4"/>
        <w:bottom w:val="single" w:sz="4" w:space="0" w:color="89B9D4"/>
        <w:right w:val="single" w:sz="4" w:space="0" w:color="89B9D4"/>
        <w:insideH w:val="single" w:sz="4" w:space="0" w:color="89B9D4"/>
        <w:insideV w:val="single" w:sz="4" w:space="0" w:color="89B9D4"/>
      </w:tblBorders>
    </w:tblPr>
    <w:tblStylePr w:type="firstRow">
      <w:rPr>
        <w:b/>
        <w:bCs/>
      </w:rPr>
      <w:tblPr/>
      <w:tcPr>
        <w:tcBorders>
          <w:bottom w:val="single" w:sz="12" w:space="0" w:color="89B9D4"/>
        </w:tcBorders>
      </w:tcPr>
    </w:tblStylePr>
    <w:tblStylePr w:type="lastRow">
      <w:rPr>
        <w:b/>
        <w:bCs/>
      </w:rPr>
      <w:tblPr/>
      <w:tcPr>
        <w:tcBorders>
          <w:top w:val="double" w:sz="4" w:space="0" w:color="89B9D4"/>
        </w:tcBorders>
      </w:tcPr>
    </w:tblStylePr>
    <w:tblStylePr w:type="firstCol">
      <w:rPr>
        <w:b/>
        <w:bCs/>
      </w:rPr>
    </w:tblStylePr>
    <w:tblStylePr w:type="lastCol">
      <w:rPr>
        <w:b/>
        <w:bCs/>
      </w:rPr>
    </w:tblStylePr>
    <w:tblStylePr w:type="band1Vert">
      <w:tblPr/>
      <w:tcPr>
        <w:shd w:val="clear" w:color="auto" w:fill="D7E7F0"/>
      </w:tcPr>
    </w:tblStylePr>
    <w:tblStylePr w:type="band1Horz">
      <w:tblPr/>
      <w:tcPr>
        <w:shd w:val="clear" w:color="auto" w:fill="D7E7F0"/>
      </w:tcPr>
    </w:tblStylePr>
  </w:style>
  <w:style w:type="table" w:customStyle="1" w:styleId="GridTable6Colorful-Accent114">
    <w:name w:val="Grid Table 6 Colorful - Accent 114"/>
    <w:basedOn w:val="TableNormal"/>
    <w:uiPriority w:val="51"/>
    <w:rsid w:val="00CE5081"/>
    <w:pPr>
      <w:spacing w:after="0" w:line="240" w:lineRule="auto"/>
    </w:pPr>
    <w:rPr>
      <w:color w:val="306785"/>
    </w:rPr>
    <w:tblPr>
      <w:tblStyleRowBandSize w:val="1"/>
      <w:tblStyleColBandSize w:val="1"/>
      <w:tblBorders>
        <w:top w:val="single" w:sz="4" w:space="0" w:color="89B9D4"/>
        <w:left w:val="single" w:sz="4" w:space="0" w:color="89B9D4"/>
        <w:bottom w:val="single" w:sz="4" w:space="0" w:color="89B9D4"/>
        <w:right w:val="single" w:sz="4" w:space="0" w:color="89B9D4"/>
        <w:insideH w:val="single" w:sz="4" w:space="0" w:color="89B9D4"/>
        <w:insideV w:val="single" w:sz="4" w:space="0" w:color="89B9D4"/>
      </w:tblBorders>
    </w:tblPr>
    <w:tblStylePr w:type="firstRow">
      <w:rPr>
        <w:b/>
        <w:bCs/>
      </w:rPr>
      <w:tblPr/>
      <w:tcPr>
        <w:tcBorders>
          <w:bottom w:val="single" w:sz="12" w:space="0" w:color="89B9D4"/>
        </w:tcBorders>
      </w:tcPr>
    </w:tblStylePr>
    <w:tblStylePr w:type="lastRow">
      <w:rPr>
        <w:b/>
        <w:bCs/>
      </w:rPr>
      <w:tblPr/>
      <w:tcPr>
        <w:tcBorders>
          <w:top w:val="double" w:sz="4" w:space="0" w:color="89B9D4"/>
        </w:tcBorders>
      </w:tcPr>
    </w:tblStylePr>
    <w:tblStylePr w:type="firstCol">
      <w:rPr>
        <w:b/>
        <w:bCs/>
      </w:rPr>
    </w:tblStylePr>
    <w:tblStylePr w:type="lastCol">
      <w:rPr>
        <w:b/>
        <w:bCs/>
      </w:rPr>
    </w:tblStylePr>
    <w:tblStylePr w:type="band1Vert">
      <w:tblPr/>
      <w:tcPr>
        <w:shd w:val="clear" w:color="auto" w:fill="D7E7F0"/>
      </w:tcPr>
    </w:tblStylePr>
    <w:tblStylePr w:type="band1Horz">
      <w:tblPr/>
      <w:tcPr>
        <w:shd w:val="clear" w:color="auto" w:fill="D7E7F0"/>
      </w:tcPr>
    </w:tblStylePr>
  </w:style>
  <w:style w:type="table" w:customStyle="1" w:styleId="GridTable6Colorful-Accent115">
    <w:name w:val="Grid Table 6 Colorful - Accent 115"/>
    <w:basedOn w:val="TableNormal"/>
    <w:uiPriority w:val="51"/>
    <w:rsid w:val="00CE5081"/>
    <w:pPr>
      <w:spacing w:after="0" w:line="240" w:lineRule="auto"/>
    </w:pPr>
    <w:rPr>
      <w:color w:val="306785"/>
    </w:rPr>
    <w:tblPr>
      <w:tblStyleRowBandSize w:val="1"/>
      <w:tblStyleColBandSize w:val="1"/>
      <w:tblBorders>
        <w:top w:val="single" w:sz="4" w:space="0" w:color="89B9D4"/>
        <w:left w:val="single" w:sz="4" w:space="0" w:color="89B9D4"/>
        <w:bottom w:val="single" w:sz="4" w:space="0" w:color="89B9D4"/>
        <w:right w:val="single" w:sz="4" w:space="0" w:color="89B9D4"/>
        <w:insideH w:val="single" w:sz="4" w:space="0" w:color="89B9D4"/>
        <w:insideV w:val="single" w:sz="4" w:space="0" w:color="89B9D4"/>
      </w:tblBorders>
    </w:tblPr>
    <w:tblStylePr w:type="firstRow">
      <w:rPr>
        <w:b/>
        <w:bCs/>
      </w:rPr>
      <w:tblPr/>
      <w:tcPr>
        <w:tcBorders>
          <w:bottom w:val="single" w:sz="12" w:space="0" w:color="89B9D4"/>
        </w:tcBorders>
      </w:tcPr>
    </w:tblStylePr>
    <w:tblStylePr w:type="lastRow">
      <w:rPr>
        <w:b/>
        <w:bCs/>
      </w:rPr>
      <w:tblPr/>
      <w:tcPr>
        <w:tcBorders>
          <w:top w:val="double" w:sz="4" w:space="0" w:color="89B9D4"/>
        </w:tcBorders>
      </w:tcPr>
    </w:tblStylePr>
    <w:tblStylePr w:type="firstCol">
      <w:rPr>
        <w:b/>
        <w:bCs/>
      </w:rPr>
    </w:tblStylePr>
    <w:tblStylePr w:type="lastCol">
      <w:rPr>
        <w:b/>
        <w:bCs/>
      </w:rPr>
    </w:tblStylePr>
    <w:tblStylePr w:type="band1Vert">
      <w:tblPr/>
      <w:tcPr>
        <w:shd w:val="clear" w:color="auto" w:fill="D7E7F0"/>
      </w:tcPr>
    </w:tblStylePr>
    <w:tblStylePr w:type="band1Horz">
      <w:tblPr/>
      <w:tcPr>
        <w:shd w:val="clear" w:color="auto" w:fill="D7E7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1766">
      <w:bodyDiv w:val="1"/>
      <w:marLeft w:val="0"/>
      <w:marRight w:val="0"/>
      <w:marTop w:val="0"/>
      <w:marBottom w:val="0"/>
      <w:divBdr>
        <w:top w:val="none" w:sz="0" w:space="0" w:color="auto"/>
        <w:left w:val="none" w:sz="0" w:space="0" w:color="auto"/>
        <w:bottom w:val="none" w:sz="0" w:space="0" w:color="auto"/>
        <w:right w:val="none" w:sz="0" w:space="0" w:color="auto"/>
      </w:divBdr>
    </w:div>
    <w:div w:id="182864509">
      <w:bodyDiv w:val="1"/>
      <w:marLeft w:val="0"/>
      <w:marRight w:val="0"/>
      <w:marTop w:val="0"/>
      <w:marBottom w:val="0"/>
      <w:divBdr>
        <w:top w:val="none" w:sz="0" w:space="0" w:color="auto"/>
        <w:left w:val="none" w:sz="0" w:space="0" w:color="auto"/>
        <w:bottom w:val="none" w:sz="0" w:space="0" w:color="auto"/>
        <w:right w:val="none" w:sz="0" w:space="0" w:color="auto"/>
      </w:divBdr>
    </w:div>
    <w:div w:id="200822980">
      <w:bodyDiv w:val="1"/>
      <w:marLeft w:val="0"/>
      <w:marRight w:val="0"/>
      <w:marTop w:val="0"/>
      <w:marBottom w:val="0"/>
      <w:divBdr>
        <w:top w:val="none" w:sz="0" w:space="0" w:color="auto"/>
        <w:left w:val="none" w:sz="0" w:space="0" w:color="auto"/>
        <w:bottom w:val="none" w:sz="0" w:space="0" w:color="auto"/>
        <w:right w:val="none" w:sz="0" w:space="0" w:color="auto"/>
      </w:divBdr>
    </w:div>
    <w:div w:id="228425111">
      <w:bodyDiv w:val="1"/>
      <w:marLeft w:val="0"/>
      <w:marRight w:val="0"/>
      <w:marTop w:val="0"/>
      <w:marBottom w:val="0"/>
      <w:divBdr>
        <w:top w:val="none" w:sz="0" w:space="0" w:color="auto"/>
        <w:left w:val="none" w:sz="0" w:space="0" w:color="auto"/>
        <w:bottom w:val="none" w:sz="0" w:space="0" w:color="auto"/>
        <w:right w:val="none" w:sz="0" w:space="0" w:color="auto"/>
      </w:divBdr>
    </w:div>
    <w:div w:id="284391287">
      <w:bodyDiv w:val="1"/>
      <w:marLeft w:val="0"/>
      <w:marRight w:val="0"/>
      <w:marTop w:val="0"/>
      <w:marBottom w:val="0"/>
      <w:divBdr>
        <w:top w:val="none" w:sz="0" w:space="0" w:color="auto"/>
        <w:left w:val="none" w:sz="0" w:space="0" w:color="auto"/>
        <w:bottom w:val="none" w:sz="0" w:space="0" w:color="auto"/>
        <w:right w:val="none" w:sz="0" w:space="0" w:color="auto"/>
      </w:divBdr>
    </w:div>
    <w:div w:id="385495501">
      <w:bodyDiv w:val="1"/>
      <w:marLeft w:val="0"/>
      <w:marRight w:val="0"/>
      <w:marTop w:val="0"/>
      <w:marBottom w:val="0"/>
      <w:divBdr>
        <w:top w:val="none" w:sz="0" w:space="0" w:color="auto"/>
        <w:left w:val="none" w:sz="0" w:space="0" w:color="auto"/>
        <w:bottom w:val="none" w:sz="0" w:space="0" w:color="auto"/>
        <w:right w:val="none" w:sz="0" w:space="0" w:color="auto"/>
      </w:divBdr>
    </w:div>
    <w:div w:id="422992579">
      <w:bodyDiv w:val="1"/>
      <w:marLeft w:val="0"/>
      <w:marRight w:val="0"/>
      <w:marTop w:val="0"/>
      <w:marBottom w:val="0"/>
      <w:divBdr>
        <w:top w:val="none" w:sz="0" w:space="0" w:color="auto"/>
        <w:left w:val="none" w:sz="0" w:space="0" w:color="auto"/>
        <w:bottom w:val="none" w:sz="0" w:space="0" w:color="auto"/>
        <w:right w:val="none" w:sz="0" w:space="0" w:color="auto"/>
      </w:divBdr>
    </w:div>
    <w:div w:id="436870425">
      <w:bodyDiv w:val="1"/>
      <w:marLeft w:val="0"/>
      <w:marRight w:val="0"/>
      <w:marTop w:val="0"/>
      <w:marBottom w:val="0"/>
      <w:divBdr>
        <w:top w:val="none" w:sz="0" w:space="0" w:color="auto"/>
        <w:left w:val="none" w:sz="0" w:space="0" w:color="auto"/>
        <w:bottom w:val="none" w:sz="0" w:space="0" w:color="auto"/>
        <w:right w:val="none" w:sz="0" w:space="0" w:color="auto"/>
      </w:divBdr>
    </w:div>
    <w:div w:id="512961573">
      <w:bodyDiv w:val="1"/>
      <w:marLeft w:val="0"/>
      <w:marRight w:val="0"/>
      <w:marTop w:val="0"/>
      <w:marBottom w:val="0"/>
      <w:divBdr>
        <w:top w:val="none" w:sz="0" w:space="0" w:color="auto"/>
        <w:left w:val="none" w:sz="0" w:space="0" w:color="auto"/>
        <w:bottom w:val="none" w:sz="0" w:space="0" w:color="auto"/>
        <w:right w:val="none" w:sz="0" w:space="0" w:color="auto"/>
      </w:divBdr>
    </w:div>
    <w:div w:id="536891143">
      <w:bodyDiv w:val="1"/>
      <w:marLeft w:val="0"/>
      <w:marRight w:val="0"/>
      <w:marTop w:val="0"/>
      <w:marBottom w:val="0"/>
      <w:divBdr>
        <w:top w:val="none" w:sz="0" w:space="0" w:color="auto"/>
        <w:left w:val="none" w:sz="0" w:space="0" w:color="auto"/>
        <w:bottom w:val="none" w:sz="0" w:space="0" w:color="auto"/>
        <w:right w:val="none" w:sz="0" w:space="0" w:color="auto"/>
      </w:divBdr>
    </w:div>
    <w:div w:id="637106133">
      <w:bodyDiv w:val="1"/>
      <w:marLeft w:val="0"/>
      <w:marRight w:val="0"/>
      <w:marTop w:val="0"/>
      <w:marBottom w:val="0"/>
      <w:divBdr>
        <w:top w:val="none" w:sz="0" w:space="0" w:color="auto"/>
        <w:left w:val="none" w:sz="0" w:space="0" w:color="auto"/>
        <w:bottom w:val="none" w:sz="0" w:space="0" w:color="auto"/>
        <w:right w:val="none" w:sz="0" w:space="0" w:color="auto"/>
      </w:divBdr>
    </w:div>
    <w:div w:id="729578290">
      <w:bodyDiv w:val="1"/>
      <w:marLeft w:val="0"/>
      <w:marRight w:val="0"/>
      <w:marTop w:val="0"/>
      <w:marBottom w:val="0"/>
      <w:divBdr>
        <w:top w:val="none" w:sz="0" w:space="0" w:color="auto"/>
        <w:left w:val="none" w:sz="0" w:space="0" w:color="auto"/>
        <w:bottom w:val="none" w:sz="0" w:space="0" w:color="auto"/>
        <w:right w:val="none" w:sz="0" w:space="0" w:color="auto"/>
      </w:divBdr>
    </w:div>
    <w:div w:id="787819898">
      <w:bodyDiv w:val="1"/>
      <w:marLeft w:val="0"/>
      <w:marRight w:val="0"/>
      <w:marTop w:val="0"/>
      <w:marBottom w:val="0"/>
      <w:divBdr>
        <w:top w:val="none" w:sz="0" w:space="0" w:color="auto"/>
        <w:left w:val="none" w:sz="0" w:space="0" w:color="auto"/>
        <w:bottom w:val="none" w:sz="0" w:space="0" w:color="auto"/>
        <w:right w:val="none" w:sz="0" w:space="0" w:color="auto"/>
      </w:divBdr>
    </w:div>
    <w:div w:id="847140553">
      <w:bodyDiv w:val="1"/>
      <w:marLeft w:val="0"/>
      <w:marRight w:val="0"/>
      <w:marTop w:val="0"/>
      <w:marBottom w:val="0"/>
      <w:divBdr>
        <w:top w:val="none" w:sz="0" w:space="0" w:color="auto"/>
        <w:left w:val="none" w:sz="0" w:space="0" w:color="auto"/>
        <w:bottom w:val="none" w:sz="0" w:space="0" w:color="auto"/>
        <w:right w:val="none" w:sz="0" w:space="0" w:color="auto"/>
      </w:divBdr>
    </w:div>
    <w:div w:id="951203463">
      <w:bodyDiv w:val="1"/>
      <w:marLeft w:val="0"/>
      <w:marRight w:val="0"/>
      <w:marTop w:val="0"/>
      <w:marBottom w:val="0"/>
      <w:divBdr>
        <w:top w:val="none" w:sz="0" w:space="0" w:color="auto"/>
        <w:left w:val="none" w:sz="0" w:space="0" w:color="auto"/>
        <w:bottom w:val="none" w:sz="0" w:space="0" w:color="auto"/>
        <w:right w:val="none" w:sz="0" w:space="0" w:color="auto"/>
      </w:divBdr>
    </w:div>
    <w:div w:id="1097867093">
      <w:bodyDiv w:val="1"/>
      <w:marLeft w:val="0"/>
      <w:marRight w:val="0"/>
      <w:marTop w:val="0"/>
      <w:marBottom w:val="0"/>
      <w:divBdr>
        <w:top w:val="none" w:sz="0" w:space="0" w:color="auto"/>
        <w:left w:val="none" w:sz="0" w:space="0" w:color="auto"/>
        <w:bottom w:val="none" w:sz="0" w:space="0" w:color="auto"/>
        <w:right w:val="none" w:sz="0" w:space="0" w:color="auto"/>
      </w:divBdr>
    </w:div>
    <w:div w:id="1272123273">
      <w:bodyDiv w:val="1"/>
      <w:marLeft w:val="0"/>
      <w:marRight w:val="0"/>
      <w:marTop w:val="0"/>
      <w:marBottom w:val="0"/>
      <w:divBdr>
        <w:top w:val="none" w:sz="0" w:space="0" w:color="auto"/>
        <w:left w:val="none" w:sz="0" w:space="0" w:color="auto"/>
        <w:bottom w:val="none" w:sz="0" w:space="0" w:color="auto"/>
        <w:right w:val="none" w:sz="0" w:space="0" w:color="auto"/>
      </w:divBdr>
    </w:div>
    <w:div w:id="1442994878">
      <w:bodyDiv w:val="1"/>
      <w:marLeft w:val="0"/>
      <w:marRight w:val="0"/>
      <w:marTop w:val="0"/>
      <w:marBottom w:val="0"/>
      <w:divBdr>
        <w:top w:val="none" w:sz="0" w:space="0" w:color="auto"/>
        <w:left w:val="none" w:sz="0" w:space="0" w:color="auto"/>
        <w:bottom w:val="none" w:sz="0" w:space="0" w:color="auto"/>
        <w:right w:val="none" w:sz="0" w:space="0" w:color="auto"/>
      </w:divBdr>
    </w:div>
    <w:div w:id="1491023203">
      <w:bodyDiv w:val="1"/>
      <w:marLeft w:val="0"/>
      <w:marRight w:val="0"/>
      <w:marTop w:val="0"/>
      <w:marBottom w:val="0"/>
      <w:divBdr>
        <w:top w:val="none" w:sz="0" w:space="0" w:color="auto"/>
        <w:left w:val="none" w:sz="0" w:space="0" w:color="auto"/>
        <w:bottom w:val="none" w:sz="0" w:space="0" w:color="auto"/>
        <w:right w:val="none" w:sz="0" w:space="0" w:color="auto"/>
      </w:divBdr>
    </w:div>
    <w:div w:id="1501502221">
      <w:bodyDiv w:val="1"/>
      <w:marLeft w:val="0"/>
      <w:marRight w:val="0"/>
      <w:marTop w:val="0"/>
      <w:marBottom w:val="0"/>
      <w:divBdr>
        <w:top w:val="none" w:sz="0" w:space="0" w:color="auto"/>
        <w:left w:val="none" w:sz="0" w:space="0" w:color="auto"/>
        <w:bottom w:val="none" w:sz="0" w:space="0" w:color="auto"/>
        <w:right w:val="none" w:sz="0" w:space="0" w:color="auto"/>
      </w:divBdr>
    </w:div>
    <w:div w:id="1727559794">
      <w:bodyDiv w:val="1"/>
      <w:marLeft w:val="0"/>
      <w:marRight w:val="0"/>
      <w:marTop w:val="0"/>
      <w:marBottom w:val="0"/>
      <w:divBdr>
        <w:top w:val="none" w:sz="0" w:space="0" w:color="auto"/>
        <w:left w:val="none" w:sz="0" w:space="0" w:color="auto"/>
        <w:bottom w:val="none" w:sz="0" w:space="0" w:color="auto"/>
        <w:right w:val="none" w:sz="0" w:space="0" w:color="auto"/>
      </w:divBdr>
    </w:div>
    <w:div w:id="1741244536">
      <w:bodyDiv w:val="1"/>
      <w:marLeft w:val="0"/>
      <w:marRight w:val="0"/>
      <w:marTop w:val="0"/>
      <w:marBottom w:val="0"/>
      <w:divBdr>
        <w:top w:val="none" w:sz="0" w:space="0" w:color="auto"/>
        <w:left w:val="none" w:sz="0" w:space="0" w:color="auto"/>
        <w:bottom w:val="none" w:sz="0" w:space="0" w:color="auto"/>
        <w:right w:val="none" w:sz="0" w:space="0" w:color="auto"/>
      </w:divBdr>
    </w:div>
    <w:div w:id="1787500014">
      <w:bodyDiv w:val="1"/>
      <w:marLeft w:val="0"/>
      <w:marRight w:val="0"/>
      <w:marTop w:val="0"/>
      <w:marBottom w:val="0"/>
      <w:divBdr>
        <w:top w:val="none" w:sz="0" w:space="0" w:color="auto"/>
        <w:left w:val="none" w:sz="0" w:space="0" w:color="auto"/>
        <w:bottom w:val="none" w:sz="0" w:space="0" w:color="auto"/>
        <w:right w:val="none" w:sz="0" w:space="0" w:color="auto"/>
      </w:divBdr>
    </w:div>
    <w:div w:id="1831359698">
      <w:bodyDiv w:val="1"/>
      <w:marLeft w:val="0"/>
      <w:marRight w:val="0"/>
      <w:marTop w:val="0"/>
      <w:marBottom w:val="0"/>
      <w:divBdr>
        <w:top w:val="none" w:sz="0" w:space="0" w:color="auto"/>
        <w:left w:val="none" w:sz="0" w:space="0" w:color="auto"/>
        <w:bottom w:val="none" w:sz="0" w:space="0" w:color="auto"/>
        <w:right w:val="none" w:sz="0" w:space="0" w:color="auto"/>
      </w:divBdr>
    </w:div>
    <w:div w:id="1926764052">
      <w:bodyDiv w:val="1"/>
      <w:marLeft w:val="0"/>
      <w:marRight w:val="0"/>
      <w:marTop w:val="0"/>
      <w:marBottom w:val="0"/>
      <w:divBdr>
        <w:top w:val="none" w:sz="0" w:space="0" w:color="auto"/>
        <w:left w:val="none" w:sz="0" w:space="0" w:color="auto"/>
        <w:bottom w:val="none" w:sz="0" w:space="0" w:color="auto"/>
        <w:right w:val="none" w:sz="0" w:space="0" w:color="auto"/>
      </w:divBdr>
    </w:div>
    <w:div w:id="20427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ojan\Desktop\New%20folder%20(2)\Grafici%20za%20javni%20dug%204817.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katarina.zivkovic\Desktop\Desktop\Javni%20dug\Izvjestaji%20o%20javnom-drzavnom%20dugu\Izvjestaji%20o%20javnom%20dugu\Izvjestaj%20o%20javnom%20dugu%20za%202019.%20godinu\Grafici%20za%20javni%20dug%204817.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ojan\Desktop\New%20folder%20(2)\Grafici%20za%20javni%20dug%20481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elena.djurovic\Desktop\Javni%20dug\2020\Grafici%20za%20javni%20dug%20481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elena.djurovic\Desktop\Javni%20dug\2020\Grafici%20za%20javni%20dug%20481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jelena.djurovic\Documents\JAVNI%20DUG%202002-2018.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jelena.djurovic\Desktop\Javni%20dug\2020\Grafici%20za%20javni%20dug%204817.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jelena.djurovic\Desktop\Javni%20dug\2020\Grafici%20za%20javni%20dug%204817.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katarina.zivkovic\Desktop\Desktop\Javni%20dug\Izvjestaji%20o%20javnom-drzavnom%20dugu\Izvjestaji%20o%20javnom%20dugu\Izvjestaj%20o%20javnom%20dugu%20za%202019.%20godinu\Dug%20lok%20sam%2031.12.2019.%20-%20konsolid.%20MF%20-%20Novi.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163040801247933E-2"/>
          <c:y val="2.7818061964403409E-2"/>
          <c:w val="0.79197110253673808"/>
          <c:h val="0.66446934739617713"/>
        </c:manualLayout>
      </c:layout>
      <c:barChart>
        <c:barDir val="col"/>
        <c:grouping val="clustered"/>
        <c:varyColors val="0"/>
        <c:ser>
          <c:idx val="0"/>
          <c:order val="0"/>
          <c:tx>
            <c:strRef>
              <c:f>Sheet1!$A$44</c:f>
              <c:strCache>
                <c:ptCount val="1"/>
                <c:pt idx="0">
                  <c:v>državni dug u mil. Eura</c:v>
                </c:pt>
              </c:strCache>
            </c:strRef>
          </c:tx>
          <c:spPr>
            <a:pattFill prst="narHorz">
              <a:fgClr>
                <a:schemeClr val="accent6">
                  <a:lumMod val="75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Sheet1!$B$43:$C$43</c:f>
              <c:numCache>
                <c:formatCode>General</c:formatCode>
                <c:ptCount val="2"/>
                <c:pt idx="0">
                  <c:v>2018</c:v>
                </c:pt>
                <c:pt idx="1">
                  <c:v>2019</c:v>
                </c:pt>
              </c:numCache>
            </c:numRef>
          </c:cat>
          <c:val>
            <c:numRef>
              <c:f>Sheet1!$B$44:$C$44</c:f>
              <c:numCache>
                <c:formatCode>#,##0.00</c:formatCode>
                <c:ptCount val="2"/>
                <c:pt idx="0" formatCode="General">
                  <c:v>3152.98</c:v>
                </c:pt>
                <c:pt idx="1">
                  <c:v>3708.6737361972087</c:v>
                </c:pt>
              </c:numCache>
            </c:numRef>
          </c:val>
          <c:extLst>
            <c:ext xmlns:c16="http://schemas.microsoft.com/office/drawing/2014/chart" uri="{C3380CC4-5D6E-409C-BE32-E72D297353CC}">
              <c16:uniqueId val="{00000000-7FFD-4CAE-9185-FA9312898805}"/>
            </c:ext>
          </c:extLst>
        </c:ser>
        <c:ser>
          <c:idx val="1"/>
          <c:order val="1"/>
          <c:tx>
            <c:strRef>
              <c:f>Sheet1!$A$45</c:f>
              <c:strCache>
                <c:ptCount val="1"/>
                <c:pt idx="0">
                  <c:v>javni dug u mil.eura</c:v>
                </c:pt>
              </c:strCache>
            </c:strRef>
          </c:tx>
          <c:spPr>
            <a:pattFill prst="narHorz">
              <a:fgClr>
                <a:schemeClr val="accent2">
                  <a:lumMod val="75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Sheet1!$B$43:$C$43</c:f>
              <c:numCache>
                <c:formatCode>General</c:formatCode>
                <c:ptCount val="2"/>
                <c:pt idx="0">
                  <c:v>2018</c:v>
                </c:pt>
                <c:pt idx="1">
                  <c:v>2019</c:v>
                </c:pt>
              </c:numCache>
            </c:numRef>
          </c:cat>
          <c:val>
            <c:numRef>
              <c:f>Sheet1!$B$45:$C$45</c:f>
              <c:numCache>
                <c:formatCode>#,##0.00</c:formatCode>
                <c:ptCount val="2"/>
                <c:pt idx="0" formatCode="General">
                  <c:v>3268.2</c:v>
                </c:pt>
                <c:pt idx="1">
                  <c:v>3789.2637361972088</c:v>
                </c:pt>
              </c:numCache>
            </c:numRef>
          </c:val>
          <c:extLst>
            <c:ext xmlns:c16="http://schemas.microsoft.com/office/drawing/2014/chart" uri="{C3380CC4-5D6E-409C-BE32-E72D297353CC}">
              <c16:uniqueId val="{00000001-7FFD-4CAE-9185-FA9312898805}"/>
            </c:ext>
          </c:extLst>
        </c:ser>
        <c:dLbls>
          <c:showLegendKey val="0"/>
          <c:showVal val="0"/>
          <c:showCatName val="0"/>
          <c:showSerName val="0"/>
          <c:showPercent val="0"/>
          <c:showBubbleSize val="0"/>
        </c:dLbls>
        <c:gapWidth val="150"/>
        <c:axId val="767052752"/>
        <c:axId val="767055552"/>
      </c:barChart>
      <c:lineChart>
        <c:grouping val="standard"/>
        <c:varyColors val="0"/>
        <c:ser>
          <c:idx val="2"/>
          <c:order val="2"/>
          <c:tx>
            <c:strRef>
              <c:f>Sheet1!$A$46</c:f>
              <c:strCache>
                <c:ptCount val="1"/>
                <c:pt idx="0">
                  <c:v>državni dug kao % BDP-a</c:v>
                </c:pt>
              </c:strCache>
            </c:strRef>
          </c:tx>
          <c:spPr>
            <a:ln w="28575" cap="rnd">
              <a:solidFill>
                <a:schemeClr val="accent4"/>
              </a:solidFill>
              <a:round/>
            </a:ln>
            <a:effectLst/>
          </c:spPr>
          <c:marker>
            <c:symbol val="none"/>
          </c:marker>
          <c:dPt>
            <c:idx val="1"/>
            <c:marker>
              <c:symbol val="none"/>
            </c:marker>
            <c:bubble3D val="0"/>
            <c:extLst>
              <c:ext xmlns:c16="http://schemas.microsoft.com/office/drawing/2014/chart" uri="{C3380CC4-5D6E-409C-BE32-E72D297353CC}">
                <c16:uniqueId val="{00000003-7FFD-4CAE-9185-FA931289880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Sheet1!$B$43:$C$43</c:f>
              <c:numCache>
                <c:formatCode>General</c:formatCode>
                <c:ptCount val="2"/>
                <c:pt idx="0">
                  <c:v>2018</c:v>
                </c:pt>
                <c:pt idx="1">
                  <c:v>2019</c:v>
                </c:pt>
              </c:numCache>
            </c:numRef>
          </c:cat>
          <c:val>
            <c:numRef>
              <c:f>Sheet1!$B$46:$C$46</c:f>
              <c:numCache>
                <c:formatCode>0.00%</c:formatCode>
                <c:ptCount val="2"/>
                <c:pt idx="0">
                  <c:v>0.67620000000000002</c:v>
                </c:pt>
                <c:pt idx="1">
                  <c:v>0.74907568899155896</c:v>
                </c:pt>
              </c:numCache>
            </c:numRef>
          </c:val>
          <c:smooth val="0"/>
          <c:extLst>
            <c:ext xmlns:c16="http://schemas.microsoft.com/office/drawing/2014/chart" uri="{C3380CC4-5D6E-409C-BE32-E72D297353CC}">
              <c16:uniqueId val="{00000004-7FFD-4CAE-9185-FA9312898805}"/>
            </c:ext>
          </c:extLst>
        </c:ser>
        <c:ser>
          <c:idx val="3"/>
          <c:order val="3"/>
          <c:tx>
            <c:strRef>
              <c:f>Sheet1!$A$47</c:f>
              <c:strCache>
                <c:ptCount val="1"/>
                <c:pt idx="0">
                  <c:v>Javni dug kao % BDP-a</c:v>
                </c:pt>
              </c:strCache>
            </c:strRef>
          </c:tx>
          <c:spPr>
            <a:ln w="28575" cap="rnd">
              <a:solidFill>
                <a:schemeClr val="accent6">
                  <a:lumMod val="5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Sheet1!$B$43:$C$43</c:f>
              <c:numCache>
                <c:formatCode>General</c:formatCode>
                <c:ptCount val="2"/>
                <c:pt idx="0">
                  <c:v>2018</c:v>
                </c:pt>
                <c:pt idx="1">
                  <c:v>2019</c:v>
                </c:pt>
              </c:numCache>
            </c:numRef>
          </c:cat>
          <c:val>
            <c:numRef>
              <c:f>Sheet1!$B$47:$C$47</c:f>
              <c:numCache>
                <c:formatCode>0.00%</c:formatCode>
                <c:ptCount val="2"/>
                <c:pt idx="0">
                  <c:v>0.70089999999999997</c:v>
                </c:pt>
                <c:pt idx="1">
                  <c:v>0.76535320868455037</c:v>
                </c:pt>
              </c:numCache>
            </c:numRef>
          </c:val>
          <c:smooth val="0"/>
          <c:extLst>
            <c:ext xmlns:c16="http://schemas.microsoft.com/office/drawing/2014/chart" uri="{C3380CC4-5D6E-409C-BE32-E72D297353CC}">
              <c16:uniqueId val="{00000005-7FFD-4CAE-9185-FA9312898805}"/>
            </c:ext>
          </c:extLst>
        </c:ser>
        <c:dLbls>
          <c:showLegendKey val="0"/>
          <c:showVal val="0"/>
          <c:showCatName val="0"/>
          <c:showSerName val="0"/>
          <c:showPercent val="0"/>
          <c:showBubbleSize val="0"/>
        </c:dLbls>
        <c:marker val="1"/>
        <c:smooth val="0"/>
        <c:axId val="767056112"/>
        <c:axId val="767057232"/>
      </c:lineChart>
      <c:catAx>
        <c:axId val="76705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055552"/>
        <c:crosses val="autoZero"/>
        <c:auto val="1"/>
        <c:lblAlgn val="ctr"/>
        <c:lblOffset val="100"/>
        <c:noMultiLvlLbl val="0"/>
      </c:catAx>
      <c:valAx>
        <c:axId val="76705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052752"/>
        <c:crosses val="autoZero"/>
        <c:crossBetween val="between"/>
        <c:majorUnit val="400"/>
      </c:valAx>
      <c:catAx>
        <c:axId val="767056112"/>
        <c:scaling>
          <c:orientation val="minMax"/>
        </c:scaling>
        <c:delete val="1"/>
        <c:axPos val="b"/>
        <c:numFmt formatCode="General" sourceLinked="1"/>
        <c:majorTickMark val="none"/>
        <c:minorTickMark val="none"/>
        <c:tickLblPos val="nextTo"/>
        <c:crossAx val="767057232"/>
        <c:crosses val="autoZero"/>
        <c:auto val="1"/>
        <c:lblAlgn val="ctr"/>
        <c:lblOffset val="100"/>
        <c:noMultiLvlLbl val="0"/>
      </c:catAx>
      <c:valAx>
        <c:axId val="767057232"/>
        <c:scaling>
          <c:orientation val="minMax"/>
          <c:max val="0.78"/>
          <c:min val="0.65000000000000013"/>
        </c:scaling>
        <c:delete val="0"/>
        <c:axPos val="r"/>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056112"/>
        <c:crosses val="max"/>
        <c:crossBetween val="between"/>
        <c:majorUnit val="3.0000000000000006E-2"/>
      </c:valAx>
      <c:spPr>
        <a:noFill/>
        <a:ln>
          <a:noFill/>
        </a:ln>
        <a:effectLst/>
      </c:spPr>
    </c:plotArea>
    <c:legend>
      <c:legendPos val="b"/>
      <c:layout>
        <c:manualLayout>
          <c:xMode val="edge"/>
          <c:yMode val="edge"/>
          <c:x val="0.13042687372411779"/>
          <c:y val="0.76306912997742982"/>
          <c:w val="0.65118292505103526"/>
          <c:h val="0.236930870022570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976598782570293"/>
          <c:y val="3.0530959894604612E-2"/>
          <c:w val="0.82682977031766469"/>
          <c:h val="0.70481501998179885"/>
        </c:manualLayout>
      </c:layout>
      <c:barChart>
        <c:barDir val="col"/>
        <c:grouping val="clustered"/>
        <c:varyColors val="0"/>
        <c:ser>
          <c:idx val="0"/>
          <c:order val="0"/>
          <c:tx>
            <c:strRef>
              <c:f>'Ino garancije i grafik TOTAL'!$A$70:$B$70</c:f>
              <c:strCache>
                <c:ptCount val="2"/>
                <c:pt idx="0">
                  <c:v>Ino garancije</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dLbl>
              <c:idx val="0"/>
              <c:layout>
                <c:manualLayout>
                  <c:x val="-4.4345898004434789E-3"/>
                  <c:y val="0.5219012115563839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8B-425A-9F3D-898BF3A48382}"/>
                </c:ext>
              </c:extLst>
            </c:dLbl>
            <c:dLbl>
              <c:idx val="1"/>
              <c:layout>
                <c:manualLayout>
                  <c:x val="-2.2172949002217295E-3"/>
                  <c:y val="0.3821062441752097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8B-425A-9F3D-898BF3A48382}"/>
                </c:ext>
              </c:extLst>
            </c:dLbl>
            <c:dLbl>
              <c:idx val="2"/>
              <c:layout>
                <c:manualLayout>
                  <c:x val="-4.434589800443459E-3"/>
                  <c:y val="0.1770736253494873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8B-425A-9F3D-898BF3A483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'Ino garancije i grafik TOTAL'!$C$69:$F$69</c:f>
              <c:strCache>
                <c:ptCount val="3"/>
                <c:pt idx="0">
                  <c:v>Ugovoreni iznos</c:v>
                </c:pt>
                <c:pt idx="1">
                  <c:v>Povučeno u 2019. godini</c:v>
                </c:pt>
                <c:pt idx="2">
                  <c:v>Stanje duga</c:v>
                </c:pt>
              </c:strCache>
            </c:strRef>
          </c:cat>
          <c:val>
            <c:numRef>
              <c:f>'Ino garancije i grafik TOTAL'!$C$70:$F$70</c:f>
              <c:numCache>
                <c:formatCode>0.00</c:formatCode>
                <c:ptCount val="3"/>
                <c:pt idx="0">
                  <c:v>529.78</c:v>
                </c:pt>
                <c:pt idx="1">
                  <c:v>405.71</c:v>
                </c:pt>
                <c:pt idx="2">
                  <c:v>198.94913521732599</c:v>
                </c:pt>
              </c:numCache>
            </c:numRef>
          </c:val>
          <c:extLst>
            <c:ext xmlns:c16="http://schemas.microsoft.com/office/drawing/2014/chart" uri="{C3380CC4-5D6E-409C-BE32-E72D297353CC}">
              <c16:uniqueId val="{00000003-BA8B-425A-9F3D-898BF3A48382}"/>
            </c:ext>
          </c:extLst>
        </c:ser>
        <c:ser>
          <c:idx val="1"/>
          <c:order val="1"/>
          <c:tx>
            <c:strRef>
              <c:f>'Ino garancije i grafik TOTAL'!$A$71:$B$71</c:f>
              <c:strCache>
                <c:ptCount val="2"/>
                <c:pt idx="0">
                  <c:v>Domaće garancije</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dLbl>
              <c:idx val="0"/>
              <c:layout>
                <c:manualLayout>
                  <c:x val="3.4253907086277027E-2"/>
                  <c:y val="-3.33518621456364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8D-4747-85B1-3294774F1604}"/>
                </c:ext>
              </c:extLst>
            </c:dLbl>
            <c:dLbl>
              <c:idx val="1"/>
              <c:layout>
                <c:manualLayout>
                  <c:x val="4.7099122243630914E-2"/>
                  <c:y val="-1.11172873818788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8D-4747-85B1-3294774F1604}"/>
                </c:ext>
              </c:extLst>
            </c:dLbl>
            <c:dLbl>
              <c:idx val="2"/>
              <c:layout>
                <c:manualLayout>
                  <c:x val="2.1408691928923144E-2"/>
                  <c:y val="-3.33518621456365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8D-4747-85B1-3294774F16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'Ino garancije i grafik TOTAL'!$C$69:$F$69</c:f>
              <c:strCache>
                <c:ptCount val="3"/>
                <c:pt idx="0">
                  <c:v>Ugovoreni iznos</c:v>
                </c:pt>
                <c:pt idx="1">
                  <c:v>Povučeno u 2019. godini</c:v>
                </c:pt>
                <c:pt idx="2">
                  <c:v>Stanje duga</c:v>
                </c:pt>
              </c:strCache>
            </c:strRef>
          </c:cat>
          <c:val>
            <c:numRef>
              <c:f>'Ino garancije i grafik TOTAL'!$C$71:$F$71</c:f>
              <c:numCache>
                <c:formatCode>0.00</c:formatCode>
                <c:ptCount val="3"/>
                <c:pt idx="0">
                  <c:v>72.147112660000005</c:v>
                </c:pt>
                <c:pt idx="1">
                  <c:v>72.057112660000001</c:v>
                </c:pt>
                <c:pt idx="2">
                  <c:v>45.352855990000002</c:v>
                </c:pt>
              </c:numCache>
            </c:numRef>
          </c:val>
          <c:extLst>
            <c:ext xmlns:c16="http://schemas.microsoft.com/office/drawing/2014/chart" uri="{C3380CC4-5D6E-409C-BE32-E72D297353CC}">
              <c16:uniqueId val="{00000004-BA8B-425A-9F3D-898BF3A48382}"/>
            </c:ext>
          </c:extLst>
        </c:ser>
        <c:dLbls>
          <c:showLegendKey val="0"/>
          <c:showVal val="0"/>
          <c:showCatName val="0"/>
          <c:showSerName val="0"/>
          <c:showPercent val="0"/>
          <c:showBubbleSize val="0"/>
        </c:dLbls>
        <c:gapWidth val="164"/>
        <c:overlap val="-22"/>
        <c:axId val="794009920"/>
        <c:axId val="794010480"/>
      </c:barChart>
      <c:scatterChart>
        <c:scatterStyle val="lineMarker"/>
        <c:varyColors val="0"/>
        <c:ser>
          <c:idx val="2"/>
          <c:order val="2"/>
          <c:tx>
            <c:strRef>
              <c:f>'Ino garancije i grafik TOTAL'!$A$72:$B$72</c:f>
              <c:strCache>
                <c:ptCount val="2"/>
                <c:pt idx="0">
                  <c:v>Total</c:v>
                </c:pt>
              </c:strCache>
            </c:strRef>
          </c:tx>
          <c:spPr>
            <a:ln w="25400" cap="rnd">
              <a:noFill/>
              <a:round/>
            </a:ln>
            <a:effectLst/>
          </c:spPr>
          <c:marker>
            <c:symbol val="circle"/>
            <c:size val="6"/>
            <c:spPr>
              <a:solidFill>
                <a:schemeClr val="accent4"/>
              </a:solidFill>
              <a:ln>
                <a:noFill/>
              </a:ln>
              <a:effectLst/>
            </c:spPr>
          </c:marker>
          <c:dLbls>
            <c:dLbl>
              <c:idx val="2"/>
              <c:layout>
                <c:manualLayout>
                  <c:x val="-1.5699526052278988E-16"/>
                  <c:y val="-6.11450806003335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8D-4747-85B1-3294774F16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strRef>
              <c:f>'Ino garancije i grafik TOTAL'!$C$69:$F$69</c:f>
              <c:strCache>
                <c:ptCount val="3"/>
                <c:pt idx="0">
                  <c:v>Ugovoreni iznos</c:v>
                </c:pt>
                <c:pt idx="1">
                  <c:v>Povučeno u 2019. godini</c:v>
                </c:pt>
                <c:pt idx="2">
                  <c:v>Stanje duga</c:v>
                </c:pt>
              </c:strCache>
            </c:strRef>
          </c:xVal>
          <c:yVal>
            <c:numRef>
              <c:f>'Ino garancije i grafik TOTAL'!$C$72:$F$72</c:f>
              <c:numCache>
                <c:formatCode>0.00</c:formatCode>
                <c:ptCount val="3"/>
                <c:pt idx="0">
                  <c:v>601.92711265999992</c:v>
                </c:pt>
                <c:pt idx="1">
                  <c:v>477.76711265999995</c:v>
                </c:pt>
                <c:pt idx="2">
                  <c:v>244.30199120732598</c:v>
                </c:pt>
              </c:numCache>
            </c:numRef>
          </c:yVal>
          <c:smooth val="0"/>
          <c:extLst>
            <c:ext xmlns:c16="http://schemas.microsoft.com/office/drawing/2014/chart" uri="{C3380CC4-5D6E-409C-BE32-E72D297353CC}">
              <c16:uniqueId val="{00000005-BA8B-425A-9F3D-898BF3A48382}"/>
            </c:ext>
          </c:extLst>
        </c:ser>
        <c:dLbls>
          <c:showLegendKey val="0"/>
          <c:showVal val="0"/>
          <c:showCatName val="0"/>
          <c:showSerName val="0"/>
          <c:showPercent val="0"/>
          <c:showBubbleSize val="0"/>
        </c:dLbls>
        <c:axId val="794011040"/>
        <c:axId val="794011600"/>
      </c:scatterChart>
      <c:catAx>
        <c:axId val="79400992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010480"/>
        <c:crosses val="autoZero"/>
        <c:auto val="1"/>
        <c:lblAlgn val="ctr"/>
        <c:lblOffset val="100"/>
        <c:noMultiLvlLbl val="0"/>
      </c:catAx>
      <c:valAx>
        <c:axId val="794010480"/>
        <c:scaling>
          <c:orientation val="minMax"/>
        </c:scaling>
        <c:delete val="0"/>
        <c:axPos val="l"/>
        <c:majorGridlines>
          <c:spPr>
            <a:ln>
              <a:solidFill>
                <a:schemeClr val="tx1">
                  <a:lumMod val="15000"/>
                  <a:lumOff val="85000"/>
                </a:schemeClr>
              </a:solidFill>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009920"/>
        <c:crosses val="autoZero"/>
        <c:crossBetween val="between"/>
      </c:valAx>
      <c:catAx>
        <c:axId val="794011040"/>
        <c:scaling>
          <c:orientation val="minMax"/>
        </c:scaling>
        <c:delete val="1"/>
        <c:axPos val="b"/>
        <c:numFmt formatCode="General" sourceLinked="1"/>
        <c:majorTickMark val="none"/>
        <c:minorTickMark val="none"/>
        <c:tickLblPos val="nextTo"/>
        <c:crossAx val="794011600"/>
        <c:crosses val="autoZero"/>
        <c:auto val="1"/>
        <c:lblAlgn val="ctr"/>
        <c:lblOffset val="100"/>
        <c:noMultiLvlLbl val="0"/>
      </c:catAx>
      <c:valAx>
        <c:axId val="794011600"/>
        <c:scaling>
          <c:orientation val="minMax"/>
        </c:scaling>
        <c:delete val="0"/>
        <c:axPos val="l"/>
        <c:majorGridlines>
          <c:spPr>
            <a:ln>
              <a:solidFill>
                <a:schemeClr val="tx1">
                  <a:lumMod val="15000"/>
                  <a:lumOff val="85000"/>
                </a:schemeClr>
              </a:solidFill>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011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Sheet1!$A$48</c:f>
              <c:strCache>
                <c:ptCount val="1"/>
                <c:pt idx="0">
                  <c:v>državni dug u mil. eura (uključujući depozite)</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Sheet1!$B$43:$C$43</c:f>
              <c:numCache>
                <c:formatCode>General</c:formatCode>
                <c:ptCount val="2"/>
                <c:pt idx="0">
                  <c:v>2018</c:v>
                </c:pt>
                <c:pt idx="1">
                  <c:v>2019</c:v>
                </c:pt>
              </c:numCache>
            </c:numRef>
          </c:cat>
          <c:val>
            <c:numRef>
              <c:f>Sheet1!$B$48:$C$48</c:f>
              <c:numCache>
                <c:formatCode>#,##0.00</c:formatCode>
                <c:ptCount val="2"/>
                <c:pt idx="0" formatCode="General">
                  <c:v>2876.15</c:v>
                </c:pt>
                <c:pt idx="1">
                  <c:v>3111.5463496772086</c:v>
                </c:pt>
              </c:numCache>
            </c:numRef>
          </c:val>
          <c:extLst>
            <c:ext xmlns:c16="http://schemas.microsoft.com/office/drawing/2014/chart" uri="{C3380CC4-5D6E-409C-BE32-E72D297353CC}">
              <c16:uniqueId val="{00000000-720C-4D77-897D-4EABBF892E32}"/>
            </c:ext>
          </c:extLst>
        </c:ser>
        <c:ser>
          <c:idx val="1"/>
          <c:order val="1"/>
          <c:tx>
            <c:strRef>
              <c:f>Sheet1!$A$49</c:f>
              <c:strCache>
                <c:ptCount val="1"/>
                <c:pt idx="0">
                  <c:v>javni dug u mil.eura (uključujući depozite)</c:v>
                </c:pt>
              </c:strCache>
            </c:strRef>
          </c:tx>
          <c:spPr>
            <a:pattFill prst="narHorz">
              <a:fgClr>
                <a:schemeClr val="accent4"/>
              </a:fgClr>
              <a:bgClr>
                <a:schemeClr val="bg1"/>
              </a:bgClr>
            </a:pattFill>
            <a:ln>
              <a:noFill/>
            </a:ln>
            <a:effectLst/>
          </c:spPr>
          <c:invertIfNegative val="0"/>
          <c:dPt>
            <c:idx val="1"/>
            <c:invertIfNegative val="0"/>
            <c:bubble3D val="0"/>
            <c:extLst>
              <c:ext xmlns:c16="http://schemas.microsoft.com/office/drawing/2014/chart" uri="{C3380CC4-5D6E-409C-BE32-E72D297353CC}">
                <c16:uniqueId val="{00000000-2988-4E3F-A43A-EFDF280602A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Sheet1!$B$43:$C$43</c:f>
              <c:numCache>
                <c:formatCode>General</c:formatCode>
                <c:ptCount val="2"/>
                <c:pt idx="0">
                  <c:v>2018</c:v>
                </c:pt>
                <c:pt idx="1">
                  <c:v>2019</c:v>
                </c:pt>
              </c:numCache>
            </c:numRef>
          </c:cat>
          <c:val>
            <c:numRef>
              <c:f>Sheet1!$B$49:$C$49</c:f>
              <c:numCache>
                <c:formatCode>#,##0.00</c:formatCode>
                <c:ptCount val="2"/>
                <c:pt idx="0" formatCode="General">
                  <c:v>2991.37</c:v>
                </c:pt>
                <c:pt idx="1">
                  <c:v>3192.1363496772087</c:v>
                </c:pt>
              </c:numCache>
            </c:numRef>
          </c:val>
          <c:extLst>
            <c:ext xmlns:c16="http://schemas.microsoft.com/office/drawing/2014/chart" uri="{C3380CC4-5D6E-409C-BE32-E72D297353CC}">
              <c16:uniqueId val="{00000001-720C-4D77-897D-4EABBF892E32}"/>
            </c:ext>
          </c:extLst>
        </c:ser>
        <c:dLbls>
          <c:showLegendKey val="0"/>
          <c:showVal val="0"/>
          <c:showCatName val="0"/>
          <c:showSerName val="0"/>
          <c:showPercent val="0"/>
          <c:showBubbleSize val="0"/>
        </c:dLbls>
        <c:gapWidth val="150"/>
        <c:axId val="793988080"/>
        <c:axId val="793988640"/>
      </c:barChart>
      <c:lineChart>
        <c:grouping val="standard"/>
        <c:varyColors val="0"/>
        <c:ser>
          <c:idx val="2"/>
          <c:order val="2"/>
          <c:tx>
            <c:strRef>
              <c:f>Sheet1!$A$50</c:f>
              <c:strCache>
                <c:ptCount val="1"/>
                <c:pt idx="0">
                  <c:v>državni dug kao % BDP-a (uključujući depozite)</c:v>
                </c:pt>
              </c:strCache>
            </c:strRef>
          </c:tx>
          <c:spPr>
            <a:ln w="28575" cap="rnd">
              <a:solidFill>
                <a:schemeClr val="accent6">
                  <a:lumMod val="60000"/>
                  <a:lumOff val="4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Sheet1!$B$43:$C$43</c:f>
              <c:numCache>
                <c:formatCode>General</c:formatCode>
                <c:ptCount val="2"/>
                <c:pt idx="0">
                  <c:v>2018</c:v>
                </c:pt>
                <c:pt idx="1">
                  <c:v>2019</c:v>
                </c:pt>
              </c:numCache>
            </c:numRef>
          </c:cat>
          <c:val>
            <c:numRef>
              <c:f>Sheet1!$B$50:$C$50</c:f>
              <c:numCache>
                <c:formatCode>0.00%</c:formatCode>
                <c:ptCount val="2"/>
                <c:pt idx="0">
                  <c:v>0.61680248766888268</c:v>
                </c:pt>
                <c:pt idx="1">
                  <c:v>0.62846825887239111</c:v>
                </c:pt>
              </c:numCache>
            </c:numRef>
          </c:val>
          <c:smooth val="0"/>
          <c:extLst>
            <c:ext xmlns:c16="http://schemas.microsoft.com/office/drawing/2014/chart" uri="{C3380CC4-5D6E-409C-BE32-E72D297353CC}">
              <c16:uniqueId val="{00000002-720C-4D77-897D-4EABBF892E32}"/>
            </c:ext>
          </c:extLst>
        </c:ser>
        <c:ser>
          <c:idx val="3"/>
          <c:order val="3"/>
          <c:tx>
            <c:strRef>
              <c:f>Sheet1!$A$51</c:f>
              <c:strCache>
                <c:ptCount val="1"/>
                <c:pt idx="0">
                  <c:v>Javni dug kao % BDP-a (uključujući depozite)</c:v>
                </c:pt>
              </c:strCache>
            </c:strRef>
          </c:tx>
          <c:spPr>
            <a:ln w="28575" cap="rnd">
              <a:solidFill>
                <a:schemeClr val="accent5">
                  <a:lumMod val="7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Sheet1!$B$43:$C$43</c:f>
              <c:numCache>
                <c:formatCode>General</c:formatCode>
                <c:ptCount val="2"/>
                <c:pt idx="0">
                  <c:v>2018</c:v>
                </c:pt>
                <c:pt idx="1">
                  <c:v>2019</c:v>
                </c:pt>
              </c:numCache>
            </c:numRef>
          </c:cat>
          <c:val>
            <c:numRef>
              <c:f>Sheet1!$B$51:$C$51</c:f>
              <c:numCache>
                <c:formatCode>0.00%</c:formatCode>
                <c:ptCount val="2"/>
                <c:pt idx="0">
                  <c:v>0.64151190220887833</c:v>
                </c:pt>
                <c:pt idx="1">
                  <c:v>0.64474577856538251</c:v>
                </c:pt>
              </c:numCache>
            </c:numRef>
          </c:val>
          <c:smooth val="0"/>
          <c:extLst>
            <c:ext xmlns:c16="http://schemas.microsoft.com/office/drawing/2014/chart" uri="{C3380CC4-5D6E-409C-BE32-E72D297353CC}">
              <c16:uniqueId val="{00000003-720C-4D77-897D-4EABBF892E32}"/>
            </c:ext>
          </c:extLst>
        </c:ser>
        <c:dLbls>
          <c:showLegendKey val="0"/>
          <c:showVal val="0"/>
          <c:showCatName val="0"/>
          <c:showSerName val="0"/>
          <c:showPercent val="0"/>
          <c:showBubbleSize val="0"/>
        </c:dLbls>
        <c:marker val="1"/>
        <c:smooth val="0"/>
        <c:axId val="793989200"/>
        <c:axId val="793989760"/>
      </c:lineChart>
      <c:catAx>
        <c:axId val="79398808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988640"/>
        <c:crosses val="autoZero"/>
        <c:auto val="1"/>
        <c:lblAlgn val="ctr"/>
        <c:lblOffset val="100"/>
        <c:noMultiLvlLbl val="0"/>
      </c:catAx>
      <c:valAx>
        <c:axId val="793988640"/>
        <c:scaling>
          <c:orientation val="minMax"/>
          <c:max val="3200"/>
          <c:min val="2400"/>
        </c:scaling>
        <c:delete val="0"/>
        <c:axPos val="l"/>
        <c:majorGridlines>
          <c:spPr>
            <a:ln>
              <a:solidFill>
                <a:schemeClr val="tx1">
                  <a:lumMod val="15000"/>
                  <a:lumOff val="85000"/>
                </a:schemeClr>
              </a:solidFill>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988080"/>
        <c:crosses val="autoZero"/>
        <c:crossBetween val="between"/>
        <c:majorUnit val="200"/>
      </c:valAx>
      <c:catAx>
        <c:axId val="793989200"/>
        <c:scaling>
          <c:orientation val="minMax"/>
        </c:scaling>
        <c:delete val="1"/>
        <c:axPos val="b"/>
        <c:numFmt formatCode="General" sourceLinked="1"/>
        <c:majorTickMark val="none"/>
        <c:minorTickMark val="none"/>
        <c:tickLblPos val="nextTo"/>
        <c:crossAx val="793989760"/>
        <c:crosses val="autoZero"/>
        <c:auto val="1"/>
        <c:lblAlgn val="ctr"/>
        <c:lblOffset val="100"/>
        <c:noMultiLvlLbl val="0"/>
      </c:catAx>
      <c:valAx>
        <c:axId val="793989760"/>
        <c:scaling>
          <c:orientation val="minMax"/>
        </c:scaling>
        <c:delete val="0"/>
        <c:axPos val="r"/>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989200"/>
        <c:crosses val="max"/>
        <c:crossBetween val="between"/>
        <c:maj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793182497757404E-2"/>
          <c:y val="5.3342542708477235E-2"/>
          <c:w val="0.65620216077641458"/>
          <c:h val="0.74254455035225864"/>
        </c:manualLayout>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903D-47DC-BCEC-23ECD97593DF}"/>
              </c:ext>
            </c:extLst>
          </c:dPt>
          <c:dPt>
            <c:idx val="1"/>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3-903D-47DC-BCEC-23ECD97593D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'[Grafici za javni dug 4817.xlsx]Valutna i kamatna struktura dug'!$C$26:$C$27</c:f>
              <c:strCache>
                <c:ptCount val="2"/>
                <c:pt idx="0">
                  <c:v>ino dug</c:v>
                </c:pt>
                <c:pt idx="1">
                  <c:v>domaći dug</c:v>
                </c:pt>
              </c:strCache>
            </c:strRef>
          </c:cat>
          <c:val>
            <c:numRef>
              <c:f>'[Grafici za javni dug 4817.xlsx]Valutna i kamatna struktura dug'!$D$26:$D$27</c:f>
              <c:numCache>
                <c:formatCode>0.0%</c:formatCode>
                <c:ptCount val="2"/>
                <c:pt idx="0">
                  <c:v>0.84361127729224983</c:v>
                </c:pt>
                <c:pt idx="1">
                  <c:v>0.15638872270775012</c:v>
                </c:pt>
              </c:numCache>
            </c:numRef>
          </c:val>
          <c:extLst>
            <c:ext xmlns:c16="http://schemas.microsoft.com/office/drawing/2014/chart" uri="{C3380CC4-5D6E-409C-BE32-E72D297353CC}">
              <c16:uniqueId val="{00000004-903D-47DC-BCEC-23ECD97593D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4797821324966"/>
          <c:y val="5.4290169174397752E-2"/>
          <c:w val="0.62807846387622601"/>
          <c:h val="0.82707362074790158"/>
        </c:manualLayout>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6EBC-4DE6-97B7-AD736EEA893B}"/>
              </c:ext>
            </c:extLst>
          </c:dPt>
          <c:dPt>
            <c:idx val="1"/>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3-6EBC-4DE6-97B7-AD736EEA893B}"/>
              </c:ext>
            </c:extLst>
          </c:dPt>
          <c:dPt>
            <c:idx val="2"/>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5-6EBC-4DE6-97B7-AD736EEA893B}"/>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BC-4DE6-97B7-AD736EEA893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BC-4DE6-97B7-AD736EEA893B}"/>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BC-4DE6-97B7-AD736EEA893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'Valutna i kamatna struktura dug'!$O$3:$O$5</c:f>
              <c:strCache>
                <c:ptCount val="3"/>
                <c:pt idx="0">
                  <c:v>EUR</c:v>
                </c:pt>
                <c:pt idx="1">
                  <c:v>USD</c:v>
                </c:pt>
                <c:pt idx="2">
                  <c:v>Ostalo</c:v>
                </c:pt>
              </c:strCache>
            </c:strRef>
          </c:cat>
          <c:val>
            <c:numRef>
              <c:f>'Valutna i kamatna struktura dug'!$P$3:$P$5</c:f>
              <c:numCache>
                <c:formatCode>0.0%</c:formatCode>
                <c:ptCount val="3"/>
                <c:pt idx="0">
                  <c:v>0.80386256197966854</c:v>
                </c:pt>
                <c:pt idx="1">
                  <c:v>0.18721336059358934</c:v>
                </c:pt>
                <c:pt idx="2">
                  <c:v>8.9240774267422031E-3</c:v>
                </c:pt>
              </c:numCache>
            </c:numRef>
          </c:val>
          <c:extLst>
            <c:ext xmlns:c16="http://schemas.microsoft.com/office/drawing/2014/chart" uri="{C3380CC4-5D6E-409C-BE32-E72D297353CC}">
              <c16:uniqueId val="{00000006-6EBC-4DE6-97B7-AD736EEA893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6020898331105"/>
          <c:y val="7.3842082239720039E-2"/>
          <c:w val="0.69229931164264846"/>
          <c:h val="0.92615798659685311"/>
        </c:manualLayout>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637B-483A-ACB1-BAF2361814AE}"/>
              </c:ext>
            </c:extLst>
          </c:dPt>
          <c:dPt>
            <c:idx val="1"/>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3-637B-483A-ACB1-BAF2361814A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'Valutna i kamatna struktura dug'!$B$3:$B$4</c:f>
              <c:strCache>
                <c:ptCount val="2"/>
                <c:pt idx="0">
                  <c:v>Fix</c:v>
                </c:pt>
                <c:pt idx="1">
                  <c:v>Var</c:v>
                </c:pt>
              </c:strCache>
            </c:strRef>
          </c:cat>
          <c:val>
            <c:numRef>
              <c:f>'Valutna i kamatna struktura dug'!$C$3:$C$4</c:f>
              <c:numCache>
                <c:formatCode>0.0%</c:formatCode>
                <c:ptCount val="2"/>
                <c:pt idx="0">
                  <c:v>0.79437990713657325</c:v>
                </c:pt>
                <c:pt idx="1">
                  <c:v>0.20562009286342667</c:v>
                </c:pt>
              </c:numCache>
            </c:numRef>
          </c:val>
          <c:extLst>
            <c:ext xmlns:c16="http://schemas.microsoft.com/office/drawing/2014/chart" uri="{C3380CC4-5D6E-409C-BE32-E72D297353CC}">
              <c16:uniqueId val="{00000004-637B-483A-ACB1-BAF2361814AE}"/>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Sheet2!$C$6</c:f>
              <c:strCache>
                <c:ptCount val="1"/>
                <c:pt idx="0">
                  <c:v>Kamatna stopa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5"/>
              <c:tx>
                <c:rich>
                  <a:bodyPr/>
                  <a:lstStyle/>
                  <a:p>
                    <a:r>
                      <a:rPr lang="en-US"/>
                      <a:t>2,8%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AB-422C-847D-0ED0235562E1}"/>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Sheet2!$D$3:$I$3</c:f>
              <c:numCache>
                <c:formatCode>General</c:formatCode>
                <c:ptCount val="6"/>
                <c:pt idx="0">
                  <c:v>2014</c:v>
                </c:pt>
                <c:pt idx="1">
                  <c:v>2015</c:v>
                </c:pt>
                <c:pt idx="2">
                  <c:v>2016</c:v>
                </c:pt>
                <c:pt idx="3">
                  <c:v>2017</c:v>
                </c:pt>
                <c:pt idx="4">
                  <c:v>2018</c:v>
                </c:pt>
                <c:pt idx="5">
                  <c:v>2019</c:v>
                </c:pt>
              </c:numCache>
            </c:numRef>
          </c:cat>
          <c:val>
            <c:numRef>
              <c:f>Sheet2!$D$6:$I$6</c:f>
              <c:numCache>
                <c:formatCode>0.00%</c:formatCode>
                <c:ptCount val="6"/>
                <c:pt idx="0">
                  <c:v>4.2999999999999997E-2</c:v>
                </c:pt>
                <c:pt idx="1">
                  <c:v>3.5999999999999997E-2</c:v>
                </c:pt>
                <c:pt idx="2">
                  <c:v>3.6999999999999998E-2</c:v>
                </c:pt>
                <c:pt idx="3">
                  <c:v>3.1E-2</c:v>
                </c:pt>
                <c:pt idx="4">
                  <c:v>0.03</c:v>
                </c:pt>
                <c:pt idx="5">
                  <c:v>2.7799999999999998E-2</c:v>
                </c:pt>
              </c:numCache>
            </c:numRef>
          </c:val>
          <c:smooth val="0"/>
          <c:extLst>
            <c:ext xmlns:c16="http://schemas.microsoft.com/office/drawing/2014/chart" uri="{C3380CC4-5D6E-409C-BE32-E72D297353CC}">
              <c16:uniqueId val="{00000001-28AB-422C-847D-0ED0235562E1}"/>
            </c:ext>
          </c:extLst>
        </c:ser>
        <c:dLbls>
          <c:showLegendKey val="0"/>
          <c:showVal val="0"/>
          <c:showCatName val="0"/>
          <c:showSerName val="0"/>
          <c:showPercent val="0"/>
          <c:showBubbleSize val="0"/>
        </c:dLbls>
        <c:marker val="1"/>
        <c:smooth val="0"/>
        <c:axId val="793997040"/>
        <c:axId val="793997600"/>
      </c:lineChart>
      <c:catAx>
        <c:axId val="79399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93997600"/>
        <c:crosses val="autoZero"/>
        <c:auto val="1"/>
        <c:lblAlgn val="ctr"/>
        <c:lblOffset val="100"/>
        <c:noMultiLvlLbl val="0"/>
      </c:catAx>
      <c:valAx>
        <c:axId val="793997600"/>
        <c:scaling>
          <c:orientation val="minMax"/>
          <c:min val="2.5000000000000005E-2"/>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93997040"/>
        <c:crosses val="autoZero"/>
        <c:crossBetween val="between"/>
        <c:majorUnit val="4.000000000000001E-3"/>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824476801510924"/>
          <c:y val="5.4726368159203981E-2"/>
          <c:w val="0.53901942812703962"/>
          <c:h val="0.8520644470003047"/>
        </c:manualLayout>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'nepovucena sredstva'!$B$3:$B$9</c:f>
              <c:strCache>
                <c:ptCount val="7"/>
                <c:pt idx="0">
                  <c:v>Međunarodna banka za obnovu i razvoj (IBRD)</c:v>
                </c:pt>
                <c:pt idx="1">
                  <c:v>Evropska investiciona banka (EIB)</c:v>
                </c:pt>
                <c:pt idx="2">
                  <c:v>EBRD</c:v>
                </c:pt>
                <c:pt idx="3">
                  <c:v>Razvojna banka Savjeta Evrope (CEB)</c:v>
                </c:pt>
                <c:pt idx="4">
                  <c:v>Kreditna banka za obnovu - Njemačka (KFW)</c:v>
                </c:pt>
                <c:pt idx="5">
                  <c:v>Exim Kina autoput</c:v>
                </c:pt>
                <c:pt idx="6">
                  <c:v>IFAD</c:v>
                </c:pt>
              </c:strCache>
            </c:strRef>
          </c:cat>
          <c:val>
            <c:numRef>
              <c:f>'nepovucena sredstva'!$D$3:$D$9</c:f>
              <c:numCache>
                <c:formatCode>0.00</c:formatCode>
                <c:ptCount val="7"/>
                <c:pt idx="0">
                  <c:v>82.553004549999997</c:v>
                </c:pt>
                <c:pt idx="1">
                  <c:v>65.5</c:v>
                </c:pt>
                <c:pt idx="2">
                  <c:v>50.126566789999998</c:v>
                </c:pt>
                <c:pt idx="3">
                  <c:v>2.48</c:v>
                </c:pt>
                <c:pt idx="4">
                  <c:v>93.540607469999998</c:v>
                </c:pt>
                <c:pt idx="5">
                  <c:v>171.97075504513356</c:v>
                </c:pt>
                <c:pt idx="6">
                  <c:v>1.9866952499999999</c:v>
                </c:pt>
              </c:numCache>
            </c:numRef>
          </c:val>
          <c:extLst>
            <c:ext xmlns:c16="http://schemas.microsoft.com/office/drawing/2014/chart" uri="{C3380CC4-5D6E-409C-BE32-E72D297353CC}">
              <c16:uniqueId val="{00000000-2C2A-49F4-9DF3-2D381BA9BC03}"/>
            </c:ext>
          </c:extLst>
        </c:ser>
        <c:dLbls>
          <c:showLegendKey val="0"/>
          <c:showVal val="0"/>
          <c:showCatName val="0"/>
          <c:showSerName val="0"/>
          <c:showPercent val="0"/>
          <c:showBubbleSize val="0"/>
        </c:dLbls>
        <c:gapWidth val="227"/>
        <c:overlap val="-48"/>
        <c:axId val="793999840"/>
        <c:axId val="794000400"/>
      </c:barChart>
      <c:catAx>
        <c:axId val="79399984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94000400"/>
        <c:crosses val="autoZero"/>
        <c:auto val="1"/>
        <c:lblAlgn val="ctr"/>
        <c:lblOffset val="100"/>
        <c:noMultiLvlLbl val="0"/>
      </c:catAx>
      <c:valAx>
        <c:axId val="794000400"/>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939998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35498687664042"/>
          <c:y val="2.4421114027413239E-2"/>
          <c:w val="0.81908945756780405"/>
          <c:h val="0.60556904345290175"/>
        </c:manualLayout>
      </c:layout>
      <c:barChart>
        <c:barDir val="col"/>
        <c:grouping val="clustered"/>
        <c:varyColors val="0"/>
        <c:ser>
          <c:idx val="0"/>
          <c:order val="0"/>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Sheet1!$A$29:$A$37</c:f>
              <c:strCache>
                <c:ptCount val="9"/>
                <c:pt idx="0">
                  <c:v>Stara devizna štednja</c:v>
                </c:pt>
                <c:pt idx="1">
                  <c:v>Obaveze po osnovu obeštećenja</c:v>
                </c:pt>
                <c:pt idx="2">
                  <c:v>Krediti kod poslovnih banaka</c:v>
                </c:pt>
                <c:pt idx="3">
                  <c:v>Zaostale penzije</c:v>
                </c:pt>
                <c:pt idx="4">
                  <c:v>Državni zapisi</c:v>
                </c:pt>
                <c:pt idx="5">
                  <c:v>Domaće obveznice - GB16</c:v>
                </c:pt>
                <c:pt idx="6">
                  <c:v>Domaće obveznice - GB24</c:v>
                </c:pt>
                <c:pt idx="7">
                  <c:v>Domaće obveznice - GB26</c:v>
                </c:pt>
                <c:pt idx="8">
                  <c:v>Pravna lica i privredna drustva</c:v>
                </c:pt>
              </c:strCache>
            </c:strRef>
          </c:cat>
          <c:val>
            <c:numRef>
              <c:f>Sheet1!$D$29:$D$37</c:f>
              <c:numCache>
                <c:formatCode>0.00%</c:formatCode>
                <c:ptCount val="9"/>
                <c:pt idx="0">
                  <c:v>1.8647733942647505E-2</c:v>
                </c:pt>
                <c:pt idx="1">
                  <c:v>0.14889716801532757</c:v>
                </c:pt>
                <c:pt idx="2">
                  <c:v>0.2417966375500693</c:v>
                </c:pt>
                <c:pt idx="3">
                  <c:v>3.2808049145104951E-3</c:v>
                </c:pt>
                <c:pt idx="4">
                  <c:v>0.12414743034207226</c:v>
                </c:pt>
                <c:pt idx="5">
                  <c:v>0.13864853991397263</c:v>
                </c:pt>
                <c:pt idx="6">
                  <c:v>0.15938805786056218</c:v>
                </c:pt>
                <c:pt idx="7">
                  <c:v>8.6213493293105736E-2</c:v>
                </c:pt>
                <c:pt idx="8">
                  <c:v>7.8980134167732238E-2</c:v>
                </c:pt>
              </c:numCache>
            </c:numRef>
          </c:val>
          <c:extLst>
            <c:ext xmlns:c16="http://schemas.microsoft.com/office/drawing/2014/chart" uri="{C3380CC4-5D6E-409C-BE32-E72D297353CC}">
              <c16:uniqueId val="{00000000-351D-44C8-8F0A-A902F388C66C}"/>
            </c:ext>
          </c:extLst>
        </c:ser>
        <c:dLbls>
          <c:showLegendKey val="0"/>
          <c:showVal val="0"/>
          <c:showCatName val="0"/>
          <c:showSerName val="0"/>
          <c:showPercent val="0"/>
          <c:showBubbleSize val="0"/>
        </c:dLbls>
        <c:gapWidth val="164"/>
        <c:overlap val="-22"/>
        <c:axId val="794002640"/>
        <c:axId val="794003200"/>
      </c:barChart>
      <c:catAx>
        <c:axId val="79400264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003200"/>
        <c:crosses val="autoZero"/>
        <c:auto val="1"/>
        <c:lblAlgn val="ctr"/>
        <c:lblOffset val="100"/>
        <c:noMultiLvlLbl val="0"/>
      </c:catAx>
      <c:valAx>
        <c:axId val="79400320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00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52960393015006"/>
          <c:y val="0.11598389537502664"/>
          <c:w val="0.73832045934875723"/>
          <c:h val="0.73222840395810018"/>
        </c:manualLayout>
      </c:layout>
      <c:barChart>
        <c:barDir val="col"/>
        <c:grouping val="stacked"/>
        <c:varyColors val="0"/>
        <c:ser>
          <c:idx val="0"/>
          <c:order val="0"/>
          <c:tx>
            <c:strRef>
              <c:f>'opstine konsolidovano'!$D$3</c:f>
              <c:strCache>
                <c:ptCount val="1"/>
                <c:pt idx="0">
                  <c:v>Domaći dug</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'opstine konsolidovano'!$C$4:$C$27</c:f>
              <c:strCache>
                <c:ptCount val="24"/>
                <c:pt idx="0">
                  <c:v>Andrijevica</c:v>
                </c:pt>
                <c:pt idx="1">
                  <c:v>Bar</c:v>
                </c:pt>
                <c:pt idx="2">
                  <c:v>Berane</c:v>
                </c:pt>
                <c:pt idx="3">
                  <c:v>Bijelo Polje</c:v>
                </c:pt>
                <c:pt idx="4">
                  <c:v>Budva</c:v>
                </c:pt>
                <c:pt idx="5">
                  <c:v>Cetinje</c:v>
                </c:pt>
                <c:pt idx="6">
                  <c:v>Danilovgrad</c:v>
                </c:pt>
                <c:pt idx="7">
                  <c:v>Gusinje</c:v>
                </c:pt>
                <c:pt idx="8">
                  <c:v>Herceg Novi</c:v>
                </c:pt>
                <c:pt idx="9">
                  <c:v>Kolašin</c:v>
                </c:pt>
                <c:pt idx="10">
                  <c:v>Kotor</c:v>
                </c:pt>
                <c:pt idx="11">
                  <c:v>Mojkovac</c:v>
                </c:pt>
                <c:pt idx="12">
                  <c:v>Nikšić</c:v>
                </c:pt>
                <c:pt idx="13">
                  <c:v>Petnjica</c:v>
                </c:pt>
                <c:pt idx="14">
                  <c:v>Plav</c:v>
                </c:pt>
                <c:pt idx="15">
                  <c:v>Plužine</c:v>
                </c:pt>
                <c:pt idx="16">
                  <c:v>Pljevlja</c:v>
                </c:pt>
                <c:pt idx="17">
                  <c:v>Podgorica</c:v>
                </c:pt>
                <c:pt idx="18">
                  <c:v>Rožaje</c:v>
                </c:pt>
                <c:pt idx="19">
                  <c:v>Šavnik</c:v>
                </c:pt>
                <c:pt idx="20">
                  <c:v>Tivat</c:v>
                </c:pt>
                <c:pt idx="21">
                  <c:v>Ulcinj</c:v>
                </c:pt>
                <c:pt idx="22">
                  <c:v>Žabljak</c:v>
                </c:pt>
                <c:pt idx="23">
                  <c:v>Tuzi</c:v>
                </c:pt>
              </c:strCache>
            </c:strRef>
          </c:cat>
          <c:val>
            <c:numRef>
              <c:f>'opstine konsolidovano'!$D$4:$D$27</c:f>
              <c:numCache>
                <c:formatCode>_-* #,##0.00\ _€_-;\-* #,##0.00\ _€_-;_-* "-"??\ _€_-;_-@_-</c:formatCode>
                <c:ptCount val="24"/>
                <c:pt idx="0">
                  <c:v>550000</c:v>
                </c:pt>
                <c:pt idx="1">
                  <c:v>0</c:v>
                </c:pt>
                <c:pt idx="2">
                  <c:v>3773179.98</c:v>
                </c:pt>
                <c:pt idx="3">
                  <c:v>8740911.2200000007</c:v>
                </c:pt>
                <c:pt idx="4">
                  <c:v>186952.74</c:v>
                </c:pt>
                <c:pt idx="5">
                  <c:v>6474071.7199999997</c:v>
                </c:pt>
                <c:pt idx="6">
                  <c:v>1714325.84</c:v>
                </c:pt>
                <c:pt idx="7">
                  <c:v>0</c:v>
                </c:pt>
                <c:pt idx="8">
                  <c:v>1290242.3999999999</c:v>
                </c:pt>
                <c:pt idx="9">
                  <c:v>4881591.8899999997</c:v>
                </c:pt>
                <c:pt idx="10">
                  <c:v>0</c:v>
                </c:pt>
                <c:pt idx="11">
                  <c:v>292859.71000000002</c:v>
                </c:pt>
                <c:pt idx="12">
                  <c:v>1271891.99</c:v>
                </c:pt>
                <c:pt idx="13">
                  <c:v>0</c:v>
                </c:pt>
                <c:pt idx="14">
                  <c:v>542201.22</c:v>
                </c:pt>
                <c:pt idx="15">
                  <c:v>138880.54</c:v>
                </c:pt>
                <c:pt idx="16">
                  <c:v>156969.87</c:v>
                </c:pt>
                <c:pt idx="17">
                  <c:v>2166666.5499999998</c:v>
                </c:pt>
                <c:pt idx="18">
                  <c:v>3210834.34</c:v>
                </c:pt>
                <c:pt idx="19">
                  <c:v>137251.24</c:v>
                </c:pt>
                <c:pt idx="20">
                  <c:v>0</c:v>
                </c:pt>
                <c:pt idx="21">
                  <c:v>3054561.51</c:v>
                </c:pt>
                <c:pt idx="22">
                  <c:v>0</c:v>
                </c:pt>
                <c:pt idx="23">
                  <c:v>0</c:v>
                </c:pt>
              </c:numCache>
            </c:numRef>
          </c:val>
          <c:extLst>
            <c:ext xmlns:c16="http://schemas.microsoft.com/office/drawing/2014/chart" uri="{C3380CC4-5D6E-409C-BE32-E72D297353CC}">
              <c16:uniqueId val="{00000000-D22D-4D02-85D3-A0134E6B379A}"/>
            </c:ext>
          </c:extLst>
        </c:ser>
        <c:ser>
          <c:idx val="1"/>
          <c:order val="1"/>
          <c:tx>
            <c:strRef>
              <c:f>'opstine konsolidovano'!$E$3</c:f>
              <c:strCache>
                <c:ptCount val="1"/>
                <c:pt idx="0">
                  <c:v>Ino dug</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'opstine konsolidovano'!$C$4:$C$27</c:f>
              <c:strCache>
                <c:ptCount val="24"/>
                <c:pt idx="0">
                  <c:v>Andrijevica</c:v>
                </c:pt>
                <c:pt idx="1">
                  <c:v>Bar</c:v>
                </c:pt>
                <c:pt idx="2">
                  <c:v>Berane</c:v>
                </c:pt>
                <c:pt idx="3">
                  <c:v>Bijelo Polje</c:v>
                </c:pt>
                <c:pt idx="4">
                  <c:v>Budva</c:v>
                </c:pt>
                <c:pt idx="5">
                  <c:v>Cetinje</c:v>
                </c:pt>
                <c:pt idx="6">
                  <c:v>Danilovgrad</c:v>
                </c:pt>
                <c:pt idx="7">
                  <c:v>Gusinje</c:v>
                </c:pt>
                <c:pt idx="8">
                  <c:v>Herceg Novi</c:v>
                </c:pt>
                <c:pt idx="9">
                  <c:v>Kolašin</c:v>
                </c:pt>
                <c:pt idx="10">
                  <c:v>Kotor</c:v>
                </c:pt>
                <c:pt idx="11">
                  <c:v>Mojkovac</c:v>
                </c:pt>
                <c:pt idx="12">
                  <c:v>Nikšić</c:v>
                </c:pt>
                <c:pt idx="13">
                  <c:v>Petnjica</c:v>
                </c:pt>
                <c:pt idx="14">
                  <c:v>Plav</c:v>
                </c:pt>
                <c:pt idx="15">
                  <c:v>Plužine</c:v>
                </c:pt>
                <c:pt idx="16">
                  <c:v>Pljevlja</c:v>
                </c:pt>
                <c:pt idx="17">
                  <c:v>Podgorica</c:v>
                </c:pt>
                <c:pt idx="18">
                  <c:v>Rožaje</c:v>
                </c:pt>
                <c:pt idx="19">
                  <c:v>Šavnik</c:v>
                </c:pt>
                <c:pt idx="20">
                  <c:v>Tivat</c:v>
                </c:pt>
                <c:pt idx="21">
                  <c:v>Ulcinj</c:v>
                </c:pt>
                <c:pt idx="22">
                  <c:v>Žabljak</c:v>
                </c:pt>
                <c:pt idx="23">
                  <c:v>Tuzi</c:v>
                </c:pt>
              </c:strCache>
            </c:strRef>
          </c:cat>
          <c:val>
            <c:numRef>
              <c:f>'opstine konsolidovano'!$E$4:$E$27</c:f>
              <c:numCache>
                <c:formatCode>_-* #,##0.00\ _€_-;\-* #,##0.00\ _€_-;_-* "-"??\ _€_-;_-@_-</c:formatCode>
                <c:ptCount val="24"/>
                <c:pt idx="0">
                  <c:v>106253.15</c:v>
                </c:pt>
                <c:pt idx="1">
                  <c:v>2037346.92</c:v>
                </c:pt>
                <c:pt idx="2">
                  <c:v>0</c:v>
                </c:pt>
                <c:pt idx="3">
                  <c:v>219780</c:v>
                </c:pt>
                <c:pt idx="4">
                  <c:v>24529585.32</c:v>
                </c:pt>
                <c:pt idx="5">
                  <c:v>1509223</c:v>
                </c:pt>
                <c:pt idx="6">
                  <c:v>1159633.04</c:v>
                </c:pt>
                <c:pt idx="7">
                  <c:v>0</c:v>
                </c:pt>
                <c:pt idx="8">
                  <c:v>6221547.8799999999</c:v>
                </c:pt>
                <c:pt idx="9">
                  <c:v>0</c:v>
                </c:pt>
                <c:pt idx="10">
                  <c:v>1009138.29</c:v>
                </c:pt>
                <c:pt idx="11">
                  <c:v>0</c:v>
                </c:pt>
                <c:pt idx="12">
                  <c:v>11784546.869999999</c:v>
                </c:pt>
                <c:pt idx="13">
                  <c:v>0</c:v>
                </c:pt>
                <c:pt idx="14">
                  <c:v>0</c:v>
                </c:pt>
                <c:pt idx="15">
                  <c:v>0</c:v>
                </c:pt>
                <c:pt idx="16">
                  <c:v>2511456.9300000002</c:v>
                </c:pt>
                <c:pt idx="17">
                  <c:v>18897616.77</c:v>
                </c:pt>
                <c:pt idx="18">
                  <c:v>1048795.1399999999</c:v>
                </c:pt>
                <c:pt idx="19">
                  <c:v>0</c:v>
                </c:pt>
                <c:pt idx="20">
                  <c:v>8022809.7699999996</c:v>
                </c:pt>
                <c:pt idx="21">
                  <c:v>1060730.6200000001</c:v>
                </c:pt>
                <c:pt idx="22">
                  <c:v>0</c:v>
                </c:pt>
                <c:pt idx="23">
                  <c:v>0</c:v>
                </c:pt>
              </c:numCache>
            </c:numRef>
          </c:val>
          <c:extLst>
            <c:ext xmlns:c16="http://schemas.microsoft.com/office/drawing/2014/chart" uri="{C3380CC4-5D6E-409C-BE32-E72D297353CC}">
              <c16:uniqueId val="{00000001-D22D-4D02-85D3-A0134E6B379A}"/>
            </c:ext>
          </c:extLst>
        </c:ser>
        <c:dLbls>
          <c:showLegendKey val="0"/>
          <c:showVal val="0"/>
          <c:showCatName val="0"/>
          <c:showSerName val="0"/>
          <c:showPercent val="0"/>
          <c:showBubbleSize val="0"/>
        </c:dLbls>
        <c:gapWidth val="150"/>
        <c:overlap val="100"/>
        <c:axId val="794006000"/>
        <c:axId val="794006560"/>
      </c:barChart>
      <c:catAx>
        <c:axId val="794006000"/>
        <c:scaling>
          <c:orientation val="minMax"/>
        </c:scaling>
        <c:delete val="0"/>
        <c:axPos val="b"/>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006560"/>
        <c:crossesAt val="0"/>
        <c:auto val="1"/>
        <c:lblAlgn val="ctr"/>
        <c:lblOffset val="100"/>
        <c:noMultiLvlLbl val="0"/>
      </c:catAx>
      <c:valAx>
        <c:axId val="794006560"/>
        <c:scaling>
          <c:orientation val="minMax"/>
          <c:max val="25000000"/>
        </c:scaling>
        <c:delete val="0"/>
        <c:axPos val="l"/>
        <c:majorGridlines>
          <c:spPr>
            <a:ln>
              <a:solidFill>
                <a:schemeClr val="tx1">
                  <a:lumMod val="15000"/>
                  <a:lumOff val="85000"/>
                </a:schemeClr>
              </a:solidFill>
            </a:ln>
            <a:effectLst/>
          </c:spPr>
        </c:majorGridlines>
        <c:numFmt formatCode="_-* #,##0.00\ _€_-;\-* #,##0.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0060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5B9BD5"/>
      </a:accent2>
      <a:accent3>
        <a:srgbClr val="A5A5A5"/>
      </a:accent3>
      <a:accent4>
        <a:srgbClr val="FFC000"/>
      </a:accent4>
      <a:accent5>
        <a:srgbClr val="4472C4"/>
      </a:accent5>
      <a:accent6>
        <a:srgbClr val="C5E0B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ustom 1">
    <a:majorFont>
      <a:latin typeface="Cambria"/>
      <a:ea typeface=""/>
      <a:cs typeface=""/>
    </a:majorFont>
    <a:minorFont>
      <a:latin typeface="Cambria"/>
      <a:ea typeface=""/>
      <a:cs typeface=""/>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ustom 1">
    <a:majorFont>
      <a:latin typeface="Cambria"/>
      <a:ea typeface=""/>
      <a:cs typeface=""/>
    </a:majorFont>
    <a:minorFont>
      <a:latin typeface="Cambria"/>
      <a:ea typeface=""/>
      <a:cs typeface=""/>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43751-EA39-4EDE-B83E-BEF02378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4332</Words>
  <Characters>24697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Djurovic</dc:creator>
  <cp:keywords/>
  <dc:description/>
  <cp:lastModifiedBy>Ana Djuraskovic</cp:lastModifiedBy>
  <cp:revision>2</cp:revision>
  <cp:lastPrinted>2020-05-25T06:22:00Z</cp:lastPrinted>
  <dcterms:created xsi:type="dcterms:W3CDTF">2020-11-24T06:29:00Z</dcterms:created>
  <dcterms:modified xsi:type="dcterms:W3CDTF">2020-11-24T06:29:00Z</dcterms:modified>
</cp:coreProperties>
</file>