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9D0" w:rsidRDefault="009F29D0" w:rsidP="009F29D0">
      <w:pPr>
        <w:spacing w:before="0" w:after="0" w:line="240" w:lineRule="auto"/>
        <w:jc w:val="left"/>
        <w:outlineLvl w:val="0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PJ Carinarnicama</w:t>
      </w:r>
    </w:p>
    <w:p w:rsidR="009F29D0" w:rsidRPr="00952708" w:rsidRDefault="009F29D0" w:rsidP="009F29D0">
      <w:pPr>
        <w:spacing w:before="0" w:after="0" w:line="240" w:lineRule="auto"/>
        <w:jc w:val="left"/>
        <w:outlineLvl w:val="0"/>
        <w:rPr>
          <w:rFonts w:ascii="Arial" w:hAnsi="Arial" w:cs="Arial"/>
          <w:bCs/>
          <w:sz w:val="22"/>
          <w:lang w:val="hr-HR"/>
        </w:rPr>
      </w:pPr>
    </w:p>
    <w:p w:rsidR="009F29D0" w:rsidRPr="00952708" w:rsidRDefault="009F29D0" w:rsidP="009F29D0">
      <w:pPr>
        <w:spacing w:before="0" w:after="0" w:line="240" w:lineRule="auto"/>
        <w:jc w:val="left"/>
        <w:outlineLvl w:val="0"/>
        <w:rPr>
          <w:rFonts w:ascii="Arial" w:hAnsi="Arial" w:cs="Arial"/>
          <w:bCs/>
          <w:sz w:val="22"/>
          <w:lang w:val="hr-HR"/>
        </w:rPr>
      </w:pPr>
    </w:p>
    <w:p w:rsidR="009F29D0" w:rsidRDefault="009F29D0" w:rsidP="009F29D0">
      <w:pPr>
        <w:spacing w:before="0" w:after="0"/>
        <w:rPr>
          <w:rFonts w:ascii="Arial" w:hAnsi="Arial" w:cs="Arial"/>
          <w:i/>
          <w:sz w:val="22"/>
          <w:u w:val="single"/>
        </w:rPr>
      </w:pPr>
      <w:r>
        <w:rPr>
          <w:rFonts w:ascii="Arial" w:hAnsi="Arial" w:cs="Arial"/>
          <w:b/>
          <w:color w:val="000000"/>
          <w:sz w:val="22"/>
          <w:lang w:val="hr-HR"/>
        </w:rPr>
        <w:t xml:space="preserve">Predmet: </w:t>
      </w:r>
      <w:bookmarkStart w:id="0" w:name="_GoBack"/>
      <w:r>
        <w:rPr>
          <w:rFonts w:ascii="Arial" w:hAnsi="Arial" w:cs="Arial"/>
          <w:sz w:val="22"/>
        </w:rPr>
        <w:t>Obavještenje</w:t>
      </w:r>
      <w:r>
        <w:t xml:space="preserve"> </w:t>
      </w:r>
      <w:r>
        <w:rPr>
          <w:rFonts w:ascii="Arial" w:hAnsi="Arial" w:cs="Arial"/>
          <w:sz w:val="22"/>
        </w:rPr>
        <w:t xml:space="preserve">u vezi sa primjenom Regionalne konvencije o Pan-Euro-Mediteranskim preferencijalnim pravilima porijekla ili protokola o pravilima porijekla koji predviđaju dijagonalnu kumulaciju između ugovornih strana ove konvencije </w:t>
      </w:r>
      <w:bookmarkEnd w:id="0"/>
      <w:r>
        <w:rPr>
          <w:rFonts w:ascii="Arial" w:hAnsi="Arial" w:cs="Arial"/>
          <w:sz w:val="22"/>
        </w:rPr>
        <w:t xml:space="preserve">– </w:t>
      </w:r>
      <w:r>
        <w:rPr>
          <w:rFonts w:ascii="Arial" w:hAnsi="Arial" w:cs="Arial"/>
          <w:i/>
          <w:sz w:val="22"/>
          <w:u w:val="single"/>
        </w:rPr>
        <w:t>VAŽNO</w:t>
      </w:r>
    </w:p>
    <w:p w:rsidR="009F29D0" w:rsidRDefault="009F29D0" w:rsidP="009F29D0">
      <w:pPr>
        <w:spacing w:before="0" w:after="0"/>
        <w:rPr>
          <w:rFonts w:ascii="Arial" w:hAnsi="Arial" w:cs="Arial"/>
          <w:i/>
          <w:sz w:val="22"/>
          <w:u w:val="single"/>
        </w:rPr>
      </w:pPr>
    </w:p>
    <w:p w:rsidR="009F29D0" w:rsidRDefault="009F29D0" w:rsidP="009F29D0">
      <w:pPr>
        <w:spacing w:before="0" w:after="0"/>
        <w:rPr>
          <w:rFonts w:ascii="Arial" w:hAnsi="Arial" w:cs="Arial"/>
          <w:i/>
          <w:sz w:val="22"/>
          <w:u w:val="single"/>
        </w:rPr>
      </w:pPr>
    </w:p>
    <w:p w:rsidR="009F29D0" w:rsidRDefault="009F29D0" w:rsidP="009F29D0">
      <w:pPr>
        <w:spacing w:before="0" w:after="0"/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Vezano za dopis Uprave carina br.46/1-25 od 30.12.2024.g. koji se odnosi na primjenu revidiranih pravila porijekla Regionalne konvencije o Pan-Euro-Mediteranskim preferencijalnim pravilima porijekla, kao i činjenicu da je PEM Zajednički komitet usvojio Odluku br.2/2024 u cilju uvođenja tranzicionih odredbi kako bi se pojasnio preferencijalni tretman koji se odobrava za robu izvezenu iz PEM ugovorne strane prije primjene Revidirane PEM Konvencije (tj. prije 01.01.2025.g.) i uvezenu u drugu PEM ugovornu stranu nakon 01.01.2025.g., obavještavate se o sledećem:</w:t>
      </w:r>
    </w:p>
    <w:p w:rsidR="009F29D0" w:rsidRDefault="009F29D0" w:rsidP="009F29D0">
      <w:pPr>
        <w:spacing w:before="0" w:after="0"/>
        <w:ind w:firstLine="708"/>
        <w:rPr>
          <w:rFonts w:ascii="Arial" w:hAnsi="Arial" w:cs="Arial"/>
          <w:sz w:val="22"/>
        </w:rPr>
      </w:pPr>
    </w:p>
    <w:p w:rsidR="009F29D0" w:rsidRDefault="009F29D0" w:rsidP="009F29D0">
      <w:pPr>
        <w:spacing w:before="0" w:after="0"/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 svrhu primjene dijagonalne kumulacije porijekla između ugovornih strana Regionalne konvencije o Pan-Euro-Mediteranskim preferencijalnim pravilima porijekla</w:t>
      </w:r>
      <w:r>
        <w:rPr>
          <w:rStyle w:val="FootnoteReference"/>
          <w:rFonts w:ascii="Arial" w:hAnsi="Arial" w:cs="Arial"/>
          <w:sz w:val="22"/>
        </w:rPr>
        <w:footnoteReference w:id="1"/>
      </w:r>
      <w:r>
        <w:rPr>
          <w:rFonts w:ascii="Arial" w:hAnsi="Arial" w:cs="Arial"/>
          <w:sz w:val="22"/>
        </w:rPr>
        <w:t>, u Službenom listu Evropske Unije serije C broj 2024/7561 od 30.12.2024.godine, objavljeno je Obavještenje Evropske komisije o primjeni Konvencije ili protokola o pravilima porijekla koji predviđaju dijagonalnu kumulaciju između ugovornih strana ove konvencije.</w:t>
      </w:r>
    </w:p>
    <w:p w:rsidR="009F29D0" w:rsidRDefault="009F29D0" w:rsidP="009F29D0">
      <w:pPr>
        <w:spacing w:before="0" w:after="0"/>
        <w:ind w:firstLine="708"/>
        <w:rPr>
          <w:rFonts w:ascii="Arial" w:hAnsi="Arial" w:cs="Arial"/>
          <w:sz w:val="22"/>
        </w:rPr>
      </w:pPr>
    </w:p>
    <w:p w:rsidR="009F29D0" w:rsidRDefault="009F29D0" w:rsidP="009F29D0">
      <w:pPr>
        <w:spacing w:before="0" w:after="0"/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Podsjećamo da se dijagonalna kumulacija može primjenjivati samo ako su strana gdje se obavlja konačna proizvodnja i strana konačnog odredišta  sklopile sporazume o slobodnoj trgovini, koji sadrže ista pravila porijekla, sa svim stranama koje učestvuju u sticanju statusa proizvoda sa porijeklom, tj. sa svim stranama iz kojih potiču upotrijebljeni materijali. Materijali sa porijeklom iz strane koja sa stranom gdje se obavlja konačna proizvodnja i stranom konačnog odredišta nije sklopila sporazume o slobodnoj trgovini, smatraju se materijalima bez porijekla. Posebni primjeri navedeni su u napomenama za pojašnjenja koja se odnose na pan-euro-mediteranske protokole o pravilima porijekla.</w:t>
      </w:r>
    </w:p>
    <w:p w:rsidR="009F29D0" w:rsidRDefault="009F29D0" w:rsidP="009F29D0">
      <w:pPr>
        <w:spacing w:before="0" w:after="0"/>
        <w:ind w:firstLine="708"/>
        <w:rPr>
          <w:rFonts w:ascii="Arial" w:hAnsi="Arial" w:cs="Arial"/>
          <w:sz w:val="22"/>
        </w:rPr>
      </w:pPr>
    </w:p>
    <w:p w:rsidR="009F29D0" w:rsidRDefault="009F29D0" w:rsidP="009F29D0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Pregled Matrica dajemo kako slijedi:</w:t>
      </w:r>
    </w:p>
    <w:p w:rsidR="009F29D0" w:rsidRDefault="009F29D0" w:rsidP="009F29D0">
      <w:pPr>
        <w:spacing w:before="0" w:after="0"/>
        <w:rPr>
          <w:rFonts w:ascii="Arial" w:hAnsi="Arial" w:cs="Arial"/>
          <w:sz w:val="22"/>
        </w:rPr>
      </w:pPr>
    </w:p>
    <w:p w:rsidR="009F29D0" w:rsidRDefault="009F29D0" w:rsidP="009F29D0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Matrica 1.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i/>
          <w:sz w:val="22"/>
          <w:u w:val="single"/>
        </w:rPr>
        <w:t xml:space="preserve"> Pojednostavljeni prikaz mogućnosti kumulacije</w:t>
      </w:r>
    </w:p>
    <w:p w:rsidR="009F29D0" w:rsidRDefault="009F29D0" w:rsidP="009F29D0">
      <w:pPr>
        <w:spacing w:before="0" w:after="0"/>
        <w:rPr>
          <w:rFonts w:ascii="Arial" w:hAnsi="Arial" w:cs="Arial"/>
          <w:sz w:val="22"/>
        </w:rPr>
      </w:pPr>
    </w:p>
    <w:p w:rsidR="009F29D0" w:rsidRDefault="009F29D0" w:rsidP="009F29D0">
      <w:pPr>
        <w:spacing w:before="0" w:after="0"/>
        <w:ind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 ovoj matrici oznakom "C" potvrđuje se da je između 2 strane sklopljen sporazum o slobodnoj trgovini koji sadrži pravila porijekla koja omogućavaju kumulaciju na osnovu pravila iz 2012.</w:t>
      </w:r>
      <w:r>
        <w:rPr>
          <w:rStyle w:val="FootnoteReference"/>
          <w:rFonts w:ascii="Arial" w:hAnsi="Arial" w:cs="Arial"/>
          <w:sz w:val="22"/>
        </w:rPr>
        <w:footnoteReference w:id="2"/>
      </w:r>
      <w:r>
        <w:rPr>
          <w:rFonts w:ascii="Arial" w:hAnsi="Arial" w:cs="Arial"/>
          <w:sz w:val="22"/>
        </w:rPr>
        <w:t xml:space="preserve"> Za dijagonalnu kumulaciju koja obuhvata 3 strane oznaka "C" unosi se u sva polja u matrici koja se ukrštaju između 3 strane.</w:t>
      </w:r>
    </w:p>
    <w:p w:rsidR="009F29D0" w:rsidRDefault="009F29D0" w:rsidP="009F29D0">
      <w:pPr>
        <w:spacing w:before="0" w:after="0"/>
        <w:ind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 ovoj matrici oznakom "R" potvrđuje se da je između 2 strane sklopljen sporazum o slobodnoj trgovini koji sadrži pravila porijekla koja omogućavaju kumulaciju na osnovu pravila iz </w:t>
      </w:r>
      <w:r>
        <w:rPr>
          <w:rFonts w:ascii="Arial" w:hAnsi="Arial" w:cs="Arial"/>
          <w:sz w:val="22"/>
        </w:rPr>
        <w:lastRenderedPageBreak/>
        <w:t>2023</w:t>
      </w:r>
      <w:r>
        <w:rPr>
          <w:rStyle w:val="FootnoteReference"/>
          <w:rFonts w:ascii="Arial" w:hAnsi="Arial" w:cs="Arial"/>
          <w:sz w:val="22"/>
        </w:rPr>
        <w:footnoteReference w:id="3"/>
      </w:r>
      <w:r>
        <w:rPr>
          <w:rFonts w:ascii="Arial" w:hAnsi="Arial" w:cs="Arial"/>
          <w:sz w:val="22"/>
        </w:rPr>
        <w:t>. Za dijagonalnu kumulaciju koja obuhvata 3 strane oznaka "R" unosi se u sva polja u matrici koja se ukrštaju između 3 strane.</w:t>
      </w:r>
    </w:p>
    <w:p w:rsidR="009F29D0" w:rsidRDefault="009F29D0" w:rsidP="009F29D0">
      <w:pPr>
        <w:spacing w:before="0" w:after="0"/>
        <w:ind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 svrhu primjene tranzicionih odredbi uvedenih Odlukom br.2/2024 PEM Zajedničkog komiteta koja se primjenjuje između dvije strane, materijali porijeklom iz jedne strane u skladu sa pravilima iz 2012.g. mogu se upotrijebiti u kumulaciji na osnovu pravila iz 2023.g. primjenom načela propusnosti propisanog u jedinom članu, stav 2 te odluke.</w:t>
      </w:r>
    </w:p>
    <w:p w:rsidR="009F29D0" w:rsidRDefault="009F29D0" w:rsidP="009F29D0">
      <w:pPr>
        <w:spacing w:before="0" w:after="0"/>
        <w:ind w:firstLine="709"/>
        <w:rPr>
          <w:rFonts w:ascii="Arial" w:hAnsi="Arial" w:cs="Arial"/>
          <w:sz w:val="22"/>
        </w:rPr>
      </w:pPr>
    </w:p>
    <w:p w:rsidR="009F29D0" w:rsidRDefault="009F29D0" w:rsidP="009F29D0">
      <w:pPr>
        <w:spacing w:before="0" w:after="0"/>
        <w:ind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Međutim, postoje neka odstupanja od dijagonalne kumulacije. U takvim slučajevima oznake (1), (2) ili (*) označiće koja odstupanja treba uzeti u obzir.</w:t>
      </w:r>
    </w:p>
    <w:p w:rsidR="009F29D0" w:rsidRDefault="009F29D0" w:rsidP="009F29D0">
      <w:pPr>
        <w:spacing w:before="0" w:after="0"/>
        <w:ind w:firstLine="709"/>
        <w:rPr>
          <w:rFonts w:ascii="Arial" w:hAnsi="Arial" w:cs="Arial"/>
          <w:sz w:val="22"/>
        </w:rPr>
      </w:pPr>
    </w:p>
    <w:p w:rsidR="009F29D0" w:rsidRPr="00BB203F" w:rsidRDefault="009F29D0" w:rsidP="009F29D0">
      <w:pPr>
        <w:spacing w:before="0" w:after="0"/>
        <w:rPr>
          <w:rFonts w:ascii="Arial" w:hAnsi="Arial" w:cs="Arial"/>
          <w:i/>
          <w:sz w:val="22"/>
          <w:u w:val="single"/>
        </w:rPr>
      </w:pPr>
      <w:r>
        <w:rPr>
          <w:rFonts w:ascii="Arial" w:hAnsi="Arial" w:cs="Arial"/>
          <w:b/>
          <w:sz w:val="22"/>
        </w:rPr>
        <w:t xml:space="preserve">Matrice 2. i 3. </w:t>
      </w:r>
      <w:r>
        <w:rPr>
          <w:rFonts w:ascii="Arial" w:hAnsi="Arial" w:cs="Arial"/>
          <w:i/>
          <w:sz w:val="22"/>
          <w:u w:val="single"/>
        </w:rPr>
        <w:t>datum od kojeg se dijagonalna kumulacija primjenjuje</w:t>
      </w:r>
    </w:p>
    <w:p w:rsidR="009F29D0" w:rsidRDefault="009F29D0" w:rsidP="009F29D0">
      <w:pPr>
        <w:spacing w:before="0" w:after="0"/>
        <w:rPr>
          <w:rFonts w:ascii="Arial" w:hAnsi="Arial" w:cs="Arial"/>
          <w:b/>
          <w:i/>
          <w:sz w:val="22"/>
          <w:u w:val="single"/>
        </w:rPr>
      </w:pPr>
    </w:p>
    <w:p w:rsidR="009F29D0" w:rsidRDefault="009F29D0" w:rsidP="009F29D0">
      <w:pPr>
        <w:spacing w:before="0" w:after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Datumi navedeni u matrici 2. odnose se na sledeće:</w:t>
      </w:r>
    </w:p>
    <w:p w:rsidR="009F29D0" w:rsidRDefault="009F29D0" w:rsidP="009F29D0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datum početka primjene dijagonalne kumulacije  na osnovu člana 3 Priloga I PEM  Konvencije ako određeni sporazum o slobodnoj trgovini upućuje na Konvenciju. U tom slučaju se oznaka "C" nalazi ispred datuma;</w:t>
      </w:r>
    </w:p>
    <w:p w:rsidR="009F29D0" w:rsidRDefault="009F29D0" w:rsidP="009F29D0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 datum početka primjene protokola o pravilima porijekla koji prethode PEM Konvenciji i kojima se predviđa dijagonalna kumulacija uz određeni sporazum o slobodnoj trgovini, koji ne upućuje na Konvenciju.</w:t>
      </w:r>
    </w:p>
    <w:p w:rsidR="009F29D0" w:rsidRDefault="009F29D0" w:rsidP="009F29D0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 datum početka primjene dijagonalne kumulacije na osnovu člana 7. Priloga I PEM Konvencije izmijenjene Odlukom broj 1/2023 od 07.12.2023.godine Zajedničkog komiteta. U tom slučaju se oznaka "R" nalazi ispred datuma.</w:t>
      </w:r>
    </w:p>
    <w:p w:rsidR="009F29D0" w:rsidRDefault="009F29D0" w:rsidP="009F29D0">
      <w:pPr>
        <w:spacing w:before="0" w:after="0"/>
        <w:rPr>
          <w:rFonts w:ascii="Arial" w:hAnsi="Arial" w:cs="Arial"/>
          <w:b/>
          <w:sz w:val="22"/>
        </w:rPr>
      </w:pPr>
    </w:p>
    <w:p w:rsidR="009F29D0" w:rsidRDefault="009F29D0" w:rsidP="009F29D0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Datumi navedeni u matrici 3</w:t>
      </w:r>
      <w:r>
        <w:rPr>
          <w:rFonts w:ascii="Arial" w:hAnsi="Arial" w:cs="Arial"/>
          <w:sz w:val="22"/>
        </w:rPr>
        <w:t xml:space="preserve"> odnose se na datum početka primjene dijagonalne kumulacije porijekla, vezano za sporazume o slobodnoj trgovini između EU, Turske i strana učesnica u procesu stabilizacije i pridruživanja EU (Albanija, Bosna i Hercegovina, Sjeverna Makedonija, Crna Gora, Srbija i Kosovo). Svaki put kada se upućuje na PEM Konvenciju, u matrici 2 je dodat datum kojem prethodi "(C)" i/ili "(R)", u zavisnosti od slučaja.</w:t>
      </w:r>
    </w:p>
    <w:p w:rsidR="009F29D0" w:rsidRDefault="009F29D0" w:rsidP="009F29D0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Podsjećamo da se materijali porijeklom iz Turske, obuhvaćeni carinskom unijom između EU i Turske, mogu uključiti kao materijali sa porijeklom u svrhu dijagonalne kumulacije između EU i strana učesnica u procesu stabilizacije i pridruživanja EU.</w:t>
      </w:r>
    </w:p>
    <w:p w:rsidR="009F29D0" w:rsidRDefault="009F29D0" w:rsidP="009F29D0">
      <w:pPr>
        <w:spacing w:before="0" w:after="0"/>
        <w:rPr>
          <w:rFonts w:ascii="Arial" w:hAnsi="Arial" w:cs="Arial"/>
          <w:sz w:val="22"/>
        </w:rPr>
      </w:pPr>
    </w:p>
    <w:p w:rsidR="009F29D0" w:rsidRPr="00C224B7" w:rsidRDefault="009F29D0" w:rsidP="009F29D0">
      <w:pPr>
        <w:spacing w:before="0" w:after="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ab/>
      </w:r>
      <w:r w:rsidRPr="00C224B7">
        <w:rPr>
          <w:rFonts w:ascii="Arial" w:hAnsi="Arial" w:cs="Arial"/>
          <w:sz w:val="22"/>
          <w:u w:val="single"/>
        </w:rPr>
        <w:t>U odnosu na Crnu Goru, od 01.01.2025.g. sa EU, EFTA zemljama i CEFTA stranama primjenjuje se dijagonalna kumulacija na osnovu Revidirane PEM Konvencije (oznaka "R"), dok se sa Turskom primjenjuje dijagonalna kumulacija na osnovu bilateralnog protokola o pravilama porijekla koji je prethodio PEM Konvenciji objavljenoj u Sl.list CG-Međunarodni ugovori", br.7/12 (oznaka "C(*)").</w:t>
      </w:r>
    </w:p>
    <w:p w:rsidR="009F29D0" w:rsidRPr="007B233B" w:rsidRDefault="009F29D0" w:rsidP="009F29D0">
      <w:pPr>
        <w:spacing w:before="0" w:after="0"/>
        <w:rPr>
          <w:rFonts w:ascii="Arial" w:hAnsi="Arial" w:cs="Arial"/>
          <w:sz w:val="22"/>
        </w:rPr>
      </w:pPr>
    </w:p>
    <w:p w:rsidR="009F29D0" w:rsidRDefault="009F29D0" w:rsidP="009F29D0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Napominjemo da je, u odnosu na navedene matrice, a u očekivanju objavljivanja ažuriranog obavještenja, PEM Sekretarijat obavijestio strane da je Odluka br.2/2024 stupila na snagu u Srbiji i Bosni i Hercegovini od 01.01.2025.g., te da je, za iste, u  odgovarajućim poljima sada oznaka "CR“.</w:t>
      </w:r>
    </w:p>
    <w:p w:rsidR="009F29D0" w:rsidRDefault="009F29D0" w:rsidP="009F29D0">
      <w:pPr>
        <w:spacing w:before="0" w:after="0"/>
        <w:rPr>
          <w:rFonts w:ascii="Arial" w:hAnsi="Arial" w:cs="Arial"/>
          <w:sz w:val="22"/>
        </w:rPr>
      </w:pPr>
    </w:p>
    <w:p w:rsidR="009F29D0" w:rsidRDefault="009F29D0" w:rsidP="009F29D0">
      <w:pPr>
        <w:spacing w:before="0" w:after="0"/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Ovaj raspis mijenja raspis za primjenu dijagonalne kumulacije porijekla u PEM zoni, br.D-6089/2 od 13.06.2024.g. </w:t>
      </w:r>
    </w:p>
    <w:p w:rsidR="009F29D0" w:rsidRDefault="009F29D0" w:rsidP="009F29D0">
      <w:pPr>
        <w:spacing w:before="0" w:after="0"/>
        <w:ind w:firstLine="708"/>
        <w:rPr>
          <w:rFonts w:ascii="Arial" w:hAnsi="Arial" w:cs="Arial"/>
          <w:szCs w:val="24"/>
        </w:rPr>
      </w:pPr>
    </w:p>
    <w:p w:rsidR="009F29D0" w:rsidRDefault="009F29D0" w:rsidP="009F29D0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Prilog</w:t>
      </w:r>
      <w:r>
        <w:rPr>
          <w:rFonts w:ascii="Arial" w:hAnsi="Arial" w:cs="Arial"/>
          <w:sz w:val="22"/>
        </w:rPr>
        <w:t>: matrice dijagonalne kumulacije porijekla i Prilog- Obavještenje o elektronskom izdavanju uvjerenja o kretanju robe EUR.1 i EUR-MED</w:t>
      </w:r>
    </w:p>
    <w:p w:rsidR="009F29D0" w:rsidRDefault="009F29D0" w:rsidP="009F29D0">
      <w:pPr>
        <w:spacing w:before="0" w:after="0"/>
        <w:rPr>
          <w:rFonts w:ascii="Arial" w:hAnsi="Arial" w:cs="Arial"/>
          <w:sz w:val="22"/>
        </w:rPr>
      </w:pPr>
    </w:p>
    <w:p w:rsidR="009F29D0" w:rsidRDefault="009F29D0" w:rsidP="009F29D0">
      <w:pPr>
        <w:spacing w:before="0" w:after="0"/>
        <w:rPr>
          <w:rFonts w:ascii="Arial" w:hAnsi="Arial" w:cs="Arial"/>
          <w:sz w:val="22"/>
        </w:rPr>
      </w:pPr>
    </w:p>
    <w:p w:rsidR="009F29D0" w:rsidRPr="009F29D0" w:rsidRDefault="009F29D0" w:rsidP="009F29D0">
      <w:pPr>
        <w:spacing w:before="0" w:after="0"/>
        <w:rPr>
          <w:rFonts w:ascii="Arial" w:hAnsi="Arial" w:cs="Arial"/>
          <w:b/>
          <w:sz w:val="22"/>
        </w:rPr>
      </w:pPr>
      <w:r w:rsidRPr="009F29D0">
        <w:rPr>
          <w:rFonts w:ascii="Arial" w:hAnsi="Arial" w:cs="Arial"/>
          <w:b/>
          <w:sz w:val="22"/>
        </w:rPr>
        <w:t>(Akt Uprave carina 01/03 broj D-194/2-25 od 22.01.2025.)</w:t>
      </w:r>
    </w:p>
    <w:p w:rsidR="009F29D0" w:rsidRDefault="009F29D0" w:rsidP="009F29D0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  <w:r w:rsidRPr="00AC1DA4">
        <w:rPr>
          <w:rFonts w:ascii="Arial" w:hAnsi="Arial" w:cs="Arial"/>
          <w:sz w:val="22"/>
        </w:rPr>
        <w:tab/>
      </w:r>
    </w:p>
    <w:p w:rsidR="00B25C5D" w:rsidRDefault="00B25C5D"/>
    <w:sectPr w:rsidR="00B25C5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015" w:rsidRDefault="00A27015" w:rsidP="009F29D0">
      <w:pPr>
        <w:spacing w:before="0" w:after="0" w:line="240" w:lineRule="auto"/>
      </w:pPr>
      <w:r>
        <w:separator/>
      </w:r>
    </w:p>
  </w:endnote>
  <w:endnote w:type="continuationSeparator" w:id="0">
    <w:p w:rsidR="00A27015" w:rsidRDefault="00A27015" w:rsidP="009F29D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015" w:rsidRDefault="00A27015" w:rsidP="009F29D0">
      <w:pPr>
        <w:spacing w:before="0" w:after="0" w:line="240" w:lineRule="auto"/>
      </w:pPr>
      <w:r>
        <w:separator/>
      </w:r>
    </w:p>
  </w:footnote>
  <w:footnote w:type="continuationSeparator" w:id="0">
    <w:p w:rsidR="00A27015" w:rsidRDefault="00A27015" w:rsidP="009F29D0">
      <w:pPr>
        <w:spacing w:before="0" w:after="0" w:line="240" w:lineRule="auto"/>
      </w:pPr>
      <w:r>
        <w:continuationSeparator/>
      </w:r>
    </w:p>
  </w:footnote>
  <w:footnote w:id="1">
    <w:p w:rsidR="009F29D0" w:rsidRDefault="009F29D0" w:rsidP="009F29D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D239D">
        <w:rPr>
          <w:rFonts w:ascii="Arial" w:hAnsi="Arial" w:cs="Arial"/>
          <w:sz w:val="18"/>
          <w:szCs w:val="18"/>
        </w:rPr>
        <w:t>"Sl.list CG-Međunarodni ugovori", br.7/12</w:t>
      </w:r>
      <w:r>
        <w:rPr>
          <w:rFonts w:ascii="Arial" w:hAnsi="Arial" w:cs="Arial"/>
          <w:sz w:val="18"/>
          <w:szCs w:val="18"/>
        </w:rPr>
        <w:t>.</w:t>
      </w:r>
    </w:p>
  </w:footnote>
  <w:footnote w:id="2">
    <w:p w:rsidR="009F29D0" w:rsidRPr="006443C2" w:rsidRDefault="009F29D0" w:rsidP="009F29D0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Pravila iz 2012.g., pravila iz Priloga I PEM Konvencije objavljene u </w:t>
      </w:r>
      <w:r w:rsidRPr="00CD239D">
        <w:rPr>
          <w:rFonts w:ascii="Arial" w:hAnsi="Arial" w:cs="Arial"/>
          <w:sz w:val="18"/>
          <w:szCs w:val="18"/>
        </w:rPr>
        <w:t>"Sl.list CG-Međunarodni ugovori", br.7/12</w:t>
      </w:r>
      <w:r>
        <w:rPr>
          <w:rFonts w:ascii="Arial" w:hAnsi="Arial" w:cs="Arial"/>
          <w:sz w:val="18"/>
          <w:szCs w:val="18"/>
        </w:rPr>
        <w:t xml:space="preserve"> i iz bilateralnih protokola o porijeklu primjenjivih između ugovornih strana koji sadrže pravila o porijeklu i koji prethode PEM Konvenciji objavljenoj u </w:t>
      </w:r>
      <w:r w:rsidRPr="00CD239D">
        <w:rPr>
          <w:rFonts w:ascii="Arial" w:hAnsi="Arial" w:cs="Arial"/>
          <w:sz w:val="18"/>
          <w:szCs w:val="18"/>
        </w:rPr>
        <w:t>"Sl.list CG-Međunarodni ugovori", br.7/12</w:t>
      </w:r>
      <w:r>
        <w:rPr>
          <w:rFonts w:ascii="Arial" w:hAnsi="Arial" w:cs="Arial"/>
          <w:sz w:val="18"/>
          <w:szCs w:val="18"/>
        </w:rPr>
        <w:t>.</w:t>
      </w:r>
    </w:p>
  </w:footnote>
  <w:footnote w:id="3">
    <w:p w:rsidR="009F29D0" w:rsidRPr="00FD7385" w:rsidRDefault="009F29D0" w:rsidP="009F29D0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Pravila iz 2023.g., pravila iz Priloga I PEM Konvencije u verziji kako je izmijenjena Odlukom 1/2023 PEM Zajedničkog komiteta.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ED1"/>
    <w:rsid w:val="009F29D0"/>
    <w:rsid w:val="00A27015"/>
    <w:rsid w:val="00A56ED1"/>
    <w:rsid w:val="00B2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85085"/>
  <w15:chartTrackingRefBased/>
  <w15:docId w15:val="{2A209F8C-47AF-4DF2-A3BB-DD871637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9D0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F29D0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29D0"/>
    <w:rPr>
      <w:sz w:val="20"/>
      <w:szCs w:val="20"/>
      <w:lang w:val="sr-Latn-ME"/>
    </w:rPr>
  </w:style>
  <w:style w:type="character" w:styleId="FootnoteReference">
    <w:name w:val="footnote reference"/>
    <w:basedOn w:val="DefaultParagraphFont"/>
    <w:uiPriority w:val="99"/>
    <w:semiHidden/>
    <w:unhideWhenUsed/>
    <w:rsid w:val="009F29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835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Vulić</dc:creator>
  <cp:keywords/>
  <dc:description/>
  <cp:lastModifiedBy>Ana Vulić</cp:lastModifiedBy>
  <cp:revision>2</cp:revision>
  <dcterms:created xsi:type="dcterms:W3CDTF">2025-10-08T11:52:00Z</dcterms:created>
  <dcterms:modified xsi:type="dcterms:W3CDTF">2025-10-08T11:55:00Z</dcterms:modified>
</cp:coreProperties>
</file>