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6C8FC42" w14:textId="65EF963F" w:rsidR="00205D5E" w:rsidRDefault="00397FC3" w:rsidP="00397FC3">
      <w:pPr>
        <w:spacing w:line="276" w:lineRule="auto"/>
        <w:rPr>
          <w:b/>
          <w:bCs/>
          <w:color w:val="0070C0"/>
          <w:sz w:val="72"/>
          <w:szCs w:val="72"/>
          <w:lang w:val="en-US"/>
        </w:rPr>
      </w:pPr>
      <w:bookmarkStart w:id="0" w:name="_Hlk133589126"/>
      <w:bookmarkEnd w:id="0"/>
      <w:r>
        <w:rPr>
          <w:noProof/>
          <w:color w:val="FF0000"/>
        </w:rPr>
        <w:drawing>
          <wp:inline distT="0" distB="0" distL="0" distR="0" wp14:anchorId="3363EF17" wp14:editId="1BD81708">
            <wp:extent cx="2282734" cy="2110557"/>
            <wp:effectExtent l="0" t="0" r="381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734" cy="2110557"/>
                    </a:xfrm>
                    <a:prstGeom prst="rect">
                      <a:avLst/>
                    </a:prstGeom>
                    <a:noFill/>
                    <a:ln>
                      <a:noFill/>
                    </a:ln>
                  </pic:spPr>
                </pic:pic>
              </a:graphicData>
            </a:graphic>
          </wp:inline>
        </w:drawing>
      </w:r>
    </w:p>
    <w:p w14:paraId="0F013C83" w14:textId="77777777" w:rsidR="00BD20FC" w:rsidRDefault="00BD20FC" w:rsidP="00E63F8E">
      <w:pPr>
        <w:spacing w:line="276" w:lineRule="auto"/>
        <w:rPr>
          <w:color w:val="FF0000"/>
        </w:rPr>
      </w:pPr>
    </w:p>
    <w:p w14:paraId="3D7B15AD" w14:textId="287D745D" w:rsidR="00BD20FC" w:rsidRDefault="00BD20FC" w:rsidP="00E63F8E">
      <w:pPr>
        <w:tabs>
          <w:tab w:val="left" w:pos="5872"/>
        </w:tabs>
        <w:spacing w:before="120" w:after="0" w:line="276" w:lineRule="auto"/>
        <w:rPr>
          <w:rFonts w:cstheme="minorHAnsi"/>
          <w:color w:val="FF0000"/>
          <w:sz w:val="24"/>
          <w:szCs w:val="24"/>
        </w:rPr>
      </w:pPr>
      <w:bookmarkStart w:id="1" w:name="_Hlk112275077"/>
      <w:bookmarkStart w:id="2" w:name="_Hlk104489184"/>
      <w:bookmarkEnd w:id="1"/>
      <w:bookmarkEnd w:id="2"/>
      <w:r>
        <w:rPr>
          <w:rFonts w:cstheme="minorHAnsi"/>
          <w:color w:val="FF0000"/>
          <w:sz w:val="24"/>
          <w:szCs w:val="24"/>
        </w:rPr>
        <w:tab/>
      </w:r>
    </w:p>
    <w:p w14:paraId="35FB6E82" w14:textId="77777777" w:rsidR="00BD20FC" w:rsidRDefault="00BD20FC" w:rsidP="00E63F8E">
      <w:pPr>
        <w:spacing w:line="276" w:lineRule="auto"/>
        <w:rPr>
          <w:rFonts w:cstheme="minorHAnsi"/>
          <w:color w:val="FF0000"/>
          <w:sz w:val="24"/>
          <w:szCs w:val="24"/>
        </w:rPr>
      </w:pPr>
    </w:p>
    <w:p w14:paraId="09CB30D8" w14:textId="7A0E0C58" w:rsidR="00BD20FC" w:rsidRDefault="00BD20FC" w:rsidP="00E63F8E">
      <w:pPr>
        <w:spacing w:line="276" w:lineRule="auto"/>
        <w:rPr>
          <w:rFonts w:cstheme="minorHAnsi"/>
          <w:color w:val="FF0000"/>
          <w:sz w:val="24"/>
          <w:szCs w:val="24"/>
        </w:rPr>
      </w:pPr>
      <w:r>
        <w:rPr>
          <w:noProof/>
        </w:rPr>
        <mc:AlternateContent>
          <mc:Choice Requires="wps">
            <w:drawing>
              <wp:anchor distT="0" distB="0" distL="114300" distR="114300" simplePos="0" relativeHeight="251659264" behindDoc="0" locked="0" layoutInCell="1" allowOverlap="1" wp14:anchorId="420991F8" wp14:editId="70CEA50E">
                <wp:simplePos x="0" y="0"/>
                <wp:positionH relativeFrom="margin">
                  <wp:align>right</wp:align>
                </wp:positionH>
                <wp:positionV relativeFrom="paragraph">
                  <wp:posOffset>9525</wp:posOffset>
                </wp:positionV>
                <wp:extent cx="5170714" cy="3952875"/>
                <wp:effectExtent l="0" t="0" r="0" b="0"/>
                <wp:wrapNone/>
                <wp:docPr id="475" name="Ορθογώνιο 475"/>
                <wp:cNvGraphicFramePr/>
                <a:graphic xmlns:a="http://schemas.openxmlformats.org/drawingml/2006/main">
                  <a:graphicData uri="http://schemas.microsoft.com/office/word/2010/wordprocessingShape">
                    <wps:wsp>
                      <wps:cNvSpPr/>
                      <wps:spPr>
                        <a:xfrm>
                          <a:off x="0" y="0"/>
                          <a:ext cx="5170714" cy="3952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266C7" w14:textId="55AC7B69" w:rsidR="0057053C" w:rsidRDefault="0057053C" w:rsidP="00BD20FC">
                            <w:pPr>
                              <w:jc w:val="right"/>
                              <w:rPr>
                                <w:rFonts w:ascii="Times New Roman" w:hAnsi="Times New Roman"/>
                                <w:b/>
                                <w:color w:val="002060"/>
                                <w:sz w:val="36"/>
                                <w:szCs w:val="36"/>
                                <w:lang w:val="en-US"/>
                              </w:rPr>
                            </w:pPr>
                            <w:r w:rsidRPr="00874EE0">
                              <w:rPr>
                                <w:b/>
                                <w:bCs/>
                                <w:color w:val="002060"/>
                                <w:sz w:val="36"/>
                                <w:szCs w:val="36"/>
                                <w:lang w:val="en-US"/>
                              </w:rPr>
                              <w:t>Strategija za borbu protiv prevara i upravljanja nepravilnostima za zaštitu finansijskih interesa Evropske unije 2019 – 2022</w:t>
                            </w:r>
                          </w:p>
                          <w:p w14:paraId="3BDD9C36" w14:textId="3FBE8CAC" w:rsidR="0057053C" w:rsidRDefault="0057053C" w:rsidP="00BD20FC">
                            <w:pPr>
                              <w:jc w:val="right"/>
                              <w:rPr>
                                <w:rFonts w:ascii="Times New Roman" w:hAnsi="Times New Roman"/>
                                <w:b/>
                                <w:color w:val="002060"/>
                                <w:sz w:val="36"/>
                                <w:szCs w:val="36"/>
                                <w:lang w:val="en-US"/>
                              </w:rPr>
                            </w:pPr>
                          </w:p>
                          <w:p w14:paraId="5CA88C6E" w14:textId="77777777" w:rsidR="0057053C" w:rsidRPr="00B06792" w:rsidRDefault="0057053C" w:rsidP="00BD20FC">
                            <w:pPr>
                              <w:jc w:val="right"/>
                              <w:rPr>
                                <w:rFonts w:ascii="Times New Roman" w:hAnsi="Times New Roman"/>
                                <w:b/>
                                <w:color w:val="002060"/>
                                <w:sz w:val="36"/>
                                <w:szCs w:val="36"/>
                                <w:lang w:val="en-US"/>
                              </w:rPr>
                            </w:pPr>
                          </w:p>
                          <w:p w14:paraId="5057D68F" w14:textId="49202CA1" w:rsidR="0057053C" w:rsidRDefault="0057053C" w:rsidP="00BD20FC">
                            <w:pPr>
                              <w:ind w:right="179" w:firstLine="720"/>
                              <w:jc w:val="right"/>
                              <w:rPr>
                                <w:b/>
                                <w:bCs/>
                                <w:color w:val="002060"/>
                                <w:sz w:val="40"/>
                                <w:szCs w:val="40"/>
                              </w:rPr>
                            </w:pPr>
                            <w:r w:rsidRPr="00874EE0">
                              <w:rPr>
                                <w:b/>
                                <w:bCs/>
                                <w:color w:val="002060"/>
                                <w:sz w:val="40"/>
                                <w:szCs w:val="40"/>
                              </w:rPr>
                              <w:t>Ex-post evaluacija</w:t>
                            </w:r>
                          </w:p>
                          <w:p w14:paraId="725D0011" w14:textId="74D8755F" w:rsidR="0057053C" w:rsidRDefault="0057053C" w:rsidP="00BD20FC">
                            <w:pPr>
                              <w:ind w:right="179" w:firstLine="720"/>
                              <w:jc w:val="right"/>
                              <w:rPr>
                                <w:b/>
                                <w:bCs/>
                                <w:color w:val="002060"/>
                                <w:sz w:val="40"/>
                                <w:szCs w:val="40"/>
                                <w:lang w:val="en-US"/>
                              </w:rPr>
                            </w:pPr>
                          </w:p>
                          <w:p w14:paraId="45A703F4" w14:textId="7BB32E96" w:rsidR="0057053C" w:rsidRPr="00BD20FC" w:rsidRDefault="0057053C" w:rsidP="00BD20FC">
                            <w:pPr>
                              <w:ind w:right="179" w:firstLine="720"/>
                              <w:jc w:val="right"/>
                              <w:rPr>
                                <w:i/>
                                <w:iCs/>
                                <w:color w:val="002060"/>
                                <w:sz w:val="28"/>
                                <w:szCs w:val="28"/>
                                <w:lang w:val="en-US"/>
                              </w:rPr>
                            </w:pPr>
                            <w:r w:rsidRPr="001B3DDC">
                              <w:rPr>
                                <w:b/>
                                <w:bCs/>
                                <w:color w:val="002060"/>
                                <w:sz w:val="24"/>
                                <w:szCs w:val="24"/>
                              </w:rPr>
                              <w:t>Završni esej Tzin Tsisou &amp; Giorgos Kasapas maj 2023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991F8" id="Ορθογώνιο 475" o:spid="_x0000_s1026" style="position:absolute;margin-left:355.95pt;margin-top:.75pt;width:407.15pt;height:31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" filled="f" stroked="f" strokeweight="1pt">
                <v:textbox>
                  <w:txbxContent>
                    <w:p w14:paraId="6A5266C7" w14:textId="55AC7B69" w:rsidR="0057053C" w:rsidRDefault="0057053C" w:rsidP="00BD20FC">
                      <w:pPr>
                        <w:jc w:val="right"/>
                        <w:rPr>
                          <w:rFonts w:ascii="Times New Roman" w:hAnsi="Times New Roman"/>
                          <w:b/>
                          <w:color w:val="002060"/>
                          <w:sz w:val="36"/>
                          <w:szCs w:val="36"/>
                          <w:lang w:val="en-US"/>
                        </w:rPr>
                      </w:pPr>
                      <w:r w:rsidRPr="00874EE0">
                        <w:rPr>
                          <w:b/>
                          <w:bCs/>
                          <w:color w:val="002060"/>
                          <w:sz w:val="36"/>
                          <w:szCs w:val="36"/>
                          <w:lang w:val="en-US"/>
                        </w:rPr>
                        <w:t>Strategija za borbu protiv prevara i upravljanja nepravilnostima za zaštitu finansijskih interesa Evropske unije 2019 – 2022</w:t>
                      </w:r>
                    </w:p>
                    <w:p w14:paraId="3BDD9C36" w14:textId="3FBE8CAC" w:rsidR="0057053C" w:rsidRDefault="0057053C" w:rsidP="00BD20FC">
                      <w:pPr>
                        <w:jc w:val="right"/>
                        <w:rPr>
                          <w:rFonts w:ascii="Times New Roman" w:hAnsi="Times New Roman"/>
                          <w:b/>
                          <w:color w:val="002060"/>
                          <w:sz w:val="36"/>
                          <w:szCs w:val="36"/>
                          <w:lang w:val="en-US"/>
                        </w:rPr>
                      </w:pPr>
                    </w:p>
                    <w:p w14:paraId="5CA88C6E" w14:textId="77777777" w:rsidR="0057053C" w:rsidRPr="00B06792" w:rsidRDefault="0057053C" w:rsidP="00BD20FC">
                      <w:pPr>
                        <w:jc w:val="right"/>
                        <w:rPr>
                          <w:rFonts w:ascii="Times New Roman" w:hAnsi="Times New Roman"/>
                          <w:b/>
                          <w:color w:val="002060"/>
                          <w:sz w:val="36"/>
                          <w:szCs w:val="36"/>
                          <w:lang w:val="en-US"/>
                        </w:rPr>
                      </w:pPr>
                    </w:p>
                    <w:p w14:paraId="5057D68F" w14:textId="49202CA1" w:rsidR="0057053C" w:rsidRDefault="0057053C" w:rsidP="00BD20FC">
                      <w:pPr>
                        <w:ind w:right="179" w:firstLine="720"/>
                        <w:jc w:val="right"/>
                        <w:rPr>
                          <w:b/>
                          <w:bCs/>
                          <w:color w:val="002060"/>
                          <w:sz w:val="40"/>
                          <w:szCs w:val="40"/>
                        </w:rPr>
                      </w:pPr>
                      <w:r w:rsidRPr="00874EE0">
                        <w:rPr>
                          <w:b/>
                          <w:bCs/>
                          <w:color w:val="002060"/>
                          <w:sz w:val="40"/>
                          <w:szCs w:val="40"/>
                        </w:rPr>
                        <w:t>Ex-post evaluacija</w:t>
                      </w:r>
                    </w:p>
                    <w:p w14:paraId="725D0011" w14:textId="74D8755F" w:rsidR="0057053C" w:rsidRDefault="0057053C" w:rsidP="00BD20FC">
                      <w:pPr>
                        <w:ind w:right="179" w:firstLine="720"/>
                        <w:jc w:val="right"/>
                        <w:rPr>
                          <w:b/>
                          <w:bCs/>
                          <w:color w:val="002060"/>
                          <w:sz w:val="40"/>
                          <w:szCs w:val="40"/>
                          <w:lang w:val="en-US"/>
                        </w:rPr>
                      </w:pPr>
                    </w:p>
                    <w:p w14:paraId="45A703F4" w14:textId="7BB32E96" w:rsidR="0057053C" w:rsidRPr="00BD20FC" w:rsidRDefault="0057053C" w:rsidP="00BD20FC">
                      <w:pPr>
                        <w:ind w:right="179" w:firstLine="720"/>
                        <w:jc w:val="right"/>
                        <w:rPr>
                          <w:i/>
                          <w:iCs/>
                          <w:color w:val="002060"/>
                          <w:sz w:val="28"/>
                          <w:szCs w:val="28"/>
                          <w:lang w:val="en-US"/>
                        </w:rPr>
                      </w:pPr>
                      <w:r w:rsidRPr="001B3DDC">
                        <w:rPr>
                          <w:b/>
                          <w:bCs/>
                          <w:color w:val="002060"/>
                          <w:sz w:val="24"/>
                          <w:szCs w:val="24"/>
                        </w:rPr>
                        <w:t>Završni esej Tzin Tsisou &amp; Giorgos Kasapas maj 2023</w:t>
                      </w:r>
                    </w:p>
                  </w:txbxContent>
                </v:textbox>
                <w10:wrap anchorx="margin"/>
              </v:rect>
            </w:pict>
          </mc:Fallback>
        </mc:AlternateContent>
      </w:r>
    </w:p>
    <w:p w14:paraId="531D8A1C" w14:textId="77777777" w:rsidR="00BD20FC" w:rsidRDefault="00BD20FC" w:rsidP="00E63F8E">
      <w:pPr>
        <w:spacing w:line="276" w:lineRule="auto"/>
        <w:rPr>
          <w:rFonts w:cstheme="minorHAnsi"/>
          <w:color w:val="FF0000"/>
          <w:sz w:val="24"/>
          <w:szCs w:val="24"/>
        </w:rPr>
      </w:pPr>
    </w:p>
    <w:p w14:paraId="2F48447E" w14:textId="77777777" w:rsidR="00BD20FC" w:rsidRDefault="00BD20FC" w:rsidP="00E63F8E">
      <w:pPr>
        <w:spacing w:line="276" w:lineRule="auto"/>
        <w:rPr>
          <w:rFonts w:cstheme="minorHAnsi"/>
          <w:color w:val="FF0000"/>
          <w:sz w:val="24"/>
          <w:szCs w:val="24"/>
        </w:rPr>
      </w:pPr>
    </w:p>
    <w:p w14:paraId="027853F8" w14:textId="77777777" w:rsidR="00BD20FC" w:rsidRDefault="00BD20FC" w:rsidP="00E63F8E">
      <w:pPr>
        <w:spacing w:line="276" w:lineRule="auto"/>
        <w:rPr>
          <w:rFonts w:cstheme="minorHAnsi"/>
          <w:color w:val="FF0000"/>
          <w:sz w:val="24"/>
          <w:szCs w:val="24"/>
        </w:rPr>
      </w:pPr>
    </w:p>
    <w:p w14:paraId="5D39FB6D" w14:textId="77777777" w:rsidR="00BD20FC" w:rsidRDefault="00BD20FC" w:rsidP="00E63F8E">
      <w:pPr>
        <w:spacing w:line="276" w:lineRule="auto"/>
        <w:rPr>
          <w:rFonts w:cstheme="minorHAnsi"/>
          <w:color w:val="FF0000"/>
          <w:sz w:val="24"/>
          <w:szCs w:val="24"/>
        </w:rPr>
      </w:pPr>
    </w:p>
    <w:p w14:paraId="146F767E" w14:textId="77777777" w:rsidR="00BD20FC" w:rsidRDefault="00BD20FC" w:rsidP="00E63F8E">
      <w:pPr>
        <w:spacing w:line="276" w:lineRule="auto"/>
        <w:rPr>
          <w:rFonts w:cstheme="minorHAnsi"/>
          <w:color w:val="FF0000"/>
          <w:sz w:val="24"/>
          <w:szCs w:val="24"/>
        </w:rPr>
      </w:pPr>
    </w:p>
    <w:p w14:paraId="13218DDA" w14:textId="77777777" w:rsidR="00BD20FC" w:rsidRDefault="00BD20FC" w:rsidP="00E63F8E">
      <w:pPr>
        <w:spacing w:line="276" w:lineRule="auto"/>
        <w:rPr>
          <w:rFonts w:cstheme="minorHAnsi"/>
          <w:color w:val="FF0000"/>
          <w:sz w:val="24"/>
          <w:szCs w:val="24"/>
        </w:rPr>
      </w:pPr>
    </w:p>
    <w:p w14:paraId="094BA204" w14:textId="77777777" w:rsidR="00BD20FC" w:rsidRDefault="00BD20FC" w:rsidP="00E63F8E">
      <w:pPr>
        <w:spacing w:line="276" w:lineRule="auto"/>
        <w:rPr>
          <w:rFonts w:cstheme="minorHAnsi"/>
          <w:color w:val="FF0000"/>
          <w:sz w:val="24"/>
          <w:szCs w:val="24"/>
        </w:rPr>
      </w:pPr>
    </w:p>
    <w:p w14:paraId="3593214F" w14:textId="77777777" w:rsidR="00BD20FC" w:rsidRDefault="00BD20FC" w:rsidP="00E63F8E">
      <w:pPr>
        <w:spacing w:line="276" w:lineRule="auto"/>
        <w:rPr>
          <w:rFonts w:cstheme="minorHAnsi"/>
          <w:color w:val="FF0000"/>
          <w:sz w:val="24"/>
          <w:szCs w:val="24"/>
        </w:rPr>
      </w:pPr>
    </w:p>
    <w:p w14:paraId="6871B3D4" w14:textId="77777777" w:rsidR="00BD20FC" w:rsidRDefault="00BD20FC" w:rsidP="00E63F8E">
      <w:pPr>
        <w:spacing w:line="276" w:lineRule="auto"/>
        <w:rPr>
          <w:rFonts w:cstheme="minorHAnsi"/>
          <w:color w:val="FF0000"/>
          <w:sz w:val="24"/>
          <w:szCs w:val="24"/>
        </w:rPr>
      </w:pPr>
    </w:p>
    <w:p w14:paraId="6D0CCDF0" w14:textId="77777777" w:rsidR="00BD20FC" w:rsidRDefault="00BD20FC" w:rsidP="00E63F8E">
      <w:pPr>
        <w:spacing w:line="276" w:lineRule="auto"/>
        <w:rPr>
          <w:rFonts w:cstheme="minorHAnsi"/>
          <w:color w:val="FF0000"/>
          <w:sz w:val="24"/>
          <w:szCs w:val="24"/>
        </w:rPr>
      </w:pPr>
    </w:p>
    <w:p w14:paraId="1F456F0B" w14:textId="77777777" w:rsidR="00BD20FC" w:rsidRDefault="00BD20FC" w:rsidP="00E63F8E">
      <w:pPr>
        <w:spacing w:line="276" w:lineRule="auto"/>
        <w:rPr>
          <w:rFonts w:cstheme="minorHAnsi"/>
          <w:color w:val="FF0000"/>
          <w:sz w:val="24"/>
          <w:szCs w:val="24"/>
        </w:rPr>
      </w:pPr>
    </w:p>
    <w:p w14:paraId="5FA34030" w14:textId="77777777" w:rsidR="00EA0181" w:rsidRDefault="00EA0181" w:rsidP="00E63F8E">
      <w:pPr>
        <w:pStyle w:val="Heading1"/>
        <w:spacing w:line="276" w:lineRule="auto"/>
        <w:jc w:val="center"/>
        <w:rPr>
          <w:rFonts w:cstheme="minorHAnsi"/>
          <w:color w:val="FF0000"/>
          <w:sz w:val="24"/>
          <w:szCs w:val="24"/>
        </w:rPr>
      </w:pPr>
    </w:p>
    <w:p w14:paraId="49A77905" w14:textId="38DA8EBC" w:rsidR="00EA0181" w:rsidRDefault="00EA0181" w:rsidP="00E63F8E">
      <w:pPr>
        <w:pStyle w:val="Heading1"/>
        <w:spacing w:line="276" w:lineRule="auto"/>
        <w:jc w:val="center"/>
        <w:rPr>
          <w:rFonts w:cstheme="minorHAnsi"/>
          <w:color w:val="FF0000"/>
          <w:sz w:val="24"/>
          <w:szCs w:val="24"/>
        </w:rPr>
      </w:pPr>
    </w:p>
    <w:p w14:paraId="4AC07677" w14:textId="2E1A6B11" w:rsidR="00955D7B" w:rsidRDefault="00955D7B" w:rsidP="00E12A59">
      <w:pPr>
        <w:pStyle w:val="TOCHeading"/>
        <w:jc w:val="center"/>
        <w:rPr>
          <w:rFonts w:asciiTheme="minorHAnsi" w:eastAsiaTheme="minorHAnsi" w:hAnsiTheme="minorHAnsi" w:cstheme="minorBidi"/>
          <w:color w:val="auto"/>
          <w:sz w:val="22"/>
          <w:szCs w:val="22"/>
        </w:rPr>
      </w:pPr>
    </w:p>
    <w:p w14:paraId="468A2698" w14:textId="3CF770A2" w:rsidR="005E297E" w:rsidRDefault="005E297E" w:rsidP="005E297E"/>
    <w:p w14:paraId="7BA8C167" w14:textId="1410825C" w:rsidR="005E297E" w:rsidRDefault="005E297E" w:rsidP="005E297E"/>
    <w:p w14:paraId="5865B34D" w14:textId="77777777" w:rsidR="005E297E" w:rsidRPr="005E297E" w:rsidRDefault="005E297E" w:rsidP="005E297E"/>
    <w:sdt>
      <w:sdtPr>
        <w:id w:val="1161582761"/>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495E1129" w14:textId="09BC949F" w:rsidR="00472366" w:rsidRDefault="00472366">
          <w:pPr>
            <w:pStyle w:val="TOCHeading"/>
          </w:pPr>
          <w:r>
            <w:t>Contents</w:t>
          </w:r>
        </w:p>
        <w:p w14:paraId="795155F7" w14:textId="002AF904" w:rsidR="00472366" w:rsidRDefault="00472366">
          <w:pPr>
            <w:pStyle w:val="TOC1"/>
            <w:tabs>
              <w:tab w:val="right" w:leader="dot" w:pos="8296"/>
            </w:tabs>
            <w:rPr>
              <w:rFonts w:asciiTheme="minorHAnsi" w:eastAsiaTheme="minorEastAsia" w:hAnsiTheme="minorHAnsi" w:cstheme="minorBidi"/>
              <w:noProof/>
              <w:lang w:val="sr-Latn-ME" w:eastAsia="sr-Latn-ME"/>
            </w:rPr>
          </w:pPr>
          <w:r>
            <w:fldChar w:fldCharType="begin"/>
          </w:r>
          <w:r>
            <w:instrText xml:space="preserve"> TOC \o "1-3" \h \z \u </w:instrText>
          </w:r>
          <w:r>
            <w:fldChar w:fldCharType="separate"/>
          </w:r>
          <w:hyperlink w:anchor="_Toc136505847" w:history="1">
            <w:r w:rsidRPr="00C72895">
              <w:rPr>
                <w:rStyle w:val="Hyperlink"/>
                <w:b/>
                <w:noProof/>
              </w:rPr>
              <w:t>A</w:t>
            </w:r>
            <w:r w:rsidRPr="00C72895">
              <w:rPr>
                <w:rStyle w:val="Hyperlink"/>
                <w:b/>
                <w:noProof/>
                <w:lang w:val="sr-Latn-RS"/>
              </w:rPr>
              <w:t>k</w:t>
            </w:r>
            <w:r w:rsidRPr="00C72895">
              <w:rPr>
                <w:rStyle w:val="Hyperlink"/>
                <w:b/>
                <w:noProof/>
              </w:rPr>
              <w:t>ron</w:t>
            </w:r>
            <w:r w:rsidRPr="00C72895">
              <w:rPr>
                <w:rStyle w:val="Hyperlink"/>
                <w:b/>
                <w:noProof/>
                <w:lang w:val="sr-Latn-RS"/>
              </w:rPr>
              <w:t>imi</w:t>
            </w:r>
            <w:r>
              <w:rPr>
                <w:noProof/>
                <w:webHidden/>
              </w:rPr>
              <w:tab/>
            </w:r>
            <w:r>
              <w:rPr>
                <w:noProof/>
                <w:webHidden/>
              </w:rPr>
              <w:fldChar w:fldCharType="begin"/>
            </w:r>
            <w:r>
              <w:rPr>
                <w:noProof/>
                <w:webHidden/>
              </w:rPr>
              <w:instrText xml:space="preserve"> PAGEREF _Toc136505847 \h </w:instrText>
            </w:r>
            <w:r>
              <w:rPr>
                <w:noProof/>
                <w:webHidden/>
              </w:rPr>
            </w:r>
            <w:r>
              <w:rPr>
                <w:noProof/>
                <w:webHidden/>
              </w:rPr>
              <w:fldChar w:fldCharType="separate"/>
            </w:r>
            <w:r>
              <w:rPr>
                <w:noProof/>
                <w:webHidden/>
              </w:rPr>
              <w:t>3</w:t>
            </w:r>
            <w:r>
              <w:rPr>
                <w:noProof/>
                <w:webHidden/>
              </w:rPr>
              <w:fldChar w:fldCharType="end"/>
            </w:r>
          </w:hyperlink>
        </w:p>
        <w:p w14:paraId="405BE695" w14:textId="775E0696" w:rsidR="00472366" w:rsidRDefault="00472366">
          <w:pPr>
            <w:pStyle w:val="TOC1"/>
            <w:tabs>
              <w:tab w:val="right" w:leader="dot" w:pos="8296"/>
            </w:tabs>
            <w:rPr>
              <w:rFonts w:asciiTheme="minorHAnsi" w:eastAsiaTheme="minorEastAsia" w:hAnsiTheme="minorHAnsi" w:cstheme="minorBidi"/>
              <w:noProof/>
              <w:lang w:val="sr-Latn-ME" w:eastAsia="sr-Latn-ME"/>
            </w:rPr>
          </w:pPr>
          <w:hyperlink w:anchor="_Toc136505848" w:history="1">
            <w:r w:rsidRPr="00C72895">
              <w:rPr>
                <w:rStyle w:val="Hyperlink"/>
                <w:rFonts w:cstheme="minorHAnsi"/>
                <w:noProof/>
                <w:shd w:val="clear" w:color="auto" w:fill="F5F5F5"/>
              </w:rPr>
              <w:t>Predgovor</w:t>
            </w:r>
            <w:r>
              <w:rPr>
                <w:noProof/>
                <w:webHidden/>
              </w:rPr>
              <w:tab/>
            </w:r>
            <w:r>
              <w:rPr>
                <w:noProof/>
                <w:webHidden/>
              </w:rPr>
              <w:fldChar w:fldCharType="begin"/>
            </w:r>
            <w:r>
              <w:rPr>
                <w:noProof/>
                <w:webHidden/>
              </w:rPr>
              <w:instrText xml:space="preserve"> PAGEREF _Toc136505848 \h </w:instrText>
            </w:r>
            <w:r>
              <w:rPr>
                <w:noProof/>
                <w:webHidden/>
              </w:rPr>
            </w:r>
            <w:r>
              <w:rPr>
                <w:noProof/>
                <w:webHidden/>
              </w:rPr>
              <w:fldChar w:fldCharType="separate"/>
            </w:r>
            <w:r>
              <w:rPr>
                <w:noProof/>
                <w:webHidden/>
              </w:rPr>
              <w:t>4</w:t>
            </w:r>
            <w:r>
              <w:rPr>
                <w:noProof/>
                <w:webHidden/>
              </w:rPr>
              <w:fldChar w:fldCharType="end"/>
            </w:r>
          </w:hyperlink>
        </w:p>
        <w:p w14:paraId="776B01B9" w14:textId="7A13E411" w:rsidR="00472366" w:rsidRDefault="00472366">
          <w:pPr>
            <w:pStyle w:val="TOC1"/>
            <w:tabs>
              <w:tab w:val="right" w:leader="dot" w:pos="8296"/>
            </w:tabs>
            <w:rPr>
              <w:rFonts w:asciiTheme="minorHAnsi" w:eastAsiaTheme="minorEastAsia" w:hAnsiTheme="minorHAnsi" w:cstheme="minorBidi"/>
              <w:noProof/>
              <w:lang w:val="sr-Latn-ME" w:eastAsia="sr-Latn-ME"/>
            </w:rPr>
          </w:pPr>
          <w:hyperlink w:anchor="_Toc136505853" w:history="1">
            <w:r w:rsidRPr="00C72895">
              <w:rPr>
                <w:rStyle w:val="Hyperlink"/>
                <w:rFonts w:cstheme="minorHAnsi"/>
                <w:b/>
                <w:bCs/>
                <w:noProof/>
              </w:rPr>
              <w:t>Sažetak</w:t>
            </w:r>
            <w:r>
              <w:rPr>
                <w:noProof/>
                <w:webHidden/>
              </w:rPr>
              <w:tab/>
            </w:r>
            <w:r>
              <w:rPr>
                <w:noProof/>
                <w:webHidden/>
              </w:rPr>
              <w:fldChar w:fldCharType="begin"/>
            </w:r>
            <w:r>
              <w:rPr>
                <w:noProof/>
                <w:webHidden/>
              </w:rPr>
              <w:instrText xml:space="preserve"> PAGEREF _Toc136505853 \h </w:instrText>
            </w:r>
            <w:r>
              <w:rPr>
                <w:noProof/>
                <w:webHidden/>
              </w:rPr>
            </w:r>
            <w:r>
              <w:rPr>
                <w:noProof/>
                <w:webHidden/>
              </w:rPr>
              <w:fldChar w:fldCharType="separate"/>
            </w:r>
            <w:r>
              <w:rPr>
                <w:noProof/>
                <w:webHidden/>
              </w:rPr>
              <w:t>5</w:t>
            </w:r>
            <w:r>
              <w:rPr>
                <w:noProof/>
                <w:webHidden/>
              </w:rPr>
              <w:fldChar w:fldCharType="end"/>
            </w:r>
          </w:hyperlink>
        </w:p>
        <w:p w14:paraId="5F2E19A1" w14:textId="0A29BBF8" w:rsidR="00472366" w:rsidRDefault="00472366">
          <w:pPr>
            <w:pStyle w:val="TOC2"/>
            <w:tabs>
              <w:tab w:val="right" w:leader="dot" w:pos="8296"/>
            </w:tabs>
            <w:rPr>
              <w:rFonts w:asciiTheme="minorHAnsi" w:eastAsiaTheme="minorEastAsia" w:hAnsiTheme="minorHAnsi" w:cstheme="minorBidi"/>
              <w:noProof/>
              <w:lang w:val="sr-Latn-ME" w:eastAsia="sr-Latn-ME"/>
            </w:rPr>
          </w:pPr>
          <w:hyperlink w:anchor="_Toc136505854" w:history="1">
            <w:r w:rsidRPr="00C72895">
              <w:rPr>
                <w:rStyle w:val="Hyperlink"/>
                <w:rFonts w:cstheme="minorHAnsi"/>
                <w:noProof/>
                <w:shd w:val="clear" w:color="auto" w:fill="F5F5F5"/>
              </w:rPr>
              <w:t xml:space="preserve"> </w:t>
            </w:r>
            <w:r w:rsidRPr="00472366">
              <w:rPr>
                <w:rStyle w:val="Hyperlink"/>
                <w:rFonts w:cstheme="minorHAnsi"/>
                <w:b/>
                <w:noProof/>
                <w:shd w:val="clear" w:color="auto" w:fill="F5F5F5"/>
              </w:rPr>
              <w:t>Uvod</w:t>
            </w:r>
            <w:r>
              <w:rPr>
                <w:noProof/>
                <w:webHidden/>
              </w:rPr>
              <w:tab/>
            </w:r>
            <w:r>
              <w:rPr>
                <w:noProof/>
                <w:webHidden/>
              </w:rPr>
              <w:fldChar w:fldCharType="begin"/>
            </w:r>
            <w:r>
              <w:rPr>
                <w:noProof/>
                <w:webHidden/>
              </w:rPr>
              <w:instrText xml:space="preserve"> PAGEREF _Toc136505854 \h </w:instrText>
            </w:r>
            <w:r>
              <w:rPr>
                <w:noProof/>
                <w:webHidden/>
              </w:rPr>
            </w:r>
            <w:r>
              <w:rPr>
                <w:noProof/>
                <w:webHidden/>
              </w:rPr>
              <w:fldChar w:fldCharType="separate"/>
            </w:r>
            <w:r>
              <w:rPr>
                <w:noProof/>
                <w:webHidden/>
              </w:rPr>
              <w:t>9</w:t>
            </w:r>
            <w:r>
              <w:rPr>
                <w:noProof/>
                <w:webHidden/>
              </w:rPr>
              <w:fldChar w:fldCharType="end"/>
            </w:r>
          </w:hyperlink>
        </w:p>
        <w:p w14:paraId="6E48BBED" w14:textId="689AEC6C" w:rsidR="00472366" w:rsidRDefault="00472366">
          <w:pPr>
            <w:pStyle w:val="TOC2"/>
            <w:tabs>
              <w:tab w:val="right" w:leader="dot" w:pos="8296"/>
            </w:tabs>
            <w:rPr>
              <w:rStyle w:val="Hyperlink"/>
              <w:noProof/>
            </w:rPr>
          </w:pPr>
          <w:hyperlink w:anchor="_Toc136505859" w:history="1">
            <w:r w:rsidRPr="00C72895">
              <w:rPr>
                <w:rStyle w:val="Hyperlink"/>
                <w:rFonts w:cstheme="minorHAnsi"/>
                <w:b/>
                <w:noProof/>
              </w:rPr>
              <w:t xml:space="preserve"> Methodologija</w:t>
            </w:r>
            <w:r>
              <w:rPr>
                <w:noProof/>
                <w:webHidden/>
              </w:rPr>
              <w:tab/>
            </w:r>
            <w:r>
              <w:rPr>
                <w:noProof/>
                <w:webHidden/>
              </w:rPr>
              <w:fldChar w:fldCharType="begin"/>
            </w:r>
            <w:r>
              <w:rPr>
                <w:noProof/>
                <w:webHidden/>
              </w:rPr>
              <w:instrText xml:space="preserve"> PAGEREF _Toc136505859 \h </w:instrText>
            </w:r>
            <w:r>
              <w:rPr>
                <w:noProof/>
                <w:webHidden/>
              </w:rPr>
            </w:r>
            <w:r>
              <w:rPr>
                <w:noProof/>
                <w:webHidden/>
              </w:rPr>
              <w:fldChar w:fldCharType="separate"/>
            </w:r>
            <w:r>
              <w:rPr>
                <w:noProof/>
                <w:webHidden/>
              </w:rPr>
              <w:t>10</w:t>
            </w:r>
            <w:r>
              <w:rPr>
                <w:noProof/>
                <w:webHidden/>
              </w:rPr>
              <w:fldChar w:fldCharType="end"/>
            </w:r>
          </w:hyperlink>
        </w:p>
        <w:p w14:paraId="1A6CD808" w14:textId="77777777" w:rsidR="00B93C45" w:rsidRDefault="00B93C45">
          <w:pPr>
            <w:pStyle w:val="TOC2"/>
            <w:tabs>
              <w:tab w:val="right" w:leader="dot" w:pos="8296"/>
            </w:tabs>
            <w:rPr>
              <w:rFonts w:asciiTheme="minorHAnsi" w:eastAsiaTheme="minorEastAsia" w:hAnsiTheme="minorHAnsi" w:cstheme="minorBidi"/>
              <w:noProof/>
              <w:lang w:val="sr-Latn-ME" w:eastAsia="sr-Latn-ME"/>
            </w:rPr>
          </w:pPr>
        </w:p>
        <w:p w14:paraId="775E6BF4" w14:textId="3D317D87" w:rsidR="00472366" w:rsidRDefault="00472366">
          <w:pPr>
            <w:pStyle w:val="TOC1"/>
            <w:tabs>
              <w:tab w:val="right" w:leader="dot" w:pos="8296"/>
            </w:tabs>
            <w:rPr>
              <w:rFonts w:asciiTheme="minorHAnsi" w:eastAsiaTheme="minorEastAsia" w:hAnsiTheme="minorHAnsi" w:cstheme="minorBidi"/>
              <w:noProof/>
              <w:lang w:val="sr-Latn-ME" w:eastAsia="sr-Latn-ME"/>
            </w:rPr>
          </w:pPr>
          <w:hyperlink w:anchor="_Toc136505860" w:history="1">
            <w:r w:rsidRPr="00C72895">
              <w:rPr>
                <w:rStyle w:val="Hyperlink"/>
                <w:rFonts w:cstheme="minorHAnsi"/>
                <w:b/>
                <w:noProof/>
              </w:rPr>
              <w:t>3. Struktura i sadržaj Strategije 2019 – 2022</w:t>
            </w:r>
            <w:r>
              <w:rPr>
                <w:noProof/>
                <w:webHidden/>
              </w:rPr>
              <w:tab/>
            </w:r>
            <w:r>
              <w:rPr>
                <w:noProof/>
                <w:webHidden/>
              </w:rPr>
              <w:fldChar w:fldCharType="begin"/>
            </w:r>
            <w:r>
              <w:rPr>
                <w:noProof/>
                <w:webHidden/>
              </w:rPr>
              <w:instrText xml:space="preserve"> PAGEREF _Toc136505860 \h </w:instrText>
            </w:r>
            <w:r>
              <w:rPr>
                <w:noProof/>
                <w:webHidden/>
              </w:rPr>
            </w:r>
            <w:r>
              <w:rPr>
                <w:noProof/>
                <w:webHidden/>
              </w:rPr>
              <w:fldChar w:fldCharType="separate"/>
            </w:r>
            <w:r>
              <w:rPr>
                <w:noProof/>
                <w:webHidden/>
              </w:rPr>
              <w:t>16</w:t>
            </w:r>
            <w:r>
              <w:rPr>
                <w:noProof/>
                <w:webHidden/>
              </w:rPr>
              <w:fldChar w:fldCharType="end"/>
            </w:r>
          </w:hyperlink>
        </w:p>
        <w:p w14:paraId="1A9E43FE" w14:textId="6AB6A67A" w:rsidR="00472366" w:rsidRDefault="00472366" w:rsidP="00472366">
          <w:pPr>
            <w:pStyle w:val="TOC1"/>
            <w:tabs>
              <w:tab w:val="right" w:leader="dot" w:pos="8296"/>
            </w:tabs>
            <w:rPr>
              <w:rFonts w:asciiTheme="minorHAnsi" w:eastAsiaTheme="minorEastAsia" w:hAnsiTheme="minorHAnsi" w:cstheme="minorBidi"/>
              <w:noProof/>
              <w:lang w:val="sr-Latn-ME" w:eastAsia="sr-Latn-ME"/>
            </w:rPr>
          </w:pPr>
          <w:hyperlink w:anchor="_Toc136505861" w:history="1">
            <w:r w:rsidRPr="00C72895">
              <w:rPr>
                <w:rStyle w:val="Hyperlink"/>
                <w:b/>
                <w:noProof/>
              </w:rPr>
              <w:t>4. Ključni nalazi evaluacije</w:t>
            </w:r>
            <w:r>
              <w:rPr>
                <w:noProof/>
                <w:webHidden/>
              </w:rPr>
              <w:tab/>
            </w:r>
            <w:r>
              <w:rPr>
                <w:noProof/>
                <w:webHidden/>
              </w:rPr>
              <w:fldChar w:fldCharType="begin"/>
            </w:r>
            <w:r>
              <w:rPr>
                <w:noProof/>
                <w:webHidden/>
              </w:rPr>
              <w:instrText xml:space="preserve"> PAGEREF _Toc136505861 \h </w:instrText>
            </w:r>
            <w:r>
              <w:rPr>
                <w:noProof/>
                <w:webHidden/>
              </w:rPr>
            </w:r>
            <w:r>
              <w:rPr>
                <w:noProof/>
                <w:webHidden/>
              </w:rPr>
              <w:fldChar w:fldCharType="separate"/>
            </w:r>
            <w:r>
              <w:rPr>
                <w:noProof/>
                <w:webHidden/>
              </w:rPr>
              <w:t>20</w:t>
            </w:r>
            <w:r>
              <w:rPr>
                <w:noProof/>
                <w:webHidden/>
              </w:rPr>
              <w:fldChar w:fldCharType="end"/>
            </w:r>
          </w:hyperlink>
        </w:p>
        <w:p w14:paraId="44A33A12" w14:textId="72650F83" w:rsidR="00472366" w:rsidRDefault="00472366">
          <w:pPr>
            <w:pStyle w:val="TOC2"/>
            <w:tabs>
              <w:tab w:val="right" w:leader="dot" w:pos="8296"/>
            </w:tabs>
            <w:rPr>
              <w:rFonts w:asciiTheme="minorHAnsi" w:eastAsiaTheme="minorEastAsia" w:hAnsiTheme="minorHAnsi" w:cstheme="minorBidi"/>
              <w:noProof/>
              <w:lang w:val="sr-Latn-ME" w:eastAsia="sr-Latn-ME"/>
            </w:rPr>
          </w:pPr>
          <w:hyperlink w:anchor="_Toc136505863" w:history="1">
            <w:r w:rsidRPr="00C72895">
              <w:rPr>
                <w:rStyle w:val="Hyperlink"/>
                <w:b/>
                <w:noProof/>
              </w:rPr>
              <w:t>4.1 Relevantnost</w:t>
            </w:r>
            <w:r>
              <w:rPr>
                <w:noProof/>
                <w:webHidden/>
              </w:rPr>
              <w:tab/>
            </w:r>
            <w:r>
              <w:rPr>
                <w:noProof/>
                <w:webHidden/>
              </w:rPr>
              <w:fldChar w:fldCharType="begin"/>
            </w:r>
            <w:r>
              <w:rPr>
                <w:noProof/>
                <w:webHidden/>
              </w:rPr>
              <w:instrText xml:space="preserve"> PAGEREF _Toc136505863 \h </w:instrText>
            </w:r>
            <w:r>
              <w:rPr>
                <w:noProof/>
                <w:webHidden/>
              </w:rPr>
            </w:r>
            <w:r>
              <w:rPr>
                <w:noProof/>
                <w:webHidden/>
              </w:rPr>
              <w:fldChar w:fldCharType="separate"/>
            </w:r>
            <w:r>
              <w:rPr>
                <w:noProof/>
                <w:webHidden/>
              </w:rPr>
              <w:t>20</w:t>
            </w:r>
            <w:r>
              <w:rPr>
                <w:noProof/>
                <w:webHidden/>
              </w:rPr>
              <w:fldChar w:fldCharType="end"/>
            </w:r>
          </w:hyperlink>
        </w:p>
        <w:p w14:paraId="44F7935D" w14:textId="1E3579BD" w:rsidR="00472366" w:rsidRDefault="00472366">
          <w:pPr>
            <w:pStyle w:val="TOC2"/>
            <w:tabs>
              <w:tab w:val="right" w:leader="dot" w:pos="8296"/>
            </w:tabs>
            <w:rPr>
              <w:rFonts w:asciiTheme="minorHAnsi" w:eastAsiaTheme="minorEastAsia" w:hAnsiTheme="minorHAnsi" w:cstheme="minorBidi"/>
              <w:noProof/>
              <w:lang w:val="sr-Latn-ME" w:eastAsia="sr-Latn-ME"/>
            </w:rPr>
          </w:pPr>
          <w:hyperlink w:anchor="_Toc136505864" w:history="1">
            <w:r w:rsidRPr="00C72895">
              <w:rPr>
                <w:rStyle w:val="Hyperlink"/>
                <w:b/>
                <w:noProof/>
              </w:rPr>
              <w:t>4.2 Efektivnost</w:t>
            </w:r>
            <w:r>
              <w:rPr>
                <w:noProof/>
                <w:webHidden/>
              </w:rPr>
              <w:tab/>
            </w:r>
            <w:r>
              <w:rPr>
                <w:noProof/>
                <w:webHidden/>
              </w:rPr>
              <w:fldChar w:fldCharType="begin"/>
            </w:r>
            <w:r>
              <w:rPr>
                <w:noProof/>
                <w:webHidden/>
              </w:rPr>
              <w:instrText xml:space="preserve"> PAGEREF _Toc136505864 \h </w:instrText>
            </w:r>
            <w:r>
              <w:rPr>
                <w:noProof/>
                <w:webHidden/>
              </w:rPr>
            </w:r>
            <w:r>
              <w:rPr>
                <w:noProof/>
                <w:webHidden/>
              </w:rPr>
              <w:fldChar w:fldCharType="separate"/>
            </w:r>
            <w:r>
              <w:rPr>
                <w:noProof/>
                <w:webHidden/>
              </w:rPr>
              <w:t>26</w:t>
            </w:r>
            <w:r>
              <w:rPr>
                <w:noProof/>
                <w:webHidden/>
              </w:rPr>
              <w:fldChar w:fldCharType="end"/>
            </w:r>
          </w:hyperlink>
        </w:p>
        <w:p w14:paraId="68DD33EB" w14:textId="5F28F21F" w:rsidR="00472366" w:rsidRDefault="00472366">
          <w:pPr>
            <w:pStyle w:val="TOC1"/>
            <w:tabs>
              <w:tab w:val="right" w:leader="dot" w:pos="8296"/>
            </w:tabs>
            <w:rPr>
              <w:rFonts w:asciiTheme="minorHAnsi" w:eastAsiaTheme="minorEastAsia" w:hAnsiTheme="minorHAnsi" w:cstheme="minorBidi"/>
              <w:noProof/>
              <w:lang w:val="sr-Latn-ME" w:eastAsia="sr-Latn-ME"/>
            </w:rPr>
          </w:pPr>
          <w:hyperlink w:anchor="_Toc136505865" w:history="1">
            <w:r w:rsidRPr="00C72895">
              <w:rPr>
                <w:rStyle w:val="Hyperlink"/>
                <w:b/>
                <w:noProof/>
              </w:rPr>
              <w:t>5. Zaključci</w:t>
            </w:r>
            <w:r>
              <w:rPr>
                <w:noProof/>
                <w:webHidden/>
              </w:rPr>
              <w:tab/>
            </w:r>
            <w:r>
              <w:rPr>
                <w:noProof/>
                <w:webHidden/>
              </w:rPr>
              <w:fldChar w:fldCharType="begin"/>
            </w:r>
            <w:r>
              <w:rPr>
                <w:noProof/>
                <w:webHidden/>
              </w:rPr>
              <w:instrText xml:space="preserve"> PAGEREF _Toc136505865 \h </w:instrText>
            </w:r>
            <w:r>
              <w:rPr>
                <w:noProof/>
                <w:webHidden/>
              </w:rPr>
            </w:r>
            <w:r>
              <w:rPr>
                <w:noProof/>
                <w:webHidden/>
              </w:rPr>
              <w:fldChar w:fldCharType="separate"/>
            </w:r>
            <w:r>
              <w:rPr>
                <w:noProof/>
                <w:webHidden/>
              </w:rPr>
              <w:t>39</w:t>
            </w:r>
            <w:r>
              <w:rPr>
                <w:noProof/>
                <w:webHidden/>
              </w:rPr>
              <w:fldChar w:fldCharType="end"/>
            </w:r>
          </w:hyperlink>
        </w:p>
        <w:p w14:paraId="38C53E3E" w14:textId="40DD6D72" w:rsidR="00472366" w:rsidRDefault="00472366">
          <w:r>
            <w:rPr>
              <w:b/>
              <w:bCs/>
              <w:noProof/>
            </w:rPr>
            <w:fldChar w:fldCharType="end"/>
          </w:r>
        </w:p>
      </w:sdtContent>
    </w:sdt>
    <w:p w14:paraId="7DF75433" w14:textId="77777777" w:rsidR="00397FC3" w:rsidRPr="000066BC" w:rsidRDefault="00397FC3" w:rsidP="00E63F8E">
      <w:pPr>
        <w:spacing w:before="120" w:after="0" w:line="276" w:lineRule="auto"/>
        <w:jc w:val="center"/>
        <w:rPr>
          <w:rFonts w:cstheme="minorHAnsi"/>
          <w:b/>
          <w:bCs/>
          <w:color w:val="002060"/>
          <w:sz w:val="24"/>
          <w:szCs w:val="24"/>
          <w:lang w:val="en-US"/>
        </w:rPr>
      </w:pPr>
    </w:p>
    <w:p w14:paraId="7FD1A30E" w14:textId="77777777" w:rsidR="00E9542E" w:rsidRPr="000066BC" w:rsidRDefault="00E9542E" w:rsidP="00E63F8E">
      <w:pPr>
        <w:spacing w:before="120" w:after="0" w:line="276" w:lineRule="auto"/>
        <w:jc w:val="center"/>
        <w:rPr>
          <w:rFonts w:cstheme="minorHAnsi"/>
          <w:b/>
          <w:bCs/>
          <w:color w:val="002060"/>
          <w:sz w:val="24"/>
          <w:szCs w:val="24"/>
          <w:lang w:val="en-US"/>
        </w:rPr>
      </w:pPr>
    </w:p>
    <w:p w14:paraId="6B9314B1" w14:textId="77777777" w:rsidR="00E9542E" w:rsidRPr="000066BC" w:rsidRDefault="00E9542E" w:rsidP="00E63F8E">
      <w:pPr>
        <w:spacing w:before="120" w:after="0" w:line="276" w:lineRule="auto"/>
        <w:jc w:val="center"/>
        <w:rPr>
          <w:rFonts w:cstheme="minorHAnsi"/>
          <w:b/>
          <w:bCs/>
          <w:color w:val="002060"/>
          <w:sz w:val="24"/>
          <w:szCs w:val="24"/>
          <w:lang w:val="en-US"/>
        </w:rPr>
      </w:pPr>
    </w:p>
    <w:p w14:paraId="5BC19FB3" w14:textId="77777777" w:rsidR="00E12A59" w:rsidRDefault="00E12A59" w:rsidP="00E63F8E">
      <w:pPr>
        <w:spacing w:before="120" w:after="0" w:line="276" w:lineRule="auto"/>
        <w:rPr>
          <w:rFonts w:cstheme="minorHAnsi"/>
          <w:b/>
          <w:bCs/>
          <w:color w:val="002060"/>
          <w:sz w:val="24"/>
          <w:szCs w:val="24"/>
          <w:lang w:val="en-US"/>
        </w:rPr>
        <w:sectPr w:rsidR="00E12A59" w:rsidSect="00AF1D3F">
          <w:footerReference w:type="default" r:id="rId9"/>
          <w:pgSz w:w="11906" w:h="16838"/>
          <w:pgMar w:top="1440" w:right="1800" w:bottom="1440" w:left="1800" w:header="708" w:footer="708" w:gutter="0"/>
          <w:cols w:space="708"/>
          <w:docGrid w:linePitch="360"/>
        </w:sectPr>
      </w:pPr>
    </w:p>
    <w:p w14:paraId="7E522902" w14:textId="7B2D2435" w:rsidR="00DF618B" w:rsidRPr="001A20E2" w:rsidRDefault="00DF618B" w:rsidP="00397FC3">
      <w:pPr>
        <w:pStyle w:val="Heading1"/>
        <w:rPr>
          <w:b/>
          <w:lang w:val="sr-Latn-RS"/>
        </w:rPr>
      </w:pPr>
      <w:bookmarkStart w:id="3" w:name="_Toc136505847"/>
      <w:r w:rsidRPr="00397FC3">
        <w:rPr>
          <w:b/>
        </w:rPr>
        <w:lastRenderedPageBreak/>
        <w:t>A</w:t>
      </w:r>
      <w:r w:rsidR="001A20E2">
        <w:rPr>
          <w:b/>
          <w:lang w:val="sr-Latn-RS"/>
        </w:rPr>
        <w:t>k</w:t>
      </w:r>
      <w:r w:rsidRPr="00397FC3">
        <w:rPr>
          <w:b/>
        </w:rPr>
        <w:t>ron</w:t>
      </w:r>
      <w:r w:rsidR="001A20E2">
        <w:rPr>
          <w:b/>
          <w:lang w:val="sr-Latn-RS"/>
        </w:rPr>
        <w:t>imi</w:t>
      </w:r>
      <w:bookmarkEnd w:id="3"/>
    </w:p>
    <w:p w14:paraId="30FC22F2" w14:textId="77777777" w:rsidR="00DF618B" w:rsidRPr="00DF618B" w:rsidRDefault="00DF618B" w:rsidP="00E63F8E">
      <w:pPr>
        <w:spacing w:before="120" w:after="0" w:line="276" w:lineRule="auto"/>
        <w:rPr>
          <w:rFonts w:cstheme="minorHAnsi"/>
          <w:color w:val="002060"/>
          <w:sz w:val="24"/>
          <w:szCs w:val="24"/>
        </w:rPr>
      </w:pPr>
    </w:p>
    <w:tbl>
      <w:tblPr>
        <w:tblStyle w:val="TableNormal1"/>
        <w:tblW w:w="9070" w:type="dxa"/>
        <w:tblInd w:w="124" w:type="dxa"/>
        <w:tblLayout w:type="fixed"/>
        <w:tblLook w:val="01E0" w:firstRow="1" w:lastRow="1" w:firstColumn="1" w:lastColumn="1" w:noHBand="0" w:noVBand="0"/>
      </w:tblPr>
      <w:tblGrid>
        <w:gridCol w:w="742"/>
        <w:gridCol w:w="8328"/>
      </w:tblGrid>
      <w:tr w:rsidR="001C7F40" w:rsidRPr="001C7F40" w14:paraId="5C5C6CED" w14:textId="77777777" w:rsidTr="001C7F40">
        <w:trPr>
          <w:trHeight w:val="341"/>
        </w:trPr>
        <w:tc>
          <w:tcPr>
            <w:tcW w:w="742" w:type="dxa"/>
            <w:tcBorders>
              <w:top w:val="single" w:sz="8" w:space="0" w:color="FFFFFF"/>
              <w:bottom w:val="single" w:sz="8" w:space="0" w:color="FFFFFF"/>
            </w:tcBorders>
            <w:shd w:val="clear" w:color="auto" w:fill="EDEDED"/>
          </w:tcPr>
          <w:p w14:paraId="6ADE9EAC" w14:textId="4F4798F7" w:rsidR="001C7F40" w:rsidRPr="00630880" w:rsidRDefault="001C7F40" w:rsidP="00E63F8E">
            <w:pPr>
              <w:pStyle w:val="TableParagraph"/>
              <w:spacing w:before="72" w:line="276" w:lineRule="auto"/>
              <w:rPr>
                <w:rFonts w:ascii="Arial" w:hAnsi="Arial" w:cs="Arial"/>
                <w:b/>
                <w:bCs/>
                <w:color w:val="002060"/>
                <w:sz w:val="20"/>
                <w:szCs w:val="20"/>
              </w:rPr>
            </w:pPr>
            <w:r w:rsidRPr="00630880">
              <w:rPr>
                <w:rFonts w:ascii="Arial" w:hAnsi="Arial" w:cs="Arial"/>
                <w:b/>
                <w:bCs/>
                <w:color w:val="002060"/>
                <w:sz w:val="20"/>
                <w:szCs w:val="20"/>
              </w:rPr>
              <w:t xml:space="preserve"> AFIS</w:t>
            </w:r>
          </w:p>
        </w:tc>
        <w:tc>
          <w:tcPr>
            <w:tcW w:w="8328" w:type="dxa"/>
            <w:tcBorders>
              <w:top w:val="single" w:sz="8" w:space="0" w:color="FFFFFF"/>
              <w:bottom w:val="single" w:sz="8" w:space="0" w:color="FFFFFF"/>
            </w:tcBorders>
            <w:shd w:val="clear" w:color="auto" w:fill="EDEDED"/>
          </w:tcPr>
          <w:p w14:paraId="797A1AA0" w14:textId="77777777" w:rsidR="001C7F40" w:rsidRPr="00630880" w:rsidRDefault="001C7F40"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Anti-Fraud Information System</w:t>
            </w:r>
          </w:p>
        </w:tc>
      </w:tr>
      <w:tr w:rsidR="001C7F40" w:rsidRPr="001C7F40" w14:paraId="1A81E4C2" w14:textId="77777777" w:rsidTr="001C7F40">
        <w:trPr>
          <w:trHeight w:val="341"/>
        </w:trPr>
        <w:tc>
          <w:tcPr>
            <w:tcW w:w="742" w:type="dxa"/>
            <w:tcBorders>
              <w:top w:val="single" w:sz="8" w:space="0" w:color="FFFFFF"/>
              <w:bottom w:val="single" w:sz="8" w:space="0" w:color="FFFFFF"/>
            </w:tcBorders>
            <w:shd w:val="clear" w:color="auto" w:fill="EDEDED"/>
          </w:tcPr>
          <w:p w14:paraId="60CBA33A" w14:textId="77777777" w:rsidR="001C7F40" w:rsidRPr="00630880" w:rsidRDefault="001C7F40"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AFCOS</w:t>
            </w:r>
          </w:p>
        </w:tc>
        <w:tc>
          <w:tcPr>
            <w:tcW w:w="8328" w:type="dxa"/>
            <w:tcBorders>
              <w:top w:val="single" w:sz="8" w:space="0" w:color="FFFFFF"/>
              <w:bottom w:val="single" w:sz="8" w:space="0" w:color="FFFFFF"/>
            </w:tcBorders>
            <w:shd w:val="clear" w:color="auto" w:fill="EDEDED"/>
          </w:tcPr>
          <w:p w14:paraId="7F41CDD2" w14:textId="77777777" w:rsidR="001C7F40" w:rsidRPr="00630880" w:rsidRDefault="001C7F40"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Anti-Fraud Coordination Service</w:t>
            </w:r>
          </w:p>
        </w:tc>
      </w:tr>
      <w:tr w:rsidR="001C7F40" w:rsidRPr="000C31B6" w14:paraId="50A2CC5D" w14:textId="77777777" w:rsidTr="001C7F40">
        <w:trPr>
          <w:trHeight w:val="341"/>
        </w:trPr>
        <w:tc>
          <w:tcPr>
            <w:tcW w:w="742" w:type="dxa"/>
            <w:tcBorders>
              <w:top w:val="single" w:sz="8" w:space="0" w:color="FFFFFF"/>
              <w:bottom w:val="single" w:sz="8" w:space="0" w:color="FFFFFF"/>
            </w:tcBorders>
            <w:shd w:val="clear" w:color="auto" w:fill="EDEDED"/>
          </w:tcPr>
          <w:p w14:paraId="6B3F432F" w14:textId="168957F1" w:rsidR="001C7F40" w:rsidRPr="00630880" w:rsidRDefault="001C7F40" w:rsidP="00E63F8E">
            <w:pPr>
              <w:pStyle w:val="TableParagraph"/>
              <w:spacing w:before="72" w:line="276" w:lineRule="auto"/>
              <w:ind w:left="56"/>
              <w:rPr>
                <w:rFonts w:ascii="Arial" w:hAnsi="Arial" w:cs="Arial"/>
                <w:b/>
                <w:bCs/>
                <w:color w:val="002060"/>
                <w:w w:val="75"/>
                <w:sz w:val="20"/>
                <w:szCs w:val="20"/>
              </w:rPr>
            </w:pPr>
            <w:r w:rsidRPr="00630880">
              <w:rPr>
                <w:rFonts w:ascii="Arial" w:hAnsi="Arial" w:cs="Arial"/>
                <w:b/>
                <w:bCs/>
                <w:color w:val="002060"/>
                <w:sz w:val="20"/>
                <w:szCs w:val="20"/>
              </w:rPr>
              <w:t>ASK</w:t>
            </w:r>
          </w:p>
        </w:tc>
        <w:tc>
          <w:tcPr>
            <w:tcW w:w="8328" w:type="dxa"/>
            <w:tcBorders>
              <w:top w:val="single" w:sz="8" w:space="0" w:color="FFFFFF"/>
              <w:bottom w:val="single" w:sz="8" w:space="0" w:color="FFFFFF"/>
            </w:tcBorders>
            <w:shd w:val="clear" w:color="auto" w:fill="EDEDED"/>
          </w:tcPr>
          <w:p w14:paraId="75015EE7" w14:textId="0DAFA5A5" w:rsidR="001C7F40" w:rsidRPr="00630880" w:rsidRDefault="001C7F40"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 xml:space="preserve">Agency for Prevention of Corruption </w:t>
            </w:r>
          </w:p>
        </w:tc>
      </w:tr>
      <w:tr w:rsidR="009A6F98" w:rsidRPr="001C7F40" w14:paraId="5AB5E0C8" w14:textId="77777777" w:rsidTr="001C7F40">
        <w:trPr>
          <w:trHeight w:val="341"/>
        </w:trPr>
        <w:tc>
          <w:tcPr>
            <w:tcW w:w="742" w:type="dxa"/>
            <w:tcBorders>
              <w:top w:val="single" w:sz="8" w:space="0" w:color="FFFFFF"/>
              <w:bottom w:val="single" w:sz="8" w:space="0" w:color="FFFFFF"/>
            </w:tcBorders>
            <w:shd w:val="clear" w:color="auto" w:fill="EDEDED"/>
          </w:tcPr>
          <w:p w14:paraId="05312868" w14:textId="605B6289" w:rsidR="009A6F98" w:rsidRPr="00630880" w:rsidRDefault="009A6F98" w:rsidP="00E63F8E">
            <w:pPr>
              <w:pStyle w:val="TableParagraph"/>
              <w:spacing w:before="72" w:line="276" w:lineRule="auto"/>
              <w:ind w:left="56"/>
              <w:rPr>
                <w:rFonts w:ascii="Arial" w:hAnsi="Arial" w:cs="Arial"/>
                <w:b/>
                <w:bCs/>
                <w:color w:val="002060"/>
                <w:w w:val="75"/>
                <w:sz w:val="20"/>
                <w:szCs w:val="20"/>
              </w:rPr>
            </w:pPr>
            <w:r w:rsidRPr="00630880">
              <w:rPr>
                <w:rFonts w:ascii="Arial" w:hAnsi="Arial" w:cs="Arial"/>
                <w:b/>
                <w:bCs/>
                <w:color w:val="002060"/>
                <w:w w:val="75"/>
                <w:sz w:val="20"/>
                <w:szCs w:val="20"/>
              </w:rPr>
              <w:t>CAFS</w:t>
            </w:r>
          </w:p>
        </w:tc>
        <w:tc>
          <w:tcPr>
            <w:tcW w:w="8328" w:type="dxa"/>
            <w:tcBorders>
              <w:top w:val="single" w:sz="8" w:space="0" w:color="FFFFFF"/>
              <w:bottom w:val="single" w:sz="8" w:space="0" w:color="FFFFFF"/>
            </w:tcBorders>
            <w:shd w:val="clear" w:color="auto" w:fill="EDEDED"/>
          </w:tcPr>
          <w:p w14:paraId="49E7BFCC" w14:textId="27F25F47"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Commission Anti-Fraud Strategy</w:t>
            </w:r>
          </w:p>
        </w:tc>
      </w:tr>
      <w:tr w:rsidR="009A6F98" w:rsidRPr="001C7F40" w14:paraId="0FD48A7C" w14:textId="77777777" w:rsidTr="001C7F40">
        <w:trPr>
          <w:trHeight w:val="341"/>
        </w:trPr>
        <w:tc>
          <w:tcPr>
            <w:tcW w:w="742" w:type="dxa"/>
            <w:tcBorders>
              <w:top w:val="single" w:sz="8" w:space="0" w:color="FFFFFF"/>
              <w:bottom w:val="single" w:sz="8" w:space="0" w:color="FFFFFF"/>
            </w:tcBorders>
            <w:shd w:val="clear" w:color="auto" w:fill="EDEDED"/>
          </w:tcPr>
          <w:p w14:paraId="04319682" w14:textId="197808E5"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80"/>
                <w:sz w:val="20"/>
                <w:szCs w:val="20"/>
              </w:rPr>
              <w:t>DG</w:t>
            </w:r>
          </w:p>
        </w:tc>
        <w:tc>
          <w:tcPr>
            <w:tcW w:w="8328" w:type="dxa"/>
            <w:tcBorders>
              <w:top w:val="single" w:sz="8" w:space="0" w:color="FFFFFF"/>
              <w:bottom w:val="single" w:sz="8" w:space="0" w:color="FFFFFF"/>
            </w:tcBorders>
            <w:shd w:val="clear" w:color="auto" w:fill="EDEDED"/>
          </w:tcPr>
          <w:p w14:paraId="7D67BD42" w14:textId="0BEAA2EF"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Directorate General</w:t>
            </w:r>
          </w:p>
        </w:tc>
      </w:tr>
      <w:tr w:rsidR="009A6F98" w:rsidRPr="001C7F40" w14:paraId="64AB6F15" w14:textId="77777777" w:rsidTr="001C7F40">
        <w:trPr>
          <w:trHeight w:val="341"/>
        </w:trPr>
        <w:tc>
          <w:tcPr>
            <w:tcW w:w="742" w:type="dxa"/>
            <w:tcBorders>
              <w:top w:val="single" w:sz="8" w:space="0" w:color="FFFFFF"/>
              <w:bottom w:val="single" w:sz="8" w:space="0" w:color="FFFFFF"/>
            </w:tcBorders>
            <w:shd w:val="clear" w:color="auto" w:fill="EDEDED"/>
          </w:tcPr>
          <w:p w14:paraId="33171A2C" w14:textId="21EFC3F9"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ECA</w:t>
            </w:r>
          </w:p>
        </w:tc>
        <w:tc>
          <w:tcPr>
            <w:tcW w:w="8328" w:type="dxa"/>
            <w:tcBorders>
              <w:top w:val="single" w:sz="8" w:space="0" w:color="FFFFFF"/>
              <w:bottom w:val="single" w:sz="8" w:space="0" w:color="FFFFFF"/>
            </w:tcBorders>
            <w:shd w:val="clear" w:color="auto" w:fill="EDEDED"/>
          </w:tcPr>
          <w:p w14:paraId="1853DF55" w14:textId="13519775"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Court of Auditors</w:t>
            </w:r>
          </w:p>
        </w:tc>
      </w:tr>
      <w:tr w:rsidR="009A6F98" w:rsidRPr="000C31B6" w14:paraId="5BA8B8D2" w14:textId="77777777" w:rsidTr="001C7F40">
        <w:trPr>
          <w:trHeight w:val="341"/>
        </w:trPr>
        <w:tc>
          <w:tcPr>
            <w:tcW w:w="742" w:type="dxa"/>
            <w:tcBorders>
              <w:top w:val="single" w:sz="8" w:space="0" w:color="FFFFFF"/>
              <w:bottom w:val="single" w:sz="8" w:space="0" w:color="FFFFFF"/>
            </w:tcBorders>
            <w:shd w:val="clear" w:color="auto" w:fill="EDEDED"/>
          </w:tcPr>
          <w:p w14:paraId="1FD1631B" w14:textId="041E19FA"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EDES</w:t>
            </w:r>
          </w:p>
        </w:tc>
        <w:tc>
          <w:tcPr>
            <w:tcW w:w="8328" w:type="dxa"/>
            <w:tcBorders>
              <w:top w:val="single" w:sz="8" w:space="0" w:color="FFFFFF"/>
              <w:bottom w:val="single" w:sz="8" w:space="0" w:color="FFFFFF"/>
            </w:tcBorders>
            <w:shd w:val="clear" w:color="auto" w:fill="EDEDED"/>
          </w:tcPr>
          <w:p w14:paraId="3ED3BA8E" w14:textId="0B64841C"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Early Detection and Exclusion System</w:t>
            </w:r>
          </w:p>
        </w:tc>
      </w:tr>
      <w:tr w:rsidR="009A6F98" w:rsidRPr="001C7F40" w14:paraId="58F37367" w14:textId="77777777" w:rsidTr="001C7F40">
        <w:trPr>
          <w:trHeight w:val="341"/>
        </w:trPr>
        <w:tc>
          <w:tcPr>
            <w:tcW w:w="742" w:type="dxa"/>
            <w:tcBorders>
              <w:top w:val="single" w:sz="8" w:space="0" w:color="FFFFFF"/>
              <w:bottom w:val="single" w:sz="8" w:space="0" w:color="FFFFFF"/>
            </w:tcBorders>
            <w:shd w:val="clear" w:color="auto" w:fill="EDEDED"/>
          </w:tcPr>
          <w:p w14:paraId="72C724F5" w14:textId="16F9B7B8"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0"/>
                <w:sz w:val="20"/>
                <w:szCs w:val="20"/>
              </w:rPr>
              <w:t>EP</w:t>
            </w:r>
          </w:p>
        </w:tc>
        <w:tc>
          <w:tcPr>
            <w:tcW w:w="8328" w:type="dxa"/>
            <w:tcBorders>
              <w:top w:val="single" w:sz="8" w:space="0" w:color="FFFFFF"/>
              <w:bottom w:val="single" w:sz="8" w:space="0" w:color="FFFFFF"/>
            </w:tcBorders>
            <w:shd w:val="clear" w:color="auto" w:fill="EDEDED"/>
          </w:tcPr>
          <w:p w14:paraId="5CE1AE95" w14:textId="641623C4"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Parliament</w:t>
            </w:r>
          </w:p>
        </w:tc>
      </w:tr>
      <w:tr w:rsidR="009A6F98" w:rsidRPr="001C7F40" w14:paraId="65D87936" w14:textId="77777777" w:rsidTr="001C7F40">
        <w:trPr>
          <w:trHeight w:val="341"/>
        </w:trPr>
        <w:tc>
          <w:tcPr>
            <w:tcW w:w="742" w:type="dxa"/>
            <w:tcBorders>
              <w:top w:val="single" w:sz="8" w:space="0" w:color="FFFFFF"/>
              <w:bottom w:val="single" w:sz="8" w:space="0" w:color="FFFFFF"/>
            </w:tcBorders>
            <w:shd w:val="clear" w:color="auto" w:fill="EDEDED"/>
          </w:tcPr>
          <w:p w14:paraId="0E9F1821" w14:textId="4CAE32A5"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EPF</w:t>
            </w:r>
          </w:p>
        </w:tc>
        <w:tc>
          <w:tcPr>
            <w:tcW w:w="8328" w:type="dxa"/>
            <w:tcBorders>
              <w:top w:val="single" w:sz="8" w:space="0" w:color="FFFFFF"/>
              <w:bottom w:val="single" w:sz="8" w:space="0" w:color="FFFFFF"/>
            </w:tcBorders>
            <w:shd w:val="clear" w:color="auto" w:fill="EDEDED"/>
          </w:tcPr>
          <w:p w14:paraId="086D5813" w14:textId="2901F6F3"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Peace Facility</w:t>
            </w:r>
          </w:p>
        </w:tc>
      </w:tr>
      <w:tr w:rsidR="009A6F98" w:rsidRPr="001C7F40" w14:paraId="375BEB49" w14:textId="77777777" w:rsidTr="001C7F40">
        <w:trPr>
          <w:trHeight w:val="341"/>
        </w:trPr>
        <w:tc>
          <w:tcPr>
            <w:tcW w:w="742" w:type="dxa"/>
            <w:tcBorders>
              <w:top w:val="single" w:sz="8" w:space="0" w:color="FFFFFF"/>
              <w:bottom w:val="single" w:sz="8" w:space="0" w:color="FFFFFF"/>
            </w:tcBorders>
            <w:shd w:val="clear" w:color="auto" w:fill="EDEDED"/>
          </w:tcPr>
          <w:p w14:paraId="3CAF022E" w14:textId="7B316AD3"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EPPO</w:t>
            </w:r>
          </w:p>
        </w:tc>
        <w:tc>
          <w:tcPr>
            <w:tcW w:w="8328" w:type="dxa"/>
            <w:tcBorders>
              <w:top w:val="single" w:sz="8" w:space="0" w:color="FFFFFF"/>
              <w:bottom w:val="single" w:sz="8" w:space="0" w:color="FFFFFF"/>
            </w:tcBorders>
            <w:shd w:val="clear" w:color="auto" w:fill="EDEDED"/>
          </w:tcPr>
          <w:p w14:paraId="20F37854" w14:textId="661035DA"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Public Prosecutor’s Office</w:t>
            </w:r>
          </w:p>
        </w:tc>
      </w:tr>
      <w:tr w:rsidR="009A6F98" w:rsidRPr="000C31B6" w14:paraId="78D7EEB3" w14:textId="77777777" w:rsidTr="001C7F40">
        <w:trPr>
          <w:trHeight w:val="341"/>
        </w:trPr>
        <w:tc>
          <w:tcPr>
            <w:tcW w:w="742" w:type="dxa"/>
            <w:tcBorders>
              <w:top w:val="single" w:sz="8" w:space="0" w:color="FFFFFF"/>
              <w:bottom w:val="single" w:sz="8" w:space="0" w:color="FFFFFF"/>
            </w:tcBorders>
            <w:shd w:val="clear" w:color="auto" w:fill="EDEDED"/>
          </w:tcPr>
          <w:p w14:paraId="5C5E0EE8" w14:textId="66ECF6DB"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ESIF</w:t>
            </w:r>
          </w:p>
        </w:tc>
        <w:tc>
          <w:tcPr>
            <w:tcW w:w="8328" w:type="dxa"/>
            <w:tcBorders>
              <w:top w:val="single" w:sz="8" w:space="0" w:color="FFFFFF"/>
              <w:bottom w:val="single" w:sz="8" w:space="0" w:color="FFFFFF"/>
            </w:tcBorders>
            <w:shd w:val="clear" w:color="auto" w:fill="EDEDED"/>
          </w:tcPr>
          <w:p w14:paraId="1F6ECDC0" w14:textId="0E4D3965"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Structural and Investment Funds</w:t>
            </w:r>
          </w:p>
        </w:tc>
      </w:tr>
      <w:tr w:rsidR="009A6F98" w:rsidRPr="001C7F40" w14:paraId="2A706D13" w14:textId="77777777" w:rsidTr="001C7F40">
        <w:trPr>
          <w:trHeight w:val="341"/>
        </w:trPr>
        <w:tc>
          <w:tcPr>
            <w:tcW w:w="742" w:type="dxa"/>
            <w:tcBorders>
              <w:top w:val="single" w:sz="8" w:space="0" w:color="FFFFFF"/>
              <w:bottom w:val="single" w:sz="8" w:space="0" w:color="FFFFFF"/>
            </w:tcBorders>
            <w:shd w:val="clear" w:color="auto" w:fill="EDEDED"/>
          </w:tcPr>
          <w:p w14:paraId="0EED52D3" w14:textId="59157487"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EU</w:t>
            </w:r>
          </w:p>
        </w:tc>
        <w:tc>
          <w:tcPr>
            <w:tcW w:w="8328" w:type="dxa"/>
            <w:tcBorders>
              <w:top w:val="single" w:sz="8" w:space="0" w:color="FFFFFF"/>
              <w:bottom w:val="single" w:sz="8" w:space="0" w:color="FFFFFF"/>
            </w:tcBorders>
            <w:shd w:val="clear" w:color="auto" w:fill="EDEDED"/>
          </w:tcPr>
          <w:p w14:paraId="418F1DA0" w14:textId="346D5EDA"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Union</w:t>
            </w:r>
          </w:p>
        </w:tc>
      </w:tr>
      <w:tr w:rsidR="009A6F98" w:rsidRPr="001C7F40" w14:paraId="6BAC6004" w14:textId="77777777" w:rsidTr="001C7F40">
        <w:trPr>
          <w:trHeight w:val="341"/>
        </w:trPr>
        <w:tc>
          <w:tcPr>
            <w:tcW w:w="742" w:type="dxa"/>
            <w:tcBorders>
              <w:top w:val="single" w:sz="8" w:space="0" w:color="FFFFFF"/>
              <w:bottom w:val="single" w:sz="8" w:space="0" w:color="FFFFFF"/>
            </w:tcBorders>
            <w:shd w:val="clear" w:color="auto" w:fill="EDEDED"/>
          </w:tcPr>
          <w:p w14:paraId="36154599" w14:textId="442A8601"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sz w:val="20"/>
                <w:szCs w:val="20"/>
              </w:rPr>
              <w:t>IPA</w:t>
            </w:r>
          </w:p>
        </w:tc>
        <w:tc>
          <w:tcPr>
            <w:tcW w:w="8328" w:type="dxa"/>
            <w:tcBorders>
              <w:top w:val="single" w:sz="8" w:space="0" w:color="FFFFFF"/>
              <w:bottom w:val="single" w:sz="8" w:space="0" w:color="FFFFFF"/>
            </w:tcBorders>
            <w:shd w:val="clear" w:color="auto" w:fill="EDEDED"/>
          </w:tcPr>
          <w:p w14:paraId="691BD44C" w14:textId="42D69EC7"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Pre-Accession Assistance Program</w:t>
            </w:r>
          </w:p>
        </w:tc>
      </w:tr>
      <w:tr w:rsidR="009A6F98" w:rsidRPr="000C31B6" w14:paraId="372391CA" w14:textId="77777777" w:rsidTr="001C7F40">
        <w:trPr>
          <w:trHeight w:val="341"/>
        </w:trPr>
        <w:tc>
          <w:tcPr>
            <w:tcW w:w="742" w:type="dxa"/>
            <w:tcBorders>
              <w:top w:val="single" w:sz="8" w:space="0" w:color="FFFFFF"/>
              <w:bottom w:val="single" w:sz="8" w:space="0" w:color="FFFFFF"/>
            </w:tcBorders>
            <w:shd w:val="clear" w:color="auto" w:fill="EDEDED"/>
          </w:tcPr>
          <w:p w14:paraId="1E334073" w14:textId="41BD9FBE"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80"/>
                <w:sz w:val="20"/>
                <w:szCs w:val="20"/>
              </w:rPr>
              <w:t>OECD</w:t>
            </w:r>
          </w:p>
        </w:tc>
        <w:tc>
          <w:tcPr>
            <w:tcW w:w="8328" w:type="dxa"/>
            <w:tcBorders>
              <w:top w:val="single" w:sz="8" w:space="0" w:color="FFFFFF"/>
              <w:bottom w:val="single" w:sz="8" w:space="0" w:color="FFFFFF"/>
            </w:tcBorders>
            <w:shd w:val="clear" w:color="auto" w:fill="EDEDED"/>
          </w:tcPr>
          <w:p w14:paraId="2F3C4B5A" w14:textId="6DC43768" w:rsidR="009A6F98" w:rsidRPr="00630880" w:rsidRDefault="00BF76EA"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Organization</w:t>
            </w:r>
            <w:r w:rsidR="009A6F98" w:rsidRPr="00630880">
              <w:rPr>
                <w:rFonts w:ascii="Arial" w:hAnsi="Arial" w:cs="Arial"/>
                <w:color w:val="002060"/>
                <w:sz w:val="20"/>
                <w:szCs w:val="20"/>
              </w:rPr>
              <w:t xml:space="preserve"> for Economic Co-operation and Development</w:t>
            </w:r>
          </w:p>
        </w:tc>
      </w:tr>
      <w:tr w:rsidR="009A6F98" w:rsidRPr="001C7F40" w14:paraId="7F160491" w14:textId="77777777" w:rsidTr="001C7F40">
        <w:trPr>
          <w:trHeight w:val="341"/>
        </w:trPr>
        <w:tc>
          <w:tcPr>
            <w:tcW w:w="742" w:type="dxa"/>
            <w:tcBorders>
              <w:top w:val="single" w:sz="8" w:space="0" w:color="FFFFFF"/>
              <w:bottom w:val="single" w:sz="8" w:space="0" w:color="FFFFFF"/>
            </w:tcBorders>
            <w:shd w:val="clear" w:color="auto" w:fill="EDEDED"/>
          </w:tcPr>
          <w:p w14:paraId="6DA59FB9" w14:textId="4A8EFB0E" w:rsidR="009A6F98" w:rsidRPr="00630880" w:rsidRDefault="009A6F98" w:rsidP="00E63F8E">
            <w:pPr>
              <w:pStyle w:val="TableParagraph"/>
              <w:spacing w:before="72" w:line="276" w:lineRule="auto"/>
              <w:rPr>
                <w:rFonts w:ascii="Arial" w:hAnsi="Arial" w:cs="Arial"/>
                <w:b/>
                <w:bCs/>
                <w:color w:val="002060"/>
                <w:w w:val="80"/>
                <w:sz w:val="20"/>
                <w:szCs w:val="20"/>
              </w:rPr>
            </w:pPr>
            <w:r w:rsidRPr="00630880">
              <w:rPr>
                <w:rFonts w:ascii="Arial" w:hAnsi="Arial" w:cs="Arial"/>
                <w:b/>
                <w:bCs/>
                <w:color w:val="002060"/>
                <w:w w:val="80"/>
                <w:sz w:val="20"/>
                <w:szCs w:val="20"/>
              </w:rPr>
              <w:t>OLAF</w:t>
            </w:r>
          </w:p>
        </w:tc>
        <w:tc>
          <w:tcPr>
            <w:tcW w:w="8328" w:type="dxa"/>
            <w:tcBorders>
              <w:top w:val="single" w:sz="8" w:space="0" w:color="FFFFFF"/>
              <w:bottom w:val="single" w:sz="8" w:space="0" w:color="FFFFFF"/>
            </w:tcBorders>
            <w:shd w:val="clear" w:color="auto" w:fill="EDEDED"/>
          </w:tcPr>
          <w:p w14:paraId="05ED63B0" w14:textId="065B8FEE"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European Anti-Fraud Office</w:t>
            </w:r>
          </w:p>
        </w:tc>
      </w:tr>
      <w:tr w:rsidR="009A6F98" w:rsidRPr="001C7F40" w14:paraId="49EB6AE7" w14:textId="77777777" w:rsidTr="001C7F40">
        <w:trPr>
          <w:trHeight w:val="341"/>
        </w:trPr>
        <w:tc>
          <w:tcPr>
            <w:tcW w:w="742" w:type="dxa"/>
            <w:tcBorders>
              <w:top w:val="single" w:sz="8" w:space="0" w:color="FFFFFF"/>
              <w:bottom w:val="single" w:sz="8" w:space="0" w:color="FFFFFF"/>
            </w:tcBorders>
            <w:shd w:val="clear" w:color="auto" w:fill="EDEDED"/>
          </w:tcPr>
          <w:p w14:paraId="77C17218" w14:textId="6EDEF1B0"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PIF</w:t>
            </w:r>
          </w:p>
        </w:tc>
        <w:tc>
          <w:tcPr>
            <w:tcW w:w="8328" w:type="dxa"/>
            <w:tcBorders>
              <w:top w:val="single" w:sz="8" w:space="0" w:color="FFFFFF"/>
              <w:bottom w:val="single" w:sz="8" w:space="0" w:color="FFFFFF"/>
            </w:tcBorders>
            <w:shd w:val="clear" w:color="auto" w:fill="EDEDED"/>
          </w:tcPr>
          <w:p w14:paraId="5342EF84" w14:textId="425F405C"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Protection of financial interests</w:t>
            </w:r>
          </w:p>
        </w:tc>
      </w:tr>
      <w:tr w:rsidR="009A6F98" w:rsidRPr="001C7F40" w14:paraId="4EFCC0CD" w14:textId="77777777" w:rsidTr="001C7F40">
        <w:trPr>
          <w:trHeight w:val="341"/>
        </w:trPr>
        <w:tc>
          <w:tcPr>
            <w:tcW w:w="742" w:type="dxa"/>
            <w:tcBorders>
              <w:top w:val="single" w:sz="8" w:space="0" w:color="FFFFFF"/>
              <w:bottom w:val="single" w:sz="8" w:space="0" w:color="FFFFFF"/>
            </w:tcBorders>
            <w:shd w:val="clear" w:color="auto" w:fill="EDEDED"/>
          </w:tcPr>
          <w:p w14:paraId="6770F27D" w14:textId="1721D176"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0"/>
                <w:sz w:val="20"/>
                <w:szCs w:val="20"/>
              </w:rPr>
              <w:t>RRF</w:t>
            </w:r>
          </w:p>
        </w:tc>
        <w:tc>
          <w:tcPr>
            <w:tcW w:w="8328" w:type="dxa"/>
            <w:tcBorders>
              <w:top w:val="single" w:sz="8" w:space="0" w:color="FFFFFF"/>
              <w:bottom w:val="single" w:sz="8" w:space="0" w:color="FFFFFF"/>
            </w:tcBorders>
            <w:shd w:val="clear" w:color="auto" w:fill="EDEDED"/>
          </w:tcPr>
          <w:p w14:paraId="731385B1" w14:textId="0B8EC658"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Recovery and Resilience Facility</w:t>
            </w:r>
          </w:p>
        </w:tc>
      </w:tr>
      <w:tr w:rsidR="009A6F98" w:rsidRPr="000C31B6" w14:paraId="2D7A4BAF" w14:textId="77777777" w:rsidTr="001C7F40">
        <w:trPr>
          <w:trHeight w:val="341"/>
        </w:trPr>
        <w:tc>
          <w:tcPr>
            <w:tcW w:w="742" w:type="dxa"/>
            <w:tcBorders>
              <w:top w:val="single" w:sz="8" w:space="0" w:color="FFFFFF"/>
              <w:bottom w:val="single" w:sz="8" w:space="0" w:color="FFFFFF"/>
            </w:tcBorders>
            <w:shd w:val="clear" w:color="auto" w:fill="EDEDED"/>
          </w:tcPr>
          <w:p w14:paraId="517D48B8" w14:textId="038CB0EA" w:rsidR="009A6F98" w:rsidRPr="00630880" w:rsidRDefault="009A6F98" w:rsidP="00E63F8E">
            <w:pPr>
              <w:pStyle w:val="TableParagraph"/>
              <w:spacing w:before="72" w:line="276" w:lineRule="auto"/>
              <w:ind w:left="56"/>
              <w:rPr>
                <w:rFonts w:ascii="Arial" w:hAnsi="Arial" w:cs="Arial"/>
                <w:b/>
                <w:bCs/>
                <w:color w:val="002060"/>
                <w:sz w:val="20"/>
                <w:szCs w:val="20"/>
              </w:rPr>
            </w:pPr>
            <w:r w:rsidRPr="00630880">
              <w:rPr>
                <w:rFonts w:ascii="Arial" w:hAnsi="Arial" w:cs="Arial"/>
                <w:b/>
                <w:bCs/>
                <w:color w:val="002060"/>
                <w:w w:val="75"/>
                <w:sz w:val="20"/>
                <w:szCs w:val="20"/>
              </w:rPr>
              <w:t>TFEU</w:t>
            </w:r>
          </w:p>
        </w:tc>
        <w:tc>
          <w:tcPr>
            <w:tcW w:w="8328" w:type="dxa"/>
            <w:tcBorders>
              <w:top w:val="single" w:sz="8" w:space="0" w:color="FFFFFF"/>
              <w:bottom w:val="single" w:sz="8" w:space="0" w:color="FFFFFF"/>
            </w:tcBorders>
            <w:shd w:val="clear" w:color="auto" w:fill="EDEDED"/>
          </w:tcPr>
          <w:p w14:paraId="4E5BA94A" w14:textId="08AA59B9" w:rsidR="009A6F98" w:rsidRPr="00630880" w:rsidRDefault="009A6F98" w:rsidP="00E63F8E">
            <w:pPr>
              <w:pStyle w:val="TableParagraph"/>
              <w:spacing w:before="72" w:line="276" w:lineRule="auto"/>
              <w:ind w:left="226"/>
              <w:rPr>
                <w:rFonts w:ascii="Arial" w:hAnsi="Arial" w:cs="Arial"/>
                <w:color w:val="002060"/>
                <w:sz w:val="20"/>
                <w:szCs w:val="20"/>
              </w:rPr>
            </w:pPr>
            <w:r w:rsidRPr="00630880">
              <w:rPr>
                <w:rFonts w:ascii="Arial" w:hAnsi="Arial" w:cs="Arial"/>
                <w:color w:val="002060"/>
                <w:sz w:val="20"/>
                <w:szCs w:val="20"/>
              </w:rPr>
              <w:t>Treaty on the Functioning of the European Union</w:t>
            </w:r>
          </w:p>
        </w:tc>
      </w:tr>
      <w:tr w:rsidR="009A6F98" w:rsidRPr="000C31B6" w14:paraId="0AAC229E" w14:textId="77777777" w:rsidTr="001C7F40">
        <w:trPr>
          <w:trHeight w:val="341"/>
        </w:trPr>
        <w:tc>
          <w:tcPr>
            <w:tcW w:w="742" w:type="dxa"/>
            <w:tcBorders>
              <w:top w:val="single" w:sz="8" w:space="0" w:color="FFFFFF"/>
              <w:bottom w:val="single" w:sz="8" w:space="0" w:color="FFFFFF"/>
            </w:tcBorders>
            <w:shd w:val="clear" w:color="auto" w:fill="EDEDED"/>
          </w:tcPr>
          <w:p w14:paraId="6D20FE49" w14:textId="45E46D3D" w:rsidR="009A6F98" w:rsidRPr="00630880" w:rsidRDefault="009A6F98" w:rsidP="00E63F8E">
            <w:pPr>
              <w:pStyle w:val="TableParagraph"/>
              <w:spacing w:before="72" w:line="276" w:lineRule="auto"/>
              <w:ind w:left="56"/>
              <w:rPr>
                <w:rFonts w:ascii="Arial" w:hAnsi="Arial" w:cs="Arial"/>
                <w:b/>
                <w:bCs/>
                <w:color w:val="002060"/>
                <w:sz w:val="20"/>
                <w:szCs w:val="20"/>
              </w:rPr>
            </w:pPr>
          </w:p>
        </w:tc>
        <w:tc>
          <w:tcPr>
            <w:tcW w:w="8328" w:type="dxa"/>
            <w:tcBorders>
              <w:top w:val="single" w:sz="8" w:space="0" w:color="FFFFFF"/>
              <w:bottom w:val="single" w:sz="8" w:space="0" w:color="FFFFFF"/>
            </w:tcBorders>
            <w:shd w:val="clear" w:color="auto" w:fill="EDEDED"/>
          </w:tcPr>
          <w:p w14:paraId="25C827D0" w14:textId="1B8E872C" w:rsidR="009A6F98" w:rsidRPr="00630880" w:rsidRDefault="009A6F98" w:rsidP="00E63F8E">
            <w:pPr>
              <w:pStyle w:val="TableParagraph"/>
              <w:spacing w:before="72" w:line="276" w:lineRule="auto"/>
              <w:ind w:left="226"/>
              <w:rPr>
                <w:rFonts w:ascii="Arial" w:hAnsi="Arial" w:cs="Arial"/>
                <w:color w:val="002060"/>
                <w:sz w:val="20"/>
                <w:szCs w:val="20"/>
              </w:rPr>
            </w:pPr>
          </w:p>
        </w:tc>
      </w:tr>
      <w:tr w:rsidR="009A6F98" w:rsidRPr="000C31B6" w14:paraId="609335C1" w14:textId="77777777" w:rsidTr="00630880">
        <w:trPr>
          <w:trHeight w:val="53"/>
        </w:trPr>
        <w:tc>
          <w:tcPr>
            <w:tcW w:w="742" w:type="dxa"/>
            <w:tcBorders>
              <w:top w:val="single" w:sz="8" w:space="0" w:color="FFFFFF"/>
              <w:bottom w:val="single" w:sz="8" w:space="0" w:color="FFFFFF"/>
            </w:tcBorders>
            <w:shd w:val="clear" w:color="auto" w:fill="EDEDED"/>
          </w:tcPr>
          <w:p w14:paraId="432677E5" w14:textId="4E9483AB" w:rsidR="009A6F98" w:rsidRPr="00630880" w:rsidRDefault="009A6F98" w:rsidP="00E63F8E">
            <w:pPr>
              <w:pStyle w:val="TableParagraph"/>
              <w:spacing w:before="72" w:line="276" w:lineRule="auto"/>
              <w:ind w:left="56"/>
              <w:rPr>
                <w:rFonts w:ascii="Arial" w:hAnsi="Arial" w:cs="Arial"/>
                <w:b/>
                <w:bCs/>
                <w:color w:val="002060"/>
                <w:sz w:val="20"/>
                <w:szCs w:val="20"/>
              </w:rPr>
            </w:pPr>
          </w:p>
        </w:tc>
        <w:tc>
          <w:tcPr>
            <w:tcW w:w="8328" w:type="dxa"/>
            <w:tcBorders>
              <w:top w:val="single" w:sz="8" w:space="0" w:color="FFFFFF"/>
              <w:bottom w:val="single" w:sz="8" w:space="0" w:color="FFFFFF"/>
            </w:tcBorders>
            <w:shd w:val="clear" w:color="auto" w:fill="EDEDED"/>
          </w:tcPr>
          <w:p w14:paraId="35D251A7" w14:textId="74D29B16" w:rsidR="009A6F98" w:rsidRPr="00630880" w:rsidRDefault="009A6F98" w:rsidP="00E63F8E">
            <w:pPr>
              <w:pStyle w:val="TableParagraph"/>
              <w:spacing w:before="72" w:line="276" w:lineRule="auto"/>
              <w:ind w:left="226"/>
              <w:rPr>
                <w:rFonts w:ascii="Arial" w:hAnsi="Arial" w:cs="Arial"/>
                <w:color w:val="002060"/>
                <w:sz w:val="20"/>
                <w:szCs w:val="20"/>
              </w:rPr>
            </w:pPr>
          </w:p>
        </w:tc>
      </w:tr>
    </w:tbl>
    <w:p w14:paraId="0E573732" w14:textId="77777777" w:rsidR="00DF618B" w:rsidRDefault="00DF618B" w:rsidP="00E63F8E">
      <w:pPr>
        <w:spacing w:before="120" w:after="0" w:line="276" w:lineRule="auto"/>
        <w:rPr>
          <w:rFonts w:cstheme="minorHAnsi"/>
          <w:color w:val="FF0000"/>
          <w:sz w:val="24"/>
          <w:szCs w:val="24"/>
          <w:lang w:val="en-US"/>
        </w:rPr>
      </w:pPr>
    </w:p>
    <w:p w14:paraId="42ED2B24" w14:textId="77777777" w:rsidR="00DF618B" w:rsidRDefault="00DF618B" w:rsidP="00E63F8E">
      <w:pPr>
        <w:spacing w:before="120" w:after="0" w:line="276" w:lineRule="auto"/>
        <w:rPr>
          <w:rFonts w:cstheme="minorHAnsi"/>
          <w:color w:val="FF0000"/>
          <w:sz w:val="24"/>
          <w:szCs w:val="24"/>
          <w:lang w:val="en-US"/>
        </w:rPr>
      </w:pPr>
    </w:p>
    <w:p w14:paraId="1F9CE3D7" w14:textId="77777777" w:rsidR="00DF618B" w:rsidRDefault="00DF618B" w:rsidP="00E63F8E">
      <w:pPr>
        <w:spacing w:before="120" w:after="0" w:line="276" w:lineRule="auto"/>
        <w:rPr>
          <w:rFonts w:cstheme="minorHAnsi"/>
          <w:color w:val="FF0000"/>
          <w:sz w:val="24"/>
          <w:szCs w:val="24"/>
          <w:lang w:val="en-US"/>
        </w:rPr>
      </w:pPr>
    </w:p>
    <w:p w14:paraId="60DD67D3" w14:textId="77777777" w:rsidR="00DF618B" w:rsidRDefault="00DF618B" w:rsidP="00E63F8E">
      <w:pPr>
        <w:spacing w:before="120" w:after="0" w:line="276" w:lineRule="auto"/>
        <w:rPr>
          <w:rFonts w:cstheme="minorHAnsi"/>
          <w:color w:val="FF0000"/>
          <w:sz w:val="24"/>
          <w:szCs w:val="24"/>
          <w:lang w:val="en-US"/>
        </w:rPr>
      </w:pPr>
    </w:p>
    <w:p w14:paraId="48EEC5BF" w14:textId="5849E787" w:rsidR="00BD20FC" w:rsidRDefault="00BD20FC" w:rsidP="00E63F8E">
      <w:pPr>
        <w:pStyle w:val="Default"/>
        <w:spacing w:before="120" w:line="276" w:lineRule="auto"/>
        <w:jc w:val="both"/>
        <w:rPr>
          <w:rFonts w:cstheme="minorHAnsi"/>
          <w:b/>
          <w:bCs/>
          <w:color w:val="FF0000"/>
          <w:lang w:val="en-US"/>
        </w:rPr>
      </w:pPr>
      <w:r>
        <w:rPr>
          <w:rFonts w:cstheme="minorHAnsi"/>
          <w:b/>
          <w:bCs/>
          <w:color w:val="FF0000"/>
          <w:lang w:val="en-US"/>
        </w:rPr>
        <w:br w:type="page"/>
      </w:r>
    </w:p>
    <w:p w14:paraId="6BC006E2" w14:textId="77777777" w:rsidR="00874EE0" w:rsidRPr="00FE6501" w:rsidRDefault="00874EE0" w:rsidP="00E63F8E">
      <w:pPr>
        <w:pStyle w:val="Heading1"/>
        <w:spacing w:line="276" w:lineRule="auto"/>
        <w:rPr>
          <w:rStyle w:val="rynqvb"/>
          <w:rFonts w:asciiTheme="minorHAnsi" w:hAnsiTheme="minorHAnsi" w:cstheme="minorHAnsi"/>
          <w:color w:val="000000"/>
          <w:sz w:val="22"/>
          <w:szCs w:val="22"/>
          <w:shd w:val="clear" w:color="auto" w:fill="F5F5F5"/>
        </w:rPr>
      </w:pPr>
      <w:bookmarkStart w:id="4" w:name="_Toc136505848"/>
      <w:r w:rsidRPr="00FE6501">
        <w:rPr>
          <w:rStyle w:val="rynqvb"/>
          <w:rFonts w:asciiTheme="minorHAnsi" w:hAnsiTheme="minorHAnsi" w:cstheme="minorHAnsi"/>
          <w:color w:val="000000"/>
          <w:sz w:val="22"/>
          <w:szCs w:val="22"/>
          <w:shd w:val="clear" w:color="auto" w:fill="F5F5F5"/>
        </w:rPr>
        <w:lastRenderedPageBreak/>
        <w:t>Predgovor</w:t>
      </w:r>
      <w:bookmarkEnd w:id="4"/>
      <w:r w:rsidRPr="00FE6501">
        <w:rPr>
          <w:rStyle w:val="rynqvb"/>
          <w:rFonts w:asciiTheme="minorHAnsi" w:hAnsiTheme="minorHAnsi" w:cstheme="minorHAnsi"/>
          <w:color w:val="000000"/>
          <w:sz w:val="22"/>
          <w:szCs w:val="22"/>
          <w:shd w:val="clear" w:color="auto" w:fill="F5F5F5"/>
        </w:rPr>
        <w:t xml:space="preserve"> </w:t>
      </w:r>
    </w:p>
    <w:p w14:paraId="51B866AA" w14:textId="129C469D" w:rsidR="00D67DBA" w:rsidRDefault="00D67DBA" w:rsidP="00874EE0">
      <w:pPr>
        <w:pStyle w:val="Heading1"/>
        <w:spacing w:line="276" w:lineRule="auto"/>
        <w:jc w:val="both"/>
        <w:rPr>
          <w:rStyle w:val="rynqvb"/>
          <w:rFonts w:asciiTheme="minorHAnsi" w:hAnsiTheme="minorHAnsi" w:cstheme="minorHAnsi"/>
          <w:color w:val="000000"/>
          <w:sz w:val="22"/>
          <w:szCs w:val="22"/>
          <w:shd w:val="clear" w:color="auto" w:fill="F5F5F5"/>
        </w:rPr>
      </w:pPr>
      <w:bookmarkStart w:id="5" w:name="_Toc136505849"/>
      <w:r w:rsidRPr="00D67DBA">
        <w:rPr>
          <w:rFonts w:asciiTheme="minorHAnsi" w:hAnsiTheme="minorHAnsi" w:cstheme="minorHAnsi"/>
          <w:color w:val="000000"/>
          <w:sz w:val="22"/>
          <w:szCs w:val="22"/>
          <w:shd w:val="clear" w:color="auto" w:fill="F5F5F5"/>
        </w:rPr>
        <w:t>Evaluacija javnih politika je ključni element dobrog upravljanja koji doprinosi osiguranju i poboljšanju kvaliteta, odziva i efikasnosti usluga koje država pruža građanima i preduzećima.</w:t>
      </w:r>
      <w:bookmarkEnd w:id="5"/>
    </w:p>
    <w:p w14:paraId="7E8EAC45" w14:textId="6693DDFF" w:rsidR="004D6E5E" w:rsidRDefault="00874EE0" w:rsidP="00874EE0">
      <w:pPr>
        <w:pStyle w:val="Heading1"/>
        <w:spacing w:line="276" w:lineRule="auto"/>
        <w:jc w:val="both"/>
        <w:rPr>
          <w:rStyle w:val="rynqvb"/>
          <w:rFonts w:asciiTheme="minorHAnsi" w:hAnsiTheme="minorHAnsi" w:cstheme="minorHAnsi"/>
          <w:color w:val="000000"/>
          <w:sz w:val="22"/>
          <w:szCs w:val="22"/>
          <w:shd w:val="clear" w:color="auto" w:fill="F5F5F5"/>
        </w:rPr>
      </w:pPr>
      <w:bookmarkStart w:id="6" w:name="_Toc136505850"/>
      <w:r w:rsidRPr="00FE6501">
        <w:rPr>
          <w:rStyle w:val="rynqvb"/>
          <w:rFonts w:asciiTheme="minorHAnsi" w:hAnsiTheme="minorHAnsi" w:cstheme="minorHAnsi"/>
          <w:color w:val="000000"/>
          <w:sz w:val="22"/>
          <w:szCs w:val="22"/>
          <w:shd w:val="clear" w:color="auto" w:fill="F5F5F5"/>
        </w:rPr>
        <w:t>Istovremeno, evaluacija je neophodna za razumijevanje šta funkcioni</w:t>
      </w:r>
      <w:r w:rsidR="001B3DDC" w:rsidRPr="00FE6501">
        <w:rPr>
          <w:rStyle w:val="rynqvb"/>
          <w:rFonts w:asciiTheme="minorHAnsi" w:hAnsiTheme="minorHAnsi" w:cstheme="minorHAnsi"/>
          <w:color w:val="000000"/>
          <w:sz w:val="22"/>
          <w:szCs w:val="22"/>
          <w:shd w:val="clear" w:color="auto" w:fill="F5F5F5"/>
          <w:lang w:val="sr-Latn-RS"/>
        </w:rPr>
        <w:t>še</w:t>
      </w:r>
      <w:r w:rsidRPr="00FE6501">
        <w:rPr>
          <w:rStyle w:val="rynqvb"/>
          <w:rFonts w:asciiTheme="minorHAnsi" w:hAnsiTheme="minorHAnsi" w:cstheme="minorHAnsi"/>
          <w:color w:val="000000"/>
          <w:sz w:val="22"/>
          <w:szCs w:val="22"/>
          <w:shd w:val="clear" w:color="auto" w:fill="F5F5F5"/>
        </w:rPr>
        <w:t>, za koju svrhu, s kim i pod kojim u</w:t>
      </w:r>
      <w:r w:rsidR="001B3DDC" w:rsidRPr="00FE6501">
        <w:rPr>
          <w:rStyle w:val="rynqvb"/>
          <w:rFonts w:asciiTheme="minorHAnsi" w:hAnsiTheme="minorHAnsi" w:cstheme="minorHAnsi"/>
          <w:color w:val="000000"/>
          <w:sz w:val="22"/>
          <w:szCs w:val="22"/>
          <w:shd w:val="clear" w:color="auto" w:fill="F5F5F5"/>
          <w:lang w:val="sr-Latn-RS"/>
        </w:rPr>
        <w:t>slovim</w:t>
      </w:r>
      <w:r w:rsidRPr="00FE6501">
        <w:rPr>
          <w:rStyle w:val="rynqvb"/>
          <w:rFonts w:asciiTheme="minorHAnsi" w:hAnsiTheme="minorHAnsi" w:cstheme="minorHAnsi"/>
          <w:color w:val="000000"/>
          <w:sz w:val="22"/>
          <w:szCs w:val="22"/>
          <w:shd w:val="clear" w:color="auto" w:fill="F5F5F5"/>
        </w:rPr>
        <w:t xml:space="preserve">a, kao i za donošenje zaključaka i prijedloga za unapređenje javnih politika, uz osiguranje da se odluke donose na osnovu pouzdanih dokaza </w:t>
      </w:r>
      <w:r w:rsidR="006D0CD3" w:rsidRPr="00FE6501">
        <w:rPr>
          <w:rStyle w:val="rynqvb"/>
          <w:rFonts w:asciiTheme="minorHAnsi" w:hAnsiTheme="minorHAnsi" w:cstheme="minorHAnsi"/>
          <w:color w:val="000000"/>
          <w:sz w:val="22"/>
          <w:szCs w:val="22"/>
          <w:shd w:val="clear" w:color="auto" w:fill="F5F5F5"/>
          <w:lang w:val="sr-Latn-RS"/>
        </w:rPr>
        <w:t>kako bi</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proizve</w:t>
      </w:r>
      <w:r w:rsidR="006D0CD3" w:rsidRPr="00FE6501">
        <w:rPr>
          <w:rStyle w:val="rynqvb"/>
          <w:rFonts w:asciiTheme="minorHAnsi" w:hAnsiTheme="minorHAnsi" w:cstheme="minorHAnsi"/>
          <w:color w:val="000000"/>
          <w:sz w:val="22"/>
          <w:szCs w:val="22"/>
          <w:shd w:val="clear" w:color="auto" w:fill="F5F5F5"/>
          <w:lang w:val="sr-Latn-RS"/>
        </w:rPr>
        <w:t>la</w:t>
      </w:r>
      <w:r w:rsidRPr="00FE6501">
        <w:rPr>
          <w:rStyle w:val="rynqvb"/>
          <w:rFonts w:asciiTheme="minorHAnsi" w:hAnsiTheme="minorHAnsi" w:cstheme="minorHAnsi"/>
          <w:color w:val="000000"/>
          <w:sz w:val="22"/>
          <w:szCs w:val="22"/>
          <w:shd w:val="clear" w:color="auto" w:fill="F5F5F5"/>
        </w:rPr>
        <w:t xml:space="preserve"> željene rezultate (OECD, 2020).</w:t>
      </w:r>
      <w:bookmarkEnd w:id="6"/>
      <w:r w:rsidRPr="00FE6501">
        <w:rPr>
          <w:rStyle w:val="rynqvb"/>
          <w:rFonts w:asciiTheme="minorHAnsi" w:hAnsiTheme="minorHAnsi" w:cstheme="minorHAnsi"/>
          <w:color w:val="000000"/>
          <w:sz w:val="22"/>
          <w:szCs w:val="22"/>
          <w:shd w:val="clear" w:color="auto" w:fill="F5F5F5"/>
        </w:rPr>
        <w:t xml:space="preserve"> </w:t>
      </w:r>
    </w:p>
    <w:p w14:paraId="48574FB6" w14:textId="7D0A4971" w:rsidR="004D6E5E" w:rsidRDefault="00955D7B" w:rsidP="00874EE0">
      <w:pPr>
        <w:pStyle w:val="Heading1"/>
        <w:spacing w:line="276" w:lineRule="auto"/>
        <w:jc w:val="both"/>
        <w:rPr>
          <w:rStyle w:val="rynqvb"/>
          <w:rFonts w:asciiTheme="minorHAnsi" w:hAnsiTheme="minorHAnsi" w:cstheme="minorHAnsi"/>
          <w:color w:val="000000"/>
          <w:sz w:val="22"/>
          <w:szCs w:val="22"/>
          <w:shd w:val="clear" w:color="auto" w:fill="F5F5F5"/>
        </w:rPr>
      </w:pPr>
      <w:bookmarkStart w:id="7" w:name="_Toc136505851"/>
      <w:r>
        <w:rPr>
          <w:rStyle w:val="rynqvb"/>
          <w:rFonts w:asciiTheme="minorHAnsi" w:hAnsiTheme="minorHAnsi" w:cstheme="minorHAnsi"/>
          <w:color w:val="000000"/>
          <w:sz w:val="22"/>
          <w:szCs w:val="22"/>
          <w:shd w:val="clear" w:color="auto" w:fill="F5F5F5"/>
          <w:lang w:val="sr-Latn-RS"/>
        </w:rPr>
        <w:t>C</w:t>
      </w:r>
      <w:r w:rsidR="00874EE0" w:rsidRPr="00FE6501">
        <w:rPr>
          <w:rStyle w:val="rynqvb"/>
          <w:rFonts w:asciiTheme="minorHAnsi" w:hAnsiTheme="minorHAnsi" w:cstheme="minorHAnsi"/>
          <w:color w:val="000000"/>
          <w:sz w:val="22"/>
          <w:szCs w:val="22"/>
          <w:shd w:val="clear" w:color="auto" w:fill="F5F5F5"/>
        </w:rPr>
        <w:t xml:space="preserve">ilj evaluacije </w:t>
      </w:r>
      <w:r>
        <w:rPr>
          <w:rStyle w:val="rynqvb"/>
          <w:rFonts w:asciiTheme="minorHAnsi" w:hAnsiTheme="minorHAnsi" w:cstheme="minorHAnsi"/>
          <w:color w:val="000000"/>
          <w:sz w:val="22"/>
          <w:szCs w:val="22"/>
          <w:shd w:val="clear" w:color="auto" w:fill="F5F5F5"/>
          <w:lang w:val="sr-Latn-RS"/>
        </w:rPr>
        <w:t xml:space="preserve">je </w:t>
      </w:r>
      <w:r w:rsidR="00874EE0" w:rsidRPr="00FE6501">
        <w:rPr>
          <w:rStyle w:val="rynqvb"/>
          <w:rFonts w:asciiTheme="minorHAnsi" w:hAnsiTheme="minorHAnsi" w:cstheme="minorHAnsi"/>
          <w:color w:val="000000"/>
          <w:sz w:val="22"/>
          <w:szCs w:val="22"/>
          <w:shd w:val="clear" w:color="auto" w:fill="F5F5F5"/>
        </w:rPr>
        <w:t>izvući pouke iz identifikovanja ključnih dostignuća i slabosti.</w:t>
      </w:r>
      <w:r w:rsidR="00874EE0" w:rsidRPr="00FE6501">
        <w:rPr>
          <w:rFonts w:asciiTheme="minorHAnsi" w:hAnsiTheme="minorHAnsi" w:cstheme="minorHAnsi"/>
          <w:color w:val="000000"/>
          <w:sz w:val="22"/>
          <w:szCs w:val="22"/>
          <w:shd w:val="clear" w:color="auto" w:fill="F5F5F5"/>
        </w:rPr>
        <w:t xml:space="preserve"> </w:t>
      </w:r>
      <w:r w:rsidR="00874EE0" w:rsidRPr="00FE6501">
        <w:rPr>
          <w:rStyle w:val="rynqvb"/>
          <w:rFonts w:asciiTheme="minorHAnsi" w:hAnsiTheme="minorHAnsi" w:cstheme="minorHAnsi"/>
          <w:color w:val="000000"/>
          <w:sz w:val="22"/>
          <w:szCs w:val="22"/>
          <w:shd w:val="clear" w:color="auto" w:fill="F5F5F5"/>
        </w:rPr>
        <w:t xml:space="preserve">Pored toga, </w:t>
      </w:r>
      <w:r>
        <w:rPr>
          <w:rStyle w:val="rynqvb"/>
          <w:rFonts w:asciiTheme="minorHAnsi" w:hAnsiTheme="minorHAnsi" w:cstheme="minorHAnsi"/>
          <w:color w:val="000000"/>
          <w:sz w:val="22"/>
          <w:szCs w:val="22"/>
          <w:shd w:val="clear" w:color="auto" w:fill="F5F5F5"/>
          <w:lang w:val="sr-Latn-RS"/>
        </w:rPr>
        <w:t>evaluacija</w:t>
      </w:r>
      <w:r w:rsidR="00874EE0" w:rsidRPr="00FE6501">
        <w:rPr>
          <w:rStyle w:val="rynqvb"/>
          <w:rFonts w:asciiTheme="minorHAnsi" w:hAnsiTheme="minorHAnsi" w:cstheme="minorHAnsi"/>
          <w:color w:val="000000"/>
          <w:sz w:val="22"/>
          <w:szCs w:val="22"/>
          <w:shd w:val="clear" w:color="auto" w:fill="F5F5F5"/>
        </w:rPr>
        <w:t xml:space="preserve"> pruža konkretne preporuke za informisanje kreatora politike o izboru u određivanju budućih strateških koraka.</w:t>
      </w:r>
      <w:r w:rsidR="00874EE0" w:rsidRPr="00FE6501">
        <w:rPr>
          <w:rFonts w:asciiTheme="minorHAnsi" w:hAnsiTheme="minorHAnsi" w:cstheme="minorHAnsi"/>
          <w:color w:val="000000"/>
          <w:sz w:val="22"/>
          <w:szCs w:val="22"/>
          <w:shd w:val="clear" w:color="auto" w:fill="F5F5F5"/>
        </w:rPr>
        <w:t xml:space="preserve"> </w:t>
      </w:r>
      <w:r w:rsidR="00874EE0" w:rsidRPr="00FE6501">
        <w:rPr>
          <w:rStyle w:val="rynqvb"/>
          <w:rFonts w:asciiTheme="minorHAnsi" w:hAnsiTheme="minorHAnsi" w:cstheme="minorHAnsi"/>
          <w:color w:val="000000"/>
          <w:sz w:val="22"/>
          <w:szCs w:val="22"/>
          <w:shd w:val="clear" w:color="auto" w:fill="F5F5F5"/>
        </w:rPr>
        <w:t>Izveštaj o proc</w:t>
      </w:r>
      <w:r>
        <w:rPr>
          <w:rStyle w:val="rynqvb"/>
          <w:rFonts w:asciiTheme="minorHAnsi" w:hAnsiTheme="minorHAnsi" w:cstheme="minorHAnsi"/>
          <w:color w:val="000000"/>
          <w:sz w:val="22"/>
          <w:szCs w:val="22"/>
          <w:shd w:val="clear" w:color="auto" w:fill="F5F5F5"/>
          <w:lang w:val="sr-Latn-RS"/>
        </w:rPr>
        <w:t>j</w:t>
      </w:r>
      <w:r w:rsidR="00874EE0" w:rsidRPr="00FE6501">
        <w:rPr>
          <w:rStyle w:val="rynqvb"/>
          <w:rFonts w:asciiTheme="minorHAnsi" w:hAnsiTheme="minorHAnsi" w:cstheme="minorHAnsi"/>
          <w:color w:val="000000"/>
          <w:sz w:val="22"/>
          <w:szCs w:val="22"/>
          <w:shd w:val="clear" w:color="auto" w:fill="F5F5F5"/>
        </w:rPr>
        <w:t>eni je evaluacija politike i kao takav, primarni cilj nije da se proc</w:t>
      </w:r>
      <w:r w:rsidR="00EB44CB" w:rsidRPr="00FE6501">
        <w:rPr>
          <w:rStyle w:val="rynqvb"/>
          <w:rFonts w:asciiTheme="minorHAnsi" w:hAnsiTheme="minorHAnsi" w:cstheme="minorHAnsi"/>
          <w:color w:val="000000"/>
          <w:sz w:val="22"/>
          <w:szCs w:val="22"/>
          <w:shd w:val="clear" w:color="auto" w:fill="F5F5F5"/>
          <w:lang w:val="sr-Latn-RS"/>
        </w:rPr>
        <w:t>ij</w:t>
      </w:r>
      <w:r w:rsidR="00874EE0" w:rsidRPr="00FE6501">
        <w:rPr>
          <w:rStyle w:val="rynqvb"/>
          <w:rFonts w:asciiTheme="minorHAnsi" w:hAnsiTheme="minorHAnsi" w:cstheme="minorHAnsi"/>
          <w:color w:val="000000"/>
          <w:sz w:val="22"/>
          <w:szCs w:val="22"/>
          <w:shd w:val="clear" w:color="auto" w:fill="F5F5F5"/>
        </w:rPr>
        <w:t>eni da li je i</w:t>
      </w:r>
      <w:r w:rsidR="009555ED" w:rsidRPr="00FE6501">
        <w:rPr>
          <w:rStyle w:val="rynqvb"/>
          <w:rFonts w:asciiTheme="minorHAnsi" w:hAnsiTheme="minorHAnsi" w:cstheme="minorHAnsi"/>
          <w:color w:val="000000"/>
          <w:sz w:val="22"/>
          <w:szCs w:val="22"/>
          <w:shd w:val="clear" w:color="auto" w:fill="F5F5F5"/>
          <w:lang w:val="sr-Latn-RS"/>
        </w:rPr>
        <w:t xml:space="preserve"> </w:t>
      </w:r>
      <w:r w:rsidR="00874EE0" w:rsidRPr="00FE6501">
        <w:rPr>
          <w:rStyle w:val="rynqvb"/>
          <w:rFonts w:asciiTheme="minorHAnsi" w:hAnsiTheme="minorHAnsi" w:cstheme="minorHAnsi"/>
          <w:color w:val="000000"/>
          <w:sz w:val="22"/>
          <w:szCs w:val="22"/>
          <w:shd w:val="clear" w:color="auto" w:fill="F5F5F5"/>
        </w:rPr>
        <w:t>u kojoj m</w:t>
      </w:r>
      <w:r w:rsidR="009555ED" w:rsidRPr="00FE6501">
        <w:rPr>
          <w:rStyle w:val="rynqvb"/>
          <w:rFonts w:asciiTheme="minorHAnsi" w:hAnsiTheme="minorHAnsi" w:cstheme="minorHAnsi"/>
          <w:color w:val="000000"/>
          <w:sz w:val="22"/>
          <w:szCs w:val="22"/>
          <w:shd w:val="clear" w:color="auto" w:fill="F5F5F5"/>
          <w:lang w:val="sr-Latn-RS"/>
        </w:rPr>
        <w:t>j</w:t>
      </w:r>
      <w:r w:rsidR="00874EE0" w:rsidRPr="00FE6501">
        <w:rPr>
          <w:rStyle w:val="rynqvb"/>
          <w:rFonts w:asciiTheme="minorHAnsi" w:hAnsiTheme="minorHAnsi" w:cstheme="minorHAnsi"/>
          <w:color w:val="000000"/>
          <w:sz w:val="22"/>
          <w:szCs w:val="22"/>
          <w:shd w:val="clear" w:color="auto" w:fill="F5F5F5"/>
        </w:rPr>
        <w:t>eri svaka aktivnost sprovedena, već da se razmotri da li je strategija mogla da doprinese, u tom smislu, poboljšanju</w:t>
      </w:r>
      <w:r w:rsidR="00874EE0" w:rsidRPr="00FE6501">
        <w:rPr>
          <w:rFonts w:asciiTheme="minorHAnsi" w:hAnsiTheme="minorHAnsi" w:cstheme="minorHAnsi"/>
          <w:color w:val="000000"/>
          <w:sz w:val="22"/>
          <w:szCs w:val="22"/>
          <w:shd w:val="clear" w:color="auto" w:fill="F5F5F5"/>
        </w:rPr>
        <w:t xml:space="preserve"> </w:t>
      </w:r>
      <w:r w:rsidR="00874EE0" w:rsidRPr="00FE6501">
        <w:rPr>
          <w:rStyle w:val="rynqvb"/>
          <w:rFonts w:asciiTheme="minorHAnsi" w:hAnsiTheme="minorHAnsi" w:cstheme="minorHAnsi"/>
          <w:color w:val="000000"/>
          <w:sz w:val="22"/>
          <w:szCs w:val="22"/>
          <w:shd w:val="clear" w:color="auto" w:fill="F5F5F5"/>
        </w:rPr>
        <w:t>napor</w:t>
      </w:r>
      <w:r w:rsidR="009555ED" w:rsidRPr="00FE6501">
        <w:rPr>
          <w:rStyle w:val="rynqvb"/>
          <w:rFonts w:asciiTheme="minorHAnsi" w:hAnsiTheme="minorHAnsi" w:cstheme="minorHAnsi"/>
          <w:color w:val="000000"/>
          <w:sz w:val="22"/>
          <w:szCs w:val="22"/>
          <w:shd w:val="clear" w:color="auto" w:fill="F5F5F5"/>
          <w:lang w:val="sr-Latn-RS"/>
        </w:rPr>
        <w:t>a</w:t>
      </w:r>
      <w:r w:rsidR="00874EE0" w:rsidRPr="00FE6501">
        <w:rPr>
          <w:rStyle w:val="rynqvb"/>
          <w:rFonts w:asciiTheme="minorHAnsi" w:hAnsiTheme="minorHAnsi" w:cstheme="minorHAnsi"/>
          <w:color w:val="000000"/>
          <w:sz w:val="22"/>
          <w:szCs w:val="22"/>
          <w:shd w:val="clear" w:color="auto" w:fill="F5F5F5"/>
        </w:rPr>
        <w:t xml:space="preserve"> zemlje da spr</w:t>
      </w:r>
      <w:r w:rsidR="009555ED" w:rsidRPr="00FE6501">
        <w:rPr>
          <w:rStyle w:val="rynqvb"/>
          <w:rFonts w:asciiTheme="minorHAnsi" w:hAnsiTheme="minorHAnsi" w:cstheme="minorHAnsi"/>
          <w:color w:val="000000"/>
          <w:sz w:val="22"/>
          <w:szCs w:val="22"/>
          <w:shd w:val="clear" w:color="auto" w:fill="F5F5F5"/>
          <w:lang w:val="sr-Latn-RS"/>
        </w:rPr>
        <w:t>ij</w:t>
      </w:r>
      <w:r w:rsidR="00874EE0" w:rsidRPr="00FE6501">
        <w:rPr>
          <w:rStyle w:val="rynqvb"/>
          <w:rFonts w:asciiTheme="minorHAnsi" w:hAnsiTheme="minorHAnsi" w:cstheme="minorHAnsi"/>
          <w:color w:val="000000"/>
          <w:sz w:val="22"/>
          <w:szCs w:val="22"/>
          <w:shd w:val="clear" w:color="auto" w:fill="F5F5F5"/>
        </w:rPr>
        <w:t>eči i bori se protiv prevara kroz uspostavljanje integrisanog sistema upravljanja nepravilnostima.</w:t>
      </w:r>
      <w:bookmarkEnd w:id="7"/>
      <w:r w:rsidR="00874EE0" w:rsidRPr="00FE6501">
        <w:rPr>
          <w:rStyle w:val="rynqvb"/>
          <w:rFonts w:asciiTheme="minorHAnsi" w:hAnsiTheme="minorHAnsi" w:cstheme="minorHAnsi"/>
          <w:color w:val="000000"/>
          <w:sz w:val="22"/>
          <w:szCs w:val="22"/>
          <w:shd w:val="clear" w:color="auto" w:fill="F5F5F5"/>
        </w:rPr>
        <w:t xml:space="preserve"> </w:t>
      </w:r>
    </w:p>
    <w:p w14:paraId="45B39BC6" w14:textId="4B438A29" w:rsidR="00874EE0" w:rsidRPr="00FE6501" w:rsidRDefault="00874EE0" w:rsidP="00874EE0">
      <w:pPr>
        <w:pStyle w:val="Heading1"/>
        <w:spacing w:line="276" w:lineRule="auto"/>
        <w:jc w:val="both"/>
        <w:rPr>
          <w:rStyle w:val="rynqvb"/>
          <w:rFonts w:asciiTheme="minorHAnsi" w:hAnsiTheme="minorHAnsi" w:cstheme="minorHAnsi"/>
          <w:color w:val="000000"/>
          <w:sz w:val="22"/>
          <w:szCs w:val="22"/>
          <w:shd w:val="clear" w:color="auto" w:fill="F5F5F5"/>
        </w:rPr>
      </w:pPr>
      <w:bookmarkStart w:id="8" w:name="_Toc136505852"/>
      <w:r w:rsidRPr="00FE6501">
        <w:rPr>
          <w:rStyle w:val="rynqvb"/>
          <w:rFonts w:asciiTheme="minorHAnsi" w:hAnsiTheme="minorHAnsi" w:cstheme="minorHAnsi"/>
          <w:color w:val="000000"/>
          <w:sz w:val="22"/>
          <w:szCs w:val="22"/>
          <w:shd w:val="clear" w:color="auto" w:fill="F5F5F5"/>
        </w:rPr>
        <w:t xml:space="preserve">U tom okviru, </w:t>
      </w:r>
      <w:r w:rsidR="00955D7B">
        <w:rPr>
          <w:rStyle w:val="rynqvb"/>
          <w:rFonts w:asciiTheme="minorHAnsi" w:hAnsiTheme="minorHAnsi" w:cstheme="minorHAnsi"/>
          <w:color w:val="000000"/>
          <w:sz w:val="22"/>
          <w:szCs w:val="22"/>
          <w:shd w:val="clear" w:color="auto" w:fill="F5F5F5"/>
          <w:lang w:val="sr-Latn-RS"/>
        </w:rPr>
        <w:t>evaluacij</w:t>
      </w:r>
      <w:r w:rsidRPr="00FE6501">
        <w:rPr>
          <w:rStyle w:val="rynqvb"/>
          <w:rFonts w:asciiTheme="minorHAnsi" w:hAnsiTheme="minorHAnsi" w:cstheme="minorHAnsi"/>
          <w:color w:val="000000"/>
          <w:sz w:val="22"/>
          <w:szCs w:val="22"/>
          <w:shd w:val="clear" w:color="auto" w:fill="F5F5F5"/>
        </w:rPr>
        <w:t xml:space="preserve">a </w:t>
      </w:r>
      <w:r w:rsidR="00C76A86" w:rsidRPr="00FE6501">
        <w:rPr>
          <w:rStyle w:val="rynqvb"/>
          <w:rFonts w:asciiTheme="minorHAnsi" w:hAnsiTheme="minorHAnsi" w:cstheme="minorHAnsi"/>
          <w:color w:val="000000"/>
          <w:sz w:val="22"/>
          <w:szCs w:val="22"/>
          <w:shd w:val="clear" w:color="auto" w:fill="F5F5F5"/>
        </w:rPr>
        <w:t>Crn</w:t>
      </w:r>
      <w:r w:rsidR="00C76A86">
        <w:rPr>
          <w:rStyle w:val="rynqvb"/>
          <w:rFonts w:asciiTheme="minorHAnsi" w:hAnsiTheme="minorHAnsi" w:cstheme="minorHAnsi"/>
          <w:color w:val="000000"/>
          <w:sz w:val="22"/>
          <w:szCs w:val="22"/>
          <w:shd w:val="clear" w:color="auto" w:fill="F5F5F5"/>
          <w:lang w:val="sr-Latn-RS"/>
        </w:rPr>
        <w:t>ogorske</w:t>
      </w:r>
      <w:r w:rsidR="00C76A86" w:rsidRPr="00FE6501">
        <w:rPr>
          <w:rStyle w:val="rynqvb"/>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Strategije za borbu protiv prevara i upravljanja nepravilnostima za zaštitu finansijskih interesa EU</w:t>
      </w:r>
      <w:r w:rsidR="00C76A86">
        <w:rPr>
          <w:rStyle w:val="rynqvb"/>
          <w:rFonts w:asciiTheme="minorHAnsi" w:hAnsiTheme="minorHAnsi" w:cstheme="minorHAnsi"/>
          <w:color w:val="000000"/>
          <w:sz w:val="22"/>
          <w:szCs w:val="22"/>
          <w:shd w:val="clear" w:color="auto" w:fill="F5F5F5"/>
          <w:lang w:val="sr-Latn-RS"/>
        </w:rPr>
        <w:t>,</w:t>
      </w:r>
      <w:r w:rsidRPr="00FE6501">
        <w:rPr>
          <w:rStyle w:val="rynqvb"/>
          <w:rFonts w:asciiTheme="minorHAnsi" w:hAnsiTheme="minorHAnsi" w:cstheme="minorHAnsi"/>
          <w:color w:val="000000"/>
          <w:sz w:val="22"/>
          <w:szCs w:val="22"/>
          <w:shd w:val="clear" w:color="auto" w:fill="F5F5F5"/>
        </w:rPr>
        <w:t xml:space="preserve"> </w:t>
      </w:r>
      <w:r w:rsidR="00C76A86">
        <w:rPr>
          <w:rStyle w:val="rynqvb"/>
          <w:rFonts w:asciiTheme="minorHAnsi" w:hAnsiTheme="minorHAnsi" w:cstheme="minorHAnsi"/>
          <w:color w:val="000000"/>
          <w:sz w:val="22"/>
          <w:szCs w:val="22"/>
          <w:shd w:val="clear" w:color="auto" w:fill="F5F5F5"/>
          <w:lang w:val="sr-Latn-RS"/>
        </w:rPr>
        <w:t xml:space="preserve">za period </w:t>
      </w:r>
      <w:r w:rsidRPr="00FE6501">
        <w:rPr>
          <w:rStyle w:val="rynqvb"/>
          <w:rFonts w:asciiTheme="minorHAnsi" w:hAnsiTheme="minorHAnsi" w:cstheme="minorHAnsi"/>
          <w:color w:val="000000"/>
          <w:sz w:val="22"/>
          <w:szCs w:val="22"/>
          <w:shd w:val="clear" w:color="auto" w:fill="F5F5F5"/>
        </w:rPr>
        <w:t>2019-2022</w:t>
      </w:r>
      <w:r w:rsidR="00C76A86">
        <w:rPr>
          <w:rStyle w:val="rynqvb"/>
          <w:rFonts w:asciiTheme="minorHAnsi" w:hAnsiTheme="minorHAnsi" w:cstheme="minorHAnsi"/>
          <w:color w:val="000000"/>
          <w:sz w:val="22"/>
          <w:szCs w:val="22"/>
          <w:shd w:val="clear" w:color="auto" w:fill="F5F5F5"/>
          <w:lang w:val="sr-Latn-RS"/>
        </w:rPr>
        <w:t xml:space="preserve"> godine,</w:t>
      </w:r>
      <w:r w:rsidRPr="00FE6501">
        <w:rPr>
          <w:rStyle w:val="rynqvb"/>
          <w:rFonts w:asciiTheme="minorHAnsi" w:hAnsiTheme="minorHAnsi" w:cstheme="minorHAnsi"/>
          <w:color w:val="000000"/>
          <w:sz w:val="22"/>
          <w:szCs w:val="22"/>
          <w:shd w:val="clear" w:color="auto" w:fill="F5F5F5"/>
        </w:rPr>
        <w:t xml:space="preserve"> ima za cilj da ocijeni relevantnost, efektivnost i dodatnu vrijednost ili značaj politike u </w:t>
      </w:r>
      <w:r w:rsidR="00C76A86">
        <w:rPr>
          <w:rStyle w:val="rynqvb"/>
          <w:rFonts w:asciiTheme="minorHAnsi" w:hAnsiTheme="minorHAnsi" w:cstheme="minorHAnsi"/>
          <w:color w:val="000000"/>
          <w:sz w:val="22"/>
          <w:szCs w:val="22"/>
          <w:shd w:val="clear" w:color="auto" w:fill="F5F5F5"/>
          <w:lang w:val="sr-Latn-RS"/>
        </w:rPr>
        <w:t xml:space="preserve">oblasti </w:t>
      </w:r>
      <w:r w:rsidRPr="00FE6501">
        <w:rPr>
          <w:rStyle w:val="rynqvb"/>
          <w:rFonts w:asciiTheme="minorHAnsi" w:hAnsiTheme="minorHAnsi" w:cstheme="minorHAnsi"/>
          <w:color w:val="000000"/>
          <w:sz w:val="22"/>
          <w:szCs w:val="22"/>
          <w:shd w:val="clear" w:color="auto" w:fill="F5F5F5"/>
        </w:rPr>
        <w:t>zaštit</w:t>
      </w:r>
      <w:r w:rsidR="00C76A86">
        <w:rPr>
          <w:rStyle w:val="rynqvb"/>
          <w:rFonts w:asciiTheme="minorHAnsi" w:hAnsiTheme="minorHAnsi" w:cstheme="minorHAnsi"/>
          <w:color w:val="000000"/>
          <w:sz w:val="22"/>
          <w:szCs w:val="22"/>
          <w:shd w:val="clear" w:color="auto" w:fill="F5F5F5"/>
          <w:lang w:val="sr-Latn-RS"/>
        </w:rPr>
        <w:t>e</w:t>
      </w:r>
      <w:r w:rsidRPr="00FE6501">
        <w:rPr>
          <w:rStyle w:val="rynqvb"/>
          <w:rFonts w:asciiTheme="minorHAnsi" w:hAnsiTheme="minorHAnsi" w:cstheme="minorHAnsi"/>
          <w:color w:val="000000"/>
          <w:sz w:val="22"/>
          <w:szCs w:val="22"/>
          <w:shd w:val="clear" w:color="auto" w:fill="F5F5F5"/>
        </w:rPr>
        <w:t xml:space="preserve"> finansijskih interesa</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EU</w:t>
      </w:r>
      <w:r w:rsidR="00C76A86">
        <w:rPr>
          <w:rStyle w:val="rynqvb"/>
          <w:rFonts w:asciiTheme="minorHAnsi" w:hAnsiTheme="minorHAnsi" w:cstheme="minorHAnsi"/>
          <w:color w:val="000000"/>
          <w:sz w:val="22"/>
          <w:szCs w:val="22"/>
          <w:shd w:val="clear" w:color="auto" w:fill="F5F5F5"/>
          <w:lang w:val="sr-Latn-RS"/>
        </w:rPr>
        <w:t xml:space="preserve">,  kao </w:t>
      </w:r>
      <w:r w:rsidRPr="00FE6501">
        <w:rPr>
          <w:rStyle w:val="rynqvb"/>
          <w:rFonts w:asciiTheme="minorHAnsi" w:hAnsiTheme="minorHAnsi" w:cstheme="minorHAnsi"/>
          <w:color w:val="000000"/>
          <w:sz w:val="22"/>
          <w:szCs w:val="22"/>
          <w:shd w:val="clear" w:color="auto" w:fill="F5F5F5"/>
        </w:rPr>
        <w:t>i da</w:t>
      </w:r>
      <w:r w:rsidR="009555ED" w:rsidRPr="00FE6501">
        <w:rPr>
          <w:rStyle w:val="rynqvb"/>
          <w:rFonts w:asciiTheme="minorHAnsi" w:hAnsiTheme="minorHAnsi" w:cstheme="minorHAnsi"/>
          <w:color w:val="000000"/>
          <w:sz w:val="22"/>
          <w:szCs w:val="22"/>
          <w:shd w:val="clear" w:color="auto" w:fill="F5F5F5"/>
          <w:lang w:val="sr-Latn-RS"/>
        </w:rPr>
        <w:t xml:space="preserve"> </w:t>
      </w:r>
      <w:r w:rsidR="00C76A86">
        <w:rPr>
          <w:rStyle w:val="rynqvb"/>
          <w:rFonts w:asciiTheme="minorHAnsi" w:hAnsiTheme="minorHAnsi" w:cstheme="minorHAnsi"/>
          <w:color w:val="000000"/>
          <w:sz w:val="22"/>
          <w:szCs w:val="22"/>
          <w:shd w:val="clear" w:color="auto" w:fill="F5F5F5"/>
          <w:lang w:val="sr-Latn-RS"/>
        </w:rPr>
        <w:t>predstavlja osnovu za izradu</w:t>
      </w:r>
      <w:r w:rsidRPr="00FE6501">
        <w:rPr>
          <w:rStyle w:val="rynqvb"/>
          <w:rFonts w:asciiTheme="minorHAnsi" w:hAnsiTheme="minorHAnsi" w:cstheme="minorHAnsi"/>
          <w:color w:val="000000"/>
          <w:sz w:val="22"/>
          <w:szCs w:val="22"/>
          <w:shd w:val="clear" w:color="auto" w:fill="F5F5F5"/>
        </w:rPr>
        <w:t xml:space="preserve"> </w:t>
      </w:r>
      <w:r w:rsidR="009555ED" w:rsidRPr="00FE6501">
        <w:rPr>
          <w:rStyle w:val="rynqvb"/>
          <w:rFonts w:asciiTheme="minorHAnsi" w:hAnsiTheme="minorHAnsi" w:cstheme="minorHAnsi"/>
          <w:color w:val="000000"/>
          <w:sz w:val="22"/>
          <w:szCs w:val="22"/>
          <w:shd w:val="clear" w:color="auto" w:fill="F5F5F5"/>
          <w:lang w:val="sr-Latn-RS"/>
        </w:rPr>
        <w:t>naredne strategije</w:t>
      </w:r>
      <w:r w:rsidRPr="00FE6501">
        <w:rPr>
          <w:rStyle w:val="rynqvb"/>
          <w:rFonts w:asciiTheme="minorHAnsi" w:hAnsiTheme="minorHAnsi" w:cstheme="minorHAnsi"/>
          <w:color w:val="000000"/>
          <w:sz w:val="22"/>
          <w:szCs w:val="22"/>
          <w:shd w:val="clear" w:color="auto" w:fill="F5F5F5"/>
        </w:rPr>
        <w:t>.</w:t>
      </w:r>
      <w:bookmarkEnd w:id="8"/>
    </w:p>
    <w:p w14:paraId="41867E79" w14:textId="77777777" w:rsidR="00874EE0" w:rsidRPr="00FE6501" w:rsidRDefault="00874EE0" w:rsidP="00874EE0">
      <w:pPr>
        <w:pStyle w:val="Heading1"/>
        <w:spacing w:line="276" w:lineRule="auto"/>
        <w:jc w:val="both"/>
        <w:rPr>
          <w:rFonts w:asciiTheme="minorHAnsi" w:hAnsiTheme="minorHAnsi" w:cstheme="minorHAnsi"/>
          <w:b/>
          <w:bCs/>
          <w:sz w:val="22"/>
          <w:szCs w:val="22"/>
          <w:lang w:val="en-US"/>
        </w:rPr>
      </w:pPr>
    </w:p>
    <w:p w14:paraId="0BFEACE3" w14:textId="77777777" w:rsidR="002C4147" w:rsidRPr="00FE6501" w:rsidRDefault="002C4147" w:rsidP="00874EE0">
      <w:pPr>
        <w:pStyle w:val="Heading1"/>
        <w:spacing w:line="276" w:lineRule="auto"/>
        <w:jc w:val="both"/>
        <w:rPr>
          <w:rFonts w:asciiTheme="minorHAnsi" w:hAnsiTheme="minorHAnsi" w:cstheme="minorHAnsi"/>
          <w:b/>
          <w:bCs/>
          <w:sz w:val="22"/>
          <w:szCs w:val="22"/>
          <w:lang w:val="en-US"/>
        </w:rPr>
      </w:pPr>
    </w:p>
    <w:p w14:paraId="31B6EE85" w14:textId="77777777" w:rsidR="002C4147" w:rsidRPr="00FE6501" w:rsidRDefault="002C4147" w:rsidP="00874EE0">
      <w:pPr>
        <w:pStyle w:val="Heading1"/>
        <w:spacing w:line="276" w:lineRule="auto"/>
        <w:jc w:val="both"/>
        <w:rPr>
          <w:rFonts w:asciiTheme="minorHAnsi" w:hAnsiTheme="minorHAnsi" w:cstheme="minorHAnsi"/>
          <w:b/>
          <w:bCs/>
          <w:sz w:val="22"/>
          <w:szCs w:val="22"/>
          <w:lang w:val="en-US"/>
        </w:rPr>
      </w:pPr>
    </w:p>
    <w:p w14:paraId="7C10B58E" w14:textId="77777777" w:rsidR="002C4147" w:rsidRPr="00FE6501" w:rsidRDefault="002C4147" w:rsidP="00874EE0">
      <w:pPr>
        <w:pStyle w:val="Heading1"/>
        <w:spacing w:line="276" w:lineRule="auto"/>
        <w:jc w:val="both"/>
        <w:rPr>
          <w:rFonts w:asciiTheme="minorHAnsi" w:hAnsiTheme="minorHAnsi" w:cstheme="minorHAnsi"/>
          <w:b/>
          <w:bCs/>
          <w:sz w:val="22"/>
          <w:szCs w:val="22"/>
          <w:lang w:val="en-US"/>
        </w:rPr>
      </w:pPr>
    </w:p>
    <w:p w14:paraId="53C0438B" w14:textId="605FCCD9" w:rsidR="002C4147" w:rsidRPr="00FE6501" w:rsidRDefault="002C4147" w:rsidP="00874EE0">
      <w:pPr>
        <w:pStyle w:val="Heading1"/>
        <w:spacing w:line="276" w:lineRule="auto"/>
        <w:jc w:val="both"/>
        <w:rPr>
          <w:rFonts w:asciiTheme="minorHAnsi" w:hAnsiTheme="minorHAnsi" w:cstheme="minorHAnsi"/>
          <w:b/>
          <w:bCs/>
          <w:sz w:val="22"/>
          <w:szCs w:val="22"/>
          <w:lang w:val="en-US"/>
        </w:rPr>
      </w:pPr>
    </w:p>
    <w:p w14:paraId="564277F9" w14:textId="4F016ED0" w:rsidR="001C6919" w:rsidRPr="00FE6501" w:rsidRDefault="001C6919" w:rsidP="001C6919">
      <w:pPr>
        <w:rPr>
          <w:rFonts w:cstheme="minorHAnsi"/>
          <w:lang w:val="en-US"/>
        </w:rPr>
      </w:pPr>
    </w:p>
    <w:p w14:paraId="0504F5DC" w14:textId="2A58B9A9" w:rsidR="001C6919" w:rsidRPr="00FE6501" w:rsidRDefault="001C6919" w:rsidP="001C6919">
      <w:pPr>
        <w:rPr>
          <w:rFonts w:cstheme="minorHAnsi"/>
          <w:lang w:val="en-US"/>
        </w:rPr>
      </w:pPr>
    </w:p>
    <w:p w14:paraId="28D75FD6" w14:textId="69846D9B" w:rsidR="001C6919" w:rsidRPr="00FE6501" w:rsidRDefault="001C6919" w:rsidP="001C6919">
      <w:pPr>
        <w:rPr>
          <w:rFonts w:cstheme="minorHAnsi"/>
          <w:lang w:val="en-US"/>
        </w:rPr>
      </w:pPr>
    </w:p>
    <w:p w14:paraId="186DBD7C" w14:textId="450B0049" w:rsidR="001C6919" w:rsidRPr="00FE6501" w:rsidRDefault="001C6919" w:rsidP="001C6919">
      <w:pPr>
        <w:rPr>
          <w:rFonts w:cstheme="minorHAnsi"/>
          <w:lang w:val="en-US"/>
        </w:rPr>
      </w:pPr>
    </w:p>
    <w:p w14:paraId="5216B9E0" w14:textId="4CE5998C" w:rsidR="001C6919" w:rsidRPr="00FE6501" w:rsidRDefault="001C6919" w:rsidP="001C6919">
      <w:pPr>
        <w:rPr>
          <w:rFonts w:cstheme="minorHAnsi"/>
          <w:lang w:val="en-US"/>
        </w:rPr>
      </w:pPr>
    </w:p>
    <w:p w14:paraId="3AC8E951" w14:textId="02F622CB" w:rsidR="002C4147" w:rsidRPr="00FE6501" w:rsidRDefault="002C4147" w:rsidP="00874EE0">
      <w:pPr>
        <w:pStyle w:val="Heading1"/>
        <w:spacing w:line="276" w:lineRule="auto"/>
        <w:jc w:val="both"/>
        <w:rPr>
          <w:rFonts w:asciiTheme="minorHAnsi" w:eastAsiaTheme="minorHAnsi" w:hAnsiTheme="minorHAnsi" w:cstheme="minorHAnsi"/>
          <w:color w:val="auto"/>
          <w:sz w:val="22"/>
          <w:szCs w:val="22"/>
          <w:lang w:val="en-US"/>
        </w:rPr>
      </w:pPr>
    </w:p>
    <w:p w14:paraId="37A172A1" w14:textId="47B75CC3" w:rsidR="001C6919" w:rsidRPr="00FE6501" w:rsidRDefault="001C6919" w:rsidP="001C6919">
      <w:pPr>
        <w:rPr>
          <w:rFonts w:cstheme="minorHAnsi"/>
          <w:lang w:val="en-US"/>
        </w:rPr>
      </w:pPr>
    </w:p>
    <w:p w14:paraId="606E8040" w14:textId="0A3B082C" w:rsidR="001C6919" w:rsidRPr="00FE6501" w:rsidRDefault="001C6919" w:rsidP="001C6919">
      <w:pPr>
        <w:rPr>
          <w:rFonts w:cstheme="minorHAnsi"/>
          <w:lang w:val="en-US"/>
        </w:rPr>
      </w:pPr>
    </w:p>
    <w:p w14:paraId="15B52933" w14:textId="61FA3941" w:rsidR="001C6919" w:rsidRPr="00FE6501" w:rsidRDefault="001C6919" w:rsidP="001C6919">
      <w:pPr>
        <w:rPr>
          <w:rFonts w:cstheme="minorHAnsi"/>
          <w:lang w:val="en-US"/>
        </w:rPr>
      </w:pPr>
    </w:p>
    <w:p w14:paraId="6A882538" w14:textId="77777777" w:rsidR="001C6919" w:rsidRPr="00FE6501" w:rsidRDefault="001C6919" w:rsidP="001C6919">
      <w:pPr>
        <w:rPr>
          <w:rFonts w:cstheme="minorHAnsi"/>
          <w:lang w:val="en-US"/>
        </w:rPr>
      </w:pPr>
    </w:p>
    <w:p w14:paraId="4839A943" w14:textId="352DD81F" w:rsidR="00BD20FC" w:rsidRPr="00FE6501" w:rsidRDefault="00397FFD" w:rsidP="00874EE0">
      <w:pPr>
        <w:pStyle w:val="Heading1"/>
        <w:spacing w:line="276" w:lineRule="auto"/>
        <w:jc w:val="both"/>
        <w:rPr>
          <w:rFonts w:asciiTheme="minorHAnsi" w:hAnsiTheme="minorHAnsi" w:cstheme="minorHAnsi"/>
          <w:b/>
          <w:bCs/>
          <w:sz w:val="22"/>
          <w:szCs w:val="22"/>
          <w:lang w:val="en-US"/>
        </w:rPr>
      </w:pPr>
      <w:bookmarkStart w:id="9" w:name="_Toc136505853"/>
      <w:r w:rsidRPr="00FE6501">
        <w:rPr>
          <w:rFonts w:asciiTheme="minorHAnsi" w:hAnsiTheme="minorHAnsi" w:cstheme="minorHAnsi"/>
          <w:b/>
          <w:bCs/>
          <w:sz w:val="22"/>
          <w:szCs w:val="22"/>
          <w:lang w:val="en-US"/>
        </w:rPr>
        <w:lastRenderedPageBreak/>
        <w:t>Sažetak</w:t>
      </w:r>
      <w:bookmarkEnd w:id="9"/>
    </w:p>
    <w:p w14:paraId="6D5D423F" w14:textId="77777777" w:rsidR="00205D5E" w:rsidRPr="00FE6501" w:rsidRDefault="00205D5E" w:rsidP="00874EE0">
      <w:pPr>
        <w:spacing w:before="120" w:after="0" w:line="276" w:lineRule="auto"/>
        <w:jc w:val="both"/>
        <w:rPr>
          <w:rFonts w:cstheme="minorHAnsi"/>
          <w:color w:val="FF0000"/>
          <w:lang w:val="en-US"/>
        </w:rPr>
      </w:pPr>
    </w:p>
    <w:p w14:paraId="43A95496" w14:textId="0C374E79" w:rsidR="0079540E" w:rsidRPr="00FE6501" w:rsidRDefault="0079540E" w:rsidP="0079540E">
      <w:pPr>
        <w:tabs>
          <w:tab w:val="left" w:pos="5872"/>
        </w:tabs>
        <w:spacing w:before="120" w:after="0" w:line="276" w:lineRule="auto"/>
        <w:jc w:val="both"/>
        <w:rPr>
          <w:rFonts w:cstheme="minorHAnsi"/>
          <w:bCs/>
          <w:lang w:val="en-US"/>
        </w:rPr>
      </w:pPr>
      <w:r w:rsidRPr="00FE6501">
        <w:rPr>
          <w:rFonts w:cstheme="minorHAnsi"/>
          <w:bCs/>
          <w:lang w:val="en-US"/>
        </w:rPr>
        <w:t xml:space="preserve">Izvještaj </w:t>
      </w:r>
      <w:r w:rsidR="00317AFD" w:rsidRPr="00FE6501">
        <w:rPr>
          <w:rFonts w:cstheme="minorHAnsi"/>
          <w:bCs/>
          <w:lang w:val="en-US"/>
        </w:rPr>
        <w:t>predstavlja</w:t>
      </w:r>
      <w:r w:rsidRPr="00FE6501">
        <w:rPr>
          <w:rFonts w:cstheme="minorHAnsi"/>
          <w:bCs/>
          <w:lang w:val="en-US"/>
        </w:rPr>
        <w:t xml:space="preserve"> ex-post evaluaciju </w:t>
      </w:r>
      <w:r w:rsidR="00946BB0" w:rsidRPr="00FE6501">
        <w:rPr>
          <w:rFonts w:cstheme="minorHAnsi"/>
          <w:bCs/>
          <w:lang w:val="en-US"/>
        </w:rPr>
        <w:t>Crn</w:t>
      </w:r>
      <w:r w:rsidR="00946BB0">
        <w:rPr>
          <w:rFonts w:cstheme="minorHAnsi"/>
          <w:bCs/>
          <w:lang w:val="en-US"/>
        </w:rPr>
        <w:t>ogorske</w:t>
      </w:r>
      <w:r w:rsidR="00946BB0" w:rsidRPr="00FE6501">
        <w:rPr>
          <w:rFonts w:cstheme="minorHAnsi"/>
          <w:bCs/>
          <w:lang w:val="en-US"/>
        </w:rPr>
        <w:t xml:space="preserve"> </w:t>
      </w:r>
      <w:r w:rsidRPr="00FE6501">
        <w:rPr>
          <w:rFonts w:cstheme="minorHAnsi"/>
          <w:bCs/>
          <w:lang w:val="en-US"/>
        </w:rPr>
        <w:t>Strategije za borbu protiv prevara i upravljanja nepravilnostima za zaštitu finansijskih interesa Evropske unije</w:t>
      </w:r>
      <w:r w:rsidR="00946BB0">
        <w:rPr>
          <w:rFonts w:cstheme="minorHAnsi"/>
          <w:bCs/>
          <w:lang w:val="en-US"/>
        </w:rPr>
        <w:t>, za period</w:t>
      </w:r>
      <w:r w:rsidRPr="00FE6501">
        <w:rPr>
          <w:rFonts w:cstheme="minorHAnsi"/>
          <w:bCs/>
          <w:lang w:val="en-US"/>
        </w:rPr>
        <w:t xml:space="preserve"> 2019 – 2022</w:t>
      </w:r>
      <w:r w:rsidR="00946BB0">
        <w:rPr>
          <w:rFonts w:cstheme="minorHAnsi"/>
          <w:bCs/>
          <w:lang w:val="en-US"/>
        </w:rPr>
        <w:t>.godine</w:t>
      </w:r>
      <w:r w:rsidRPr="00FE6501">
        <w:rPr>
          <w:rFonts w:cstheme="minorHAnsi"/>
          <w:bCs/>
          <w:lang w:val="en-US"/>
        </w:rPr>
        <w:t xml:space="preserve"> (u daljem tekstu Strategija 2019 – 2022 ili Strategija)</w:t>
      </w:r>
      <w:r w:rsidR="00946BB0">
        <w:rPr>
          <w:rFonts w:cstheme="minorHAnsi"/>
          <w:bCs/>
          <w:lang w:val="en-US"/>
        </w:rPr>
        <w:t>,</w:t>
      </w:r>
      <w:r w:rsidRPr="00FE6501">
        <w:rPr>
          <w:rFonts w:cstheme="minorHAnsi"/>
          <w:bCs/>
          <w:lang w:val="en-US"/>
        </w:rPr>
        <w:t xml:space="preserve"> sprovedene u okviru treće komponente Twinning Light projekta „Jačanje kapaciteta AFCOS sistema u oblasti upravljanja </w:t>
      </w:r>
      <w:proofErr w:type="gramStart"/>
      <w:r w:rsidRPr="00FE6501">
        <w:rPr>
          <w:rFonts w:cstheme="minorHAnsi"/>
          <w:bCs/>
          <w:lang w:val="en-US"/>
        </w:rPr>
        <w:t>nepravilnostima“</w:t>
      </w:r>
      <w:proofErr w:type="gramEnd"/>
      <w:r w:rsidRPr="00FE6501">
        <w:rPr>
          <w:rFonts w:cstheme="minorHAnsi"/>
          <w:bCs/>
          <w:lang w:val="en-US"/>
        </w:rPr>
        <w:t>.</w:t>
      </w:r>
    </w:p>
    <w:p w14:paraId="0155E979" w14:textId="1108C360" w:rsidR="0079540E" w:rsidRPr="00FE6501" w:rsidRDefault="0079540E" w:rsidP="0079540E">
      <w:pPr>
        <w:tabs>
          <w:tab w:val="left" w:pos="5872"/>
        </w:tabs>
        <w:spacing w:before="120" w:after="0" w:line="276" w:lineRule="auto"/>
        <w:jc w:val="both"/>
        <w:rPr>
          <w:rFonts w:cstheme="minorHAnsi"/>
          <w:bCs/>
          <w:lang w:val="en-US"/>
        </w:rPr>
      </w:pPr>
      <w:r w:rsidRPr="00FE6501">
        <w:rPr>
          <w:rFonts w:cstheme="minorHAnsi"/>
          <w:bCs/>
          <w:lang w:val="en-US"/>
        </w:rPr>
        <w:t>Na osnovu naučenih lekcija iz Strategije 2015 – 2017, izrađena je Strategija za borbu protiv prevara i upravljanja nepravilnostima za zaštitu finansijskih interesa Evropske unije</w:t>
      </w:r>
      <w:r w:rsidR="005E3441">
        <w:rPr>
          <w:rFonts w:cstheme="minorHAnsi"/>
          <w:bCs/>
          <w:lang w:val="en-US"/>
        </w:rPr>
        <w:t>, za period</w:t>
      </w:r>
      <w:r w:rsidRPr="00FE6501">
        <w:rPr>
          <w:rFonts w:cstheme="minorHAnsi"/>
          <w:bCs/>
          <w:lang w:val="en-US"/>
        </w:rPr>
        <w:t xml:space="preserve"> 2019 – 2022, kao glavni strateški dokument koji obuhvata prioritete, ciljeve i </w:t>
      </w:r>
      <w:r w:rsidR="00A255F3" w:rsidRPr="00FE6501">
        <w:rPr>
          <w:rFonts w:cstheme="minorHAnsi"/>
          <w:bCs/>
          <w:lang w:val="en-US"/>
        </w:rPr>
        <w:t>zadatke</w:t>
      </w:r>
      <w:r w:rsidRPr="00FE6501">
        <w:rPr>
          <w:rFonts w:cstheme="minorHAnsi"/>
          <w:bCs/>
          <w:lang w:val="en-US"/>
        </w:rPr>
        <w:t xml:space="preserve"> Crne Gore</w:t>
      </w:r>
      <w:r w:rsidR="00A255F3" w:rsidRPr="00FE6501">
        <w:rPr>
          <w:rFonts w:cstheme="minorHAnsi"/>
          <w:bCs/>
          <w:lang w:val="en-US"/>
        </w:rPr>
        <w:t>,</w:t>
      </w:r>
      <w:r w:rsidRPr="00FE6501">
        <w:rPr>
          <w:rFonts w:cstheme="minorHAnsi"/>
          <w:bCs/>
          <w:lang w:val="en-US"/>
        </w:rPr>
        <w:t xml:space="preserve"> u od</w:t>
      </w:r>
      <w:r w:rsidR="00A255F3" w:rsidRPr="00FE6501">
        <w:rPr>
          <w:rFonts w:cstheme="minorHAnsi"/>
          <w:bCs/>
          <w:lang w:val="en-US"/>
        </w:rPr>
        <w:t>ređen</w:t>
      </w:r>
      <w:r w:rsidRPr="00FE6501">
        <w:rPr>
          <w:rFonts w:cstheme="minorHAnsi"/>
          <w:bCs/>
          <w:lang w:val="en-US"/>
        </w:rPr>
        <w:t xml:space="preserve">im oblastima politike, nastojeći da poboljša sposobnost zemlje da zaštiti finansijske interese EU i ispuni zahtjeve postavljene u Poglavlju 32 Pretpristupnog sporazuma. Svrha Strategije je bila da </w:t>
      </w:r>
      <w:r w:rsidR="00A255F3" w:rsidRPr="00FE6501">
        <w:rPr>
          <w:rFonts w:cstheme="minorHAnsi"/>
          <w:bCs/>
          <w:lang w:val="en-US"/>
        </w:rPr>
        <w:t>obezbijedi kvalitetnu i efikasnu zaštita finansijskih interesa EU u istoj mjeri kao da je riječ o sopstvenim sredstvima, uz pomoć</w:t>
      </w:r>
      <w:r w:rsidRPr="00FE6501">
        <w:rPr>
          <w:rFonts w:cstheme="minorHAnsi"/>
          <w:bCs/>
          <w:lang w:val="en-US"/>
        </w:rPr>
        <w:t xml:space="preserve"> </w:t>
      </w:r>
      <w:r w:rsidR="00A255F3" w:rsidRPr="00FE6501">
        <w:rPr>
          <w:rFonts w:cstheme="minorHAnsi"/>
          <w:bCs/>
          <w:lang w:val="en-US"/>
        </w:rPr>
        <w:t>niza</w:t>
      </w:r>
      <w:r w:rsidRPr="00FE6501">
        <w:rPr>
          <w:rFonts w:cstheme="minorHAnsi"/>
          <w:bCs/>
          <w:lang w:val="en-US"/>
        </w:rPr>
        <w:t xml:space="preserve"> aktivnosti na uspostavljanju normativnog, institucionalnog i operativnog okvira, kao i definisanj</w:t>
      </w:r>
      <w:r w:rsidR="00A255F3" w:rsidRPr="00FE6501">
        <w:rPr>
          <w:rFonts w:cstheme="minorHAnsi"/>
          <w:bCs/>
          <w:lang w:val="en-US"/>
        </w:rPr>
        <w:t>a</w:t>
      </w:r>
      <w:r w:rsidRPr="00FE6501">
        <w:rPr>
          <w:rFonts w:cstheme="minorHAnsi"/>
          <w:bCs/>
          <w:lang w:val="en-US"/>
        </w:rPr>
        <w:t xml:space="preserve"> rizik</w:t>
      </w:r>
      <w:r w:rsidR="00A255F3" w:rsidRPr="00FE6501">
        <w:rPr>
          <w:rFonts w:cstheme="minorHAnsi"/>
          <w:bCs/>
          <w:lang w:val="en-US"/>
        </w:rPr>
        <w:t>a</w:t>
      </w:r>
      <w:r w:rsidRPr="00FE6501">
        <w:rPr>
          <w:rFonts w:cstheme="minorHAnsi"/>
          <w:bCs/>
          <w:lang w:val="en-US"/>
        </w:rPr>
        <w:t>, ciljev</w:t>
      </w:r>
      <w:r w:rsidR="00A255F3" w:rsidRPr="00FE6501">
        <w:rPr>
          <w:rFonts w:cstheme="minorHAnsi"/>
          <w:bCs/>
          <w:lang w:val="en-US"/>
        </w:rPr>
        <w:t>a</w:t>
      </w:r>
      <w:r w:rsidRPr="00FE6501">
        <w:rPr>
          <w:rFonts w:cstheme="minorHAnsi"/>
          <w:bCs/>
          <w:lang w:val="en-US"/>
        </w:rPr>
        <w:t xml:space="preserve"> i mjer</w:t>
      </w:r>
      <w:r w:rsidR="00A255F3" w:rsidRPr="00FE6501">
        <w:rPr>
          <w:rFonts w:cstheme="minorHAnsi"/>
          <w:bCs/>
          <w:lang w:val="en-US"/>
        </w:rPr>
        <w:t>a</w:t>
      </w:r>
      <w:r w:rsidRPr="00FE6501">
        <w:rPr>
          <w:rFonts w:cstheme="minorHAnsi"/>
          <w:bCs/>
          <w:lang w:val="en-US"/>
        </w:rPr>
        <w:t xml:space="preserve"> koj</w:t>
      </w:r>
      <w:r w:rsidR="00A255F3" w:rsidRPr="00FE6501">
        <w:rPr>
          <w:rFonts w:cstheme="minorHAnsi"/>
          <w:bCs/>
          <w:lang w:val="en-US"/>
        </w:rPr>
        <w:t>i</w:t>
      </w:r>
      <w:r w:rsidRPr="00FE6501">
        <w:rPr>
          <w:rFonts w:cstheme="minorHAnsi"/>
          <w:bCs/>
          <w:lang w:val="en-US"/>
        </w:rPr>
        <w:t xml:space="preserve"> će doprinijeti efikasnijoj i </w:t>
      </w:r>
      <w:r w:rsidR="00A255F3" w:rsidRPr="00FE6501">
        <w:rPr>
          <w:rFonts w:cstheme="minorHAnsi"/>
          <w:bCs/>
          <w:lang w:val="en-US"/>
        </w:rPr>
        <w:t>djelotvorni</w:t>
      </w:r>
      <w:r w:rsidRPr="00FE6501">
        <w:rPr>
          <w:rFonts w:cstheme="minorHAnsi"/>
          <w:bCs/>
          <w:lang w:val="en-US"/>
        </w:rPr>
        <w:t>joj borbi protiv prevara</w:t>
      </w:r>
      <w:r w:rsidR="005E3441">
        <w:rPr>
          <w:rFonts w:cstheme="minorHAnsi"/>
          <w:bCs/>
          <w:lang w:val="en-US"/>
        </w:rPr>
        <w:t>,</w:t>
      </w:r>
      <w:r w:rsidRPr="00FE6501">
        <w:rPr>
          <w:rFonts w:cstheme="minorHAnsi"/>
          <w:bCs/>
          <w:lang w:val="en-US"/>
        </w:rPr>
        <w:t xml:space="preserve"> kroz unapređenje saradnje nadležnih organa, kako na nacionalnom, tako i na međunarodnom nivou.</w:t>
      </w:r>
    </w:p>
    <w:p w14:paraId="595C4683" w14:textId="183BE6C3" w:rsidR="0079540E" w:rsidRPr="00FE6501" w:rsidRDefault="0079540E" w:rsidP="0079540E">
      <w:pPr>
        <w:tabs>
          <w:tab w:val="left" w:pos="5872"/>
        </w:tabs>
        <w:spacing w:before="120" w:after="0" w:line="276" w:lineRule="auto"/>
        <w:jc w:val="both"/>
        <w:rPr>
          <w:rFonts w:cstheme="minorHAnsi"/>
          <w:bCs/>
          <w:lang w:val="en-US"/>
        </w:rPr>
      </w:pPr>
      <w:r w:rsidRPr="00FE6501">
        <w:rPr>
          <w:rFonts w:cstheme="minorHAnsi"/>
          <w:bCs/>
          <w:lang w:val="en-US"/>
        </w:rPr>
        <w:t xml:space="preserve">Strateški cilj Strategije 2019-2022 „Jačanje kapaciteta Crne Gore za borbu protiv prevara i unapređenje upravljanja </w:t>
      </w:r>
      <w:proofErr w:type="gramStart"/>
      <w:r w:rsidRPr="00FE6501">
        <w:rPr>
          <w:rFonts w:cstheme="minorHAnsi"/>
          <w:bCs/>
          <w:lang w:val="en-US"/>
        </w:rPr>
        <w:t>nepravilnostima“ raščlanjen</w:t>
      </w:r>
      <w:proofErr w:type="gramEnd"/>
      <w:r w:rsidRPr="00FE6501">
        <w:rPr>
          <w:rFonts w:cstheme="minorHAnsi"/>
          <w:bCs/>
          <w:lang w:val="en-US"/>
        </w:rPr>
        <w:t xml:space="preserve"> je na tri Operativna cilja:</w:t>
      </w:r>
    </w:p>
    <w:p w14:paraId="440A04ED" w14:textId="6178DB28" w:rsidR="0079540E" w:rsidRPr="00FE6501" w:rsidRDefault="0079540E" w:rsidP="0079540E">
      <w:pPr>
        <w:pStyle w:val="ListParagraph"/>
        <w:numPr>
          <w:ilvl w:val="0"/>
          <w:numId w:val="26"/>
        </w:numPr>
        <w:tabs>
          <w:tab w:val="left" w:pos="5872"/>
        </w:tabs>
        <w:spacing w:before="120" w:after="0" w:line="276" w:lineRule="auto"/>
        <w:jc w:val="both"/>
        <w:rPr>
          <w:rFonts w:cstheme="minorHAnsi"/>
          <w:bCs/>
          <w:lang w:val="en-US"/>
        </w:rPr>
      </w:pPr>
      <w:r w:rsidRPr="00FE6501">
        <w:rPr>
          <w:rFonts w:cstheme="minorHAnsi"/>
          <w:bCs/>
          <w:lang w:val="en-US"/>
        </w:rPr>
        <w:t>Prvi Operativni cilj pod nazivom „Unapređenje funkcionisanja AFCOS sistema u Crnoj Gori kroz uspostavljanje adekvatnog zakon</w:t>
      </w:r>
      <w:r w:rsidR="005E3441">
        <w:rPr>
          <w:rFonts w:cstheme="minorHAnsi"/>
          <w:bCs/>
          <w:lang w:val="en-US"/>
        </w:rPr>
        <w:t>odavnog</w:t>
      </w:r>
      <w:r w:rsidRPr="00FE6501">
        <w:rPr>
          <w:rFonts w:cstheme="minorHAnsi"/>
          <w:bCs/>
          <w:lang w:val="en-US"/>
        </w:rPr>
        <w:t xml:space="preserve"> okvira i međuinstitucionaln</w:t>
      </w:r>
      <w:r w:rsidR="00EE2F4C" w:rsidRPr="00FE6501">
        <w:rPr>
          <w:rFonts w:cstheme="minorHAnsi"/>
          <w:bCs/>
          <w:lang w:val="en-US"/>
        </w:rPr>
        <w:t>e</w:t>
      </w:r>
      <w:r w:rsidRPr="00FE6501">
        <w:rPr>
          <w:rFonts w:cstheme="minorHAnsi"/>
          <w:bCs/>
          <w:lang w:val="en-US"/>
        </w:rPr>
        <w:t xml:space="preserve"> saradnj</w:t>
      </w:r>
      <w:r w:rsidR="00EE2F4C" w:rsidRPr="00FE6501">
        <w:rPr>
          <w:rFonts w:cstheme="minorHAnsi"/>
          <w:bCs/>
          <w:lang w:val="en-US"/>
        </w:rPr>
        <w:t>e</w:t>
      </w:r>
      <w:r w:rsidRPr="00FE6501">
        <w:rPr>
          <w:rFonts w:cstheme="minorHAnsi"/>
          <w:bCs/>
          <w:lang w:val="en-US"/>
        </w:rPr>
        <w:t xml:space="preserve"> </w:t>
      </w:r>
      <w:r w:rsidR="00EE2F4C" w:rsidRPr="00FE6501">
        <w:rPr>
          <w:rFonts w:cstheme="minorHAnsi"/>
          <w:bCs/>
          <w:lang w:val="en-US"/>
        </w:rPr>
        <w:t>institucija</w:t>
      </w:r>
      <w:r w:rsidRPr="00FE6501">
        <w:rPr>
          <w:rFonts w:cstheme="minorHAnsi"/>
          <w:bCs/>
          <w:lang w:val="en-US"/>
        </w:rPr>
        <w:t xml:space="preserve"> AFCOS </w:t>
      </w:r>
      <w:proofErr w:type="gramStart"/>
      <w:r w:rsidRPr="00FE6501">
        <w:rPr>
          <w:rFonts w:cstheme="minorHAnsi"/>
          <w:bCs/>
          <w:lang w:val="en-US"/>
        </w:rPr>
        <w:t>sistema“</w:t>
      </w:r>
      <w:proofErr w:type="gramEnd"/>
      <w:r w:rsidRPr="00FE6501">
        <w:rPr>
          <w:rFonts w:cstheme="minorHAnsi"/>
          <w:bCs/>
          <w:lang w:val="en-US"/>
        </w:rPr>
        <w:t xml:space="preserve">prioritetno je </w:t>
      </w:r>
      <w:r w:rsidR="00EE2F4C" w:rsidRPr="00FE6501">
        <w:rPr>
          <w:rFonts w:cstheme="minorHAnsi"/>
          <w:bCs/>
          <w:lang w:val="en-US"/>
        </w:rPr>
        <w:t xml:space="preserve">podrazumijevao </w:t>
      </w:r>
      <w:r w:rsidRPr="00FE6501">
        <w:rPr>
          <w:rFonts w:cstheme="minorHAnsi"/>
          <w:bCs/>
          <w:lang w:val="en-US"/>
        </w:rPr>
        <w:t>donošenje zakonodavnih inicijativa za uspostavljanje funkcional</w:t>
      </w:r>
      <w:r w:rsidR="00EE2F4C" w:rsidRPr="00FE6501">
        <w:rPr>
          <w:rFonts w:cstheme="minorHAnsi"/>
          <w:bCs/>
          <w:lang w:val="en-US"/>
        </w:rPr>
        <w:t>nog</w:t>
      </w:r>
      <w:r w:rsidRPr="00FE6501">
        <w:rPr>
          <w:rFonts w:cstheme="minorHAnsi"/>
          <w:bCs/>
          <w:lang w:val="en-US"/>
        </w:rPr>
        <w:t xml:space="preserve"> AFCOS sistem</w:t>
      </w:r>
      <w:r w:rsidR="00EE2F4C" w:rsidRPr="00FE6501">
        <w:rPr>
          <w:rFonts w:cstheme="minorHAnsi"/>
          <w:bCs/>
          <w:lang w:val="en-US"/>
        </w:rPr>
        <w:t>a</w:t>
      </w:r>
      <w:r w:rsidRPr="00FE6501">
        <w:rPr>
          <w:rFonts w:cstheme="minorHAnsi"/>
          <w:bCs/>
          <w:lang w:val="en-US"/>
        </w:rPr>
        <w:t xml:space="preserve"> kao i </w:t>
      </w:r>
      <w:r w:rsidR="00EE2F4C" w:rsidRPr="00FE6501">
        <w:rPr>
          <w:rFonts w:cstheme="minorHAnsi"/>
          <w:bCs/>
          <w:lang w:val="en-US"/>
        </w:rPr>
        <w:t xml:space="preserve">unapređenje </w:t>
      </w:r>
      <w:r w:rsidRPr="00FE6501">
        <w:rPr>
          <w:rFonts w:cstheme="minorHAnsi"/>
          <w:bCs/>
          <w:lang w:val="en-US"/>
        </w:rPr>
        <w:t>među</w:t>
      </w:r>
      <w:r w:rsidR="00EE2F4C" w:rsidRPr="00FE6501">
        <w:rPr>
          <w:rFonts w:cstheme="minorHAnsi"/>
          <w:bCs/>
          <w:lang w:val="en-US"/>
        </w:rPr>
        <w:t>institucionalne</w:t>
      </w:r>
      <w:r w:rsidRPr="00FE6501">
        <w:rPr>
          <w:rFonts w:cstheme="minorHAnsi"/>
          <w:bCs/>
          <w:lang w:val="en-US"/>
        </w:rPr>
        <w:t xml:space="preserve"> saradnj</w:t>
      </w:r>
      <w:r w:rsidR="00EE2F4C" w:rsidRPr="00FE6501">
        <w:rPr>
          <w:rFonts w:cstheme="minorHAnsi"/>
          <w:bCs/>
          <w:lang w:val="en-US"/>
        </w:rPr>
        <w:t>e</w:t>
      </w:r>
      <w:r w:rsidRPr="00FE6501">
        <w:rPr>
          <w:rFonts w:cstheme="minorHAnsi"/>
          <w:bCs/>
          <w:lang w:val="en-US"/>
        </w:rPr>
        <w:t xml:space="preserve"> kroz potpisivanje Protokola o saradnji.</w:t>
      </w:r>
    </w:p>
    <w:p w14:paraId="4F6BE32B" w14:textId="1A23DD6C" w:rsidR="0079540E" w:rsidRPr="00FE6501" w:rsidRDefault="0079540E" w:rsidP="0079540E">
      <w:pPr>
        <w:pStyle w:val="ListParagraph"/>
        <w:numPr>
          <w:ilvl w:val="0"/>
          <w:numId w:val="26"/>
        </w:numPr>
        <w:tabs>
          <w:tab w:val="left" w:pos="5872"/>
        </w:tabs>
        <w:spacing w:before="120" w:after="0" w:line="276" w:lineRule="auto"/>
        <w:jc w:val="both"/>
        <w:rPr>
          <w:rFonts w:cstheme="minorHAnsi"/>
          <w:bCs/>
          <w:lang w:val="en-US"/>
        </w:rPr>
      </w:pPr>
      <w:r w:rsidRPr="00FE6501">
        <w:rPr>
          <w:rFonts w:cstheme="minorHAnsi"/>
          <w:bCs/>
          <w:lang w:val="en-US"/>
        </w:rPr>
        <w:t xml:space="preserve">Drugi Operativni cilj pod nazivom „Unapređenje rada </w:t>
      </w:r>
      <w:r w:rsidR="00EE2F4C" w:rsidRPr="00FE6501">
        <w:rPr>
          <w:rFonts w:cstheme="minorHAnsi"/>
          <w:bCs/>
          <w:lang w:val="en-US"/>
        </w:rPr>
        <w:t>tijela</w:t>
      </w:r>
      <w:r w:rsidRPr="00FE6501">
        <w:rPr>
          <w:rFonts w:cstheme="minorHAnsi"/>
          <w:bCs/>
          <w:lang w:val="en-US"/>
        </w:rPr>
        <w:t xml:space="preserve"> strukture za prijavljivanje nepravilnosti u oblasti upravljanja </w:t>
      </w:r>
      <w:proofErr w:type="gramStart"/>
      <w:r w:rsidRPr="00FE6501">
        <w:rPr>
          <w:rFonts w:cstheme="minorHAnsi"/>
          <w:bCs/>
          <w:lang w:val="en-US"/>
        </w:rPr>
        <w:t>nepravilnostima“</w:t>
      </w:r>
      <w:proofErr w:type="gramEnd"/>
      <w:r w:rsidR="005E3441">
        <w:rPr>
          <w:rFonts w:cstheme="minorHAnsi"/>
          <w:bCs/>
          <w:lang w:val="en-US"/>
        </w:rPr>
        <w:t xml:space="preserve">, </w:t>
      </w:r>
      <w:r w:rsidRPr="00FE6501">
        <w:rPr>
          <w:rFonts w:cstheme="minorHAnsi"/>
          <w:bCs/>
          <w:lang w:val="en-US"/>
        </w:rPr>
        <w:t xml:space="preserve">stavlja fokus na </w:t>
      </w:r>
      <w:r w:rsidR="005E3441">
        <w:rPr>
          <w:rFonts w:cstheme="minorHAnsi"/>
          <w:bCs/>
          <w:lang w:val="en-US"/>
        </w:rPr>
        <w:t>uspostavljanje jasnih propisa,</w:t>
      </w:r>
      <w:r w:rsidRPr="00FE6501">
        <w:rPr>
          <w:rFonts w:cstheme="minorHAnsi"/>
          <w:bCs/>
          <w:lang w:val="en-US"/>
        </w:rPr>
        <w:t xml:space="preserve"> uz razvoj metodoloških alata </w:t>
      </w:r>
      <w:r w:rsidR="006D502C">
        <w:rPr>
          <w:rFonts w:cstheme="minorHAnsi"/>
          <w:bCs/>
          <w:lang w:val="en-US"/>
        </w:rPr>
        <w:t xml:space="preserve">kako bi </w:t>
      </w:r>
      <w:r w:rsidRPr="00FE6501">
        <w:rPr>
          <w:rFonts w:cstheme="minorHAnsi"/>
          <w:bCs/>
          <w:lang w:val="en-US"/>
        </w:rPr>
        <w:t>sveobuhvatn</w:t>
      </w:r>
      <w:r w:rsidR="006D502C">
        <w:rPr>
          <w:rFonts w:cstheme="minorHAnsi"/>
          <w:bCs/>
          <w:lang w:val="en-US"/>
        </w:rPr>
        <w:t>i</w:t>
      </w:r>
      <w:r w:rsidRPr="00FE6501">
        <w:rPr>
          <w:rFonts w:cstheme="minorHAnsi"/>
          <w:bCs/>
          <w:lang w:val="en-US"/>
        </w:rPr>
        <w:t xml:space="preserve"> sistem za upravljanje nepravilnostima i otkrivanje/sprečavanje prevara</w:t>
      </w:r>
      <w:r w:rsidR="006D502C">
        <w:rPr>
          <w:rFonts w:cstheme="minorHAnsi"/>
          <w:bCs/>
          <w:lang w:val="en-US"/>
        </w:rPr>
        <w:t xml:space="preserve"> adekvatno funkcionisao u praksi</w:t>
      </w:r>
      <w:r w:rsidRPr="00FE6501">
        <w:rPr>
          <w:rFonts w:cstheme="minorHAnsi"/>
          <w:bCs/>
          <w:lang w:val="en-US"/>
        </w:rPr>
        <w:t>.</w:t>
      </w:r>
    </w:p>
    <w:p w14:paraId="78F6D81C" w14:textId="7FCB57E6" w:rsidR="0079540E" w:rsidRPr="00FE6501" w:rsidRDefault="0079540E" w:rsidP="0079540E">
      <w:pPr>
        <w:pStyle w:val="ListParagraph"/>
        <w:numPr>
          <w:ilvl w:val="0"/>
          <w:numId w:val="26"/>
        </w:numPr>
        <w:tabs>
          <w:tab w:val="left" w:pos="5872"/>
        </w:tabs>
        <w:spacing w:before="120" w:after="0" w:line="276" w:lineRule="auto"/>
        <w:jc w:val="both"/>
        <w:rPr>
          <w:rFonts w:cstheme="minorHAnsi"/>
          <w:bCs/>
        </w:rPr>
      </w:pPr>
      <w:r w:rsidRPr="00FE6501">
        <w:rPr>
          <w:rFonts w:cstheme="minorHAnsi"/>
          <w:bCs/>
        </w:rPr>
        <w:t>Treći Operativni cilj pod na</w:t>
      </w:r>
      <w:r w:rsidR="00EE2F4C" w:rsidRPr="00FE6501">
        <w:rPr>
          <w:rFonts w:cstheme="minorHAnsi"/>
          <w:bCs/>
        </w:rPr>
        <w:t>zi</w:t>
      </w:r>
      <w:r w:rsidRPr="00FE6501">
        <w:rPr>
          <w:rFonts w:cstheme="minorHAnsi"/>
          <w:bCs/>
        </w:rPr>
        <w:t>vom „Jačanje administrativnih kapaciteta AFCOS sistema“</w:t>
      </w:r>
      <w:r w:rsidR="006D502C">
        <w:rPr>
          <w:rFonts w:cstheme="minorHAnsi"/>
          <w:bCs/>
          <w:lang w:val="sr-Latn-RS"/>
        </w:rPr>
        <w:t xml:space="preserve"> </w:t>
      </w:r>
      <w:r w:rsidRPr="00FE6501">
        <w:rPr>
          <w:rFonts w:cstheme="minorHAnsi"/>
          <w:bCs/>
        </w:rPr>
        <w:t xml:space="preserve">naglašava </w:t>
      </w:r>
      <w:r w:rsidR="00EE2F4C" w:rsidRPr="00FE6501">
        <w:rPr>
          <w:rFonts w:cstheme="minorHAnsi"/>
          <w:bCs/>
        </w:rPr>
        <w:t>kreiranje</w:t>
      </w:r>
      <w:r w:rsidRPr="00FE6501">
        <w:rPr>
          <w:rFonts w:cstheme="minorHAnsi"/>
          <w:bCs/>
        </w:rPr>
        <w:t xml:space="preserve"> i </w:t>
      </w:r>
      <w:r w:rsidR="00EE2F4C" w:rsidRPr="00FE6501">
        <w:rPr>
          <w:rFonts w:cstheme="minorHAnsi"/>
          <w:bCs/>
        </w:rPr>
        <w:t>sprovođenje</w:t>
      </w:r>
      <w:r w:rsidRPr="00FE6501">
        <w:rPr>
          <w:rFonts w:cstheme="minorHAnsi"/>
          <w:bCs/>
        </w:rPr>
        <w:t xml:space="preserve"> </w:t>
      </w:r>
      <w:r w:rsidR="006D502C">
        <w:rPr>
          <w:rFonts w:cstheme="minorHAnsi"/>
          <w:bCs/>
          <w:lang w:val="sr-Latn-RS"/>
        </w:rPr>
        <w:t>jasno definisane i sveobuhvatne</w:t>
      </w:r>
      <w:r w:rsidRPr="00FE6501">
        <w:rPr>
          <w:rFonts w:cstheme="minorHAnsi"/>
          <w:bCs/>
        </w:rPr>
        <w:t xml:space="preserve"> šeme obuk</w:t>
      </w:r>
      <w:r w:rsidR="00EE2F4C" w:rsidRPr="00FE6501">
        <w:rPr>
          <w:rFonts w:cstheme="minorHAnsi"/>
          <w:bCs/>
        </w:rPr>
        <w:t>a</w:t>
      </w:r>
      <w:r w:rsidRPr="00FE6501">
        <w:rPr>
          <w:rFonts w:cstheme="minorHAnsi"/>
          <w:bCs/>
        </w:rPr>
        <w:t xml:space="preserve"> u oblastima </w:t>
      </w:r>
      <w:r w:rsidR="006D502C" w:rsidRPr="00FE6501">
        <w:rPr>
          <w:rFonts w:cstheme="minorHAnsi"/>
          <w:bCs/>
        </w:rPr>
        <w:t>otkrivanja</w:t>
      </w:r>
      <w:r w:rsidR="006D502C">
        <w:rPr>
          <w:rFonts w:cstheme="minorHAnsi"/>
          <w:bCs/>
          <w:lang w:val="sr-Latn-RS"/>
        </w:rPr>
        <w:t>,</w:t>
      </w:r>
      <w:r w:rsidR="006D502C" w:rsidRPr="00FE6501">
        <w:rPr>
          <w:rFonts w:cstheme="minorHAnsi"/>
          <w:bCs/>
        </w:rPr>
        <w:t xml:space="preserve"> </w:t>
      </w:r>
      <w:r w:rsidRPr="00FE6501">
        <w:rPr>
          <w:rFonts w:cstheme="minorHAnsi"/>
          <w:bCs/>
        </w:rPr>
        <w:t xml:space="preserve">prevencije prevara i upravljanja nepravilnostima. </w:t>
      </w:r>
    </w:p>
    <w:p w14:paraId="30CDB52A" w14:textId="77777777" w:rsidR="0079540E" w:rsidRPr="00FE6501" w:rsidRDefault="0079540E" w:rsidP="0079540E">
      <w:pPr>
        <w:pStyle w:val="ListParagraph"/>
        <w:tabs>
          <w:tab w:val="left" w:pos="5872"/>
        </w:tabs>
        <w:spacing w:before="120" w:after="0" w:line="276" w:lineRule="auto"/>
        <w:jc w:val="both"/>
        <w:rPr>
          <w:rFonts w:cstheme="minorHAnsi"/>
          <w:bCs/>
        </w:rPr>
      </w:pPr>
    </w:p>
    <w:p w14:paraId="5EABE3FF" w14:textId="2032077B"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Svaki operativni cilj ostvaren je</w:t>
      </w:r>
      <w:r w:rsidR="0057053C">
        <w:rPr>
          <w:rFonts w:cstheme="minorHAnsi"/>
          <w:bCs/>
          <w:lang w:val="sr-Latn-RS"/>
        </w:rPr>
        <w:t xml:space="preserve"> s</w:t>
      </w:r>
      <w:r w:rsidR="001F27D4">
        <w:rPr>
          <w:rFonts w:cstheme="minorHAnsi"/>
          <w:bCs/>
          <w:lang w:val="sr-Latn-RS"/>
        </w:rPr>
        <w:t>provođenjem</w:t>
      </w:r>
      <w:r w:rsidRPr="00FE6501">
        <w:rPr>
          <w:rFonts w:cstheme="minorHAnsi"/>
          <w:bCs/>
        </w:rPr>
        <w:t xml:space="preserve"> seta mjera (ukupno 10), s tim da su po</w:t>
      </w:r>
      <w:r w:rsidR="00986836" w:rsidRPr="00FE6501">
        <w:rPr>
          <w:rFonts w:cstheme="minorHAnsi"/>
          <w:bCs/>
          <w:lang w:val="sr-Latn-RS"/>
        </w:rPr>
        <w:t>sled</w:t>
      </w:r>
      <w:r w:rsidRPr="00FE6501">
        <w:rPr>
          <w:rFonts w:cstheme="minorHAnsi"/>
          <w:bCs/>
        </w:rPr>
        <w:t xml:space="preserve">nje </w:t>
      </w:r>
      <w:r w:rsidR="00986836" w:rsidRPr="00FE6501">
        <w:rPr>
          <w:rFonts w:cstheme="minorHAnsi"/>
          <w:bCs/>
          <w:lang w:val="sr-Latn-RS"/>
        </w:rPr>
        <w:t xml:space="preserve">mjere </w:t>
      </w:r>
      <w:r w:rsidRPr="00FE6501">
        <w:rPr>
          <w:rFonts w:cstheme="minorHAnsi"/>
          <w:bCs/>
        </w:rPr>
        <w:t xml:space="preserve">materijalizovane nizom aktivnosti (ukupno </w:t>
      </w:r>
      <w:r w:rsidR="001F27D4">
        <w:rPr>
          <w:rFonts w:cstheme="minorHAnsi"/>
          <w:bCs/>
          <w:lang w:val="sr-Latn-RS"/>
        </w:rPr>
        <w:t xml:space="preserve">ih je </w:t>
      </w:r>
      <w:r w:rsidRPr="00FE6501">
        <w:rPr>
          <w:rFonts w:cstheme="minorHAnsi"/>
          <w:bCs/>
        </w:rPr>
        <w:t xml:space="preserve">20), koje su se odvijale u okviru godišnjih akcionih planova. </w:t>
      </w:r>
    </w:p>
    <w:p w14:paraId="0356A261" w14:textId="4E389192"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U okviru Strategije 2019 – 2022 predviđena je eksterna, nezavisna i ex-post evaluacija Strategije, kao sastavni dio završnog izvještaja o sprovođenju Strategije, koji će biti dostavljen Vladi Crne Gore, ali i kao</w:t>
      </w:r>
      <w:r w:rsidR="00986836" w:rsidRPr="00FE6501">
        <w:rPr>
          <w:rFonts w:cstheme="minorHAnsi"/>
          <w:bCs/>
          <w:lang w:val="sr-Latn-RS"/>
        </w:rPr>
        <w:t xml:space="preserve"> naučene lekcije,</w:t>
      </w:r>
      <w:r w:rsidRPr="00FE6501">
        <w:rPr>
          <w:rFonts w:cstheme="minorHAnsi"/>
          <w:bCs/>
        </w:rPr>
        <w:t xml:space="preserve"> koja </w:t>
      </w:r>
      <w:r w:rsidR="00986836" w:rsidRPr="00FE6501">
        <w:rPr>
          <w:rFonts w:cstheme="minorHAnsi"/>
          <w:bCs/>
          <w:lang w:val="sr-Latn-RS"/>
        </w:rPr>
        <w:t>će predstavljati</w:t>
      </w:r>
      <w:r w:rsidRPr="00FE6501">
        <w:rPr>
          <w:rFonts w:cstheme="minorHAnsi"/>
          <w:bCs/>
        </w:rPr>
        <w:t xml:space="preserve"> korisn</w:t>
      </w:r>
      <w:r w:rsidR="00986836" w:rsidRPr="00FE6501">
        <w:rPr>
          <w:rFonts w:cstheme="minorHAnsi"/>
          <w:bCs/>
          <w:lang w:val="sr-Latn-RS"/>
        </w:rPr>
        <w:t>e</w:t>
      </w:r>
      <w:r w:rsidRPr="00FE6501">
        <w:rPr>
          <w:rFonts w:cstheme="minorHAnsi"/>
          <w:bCs/>
        </w:rPr>
        <w:t xml:space="preserve"> preporuk</w:t>
      </w:r>
      <w:r w:rsidR="00986836" w:rsidRPr="00FE6501">
        <w:rPr>
          <w:rFonts w:cstheme="minorHAnsi"/>
          <w:bCs/>
          <w:lang w:val="sr-Latn-RS"/>
        </w:rPr>
        <w:t>e</w:t>
      </w:r>
      <w:r w:rsidRPr="00FE6501">
        <w:rPr>
          <w:rFonts w:cstheme="minorHAnsi"/>
          <w:bCs/>
        </w:rPr>
        <w:t xml:space="preserve"> za novu strategiju</w:t>
      </w:r>
      <w:r w:rsidR="00986836" w:rsidRPr="00FE6501">
        <w:rPr>
          <w:rFonts w:cstheme="minorHAnsi"/>
          <w:bCs/>
          <w:lang w:val="sr-Latn-RS"/>
        </w:rPr>
        <w:t>, planiranu za period</w:t>
      </w:r>
      <w:r w:rsidRPr="00FE6501">
        <w:rPr>
          <w:rFonts w:cstheme="minorHAnsi"/>
          <w:bCs/>
        </w:rPr>
        <w:t xml:space="preserve"> 2024 – 2027</w:t>
      </w:r>
      <w:r w:rsidR="00986836" w:rsidRPr="00FE6501">
        <w:rPr>
          <w:rFonts w:cstheme="minorHAnsi"/>
          <w:bCs/>
          <w:lang w:val="sr-Latn-RS"/>
        </w:rPr>
        <w:t xml:space="preserve"> godine</w:t>
      </w:r>
      <w:r w:rsidRPr="00FE6501">
        <w:rPr>
          <w:rFonts w:cstheme="minorHAnsi"/>
          <w:bCs/>
        </w:rPr>
        <w:t>. U tom kontekstu, sprovedena je ex-post evaluacija Strategije, sa primarnim ciljem da se kritičk</w:t>
      </w:r>
      <w:r w:rsidR="001125B9" w:rsidRPr="00FE6501">
        <w:rPr>
          <w:rFonts w:cstheme="minorHAnsi"/>
          <w:bCs/>
          <w:lang w:val="sr-Latn-RS"/>
        </w:rPr>
        <w:t>i</w:t>
      </w:r>
      <w:r w:rsidRPr="00FE6501">
        <w:rPr>
          <w:rFonts w:cstheme="minorHAnsi"/>
          <w:bCs/>
        </w:rPr>
        <w:t xml:space="preserve"> procijeni relevantnost, efektivnost i dodata vrijednost Strategije, razumije i identifikuje šta je uspjelo, a šta nije, te da se izvuku </w:t>
      </w:r>
      <w:r w:rsidRPr="00FE6501">
        <w:rPr>
          <w:rFonts w:cstheme="minorHAnsi"/>
          <w:bCs/>
        </w:rPr>
        <w:lastRenderedPageBreak/>
        <w:t xml:space="preserve">pouke </w:t>
      </w:r>
      <w:r w:rsidR="001125B9" w:rsidRPr="00FE6501">
        <w:rPr>
          <w:rFonts w:cstheme="minorHAnsi"/>
          <w:bCs/>
          <w:lang w:val="sr-Latn-RS"/>
        </w:rPr>
        <w:t>koje bi predstavljale osnovu za</w:t>
      </w:r>
      <w:r w:rsidRPr="00FE6501">
        <w:rPr>
          <w:rFonts w:cstheme="minorHAnsi"/>
          <w:bCs/>
        </w:rPr>
        <w:t xml:space="preserve"> uspostav</w:t>
      </w:r>
      <w:r w:rsidR="001125B9" w:rsidRPr="00FE6501">
        <w:rPr>
          <w:rFonts w:cstheme="minorHAnsi"/>
          <w:bCs/>
          <w:lang w:val="sr-Latn-RS"/>
        </w:rPr>
        <w:t>ljanje</w:t>
      </w:r>
      <w:r w:rsidRPr="00FE6501">
        <w:rPr>
          <w:rFonts w:cstheme="minorHAnsi"/>
          <w:bCs/>
        </w:rPr>
        <w:t xml:space="preserve"> sveobuhvat</w:t>
      </w:r>
      <w:r w:rsidR="001125B9" w:rsidRPr="00FE6501">
        <w:rPr>
          <w:rFonts w:cstheme="minorHAnsi"/>
          <w:bCs/>
          <w:lang w:val="sr-Latn-RS"/>
        </w:rPr>
        <w:t>nog</w:t>
      </w:r>
      <w:r w:rsidRPr="00FE6501">
        <w:rPr>
          <w:rFonts w:cstheme="minorHAnsi"/>
          <w:bCs/>
        </w:rPr>
        <w:t xml:space="preserve"> okvir</w:t>
      </w:r>
      <w:r w:rsidR="001125B9" w:rsidRPr="00FE6501">
        <w:rPr>
          <w:rFonts w:cstheme="minorHAnsi"/>
          <w:bCs/>
          <w:lang w:val="sr-Latn-RS"/>
        </w:rPr>
        <w:t>a</w:t>
      </w:r>
      <w:r w:rsidRPr="00FE6501">
        <w:rPr>
          <w:rFonts w:cstheme="minorHAnsi"/>
          <w:bCs/>
        </w:rPr>
        <w:t xml:space="preserve"> za zaštitu finansijskih interesa EU u zemlji</w:t>
      </w:r>
      <w:r w:rsidR="001125B9" w:rsidRPr="00FE6501">
        <w:rPr>
          <w:rFonts w:cstheme="minorHAnsi"/>
          <w:bCs/>
          <w:lang w:val="sr-Latn-RS"/>
        </w:rPr>
        <w:t>,</w:t>
      </w:r>
      <w:r w:rsidRPr="00FE6501">
        <w:rPr>
          <w:rFonts w:cstheme="minorHAnsi"/>
          <w:bCs/>
        </w:rPr>
        <w:t xml:space="preserve"> i da</w:t>
      </w:r>
      <w:r w:rsidR="006D5865" w:rsidRPr="00FE6501">
        <w:rPr>
          <w:rFonts w:cstheme="minorHAnsi"/>
          <w:bCs/>
          <w:lang w:val="sr-Latn-RS"/>
        </w:rPr>
        <w:t>l</w:t>
      </w:r>
      <w:r w:rsidR="001125B9" w:rsidRPr="00FE6501">
        <w:rPr>
          <w:rFonts w:cstheme="minorHAnsi"/>
          <w:bCs/>
          <w:lang w:val="sr-Latn-RS"/>
        </w:rPr>
        <w:t>e</w:t>
      </w:r>
      <w:r w:rsidRPr="00FE6501">
        <w:rPr>
          <w:rFonts w:cstheme="minorHAnsi"/>
          <w:bCs/>
        </w:rPr>
        <w:t xml:space="preserve"> preporuke za dizajn </w:t>
      </w:r>
      <w:r w:rsidR="001125B9" w:rsidRPr="00FE6501">
        <w:rPr>
          <w:rFonts w:cstheme="minorHAnsi"/>
          <w:bCs/>
          <w:lang w:val="sr-Latn-RS"/>
        </w:rPr>
        <w:t>naredne strategije</w:t>
      </w:r>
      <w:r w:rsidRPr="00FE6501">
        <w:rPr>
          <w:rFonts w:cstheme="minorHAnsi"/>
          <w:bCs/>
        </w:rPr>
        <w:t xml:space="preserve">. </w:t>
      </w:r>
    </w:p>
    <w:p w14:paraId="2DA01691" w14:textId="042D8BBF"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Na osnovu identifikacije potreb</w:t>
      </w:r>
      <w:r w:rsidR="006D5865" w:rsidRPr="00FE6501">
        <w:rPr>
          <w:rFonts w:cstheme="minorHAnsi"/>
          <w:bCs/>
          <w:lang w:val="sr-Latn-RS"/>
        </w:rPr>
        <w:t>a</w:t>
      </w:r>
      <w:r w:rsidRPr="00FE6501">
        <w:rPr>
          <w:rFonts w:cstheme="minorHAnsi"/>
          <w:bCs/>
        </w:rPr>
        <w:t xml:space="preserve"> AFCOS </w:t>
      </w:r>
      <w:r w:rsidR="006D5865" w:rsidRPr="00FE6501">
        <w:rPr>
          <w:rFonts w:cstheme="minorHAnsi"/>
          <w:bCs/>
          <w:lang w:val="sr-Latn-RS"/>
        </w:rPr>
        <w:t>kancelarije</w:t>
      </w:r>
      <w:r w:rsidRPr="00FE6501">
        <w:rPr>
          <w:rFonts w:cstheme="minorHAnsi"/>
          <w:bCs/>
        </w:rPr>
        <w:t xml:space="preserve"> kao glavnog korisnika, uzimajući u obzir dostupnost podataka (i primarnih i sekundarnih) i ograničenja evaluacije, kriterij</w:t>
      </w:r>
      <w:r w:rsidR="006D5865" w:rsidRPr="00FE6501">
        <w:rPr>
          <w:rFonts w:cstheme="minorHAnsi"/>
          <w:bCs/>
          <w:lang w:val="sr-Latn-RS"/>
        </w:rPr>
        <w:t>umi</w:t>
      </w:r>
      <w:r w:rsidRPr="00FE6501">
        <w:rPr>
          <w:rFonts w:cstheme="minorHAnsi"/>
          <w:bCs/>
        </w:rPr>
        <w:t xml:space="preserve"> relevantnosti i djelotvornosti su stavljeni pod lupu i formulisana su vodeća evaluaciona pitanja. Primijenjeni metodološki okvir zasnovan je na relevantnim normativnim dokumentima Evropske komisije, OECD-a i </w:t>
      </w:r>
      <w:r w:rsidR="006D5865" w:rsidRPr="00FE6501">
        <w:rPr>
          <w:rFonts w:cstheme="minorHAnsi"/>
          <w:bCs/>
          <w:lang w:val="sr-Latn-RS"/>
        </w:rPr>
        <w:t>državne administracije</w:t>
      </w:r>
      <w:r w:rsidRPr="00FE6501">
        <w:rPr>
          <w:rFonts w:cstheme="minorHAnsi"/>
          <w:bCs/>
        </w:rPr>
        <w:t xml:space="preserve"> Crne Gore, dok su kombinovane metode prikupljanja kvalitativnih i kvantitativnih podataka, kroz a) pregled postojećih dokumenata, b) distribuciju upitnika, c) vođenje polustrukturiranih intervjua i d) razvoj prilagođenih matrica alata za bodovanje (Aneks I, Matrica relevantnosti). Ključni nalazi evaluacije </w:t>
      </w:r>
      <w:r w:rsidR="00773471" w:rsidRPr="00FE6501">
        <w:rPr>
          <w:rFonts w:cstheme="minorHAnsi"/>
          <w:bCs/>
          <w:lang w:val="sr-Latn-RS"/>
        </w:rPr>
        <w:t>su struktuirani na način da su uzeta u obzir</w:t>
      </w:r>
      <w:r w:rsidRPr="00FE6501">
        <w:rPr>
          <w:rFonts w:cstheme="minorHAnsi"/>
          <w:bCs/>
        </w:rPr>
        <w:t xml:space="preserve"> evaluaci</w:t>
      </w:r>
      <w:r w:rsidR="00773471" w:rsidRPr="00FE6501">
        <w:rPr>
          <w:rFonts w:cstheme="minorHAnsi"/>
          <w:bCs/>
          <w:lang w:val="sr-Latn-RS"/>
        </w:rPr>
        <w:t>ona</w:t>
      </w:r>
      <w:r w:rsidRPr="00FE6501">
        <w:rPr>
          <w:rFonts w:cstheme="minorHAnsi"/>
          <w:bCs/>
        </w:rPr>
        <w:t xml:space="preserve"> pitanja i </w:t>
      </w:r>
      <w:r w:rsidR="00773471" w:rsidRPr="00FE6501">
        <w:rPr>
          <w:rFonts w:cstheme="minorHAnsi"/>
          <w:bCs/>
          <w:lang w:val="sr-Latn-RS"/>
        </w:rPr>
        <w:t>odgovarajući</w:t>
      </w:r>
      <w:r w:rsidRPr="00FE6501">
        <w:rPr>
          <w:rFonts w:cstheme="minorHAnsi"/>
          <w:bCs/>
        </w:rPr>
        <w:t xml:space="preserve"> kriteri</w:t>
      </w:r>
      <w:r w:rsidR="00773471" w:rsidRPr="00FE6501">
        <w:rPr>
          <w:rFonts w:cstheme="minorHAnsi"/>
          <w:bCs/>
          <w:lang w:val="sr-Latn-RS"/>
        </w:rPr>
        <w:t>jumi</w:t>
      </w:r>
      <w:r w:rsidRPr="00FE6501">
        <w:rPr>
          <w:rFonts w:cstheme="minorHAnsi"/>
          <w:bCs/>
        </w:rPr>
        <w:t xml:space="preserve"> prosuđivanja koje su odobrili </w:t>
      </w:r>
      <w:r w:rsidR="00773471" w:rsidRPr="00FE6501">
        <w:rPr>
          <w:rFonts w:cstheme="minorHAnsi"/>
          <w:bCs/>
          <w:lang w:val="sr-Latn-RS"/>
        </w:rPr>
        <w:t xml:space="preserve">kancelarija AFCOS-a, </w:t>
      </w:r>
      <w:r w:rsidR="005D3A16" w:rsidRPr="00FE6501">
        <w:rPr>
          <w:rFonts w:cstheme="minorHAnsi"/>
          <w:bCs/>
          <w:lang w:val="sr-Latn-RS"/>
        </w:rPr>
        <w:t xml:space="preserve">odnosno </w:t>
      </w:r>
      <w:r w:rsidRPr="00FE6501">
        <w:rPr>
          <w:rFonts w:cstheme="minorHAnsi"/>
          <w:bCs/>
        </w:rPr>
        <w:t>evaluaci</w:t>
      </w:r>
      <w:r w:rsidR="00773471" w:rsidRPr="00FE6501">
        <w:rPr>
          <w:rFonts w:cstheme="minorHAnsi"/>
          <w:bCs/>
          <w:lang w:val="sr-Latn-RS"/>
        </w:rPr>
        <w:t xml:space="preserve">oni </w:t>
      </w:r>
      <w:r w:rsidR="00773471" w:rsidRPr="00FE6501">
        <w:rPr>
          <w:rFonts w:cstheme="minorHAnsi"/>
          <w:bCs/>
        </w:rPr>
        <w:t>tim</w:t>
      </w:r>
      <w:r w:rsidR="005D3A16" w:rsidRPr="00FE6501">
        <w:rPr>
          <w:rFonts w:cstheme="minorHAnsi"/>
          <w:bCs/>
          <w:lang w:val="sr-Latn-RS"/>
        </w:rPr>
        <w:t>,</w:t>
      </w:r>
      <w:r w:rsidR="00773471" w:rsidRPr="00FE6501">
        <w:rPr>
          <w:rFonts w:cstheme="minorHAnsi"/>
          <w:bCs/>
        </w:rPr>
        <w:t xml:space="preserve"> </w:t>
      </w:r>
      <w:r w:rsidR="00773471" w:rsidRPr="00FE6501">
        <w:rPr>
          <w:rFonts w:cstheme="minorHAnsi"/>
          <w:bCs/>
          <w:lang w:val="sr-Latn-RS"/>
        </w:rPr>
        <w:t>u skladu sa</w:t>
      </w:r>
      <w:r w:rsidRPr="00FE6501">
        <w:rPr>
          <w:rFonts w:cstheme="minorHAnsi"/>
          <w:bCs/>
        </w:rPr>
        <w:t xml:space="preserve"> </w:t>
      </w:r>
      <w:r w:rsidR="00B16C21" w:rsidRPr="00FE6501">
        <w:rPr>
          <w:rFonts w:cstheme="minorHAnsi"/>
          <w:bCs/>
          <w:lang w:val="sr-Latn-RS"/>
        </w:rPr>
        <w:t>Map</w:t>
      </w:r>
      <w:r w:rsidRPr="00FE6501">
        <w:rPr>
          <w:rFonts w:cstheme="minorHAnsi"/>
          <w:bCs/>
        </w:rPr>
        <w:t xml:space="preserve">om puta za evaluaciju (Aneks IV). </w:t>
      </w:r>
    </w:p>
    <w:p w14:paraId="718E7C69" w14:textId="5C097294"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Što se tiče </w:t>
      </w:r>
      <w:r w:rsidR="005D3A16" w:rsidRPr="00FE6501">
        <w:rPr>
          <w:rFonts w:cstheme="minorHAnsi"/>
          <w:bCs/>
          <w:lang w:val="sr-Latn-RS"/>
        </w:rPr>
        <w:t>procjene</w:t>
      </w:r>
      <w:r w:rsidRPr="00FE6501">
        <w:rPr>
          <w:rFonts w:cstheme="minorHAnsi"/>
          <w:bCs/>
        </w:rPr>
        <w:t xml:space="preserve"> relevantnosti, efektivnosti i doda</w:t>
      </w:r>
      <w:r w:rsidR="005D3A16" w:rsidRPr="00FE6501">
        <w:rPr>
          <w:rFonts w:cstheme="minorHAnsi"/>
          <w:bCs/>
          <w:lang w:val="sr-Latn-RS"/>
        </w:rPr>
        <w:t>t</w:t>
      </w:r>
      <w:r w:rsidRPr="00FE6501">
        <w:rPr>
          <w:rFonts w:cstheme="minorHAnsi"/>
          <w:bCs/>
        </w:rPr>
        <w:t>e vrijednosti Strategije 2019 – 2022, izvedeni su sljedeći ključni nalazi:</w:t>
      </w:r>
    </w:p>
    <w:p w14:paraId="0247A9C8" w14:textId="77777777" w:rsidR="0079540E" w:rsidRPr="00FE6501" w:rsidRDefault="0079540E" w:rsidP="0079540E">
      <w:pPr>
        <w:tabs>
          <w:tab w:val="left" w:pos="5872"/>
        </w:tabs>
        <w:spacing w:before="120" w:after="0" w:line="276" w:lineRule="auto"/>
        <w:jc w:val="both"/>
        <w:rPr>
          <w:rFonts w:cstheme="minorHAnsi"/>
          <w:bCs/>
          <w:u w:val="single"/>
          <w:lang w:val="en-US"/>
        </w:rPr>
      </w:pPr>
      <w:r w:rsidRPr="00FE6501">
        <w:rPr>
          <w:rFonts w:cstheme="minorHAnsi"/>
          <w:bCs/>
          <w:u w:val="single"/>
          <w:lang w:val="en-US"/>
        </w:rPr>
        <w:t>Relevantnost.</w:t>
      </w:r>
    </w:p>
    <w:p w14:paraId="124904D9" w14:textId="7558F62A" w:rsidR="0079540E" w:rsidRPr="00FE6501" w:rsidRDefault="0079540E" w:rsidP="0079540E">
      <w:pPr>
        <w:pStyle w:val="ListParagraph"/>
        <w:numPr>
          <w:ilvl w:val="0"/>
          <w:numId w:val="27"/>
        </w:numPr>
        <w:tabs>
          <w:tab w:val="left" w:pos="5872"/>
        </w:tabs>
        <w:spacing w:before="120" w:after="0" w:line="276" w:lineRule="auto"/>
        <w:jc w:val="both"/>
        <w:rPr>
          <w:rFonts w:cstheme="minorHAnsi"/>
          <w:bCs/>
          <w:lang w:val="en-US"/>
        </w:rPr>
      </w:pPr>
      <w:r w:rsidRPr="00FE6501">
        <w:rPr>
          <w:rFonts w:cstheme="minorHAnsi"/>
          <w:bCs/>
          <w:lang w:val="en-US"/>
        </w:rPr>
        <w:t>Nalaz 1: Postoji snažna korelacija između deklari</w:t>
      </w:r>
      <w:r w:rsidR="00D44AFC" w:rsidRPr="00FE6501">
        <w:rPr>
          <w:rFonts w:cstheme="minorHAnsi"/>
          <w:bCs/>
          <w:lang w:val="en-US"/>
        </w:rPr>
        <w:t>s</w:t>
      </w:r>
      <w:r w:rsidRPr="00FE6501">
        <w:rPr>
          <w:rFonts w:cstheme="minorHAnsi"/>
          <w:bCs/>
          <w:lang w:val="en-US"/>
        </w:rPr>
        <w:t xml:space="preserve">anih ciljeva, </w:t>
      </w:r>
      <w:r w:rsidR="000E4DFA" w:rsidRPr="00FE6501">
        <w:rPr>
          <w:rFonts w:cstheme="minorHAnsi"/>
          <w:bCs/>
          <w:lang w:val="en-US"/>
        </w:rPr>
        <w:t>zadataka</w:t>
      </w:r>
      <w:r w:rsidRPr="00FE6501">
        <w:rPr>
          <w:rFonts w:cstheme="minorHAnsi"/>
          <w:bCs/>
          <w:lang w:val="en-US"/>
        </w:rPr>
        <w:t xml:space="preserve"> i mjera </w:t>
      </w:r>
      <w:r w:rsidR="00EE70FF">
        <w:rPr>
          <w:rFonts w:cstheme="minorHAnsi"/>
          <w:bCs/>
          <w:lang w:val="en-US"/>
        </w:rPr>
        <w:t>S</w:t>
      </w:r>
      <w:r w:rsidRPr="00FE6501">
        <w:rPr>
          <w:rFonts w:cstheme="minorHAnsi"/>
          <w:bCs/>
          <w:lang w:val="en-US"/>
        </w:rPr>
        <w:t>trategije 2019 – 2022</w:t>
      </w:r>
      <w:r w:rsidR="00773855" w:rsidRPr="00FE6501">
        <w:rPr>
          <w:rFonts w:cstheme="minorHAnsi"/>
          <w:bCs/>
          <w:lang w:val="en-US"/>
        </w:rPr>
        <w:t>,</w:t>
      </w:r>
      <w:r w:rsidRPr="00FE6501">
        <w:rPr>
          <w:rFonts w:cstheme="minorHAnsi"/>
          <w:bCs/>
          <w:lang w:val="en-US"/>
        </w:rPr>
        <w:t xml:space="preserve"> i prioriteta korisnika, što ukazuje da je Strategija </w:t>
      </w:r>
      <w:r w:rsidR="00773855" w:rsidRPr="00FE6501">
        <w:rPr>
          <w:rFonts w:cstheme="minorHAnsi"/>
          <w:bCs/>
          <w:lang w:val="en-US"/>
        </w:rPr>
        <w:t>kreirana</w:t>
      </w:r>
      <w:r w:rsidRPr="00FE6501">
        <w:rPr>
          <w:rFonts w:cstheme="minorHAnsi"/>
          <w:bCs/>
          <w:lang w:val="en-US"/>
        </w:rPr>
        <w:t xml:space="preserve"> u skladu sa identifikovanim potrebama.</w:t>
      </w:r>
    </w:p>
    <w:p w14:paraId="164BAC3D" w14:textId="77777777" w:rsidR="0079540E" w:rsidRPr="00FE6501" w:rsidRDefault="0079540E" w:rsidP="0079540E">
      <w:pPr>
        <w:pStyle w:val="ListParagraph"/>
        <w:tabs>
          <w:tab w:val="left" w:pos="5872"/>
        </w:tabs>
        <w:spacing w:before="120" w:after="0" w:line="276" w:lineRule="auto"/>
        <w:ind w:left="578"/>
        <w:jc w:val="both"/>
        <w:rPr>
          <w:rFonts w:cstheme="minorHAnsi"/>
          <w:bCs/>
          <w:lang w:val="en-US"/>
        </w:rPr>
      </w:pPr>
    </w:p>
    <w:p w14:paraId="701B5B80" w14:textId="3066DDD5" w:rsidR="0079540E" w:rsidRPr="00FE6501" w:rsidRDefault="0079540E" w:rsidP="0079540E">
      <w:pPr>
        <w:pStyle w:val="ListParagraph"/>
        <w:numPr>
          <w:ilvl w:val="0"/>
          <w:numId w:val="27"/>
        </w:numPr>
        <w:tabs>
          <w:tab w:val="left" w:pos="5872"/>
        </w:tabs>
        <w:spacing w:before="120" w:after="0" w:line="276" w:lineRule="auto"/>
        <w:jc w:val="both"/>
        <w:rPr>
          <w:rFonts w:cstheme="minorHAnsi"/>
          <w:bCs/>
          <w:lang w:val="en-US"/>
        </w:rPr>
      </w:pPr>
      <w:r w:rsidRPr="00FE6501">
        <w:rPr>
          <w:rFonts w:cstheme="minorHAnsi"/>
          <w:bCs/>
          <w:lang w:val="en-US"/>
        </w:rPr>
        <w:t xml:space="preserve">Nalaz 2: Otvorene konsultacije su podržale dizajn i izradu Strategije. Međutim, stepen uključenosti zainteresovanih strana u </w:t>
      </w:r>
      <w:r w:rsidR="00EE70FF">
        <w:rPr>
          <w:rFonts w:cstheme="minorHAnsi"/>
          <w:bCs/>
          <w:lang w:val="en-US"/>
        </w:rPr>
        <w:t xml:space="preserve">sami </w:t>
      </w:r>
      <w:r w:rsidRPr="00FE6501">
        <w:rPr>
          <w:rFonts w:cstheme="minorHAnsi"/>
          <w:bCs/>
          <w:lang w:val="en-US"/>
        </w:rPr>
        <w:t>proces bio je izuzetno nizak.</w:t>
      </w:r>
    </w:p>
    <w:p w14:paraId="6492384E" w14:textId="77777777" w:rsidR="0079540E" w:rsidRPr="00FE6501" w:rsidRDefault="0079540E" w:rsidP="0079540E">
      <w:pPr>
        <w:pStyle w:val="ListParagraph"/>
        <w:rPr>
          <w:rFonts w:cstheme="minorHAnsi"/>
          <w:bCs/>
          <w:lang w:val="en-US"/>
        </w:rPr>
      </w:pPr>
    </w:p>
    <w:p w14:paraId="4DB5FAF2" w14:textId="10BEE566" w:rsidR="0079540E" w:rsidRPr="00FE6501" w:rsidRDefault="0079540E" w:rsidP="0079540E">
      <w:pPr>
        <w:pStyle w:val="ListParagraph"/>
        <w:numPr>
          <w:ilvl w:val="0"/>
          <w:numId w:val="27"/>
        </w:numPr>
        <w:tabs>
          <w:tab w:val="left" w:pos="5872"/>
        </w:tabs>
        <w:spacing w:before="120" w:after="0" w:line="276" w:lineRule="auto"/>
        <w:jc w:val="both"/>
        <w:rPr>
          <w:rFonts w:cstheme="minorHAnsi"/>
          <w:bCs/>
          <w:lang w:val="en-US"/>
        </w:rPr>
      </w:pPr>
      <w:r w:rsidRPr="00FE6501">
        <w:rPr>
          <w:rFonts w:cstheme="minorHAnsi"/>
          <w:bCs/>
          <w:lang w:val="en-US"/>
        </w:rPr>
        <w:t>Nalaz 3: Sveobuhvatna logika intervencije je djelimično uspostavljena, uz odsustvo sveobuhvatnog skupa pokazatelja rezultata i i</w:t>
      </w:r>
      <w:r w:rsidR="00773855" w:rsidRPr="00FE6501">
        <w:rPr>
          <w:rFonts w:cstheme="minorHAnsi"/>
          <w:bCs/>
          <w:lang w:val="en-US"/>
        </w:rPr>
        <w:t>ndikator</w:t>
      </w:r>
      <w:r w:rsidRPr="00FE6501">
        <w:rPr>
          <w:rFonts w:cstheme="minorHAnsi"/>
          <w:bCs/>
          <w:lang w:val="en-US"/>
        </w:rPr>
        <w:t>a, identifikovanih kao važno metodološko ograničenje.</w:t>
      </w:r>
    </w:p>
    <w:p w14:paraId="5968EB68" w14:textId="77777777" w:rsidR="0079540E" w:rsidRPr="00FE6501" w:rsidRDefault="0079540E" w:rsidP="0079540E">
      <w:pPr>
        <w:pStyle w:val="ListParagraph"/>
        <w:tabs>
          <w:tab w:val="left" w:pos="5872"/>
        </w:tabs>
        <w:spacing w:before="120" w:after="0" w:line="276" w:lineRule="auto"/>
        <w:ind w:left="578"/>
        <w:jc w:val="both"/>
        <w:rPr>
          <w:rFonts w:cstheme="minorHAnsi"/>
          <w:bCs/>
          <w:lang w:val="en-US"/>
        </w:rPr>
      </w:pPr>
    </w:p>
    <w:p w14:paraId="291BD84A" w14:textId="1BCF1D44" w:rsidR="0079540E" w:rsidRPr="00FE6501" w:rsidRDefault="0079540E" w:rsidP="0079540E">
      <w:pPr>
        <w:pStyle w:val="ListParagraph"/>
        <w:numPr>
          <w:ilvl w:val="0"/>
          <w:numId w:val="27"/>
        </w:numPr>
        <w:tabs>
          <w:tab w:val="left" w:pos="5872"/>
        </w:tabs>
        <w:spacing w:before="120" w:after="0" w:line="276" w:lineRule="auto"/>
        <w:jc w:val="both"/>
        <w:rPr>
          <w:rFonts w:cstheme="minorHAnsi"/>
          <w:bCs/>
          <w:lang w:val="en-US"/>
        </w:rPr>
      </w:pPr>
      <w:r w:rsidRPr="00FE6501">
        <w:rPr>
          <w:rFonts w:cstheme="minorHAnsi"/>
          <w:bCs/>
          <w:lang w:val="en-US"/>
        </w:rPr>
        <w:t>Nalaz 4: Strateški obim je širok i inkluzivan, pokrivajući svaku fazu ciklusa borbe protiv prevara</w:t>
      </w:r>
      <w:r w:rsidR="00A47339">
        <w:rPr>
          <w:rFonts w:cstheme="minorHAnsi"/>
          <w:bCs/>
          <w:lang w:val="en-US"/>
        </w:rPr>
        <w:t>,</w:t>
      </w:r>
      <w:r w:rsidRPr="00FE6501">
        <w:rPr>
          <w:rFonts w:cstheme="minorHAnsi"/>
          <w:bCs/>
          <w:lang w:val="en-US"/>
        </w:rPr>
        <w:t xml:space="preserve"> sa jasnim i specifičnim ciljevima, kao i visoko relevantnim mjerama koje su dalje analizirane u vremenski ograničene, ali slabo definisane aktivnosti.</w:t>
      </w:r>
    </w:p>
    <w:p w14:paraId="2C454AC1" w14:textId="77777777" w:rsidR="0079540E" w:rsidRPr="00FE6501" w:rsidRDefault="0079540E" w:rsidP="0079540E">
      <w:pPr>
        <w:pStyle w:val="ListParagraph"/>
        <w:rPr>
          <w:rFonts w:cstheme="minorHAnsi"/>
          <w:bCs/>
          <w:lang w:val="en-US"/>
        </w:rPr>
      </w:pPr>
    </w:p>
    <w:p w14:paraId="7951869B" w14:textId="77777777" w:rsidR="0079540E" w:rsidRPr="00FE6501" w:rsidRDefault="0079540E" w:rsidP="0079540E">
      <w:pPr>
        <w:pStyle w:val="ListParagraph"/>
        <w:numPr>
          <w:ilvl w:val="0"/>
          <w:numId w:val="27"/>
        </w:numPr>
        <w:tabs>
          <w:tab w:val="left" w:pos="5872"/>
        </w:tabs>
        <w:spacing w:before="120" w:after="0" w:line="276" w:lineRule="auto"/>
        <w:jc w:val="both"/>
        <w:rPr>
          <w:rFonts w:cstheme="minorHAnsi"/>
          <w:b/>
          <w:bCs/>
          <w:lang w:val="en-US"/>
        </w:rPr>
      </w:pPr>
      <w:r w:rsidRPr="00FE6501">
        <w:rPr>
          <w:rFonts w:cstheme="minorHAnsi"/>
          <w:bCs/>
          <w:lang w:val="en-US"/>
        </w:rPr>
        <w:t>Nalaz 5: Strategija ostaje veoma relevantna čak i nakon završetka tekućeg ciklusa politike (2019-2022).</w:t>
      </w:r>
    </w:p>
    <w:p w14:paraId="47A5E6DD" w14:textId="77777777" w:rsidR="0079540E" w:rsidRPr="00FE6501" w:rsidRDefault="0079540E" w:rsidP="0079540E">
      <w:pPr>
        <w:pStyle w:val="ListParagraph"/>
        <w:rPr>
          <w:rFonts w:cstheme="minorHAnsi"/>
          <w:b/>
          <w:bCs/>
          <w:lang w:val="en-US"/>
        </w:rPr>
      </w:pPr>
    </w:p>
    <w:p w14:paraId="22739902" w14:textId="77777777" w:rsidR="0079540E" w:rsidRPr="00FE6501" w:rsidRDefault="0079540E" w:rsidP="0079540E">
      <w:pPr>
        <w:tabs>
          <w:tab w:val="left" w:pos="5872"/>
        </w:tabs>
        <w:spacing w:before="120" w:after="0" w:line="276" w:lineRule="auto"/>
        <w:jc w:val="both"/>
        <w:rPr>
          <w:rFonts w:cstheme="minorHAnsi"/>
          <w:bCs/>
          <w:u w:val="single"/>
          <w:lang w:val="en-US"/>
        </w:rPr>
      </w:pPr>
      <w:r w:rsidRPr="00FE6501">
        <w:rPr>
          <w:rFonts w:cstheme="minorHAnsi"/>
          <w:bCs/>
          <w:u w:val="single"/>
          <w:lang w:val="en-US"/>
        </w:rPr>
        <w:t>Efikasnost.</w:t>
      </w:r>
    </w:p>
    <w:p w14:paraId="47C1A397" w14:textId="46B5940B" w:rsidR="0079540E" w:rsidRPr="00FE6501" w:rsidRDefault="0079540E" w:rsidP="003360D5">
      <w:pPr>
        <w:pStyle w:val="ListParagraph"/>
        <w:numPr>
          <w:ilvl w:val="0"/>
          <w:numId w:val="32"/>
        </w:numPr>
        <w:tabs>
          <w:tab w:val="left" w:pos="5872"/>
        </w:tabs>
        <w:spacing w:before="120" w:after="0" w:line="276" w:lineRule="auto"/>
        <w:jc w:val="both"/>
        <w:rPr>
          <w:rFonts w:cstheme="minorHAnsi"/>
          <w:bCs/>
          <w:lang w:val="en-US"/>
        </w:rPr>
      </w:pPr>
      <w:r w:rsidRPr="00FE6501">
        <w:rPr>
          <w:rFonts w:cstheme="minorHAnsi"/>
          <w:bCs/>
          <w:lang w:val="en-US"/>
        </w:rPr>
        <w:t>Nalaz 6: Strategija je</w:t>
      </w:r>
      <w:r w:rsidR="00FE6501" w:rsidRPr="00FE6501">
        <w:rPr>
          <w:rFonts w:cstheme="minorHAnsi"/>
          <w:bCs/>
          <w:lang w:val="en-US"/>
        </w:rPr>
        <w:t>, ukupno gledano</w:t>
      </w:r>
      <w:r w:rsidR="00BF6CBB">
        <w:rPr>
          <w:rFonts w:cstheme="minorHAnsi"/>
          <w:bCs/>
          <w:lang w:val="en-US"/>
        </w:rPr>
        <w:t>,</w:t>
      </w:r>
      <w:r w:rsidRPr="00FE6501">
        <w:rPr>
          <w:rFonts w:cstheme="minorHAnsi"/>
          <w:bCs/>
          <w:lang w:val="en-US"/>
        </w:rPr>
        <w:t xml:space="preserve"> </w:t>
      </w:r>
      <w:r w:rsidR="00FE6501" w:rsidRPr="00FE6501">
        <w:rPr>
          <w:rFonts w:cstheme="minorHAnsi"/>
          <w:bCs/>
          <w:lang w:val="en-US"/>
        </w:rPr>
        <w:t>d</w:t>
      </w:r>
      <w:r w:rsidRPr="00FE6501">
        <w:rPr>
          <w:rFonts w:cstheme="minorHAnsi"/>
          <w:bCs/>
          <w:lang w:val="en-US"/>
        </w:rPr>
        <w:t>ostigla visok</w:t>
      </w:r>
      <w:r w:rsidR="00FE6501" w:rsidRPr="00FE6501">
        <w:rPr>
          <w:rFonts w:cstheme="minorHAnsi"/>
          <w:bCs/>
          <w:lang w:val="en-US"/>
        </w:rPr>
        <w:t xml:space="preserve"> stepen</w:t>
      </w:r>
      <w:r w:rsidRPr="00FE6501">
        <w:rPr>
          <w:rFonts w:cstheme="minorHAnsi"/>
          <w:bCs/>
          <w:lang w:val="en-US"/>
        </w:rPr>
        <w:t xml:space="preserve"> </w:t>
      </w:r>
      <w:r w:rsidR="00FE6501" w:rsidRPr="00FE6501">
        <w:rPr>
          <w:rFonts w:cstheme="minorHAnsi"/>
          <w:bCs/>
          <w:lang w:val="en-US"/>
        </w:rPr>
        <w:t xml:space="preserve">ispunjenosti </w:t>
      </w:r>
      <w:r w:rsidR="005D3393">
        <w:rPr>
          <w:rFonts w:cstheme="minorHAnsi"/>
          <w:bCs/>
          <w:lang w:val="en-US"/>
        </w:rPr>
        <w:t xml:space="preserve">zadatih </w:t>
      </w:r>
      <w:r w:rsidR="00BF6CBB">
        <w:rPr>
          <w:rFonts w:cstheme="minorHAnsi"/>
          <w:bCs/>
          <w:lang w:val="en-US"/>
        </w:rPr>
        <w:t>mjera/</w:t>
      </w:r>
      <w:r w:rsidR="005D3393">
        <w:rPr>
          <w:rFonts w:cstheme="minorHAnsi"/>
          <w:bCs/>
          <w:lang w:val="en-US"/>
        </w:rPr>
        <w:t>aktivnosti</w:t>
      </w:r>
      <w:r w:rsidRPr="00FE6501">
        <w:rPr>
          <w:rFonts w:cstheme="minorHAnsi"/>
          <w:bCs/>
          <w:lang w:val="en-US"/>
        </w:rPr>
        <w:t>. Većina mjera obuhvaćenih Operativnim ciljevima 2 i 3 uspješno je implementirana. S druge strane, značajna kašnjenja otežala su realizaciju mjera predviđenih Operativnim ciljem 1.</w:t>
      </w:r>
    </w:p>
    <w:p w14:paraId="6AADA4BB" w14:textId="77777777" w:rsidR="0079540E" w:rsidRPr="00FE6501" w:rsidRDefault="0079540E" w:rsidP="0079540E">
      <w:pPr>
        <w:pStyle w:val="ListParagraph"/>
        <w:tabs>
          <w:tab w:val="left" w:pos="5872"/>
        </w:tabs>
        <w:spacing w:before="120" w:after="0" w:line="276" w:lineRule="auto"/>
        <w:jc w:val="both"/>
        <w:rPr>
          <w:rFonts w:cstheme="minorHAnsi"/>
          <w:bCs/>
          <w:lang w:val="en-US"/>
        </w:rPr>
      </w:pPr>
    </w:p>
    <w:p w14:paraId="229581B6" w14:textId="4009955D" w:rsidR="0079540E" w:rsidRPr="00FE6501" w:rsidRDefault="0079540E" w:rsidP="003360D5">
      <w:pPr>
        <w:pStyle w:val="ListParagraph"/>
        <w:numPr>
          <w:ilvl w:val="0"/>
          <w:numId w:val="32"/>
        </w:numPr>
        <w:tabs>
          <w:tab w:val="left" w:pos="5872"/>
        </w:tabs>
        <w:spacing w:before="120" w:after="0" w:line="276" w:lineRule="auto"/>
        <w:jc w:val="both"/>
        <w:rPr>
          <w:rFonts w:cstheme="minorHAnsi"/>
          <w:bCs/>
          <w:lang w:val="en-US"/>
        </w:rPr>
      </w:pPr>
      <w:r w:rsidRPr="00FE6501">
        <w:rPr>
          <w:rFonts w:cstheme="minorHAnsi"/>
          <w:bCs/>
          <w:lang w:val="en-US"/>
        </w:rPr>
        <w:t xml:space="preserve">Nalaz 7: </w:t>
      </w:r>
      <w:r w:rsidR="00716629">
        <w:rPr>
          <w:rFonts w:cstheme="minorHAnsi"/>
          <w:bCs/>
          <w:lang w:val="en-US"/>
        </w:rPr>
        <w:t xml:space="preserve">Aktivnosti definisane </w:t>
      </w:r>
      <w:r w:rsidRPr="00FE6501">
        <w:rPr>
          <w:rFonts w:cstheme="minorHAnsi"/>
          <w:bCs/>
          <w:lang w:val="en-US"/>
        </w:rPr>
        <w:t>Strategij</w:t>
      </w:r>
      <w:r w:rsidR="00716629">
        <w:rPr>
          <w:rFonts w:cstheme="minorHAnsi"/>
          <w:bCs/>
          <w:lang w:val="en-US"/>
        </w:rPr>
        <w:t>om</w:t>
      </w:r>
      <w:r w:rsidRPr="00FE6501">
        <w:rPr>
          <w:rFonts w:cstheme="minorHAnsi"/>
          <w:bCs/>
          <w:lang w:val="en-US"/>
        </w:rPr>
        <w:t xml:space="preserve"> </w:t>
      </w:r>
      <w:r w:rsidR="00716629">
        <w:rPr>
          <w:rFonts w:cstheme="minorHAnsi"/>
          <w:bCs/>
          <w:lang w:val="en-US"/>
        </w:rPr>
        <w:t>su većinom</w:t>
      </w:r>
      <w:r w:rsidRPr="00FE6501">
        <w:rPr>
          <w:rFonts w:cstheme="minorHAnsi"/>
          <w:bCs/>
          <w:lang w:val="en-US"/>
        </w:rPr>
        <w:t xml:space="preserve"> ostvaren</w:t>
      </w:r>
      <w:r w:rsidR="00716629">
        <w:rPr>
          <w:rFonts w:cstheme="minorHAnsi"/>
          <w:bCs/>
          <w:lang w:val="en-US"/>
        </w:rPr>
        <w:t>e tokom perioda važenja Strategije.</w:t>
      </w:r>
    </w:p>
    <w:p w14:paraId="5C9DEC8C" w14:textId="77777777" w:rsidR="0079540E" w:rsidRPr="00FE6501" w:rsidRDefault="0079540E" w:rsidP="0079540E">
      <w:pPr>
        <w:pStyle w:val="ListParagraph"/>
        <w:tabs>
          <w:tab w:val="left" w:pos="5872"/>
        </w:tabs>
        <w:spacing w:before="120" w:after="0" w:line="276" w:lineRule="auto"/>
        <w:jc w:val="both"/>
        <w:rPr>
          <w:rFonts w:cstheme="minorHAnsi"/>
          <w:bCs/>
          <w:lang w:val="en-US"/>
        </w:rPr>
      </w:pPr>
    </w:p>
    <w:p w14:paraId="31889100" w14:textId="4AB3DD23"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lastRenderedPageBreak/>
        <w:t xml:space="preserve">Nalaz 8: </w:t>
      </w:r>
      <w:r w:rsidR="00FE6501" w:rsidRPr="00FE6501">
        <w:rPr>
          <w:rFonts w:cstheme="minorHAnsi"/>
          <w:bCs/>
          <w:lang w:val="en-US"/>
        </w:rPr>
        <w:t>P</w:t>
      </w:r>
      <w:r w:rsidRPr="00FE6501">
        <w:rPr>
          <w:rFonts w:cstheme="minorHAnsi"/>
          <w:bCs/>
          <w:lang w:val="en-US"/>
        </w:rPr>
        <w:t>ravni osnov neophodan za potpuno funkcionalan AFCOS sistem u Crnoj Gori nije uspostavljen tokom perioda važenja Strategije.</w:t>
      </w:r>
    </w:p>
    <w:p w14:paraId="5F2F742E" w14:textId="77777777" w:rsidR="0079540E" w:rsidRPr="00FE6501" w:rsidRDefault="0079540E" w:rsidP="00212D53">
      <w:pPr>
        <w:pStyle w:val="ListParagraph"/>
        <w:tabs>
          <w:tab w:val="left" w:pos="5872"/>
        </w:tabs>
        <w:spacing w:before="120" w:after="0" w:line="240" w:lineRule="auto"/>
        <w:ind w:left="0"/>
        <w:jc w:val="both"/>
        <w:rPr>
          <w:rFonts w:cstheme="minorHAnsi"/>
          <w:bCs/>
          <w:lang w:val="en-US"/>
        </w:rPr>
      </w:pPr>
    </w:p>
    <w:p w14:paraId="3A88F7FB" w14:textId="19489AC3"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t xml:space="preserve">Nalaz 9: Potpisivanje protokola o bilateralnoj saradnji </w:t>
      </w:r>
      <w:r w:rsidR="00F94EF1">
        <w:rPr>
          <w:rFonts w:cstheme="minorHAnsi"/>
          <w:bCs/>
          <w:lang w:val="en-US"/>
        </w:rPr>
        <w:t>predstavlja</w:t>
      </w:r>
      <w:r w:rsidRPr="00FE6501">
        <w:rPr>
          <w:rFonts w:cstheme="minorHAnsi"/>
          <w:bCs/>
          <w:lang w:val="en-US"/>
        </w:rPr>
        <w:t xml:space="preserve"> prvi korak ka uspostavljanju efikasnog mehanizma koordinacije, sa visokokvalitetnim partnerstvima i dubljom međuinstitucionalnom saradnjom, međutim još uvijek </w:t>
      </w:r>
      <w:r w:rsidR="00FE6501" w:rsidRPr="00FE6501">
        <w:rPr>
          <w:rFonts w:cstheme="minorHAnsi"/>
          <w:bCs/>
          <w:lang w:val="en-US"/>
        </w:rPr>
        <w:t>nije u potpunosti realizovan</w:t>
      </w:r>
      <w:r w:rsidRPr="00FE6501">
        <w:rPr>
          <w:rFonts w:cstheme="minorHAnsi"/>
          <w:bCs/>
          <w:lang w:val="en-US"/>
        </w:rPr>
        <w:t>.</w:t>
      </w:r>
    </w:p>
    <w:p w14:paraId="16663424" w14:textId="77777777" w:rsidR="003360D5" w:rsidRDefault="003360D5" w:rsidP="003360D5">
      <w:pPr>
        <w:pStyle w:val="ListParagraph"/>
        <w:tabs>
          <w:tab w:val="left" w:pos="5872"/>
        </w:tabs>
        <w:spacing w:before="120" w:after="0" w:line="240" w:lineRule="auto"/>
        <w:ind w:left="0"/>
        <w:jc w:val="both"/>
        <w:rPr>
          <w:rFonts w:cstheme="minorHAnsi"/>
          <w:bCs/>
          <w:lang w:val="en-US"/>
        </w:rPr>
      </w:pPr>
    </w:p>
    <w:p w14:paraId="556DD34F" w14:textId="29283EC9"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t xml:space="preserve">Nalaz 10: </w:t>
      </w:r>
      <w:r w:rsidR="00B52840">
        <w:rPr>
          <w:rFonts w:cstheme="minorHAnsi"/>
          <w:bCs/>
          <w:lang w:val="en-US"/>
        </w:rPr>
        <w:t>Iako je u</w:t>
      </w:r>
      <w:r w:rsidRPr="00FE6501">
        <w:rPr>
          <w:rFonts w:cstheme="minorHAnsi"/>
          <w:bCs/>
          <w:lang w:val="en-US"/>
        </w:rPr>
        <w:t>vođenje novih alata i procedura značajno je poboljšalo operativni okvir sistema upravljanja nepravilnostima, postignuti napredak se ne odražava u broju prijavljenih slučajeva</w:t>
      </w:r>
      <w:r w:rsidR="00FE6501" w:rsidRPr="00FE6501">
        <w:rPr>
          <w:rFonts w:cstheme="minorHAnsi"/>
          <w:bCs/>
          <w:lang w:val="en-US"/>
        </w:rPr>
        <w:t xml:space="preserve"> nepravilnosti i prevara</w:t>
      </w:r>
      <w:r w:rsidRPr="00FE6501">
        <w:rPr>
          <w:rFonts w:cstheme="minorHAnsi"/>
          <w:bCs/>
          <w:lang w:val="en-US"/>
        </w:rPr>
        <w:t>.</w:t>
      </w:r>
    </w:p>
    <w:p w14:paraId="71506A58" w14:textId="77777777" w:rsidR="0079540E" w:rsidRPr="00FE6501" w:rsidRDefault="0079540E" w:rsidP="00212D53">
      <w:pPr>
        <w:pStyle w:val="ListParagraph"/>
        <w:spacing w:line="240" w:lineRule="auto"/>
        <w:ind w:left="0"/>
        <w:jc w:val="both"/>
        <w:rPr>
          <w:rFonts w:cstheme="minorHAnsi"/>
          <w:bCs/>
          <w:lang w:val="en-US"/>
        </w:rPr>
      </w:pPr>
    </w:p>
    <w:p w14:paraId="3F89FCDB" w14:textId="7AD2D81F"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t xml:space="preserve">Nalaz 11: Uveden je sistemski pristup u izvođenju obuka. Međutim, treba ojačati saradnju između AFCOS </w:t>
      </w:r>
      <w:r w:rsidR="00AA4F4D">
        <w:rPr>
          <w:rFonts w:cstheme="minorHAnsi"/>
          <w:bCs/>
          <w:lang w:val="en-US"/>
        </w:rPr>
        <w:t>k</w:t>
      </w:r>
      <w:r w:rsidR="00AA4F4D" w:rsidRPr="00FE6501">
        <w:rPr>
          <w:rFonts w:cstheme="minorHAnsi"/>
          <w:bCs/>
          <w:lang w:val="en-US"/>
        </w:rPr>
        <w:t xml:space="preserve">ancelarije </w:t>
      </w:r>
      <w:r w:rsidRPr="00FE6501">
        <w:rPr>
          <w:rFonts w:cstheme="minorHAnsi"/>
          <w:bCs/>
          <w:lang w:val="en-US"/>
        </w:rPr>
        <w:t xml:space="preserve">i Uprave za </w:t>
      </w:r>
      <w:r w:rsidR="00AA4F4D">
        <w:rPr>
          <w:rFonts w:cstheme="minorHAnsi"/>
          <w:bCs/>
          <w:lang w:val="en-US"/>
        </w:rPr>
        <w:t>ljudske resurse</w:t>
      </w:r>
      <w:r w:rsidRPr="00FE6501">
        <w:rPr>
          <w:rFonts w:cstheme="minorHAnsi"/>
          <w:bCs/>
          <w:lang w:val="en-US"/>
        </w:rPr>
        <w:t xml:space="preserve"> Crne Gore (HRMA).</w:t>
      </w:r>
    </w:p>
    <w:p w14:paraId="2BB64410" w14:textId="77777777" w:rsidR="0079540E" w:rsidRPr="00FE6501" w:rsidRDefault="0079540E" w:rsidP="00212D53">
      <w:pPr>
        <w:pStyle w:val="ListParagraph"/>
        <w:tabs>
          <w:tab w:val="left" w:pos="5872"/>
        </w:tabs>
        <w:spacing w:before="120" w:after="0" w:line="240" w:lineRule="auto"/>
        <w:ind w:left="0"/>
        <w:jc w:val="both"/>
        <w:rPr>
          <w:rFonts w:cstheme="minorHAnsi"/>
          <w:bCs/>
          <w:lang w:val="en-US"/>
        </w:rPr>
      </w:pPr>
    </w:p>
    <w:p w14:paraId="0A5DDFE0" w14:textId="031808D0"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t>Nalaz 12: Politička nestabilnost u kombinaciji sa velikom fluktuacijom zaposlenih u crnogorskoj javnoj upravi značajno je narušila dosljednu implementaciju Strategije, istovremeno o</w:t>
      </w:r>
      <w:r w:rsidR="0031627D">
        <w:rPr>
          <w:rFonts w:cstheme="minorHAnsi"/>
          <w:bCs/>
          <w:lang w:val="en-US"/>
        </w:rPr>
        <w:t>nemogućavajući</w:t>
      </w:r>
      <w:r w:rsidRPr="00FE6501">
        <w:rPr>
          <w:rFonts w:cstheme="minorHAnsi"/>
          <w:bCs/>
          <w:lang w:val="en-US"/>
        </w:rPr>
        <w:t xml:space="preserve"> njene potencijalne pozitivne efekte prelivanja.</w:t>
      </w:r>
    </w:p>
    <w:p w14:paraId="4D26714A" w14:textId="77777777" w:rsidR="003360D5" w:rsidRDefault="003360D5" w:rsidP="003360D5">
      <w:pPr>
        <w:pStyle w:val="ListParagraph"/>
        <w:tabs>
          <w:tab w:val="left" w:pos="5872"/>
        </w:tabs>
        <w:spacing w:before="120" w:after="0" w:line="240" w:lineRule="auto"/>
        <w:ind w:left="0"/>
        <w:jc w:val="both"/>
        <w:rPr>
          <w:rFonts w:cstheme="minorHAnsi"/>
          <w:bCs/>
          <w:lang w:val="en-US"/>
        </w:rPr>
      </w:pPr>
    </w:p>
    <w:p w14:paraId="2A76F2DD" w14:textId="05BA0A36" w:rsidR="0079540E" w:rsidRPr="00FE6501" w:rsidRDefault="0079540E" w:rsidP="003360D5">
      <w:pPr>
        <w:pStyle w:val="ListParagraph"/>
        <w:numPr>
          <w:ilvl w:val="0"/>
          <w:numId w:val="32"/>
        </w:numPr>
        <w:tabs>
          <w:tab w:val="left" w:pos="5872"/>
        </w:tabs>
        <w:spacing w:before="120" w:after="0" w:line="240" w:lineRule="auto"/>
        <w:jc w:val="both"/>
        <w:rPr>
          <w:rFonts w:cstheme="minorHAnsi"/>
          <w:bCs/>
          <w:lang w:val="en-US"/>
        </w:rPr>
      </w:pPr>
      <w:r w:rsidRPr="00FE6501">
        <w:rPr>
          <w:rFonts w:cstheme="minorHAnsi"/>
          <w:bCs/>
          <w:lang w:val="en-US"/>
        </w:rPr>
        <w:t xml:space="preserve">Nalaz 13: Kontinuirana marljivost i posvećenost AFCOS </w:t>
      </w:r>
      <w:r w:rsidR="0080310C">
        <w:rPr>
          <w:rFonts w:cstheme="minorHAnsi"/>
          <w:bCs/>
          <w:lang w:val="en-US"/>
        </w:rPr>
        <w:t>kancelarije</w:t>
      </w:r>
      <w:r w:rsidRPr="00FE6501">
        <w:rPr>
          <w:rFonts w:cstheme="minorHAnsi"/>
          <w:bCs/>
          <w:lang w:val="en-US"/>
        </w:rPr>
        <w:t xml:space="preserve"> je istaknuta kao odlučujući pokretač koji omogućava realizaciju aktivnosti i nakon završetka perioda </w:t>
      </w:r>
      <w:r w:rsidR="00601B57">
        <w:rPr>
          <w:rFonts w:cstheme="minorHAnsi"/>
          <w:bCs/>
          <w:lang w:val="en-US"/>
        </w:rPr>
        <w:t>važenja Strategije</w:t>
      </w:r>
      <w:r w:rsidRPr="00FE6501">
        <w:rPr>
          <w:rFonts w:cstheme="minorHAnsi"/>
          <w:bCs/>
          <w:lang w:val="en-US"/>
        </w:rPr>
        <w:t>.</w:t>
      </w:r>
    </w:p>
    <w:p w14:paraId="304FC055" w14:textId="77777777" w:rsidR="0079540E" w:rsidRPr="00FE6501" w:rsidRDefault="0079540E" w:rsidP="0079540E">
      <w:pPr>
        <w:tabs>
          <w:tab w:val="left" w:pos="5872"/>
        </w:tabs>
        <w:spacing w:before="120" w:after="0" w:line="276" w:lineRule="auto"/>
        <w:jc w:val="both"/>
        <w:rPr>
          <w:rFonts w:cstheme="minorHAnsi"/>
          <w:b/>
          <w:bCs/>
          <w:u w:val="single"/>
          <w:lang w:val="en-US"/>
        </w:rPr>
      </w:pPr>
    </w:p>
    <w:p w14:paraId="7E92519F" w14:textId="77777777" w:rsidR="0079540E" w:rsidRPr="00FE6501" w:rsidRDefault="0079540E" w:rsidP="0079540E">
      <w:pPr>
        <w:tabs>
          <w:tab w:val="left" w:pos="5872"/>
        </w:tabs>
        <w:spacing w:before="120" w:after="0" w:line="276" w:lineRule="auto"/>
        <w:jc w:val="both"/>
        <w:rPr>
          <w:rFonts w:cstheme="minorHAnsi"/>
          <w:bCs/>
          <w:lang w:val="en-US"/>
        </w:rPr>
      </w:pPr>
      <w:r w:rsidRPr="00FE6501">
        <w:rPr>
          <w:rFonts w:cstheme="minorHAnsi"/>
          <w:bCs/>
          <w:u w:val="single"/>
        </w:rPr>
        <w:t>Dodatna vrijednost EU.</w:t>
      </w:r>
    </w:p>
    <w:p w14:paraId="4E522B4F" w14:textId="77777777" w:rsidR="0079540E" w:rsidRPr="00FE6501" w:rsidRDefault="0079540E" w:rsidP="0079540E">
      <w:pPr>
        <w:pStyle w:val="ListParagraph"/>
        <w:numPr>
          <w:ilvl w:val="0"/>
          <w:numId w:val="29"/>
        </w:numPr>
        <w:tabs>
          <w:tab w:val="left" w:pos="5872"/>
        </w:tabs>
        <w:spacing w:before="120" w:after="0" w:line="276" w:lineRule="auto"/>
        <w:jc w:val="both"/>
        <w:rPr>
          <w:rFonts w:cstheme="minorHAnsi"/>
          <w:bCs/>
        </w:rPr>
      </w:pPr>
      <w:r w:rsidRPr="00FE6501">
        <w:rPr>
          <w:rFonts w:cstheme="minorHAnsi"/>
          <w:bCs/>
        </w:rPr>
        <w:t>Nalaz 14: Strategija je osmišljena uzimajući u obzir nacionalne prioritete u pravcu    pristupanja EU i dala je značajan doprinos u postavljanju čvrstog temelja za zaštitu finansijskih interesa EU u Crnoj Gori.</w:t>
      </w:r>
    </w:p>
    <w:p w14:paraId="41545AED" w14:textId="77777777" w:rsidR="0079540E" w:rsidRPr="00FE6501" w:rsidRDefault="0079540E" w:rsidP="0079540E">
      <w:pPr>
        <w:pStyle w:val="ListParagraph"/>
        <w:tabs>
          <w:tab w:val="left" w:pos="5872"/>
        </w:tabs>
        <w:spacing w:before="120" w:after="0" w:line="276" w:lineRule="auto"/>
        <w:ind w:left="780"/>
        <w:jc w:val="both"/>
        <w:rPr>
          <w:rFonts w:cstheme="minorHAnsi"/>
          <w:bCs/>
        </w:rPr>
      </w:pPr>
    </w:p>
    <w:p w14:paraId="5C311F25" w14:textId="275755B4"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 Prema ključnim nalazima evaluacije, izv</w:t>
      </w:r>
      <w:r w:rsidR="003678C7">
        <w:rPr>
          <w:rFonts w:cstheme="minorHAnsi"/>
          <w:bCs/>
          <w:lang w:val="sr-Latn-RS"/>
        </w:rPr>
        <w:t>ede</w:t>
      </w:r>
      <w:r w:rsidRPr="00FE6501">
        <w:rPr>
          <w:rFonts w:cstheme="minorHAnsi"/>
          <w:bCs/>
        </w:rPr>
        <w:t xml:space="preserve">ni su sljedeći zaključci: </w:t>
      </w:r>
    </w:p>
    <w:p w14:paraId="6384C19B" w14:textId="77777777" w:rsidR="0079540E" w:rsidRPr="00FE6501" w:rsidRDefault="0079540E" w:rsidP="0079540E">
      <w:pPr>
        <w:pStyle w:val="ListParagraph"/>
        <w:numPr>
          <w:ilvl w:val="0"/>
          <w:numId w:val="30"/>
        </w:numPr>
        <w:tabs>
          <w:tab w:val="left" w:pos="5872"/>
        </w:tabs>
        <w:spacing w:before="120" w:after="0" w:line="276" w:lineRule="auto"/>
        <w:jc w:val="both"/>
        <w:rPr>
          <w:rFonts w:cstheme="minorHAnsi"/>
          <w:bCs/>
          <w:lang w:val="en-US"/>
        </w:rPr>
      </w:pPr>
      <w:r w:rsidRPr="00FE6501">
        <w:rPr>
          <w:rFonts w:cstheme="minorHAnsi"/>
          <w:bCs/>
        </w:rPr>
        <w:t xml:space="preserve">Zasnovano na sistemskom pristupu, Strategija 2019 – 2022 obuhvatila je svaki aspekt ciklusa borbe protiv prevara, sa ciljem uspostavljanja čvrstog pravnog okvira, promovisanja međuinstitucionalne saradnje i jačanja operativnih kapaciteta u okviru crnogorskog AFCOS sistema. </w:t>
      </w:r>
    </w:p>
    <w:p w14:paraId="7704381D" w14:textId="77777777" w:rsidR="0079540E" w:rsidRPr="00FE6501" w:rsidRDefault="0079540E" w:rsidP="0079540E">
      <w:pPr>
        <w:pStyle w:val="ListParagraph"/>
        <w:tabs>
          <w:tab w:val="left" w:pos="5872"/>
        </w:tabs>
        <w:spacing w:before="120" w:after="0" w:line="276" w:lineRule="auto"/>
        <w:ind w:left="780"/>
        <w:jc w:val="both"/>
        <w:rPr>
          <w:rFonts w:cstheme="minorHAnsi"/>
          <w:bCs/>
          <w:lang w:val="en-US"/>
        </w:rPr>
      </w:pPr>
    </w:p>
    <w:p w14:paraId="5956A99D" w14:textId="6815F777" w:rsidR="0079540E" w:rsidRPr="00670941" w:rsidRDefault="0079540E" w:rsidP="00670941">
      <w:pPr>
        <w:pStyle w:val="ListParagraph"/>
        <w:numPr>
          <w:ilvl w:val="0"/>
          <w:numId w:val="30"/>
        </w:numPr>
        <w:tabs>
          <w:tab w:val="left" w:pos="5872"/>
        </w:tabs>
        <w:spacing w:before="120" w:after="0" w:line="276" w:lineRule="auto"/>
        <w:jc w:val="both"/>
        <w:rPr>
          <w:rFonts w:cstheme="minorHAnsi"/>
          <w:bCs/>
          <w:lang w:val="en-US"/>
        </w:rPr>
      </w:pPr>
      <w:r w:rsidRPr="00FE6501">
        <w:rPr>
          <w:rFonts w:cstheme="minorHAnsi"/>
          <w:bCs/>
        </w:rPr>
        <w:t>Novoosnovana AFCOS kancelarija je pokazala snažnu posvećenost, preuzela vlasništvo nad procesom i dosljedno ispunjavala zahtjevne zadatke koordinacije, implementacije i izvještavanja tokom perioda trajanja Strategije.</w:t>
      </w:r>
    </w:p>
    <w:p w14:paraId="6CB5E425" w14:textId="77777777" w:rsidR="0079540E" w:rsidRPr="00FE6501" w:rsidRDefault="0079540E" w:rsidP="0079540E">
      <w:pPr>
        <w:pStyle w:val="ListParagraph"/>
        <w:tabs>
          <w:tab w:val="left" w:pos="5872"/>
        </w:tabs>
        <w:spacing w:before="120" w:after="0" w:line="276" w:lineRule="auto"/>
        <w:ind w:left="780"/>
        <w:jc w:val="both"/>
        <w:rPr>
          <w:rFonts w:cstheme="minorHAnsi"/>
          <w:bCs/>
          <w:lang w:val="en-US"/>
        </w:rPr>
      </w:pPr>
    </w:p>
    <w:p w14:paraId="18FE3FCD" w14:textId="04B5C40D" w:rsidR="0079540E" w:rsidRPr="00FE6501" w:rsidRDefault="0079540E" w:rsidP="0079540E">
      <w:pPr>
        <w:pStyle w:val="ListParagraph"/>
        <w:numPr>
          <w:ilvl w:val="0"/>
          <w:numId w:val="30"/>
        </w:numPr>
        <w:tabs>
          <w:tab w:val="left" w:pos="5872"/>
        </w:tabs>
        <w:spacing w:before="120" w:after="0" w:line="276" w:lineRule="auto"/>
        <w:jc w:val="both"/>
        <w:rPr>
          <w:rFonts w:cstheme="minorHAnsi"/>
          <w:bCs/>
          <w:lang w:val="en-US"/>
        </w:rPr>
      </w:pPr>
      <w:r w:rsidRPr="00FE6501">
        <w:rPr>
          <w:rFonts w:cstheme="minorHAnsi"/>
          <w:bCs/>
        </w:rPr>
        <w:t xml:space="preserve">Tokom implementacije Strategije, političke turbulencije su </w:t>
      </w:r>
      <w:r w:rsidR="003678C7">
        <w:rPr>
          <w:rFonts w:cstheme="minorHAnsi"/>
          <w:bCs/>
          <w:lang w:val="sr-Latn-RS"/>
        </w:rPr>
        <w:t>onemogućile</w:t>
      </w:r>
      <w:r w:rsidRPr="00FE6501">
        <w:rPr>
          <w:rFonts w:cstheme="minorHAnsi"/>
          <w:bCs/>
        </w:rPr>
        <w:t xml:space="preserve"> usvajanje ključnih zakonodavnih inicijativa, što je zauzvrat umanjilo promociju među</w:t>
      </w:r>
      <w:r w:rsidR="00670941">
        <w:rPr>
          <w:rFonts w:cstheme="minorHAnsi"/>
          <w:bCs/>
        </w:rPr>
        <w:t>institucionaln</w:t>
      </w:r>
      <w:r w:rsidRPr="00FE6501">
        <w:rPr>
          <w:rFonts w:cstheme="minorHAnsi"/>
          <w:bCs/>
        </w:rPr>
        <w:t xml:space="preserve">e saradnje, dok je ograničena vidljivost, uz nizak nivo angažmana ključnih aktera, dodatno naglašena visokim </w:t>
      </w:r>
      <w:r w:rsidR="00EE7090">
        <w:rPr>
          <w:rFonts w:cstheme="minorHAnsi"/>
          <w:bCs/>
        </w:rPr>
        <w:t xml:space="preserve">procentom odliva kadrova, </w:t>
      </w:r>
      <w:r w:rsidRPr="00FE6501">
        <w:rPr>
          <w:rFonts w:cstheme="minorHAnsi"/>
          <w:bCs/>
        </w:rPr>
        <w:t>o</w:t>
      </w:r>
      <w:r w:rsidR="00EE7090">
        <w:rPr>
          <w:rFonts w:cstheme="minorHAnsi"/>
          <w:bCs/>
        </w:rPr>
        <w:t>ne</w:t>
      </w:r>
      <w:r w:rsidRPr="00FE6501">
        <w:rPr>
          <w:rFonts w:cstheme="minorHAnsi"/>
          <w:bCs/>
        </w:rPr>
        <w:t>mogući</w:t>
      </w:r>
      <w:r w:rsidR="00EE7090">
        <w:rPr>
          <w:rFonts w:cstheme="minorHAnsi"/>
          <w:bCs/>
        </w:rPr>
        <w:t>la</w:t>
      </w:r>
      <w:r w:rsidRPr="00FE6501">
        <w:rPr>
          <w:rFonts w:cstheme="minorHAnsi"/>
          <w:bCs/>
        </w:rPr>
        <w:t xml:space="preserve"> potpunu operacionalizaciju AFCOS sistema u Crnoj Gori.</w:t>
      </w:r>
    </w:p>
    <w:p w14:paraId="6CE265B9" w14:textId="77777777" w:rsidR="0079540E" w:rsidRPr="00FE6501" w:rsidRDefault="0079540E" w:rsidP="0079540E">
      <w:pPr>
        <w:pStyle w:val="ListParagraph"/>
        <w:tabs>
          <w:tab w:val="left" w:pos="5872"/>
        </w:tabs>
        <w:spacing w:before="120" w:after="0" w:line="276" w:lineRule="auto"/>
        <w:ind w:left="780"/>
        <w:jc w:val="both"/>
        <w:rPr>
          <w:rFonts w:cstheme="minorHAnsi"/>
          <w:bCs/>
          <w:lang w:val="en-US"/>
        </w:rPr>
      </w:pPr>
    </w:p>
    <w:p w14:paraId="44656AA2" w14:textId="6E221FA3" w:rsidR="0079540E" w:rsidRPr="00FE6501" w:rsidRDefault="0079540E" w:rsidP="0079540E">
      <w:pPr>
        <w:pStyle w:val="ListParagraph"/>
        <w:numPr>
          <w:ilvl w:val="0"/>
          <w:numId w:val="30"/>
        </w:numPr>
        <w:tabs>
          <w:tab w:val="left" w:pos="5872"/>
        </w:tabs>
        <w:spacing w:before="120" w:after="0" w:line="276" w:lineRule="auto"/>
        <w:jc w:val="both"/>
        <w:rPr>
          <w:rFonts w:cstheme="minorHAnsi"/>
          <w:bCs/>
          <w:lang w:val="en-US"/>
        </w:rPr>
      </w:pPr>
      <w:r w:rsidRPr="00FE6501">
        <w:rPr>
          <w:rFonts w:cstheme="minorHAnsi"/>
          <w:bCs/>
        </w:rPr>
        <w:t xml:space="preserve">Uprkos značajnim izazovima sa kojima se suočava, Crna Gora je ostvarila značajne koristi od implementacije Strategije i uspjela da postavi ključne </w:t>
      </w:r>
      <w:r w:rsidR="00EE7090">
        <w:rPr>
          <w:rFonts w:cstheme="minorHAnsi"/>
          <w:bCs/>
        </w:rPr>
        <w:t>osnov</w:t>
      </w:r>
      <w:r w:rsidRPr="00FE6501">
        <w:rPr>
          <w:rFonts w:cstheme="minorHAnsi"/>
          <w:bCs/>
        </w:rPr>
        <w:t xml:space="preserve">e za </w:t>
      </w:r>
      <w:r w:rsidRPr="00FE6501">
        <w:rPr>
          <w:rFonts w:cstheme="minorHAnsi"/>
          <w:bCs/>
        </w:rPr>
        <w:lastRenderedPageBreak/>
        <w:t>uspostavljanje modernog okvira za upravljanje nepravilnostima i borbu protiv prevara. Postignut je zadovoljavajuć</w:t>
      </w:r>
      <w:r w:rsidR="00EE7090">
        <w:rPr>
          <w:rFonts w:cstheme="minorHAnsi"/>
          <w:bCs/>
        </w:rPr>
        <w:t>i</w:t>
      </w:r>
      <w:r w:rsidRPr="00FE6501">
        <w:rPr>
          <w:rFonts w:cstheme="minorHAnsi"/>
          <w:bCs/>
        </w:rPr>
        <w:t xml:space="preserve"> </w:t>
      </w:r>
      <w:r w:rsidR="00EE7090">
        <w:rPr>
          <w:rFonts w:cstheme="minorHAnsi"/>
          <w:bCs/>
        </w:rPr>
        <w:t>nivo</w:t>
      </w:r>
      <w:r w:rsidRPr="00FE6501">
        <w:rPr>
          <w:rFonts w:cstheme="minorHAnsi"/>
          <w:bCs/>
        </w:rPr>
        <w:t xml:space="preserve"> implementacije Strategije i ostvareni su opipljivi rezultati posebno u pogledu operativnog stuba AFCOS sistema.</w:t>
      </w:r>
    </w:p>
    <w:p w14:paraId="01B8AF95" w14:textId="77777777" w:rsidR="0079540E" w:rsidRPr="00FE6501" w:rsidRDefault="0079540E" w:rsidP="0079540E">
      <w:pPr>
        <w:pStyle w:val="ListParagraph"/>
        <w:rPr>
          <w:rFonts w:cstheme="minorHAnsi"/>
          <w:bCs/>
          <w:lang w:val="en-US"/>
        </w:rPr>
      </w:pPr>
    </w:p>
    <w:p w14:paraId="6E471C0A" w14:textId="67B093BC" w:rsidR="0079540E" w:rsidRPr="00FE6501" w:rsidRDefault="0079540E" w:rsidP="0079540E">
      <w:pPr>
        <w:pStyle w:val="ListParagraph"/>
        <w:numPr>
          <w:ilvl w:val="0"/>
          <w:numId w:val="30"/>
        </w:numPr>
        <w:tabs>
          <w:tab w:val="left" w:pos="5872"/>
        </w:tabs>
        <w:spacing w:before="120" w:after="0" w:line="276" w:lineRule="auto"/>
        <w:jc w:val="both"/>
        <w:rPr>
          <w:rFonts w:cstheme="minorHAnsi"/>
          <w:bCs/>
          <w:lang w:val="en-US"/>
        </w:rPr>
      </w:pPr>
      <w:r w:rsidRPr="00FE6501">
        <w:rPr>
          <w:rFonts w:cstheme="minorHAnsi"/>
          <w:bCs/>
        </w:rPr>
        <w:t xml:space="preserve">Iako ima prostora za poboljšanje i potrebne su dalje inicijative, postavljena je čvrsta osnova i očekuje se da će značajno doprinijeti procesu planiranja i implementacije nove Strategije za </w:t>
      </w:r>
      <w:r w:rsidR="00017C53">
        <w:rPr>
          <w:rFonts w:cstheme="minorHAnsi"/>
          <w:bCs/>
          <w:lang w:val="sr-Latn-RS"/>
        </w:rPr>
        <w:t xml:space="preserve">period </w:t>
      </w:r>
      <w:r w:rsidRPr="00FE6501">
        <w:rPr>
          <w:rFonts w:cstheme="minorHAnsi"/>
          <w:bCs/>
        </w:rPr>
        <w:t xml:space="preserve">2024 – 2027. </w:t>
      </w:r>
    </w:p>
    <w:p w14:paraId="390BAAF0" w14:textId="77777777" w:rsidR="0079540E" w:rsidRPr="00FE6501" w:rsidRDefault="0079540E" w:rsidP="0079540E">
      <w:pPr>
        <w:tabs>
          <w:tab w:val="left" w:pos="5872"/>
        </w:tabs>
        <w:spacing w:before="120" w:after="0" w:line="276" w:lineRule="auto"/>
        <w:jc w:val="both"/>
        <w:rPr>
          <w:rFonts w:cstheme="minorHAnsi"/>
          <w:bCs/>
        </w:rPr>
      </w:pPr>
    </w:p>
    <w:p w14:paraId="0FA9840B" w14:textId="1986320C"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Što se tiče izrade, planiranja i implementacije nove Nacionalne strategije za borbu protiv prevara za period 2024 – 2027. godine, evaluaci</w:t>
      </w:r>
      <w:r w:rsidR="00FE6501">
        <w:rPr>
          <w:rFonts w:cstheme="minorHAnsi"/>
          <w:bCs/>
          <w:lang w:val="sr-Latn-RS"/>
        </w:rPr>
        <w:t>oni</w:t>
      </w:r>
      <w:r w:rsidR="00FE6501" w:rsidRPr="00FE6501">
        <w:rPr>
          <w:rFonts w:cstheme="minorHAnsi"/>
          <w:bCs/>
        </w:rPr>
        <w:t xml:space="preserve"> tim</w:t>
      </w:r>
      <w:r w:rsidRPr="00FE6501">
        <w:rPr>
          <w:rFonts w:cstheme="minorHAnsi"/>
          <w:bCs/>
        </w:rPr>
        <w:t xml:space="preserve">, uzimajući u obzir nalaze </w:t>
      </w:r>
      <w:r w:rsidR="00017C53">
        <w:rPr>
          <w:rFonts w:cstheme="minorHAnsi"/>
          <w:bCs/>
          <w:lang w:val="sr-Latn-RS"/>
        </w:rPr>
        <w:t xml:space="preserve">i </w:t>
      </w:r>
      <w:r w:rsidR="00017C53" w:rsidRPr="00FE6501">
        <w:rPr>
          <w:rFonts w:cstheme="minorHAnsi"/>
          <w:bCs/>
        </w:rPr>
        <w:t xml:space="preserve">zaključke </w:t>
      </w:r>
      <w:r w:rsidRPr="00FE6501">
        <w:rPr>
          <w:rFonts w:cstheme="minorHAnsi"/>
          <w:bCs/>
        </w:rPr>
        <w:t>evaluacije, uz praktična razmatranja, preporučuje sljedeće:</w:t>
      </w:r>
    </w:p>
    <w:p w14:paraId="753B5F14" w14:textId="29CCDBA4"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1. Smjernice za razvoj nacionalnih strategija za borbu protiv prevara i praktične korake ka izradi Nacionalne strategije za borbu protiv prevara</w:t>
      </w:r>
      <w:r w:rsidR="003B06E6">
        <w:rPr>
          <w:rFonts w:cstheme="minorHAnsi"/>
          <w:bCs/>
          <w:lang w:val="sr-Latn-RS"/>
        </w:rPr>
        <w:t>,</w:t>
      </w:r>
      <w:r w:rsidRPr="00FE6501">
        <w:rPr>
          <w:rFonts w:cstheme="minorHAnsi"/>
          <w:bCs/>
        </w:rPr>
        <w:t xml:space="preserve"> koje je razvio OLAF</w:t>
      </w:r>
      <w:r w:rsidR="003B06E6">
        <w:rPr>
          <w:rFonts w:cstheme="minorHAnsi"/>
          <w:bCs/>
          <w:lang w:val="sr-Latn-RS"/>
        </w:rPr>
        <w:t>,</w:t>
      </w:r>
      <w:r w:rsidRPr="00FE6501">
        <w:rPr>
          <w:rFonts w:cstheme="minorHAnsi"/>
          <w:bCs/>
        </w:rPr>
        <w:t xml:space="preserve"> treba konsultovati za izradu nove </w:t>
      </w:r>
      <w:r w:rsidR="00017C53">
        <w:rPr>
          <w:rFonts w:cstheme="minorHAnsi"/>
          <w:bCs/>
          <w:lang w:val="sr-Latn-RS"/>
        </w:rPr>
        <w:t>s</w:t>
      </w:r>
      <w:r w:rsidRPr="00FE6501">
        <w:rPr>
          <w:rFonts w:cstheme="minorHAnsi"/>
          <w:bCs/>
        </w:rPr>
        <w:t>trategije.</w:t>
      </w:r>
    </w:p>
    <w:p w14:paraId="01BB6E3E" w14:textId="75B31CDB"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 2. </w:t>
      </w:r>
      <w:r w:rsidR="003B06E6">
        <w:rPr>
          <w:rFonts w:cstheme="minorHAnsi"/>
          <w:bCs/>
          <w:lang w:val="sr-Latn-RS"/>
        </w:rPr>
        <w:t xml:space="preserve">Usvajanje jasnije i konkretnije teorije promjene će značajno doprinijeti izradi i sprovođenju nove </w:t>
      </w:r>
      <w:r w:rsidR="00017C53">
        <w:rPr>
          <w:rFonts w:cstheme="minorHAnsi"/>
          <w:bCs/>
          <w:lang w:val="sr-Latn-RS"/>
        </w:rPr>
        <w:t>s</w:t>
      </w:r>
      <w:r w:rsidR="003B06E6">
        <w:rPr>
          <w:rFonts w:cstheme="minorHAnsi"/>
          <w:bCs/>
          <w:lang w:val="sr-Latn-RS"/>
        </w:rPr>
        <w:t>trategije.</w:t>
      </w:r>
      <w:r w:rsidRPr="00FE6501">
        <w:rPr>
          <w:rFonts w:cstheme="minorHAnsi"/>
          <w:bCs/>
        </w:rPr>
        <w:t xml:space="preserve"> </w:t>
      </w:r>
    </w:p>
    <w:p w14:paraId="0E80EA43" w14:textId="6FD77D18"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3. Kontinuitet u strateškoj orijentaciji takođe treba da bude prioritet</w:t>
      </w:r>
      <w:r w:rsidR="00CE1D6E">
        <w:rPr>
          <w:rFonts w:cstheme="minorHAnsi"/>
          <w:bCs/>
          <w:lang w:val="sr-Latn-RS"/>
        </w:rPr>
        <w:t>, uzevši u obzir samu nadogradnju onog što je već</w:t>
      </w:r>
      <w:r w:rsidRPr="00FE6501">
        <w:rPr>
          <w:rFonts w:cstheme="minorHAnsi"/>
          <w:bCs/>
        </w:rPr>
        <w:t xml:space="preserve"> postignuto</w:t>
      </w:r>
      <w:r w:rsidR="00017C53">
        <w:rPr>
          <w:rFonts w:cstheme="minorHAnsi"/>
          <w:bCs/>
          <w:lang w:val="sr-Latn-RS"/>
        </w:rPr>
        <w:t xml:space="preserve">, kao i tzv. </w:t>
      </w:r>
      <w:r w:rsidRPr="00FE6501">
        <w:rPr>
          <w:rFonts w:cstheme="minorHAnsi"/>
          <w:bCs/>
        </w:rPr>
        <w:t>naučen</w:t>
      </w:r>
      <w:r w:rsidR="00CE1D6E">
        <w:rPr>
          <w:rFonts w:cstheme="minorHAnsi"/>
          <w:bCs/>
          <w:lang w:val="sr-Latn-RS"/>
        </w:rPr>
        <w:t>e</w:t>
      </w:r>
      <w:r w:rsidRPr="00FE6501">
        <w:rPr>
          <w:rFonts w:cstheme="minorHAnsi"/>
          <w:bCs/>
        </w:rPr>
        <w:t xml:space="preserve"> lekcij</w:t>
      </w:r>
      <w:r w:rsidR="00CE1D6E">
        <w:rPr>
          <w:rFonts w:cstheme="minorHAnsi"/>
          <w:bCs/>
          <w:lang w:val="sr-Latn-RS"/>
        </w:rPr>
        <w:t>e</w:t>
      </w:r>
      <w:r w:rsidRPr="00FE6501">
        <w:rPr>
          <w:rFonts w:cstheme="minorHAnsi"/>
          <w:bCs/>
        </w:rPr>
        <w:t>.</w:t>
      </w:r>
    </w:p>
    <w:p w14:paraId="02A7C67E" w14:textId="6DFFC4B7"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 4. Adekvatan i sveobuhvatan skup “SMART” indikatora</w:t>
      </w:r>
      <w:r w:rsidR="00017C53">
        <w:rPr>
          <w:rFonts w:cstheme="minorHAnsi"/>
          <w:bCs/>
          <w:lang w:val="sr-Latn-RS"/>
        </w:rPr>
        <w:t>,</w:t>
      </w:r>
      <w:r w:rsidRPr="00FE6501">
        <w:rPr>
          <w:rFonts w:cstheme="minorHAnsi"/>
          <w:bCs/>
        </w:rPr>
        <w:t xml:space="preserve"> rezultata i ishoda mora biti </w:t>
      </w:r>
      <w:r w:rsidR="00CE1D6E">
        <w:rPr>
          <w:rFonts w:cstheme="minorHAnsi"/>
          <w:bCs/>
          <w:lang w:val="sr-Latn-RS"/>
        </w:rPr>
        <w:t xml:space="preserve">sadržajna </w:t>
      </w:r>
      <w:r w:rsidRPr="00FE6501">
        <w:rPr>
          <w:rFonts w:cstheme="minorHAnsi"/>
          <w:bCs/>
        </w:rPr>
        <w:t xml:space="preserve">komponenta nove </w:t>
      </w:r>
      <w:r w:rsidR="00017C53">
        <w:rPr>
          <w:rFonts w:cstheme="minorHAnsi"/>
          <w:bCs/>
          <w:lang w:val="sr-Latn-RS"/>
        </w:rPr>
        <w:t>s</w:t>
      </w:r>
      <w:r w:rsidRPr="00FE6501">
        <w:rPr>
          <w:rFonts w:cstheme="minorHAnsi"/>
          <w:bCs/>
        </w:rPr>
        <w:t>trategije.</w:t>
      </w:r>
    </w:p>
    <w:p w14:paraId="79767216" w14:textId="7D0A99AF"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 5. </w:t>
      </w:r>
      <w:r w:rsidR="00CE1D6E">
        <w:rPr>
          <w:rFonts w:cstheme="minorHAnsi"/>
          <w:bCs/>
          <w:lang w:val="sr-Latn-RS"/>
        </w:rPr>
        <w:t xml:space="preserve">Postojanje </w:t>
      </w:r>
      <w:r w:rsidRPr="00FE6501">
        <w:rPr>
          <w:rFonts w:cstheme="minorHAnsi"/>
          <w:bCs/>
        </w:rPr>
        <w:t xml:space="preserve">mjera za jačanje međuinstitucionalne saradnje u svakoj fazi ciklusa </w:t>
      </w:r>
      <w:r w:rsidR="00017C53">
        <w:rPr>
          <w:rFonts w:cstheme="minorHAnsi"/>
          <w:bCs/>
          <w:lang w:val="sr-Latn-RS"/>
        </w:rPr>
        <w:t>s</w:t>
      </w:r>
      <w:r w:rsidRPr="00FE6501">
        <w:rPr>
          <w:rFonts w:cstheme="minorHAnsi"/>
          <w:bCs/>
        </w:rPr>
        <w:t xml:space="preserve">trategije (konsultacije, </w:t>
      </w:r>
      <w:r w:rsidR="00CE1D6E">
        <w:rPr>
          <w:rFonts w:cstheme="minorHAnsi"/>
          <w:bCs/>
          <w:lang w:val="sr-Latn-RS"/>
        </w:rPr>
        <w:t>izrada</w:t>
      </w:r>
      <w:r w:rsidRPr="00FE6501">
        <w:rPr>
          <w:rFonts w:cstheme="minorHAnsi"/>
          <w:bCs/>
        </w:rPr>
        <w:t xml:space="preserve">, implementacija, </w:t>
      </w:r>
      <w:r w:rsidR="00017C53">
        <w:rPr>
          <w:rFonts w:cstheme="minorHAnsi"/>
          <w:bCs/>
          <w:lang w:val="sr-Latn-RS"/>
        </w:rPr>
        <w:t>monitoring/</w:t>
      </w:r>
      <w:r w:rsidRPr="00FE6501">
        <w:rPr>
          <w:rFonts w:cstheme="minorHAnsi"/>
          <w:bCs/>
        </w:rPr>
        <w:t>praćenje, evaluacija) kao ključni element uspjeha.</w:t>
      </w:r>
    </w:p>
    <w:p w14:paraId="5003BD8A" w14:textId="77777777" w:rsidR="0079540E" w:rsidRPr="00FE6501" w:rsidRDefault="0079540E" w:rsidP="0079540E">
      <w:pPr>
        <w:tabs>
          <w:tab w:val="left" w:pos="5872"/>
        </w:tabs>
        <w:spacing w:before="120" w:after="0" w:line="276" w:lineRule="auto"/>
        <w:jc w:val="both"/>
        <w:rPr>
          <w:rFonts w:cstheme="minorHAnsi"/>
          <w:bCs/>
        </w:rPr>
      </w:pPr>
      <w:r w:rsidRPr="00FE6501">
        <w:rPr>
          <w:rFonts w:cstheme="minorHAnsi"/>
          <w:bCs/>
        </w:rPr>
        <w:t xml:space="preserve">6. Promovisanje sinergije sa institucijama i usvajanje najboljih praksi na nacionalnom nivou. </w:t>
      </w:r>
    </w:p>
    <w:p w14:paraId="3A8B382A" w14:textId="0BD68E49" w:rsidR="0079540E" w:rsidRPr="00CE1D6E" w:rsidRDefault="0079540E" w:rsidP="0079540E">
      <w:pPr>
        <w:tabs>
          <w:tab w:val="left" w:pos="5872"/>
        </w:tabs>
        <w:spacing w:before="120" w:after="0" w:line="276" w:lineRule="auto"/>
        <w:jc w:val="both"/>
        <w:rPr>
          <w:rFonts w:cstheme="minorHAnsi"/>
          <w:bCs/>
          <w:lang w:val="sr-Latn-RS"/>
        </w:rPr>
      </w:pPr>
      <w:r w:rsidRPr="00FE6501">
        <w:rPr>
          <w:rFonts w:cstheme="minorHAnsi"/>
          <w:bCs/>
        </w:rPr>
        <w:t xml:space="preserve">7. Sprovođenje aktivnosti za podsticanje vidljivosti AFCOS </w:t>
      </w:r>
      <w:r w:rsidR="00CE1D6E">
        <w:rPr>
          <w:rFonts w:cstheme="minorHAnsi"/>
          <w:bCs/>
          <w:lang w:val="sr-Latn-RS"/>
        </w:rPr>
        <w:t>k</w:t>
      </w:r>
      <w:r w:rsidR="00CE1D6E" w:rsidRPr="00FE6501">
        <w:rPr>
          <w:rFonts w:cstheme="minorHAnsi"/>
          <w:bCs/>
        </w:rPr>
        <w:t xml:space="preserve">ancelarije </w:t>
      </w:r>
      <w:r w:rsidRPr="00FE6501">
        <w:rPr>
          <w:rFonts w:cstheme="minorHAnsi"/>
          <w:bCs/>
        </w:rPr>
        <w:t>i promovisanje stvaranja zajedničkog razum</w:t>
      </w:r>
      <w:r w:rsidR="00CE1D6E">
        <w:rPr>
          <w:rFonts w:cstheme="minorHAnsi"/>
          <w:bCs/>
          <w:lang w:val="sr-Latn-RS"/>
        </w:rPr>
        <w:t>ij</w:t>
      </w:r>
      <w:r w:rsidRPr="00FE6501">
        <w:rPr>
          <w:rFonts w:cstheme="minorHAnsi"/>
          <w:bCs/>
        </w:rPr>
        <w:t>evanja o važnosti nacionalne strategije za borbu protiv prevara</w:t>
      </w:r>
      <w:r w:rsidR="00CE1D6E">
        <w:rPr>
          <w:rFonts w:cstheme="minorHAnsi"/>
          <w:b/>
          <w:bCs/>
          <w:u w:val="single"/>
          <w:lang w:val="sr-Latn-RS"/>
        </w:rPr>
        <w:t>.</w:t>
      </w:r>
    </w:p>
    <w:p w14:paraId="09F685B8" w14:textId="59002D80" w:rsidR="0079540E" w:rsidRPr="00FE6501" w:rsidRDefault="0079540E" w:rsidP="0079540E">
      <w:pPr>
        <w:tabs>
          <w:tab w:val="left" w:pos="5872"/>
        </w:tabs>
        <w:spacing w:before="120" w:after="0" w:line="276" w:lineRule="auto"/>
        <w:jc w:val="both"/>
        <w:rPr>
          <w:rFonts w:cstheme="minorHAnsi"/>
          <w:bCs/>
        </w:rPr>
      </w:pPr>
      <w:r w:rsidRPr="00FE6501">
        <w:rPr>
          <w:rFonts w:cstheme="minorHAnsi"/>
          <w:bCs/>
          <w:lang w:val="sr-Latn-RS"/>
        </w:rPr>
        <w:t xml:space="preserve">8. </w:t>
      </w:r>
      <w:r w:rsidRPr="00FE6501">
        <w:rPr>
          <w:rFonts w:cstheme="minorHAnsi"/>
          <w:bCs/>
        </w:rPr>
        <w:t xml:space="preserve">Ulaganje u izgradnju </w:t>
      </w:r>
      <w:r w:rsidR="00CE1D6E">
        <w:rPr>
          <w:rFonts w:cstheme="minorHAnsi"/>
          <w:bCs/>
          <w:lang w:val="sr-Latn-RS"/>
        </w:rPr>
        <w:t>administrativnih kapaciteta</w:t>
      </w:r>
      <w:r w:rsidRPr="00FE6501">
        <w:rPr>
          <w:rFonts w:cstheme="minorHAnsi"/>
          <w:bCs/>
        </w:rPr>
        <w:t xml:space="preserve"> IPA </w:t>
      </w:r>
      <w:r w:rsidR="00017C53">
        <w:rPr>
          <w:rFonts w:cstheme="minorHAnsi"/>
          <w:bCs/>
          <w:lang w:val="sr-Latn-RS"/>
        </w:rPr>
        <w:t>sistema upravljanja i kontrole</w:t>
      </w:r>
      <w:r w:rsidRPr="00FE6501">
        <w:rPr>
          <w:rFonts w:cstheme="minorHAnsi"/>
          <w:bCs/>
        </w:rPr>
        <w:t xml:space="preserve">. </w:t>
      </w:r>
    </w:p>
    <w:p w14:paraId="51748AE1" w14:textId="77777777" w:rsidR="0079540E" w:rsidRPr="00FE6501" w:rsidRDefault="0079540E" w:rsidP="0079540E">
      <w:pPr>
        <w:tabs>
          <w:tab w:val="left" w:pos="5872"/>
        </w:tabs>
        <w:spacing w:before="120" w:after="0" w:line="276" w:lineRule="auto"/>
        <w:jc w:val="both"/>
        <w:rPr>
          <w:rFonts w:cstheme="minorHAnsi"/>
          <w:lang w:val="en-US"/>
        </w:rPr>
      </w:pPr>
      <w:r w:rsidRPr="00FE6501">
        <w:rPr>
          <w:rFonts w:cstheme="minorHAnsi"/>
          <w:bCs/>
          <w:lang w:val="sr-Latn-RS"/>
        </w:rPr>
        <w:t xml:space="preserve">9. </w:t>
      </w:r>
      <w:r w:rsidRPr="00FE6501">
        <w:rPr>
          <w:rFonts w:cstheme="minorHAnsi"/>
          <w:bCs/>
        </w:rPr>
        <w:t>Izrada standardizovanih obrazaca za opis predviđenih mjera i aktivnosti, što će u velikoj mjeri unaprijediti implementaciju.</w:t>
      </w:r>
      <w:r w:rsidRPr="00FE6501">
        <w:rPr>
          <w:rFonts w:cstheme="minorHAnsi"/>
          <w:noProof/>
        </w:rPr>
        <mc:AlternateContent>
          <mc:Choice Requires="wps">
            <w:drawing>
              <wp:anchor distT="0" distB="0" distL="114300" distR="114300" simplePos="0" relativeHeight="251679744" behindDoc="0" locked="0" layoutInCell="1" allowOverlap="1" wp14:anchorId="5C9C3C68" wp14:editId="70C63E9D">
                <wp:simplePos x="0" y="0"/>
                <wp:positionH relativeFrom="margin">
                  <wp:align>right</wp:align>
                </wp:positionH>
                <wp:positionV relativeFrom="paragraph">
                  <wp:posOffset>-36194</wp:posOffset>
                </wp:positionV>
                <wp:extent cx="5170714" cy="45719"/>
                <wp:effectExtent l="0" t="19050" r="0" b="12065"/>
                <wp:wrapNone/>
                <wp:docPr id="5" name="Ορθογώνιο 475"/>
                <wp:cNvGraphicFramePr/>
                <a:graphic xmlns:a="http://schemas.openxmlformats.org/drawingml/2006/main">
                  <a:graphicData uri="http://schemas.microsoft.com/office/word/2010/wordprocessingShape">
                    <wps:wsp>
                      <wps:cNvSpPr/>
                      <wps:spPr>
                        <a:xfrm flipV="1">
                          <a:off x="0" y="0"/>
                          <a:ext cx="5170714" cy="45719"/>
                        </a:xfrm>
                        <a:prstGeom prst="rect">
                          <a:avLst/>
                        </a:prstGeom>
                        <a:noFill/>
                        <a:ln w="12700" cap="flat" cmpd="sng" algn="ctr">
                          <a:noFill/>
                          <a:prstDash val="solid"/>
                          <a:miter lim="800000"/>
                        </a:ln>
                        <a:effectLst/>
                      </wps:spPr>
                      <wps:txbx>
                        <w:txbxContent>
                          <w:p w14:paraId="01D3C47D" w14:textId="77777777" w:rsidR="0057053C" w:rsidRPr="00BD20FC" w:rsidRDefault="0057053C" w:rsidP="0079540E">
                            <w:pPr>
                              <w:ind w:right="179" w:firstLine="720"/>
                              <w:jc w:val="right"/>
                              <w:rPr>
                                <w:i/>
                                <w:iCs/>
                                <w:color w:val="002060"/>
                                <w:sz w:val="28"/>
                                <w:szCs w:val="28"/>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3C68" id="_x0000_s1027" style="position:absolute;left:0;text-align:left;margin-left:355.95pt;margin-top:-2.85pt;width:407.15pt;height:3.6pt;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" filled="f" stroked="f" strokeweight="1pt">
                <v:textbox>
                  <w:txbxContent>
                    <w:p w14:paraId="01D3C47D" w14:textId="77777777" w:rsidR="0057053C" w:rsidRPr="00BD20FC" w:rsidRDefault="0057053C" w:rsidP="0079540E">
                      <w:pPr>
                        <w:ind w:right="179" w:firstLine="720"/>
                        <w:jc w:val="right"/>
                        <w:rPr>
                          <w:i/>
                          <w:iCs/>
                          <w:color w:val="002060"/>
                          <w:sz w:val="28"/>
                          <w:szCs w:val="28"/>
                          <w:lang w:val="en-US"/>
                        </w:rPr>
                      </w:pPr>
                    </w:p>
                  </w:txbxContent>
                </v:textbox>
                <w10:wrap anchorx="margin"/>
              </v:rect>
            </w:pict>
          </mc:Fallback>
        </mc:AlternateContent>
      </w:r>
    </w:p>
    <w:p w14:paraId="7F00CBED" w14:textId="77777777" w:rsidR="0079540E" w:rsidRPr="00FE6501" w:rsidRDefault="0079540E" w:rsidP="0079540E">
      <w:pPr>
        <w:rPr>
          <w:rFonts w:cstheme="minorHAnsi"/>
          <w:lang w:val="en-US"/>
        </w:rPr>
      </w:pPr>
    </w:p>
    <w:p w14:paraId="341F8321" w14:textId="77777777" w:rsidR="00874EE0" w:rsidRPr="00FE6501" w:rsidRDefault="00874EE0" w:rsidP="00874EE0">
      <w:pPr>
        <w:pStyle w:val="Heading2"/>
        <w:jc w:val="both"/>
        <w:rPr>
          <w:rStyle w:val="rynqvb"/>
          <w:rFonts w:asciiTheme="minorHAnsi" w:hAnsiTheme="minorHAnsi" w:cstheme="minorHAnsi"/>
          <w:color w:val="000000"/>
          <w:sz w:val="22"/>
          <w:szCs w:val="22"/>
          <w:shd w:val="clear" w:color="auto" w:fill="F5F5F5"/>
        </w:rPr>
      </w:pPr>
      <w:bookmarkStart w:id="10" w:name="_Toc136505854"/>
      <w:r w:rsidRPr="00FE6501">
        <w:rPr>
          <w:rStyle w:val="rynqvb"/>
          <w:rFonts w:asciiTheme="minorHAnsi" w:hAnsiTheme="minorHAnsi" w:cstheme="minorHAnsi"/>
          <w:color w:val="000000"/>
          <w:sz w:val="22"/>
          <w:szCs w:val="22"/>
          <w:shd w:val="clear" w:color="auto" w:fill="F5F5F5"/>
        </w:rPr>
        <w:lastRenderedPageBreak/>
        <w:t>1. Uvod</w:t>
      </w:r>
      <w:bookmarkEnd w:id="10"/>
    </w:p>
    <w:p w14:paraId="7E5D5D2C" w14:textId="77777777" w:rsidR="00874EE0" w:rsidRPr="00FE6501" w:rsidRDefault="00874EE0" w:rsidP="00874EE0">
      <w:pPr>
        <w:pStyle w:val="Heading2"/>
        <w:jc w:val="both"/>
        <w:rPr>
          <w:rStyle w:val="rynqvb"/>
          <w:rFonts w:asciiTheme="minorHAnsi" w:hAnsiTheme="minorHAnsi" w:cstheme="minorHAnsi"/>
          <w:color w:val="000000"/>
          <w:sz w:val="22"/>
          <w:szCs w:val="22"/>
          <w:shd w:val="clear" w:color="auto" w:fill="F5F5F5"/>
        </w:rPr>
      </w:pPr>
      <w:r w:rsidRPr="00FE6501">
        <w:rPr>
          <w:rStyle w:val="rynqvb"/>
          <w:rFonts w:asciiTheme="minorHAnsi" w:hAnsiTheme="minorHAnsi" w:cstheme="minorHAnsi"/>
          <w:color w:val="000000"/>
          <w:sz w:val="22"/>
          <w:szCs w:val="22"/>
          <w:shd w:val="clear" w:color="auto" w:fill="F5F5F5"/>
        </w:rPr>
        <w:t xml:space="preserve"> </w:t>
      </w:r>
      <w:bookmarkStart w:id="11" w:name="_Toc136505855"/>
      <w:r w:rsidRPr="00FE6501">
        <w:rPr>
          <w:rStyle w:val="rynqvb"/>
          <w:rFonts w:asciiTheme="minorHAnsi" w:hAnsiTheme="minorHAnsi" w:cstheme="minorHAnsi"/>
          <w:color w:val="000000"/>
          <w:sz w:val="22"/>
          <w:szCs w:val="22"/>
          <w:shd w:val="clear" w:color="auto" w:fill="F5F5F5"/>
        </w:rPr>
        <w:t>1.1 Struktura</w:t>
      </w:r>
      <w:bookmarkEnd w:id="11"/>
    </w:p>
    <w:p w14:paraId="42939001" w14:textId="77777777" w:rsidR="00A538DD" w:rsidRDefault="00A538DD" w:rsidP="00874EE0">
      <w:pPr>
        <w:pStyle w:val="Heading2"/>
        <w:jc w:val="both"/>
        <w:rPr>
          <w:rFonts w:asciiTheme="minorHAnsi" w:hAnsiTheme="minorHAnsi" w:cstheme="minorHAnsi"/>
          <w:color w:val="000000"/>
          <w:sz w:val="22"/>
          <w:szCs w:val="22"/>
          <w:shd w:val="clear" w:color="auto" w:fill="F5F5F5"/>
        </w:rPr>
      </w:pPr>
    </w:p>
    <w:p w14:paraId="06834F57" w14:textId="77777777" w:rsidR="00A538DD" w:rsidRDefault="00A538DD" w:rsidP="00874EE0">
      <w:pPr>
        <w:pStyle w:val="Heading2"/>
        <w:jc w:val="both"/>
        <w:rPr>
          <w:rFonts w:asciiTheme="minorHAnsi" w:hAnsiTheme="minorHAnsi" w:cstheme="minorHAnsi"/>
          <w:color w:val="000000"/>
          <w:sz w:val="22"/>
          <w:szCs w:val="22"/>
          <w:shd w:val="clear" w:color="auto" w:fill="F5F5F5"/>
        </w:rPr>
      </w:pPr>
    </w:p>
    <w:p w14:paraId="61630410" w14:textId="380B7EA3" w:rsidR="00874EE0" w:rsidRDefault="00A538DD" w:rsidP="00874EE0">
      <w:pPr>
        <w:pStyle w:val="Heading2"/>
        <w:jc w:val="both"/>
        <w:rPr>
          <w:rFonts w:asciiTheme="minorHAnsi" w:hAnsiTheme="minorHAnsi" w:cstheme="minorHAnsi"/>
          <w:color w:val="000000"/>
          <w:sz w:val="22"/>
          <w:szCs w:val="22"/>
          <w:shd w:val="clear" w:color="auto" w:fill="F5F5F5"/>
        </w:rPr>
      </w:pPr>
      <w:bookmarkStart w:id="12" w:name="_Toc136505856"/>
      <w:r w:rsidRPr="00A538DD">
        <w:rPr>
          <w:rFonts w:asciiTheme="minorHAnsi" w:hAnsiTheme="minorHAnsi" w:cstheme="minorHAnsi"/>
          <w:color w:val="000000"/>
          <w:sz w:val="22"/>
          <w:szCs w:val="22"/>
          <w:shd w:val="clear" w:color="auto" w:fill="F5F5F5"/>
        </w:rPr>
        <w:t>Nakon ovog prvog kratkog uvodnog poglavlja o predmetu, svrsi i procesu evaluacije, dat je kratak opis metodologije, ograničenja i evaluaci</w:t>
      </w:r>
      <w:r w:rsidR="00017C53">
        <w:rPr>
          <w:rFonts w:asciiTheme="minorHAnsi" w:hAnsiTheme="minorHAnsi" w:cstheme="minorHAnsi"/>
          <w:color w:val="000000"/>
          <w:sz w:val="22"/>
          <w:szCs w:val="22"/>
          <w:shd w:val="clear" w:color="auto" w:fill="F5F5F5"/>
          <w:lang w:val="sr-Latn-RS"/>
        </w:rPr>
        <w:t>ion</w:t>
      </w:r>
      <w:r w:rsidRPr="00A538DD">
        <w:rPr>
          <w:rFonts w:asciiTheme="minorHAnsi" w:hAnsiTheme="minorHAnsi" w:cstheme="minorHAnsi"/>
          <w:color w:val="000000"/>
          <w:sz w:val="22"/>
          <w:szCs w:val="22"/>
          <w:shd w:val="clear" w:color="auto" w:fill="F5F5F5"/>
        </w:rPr>
        <w:t xml:space="preserve">ih aktivnosti koje se provode u toku </w:t>
      </w:r>
      <w:r w:rsidR="00832BB2">
        <w:rPr>
          <w:rFonts w:asciiTheme="minorHAnsi" w:hAnsiTheme="minorHAnsi" w:cstheme="minorHAnsi"/>
          <w:color w:val="000000"/>
          <w:sz w:val="22"/>
          <w:szCs w:val="22"/>
          <w:shd w:val="clear" w:color="auto" w:fill="F5F5F5"/>
          <w:lang w:val="sr-Latn-RS"/>
        </w:rPr>
        <w:t>evaluacij</w:t>
      </w:r>
      <w:r w:rsidRPr="00A538DD">
        <w:rPr>
          <w:rFonts w:asciiTheme="minorHAnsi" w:hAnsiTheme="minorHAnsi" w:cstheme="minorHAnsi"/>
          <w:color w:val="000000"/>
          <w:sz w:val="22"/>
          <w:szCs w:val="22"/>
          <w:shd w:val="clear" w:color="auto" w:fill="F5F5F5"/>
        </w:rPr>
        <w:t>e.</w:t>
      </w:r>
      <w:bookmarkEnd w:id="12"/>
    </w:p>
    <w:p w14:paraId="6CE65CFA" w14:textId="2C060C75" w:rsidR="00397FC3" w:rsidRPr="00FE6501" w:rsidRDefault="00874EE0" w:rsidP="00874EE0">
      <w:pPr>
        <w:pStyle w:val="Heading2"/>
        <w:jc w:val="both"/>
        <w:rPr>
          <w:rFonts w:asciiTheme="minorHAnsi" w:hAnsiTheme="minorHAnsi" w:cstheme="minorHAnsi"/>
          <w:sz w:val="22"/>
          <w:szCs w:val="22"/>
          <w:lang w:val="en-US"/>
        </w:rPr>
      </w:pPr>
      <w:bookmarkStart w:id="13" w:name="_Toc136505857"/>
      <w:r w:rsidRPr="00FE6501">
        <w:rPr>
          <w:rStyle w:val="rynqvb"/>
          <w:rFonts w:asciiTheme="minorHAnsi" w:hAnsiTheme="minorHAnsi" w:cstheme="minorHAnsi"/>
          <w:color w:val="000000"/>
          <w:sz w:val="22"/>
          <w:szCs w:val="22"/>
          <w:shd w:val="clear" w:color="auto" w:fill="F5F5F5"/>
        </w:rPr>
        <w:t>Ostatak izvještaja predstavlja nalaze evaluacije grupisane oko ključnih kriterij</w:t>
      </w:r>
      <w:r w:rsidR="009E6C72" w:rsidRPr="00FE6501">
        <w:rPr>
          <w:rStyle w:val="rynqvb"/>
          <w:rFonts w:asciiTheme="minorHAnsi" w:hAnsiTheme="minorHAnsi" w:cstheme="minorHAnsi"/>
          <w:color w:val="000000"/>
          <w:sz w:val="22"/>
          <w:szCs w:val="22"/>
          <w:shd w:val="clear" w:color="auto" w:fill="F5F5F5"/>
          <w:lang w:val="sr-Latn-RS"/>
        </w:rPr>
        <w:t>uma</w:t>
      </w:r>
      <w:r w:rsidRPr="00FE6501">
        <w:rPr>
          <w:rStyle w:val="rynqvb"/>
          <w:rFonts w:asciiTheme="minorHAnsi" w:hAnsiTheme="minorHAnsi" w:cstheme="minorHAnsi"/>
          <w:color w:val="000000"/>
          <w:sz w:val="22"/>
          <w:szCs w:val="22"/>
          <w:shd w:val="clear" w:color="auto" w:fill="F5F5F5"/>
        </w:rPr>
        <w:t xml:space="preserve"> evaluacije</w:t>
      </w:r>
      <w:r w:rsidR="00E01921" w:rsidRPr="00FE6501">
        <w:rPr>
          <w:rStyle w:val="rynqvb"/>
          <w:rFonts w:asciiTheme="minorHAnsi" w:hAnsiTheme="minorHAnsi" w:cstheme="minorHAnsi"/>
          <w:color w:val="000000"/>
          <w:sz w:val="22"/>
          <w:szCs w:val="22"/>
          <w:shd w:val="clear" w:color="auto" w:fill="F5F5F5"/>
          <w:lang w:val="sr-Latn-RS"/>
        </w:rPr>
        <w:t>:</w:t>
      </w:r>
      <w:r w:rsidRPr="00FE6501">
        <w:rPr>
          <w:rStyle w:val="rynqvb"/>
          <w:rFonts w:asciiTheme="minorHAnsi" w:hAnsiTheme="minorHAnsi" w:cstheme="minorHAnsi"/>
          <w:color w:val="000000"/>
          <w:sz w:val="22"/>
          <w:szCs w:val="22"/>
          <w:shd w:val="clear" w:color="auto" w:fill="F5F5F5"/>
        </w:rPr>
        <w:t xml:space="preserve"> relevantnosti, djelotvornosti i strateške doda</w:t>
      </w:r>
      <w:r w:rsidR="009E6C72" w:rsidRPr="00FE6501">
        <w:rPr>
          <w:rStyle w:val="rynqvb"/>
          <w:rFonts w:asciiTheme="minorHAnsi" w:hAnsiTheme="minorHAnsi" w:cstheme="minorHAnsi"/>
          <w:color w:val="000000"/>
          <w:sz w:val="22"/>
          <w:szCs w:val="22"/>
          <w:shd w:val="clear" w:color="auto" w:fill="F5F5F5"/>
          <w:lang w:val="sr-Latn-RS"/>
        </w:rPr>
        <w:t>t</w:t>
      </w:r>
      <w:r w:rsidRPr="00FE6501">
        <w:rPr>
          <w:rStyle w:val="rynqvb"/>
          <w:rFonts w:asciiTheme="minorHAnsi" w:hAnsiTheme="minorHAnsi" w:cstheme="minorHAnsi"/>
          <w:color w:val="000000"/>
          <w:sz w:val="22"/>
          <w:szCs w:val="22"/>
          <w:shd w:val="clear" w:color="auto" w:fill="F5F5F5"/>
        </w:rPr>
        <w:t>ne vrijednosti.</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Pojedinačni odjeljci se bave različitim aspektima svakog kriterij</w:t>
      </w:r>
      <w:r w:rsidR="00E01921" w:rsidRPr="00FE6501">
        <w:rPr>
          <w:rStyle w:val="rynqvb"/>
          <w:rFonts w:asciiTheme="minorHAnsi" w:hAnsiTheme="minorHAnsi" w:cstheme="minorHAnsi"/>
          <w:color w:val="000000"/>
          <w:sz w:val="22"/>
          <w:szCs w:val="22"/>
          <w:shd w:val="clear" w:color="auto" w:fill="F5F5F5"/>
          <w:lang w:val="sr-Latn-RS"/>
        </w:rPr>
        <w:t>uma</w:t>
      </w:r>
      <w:r w:rsidRPr="00FE6501">
        <w:rPr>
          <w:rStyle w:val="rynqvb"/>
          <w:rFonts w:asciiTheme="minorHAnsi" w:hAnsiTheme="minorHAnsi" w:cstheme="minorHAnsi"/>
          <w:color w:val="000000"/>
          <w:sz w:val="22"/>
          <w:szCs w:val="22"/>
          <w:shd w:val="clear" w:color="auto" w:fill="F5F5F5"/>
        </w:rPr>
        <w:t xml:space="preserve"> i uključuju detaljan prikaz nalaza i rezultata koji proizlaze iz analize relevantne dokumentacije, kao i odgovora zainteres</w:t>
      </w:r>
      <w:r w:rsidR="00E01921" w:rsidRPr="00FE6501">
        <w:rPr>
          <w:rStyle w:val="rynqvb"/>
          <w:rFonts w:asciiTheme="minorHAnsi" w:hAnsiTheme="minorHAnsi" w:cstheme="minorHAnsi"/>
          <w:color w:val="000000"/>
          <w:sz w:val="22"/>
          <w:szCs w:val="22"/>
          <w:shd w:val="clear" w:color="auto" w:fill="F5F5F5"/>
          <w:lang w:val="sr-Latn-RS"/>
        </w:rPr>
        <w:t>ovan</w:t>
      </w:r>
      <w:r w:rsidRPr="00FE6501">
        <w:rPr>
          <w:rStyle w:val="rynqvb"/>
          <w:rFonts w:asciiTheme="minorHAnsi" w:hAnsiTheme="minorHAnsi" w:cstheme="minorHAnsi"/>
          <w:color w:val="000000"/>
          <w:sz w:val="22"/>
          <w:szCs w:val="22"/>
          <w:shd w:val="clear" w:color="auto" w:fill="F5F5F5"/>
        </w:rPr>
        <w:t xml:space="preserve">ih strana prikupljenih kroz </w:t>
      </w:r>
      <w:r w:rsidR="00E01921" w:rsidRPr="00FE6501">
        <w:rPr>
          <w:rStyle w:val="rynqvb"/>
          <w:rFonts w:asciiTheme="minorHAnsi" w:hAnsiTheme="minorHAnsi" w:cstheme="minorHAnsi"/>
          <w:color w:val="000000"/>
          <w:sz w:val="22"/>
          <w:szCs w:val="22"/>
          <w:shd w:val="clear" w:color="auto" w:fill="F5F5F5"/>
          <w:lang w:val="sr-Latn-RS"/>
        </w:rPr>
        <w:t>slanje</w:t>
      </w:r>
      <w:r w:rsidRPr="00FE6501">
        <w:rPr>
          <w:rStyle w:val="rynqvb"/>
          <w:rFonts w:asciiTheme="minorHAnsi" w:hAnsiTheme="minorHAnsi" w:cstheme="minorHAnsi"/>
          <w:color w:val="000000"/>
          <w:sz w:val="22"/>
          <w:szCs w:val="22"/>
          <w:shd w:val="clear" w:color="auto" w:fill="F5F5F5"/>
        </w:rPr>
        <w:t xml:space="preserve"> upitnika i </w:t>
      </w:r>
      <w:r w:rsidR="00E01921" w:rsidRPr="00FE6501">
        <w:rPr>
          <w:rStyle w:val="rynqvb"/>
          <w:rFonts w:asciiTheme="minorHAnsi" w:hAnsiTheme="minorHAnsi" w:cstheme="minorHAnsi"/>
          <w:color w:val="000000"/>
          <w:sz w:val="22"/>
          <w:szCs w:val="22"/>
          <w:shd w:val="clear" w:color="auto" w:fill="F5F5F5"/>
          <w:lang w:val="sr-Latn-RS"/>
        </w:rPr>
        <w:t>s</w:t>
      </w:r>
      <w:r w:rsidRPr="00FE6501">
        <w:rPr>
          <w:rStyle w:val="rynqvb"/>
          <w:rFonts w:asciiTheme="minorHAnsi" w:hAnsiTheme="minorHAnsi" w:cstheme="minorHAnsi"/>
          <w:color w:val="000000"/>
          <w:sz w:val="22"/>
          <w:szCs w:val="22"/>
          <w:shd w:val="clear" w:color="auto" w:fill="F5F5F5"/>
        </w:rPr>
        <w:t>provođenje polustrukturi</w:t>
      </w:r>
      <w:r w:rsidR="00E01921" w:rsidRPr="00FE6501">
        <w:rPr>
          <w:rStyle w:val="rynqvb"/>
          <w:rFonts w:asciiTheme="minorHAnsi" w:hAnsiTheme="minorHAnsi" w:cstheme="minorHAnsi"/>
          <w:color w:val="000000"/>
          <w:sz w:val="22"/>
          <w:szCs w:val="22"/>
          <w:shd w:val="clear" w:color="auto" w:fill="F5F5F5"/>
          <w:lang w:val="sr-Latn-RS"/>
        </w:rPr>
        <w:t>s</w:t>
      </w:r>
      <w:r w:rsidRPr="00FE6501">
        <w:rPr>
          <w:rStyle w:val="rynqvb"/>
          <w:rFonts w:asciiTheme="minorHAnsi" w:hAnsiTheme="minorHAnsi" w:cstheme="minorHAnsi"/>
          <w:color w:val="000000"/>
          <w:sz w:val="22"/>
          <w:szCs w:val="22"/>
          <w:shd w:val="clear" w:color="auto" w:fill="F5F5F5"/>
        </w:rPr>
        <w:t>anih intervjua.</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Zaključci i preporuke su predstavljeni u završnom poglavlju izvještaja</w:t>
      </w:r>
      <w:r w:rsidR="00832BB2">
        <w:rPr>
          <w:rStyle w:val="rynqvb"/>
          <w:rFonts w:asciiTheme="minorHAnsi" w:hAnsiTheme="minorHAnsi" w:cstheme="minorHAnsi"/>
          <w:color w:val="000000"/>
          <w:sz w:val="22"/>
          <w:szCs w:val="22"/>
          <w:shd w:val="clear" w:color="auto" w:fill="F5F5F5"/>
          <w:lang w:val="sr-Latn-RS"/>
        </w:rPr>
        <w:t>,</w:t>
      </w:r>
      <w:r w:rsidRPr="00FE6501">
        <w:rPr>
          <w:rStyle w:val="rynqvb"/>
          <w:rFonts w:asciiTheme="minorHAnsi" w:hAnsiTheme="minorHAnsi" w:cstheme="minorHAnsi"/>
          <w:color w:val="000000"/>
          <w:sz w:val="22"/>
          <w:szCs w:val="22"/>
          <w:shd w:val="clear" w:color="auto" w:fill="F5F5F5"/>
        </w:rPr>
        <w:t xml:space="preserve"> kako bi se podržalo formulisanje politike zasnovane na činjenicama u pogledu naredne Strategije za period 2024-2027.</w:t>
      </w:r>
      <w:bookmarkEnd w:id="13"/>
    </w:p>
    <w:p w14:paraId="29F072CF" w14:textId="77777777" w:rsidR="00874EE0" w:rsidRPr="00FE6501" w:rsidRDefault="00874EE0" w:rsidP="00537945">
      <w:pPr>
        <w:pStyle w:val="Heading2"/>
        <w:spacing w:after="240"/>
        <w:rPr>
          <w:rFonts w:asciiTheme="minorHAnsi" w:hAnsiTheme="minorHAnsi" w:cstheme="minorHAnsi"/>
          <w:b/>
          <w:sz w:val="22"/>
          <w:szCs w:val="22"/>
          <w:lang w:val="en-US"/>
        </w:rPr>
      </w:pPr>
    </w:p>
    <w:p w14:paraId="349644F6" w14:textId="77777777" w:rsidR="00874EE0" w:rsidRPr="00FE6501" w:rsidRDefault="00874EE0" w:rsidP="00E63F8E">
      <w:pPr>
        <w:spacing w:line="276" w:lineRule="auto"/>
        <w:jc w:val="both"/>
        <w:rPr>
          <w:rStyle w:val="rynqvb"/>
          <w:rFonts w:cstheme="minorHAnsi"/>
          <w:color w:val="000000"/>
          <w:shd w:val="clear" w:color="auto" w:fill="F5F5F5"/>
        </w:rPr>
      </w:pPr>
      <w:r w:rsidRPr="00FE6501">
        <w:rPr>
          <w:rStyle w:val="rynqvb"/>
          <w:rFonts w:cstheme="minorHAnsi"/>
          <w:color w:val="000000"/>
          <w:shd w:val="clear" w:color="auto" w:fill="F5F5F5"/>
        </w:rPr>
        <w:t xml:space="preserve">1.2 Cilj, djelokrug, proces </w:t>
      </w:r>
    </w:p>
    <w:p w14:paraId="6F76D3BD" w14:textId="77777777" w:rsidR="00832BB2" w:rsidRDefault="00874EE0" w:rsidP="00E63F8E">
      <w:pPr>
        <w:spacing w:line="276" w:lineRule="auto"/>
        <w:jc w:val="both"/>
        <w:rPr>
          <w:rStyle w:val="rynqvb"/>
          <w:rFonts w:cstheme="minorHAnsi"/>
          <w:color w:val="000000"/>
          <w:shd w:val="clear" w:color="auto" w:fill="F5F5F5"/>
        </w:rPr>
      </w:pPr>
      <w:r w:rsidRPr="00FE6501">
        <w:rPr>
          <w:rStyle w:val="rynqvb"/>
          <w:rFonts w:cstheme="minorHAnsi"/>
          <w:color w:val="000000"/>
          <w:shd w:val="clear" w:color="auto" w:fill="F5F5F5"/>
        </w:rPr>
        <w:t xml:space="preserve">Izvještaj daje ex-post evaluaciju Strategije za borbu protiv prevara i upravljanja nepravilnostima za zaštitu finansijskih interesa Evropske unije 2019 – 2022 Crne Gore (u daljem tekstu: Strategija 2019-2022 ili Strategija) </w:t>
      </w:r>
      <w:r w:rsidR="00E500B9" w:rsidRPr="00FE6501">
        <w:rPr>
          <w:rStyle w:val="rynqvb"/>
          <w:rFonts w:cstheme="minorHAnsi"/>
          <w:color w:val="000000"/>
          <w:shd w:val="clear" w:color="auto" w:fill="F5F5F5"/>
          <w:lang w:val="sr-Latn-RS"/>
        </w:rPr>
        <w:t>koja je predviđena u okviru</w:t>
      </w:r>
      <w:r w:rsidRPr="00FE6501">
        <w:rPr>
          <w:rStyle w:val="rynqvb"/>
          <w:rFonts w:cstheme="minorHAnsi"/>
          <w:color w:val="000000"/>
          <w:shd w:val="clear" w:color="auto" w:fill="F5F5F5"/>
        </w:rPr>
        <w:t xml:space="preserve"> treće komponente Twinning Light projekta „Jačanje kapaciteta AFCOS sistema u oblasti upravljanja nepravilnostima“. </w:t>
      </w:r>
    </w:p>
    <w:p w14:paraId="26D505BA" w14:textId="77777777" w:rsidR="006445BE" w:rsidRDefault="00874EE0" w:rsidP="00E63F8E">
      <w:pPr>
        <w:spacing w:line="276" w:lineRule="auto"/>
        <w:jc w:val="both"/>
        <w:rPr>
          <w:rStyle w:val="rynqvb"/>
          <w:rFonts w:cstheme="minorHAnsi"/>
          <w:color w:val="000000"/>
          <w:shd w:val="clear" w:color="auto" w:fill="F5F5F5"/>
        </w:rPr>
      </w:pPr>
      <w:r w:rsidRPr="00FE6501">
        <w:rPr>
          <w:rStyle w:val="rynqvb"/>
          <w:rFonts w:cstheme="minorHAnsi"/>
          <w:color w:val="000000"/>
          <w:shd w:val="clear" w:color="auto" w:fill="F5F5F5"/>
        </w:rPr>
        <w:t>Primarni cilj je kritički procijeniti relevantnost, djelotvornost i dodatnu vrijednost Strategije, razumjeti i identifi</w:t>
      </w:r>
      <w:r w:rsidR="00E500B9" w:rsidRPr="00FE6501">
        <w:rPr>
          <w:rStyle w:val="rynqvb"/>
          <w:rFonts w:cstheme="minorHAnsi"/>
          <w:color w:val="000000"/>
          <w:shd w:val="clear" w:color="auto" w:fill="F5F5F5"/>
          <w:lang w:val="sr-Latn-RS"/>
        </w:rPr>
        <w:t>kov</w:t>
      </w:r>
      <w:r w:rsidRPr="00FE6501">
        <w:rPr>
          <w:rStyle w:val="rynqvb"/>
          <w:rFonts w:cstheme="minorHAnsi"/>
          <w:color w:val="000000"/>
          <w:shd w:val="clear" w:color="auto" w:fill="F5F5F5"/>
        </w:rPr>
        <w:t>ati njene snage i slabosti, izvući naučene lekcije posebno o njenom uticaju u pravcu uspostavljanja sveobuhvatnog okvira za zaštitu finansijskih interesa EU u</w:t>
      </w:r>
      <w:r w:rsidRPr="00FE6501">
        <w:rPr>
          <w:rFonts w:cstheme="minorHAnsi"/>
          <w:color w:val="000000"/>
          <w:shd w:val="clear" w:color="auto" w:fill="F5F5F5"/>
        </w:rPr>
        <w:t xml:space="preserve"> </w:t>
      </w:r>
      <w:r w:rsidRPr="00FE6501">
        <w:rPr>
          <w:rStyle w:val="rynqvb"/>
          <w:rFonts w:cstheme="minorHAnsi"/>
          <w:color w:val="000000"/>
          <w:shd w:val="clear" w:color="auto" w:fill="F5F5F5"/>
        </w:rPr>
        <w:t>zemlji</w:t>
      </w:r>
      <w:r w:rsidR="006445BE">
        <w:rPr>
          <w:rStyle w:val="rynqvb"/>
          <w:rFonts w:cstheme="minorHAnsi"/>
          <w:color w:val="000000"/>
          <w:shd w:val="clear" w:color="auto" w:fill="F5F5F5"/>
          <w:lang w:val="sr-Latn-RS"/>
        </w:rPr>
        <w:t>,</w:t>
      </w:r>
      <w:r w:rsidRPr="00FE6501">
        <w:rPr>
          <w:rStyle w:val="rynqvb"/>
          <w:rFonts w:cstheme="minorHAnsi"/>
          <w:color w:val="000000"/>
          <w:shd w:val="clear" w:color="auto" w:fill="F5F5F5"/>
        </w:rPr>
        <w:t xml:space="preserve"> i dati preporuke za dizajn </w:t>
      </w:r>
      <w:r w:rsidR="00E500B9" w:rsidRPr="00FE6501">
        <w:rPr>
          <w:rStyle w:val="rynqvb"/>
          <w:rFonts w:cstheme="minorHAnsi"/>
          <w:color w:val="000000"/>
          <w:shd w:val="clear" w:color="auto" w:fill="F5F5F5"/>
          <w:lang w:val="sr-Latn-RS"/>
        </w:rPr>
        <w:t>naredne strategije</w:t>
      </w:r>
      <w:r w:rsidRPr="00FE6501">
        <w:rPr>
          <w:rStyle w:val="rynqvb"/>
          <w:rFonts w:cstheme="minorHAnsi"/>
          <w:color w:val="000000"/>
          <w:shd w:val="clear" w:color="auto" w:fill="F5F5F5"/>
        </w:rPr>
        <w:t xml:space="preserve">. </w:t>
      </w:r>
    </w:p>
    <w:p w14:paraId="60EDCA6B" w14:textId="16BA63F8" w:rsidR="00874EE0" w:rsidRPr="00FE6501" w:rsidRDefault="00AE537F" w:rsidP="00E63F8E">
      <w:pPr>
        <w:spacing w:line="276" w:lineRule="auto"/>
        <w:jc w:val="both"/>
        <w:rPr>
          <w:rStyle w:val="rynqvb"/>
          <w:rFonts w:cstheme="minorHAnsi"/>
          <w:color w:val="000000"/>
          <w:shd w:val="clear" w:color="auto" w:fill="F5F5F5"/>
        </w:rPr>
      </w:pPr>
      <w:r w:rsidRPr="00AE537F">
        <w:rPr>
          <w:rFonts w:cstheme="minorHAnsi"/>
          <w:color w:val="000000"/>
          <w:shd w:val="clear" w:color="auto" w:fill="F5F5F5"/>
          <w:lang w:val="sr-Latn-ME"/>
        </w:rPr>
        <w:t xml:space="preserve">U skladu sa ciljem evaluacije, </w:t>
      </w:r>
      <w:r w:rsidR="006445BE">
        <w:rPr>
          <w:rFonts w:cstheme="minorHAnsi"/>
          <w:color w:val="000000"/>
          <w:shd w:val="clear" w:color="auto" w:fill="F5F5F5"/>
          <w:lang w:val="sr-Latn-ME"/>
        </w:rPr>
        <w:t>njen djelokrug</w:t>
      </w:r>
      <w:r w:rsidRPr="00AE537F">
        <w:rPr>
          <w:rFonts w:cstheme="minorHAnsi"/>
          <w:color w:val="000000"/>
          <w:shd w:val="clear" w:color="auto" w:fill="F5F5F5"/>
          <w:lang w:val="sr-Latn-ME"/>
        </w:rPr>
        <w:t xml:space="preserve"> se proteže kroz </w:t>
      </w:r>
      <w:r w:rsidR="006445BE">
        <w:rPr>
          <w:rFonts w:cstheme="minorHAnsi"/>
          <w:color w:val="000000"/>
          <w:shd w:val="clear" w:color="auto" w:fill="F5F5F5"/>
          <w:lang w:val="sr-Latn-ME"/>
        </w:rPr>
        <w:t xml:space="preserve">sami </w:t>
      </w:r>
      <w:r w:rsidRPr="00AE537F">
        <w:rPr>
          <w:rFonts w:cstheme="minorHAnsi"/>
          <w:color w:val="000000"/>
          <w:shd w:val="clear" w:color="auto" w:fill="F5F5F5"/>
          <w:lang w:val="sr-Latn-ME"/>
        </w:rPr>
        <w:t>period implementacije</w:t>
      </w:r>
      <w:r w:rsidR="006445BE">
        <w:rPr>
          <w:rFonts w:cstheme="minorHAnsi"/>
          <w:color w:val="000000"/>
          <w:shd w:val="clear" w:color="auto" w:fill="F5F5F5"/>
          <w:lang w:val="sr-Latn-ME"/>
        </w:rPr>
        <w:t xml:space="preserve"> Strategije-</w:t>
      </w:r>
      <w:r w:rsidRPr="00AE537F">
        <w:rPr>
          <w:rFonts w:cstheme="minorHAnsi"/>
          <w:color w:val="000000"/>
          <w:shd w:val="clear" w:color="auto" w:fill="F5F5F5"/>
          <w:lang w:val="sr-Latn-ME"/>
        </w:rPr>
        <w:t xml:space="preserve"> 2019-2022</w:t>
      </w:r>
      <w:r w:rsidR="006445BE">
        <w:rPr>
          <w:rFonts w:cstheme="minorHAnsi"/>
          <w:color w:val="000000"/>
          <w:shd w:val="clear" w:color="auto" w:fill="F5F5F5"/>
          <w:lang w:val="sr-Latn-ME"/>
        </w:rPr>
        <w:t xml:space="preserve"> godine,</w:t>
      </w:r>
      <w:r w:rsidRPr="00AE537F">
        <w:rPr>
          <w:rFonts w:cstheme="minorHAnsi"/>
          <w:color w:val="000000"/>
          <w:shd w:val="clear" w:color="auto" w:fill="F5F5F5"/>
          <w:lang w:val="sr-Latn-ME"/>
        </w:rPr>
        <w:t xml:space="preserve"> obuhvatajući svaki cilj, </w:t>
      </w:r>
      <w:r w:rsidR="006445BE">
        <w:rPr>
          <w:rFonts w:cstheme="minorHAnsi"/>
          <w:color w:val="000000"/>
          <w:shd w:val="clear" w:color="auto" w:fill="F5F5F5"/>
          <w:lang w:val="sr-Latn-ME"/>
        </w:rPr>
        <w:t xml:space="preserve">aktivnost </w:t>
      </w:r>
      <w:r w:rsidRPr="00AE537F">
        <w:rPr>
          <w:rFonts w:cstheme="minorHAnsi"/>
          <w:color w:val="000000"/>
          <w:shd w:val="clear" w:color="auto" w:fill="F5F5F5"/>
          <w:lang w:val="sr-Latn-ME"/>
        </w:rPr>
        <w:t>i mjeru predviđenu u strateškom dokumentu</w:t>
      </w:r>
      <w:r w:rsidR="006445BE">
        <w:rPr>
          <w:rFonts w:cstheme="minorHAnsi"/>
          <w:color w:val="000000"/>
          <w:shd w:val="clear" w:color="auto" w:fill="F5F5F5"/>
          <w:lang w:val="sr-Latn-ME"/>
        </w:rPr>
        <w:t>,</w:t>
      </w:r>
      <w:r w:rsidRPr="00AE537F">
        <w:rPr>
          <w:rFonts w:cstheme="minorHAnsi"/>
          <w:color w:val="000000"/>
          <w:shd w:val="clear" w:color="auto" w:fill="F5F5F5"/>
          <w:lang w:val="sr-Latn-ME"/>
        </w:rPr>
        <w:t xml:space="preserve"> kako bi se identifikovali </w:t>
      </w:r>
      <w:r w:rsidR="006445BE">
        <w:rPr>
          <w:rFonts w:cstheme="minorHAnsi"/>
          <w:color w:val="000000"/>
          <w:shd w:val="clear" w:color="auto" w:fill="F5F5F5"/>
          <w:lang w:val="sr-Latn-ME"/>
        </w:rPr>
        <w:t>ishodi</w:t>
      </w:r>
      <w:r w:rsidRPr="00AE537F">
        <w:rPr>
          <w:rFonts w:cstheme="minorHAnsi"/>
          <w:color w:val="000000"/>
          <w:shd w:val="clear" w:color="auto" w:fill="F5F5F5"/>
          <w:lang w:val="sr-Latn-ME"/>
        </w:rPr>
        <w:t xml:space="preserve"> i ostvareni rezultati, kao i ključni faktori koji </w:t>
      </w:r>
      <w:r w:rsidR="00B41E46">
        <w:rPr>
          <w:rFonts w:cstheme="minorHAnsi"/>
          <w:color w:val="000000"/>
          <w:shd w:val="clear" w:color="auto" w:fill="F5F5F5"/>
          <w:lang w:val="sr-Latn-ME"/>
        </w:rPr>
        <w:t xml:space="preserve">ih </w:t>
      </w:r>
      <w:r w:rsidRPr="00AE537F">
        <w:rPr>
          <w:rFonts w:cstheme="minorHAnsi"/>
          <w:color w:val="000000"/>
          <w:shd w:val="clear" w:color="auto" w:fill="F5F5F5"/>
          <w:lang w:val="sr-Latn-ME"/>
        </w:rPr>
        <w:t xml:space="preserve">omogućavaju, </w:t>
      </w:r>
      <w:r w:rsidR="00B41E46">
        <w:rPr>
          <w:rFonts w:cstheme="minorHAnsi"/>
          <w:color w:val="000000"/>
          <w:shd w:val="clear" w:color="auto" w:fill="F5F5F5"/>
          <w:lang w:val="sr-Latn-ME"/>
        </w:rPr>
        <w:t xml:space="preserve">li isto tako i definisale </w:t>
      </w:r>
      <w:r w:rsidRPr="00AE537F">
        <w:rPr>
          <w:rFonts w:cstheme="minorHAnsi"/>
          <w:color w:val="000000"/>
          <w:shd w:val="clear" w:color="auto" w:fill="F5F5F5"/>
          <w:lang w:val="sr-Latn-ME"/>
        </w:rPr>
        <w:t xml:space="preserve">prepreke </w:t>
      </w:r>
      <w:r>
        <w:rPr>
          <w:rFonts w:cstheme="minorHAnsi"/>
          <w:color w:val="000000"/>
          <w:shd w:val="clear" w:color="auto" w:fill="F5F5F5"/>
          <w:lang w:val="sr-Latn-ME"/>
        </w:rPr>
        <w:t xml:space="preserve">i </w:t>
      </w:r>
      <w:r w:rsidR="00874EE0" w:rsidRPr="00FE6501">
        <w:rPr>
          <w:rStyle w:val="rynqvb"/>
          <w:rFonts w:cstheme="minorHAnsi"/>
          <w:color w:val="000000"/>
          <w:shd w:val="clear" w:color="auto" w:fill="F5F5F5"/>
        </w:rPr>
        <w:t xml:space="preserve">potencijalni multiplikativni efekti koji </w:t>
      </w:r>
      <w:r w:rsidR="000E6E76" w:rsidRPr="00FE6501">
        <w:rPr>
          <w:rStyle w:val="rynqvb"/>
          <w:rFonts w:cstheme="minorHAnsi"/>
          <w:color w:val="000000"/>
          <w:shd w:val="clear" w:color="auto" w:fill="F5F5F5"/>
          <w:lang w:val="sr-Latn-RS"/>
        </w:rPr>
        <w:t xml:space="preserve">mogu </w:t>
      </w:r>
      <w:r w:rsidR="00874EE0" w:rsidRPr="00FE6501">
        <w:rPr>
          <w:rStyle w:val="rynqvb"/>
          <w:rFonts w:cstheme="minorHAnsi"/>
          <w:color w:val="000000"/>
          <w:shd w:val="clear" w:color="auto" w:fill="F5F5F5"/>
        </w:rPr>
        <w:t>nasta</w:t>
      </w:r>
      <w:r w:rsidR="000E6E76" w:rsidRPr="00FE6501">
        <w:rPr>
          <w:rStyle w:val="rynqvb"/>
          <w:rFonts w:cstheme="minorHAnsi"/>
          <w:color w:val="000000"/>
          <w:shd w:val="clear" w:color="auto" w:fill="F5F5F5"/>
          <w:lang w:val="sr-Latn-RS"/>
        </w:rPr>
        <w:t>ti</w:t>
      </w:r>
      <w:r w:rsidR="00874EE0" w:rsidRPr="00FE6501">
        <w:rPr>
          <w:rStyle w:val="rynqvb"/>
          <w:rFonts w:cstheme="minorHAnsi"/>
          <w:color w:val="000000"/>
          <w:shd w:val="clear" w:color="auto" w:fill="F5F5F5"/>
        </w:rPr>
        <w:t xml:space="preserve"> </w:t>
      </w:r>
      <w:r w:rsidR="000E6E76" w:rsidRPr="00FE6501">
        <w:rPr>
          <w:rStyle w:val="rynqvb"/>
          <w:rFonts w:cstheme="minorHAnsi"/>
          <w:color w:val="000000"/>
          <w:shd w:val="clear" w:color="auto" w:fill="F5F5F5"/>
          <w:lang w:val="sr-Latn-RS"/>
        </w:rPr>
        <w:t>prilikom njihove implementacije</w:t>
      </w:r>
      <w:r w:rsidR="00874EE0" w:rsidRPr="00FE6501">
        <w:rPr>
          <w:rStyle w:val="rynqvb"/>
          <w:rFonts w:cstheme="minorHAnsi"/>
          <w:color w:val="000000"/>
          <w:shd w:val="clear" w:color="auto" w:fill="F5F5F5"/>
        </w:rPr>
        <w:t>.</w:t>
      </w:r>
      <w:r w:rsidR="00874EE0" w:rsidRPr="00FE6501">
        <w:rPr>
          <w:rFonts w:cstheme="minorHAnsi"/>
          <w:color w:val="000000"/>
          <w:shd w:val="clear" w:color="auto" w:fill="F5F5F5"/>
        </w:rPr>
        <w:t xml:space="preserve"> </w:t>
      </w:r>
      <w:r w:rsidR="00874EE0" w:rsidRPr="00FE6501">
        <w:rPr>
          <w:rStyle w:val="rynqvb"/>
          <w:rFonts w:cstheme="minorHAnsi"/>
          <w:color w:val="000000"/>
          <w:shd w:val="clear" w:color="auto" w:fill="F5F5F5"/>
        </w:rPr>
        <w:t xml:space="preserve">Pored toga, </w:t>
      </w:r>
      <w:r w:rsidR="000E6E76" w:rsidRPr="00FE6501">
        <w:rPr>
          <w:rStyle w:val="rynqvb"/>
          <w:rFonts w:cstheme="minorHAnsi"/>
          <w:color w:val="000000"/>
          <w:shd w:val="clear" w:color="auto" w:fill="F5F5F5"/>
          <w:lang w:val="sr-Latn-RS"/>
        </w:rPr>
        <w:t>evaluacioni tim</w:t>
      </w:r>
      <w:r w:rsidR="00874EE0" w:rsidRPr="00FE6501">
        <w:rPr>
          <w:rStyle w:val="rynqvb"/>
          <w:rFonts w:cstheme="minorHAnsi"/>
          <w:color w:val="000000"/>
          <w:shd w:val="clear" w:color="auto" w:fill="F5F5F5"/>
        </w:rPr>
        <w:t xml:space="preserve"> je procijenio formativne elemente dokumenta i stepen u kojem </w:t>
      </w:r>
      <w:r w:rsidR="000E6E76" w:rsidRPr="00FE6501">
        <w:rPr>
          <w:rStyle w:val="rynqvb"/>
          <w:rFonts w:cstheme="minorHAnsi"/>
          <w:color w:val="000000"/>
          <w:shd w:val="clear" w:color="auto" w:fill="F5F5F5"/>
          <w:lang w:val="sr-Latn-RS"/>
        </w:rPr>
        <w:t>se</w:t>
      </w:r>
      <w:r w:rsidR="00874EE0" w:rsidRPr="00FE6501">
        <w:rPr>
          <w:rStyle w:val="rynqvb"/>
          <w:rFonts w:cstheme="minorHAnsi"/>
          <w:color w:val="000000"/>
          <w:shd w:val="clear" w:color="auto" w:fill="F5F5F5"/>
        </w:rPr>
        <w:t xml:space="preserve"> ispunjava</w:t>
      </w:r>
      <w:r w:rsidR="00D53590" w:rsidRPr="00FE6501">
        <w:rPr>
          <w:rStyle w:val="rynqvb"/>
          <w:rFonts w:cstheme="minorHAnsi"/>
          <w:color w:val="000000"/>
          <w:shd w:val="clear" w:color="auto" w:fill="F5F5F5"/>
          <w:lang w:val="sr-Latn-RS"/>
        </w:rPr>
        <w:t>ju</w:t>
      </w:r>
      <w:r w:rsidR="00874EE0" w:rsidRPr="00FE6501">
        <w:rPr>
          <w:rStyle w:val="rynqvb"/>
          <w:rFonts w:cstheme="minorHAnsi"/>
          <w:color w:val="000000"/>
          <w:shd w:val="clear" w:color="auto" w:fill="F5F5F5"/>
        </w:rPr>
        <w:t xml:space="preserve"> standard</w:t>
      </w:r>
      <w:r w:rsidR="00D53590" w:rsidRPr="00FE6501">
        <w:rPr>
          <w:rStyle w:val="rynqvb"/>
          <w:rFonts w:cstheme="minorHAnsi"/>
          <w:color w:val="000000"/>
          <w:shd w:val="clear" w:color="auto" w:fill="F5F5F5"/>
          <w:lang w:val="sr-Latn-RS"/>
        </w:rPr>
        <w:t>i</w:t>
      </w:r>
      <w:r w:rsidR="00874EE0" w:rsidRPr="00FE6501">
        <w:rPr>
          <w:rStyle w:val="rynqvb"/>
          <w:rFonts w:cstheme="minorHAnsi"/>
          <w:color w:val="000000"/>
          <w:shd w:val="clear" w:color="auto" w:fill="F5F5F5"/>
        </w:rPr>
        <w:t xml:space="preserve"> postavljen</w:t>
      </w:r>
      <w:r w:rsidR="00D53590" w:rsidRPr="00FE6501">
        <w:rPr>
          <w:rStyle w:val="rynqvb"/>
          <w:rFonts w:cstheme="minorHAnsi"/>
          <w:color w:val="000000"/>
          <w:shd w:val="clear" w:color="auto" w:fill="F5F5F5"/>
          <w:lang w:val="sr-Latn-RS"/>
        </w:rPr>
        <w:t>i</w:t>
      </w:r>
      <w:r w:rsidR="00874EE0" w:rsidRPr="00FE6501">
        <w:rPr>
          <w:rStyle w:val="rynqvb"/>
          <w:rFonts w:cstheme="minorHAnsi"/>
          <w:color w:val="000000"/>
          <w:shd w:val="clear" w:color="auto" w:fill="F5F5F5"/>
        </w:rPr>
        <w:t xml:space="preserve"> u Smjernicama EU za nacionalne strategije za borbu protiv p</w:t>
      </w:r>
      <w:r w:rsidR="00D53590" w:rsidRPr="00FE6501">
        <w:rPr>
          <w:rStyle w:val="rynqvb"/>
          <w:rFonts w:cstheme="minorHAnsi"/>
          <w:color w:val="000000"/>
          <w:shd w:val="clear" w:color="auto" w:fill="F5F5F5"/>
          <w:lang w:val="sr-Latn-RS"/>
        </w:rPr>
        <w:t>r</w:t>
      </w:r>
      <w:r w:rsidR="00874EE0" w:rsidRPr="00FE6501">
        <w:rPr>
          <w:rStyle w:val="rynqvb"/>
          <w:rFonts w:cstheme="minorHAnsi"/>
          <w:color w:val="000000"/>
          <w:shd w:val="clear" w:color="auto" w:fill="F5F5F5"/>
        </w:rPr>
        <w:t>evara.</w:t>
      </w:r>
      <w:r w:rsidR="00874EE0" w:rsidRPr="00FE6501">
        <w:rPr>
          <w:rFonts w:cstheme="minorHAnsi"/>
          <w:color w:val="000000"/>
          <w:shd w:val="clear" w:color="auto" w:fill="F5F5F5"/>
        </w:rPr>
        <w:t xml:space="preserve"> </w:t>
      </w:r>
      <w:r w:rsidR="00874EE0" w:rsidRPr="00FE6501">
        <w:rPr>
          <w:rStyle w:val="rynqvb"/>
          <w:rFonts w:cstheme="minorHAnsi"/>
          <w:color w:val="000000"/>
          <w:shd w:val="clear" w:color="auto" w:fill="F5F5F5"/>
        </w:rPr>
        <w:t>Pitanja koja se odnose na upravljanje ljudskim resursima i izgradnju kapaciteta, ključne interakcije i modalitete koordinacije AFCOS sistema, zajedno sa odredbama sistema upravljanja u oblastima praćenja, izvještavanja i evaluacije, takođe su obuhvaćen</w:t>
      </w:r>
      <w:r w:rsidR="00D53590" w:rsidRPr="00FE6501">
        <w:rPr>
          <w:rStyle w:val="rynqvb"/>
          <w:rFonts w:cstheme="minorHAnsi"/>
          <w:color w:val="000000"/>
          <w:shd w:val="clear" w:color="auto" w:fill="F5F5F5"/>
          <w:lang w:val="sr-Latn-RS"/>
        </w:rPr>
        <w:t>i</w:t>
      </w:r>
      <w:r w:rsidR="00874EE0" w:rsidRPr="00FE6501">
        <w:rPr>
          <w:rStyle w:val="rynqvb"/>
          <w:rFonts w:cstheme="minorHAnsi"/>
          <w:color w:val="000000"/>
          <w:shd w:val="clear" w:color="auto" w:fill="F5F5F5"/>
        </w:rPr>
        <w:t xml:space="preserve"> u okviru ove </w:t>
      </w:r>
      <w:r w:rsidR="000E6E76" w:rsidRPr="00FE6501">
        <w:rPr>
          <w:rStyle w:val="rynqvb"/>
          <w:rFonts w:cstheme="minorHAnsi"/>
          <w:color w:val="000000"/>
          <w:shd w:val="clear" w:color="auto" w:fill="F5F5F5"/>
          <w:lang w:val="sr-Latn-RS"/>
        </w:rPr>
        <w:t>evaluacij</w:t>
      </w:r>
      <w:r w:rsidR="00874EE0" w:rsidRPr="00FE6501">
        <w:rPr>
          <w:rStyle w:val="rynqvb"/>
          <w:rFonts w:cstheme="minorHAnsi"/>
          <w:color w:val="000000"/>
          <w:shd w:val="clear" w:color="auto" w:fill="F5F5F5"/>
        </w:rPr>
        <w:t>e.</w:t>
      </w:r>
    </w:p>
    <w:p w14:paraId="255F7004" w14:textId="10185C4E" w:rsidR="00874EE0" w:rsidRPr="00FE6501" w:rsidRDefault="00874EE0" w:rsidP="00874EE0">
      <w:pPr>
        <w:pStyle w:val="ListParagraph"/>
        <w:spacing w:line="276" w:lineRule="auto"/>
        <w:ind w:left="360"/>
        <w:jc w:val="both"/>
        <w:rPr>
          <w:rFonts w:cstheme="minorHAnsi"/>
        </w:rPr>
      </w:pPr>
      <w:r w:rsidRPr="00FE6501">
        <w:rPr>
          <w:rFonts w:cstheme="minorHAnsi"/>
        </w:rPr>
        <w:t xml:space="preserve">Ukratko, sljedeći elementi su uključeni u evaluaciju: </w:t>
      </w:r>
    </w:p>
    <w:p w14:paraId="1199C8B2" w14:textId="77777777" w:rsidR="00D53590" w:rsidRPr="00FE6501" w:rsidRDefault="00D53590" w:rsidP="00874EE0">
      <w:pPr>
        <w:pStyle w:val="ListParagraph"/>
        <w:spacing w:line="276" w:lineRule="auto"/>
        <w:ind w:left="360"/>
        <w:jc w:val="both"/>
        <w:rPr>
          <w:rFonts w:cstheme="minorHAnsi"/>
          <w:lang w:val="en-US"/>
        </w:rPr>
      </w:pPr>
    </w:p>
    <w:p w14:paraId="774C2FB6" w14:textId="09FE62E1"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t>Relevantnost rezultata</w:t>
      </w:r>
      <w:r w:rsidR="00D53590" w:rsidRPr="00FE6501">
        <w:rPr>
          <w:rFonts w:cstheme="minorHAnsi"/>
          <w:lang w:val="sr-Latn-RS"/>
        </w:rPr>
        <w:t xml:space="preserve"> u odnosu na</w:t>
      </w:r>
      <w:r w:rsidRPr="00FE6501">
        <w:rPr>
          <w:rFonts w:cstheme="minorHAnsi"/>
        </w:rPr>
        <w:t xml:space="preserve"> identifikovane potrebe, </w:t>
      </w:r>
    </w:p>
    <w:p w14:paraId="6A760A2F" w14:textId="77777777"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t xml:space="preserve">Stvarni napredak ostvaren prema ciljevima projekta, </w:t>
      </w:r>
    </w:p>
    <w:p w14:paraId="39CABE55" w14:textId="66291C65"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t xml:space="preserve">Stepen do kojeg su postignuti željeni  i nepredviđeni rezultati, </w:t>
      </w:r>
    </w:p>
    <w:p w14:paraId="0C8769D5" w14:textId="61E8BE4D"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t>U koj</w:t>
      </w:r>
      <w:r w:rsidR="00115DEE" w:rsidRPr="00FE6501">
        <w:rPr>
          <w:rFonts w:cstheme="minorHAnsi"/>
          <w:lang w:val="sr-Latn-RS"/>
        </w:rPr>
        <w:t>em</w:t>
      </w:r>
      <w:r w:rsidRPr="00FE6501">
        <w:rPr>
          <w:rFonts w:cstheme="minorHAnsi"/>
        </w:rPr>
        <w:t xml:space="preserve"> </w:t>
      </w:r>
      <w:r w:rsidR="00115DEE" w:rsidRPr="00FE6501">
        <w:rPr>
          <w:rFonts w:cstheme="minorHAnsi"/>
          <w:lang w:val="sr-Latn-RS"/>
        </w:rPr>
        <w:t>stepenu</w:t>
      </w:r>
      <w:r w:rsidRPr="00FE6501">
        <w:rPr>
          <w:rFonts w:cstheme="minorHAnsi"/>
        </w:rPr>
        <w:t xml:space="preserve"> su mjere doprinijele željenim ishodima</w:t>
      </w:r>
      <w:r w:rsidR="00A560CD" w:rsidRPr="00FE6501">
        <w:rPr>
          <w:rFonts w:cstheme="minorHAnsi"/>
          <w:lang w:val="sr-Latn-RS"/>
        </w:rPr>
        <w:t>/rezultatima</w:t>
      </w:r>
      <w:r w:rsidRPr="00FE6501">
        <w:rPr>
          <w:rFonts w:cstheme="minorHAnsi"/>
        </w:rPr>
        <w:t xml:space="preserve">, </w:t>
      </w:r>
    </w:p>
    <w:p w14:paraId="2A6ADD94" w14:textId="079FA2BC"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lastRenderedPageBreak/>
        <w:t xml:space="preserve">U kojoj mjeri su </w:t>
      </w:r>
      <w:r w:rsidR="00115DEE" w:rsidRPr="00FE6501">
        <w:rPr>
          <w:rFonts w:cstheme="minorHAnsi"/>
          <w:lang w:val="sr-Latn-RS"/>
        </w:rPr>
        <w:t>definisani</w:t>
      </w:r>
      <w:r w:rsidRPr="00FE6501">
        <w:rPr>
          <w:rFonts w:cstheme="minorHAnsi"/>
        </w:rPr>
        <w:t xml:space="preserve"> dizajn</w:t>
      </w:r>
      <w:r w:rsidR="00115DEE" w:rsidRPr="00FE6501">
        <w:rPr>
          <w:rFonts w:cstheme="minorHAnsi"/>
          <w:lang w:val="sr-Latn-RS"/>
        </w:rPr>
        <w:t xml:space="preserve"> </w:t>
      </w:r>
      <w:r w:rsidRPr="00FE6501">
        <w:rPr>
          <w:rFonts w:cstheme="minorHAnsi"/>
        </w:rPr>
        <w:t xml:space="preserve"> i </w:t>
      </w:r>
      <w:r w:rsidR="00115DEE" w:rsidRPr="00FE6501">
        <w:rPr>
          <w:rFonts w:cstheme="minorHAnsi"/>
          <w:lang w:val="sr-Latn-RS"/>
        </w:rPr>
        <w:t xml:space="preserve">mjere </w:t>
      </w:r>
      <w:r w:rsidRPr="00FE6501">
        <w:rPr>
          <w:rFonts w:cstheme="minorHAnsi"/>
        </w:rPr>
        <w:t>implementacij</w:t>
      </w:r>
      <w:r w:rsidR="00115DEE" w:rsidRPr="00FE6501">
        <w:rPr>
          <w:rFonts w:cstheme="minorHAnsi"/>
          <w:lang w:val="sr-Latn-RS"/>
        </w:rPr>
        <w:t>e</w:t>
      </w:r>
      <w:r w:rsidRPr="00FE6501">
        <w:rPr>
          <w:rFonts w:cstheme="minorHAnsi"/>
        </w:rPr>
        <w:t xml:space="preserve"> olakšale realizaciju postavljenih ciljeva, </w:t>
      </w:r>
    </w:p>
    <w:p w14:paraId="3CE3A643" w14:textId="6926BEDA" w:rsidR="00874EE0" w:rsidRPr="00FE6501" w:rsidRDefault="00874EE0" w:rsidP="00DB1F9B">
      <w:pPr>
        <w:pStyle w:val="ListParagraph"/>
        <w:numPr>
          <w:ilvl w:val="0"/>
          <w:numId w:val="2"/>
        </w:numPr>
        <w:spacing w:line="276" w:lineRule="auto"/>
        <w:jc w:val="both"/>
        <w:rPr>
          <w:rFonts w:cstheme="minorHAnsi"/>
          <w:lang w:val="en-US"/>
        </w:rPr>
      </w:pPr>
      <w:r w:rsidRPr="00FE6501">
        <w:rPr>
          <w:rFonts w:cstheme="minorHAnsi"/>
        </w:rPr>
        <w:t xml:space="preserve">U kojoj mjeri je Strategija ispunila </w:t>
      </w:r>
      <w:r w:rsidR="00EF1A65" w:rsidRPr="00EF1A65">
        <w:rPr>
          <w:rFonts w:cstheme="minorHAnsi"/>
          <w:bCs/>
        </w:rPr>
        <w:t>Smjernice za razvoj nacionalnih strategija za borbu protiv prevara i praktične korake ka izradi Nacionalne strategije za borbu protiv prevara</w:t>
      </w:r>
      <w:r w:rsidR="00EF1A65" w:rsidRPr="00EF1A65">
        <w:rPr>
          <w:rFonts w:cstheme="minorHAnsi"/>
          <w:bCs/>
          <w:lang w:val="sr-Latn-RS"/>
        </w:rPr>
        <w:t>,</w:t>
      </w:r>
      <w:r w:rsidR="00EF1A65" w:rsidRPr="00EF1A65">
        <w:rPr>
          <w:rFonts w:cstheme="minorHAnsi"/>
          <w:bCs/>
        </w:rPr>
        <w:t xml:space="preserve"> koje je razvio OLAF</w:t>
      </w:r>
      <w:r w:rsidRPr="00FE6501">
        <w:rPr>
          <w:rFonts w:cstheme="minorHAnsi"/>
        </w:rPr>
        <w:t xml:space="preserve">, </w:t>
      </w:r>
    </w:p>
    <w:p w14:paraId="0FD03FAF" w14:textId="28D657FF" w:rsidR="00874EE0" w:rsidRPr="00326126" w:rsidRDefault="00874EE0" w:rsidP="00DB1F9B">
      <w:pPr>
        <w:pStyle w:val="ListParagraph"/>
        <w:numPr>
          <w:ilvl w:val="0"/>
          <w:numId w:val="2"/>
        </w:numPr>
        <w:spacing w:line="276" w:lineRule="auto"/>
        <w:jc w:val="both"/>
        <w:rPr>
          <w:rFonts w:cstheme="minorHAnsi"/>
          <w:lang w:val="en-US"/>
        </w:rPr>
      </w:pPr>
      <w:r w:rsidRPr="00FE6501">
        <w:rPr>
          <w:rFonts w:cstheme="minorHAnsi"/>
        </w:rPr>
        <w:t>Snage i slabosti</w:t>
      </w:r>
      <w:r w:rsidR="00925BEF">
        <w:rPr>
          <w:rFonts w:cstheme="minorHAnsi"/>
          <w:lang w:val="sr-Latn-RS"/>
        </w:rPr>
        <w:t xml:space="preserve"> u procesu</w:t>
      </w:r>
      <w:r w:rsidRPr="00FE6501">
        <w:rPr>
          <w:rFonts w:cstheme="minorHAnsi"/>
        </w:rPr>
        <w:t xml:space="preserve"> implementacije, mjerene prema logičkom okviru projekta (ciljevi, rezultati itd.) </w:t>
      </w:r>
      <w:r w:rsidRPr="00FE6501">
        <w:rPr>
          <w:rFonts w:cstheme="minorHAnsi"/>
          <w:lang w:val="sr-Latn-RS"/>
        </w:rPr>
        <w:t>i</w:t>
      </w:r>
    </w:p>
    <w:p w14:paraId="41FA9D9D" w14:textId="71340E5E" w:rsidR="00326126" w:rsidRPr="00FE6501" w:rsidRDefault="00AB61D3" w:rsidP="00DB1F9B">
      <w:pPr>
        <w:pStyle w:val="ListParagraph"/>
        <w:numPr>
          <w:ilvl w:val="0"/>
          <w:numId w:val="2"/>
        </w:numPr>
        <w:spacing w:line="276" w:lineRule="auto"/>
        <w:jc w:val="both"/>
        <w:rPr>
          <w:rFonts w:cstheme="minorHAnsi"/>
          <w:lang w:val="en-US"/>
        </w:rPr>
      </w:pPr>
      <w:r w:rsidRPr="00AB61D3">
        <w:rPr>
          <w:rFonts w:cstheme="minorHAnsi"/>
        </w:rPr>
        <w:t>Međusektorska pitanja od velikog značaja kao što su međuinstitucionalna koordinacija, upravljanje ljudskim resursima i inicijative za izgradnju kapaciteta kao ključna sredstva za efektivnu operacionalizaciju sistema upravljanja nepravilnostima.</w:t>
      </w:r>
    </w:p>
    <w:p w14:paraId="3410E574" w14:textId="223D5B38" w:rsidR="0026091C" w:rsidRPr="00FE6501" w:rsidRDefault="0026091C" w:rsidP="00B561AB">
      <w:pPr>
        <w:pStyle w:val="Heading2"/>
        <w:spacing w:after="240"/>
        <w:jc w:val="both"/>
        <w:rPr>
          <w:rStyle w:val="rynqvb"/>
          <w:rFonts w:asciiTheme="minorHAnsi" w:hAnsiTheme="minorHAnsi" w:cstheme="minorHAnsi"/>
          <w:color w:val="000000"/>
          <w:sz w:val="22"/>
          <w:szCs w:val="22"/>
          <w:shd w:val="clear" w:color="auto" w:fill="F5F5F5"/>
        </w:rPr>
      </w:pPr>
      <w:bookmarkStart w:id="14" w:name="_Toc136505858"/>
      <w:r w:rsidRPr="00FE6501">
        <w:rPr>
          <w:rStyle w:val="rynqvb"/>
          <w:rFonts w:asciiTheme="minorHAnsi" w:hAnsiTheme="minorHAnsi" w:cstheme="minorHAnsi"/>
          <w:color w:val="000000"/>
          <w:sz w:val="22"/>
          <w:szCs w:val="22"/>
          <w:shd w:val="clear" w:color="auto" w:fill="F5F5F5"/>
        </w:rPr>
        <w:t xml:space="preserve">Evaluacija je sprovedena u periodu od januara do maja 2023. Za pripremu ovog izvještaja, </w:t>
      </w:r>
      <w:r w:rsidR="00B561AB" w:rsidRPr="00FE6501">
        <w:rPr>
          <w:rStyle w:val="rynqvb"/>
          <w:rFonts w:asciiTheme="minorHAnsi" w:hAnsiTheme="minorHAnsi" w:cstheme="minorHAnsi"/>
          <w:color w:val="000000"/>
          <w:sz w:val="22"/>
          <w:szCs w:val="22"/>
          <w:shd w:val="clear" w:color="auto" w:fill="F5F5F5"/>
          <w:lang w:val="sr-Latn-RS"/>
        </w:rPr>
        <w:t>evaluacioni tim</w:t>
      </w:r>
      <w:r w:rsidRPr="00FE6501">
        <w:rPr>
          <w:rStyle w:val="rynqvb"/>
          <w:rFonts w:asciiTheme="minorHAnsi" w:hAnsiTheme="minorHAnsi" w:cstheme="minorHAnsi"/>
          <w:color w:val="000000"/>
          <w:sz w:val="22"/>
          <w:szCs w:val="22"/>
          <w:shd w:val="clear" w:color="auto" w:fill="F5F5F5"/>
        </w:rPr>
        <w:t xml:space="preserve"> je izvršio niz posjeta Podgorici</w:t>
      </w:r>
      <w:r w:rsidR="00B561AB" w:rsidRPr="00FE6501">
        <w:rPr>
          <w:rStyle w:val="rynqvb"/>
          <w:rFonts w:asciiTheme="minorHAnsi" w:hAnsiTheme="minorHAnsi" w:cstheme="minorHAnsi"/>
          <w:color w:val="000000"/>
          <w:sz w:val="22"/>
          <w:szCs w:val="22"/>
          <w:shd w:val="clear" w:color="auto" w:fill="F5F5F5"/>
          <w:lang w:val="sr-Latn-RS"/>
        </w:rPr>
        <w:t>,</w:t>
      </w:r>
      <w:r w:rsidRPr="00FE6501">
        <w:rPr>
          <w:rStyle w:val="rynqvb"/>
          <w:rFonts w:asciiTheme="minorHAnsi" w:hAnsiTheme="minorHAnsi" w:cstheme="minorHAnsi"/>
          <w:color w:val="000000"/>
          <w:sz w:val="22"/>
          <w:szCs w:val="22"/>
          <w:shd w:val="clear" w:color="auto" w:fill="F5F5F5"/>
        </w:rPr>
        <w:t xml:space="preserve"> kako bi se sastao sa </w:t>
      </w:r>
      <w:r w:rsidR="00B561AB" w:rsidRPr="00FE6501">
        <w:rPr>
          <w:rStyle w:val="rynqvb"/>
          <w:rFonts w:asciiTheme="minorHAnsi" w:hAnsiTheme="minorHAnsi" w:cstheme="minorHAnsi"/>
          <w:color w:val="000000"/>
          <w:sz w:val="22"/>
          <w:szCs w:val="22"/>
          <w:shd w:val="clear" w:color="auto" w:fill="F5F5F5"/>
          <w:lang w:val="sr-Latn-RS"/>
        </w:rPr>
        <w:t>predstavnicima</w:t>
      </w:r>
      <w:r w:rsidRPr="00FE6501">
        <w:rPr>
          <w:rStyle w:val="rynqvb"/>
          <w:rFonts w:asciiTheme="minorHAnsi" w:hAnsiTheme="minorHAnsi" w:cstheme="minorHAnsi"/>
          <w:color w:val="000000"/>
          <w:sz w:val="22"/>
          <w:szCs w:val="22"/>
          <w:shd w:val="clear" w:color="auto" w:fill="F5F5F5"/>
        </w:rPr>
        <w:t xml:space="preserve"> crnogorske AFCOS kancelarije i članovima </w:t>
      </w:r>
      <w:r w:rsidR="00B561AB" w:rsidRPr="00FE6501">
        <w:rPr>
          <w:rStyle w:val="rynqvb"/>
          <w:rFonts w:asciiTheme="minorHAnsi" w:hAnsiTheme="minorHAnsi" w:cstheme="minorHAnsi"/>
          <w:color w:val="000000"/>
          <w:sz w:val="22"/>
          <w:szCs w:val="22"/>
          <w:shd w:val="clear" w:color="auto" w:fill="F5F5F5"/>
          <w:lang w:val="sr-Latn-RS"/>
        </w:rPr>
        <w:t>Evaluacione r</w:t>
      </w:r>
      <w:r w:rsidRPr="00FE6501">
        <w:rPr>
          <w:rStyle w:val="rynqvb"/>
          <w:rFonts w:asciiTheme="minorHAnsi" w:hAnsiTheme="minorHAnsi" w:cstheme="minorHAnsi"/>
          <w:color w:val="000000"/>
          <w:sz w:val="22"/>
          <w:szCs w:val="22"/>
          <w:shd w:val="clear" w:color="auto" w:fill="F5F5F5"/>
        </w:rPr>
        <w:t>eferentne grupe</w:t>
      </w:r>
      <w:r w:rsidR="00B561AB" w:rsidRPr="00FE6501">
        <w:rPr>
          <w:rStyle w:val="rynqvb"/>
          <w:rFonts w:asciiTheme="minorHAnsi" w:hAnsiTheme="minorHAnsi" w:cstheme="minorHAnsi"/>
          <w:color w:val="000000"/>
          <w:sz w:val="22"/>
          <w:szCs w:val="22"/>
          <w:shd w:val="clear" w:color="auto" w:fill="F5F5F5"/>
          <w:lang w:val="sr-Latn-RS"/>
        </w:rPr>
        <w:t>, u cilju</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 (i) posmatra</w:t>
      </w:r>
      <w:r w:rsidR="00B561AB" w:rsidRPr="00FE6501">
        <w:rPr>
          <w:rStyle w:val="rynqvb"/>
          <w:rFonts w:asciiTheme="minorHAnsi" w:hAnsiTheme="minorHAnsi" w:cstheme="minorHAnsi"/>
          <w:color w:val="000000"/>
          <w:sz w:val="22"/>
          <w:szCs w:val="22"/>
          <w:shd w:val="clear" w:color="auto" w:fill="F5F5F5"/>
          <w:lang w:val="sr-Latn-RS"/>
        </w:rPr>
        <w:t>nja</w:t>
      </w:r>
      <w:r w:rsidRPr="00FE6501">
        <w:rPr>
          <w:rStyle w:val="rynqvb"/>
          <w:rFonts w:asciiTheme="minorHAnsi" w:hAnsiTheme="minorHAnsi" w:cstheme="minorHAnsi"/>
          <w:color w:val="000000"/>
          <w:sz w:val="22"/>
          <w:szCs w:val="22"/>
          <w:shd w:val="clear" w:color="auto" w:fill="F5F5F5"/>
        </w:rPr>
        <w:t xml:space="preserve"> situacij</w:t>
      </w:r>
      <w:r w:rsidR="00B561AB" w:rsidRPr="00FE6501">
        <w:rPr>
          <w:rStyle w:val="rynqvb"/>
          <w:rFonts w:asciiTheme="minorHAnsi" w:hAnsiTheme="minorHAnsi" w:cstheme="minorHAnsi"/>
          <w:color w:val="000000"/>
          <w:sz w:val="22"/>
          <w:szCs w:val="22"/>
          <w:shd w:val="clear" w:color="auto" w:fill="F5F5F5"/>
          <w:lang w:val="sr-Latn-RS"/>
        </w:rPr>
        <w:t>e</w:t>
      </w:r>
      <w:r w:rsidRPr="00FE6501">
        <w:rPr>
          <w:rStyle w:val="rynqvb"/>
          <w:rFonts w:asciiTheme="minorHAnsi" w:hAnsiTheme="minorHAnsi" w:cstheme="minorHAnsi"/>
          <w:color w:val="000000"/>
          <w:sz w:val="22"/>
          <w:szCs w:val="22"/>
          <w:shd w:val="clear" w:color="auto" w:fill="F5F5F5"/>
        </w:rPr>
        <w:t xml:space="preserve"> na terenu, (ii) prikuplja</w:t>
      </w:r>
      <w:r w:rsidR="00B561AB" w:rsidRPr="00FE6501">
        <w:rPr>
          <w:rStyle w:val="rynqvb"/>
          <w:rFonts w:asciiTheme="minorHAnsi" w:hAnsiTheme="minorHAnsi" w:cstheme="minorHAnsi"/>
          <w:color w:val="000000"/>
          <w:sz w:val="22"/>
          <w:szCs w:val="22"/>
          <w:shd w:val="clear" w:color="auto" w:fill="F5F5F5"/>
          <w:lang w:val="sr-Latn-RS"/>
        </w:rPr>
        <w:t>nja</w:t>
      </w:r>
      <w:r w:rsidRPr="00FE6501">
        <w:rPr>
          <w:rStyle w:val="rynqvb"/>
          <w:rFonts w:asciiTheme="minorHAnsi" w:hAnsiTheme="minorHAnsi" w:cstheme="minorHAnsi"/>
          <w:color w:val="000000"/>
          <w:sz w:val="22"/>
          <w:szCs w:val="22"/>
          <w:shd w:val="clear" w:color="auto" w:fill="F5F5F5"/>
        </w:rPr>
        <w:t xml:space="preserve"> relevantn</w:t>
      </w:r>
      <w:r w:rsidR="00B561AB" w:rsidRPr="00FE6501">
        <w:rPr>
          <w:rStyle w:val="rynqvb"/>
          <w:rFonts w:asciiTheme="minorHAnsi" w:hAnsiTheme="minorHAnsi" w:cstheme="minorHAnsi"/>
          <w:color w:val="000000"/>
          <w:sz w:val="22"/>
          <w:szCs w:val="22"/>
          <w:shd w:val="clear" w:color="auto" w:fill="F5F5F5"/>
          <w:lang w:val="sr-Latn-RS"/>
        </w:rPr>
        <w:t>e</w:t>
      </w:r>
      <w:r w:rsidRPr="00FE6501">
        <w:rPr>
          <w:rStyle w:val="rynqvb"/>
          <w:rFonts w:asciiTheme="minorHAnsi" w:hAnsiTheme="minorHAnsi" w:cstheme="minorHAnsi"/>
          <w:color w:val="000000"/>
          <w:sz w:val="22"/>
          <w:szCs w:val="22"/>
          <w:shd w:val="clear" w:color="auto" w:fill="F5F5F5"/>
        </w:rPr>
        <w:t xml:space="preserve"> dokumentacij</w:t>
      </w:r>
      <w:r w:rsidR="00B561AB" w:rsidRPr="00FE6501">
        <w:rPr>
          <w:rStyle w:val="rynqvb"/>
          <w:rFonts w:asciiTheme="minorHAnsi" w:hAnsiTheme="minorHAnsi" w:cstheme="minorHAnsi"/>
          <w:color w:val="000000"/>
          <w:sz w:val="22"/>
          <w:szCs w:val="22"/>
          <w:shd w:val="clear" w:color="auto" w:fill="F5F5F5"/>
          <w:lang w:val="sr-Latn-RS"/>
        </w:rPr>
        <w:t>e</w:t>
      </w:r>
      <w:r w:rsidRPr="00FE6501">
        <w:rPr>
          <w:rStyle w:val="rynqvb"/>
          <w:rFonts w:asciiTheme="minorHAnsi" w:hAnsiTheme="minorHAnsi" w:cstheme="minorHAnsi"/>
          <w:color w:val="000000"/>
          <w:sz w:val="22"/>
          <w:szCs w:val="22"/>
          <w:shd w:val="clear" w:color="auto" w:fill="F5F5F5"/>
        </w:rPr>
        <w:t xml:space="preserve"> i (iii) obav</w:t>
      </w:r>
      <w:r w:rsidR="00B561AB" w:rsidRPr="00FE6501">
        <w:rPr>
          <w:rStyle w:val="rynqvb"/>
          <w:rFonts w:asciiTheme="minorHAnsi" w:hAnsiTheme="minorHAnsi" w:cstheme="minorHAnsi"/>
          <w:color w:val="000000"/>
          <w:sz w:val="22"/>
          <w:szCs w:val="22"/>
          <w:shd w:val="clear" w:color="auto" w:fill="F5F5F5"/>
          <w:lang w:val="sr-Latn-RS"/>
        </w:rPr>
        <w:t>ljanja</w:t>
      </w:r>
      <w:r w:rsidRPr="00FE6501">
        <w:rPr>
          <w:rStyle w:val="rynqvb"/>
          <w:rFonts w:asciiTheme="minorHAnsi" w:hAnsiTheme="minorHAnsi" w:cstheme="minorHAnsi"/>
          <w:color w:val="000000"/>
          <w:sz w:val="22"/>
          <w:szCs w:val="22"/>
          <w:shd w:val="clear" w:color="auto" w:fill="F5F5F5"/>
        </w:rPr>
        <w:t xml:space="preserve"> niz</w:t>
      </w:r>
      <w:r w:rsidR="00B561AB" w:rsidRPr="00FE6501">
        <w:rPr>
          <w:rStyle w:val="rynqvb"/>
          <w:rFonts w:asciiTheme="minorHAnsi" w:hAnsiTheme="minorHAnsi" w:cstheme="minorHAnsi"/>
          <w:color w:val="000000"/>
          <w:sz w:val="22"/>
          <w:szCs w:val="22"/>
          <w:shd w:val="clear" w:color="auto" w:fill="F5F5F5"/>
          <w:lang w:val="sr-Latn-RS"/>
        </w:rPr>
        <w:t>a</w:t>
      </w:r>
      <w:r w:rsidRPr="00FE6501">
        <w:rPr>
          <w:rStyle w:val="rynqvb"/>
          <w:rFonts w:asciiTheme="minorHAnsi" w:hAnsiTheme="minorHAnsi" w:cstheme="minorHAnsi"/>
          <w:color w:val="000000"/>
          <w:sz w:val="22"/>
          <w:szCs w:val="22"/>
          <w:shd w:val="clear" w:color="auto" w:fill="F5F5F5"/>
        </w:rPr>
        <w:t xml:space="preserve"> intervjua sa ključnim akterima angažovanim na osmišljavanju i implementaciji </w:t>
      </w:r>
      <w:bookmarkStart w:id="15" w:name="_Hlk134781977"/>
      <w:r w:rsidRPr="00FE6501">
        <w:rPr>
          <w:rStyle w:val="rynqvb"/>
          <w:rFonts w:asciiTheme="minorHAnsi" w:hAnsiTheme="minorHAnsi" w:cstheme="minorHAnsi"/>
          <w:color w:val="000000"/>
          <w:sz w:val="22"/>
          <w:szCs w:val="22"/>
          <w:shd w:val="clear" w:color="auto" w:fill="F5F5F5"/>
        </w:rPr>
        <w:t>Strategije protiv prevara i upravljanja nepravilnostima za zaštitu finansijskih interesa</w:t>
      </w:r>
      <w:r w:rsidRPr="00FE6501">
        <w:rPr>
          <w:rFonts w:asciiTheme="minorHAnsi" w:hAnsiTheme="minorHAnsi" w:cstheme="minorHAnsi"/>
          <w:color w:val="000000"/>
          <w:sz w:val="22"/>
          <w:szCs w:val="22"/>
          <w:shd w:val="clear" w:color="auto" w:fill="F5F5F5"/>
        </w:rPr>
        <w:t xml:space="preserve"> </w:t>
      </w:r>
      <w:r w:rsidRPr="00FE6501">
        <w:rPr>
          <w:rStyle w:val="rynqvb"/>
          <w:rFonts w:asciiTheme="minorHAnsi" w:hAnsiTheme="minorHAnsi" w:cstheme="minorHAnsi"/>
          <w:color w:val="000000"/>
          <w:sz w:val="22"/>
          <w:szCs w:val="22"/>
          <w:shd w:val="clear" w:color="auto" w:fill="F5F5F5"/>
        </w:rPr>
        <w:t>Evropsk</w:t>
      </w:r>
      <w:r w:rsidR="00B561AB" w:rsidRPr="00FE6501">
        <w:rPr>
          <w:rStyle w:val="rynqvb"/>
          <w:rFonts w:asciiTheme="minorHAnsi" w:hAnsiTheme="minorHAnsi" w:cstheme="minorHAnsi"/>
          <w:color w:val="000000"/>
          <w:sz w:val="22"/>
          <w:szCs w:val="22"/>
          <w:shd w:val="clear" w:color="auto" w:fill="F5F5F5"/>
          <w:lang w:val="sr-Latn-RS"/>
        </w:rPr>
        <w:t>e</w:t>
      </w:r>
      <w:r w:rsidRPr="00FE6501">
        <w:rPr>
          <w:rStyle w:val="rynqvb"/>
          <w:rFonts w:asciiTheme="minorHAnsi" w:hAnsiTheme="minorHAnsi" w:cstheme="minorHAnsi"/>
          <w:color w:val="000000"/>
          <w:sz w:val="22"/>
          <w:szCs w:val="22"/>
          <w:shd w:val="clear" w:color="auto" w:fill="F5F5F5"/>
        </w:rPr>
        <w:t xml:space="preserve"> unij</w:t>
      </w:r>
      <w:r w:rsidR="00B561AB" w:rsidRPr="00FE6501">
        <w:rPr>
          <w:rStyle w:val="rynqvb"/>
          <w:rFonts w:asciiTheme="minorHAnsi" w:hAnsiTheme="minorHAnsi" w:cstheme="minorHAnsi"/>
          <w:color w:val="000000"/>
          <w:sz w:val="22"/>
          <w:szCs w:val="22"/>
          <w:shd w:val="clear" w:color="auto" w:fill="F5F5F5"/>
          <w:lang w:val="sr-Latn-RS"/>
        </w:rPr>
        <w:t>e,</w:t>
      </w:r>
      <w:bookmarkEnd w:id="15"/>
      <w:r w:rsidR="00B561AB" w:rsidRPr="00FE6501">
        <w:rPr>
          <w:rStyle w:val="rynqvb"/>
          <w:rFonts w:asciiTheme="minorHAnsi" w:hAnsiTheme="minorHAnsi" w:cstheme="minorHAnsi"/>
          <w:color w:val="000000"/>
          <w:sz w:val="22"/>
          <w:szCs w:val="22"/>
          <w:shd w:val="clear" w:color="auto" w:fill="F5F5F5"/>
          <w:lang w:val="sr-Latn-RS"/>
        </w:rPr>
        <w:t xml:space="preserve"> za period</w:t>
      </w:r>
      <w:r w:rsidRPr="00FE6501">
        <w:rPr>
          <w:rStyle w:val="rynqvb"/>
          <w:rFonts w:asciiTheme="minorHAnsi" w:hAnsiTheme="minorHAnsi" w:cstheme="minorHAnsi"/>
          <w:color w:val="000000"/>
          <w:sz w:val="22"/>
          <w:szCs w:val="22"/>
          <w:shd w:val="clear" w:color="auto" w:fill="F5F5F5"/>
        </w:rPr>
        <w:t xml:space="preserve"> 2019-2022.</w:t>
      </w:r>
      <w:bookmarkEnd w:id="14"/>
    </w:p>
    <w:p w14:paraId="316171E8" w14:textId="0A77CB1D" w:rsidR="00BC4C71" w:rsidRPr="00FE6501" w:rsidRDefault="00397FC3" w:rsidP="00537945">
      <w:pPr>
        <w:pStyle w:val="Heading2"/>
        <w:spacing w:after="240"/>
        <w:rPr>
          <w:rFonts w:asciiTheme="minorHAnsi" w:hAnsiTheme="minorHAnsi" w:cstheme="minorHAnsi"/>
          <w:b/>
          <w:sz w:val="22"/>
          <w:szCs w:val="22"/>
          <w:lang w:val="en-US"/>
        </w:rPr>
      </w:pPr>
      <w:bookmarkStart w:id="16" w:name="_Toc136505859"/>
      <w:r w:rsidRPr="00FE6501">
        <w:rPr>
          <w:rFonts w:asciiTheme="minorHAnsi" w:hAnsiTheme="minorHAnsi" w:cstheme="minorHAnsi"/>
          <w:b/>
          <w:sz w:val="22"/>
          <w:szCs w:val="22"/>
          <w:lang w:val="en-US"/>
        </w:rPr>
        <w:t xml:space="preserve">1.3 </w:t>
      </w:r>
      <w:r w:rsidR="00774A47" w:rsidRPr="00FE6501">
        <w:rPr>
          <w:rFonts w:asciiTheme="minorHAnsi" w:hAnsiTheme="minorHAnsi" w:cstheme="minorHAnsi"/>
          <w:b/>
          <w:sz w:val="22"/>
          <w:szCs w:val="22"/>
          <w:lang w:val="en-US"/>
        </w:rPr>
        <w:t>Methodolog</w:t>
      </w:r>
      <w:r w:rsidR="00B561AB" w:rsidRPr="00FE6501">
        <w:rPr>
          <w:rFonts w:asciiTheme="minorHAnsi" w:hAnsiTheme="minorHAnsi" w:cstheme="minorHAnsi"/>
          <w:b/>
          <w:sz w:val="22"/>
          <w:szCs w:val="22"/>
          <w:lang w:val="en-US"/>
        </w:rPr>
        <w:t>ija</w:t>
      </w:r>
      <w:bookmarkEnd w:id="16"/>
    </w:p>
    <w:p w14:paraId="697C8BEF" w14:textId="0316AB11" w:rsidR="0049742D" w:rsidRPr="00FE6501" w:rsidRDefault="0049742D" w:rsidP="00E63F8E">
      <w:pPr>
        <w:spacing w:line="276" w:lineRule="auto"/>
        <w:jc w:val="both"/>
        <w:rPr>
          <w:rFonts w:cstheme="minorHAnsi"/>
        </w:rPr>
      </w:pPr>
      <w:r w:rsidRPr="00FE6501">
        <w:rPr>
          <w:rFonts w:cstheme="minorHAnsi"/>
        </w:rPr>
        <w:t xml:space="preserve">Evaluacija </w:t>
      </w:r>
      <w:r w:rsidR="00EF1A65">
        <w:rPr>
          <w:rFonts w:cstheme="minorHAnsi"/>
          <w:lang w:val="sr-Latn-RS"/>
        </w:rPr>
        <w:t>S</w:t>
      </w:r>
      <w:r w:rsidRPr="00FE6501">
        <w:rPr>
          <w:rFonts w:cstheme="minorHAnsi"/>
        </w:rPr>
        <w:t xml:space="preserve">trategije </w:t>
      </w:r>
      <w:r w:rsidR="00B561AB" w:rsidRPr="00FE6501">
        <w:rPr>
          <w:rFonts w:cstheme="minorHAnsi"/>
          <w:lang w:val="sr-Latn-RS"/>
        </w:rPr>
        <w:t xml:space="preserve">za period </w:t>
      </w:r>
      <w:r w:rsidRPr="00FE6501">
        <w:rPr>
          <w:rFonts w:cstheme="minorHAnsi"/>
        </w:rPr>
        <w:t>2019 – 2022 se zasniva na sljedećim normativnim dokumentima:</w:t>
      </w:r>
    </w:p>
    <w:p w14:paraId="4C52BACB" w14:textId="50F4A832" w:rsidR="00E00E8E" w:rsidRPr="00FE6501" w:rsidRDefault="0049742D" w:rsidP="00E63F8E">
      <w:pPr>
        <w:spacing w:line="276" w:lineRule="auto"/>
        <w:jc w:val="both"/>
        <w:rPr>
          <w:rFonts w:cstheme="minorHAnsi"/>
        </w:rPr>
      </w:pPr>
      <w:r w:rsidRPr="00FE6501">
        <w:rPr>
          <w:rFonts w:cstheme="minorHAnsi"/>
        </w:rPr>
        <w:t xml:space="preserve"> a) „Sm</w:t>
      </w:r>
      <w:r w:rsidR="00D53590" w:rsidRPr="00FE6501">
        <w:rPr>
          <w:rFonts w:cstheme="minorHAnsi"/>
          <w:lang w:val="sr-Latn-RS"/>
        </w:rPr>
        <w:t>j</w:t>
      </w:r>
      <w:r w:rsidRPr="00FE6501">
        <w:rPr>
          <w:rFonts w:cstheme="minorHAnsi"/>
        </w:rPr>
        <w:t>ernice o nacionalnim strategijama za borbu protiv prevara“ i „Praktični koraci ka izradi nacionalne strategije za borbu protiv prevara“</w:t>
      </w:r>
      <w:r w:rsidR="00B561AB" w:rsidRPr="00FE6501">
        <w:rPr>
          <w:rFonts w:cstheme="minorHAnsi"/>
          <w:lang w:val="sr-Latn-RS"/>
        </w:rPr>
        <w:t>,</w:t>
      </w:r>
      <w:r w:rsidRPr="00FE6501">
        <w:rPr>
          <w:rFonts w:cstheme="minorHAnsi"/>
        </w:rPr>
        <w:t xml:space="preserve"> koje je izradila grupa stručnjaka država članica uz podršku Evropsk</w:t>
      </w:r>
      <w:r w:rsidR="00B561AB" w:rsidRPr="00FE6501">
        <w:rPr>
          <w:rFonts w:cstheme="minorHAnsi"/>
          <w:lang w:val="sr-Latn-RS"/>
        </w:rPr>
        <w:t>e</w:t>
      </w:r>
      <w:r w:rsidRPr="00FE6501">
        <w:rPr>
          <w:rFonts w:cstheme="minorHAnsi"/>
        </w:rPr>
        <w:t xml:space="preserve"> </w:t>
      </w:r>
      <w:r w:rsidR="00B561AB" w:rsidRPr="00FE6501">
        <w:rPr>
          <w:rFonts w:cstheme="minorHAnsi"/>
          <w:lang w:val="sr-Latn-RS"/>
        </w:rPr>
        <w:t>kancelarije</w:t>
      </w:r>
      <w:r w:rsidRPr="00FE6501">
        <w:rPr>
          <w:rFonts w:cstheme="minorHAnsi"/>
        </w:rPr>
        <w:t xml:space="preserve"> za borbu protiv prevara (OLAF), </w:t>
      </w:r>
    </w:p>
    <w:p w14:paraId="2DBE1763" w14:textId="5093DDB3" w:rsidR="00E00E8E" w:rsidRPr="00FE6501" w:rsidRDefault="0049742D" w:rsidP="00E63F8E">
      <w:pPr>
        <w:spacing w:line="276" w:lineRule="auto"/>
        <w:jc w:val="both"/>
        <w:rPr>
          <w:rFonts w:cstheme="minorHAnsi"/>
        </w:rPr>
      </w:pPr>
      <w:r w:rsidRPr="00FE6501">
        <w:rPr>
          <w:rFonts w:cstheme="minorHAnsi"/>
        </w:rPr>
        <w:t>b) „</w:t>
      </w:r>
      <w:r w:rsidR="00D84DC1" w:rsidRPr="00FE6501">
        <w:rPr>
          <w:rFonts w:cstheme="minorHAnsi"/>
          <w:lang w:val="sr-Latn-RS"/>
        </w:rPr>
        <w:t xml:space="preserve">Smjernice za pripremu strateških dokumenata“, </w:t>
      </w:r>
      <w:r w:rsidRPr="00FE6501">
        <w:rPr>
          <w:rFonts w:cstheme="minorHAnsi"/>
        </w:rPr>
        <w:t xml:space="preserve">Priručnik za ocjenu strateških </w:t>
      </w:r>
      <w:r w:rsidR="00D84DC1" w:rsidRPr="00FE6501">
        <w:rPr>
          <w:rFonts w:cstheme="minorHAnsi"/>
        </w:rPr>
        <w:t xml:space="preserve">planskih </w:t>
      </w:r>
      <w:r w:rsidRPr="00FE6501">
        <w:rPr>
          <w:rFonts w:cstheme="minorHAnsi"/>
        </w:rPr>
        <w:t>dokumenata</w:t>
      </w:r>
      <w:r w:rsidR="00B561AB" w:rsidRPr="00FE6501">
        <w:rPr>
          <w:rFonts w:cstheme="minorHAnsi"/>
          <w:lang w:val="sr-Latn-RS"/>
        </w:rPr>
        <w:t>“</w:t>
      </w:r>
      <w:r w:rsidRPr="00FE6501">
        <w:rPr>
          <w:rFonts w:cstheme="minorHAnsi"/>
        </w:rPr>
        <w:t xml:space="preserve"> i </w:t>
      </w:r>
      <w:r w:rsidR="00B561AB" w:rsidRPr="00FE6501">
        <w:rPr>
          <w:rFonts w:cstheme="minorHAnsi"/>
          <w:lang w:val="sr-Latn-RS"/>
        </w:rPr>
        <w:t>„M</w:t>
      </w:r>
      <w:r w:rsidRPr="00FE6501">
        <w:rPr>
          <w:rFonts w:cstheme="minorHAnsi"/>
        </w:rPr>
        <w:t xml:space="preserve">etodologije </w:t>
      </w:r>
      <w:r w:rsidR="00D84DC1" w:rsidRPr="00FE6501">
        <w:rPr>
          <w:rFonts w:cstheme="minorHAnsi"/>
          <w:lang w:val="sr-Latn-RS"/>
        </w:rPr>
        <w:t>razvijanja</w:t>
      </w:r>
      <w:r w:rsidRPr="00FE6501">
        <w:rPr>
          <w:rFonts w:cstheme="minorHAnsi"/>
        </w:rPr>
        <w:t xml:space="preserve"> politika, izrad</w:t>
      </w:r>
      <w:r w:rsidR="00D84DC1" w:rsidRPr="00FE6501">
        <w:rPr>
          <w:rFonts w:cstheme="minorHAnsi"/>
          <w:lang w:val="sr-Latn-RS"/>
        </w:rPr>
        <w:t>e</w:t>
      </w:r>
      <w:r w:rsidRPr="00FE6501">
        <w:rPr>
          <w:rFonts w:cstheme="minorHAnsi"/>
        </w:rPr>
        <w:t xml:space="preserve"> i praćenj</w:t>
      </w:r>
      <w:r w:rsidR="00D84DC1" w:rsidRPr="00FE6501">
        <w:rPr>
          <w:rFonts w:cstheme="minorHAnsi"/>
          <w:lang w:val="sr-Latn-RS"/>
        </w:rPr>
        <w:t>a</w:t>
      </w:r>
      <w:r w:rsidRPr="00FE6501">
        <w:rPr>
          <w:rFonts w:cstheme="minorHAnsi"/>
        </w:rPr>
        <w:t xml:space="preserve"> </w:t>
      </w:r>
      <w:r w:rsidR="00D84DC1" w:rsidRPr="00FE6501">
        <w:rPr>
          <w:rFonts w:cstheme="minorHAnsi"/>
          <w:lang w:val="sr-Latn-RS"/>
        </w:rPr>
        <w:t xml:space="preserve">sprovođenja </w:t>
      </w:r>
      <w:r w:rsidRPr="00FE6501">
        <w:rPr>
          <w:rFonts w:cstheme="minorHAnsi"/>
        </w:rPr>
        <w:t>strateških dokumenata”</w:t>
      </w:r>
      <w:r w:rsidR="00D84DC1" w:rsidRPr="00FE6501">
        <w:rPr>
          <w:rFonts w:cstheme="minorHAnsi"/>
          <w:lang w:val="sr-Latn-RS"/>
        </w:rPr>
        <w:t xml:space="preserve">, dokumenta </w:t>
      </w:r>
      <w:r w:rsidRPr="00FE6501">
        <w:rPr>
          <w:rFonts w:cstheme="minorHAnsi"/>
        </w:rPr>
        <w:t>i</w:t>
      </w:r>
      <w:r w:rsidR="00B561AB" w:rsidRPr="00FE6501">
        <w:rPr>
          <w:rFonts w:cstheme="minorHAnsi"/>
          <w:lang w:val="sr-Latn-RS"/>
        </w:rPr>
        <w:t>zrađen</w:t>
      </w:r>
      <w:r w:rsidR="00D84DC1" w:rsidRPr="00FE6501">
        <w:rPr>
          <w:rFonts w:cstheme="minorHAnsi"/>
          <w:lang w:val="sr-Latn-RS"/>
        </w:rPr>
        <w:t>a</w:t>
      </w:r>
      <w:r w:rsidR="00B561AB" w:rsidRPr="00FE6501">
        <w:rPr>
          <w:rFonts w:cstheme="minorHAnsi"/>
          <w:lang w:val="sr-Latn-RS"/>
        </w:rPr>
        <w:t xml:space="preserve"> </w:t>
      </w:r>
      <w:r w:rsidRPr="00FE6501">
        <w:rPr>
          <w:rFonts w:cstheme="minorHAnsi"/>
        </w:rPr>
        <w:t>od</w:t>
      </w:r>
      <w:r w:rsidR="00B561AB" w:rsidRPr="00FE6501">
        <w:rPr>
          <w:rFonts w:cstheme="minorHAnsi"/>
          <w:lang w:val="sr-Latn-RS"/>
        </w:rPr>
        <w:t xml:space="preserve"> strane</w:t>
      </w:r>
      <w:r w:rsidRPr="00FE6501">
        <w:rPr>
          <w:rFonts w:cstheme="minorHAnsi"/>
        </w:rPr>
        <w:t xml:space="preserve"> Generalnog sekretarijata Vlade Crne Gore, </w:t>
      </w:r>
    </w:p>
    <w:p w14:paraId="79C2DA44" w14:textId="0E74A4D0" w:rsidR="00E00E8E" w:rsidRPr="00FE6501" w:rsidRDefault="0049742D" w:rsidP="00E63F8E">
      <w:pPr>
        <w:spacing w:line="276" w:lineRule="auto"/>
        <w:jc w:val="both"/>
        <w:rPr>
          <w:rFonts w:cstheme="minorHAnsi"/>
        </w:rPr>
      </w:pPr>
      <w:r w:rsidRPr="00FE6501">
        <w:rPr>
          <w:rFonts w:cstheme="minorHAnsi"/>
        </w:rPr>
        <w:t xml:space="preserve">c) “EVALSED: Resurs za evaluaciju Socio-ekonomskog razvoja – Vodič za evaluaciju”, Evropska komisija i </w:t>
      </w:r>
    </w:p>
    <w:p w14:paraId="7B6F5545" w14:textId="67F38515" w:rsidR="00E00E8E" w:rsidRPr="00FE6501" w:rsidRDefault="0049742D" w:rsidP="00E63F8E">
      <w:pPr>
        <w:spacing w:line="276" w:lineRule="auto"/>
        <w:jc w:val="both"/>
        <w:rPr>
          <w:rFonts w:cstheme="minorHAnsi"/>
        </w:rPr>
      </w:pPr>
      <w:r w:rsidRPr="00FE6501">
        <w:rPr>
          <w:rFonts w:cstheme="minorHAnsi"/>
        </w:rPr>
        <w:t>d) “Promišljena primjena kriterij</w:t>
      </w:r>
      <w:r w:rsidR="00D84DC1" w:rsidRPr="00FE6501">
        <w:rPr>
          <w:rFonts w:cstheme="minorHAnsi"/>
          <w:lang w:val="sr-Latn-RS"/>
        </w:rPr>
        <w:t>um</w:t>
      </w:r>
      <w:r w:rsidRPr="00FE6501">
        <w:rPr>
          <w:rFonts w:cstheme="minorHAnsi"/>
        </w:rPr>
        <w:t>a evaluacije”, OECD</w:t>
      </w:r>
      <w:r w:rsidR="00D84DC1" w:rsidRPr="00FE6501">
        <w:rPr>
          <w:rFonts w:cstheme="minorHAnsi"/>
          <w:lang w:val="sr-Latn-RS"/>
        </w:rPr>
        <w:t>-</w:t>
      </w:r>
      <w:r w:rsidRPr="00FE6501">
        <w:rPr>
          <w:rFonts w:cstheme="minorHAnsi"/>
        </w:rPr>
        <w:t>DAC mreža za evaluaciju razvoja (EvalNet).</w:t>
      </w:r>
    </w:p>
    <w:p w14:paraId="714499C6" w14:textId="62F6CABC" w:rsidR="00E00E8E" w:rsidRPr="00FE6501" w:rsidRDefault="0049742D" w:rsidP="00E63F8E">
      <w:pPr>
        <w:spacing w:line="276" w:lineRule="auto"/>
        <w:jc w:val="both"/>
        <w:rPr>
          <w:rFonts w:cstheme="minorHAnsi"/>
        </w:rPr>
      </w:pPr>
      <w:r w:rsidRPr="00FE6501">
        <w:rPr>
          <w:rFonts w:cstheme="minorHAnsi"/>
        </w:rPr>
        <w:t xml:space="preserve">Zbir normi i standarda uključenih u gorepomenute dokumente definiše metodološki okvir primijenjen tokom </w:t>
      </w:r>
      <w:r w:rsidR="00DD4E1D" w:rsidRPr="00FE6501">
        <w:rPr>
          <w:rFonts w:cstheme="minorHAnsi"/>
          <w:lang w:val="sr-Latn-RS"/>
        </w:rPr>
        <w:t>spro</w:t>
      </w:r>
      <w:r w:rsidRPr="00FE6501">
        <w:rPr>
          <w:rFonts w:cstheme="minorHAnsi"/>
        </w:rPr>
        <w:t xml:space="preserve">vođenja ove </w:t>
      </w:r>
      <w:r w:rsidR="00FE0138" w:rsidRPr="00FE6501">
        <w:rPr>
          <w:rFonts w:cstheme="minorHAnsi"/>
          <w:lang w:val="sr-Latn-RS"/>
        </w:rPr>
        <w:t>evaluacije</w:t>
      </w:r>
      <w:r w:rsidRPr="00FE6501">
        <w:rPr>
          <w:rFonts w:cstheme="minorHAnsi"/>
        </w:rPr>
        <w:t xml:space="preserve"> za ocjenu strukture, ciljeva, zadataka, </w:t>
      </w:r>
      <w:r w:rsidR="00DD4E1D" w:rsidRPr="00FE6501">
        <w:rPr>
          <w:rFonts w:cstheme="minorHAnsi"/>
          <w:lang w:val="sr-Latn-RS"/>
        </w:rPr>
        <w:t>ishod</w:t>
      </w:r>
      <w:r w:rsidRPr="00FE6501">
        <w:rPr>
          <w:rFonts w:cstheme="minorHAnsi"/>
        </w:rPr>
        <w:t>a, rezultata, učin</w:t>
      </w:r>
      <w:r w:rsidR="00DD4E1D" w:rsidRPr="00FE6501">
        <w:rPr>
          <w:rFonts w:cstheme="minorHAnsi"/>
          <w:lang w:val="sr-Latn-RS"/>
        </w:rPr>
        <w:t>a</w:t>
      </w:r>
      <w:r w:rsidRPr="00FE6501">
        <w:rPr>
          <w:rFonts w:cstheme="minorHAnsi"/>
        </w:rPr>
        <w:t xml:space="preserve">ka i dodatne vrijednosti </w:t>
      </w:r>
      <w:r w:rsidR="00DD4E1D" w:rsidRPr="00FE6501">
        <w:rPr>
          <w:rFonts w:cstheme="minorHAnsi"/>
        </w:rPr>
        <w:t>Strategije protiv prevara i upravljanja nepravilnostima za zaštitu finansijskih interesa Evropsk</w:t>
      </w:r>
      <w:r w:rsidR="00DD4E1D" w:rsidRPr="00FE6501">
        <w:rPr>
          <w:rFonts w:cstheme="minorHAnsi"/>
          <w:lang w:val="sr-Latn-RS"/>
        </w:rPr>
        <w:t>e</w:t>
      </w:r>
      <w:r w:rsidR="00DD4E1D" w:rsidRPr="00FE6501">
        <w:rPr>
          <w:rFonts w:cstheme="minorHAnsi"/>
        </w:rPr>
        <w:t xml:space="preserve"> unij</w:t>
      </w:r>
      <w:r w:rsidR="00DD4E1D" w:rsidRPr="00FE6501">
        <w:rPr>
          <w:rFonts w:cstheme="minorHAnsi"/>
          <w:lang w:val="sr-Latn-RS"/>
        </w:rPr>
        <w:t xml:space="preserve">e </w:t>
      </w:r>
      <w:r w:rsidRPr="00FE6501">
        <w:rPr>
          <w:rFonts w:cstheme="minorHAnsi"/>
        </w:rPr>
        <w:t>Crne Gore</w:t>
      </w:r>
      <w:r w:rsidR="00DD4E1D" w:rsidRPr="00FE6501">
        <w:rPr>
          <w:rFonts w:cstheme="minorHAnsi"/>
          <w:lang w:val="sr-Latn-RS"/>
        </w:rPr>
        <w:t>, za period</w:t>
      </w:r>
      <w:r w:rsidRPr="00FE6501">
        <w:rPr>
          <w:rFonts w:cstheme="minorHAnsi"/>
        </w:rPr>
        <w:t xml:space="preserve"> 2019-2022., u okviru određenih kriterijuma.</w:t>
      </w:r>
    </w:p>
    <w:p w14:paraId="2302EB83" w14:textId="52FD796F" w:rsidR="00E00E8E" w:rsidRPr="00FE6501" w:rsidRDefault="00E00E8E" w:rsidP="00E00E8E">
      <w:pPr>
        <w:spacing w:line="276" w:lineRule="auto"/>
        <w:jc w:val="both"/>
        <w:rPr>
          <w:rFonts w:cstheme="minorHAnsi"/>
          <w:lang w:val="en-US"/>
        </w:rPr>
      </w:pPr>
      <w:r w:rsidRPr="00FE6501">
        <w:rPr>
          <w:rFonts w:cstheme="minorHAnsi"/>
        </w:rPr>
        <w:t xml:space="preserve">Evaluacija počinje rješavanjem glavnih pitanja, u vezi </w:t>
      </w:r>
      <w:r w:rsidR="00722A5D" w:rsidRPr="00FE6501">
        <w:rPr>
          <w:rFonts w:cstheme="minorHAnsi"/>
        </w:rPr>
        <w:t xml:space="preserve">sa </w:t>
      </w:r>
      <w:r w:rsidR="00722A5D" w:rsidRPr="00FE6501">
        <w:rPr>
          <w:rFonts w:cstheme="minorHAnsi"/>
          <w:lang w:val="sr-Latn-RS"/>
        </w:rPr>
        <w:t>-</w:t>
      </w:r>
      <w:r w:rsidRPr="00FE6501">
        <w:rPr>
          <w:rFonts w:cstheme="minorHAnsi"/>
        </w:rPr>
        <w:t xml:space="preserve">u kojem </w:t>
      </w:r>
      <w:r w:rsidR="00722A5D" w:rsidRPr="00FE6501">
        <w:rPr>
          <w:rFonts w:cstheme="minorHAnsi"/>
        </w:rPr>
        <w:t>stepen</w:t>
      </w:r>
      <w:r w:rsidR="00722A5D" w:rsidRPr="00FE6501">
        <w:rPr>
          <w:rFonts w:cstheme="minorHAnsi"/>
          <w:lang w:val="sr-Latn-RS"/>
        </w:rPr>
        <w:t>u</w:t>
      </w:r>
      <w:r w:rsidR="00722A5D" w:rsidRPr="00FE6501">
        <w:rPr>
          <w:rFonts w:cstheme="minorHAnsi"/>
        </w:rPr>
        <w:t xml:space="preserve"> </w:t>
      </w:r>
      <w:r w:rsidRPr="00FE6501">
        <w:rPr>
          <w:rFonts w:cstheme="minorHAnsi"/>
        </w:rPr>
        <w:t>Strategija 2019-2022 ispunjava standarde EU o nacionalnim strategijama za borbu protiv prevara</w:t>
      </w:r>
      <w:r w:rsidR="00722A5D" w:rsidRPr="00FE6501">
        <w:rPr>
          <w:rFonts w:cstheme="minorHAnsi"/>
          <w:lang w:val="sr-Latn-RS"/>
        </w:rPr>
        <w:t>.</w:t>
      </w:r>
      <w:r w:rsidRPr="00FE6501">
        <w:rPr>
          <w:rFonts w:cstheme="minorHAnsi"/>
        </w:rPr>
        <w:t xml:space="preserve"> Na osnovu identifikacij</w:t>
      </w:r>
      <w:r w:rsidR="00722A5D" w:rsidRPr="00FE6501">
        <w:rPr>
          <w:rFonts w:cstheme="minorHAnsi"/>
          <w:lang w:val="sr-Latn-RS"/>
        </w:rPr>
        <w:t>a</w:t>
      </w:r>
      <w:r w:rsidRPr="00FE6501">
        <w:rPr>
          <w:rFonts w:cstheme="minorHAnsi"/>
        </w:rPr>
        <w:t xml:space="preserve"> potreb</w:t>
      </w:r>
      <w:r w:rsidR="00722A5D" w:rsidRPr="00FE6501">
        <w:rPr>
          <w:rFonts w:cstheme="minorHAnsi"/>
          <w:lang w:val="sr-Latn-RS"/>
        </w:rPr>
        <w:t>a</w:t>
      </w:r>
      <w:r w:rsidRPr="00FE6501">
        <w:rPr>
          <w:rFonts w:cstheme="minorHAnsi"/>
        </w:rPr>
        <w:t xml:space="preserve"> AFCOS kancelarije</w:t>
      </w:r>
      <w:r w:rsidR="00722A5D" w:rsidRPr="00FE6501">
        <w:rPr>
          <w:rFonts w:cstheme="minorHAnsi"/>
          <w:lang w:val="sr-Latn-RS"/>
        </w:rPr>
        <w:t>,</w:t>
      </w:r>
      <w:r w:rsidRPr="00FE6501">
        <w:rPr>
          <w:rFonts w:cstheme="minorHAnsi"/>
        </w:rPr>
        <w:t xml:space="preserve"> glavnog korisnika ove </w:t>
      </w:r>
      <w:r w:rsidRPr="00FE6501">
        <w:rPr>
          <w:rFonts w:cstheme="minorHAnsi"/>
          <w:lang w:val="sr-Latn-RS"/>
        </w:rPr>
        <w:t>evaluacije,</w:t>
      </w:r>
      <w:r w:rsidRPr="00FE6501">
        <w:rPr>
          <w:rFonts w:cstheme="minorHAnsi"/>
        </w:rPr>
        <w:t xml:space="preserve"> istovremeno uzimajući u obzir dostupnost podataka (i primarnih i sekundarnih)</w:t>
      </w:r>
      <w:r w:rsidR="00722A5D" w:rsidRPr="00FE6501">
        <w:rPr>
          <w:rFonts w:cstheme="minorHAnsi"/>
          <w:lang w:val="sr-Latn-RS"/>
        </w:rPr>
        <w:t>,</w:t>
      </w:r>
      <w:r w:rsidRPr="00FE6501">
        <w:rPr>
          <w:rFonts w:cstheme="minorHAnsi"/>
        </w:rPr>
        <w:t xml:space="preserve"> kriterijumi strateške relevantnosti i efektivnosti se razmatra</w:t>
      </w:r>
      <w:r w:rsidR="00EF1A65">
        <w:rPr>
          <w:rFonts w:cstheme="minorHAnsi"/>
          <w:lang w:val="sr-Latn-RS"/>
        </w:rPr>
        <w:t>ju</w:t>
      </w:r>
      <w:r w:rsidRPr="00FE6501">
        <w:rPr>
          <w:rFonts w:cstheme="minorHAnsi"/>
        </w:rPr>
        <w:t xml:space="preserve">. Ovi kriterijumi su takođe diktirali formulisanje </w:t>
      </w:r>
      <w:r w:rsidRPr="00FE6501">
        <w:rPr>
          <w:rFonts w:cstheme="minorHAnsi"/>
        </w:rPr>
        <w:lastRenderedPageBreak/>
        <w:t xml:space="preserve">vodećih evaluacionih pitanja na kojima je ova </w:t>
      </w:r>
      <w:r w:rsidR="00722A5D" w:rsidRPr="00FE6501">
        <w:rPr>
          <w:rFonts w:cstheme="minorHAnsi"/>
          <w:lang w:val="sr-Latn-RS"/>
        </w:rPr>
        <w:t>evaluacij</w:t>
      </w:r>
      <w:r w:rsidRPr="00FE6501">
        <w:rPr>
          <w:rFonts w:cstheme="minorHAnsi"/>
        </w:rPr>
        <w:t xml:space="preserve">a zasnovana. </w:t>
      </w:r>
      <w:r w:rsidR="00722A5D" w:rsidRPr="00FE6501">
        <w:rPr>
          <w:rFonts w:cstheme="minorHAnsi"/>
          <w:lang w:val="sr-Latn-RS"/>
        </w:rPr>
        <w:t>Riječ je o sljedećim pitanjima</w:t>
      </w:r>
      <w:r w:rsidRPr="00FE6501">
        <w:rPr>
          <w:rFonts w:cstheme="minorHAnsi"/>
        </w:rPr>
        <w:t>:</w:t>
      </w:r>
    </w:p>
    <w:p w14:paraId="3F12C0DF" w14:textId="5C31522A" w:rsidR="00E00E8E" w:rsidRPr="00FE6501" w:rsidRDefault="00E00E8E" w:rsidP="00DB1F9B">
      <w:pPr>
        <w:pStyle w:val="ListParagraph"/>
        <w:numPr>
          <w:ilvl w:val="0"/>
          <w:numId w:val="3"/>
        </w:numPr>
        <w:spacing w:line="276" w:lineRule="auto"/>
        <w:jc w:val="both"/>
        <w:rPr>
          <w:rFonts w:cstheme="minorHAnsi"/>
          <w:lang w:val="en-US"/>
        </w:rPr>
      </w:pPr>
      <w:r w:rsidRPr="00FE6501">
        <w:rPr>
          <w:rFonts w:cstheme="minorHAnsi"/>
        </w:rPr>
        <w:t>U kojoj mjeri su strateški i operativni ciljevi, kao i mjere Strategije</w:t>
      </w:r>
      <w:r w:rsidR="00722A5D" w:rsidRPr="00FE6501">
        <w:rPr>
          <w:rFonts w:cstheme="minorHAnsi"/>
          <w:lang w:val="sr-Latn-RS"/>
        </w:rPr>
        <w:t>,</w:t>
      </w:r>
      <w:r w:rsidRPr="00FE6501">
        <w:rPr>
          <w:rFonts w:cstheme="minorHAnsi"/>
        </w:rPr>
        <w:t xml:space="preserve"> opravdane u odnosu na potrebe? </w:t>
      </w:r>
    </w:p>
    <w:p w14:paraId="7439EBA2" w14:textId="69AFA912" w:rsidR="00E00E8E" w:rsidRPr="00FE6501" w:rsidRDefault="00E00E8E" w:rsidP="00DB1F9B">
      <w:pPr>
        <w:pStyle w:val="ListParagraph"/>
        <w:numPr>
          <w:ilvl w:val="0"/>
          <w:numId w:val="3"/>
        </w:numPr>
        <w:spacing w:line="276" w:lineRule="auto"/>
        <w:jc w:val="both"/>
        <w:rPr>
          <w:rFonts w:cstheme="minorHAnsi"/>
          <w:lang w:val="en-US"/>
        </w:rPr>
      </w:pPr>
      <w:r w:rsidRPr="00FE6501">
        <w:rPr>
          <w:rFonts w:cstheme="minorHAnsi"/>
        </w:rPr>
        <w:t xml:space="preserve">U kojoj mjeri su ciljevi Strategije adekvatno definisani, realni i izvodljivi? </w:t>
      </w:r>
    </w:p>
    <w:p w14:paraId="5A66CA09" w14:textId="12F61067" w:rsidR="00E00E8E" w:rsidRPr="00FE6501" w:rsidRDefault="00E00E8E" w:rsidP="00DB1F9B">
      <w:pPr>
        <w:pStyle w:val="ListParagraph"/>
        <w:numPr>
          <w:ilvl w:val="0"/>
          <w:numId w:val="3"/>
        </w:numPr>
        <w:spacing w:line="276" w:lineRule="auto"/>
        <w:jc w:val="both"/>
        <w:rPr>
          <w:rFonts w:cstheme="minorHAnsi"/>
          <w:lang w:val="en-US"/>
        </w:rPr>
      </w:pPr>
      <w:r w:rsidRPr="00FE6501">
        <w:rPr>
          <w:rFonts w:cstheme="minorHAnsi"/>
        </w:rPr>
        <w:t xml:space="preserve">Da li je prilikom kreiranja Strategije postojao logički model ili određena teorija promjene? </w:t>
      </w:r>
    </w:p>
    <w:p w14:paraId="1EA224D9" w14:textId="458701F4" w:rsidR="00E00E8E" w:rsidRPr="00FE6501" w:rsidRDefault="00E00E8E" w:rsidP="00DB1F9B">
      <w:pPr>
        <w:pStyle w:val="ListParagraph"/>
        <w:numPr>
          <w:ilvl w:val="0"/>
          <w:numId w:val="3"/>
        </w:numPr>
        <w:spacing w:line="276" w:lineRule="auto"/>
        <w:jc w:val="both"/>
        <w:rPr>
          <w:rFonts w:cstheme="minorHAnsi"/>
          <w:lang w:val="en-US"/>
        </w:rPr>
      </w:pPr>
      <w:r w:rsidRPr="00FE6501">
        <w:rPr>
          <w:rFonts w:cstheme="minorHAnsi"/>
        </w:rPr>
        <w:t>U kojoj mjeri su ciljevi i mjere Strategije i dalje relevantni?</w:t>
      </w:r>
    </w:p>
    <w:p w14:paraId="43CEF756" w14:textId="77777777" w:rsidR="00234729" w:rsidRPr="00FE6501" w:rsidRDefault="00234729" w:rsidP="00DB1F9B">
      <w:pPr>
        <w:pStyle w:val="ListParagraph"/>
        <w:numPr>
          <w:ilvl w:val="0"/>
          <w:numId w:val="3"/>
        </w:numPr>
        <w:spacing w:line="276" w:lineRule="auto"/>
        <w:jc w:val="both"/>
        <w:rPr>
          <w:rFonts w:cstheme="minorHAnsi"/>
          <w:lang w:val="en-US"/>
        </w:rPr>
      </w:pPr>
      <w:bookmarkStart w:id="17" w:name="_Toc117232237"/>
      <w:r w:rsidRPr="00FE6501">
        <w:rPr>
          <w:rFonts w:cstheme="minorHAnsi"/>
        </w:rPr>
        <w:t xml:space="preserve">U kojoj mjeri ciljevi i mjere Strategije odgovaraju nacionalnim i evropskim standardima i prioritetima? </w:t>
      </w:r>
    </w:p>
    <w:p w14:paraId="157E2FE5" w14:textId="3692247B" w:rsidR="00234729" w:rsidRPr="00FE6501" w:rsidRDefault="00234729" w:rsidP="00DB1F9B">
      <w:pPr>
        <w:pStyle w:val="ListParagraph"/>
        <w:numPr>
          <w:ilvl w:val="0"/>
          <w:numId w:val="3"/>
        </w:numPr>
        <w:spacing w:line="276" w:lineRule="auto"/>
        <w:jc w:val="both"/>
        <w:rPr>
          <w:rFonts w:cstheme="minorHAnsi"/>
          <w:lang w:val="en-US"/>
        </w:rPr>
      </w:pPr>
      <w:r w:rsidRPr="00FE6501">
        <w:rPr>
          <w:rFonts w:cstheme="minorHAnsi"/>
        </w:rPr>
        <w:t xml:space="preserve">U kojoj mjeri su mjere Strategije uspješno implementirane, dajući željene </w:t>
      </w:r>
      <w:r w:rsidR="00722A5D" w:rsidRPr="00FE6501">
        <w:rPr>
          <w:rFonts w:cstheme="minorHAnsi"/>
        </w:rPr>
        <w:t>ishod</w:t>
      </w:r>
      <w:r w:rsidRPr="00FE6501">
        <w:rPr>
          <w:rFonts w:cstheme="minorHAnsi"/>
        </w:rPr>
        <w:t xml:space="preserve">e i rezultate? U kojoj mjeri su postavljeni ciljevi ostvareni ili kada se može očekivati njihovo ostvarenje? </w:t>
      </w:r>
    </w:p>
    <w:p w14:paraId="0FF4C8A8" w14:textId="04B580FA" w:rsidR="00234729" w:rsidRPr="00FE6501" w:rsidRDefault="00234729" w:rsidP="00DB1F9B">
      <w:pPr>
        <w:pStyle w:val="ListParagraph"/>
        <w:numPr>
          <w:ilvl w:val="0"/>
          <w:numId w:val="3"/>
        </w:numPr>
        <w:spacing w:line="276" w:lineRule="auto"/>
        <w:jc w:val="both"/>
        <w:rPr>
          <w:rFonts w:cstheme="minorHAnsi"/>
          <w:lang w:val="en-US"/>
        </w:rPr>
      </w:pPr>
      <w:r w:rsidRPr="00FE6501">
        <w:rPr>
          <w:rFonts w:cstheme="minorHAnsi"/>
        </w:rPr>
        <w:t>Koji su faktori najviše uticali na postizanje ili neostvarivanje ciljeva Strategije (prednosti koje su podržale implementaciju i prepreke koje su ometale implementaciju)?</w:t>
      </w:r>
    </w:p>
    <w:p w14:paraId="1126506F" w14:textId="31AB1D78" w:rsidR="00234729" w:rsidRPr="00FE6501" w:rsidRDefault="00234729" w:rsidP="00DB1F9B">
      <w:pPr>
        <w:pStyle w:val="ListParagraph"/>
        <w:numPr>
          <w:ilvl w:val="0"/>
          <w:numId w:val="3"/>
        </w:numPr>
        <w:spacing w:line="276" w:lineRule="auto"/>
        <w:jc w:val="both"/>
        <w:rPr>
          <w:rFonts w:cstheme="minorHAnsi"/>
          <w:lang w:val="en-US"/>
        </w:rPr>
      </w:pPr>
      <w:r w:rsidRPr="00FE6501">
        <w:rPr>
          <w:rFonts w:cstheme="minorHAnsi"/>
        </w:rPr>
        <w:t xml:space="preserve">Da li se implementacija strateškog dokumenta i pratećeg Akcionog plana odvijala </w:t>
      </w:r>
      <w:r w:rsidR="00DA4164" w:rsidRPr="00FE6501">
        <w:rPr>
          <w:rFonts w:cstheme="minorHAnsi"/>
        </w:rPr>
        <w:t>u okviru</w:t>
      </w:r>
      <w:r w:rsidRPr="00FE6501">
        <w:rPr>
          <w:rFonts w:cstheme="minorHAnsi"/>
        </w:rPr>
        <w:t xml:space="preserve"> </w:t>
      </w:r>
      <w:r w:rsidR="001B6FA9" w:rsidRPr="00FE6501">
        <w:rPr>
          <w:rFonts w:cstheme="minorHAnsi"/>
        </w:rPr>
        <w:t>definisanog</w:t>
      </w:r>
      <w:r w:rsidRPr="00FE6501">
        <w:rPr>
          <w:rFonts w:cstheme="minorHAnsi"/>
        </w:rPr>
        <w:t xml:space="preserve"> vremenskog okvira</w:t>
      </w:r>
      <w:r w:rsidR="001B6FA9" w:rsidRPr="00FE6501">
        <w:rPr>
          <w:rFonts w:cstheme="minorHAnsi"/>
        </w:rPr>
        <w:t>, tačnije</w:t>
      </w:r>
      <w:r w:rsidRPr="00FE6501">
        <w:rPr>
          <w:rFonts w:cstheme="minorHAnsi"/>
        </w:rPr>
        <w:t xml:space="preserve"> tokom referentnog perioda Strategije? </w:t>
      </w:r>
    </w:p>
    <w:p w14:paraId="3DD5CF52" w14:textId="2049FA63" w:rsidR="00234729" w:rsidRPr="00FE6501" w:rsidRDefault="00234729" w:rsidP="00DB1F9B">
      <w:pPr>
        <w:pStyle w:val="ListParagraph"/>
        <w:numPr>
          <w:ilvl w:val="0"/>
          <w:numId w:val="3"/>
        </w:numPr>
        <w:spacing w:line="276" w:lineRule="auto"/>
        <w:jc w:val="both"/>
        <w:rPr>
          <w:rFonts w:cstheme="minorHAnsi"/>
          <w:lang w:val="en-US"/>
        </w:rPr>
      </w:pPr>
      <w:r w:rsidRPr="00FE6501">
        <w:rPr>
          <w:rFonts w:cstheme="minorHAnsi"/>
        </w:rPr>
        <w:t xml:space="preserve">Koja je dodatna vrijednost Strategije u smislu institucionalnog/pravnog okvira, međuinstitucionalne saradnje, operativne efikasnosti strukture za prijavljivanje nepravilnosti i izgradnje administrativnih kapaciteta? </w:t>
      </w:r>
    </w:p>
    <w:p w14:paraId="2BD5ADD4" w14:textId="250CF6A4" w:rsidR="00234729" w:rsidRPr="00FE6501" w:rsidRDefault="00234729" w:rsidP="00DB1F9B">
      <w:pPr>
        <w:pStyle w:val="ListParagraph"/>
        <w:numPr>
          <w:ilvl w:val="0"/>
          <w:numId w:val="3"/>
        </w:numPr>
        <w:spacing w:line="276" w:lineRule="auto"/>
        <w:jc w:val="both"/>
        <w:rPr>
          <w:rFonts w:cstheme="minorHAnsi"/>
          <w:lang w:val="en-US"/>
        </w:rPr>
      </w:pPr>
      <w:r w:rsidRPr="00FE6501">
        <w:rPr>
          <w:rFonts w:cstheme="minorHAnsi"/>
        </w:rPr>
        <w:t>U koj</w:t>
      </w:r>
      <w:r w:rsidR="00040589">
        <w:rPr>
          <w:rFonts w:cstheme="minorHAnsi"/>
          <w:lang w:val="sr-Latn-RS"/>
        </w:rPr>
        <w:t>em</w:t>
      </w:r>
      <w:r w:rsidRPr="00FE6501">
        <w:rPr>
          <w:rFonts w:cstheme="minorHAnsi"/>
        </w:rPr>
        <w:t xml:space="preserve"> </w:t>
      </w:r>
      <w:r w:rsidR="00DA4164" w:rsidRPr="00FE6501">
        <w:rPr>
          <w:rFonts w:cstheme="minorHAnsi"/>
        </w:rPr>
        <w:t>stepenu</w:t>
      </w:r>
      <w:r w:rsidRPr="00FE6501">
        <w:rPr>
          <w:rFonts w:cstheme="minorHAnsi"/>
        </w:rPr>
        <w:t xml:space="preserve"> su mjere Strategije doprinijele stvaranju podsticajnog ambijenta za efikasnu borbu protiv prevara i upravljanje nepravilnostima u Crnoj Gori?</w:t>
      </w:r>
    </w:p>
    <w:p w14:paraId="607E4D8A" w14:textId="77777777" w:rsidR="00DA4164" w:rsidRPr="00FE6501" w:rsidRDefault="00DA4164" w:rsidP="00DA4164">
      <w:pPr>
        <w:pStyle w:val="ListParagraph"/>
        <w:spacing w:line="276" w:lineRule="auto"/>
        <w:ind w:left="360"/>
        <w:jc w:val="both"/>
        <w:rPr>
          <w:rFonts w:cstheme="minorHAnsi"/>
          <w:lang w:val="en-US"/>
        </w:rPr>
      </w:pPr>
    </w:p>
    <w:bookmarkEnd w:id="17"/>
    <w:p w14:paraId="18721385" w14:textId="77777777" w:rsidR="00234729" w:rsidRPr="00FE6501" w:rsidRDefault="00234729" w:rsidP="00E63F8E">
      <w:pPr>
        <w:spacing w:line="276" w:lineRule="auto"/>
        <w:jc w:val="both"/>
        <w:rPr>
          <w:rFonts w:eastAsiaTheme="majorEastAsia" w:cstheme="minorHAnsi"/>
          <w:b/>
          <w:color w:val="1F3763" w:themeColor="accent1" w:themeShade="7F"/>
        </w:rPr>
      </w:pPr>
      <w:r w:rsidRPr="00FE6501">
        <w:rPr>
          <w:rFonts w:eastAsiaTheme="majorEastAsia" w:cstheme="minorHAnsi"/>
          <w:b/>
          <w:color w:val="1F3763" w:themeColor="accent1" w:themeShade="7F"/>
        </w:rPr>
        <w:t xml:space="preserve">Izvori podataka </w:t>
      </w:r>
    </w:p>
    <w:p w14:paraId="63A64F60" w14:textId="77777777" w:rsidR="00234729" w:rsidRPr="00FE6501" w:rsidRDefault="00234729" w:rsidP="00E63F8E">
      <w:pPr>
        <w:spacing w:line="276" w:lineRule="auto"/>
        <w:jc w:val="both"/>
        <w:rPr>
          <w:rFonts w:eastAsiaTheme="majorEastAsia" w:cstheme="minorHAnsi"/>
        </w:rPr>
      </w:pPr>
      <w:r w:rsidRPr="00FE6501">
        <w:rPr>
          <w:rFonts w:eastAsiaTheme="majorEastAsia" w:cstheme="minorHAnsi"/>
        </w:rPr>
        <w:t xml:space="preserve">Ovaj izvještaj o procjeni koristi sljedeće izvore podataka: </w:t>
      </w:r>
    </w:p>
    <w:p w14:paraId="4C6464E3" w14:textId="3CF8D321" w:rsidR="00234729" w:rsidRPr="00FE6501" w:rsidRDefault="00234729" w:rsidP="00DB1F9B">
      <w:pPr>
        <w:pStyle w:val="ListParagraph"/>
        <w:numPr>
          <w:ilvl w:val="0"/>
          <w:numId w:val="15"/>
        </w:numPr>
        <w:spacing w:line="276" w:lineRule="auto"/>
        <w:jc w:val="both"/>
        <w:rPr>
          <w:rFonts w:cstheme="minorHAnsi"/>
          <w:lang w:val="en-US"/>
        </w:rPr>
      </w:pPr>
      <w:r w:rsidRPr="00FE6501">
        <w:rPr>
          <w:rFonts w:eastAsiaTheme="majorEastAsia" w:cstheme="minorHAnsi"/>
        </w:rPr>
        <w:t>Programsk</w:t>
      </w:r>
      <w:r w:rsidR="00DA4164" w:rsidRPr="00FE6501">
        <w:rPr>
          <w:rFonts w:eastAsiaTheme="majorEastAsia" w:cstheme="minorHAnsi"/>
        </w:rPr>
        <w:t>a</w:t>
      </w:r>
      <w:r w:rsidRPr="00FE6501">
        <w:rPr>
          <w:rFonts w:eastAsiaTheme="majorEastAsia" w:cstheme="minorHAnsi"/>
        </w:rPr>
        <w:t xml:space="preserve"> </w:t>
      </w:r>
      <w:r w:rsidR="00DA4164" w:rsidRPr="00FE6501">
        <w:rPr>
          <w:rFonts w:eastAsiaTheme="majorEastAsia" w:cstheme="minorHAnsi"/>
        </w:rPr>
        <w:t>dokumenta</w:t>
      </w:r>
      <w:r w:rsidRPr="00FE6501">
        <w:rPr>
          <w:rFonts w:eastAsiaTheme="majorEastAsia" w:cstheme="minorHAnsi"/>
        </w:rPr>
        <w:t xml:space="preserve">, institucionalni i </w:t>
      </w:r>
      <w:r w:rsidR="00DA4164" w:rsidRPr="00FE6501">
        <w:rPr>
          <w:rFonts w:eastAsiaTheme="majorEastAsia" w:cstheme="minorHAnsi"/>
        </w:rPr>
        <w:t>zakonodavni</w:t>
      </w:r>
      <w:r w:rsidRPr="00FE6501">
        <w:rPr>
          <w:rFonts w:eastAsiaTheme="majorEastAsia" w:cstheme="minorHAnsi"/>
        </w:rPr>
        <w:t xml:space="preserve"> okvir, preporuke, izvještaj</w:t>
      </w:r>
      <w:r w:rsidR="002119DE" w:rsidRPr="00FE6501">
        <w:rPr>
          <w:rFonts w:eastAsiaTheme="majorEastAsia" w:cstheme="minorHAnsi"/>
        </w:rPr>
        <w:t>e</w:t>
      </w:r>
      <w:r w:rsidRPr="00FE6501">
        <w:rPr>
          <w:rFonts w:eastAsiaTheme="majorEastAsia" w:cstheme="minorHAnsi"/>
        </w:rPr>
        <w:t xml:space="preserve"> o napretku EU, rezultat</w:t>
      </w:r>
      <w:r w:rsidR="00DA4164" w:rsidRPr="00FE6501">
        <w:rPr>
          <w:rFonts w:eastAsiaTheme="majorEastAsia" w:cstheme="minorHAnsi"/>
        </w:rPr>
        <w:t>e</w:t>
      </w:r>
      <w:r w:rsidRPr="00FE6501">
        <w:rPr>
          <w:rFonts w:eastAsiaTheme="majorEastAsia" w:cstheme="minorHAnsi"/>
        </w:rPr>
        <w:t xml:space="preserve"> </w:t>
      </w:r>
      <w:r w:rsidR="002119DE" w:rsidRPr="00FE6501">
        <w:rPr>
          <w:rFonts w:eastAsiaTheme="majorEastAsia" w:cstheme="minorHAnsi"/>
        </w:rPr>
        <w:t>iz finalnih izvještaja projekata podrške EU (Twinning light i TAIEX)</w:t>
      </w:r>
      <w:r w:rsidRPr="00FE6501">
        <w:rPr>
          <w:rFonts w:eastAsiaTheme="majorEastAsia" w:cstheme="minorHAnsi"/>
        </w:rPr>
        <w:t xml:space="preserve"> itd., </w:t>
      </w:r>
    </w:p>
    <w:p w14:paraId="2E3CD882" w14:textId="0FF58406" w:rsidR="00234729" w:rsidRPr="00FE6501" w:rsidRDefault="002119DE" w:rsidP="00DB1F9B">
      <w:pPr>
        <w:pStyle w:val="ListParagraph"/>
        <w:numPr>
          <w:ilvl w:val="0"/>
          <w:numId w:val="15"/>
        </w:numPr>
        <w:spacing w:line="276" w:lineRule="auto"/>
        <w:jc w:val="both"/>
        <w:rPr>
          <w:rFonts w:cstheme="minorHAnsi"/>
          <w:lang w:val="en-US"/>
        </w:rPr>
      </w:pPr>
      <w:r w:rsidRPr="00FE6501">
        <w:rPr>
          <w:rFonts w:eastAsiaTheme="majorEastAsia" w:cstheme="minorHAnsi"/>
        </w:rPr>
        <w:t>Godišnje izvještaje o nacrtu strateškog dokumenta-</w:t>
      </w:r>
      <w:r w:rsidR="00234729" w:rsidRPr="00FE6501">
        <w:rPr>
          <w:rFonts w:eastAsiaTheme="majorEastAsia" w:cstheme="minorHAnsi"/>
        </w:rPr>
        <w:t xml:space="preserve"> izvještaj</w:t>
      </w:r>
      <w:r w:rsidRPr="00FE6501">
        <w:rPr>
          <w:rFonts w:eastAsiaTheme="majorEastAsia" w:cstheme="minorHAnsi"/>
        </w:rPr>
        <w:t>e</w:t>
      </w:r>
      <w:r w:rsidR="00040589">
        <w:rPr>
          <w:rFonts w:eastAsiaTheme="majorEastAsia" w:cstheme="minorHAnsi"/>
          <w:lang w:val="sr-Latn-RS"/>
        </w:rPr>
        <w:t xml:space="preserve"> koji su</w:t>
      </w:r>
      <w:r w:rsidRPr="00FE6501">
        <w:rPr>
          <w:rFonts w:eastAsiaTheme="majorEastAsia" w:cstheme="minorHAnsi"/>
        </w:rPr>
        <w:t xml:space="preserve"> dostavljeni Vladi </w:t>
      </w:r>
      <w:r w:rsidR="00040589">
        <w:rPr>
          <w:rFonts w:eastAsiaTheme="majorEastAsia" w:cstheme="minorHAnsi"/>
          <w:lang w:val="sr-Latn-RS"/>
        </w:rPr>
        <w:t>Crne Gore,</w:t>
      </w:r>
      <w:r w:rsidRPr="00FE6501">
        <w:rPr>
          <w:rFonts w:eastAsiaTheme="majorEastAsia" w:cstheme="minorHAnsi"/>
        </w:rPr>
        <w:t xml:space="preserve"> od strane</w:t>
      </w:r>
      <w:r w:rsidR="00040589">
        <w:rPr>
          <w:rFonts w:eastAsiaTheme="majorEastAsia" w:cstheme="minorHAnsi"/>
          <w:lang w:val="sr-Latn-RS"/>
        </w:rPr>
        <w:t xml:space="preserve"> Ministarstva finansija/</w:t>
      </w:r>
      <w:r w:rsidR="00234729" w:rsidRPr="00FE6501">
        <w:rPr>
          <w:rFonts w:eastAsiaTheme="majorEastAsia" w:cstheme="minorHAnsi"/>
        </w:rPr>
        <w:t xml:space="preserve"> AFCOS kancelarije,</w:t>
      </w:r>
    </w:p>
    <w:p w14:paraId="22AD646F" w14:textId="183442B3" w:rsidR="00234729" w:rsidRPr="00FE6501" w:rsidRDefault="00234729" w:rsidP="00DB1F9B">
      <w:pPr>
        <w:pStyle w:val="ListParagraph"/>
        <w:numPr>
          <w:ilvl w:val="0"/>
          <w:numId w:val="15"/>
        </w:numPr>
        <w:spacing w:line="276" w:lineRule="auto"/>
        <w:jc w:val="both"/>
        <w:rPr>
          <w:rFonts w:cstheme="minorHAnsi"/>
          <w:lang w:val="en-US"/>
        </w:rPr>
      </w:pPr>
      <w:r w:rsidRPr="00FE6501">
        <w:rPr>
          <w:rFonts w:eastAsiaTheme="majorEastAsia" w:cstheme="minorHAnsi"/>
        </w:rPr>
        <w:t xml:space="preserve"> Poda</w:t>
      </w:r>
      <w:r w:rsidR="002119DE" w:rsidRPr="00FE6501">
        <w:rPr>
          <w:rFonts w:eastAsiaTheme="majorEastAsia" w:cstheme="minorHAnsi"/>
        </w:rPr>
        <w:t>tke</w:t>
      </w:r>
      <w:r w:rsidRPr="00FE6501">
        <w:rPr>
          <w:rFonts w:eastAsiaTheme="majorEastAsia" w:cstheme="minorHAnsi"/>
        </w:rPr>
        <w:t xml:space="preserve"> iz sekundarne analize i </w:t>
      </w:r>
      <w:r w:rsidR="00040589">
        <w:rPr>
          <w:rFonts w:eastAsiaTheme="majorEastAsia" w:cstheme="minorHAnsi"/>
          <w:lang w:val="sr-Latn-RS"/>
        </w:rPr>
        <w:t>kancelarijskog</w:t>
      </w:r>
      <w:r w:rsidRPr="00FE6501">
        <w:rPr>
          <w:rFonts w:eastAsiaTheme="majorEastAsia" w:cstheme="minorHAnsi"/>
        </w:rPr>
        <w:t xml:space="preserve"> istraživanja, </w:t>
      </w:r>
    </w:p>
    <w:p w14:paraId="0FB2DBF6" w14:textId="6A86CA02" w:rsidR="00234729" w:rsidRPr="00FE6501" w:rsidRDefault="00234729" w:rsidP="00DB1F9B">
      <w:pPr>
        <w:pStyle w:val="ListParagraph"/>
        <w:numPr>
          <w:ilvl w:val="0"/>
          <w:numId w:val="15"/>
        </w:numPr>
        <w:spacing w:line="276" w:lineRule="auto"/>
        <w:jc w:val="both"/>
        <w:rPr>
          <w:rFonts w:cstheme="minorHAnsi"/>
          <w:lang w:val="en-US"/>
        </w:rPr>
      </w:pPr>
      <w:r w:rsidRPr="00FE6501">
        <w:rPr>
          <w:rFonts w:eastAsiaTheme="majorEastAsia" w:cstheme="minorHAnsi"/>
        </w:rPr>
        <w:t xml:space="preserve"> Poda</w:t>
      </w:r>
      <w:r w:rsidR="002119DE" w:rsidRPr="00FE6501">
        <w:rPr>
          <w:rFonts w:eastAsiaTheme="majorEastAsia" w:cstheme="minorHAnsi"/>
        </w:rPr>
        <w:t>tke</w:t>
      </w:r>
      <w:r w:rsidRPr="00FE6501">
        <w:rPr>
          <w:rFonts w:eastAsiaTheme="majorEastAsia" w:cstheme="minorHAnsi"/>
        </w:rPr>
        <w:t xml:space="preserve"> dobijen</w:t>
      </w:r>
      <w:r w:rsidR="002119DE" w:rsidRPr="00FE6501">
        <w:rPr>
          <w:rFonts w:eastAsiaTheme="majorEastAsia" w:cstheme="minorHAnsi"/>
        </w:rPr>
        <w:t>e</w:t>
      </w:r>
      <w:r w:rsidRPr="00FE6501">
        <w:rPr>
          <w:rFonts w:eastAsiaTheme="majorEastAsia" w:cstheme="minorHAnsi"/>
        </w:rPr>
        <w:t xml:space="preserve"> iz intervjua sa zainteresovanim stranama i</w:t>
      </w:r>
    </w:p>
    <w:p w14:paraId="46027B89" w14:textId="2E68D543" w:rsidR="00234729" w:rsidRPr="00FE6501" w:rsidRDefault="00234729" w:rsidP="00DB1F9B">
      <w:pPr>
        <w:pStyle w:val="ListParagraph"/>
        <w:numPr>
          <w:ilvl w:val="0"/>
          <w:numId w:val="15"/>
        </w:numPr>
        <w:spacing w:line="276" w:lineRule="auto"/>
        <w:jc w:val="both"/>
        <w:rPr>
          <w:rFonts w:cstheme="minorHAnsi"/>
          <w:lang w:val="en-US"/>
        </w:rPr>
      </w:pPr>
      <w:r w:rsidRPr="00FE6501">
        <w:rPr>
          <w:rFonts w:eastAsiaTheme="majorEastAsia" w:cstheme="minorHAnsi"/>
        </w:rPr>
        <w:t xml:space="preserve"> Poda</w:t>
      </w:r>
      <w:r w:rsidR="002119DE" w:rsidRPr="00FE6501">
        <w:rPr>
          <w:rFonts w:eastAsiaTheme="majorEastAsia" w:cstheme="minorHAnsi"/>
        </w:rPr>
        <w:t>tke</w:t>
      </w:r>
      <w:r w:rsidRPr="00FE6501">
        <w:rPr>
          <w:rFonts w:eastAsiaTheme="majorEastAsia" w:cstheme="minorHAnsi"/>
        </w:rPr>
        <w:t xml:space="preserve"> </w:t>
      </w:r>
      <w:r w:rsidR="002119DE" w:rsidRPr="00FE6501">
        <w:rPr>
          <w:rFonts w:eastAsiaTheme="majorEastAsia" w:cstheme="minorHAnsi"/>
        </w:rPr>
        <w:t xml:space="preserve">koji su </w:t>
      </w:r>
      <w:r w:rsidRPr="00FE6501">
        <w:rPr>
          <w:rFonts w:eastAsiaTheme="majorEastAsia" w:cstheme="minorHAnsi"/>
        </w:rPr>
        <w:t>izveden</w:t>
      </w:r>
      <w:r w:rsidR="00040589">
        <w:rPr>
          <w:rFonts w:eastAsiaTheme="majorEastAsia" w:cstheme="minorHAnsi"/>
          <w:lang w:val="sr-Latn-RS"/>
        </w:rPr>
        <w:t>i</w:t>
      </w:r>
      <w:r w:rsidRPr="00FE6501">
        <w:rPr>
          <w:rFonts w:eastAsiaTheme="majorEastAsia" w:cstheme="minorHAnsi"/>
        </w:rPr>
        <w:t xml:space="preserve"> iz upitnika popunjenih posebno za ovaj izvještaj</w:t>
      </w:r>
      <w:r w:rsidR="002119DE" w:rsidRPr="00FE6501">
        <w:rPr>
          <w:rFonts w:eastAsiaTheme="majorEastAsia" w:cstheme="minorHAnsi"/>
        </w:rPr>
        <w:t>,</w:t>
      </w:r>
      <w:r w:rsidRPr="00FE6501">
        <w:rPr>
          <w:rFonts w:eastAsiaTheme="majorEastAsia" w:cstheme="minorHAnsi"/>
        </w:rPr>
        <w:t xml:space="preserve"> i podržani relevantnim terenskim istraživanjem. </w:t>
      </w:r>
    </w:p>
    <w:p w14:paraId="7A8BF7F0" w14:textId="77777777" w:rsidR="00234729" w:rsidRPr="00FE6501" w:rsidRDefault="00234729" w:rsidP="00234729">
      <w:pPr>
        <w:pStyle w:val="ListParagraph"/>
        <w:spacing w:line="276" w:lineRule="auto"/>
        <w:jc w:val="both"/>
        <w:rPr>
          <w:rFonts w:cstheme="minorHAnsi"/>
          <w:lang w:val="en-US"/>
        </w:rPr>
      </w:pPr>
    </w:p>
    <w:p w14:paraId="16651CF0" w14:textId="77777777" w:rsidR="00234729" w:rsidRPr="00FE6501" w:rsidRDefault="00234729" w:rsidP="00234729">
      <w:pPr>
        <w:spacing w:line="276" w:lineRule="auto"/>
        <w:jc w:val="both"/>
        <w:rPr>
          <w:rFonts w:cstheme="minorHAnsi"/>
          <w:lang w:val="en-US"/>
        </w:rPr>
      </w:pPr>
      <w:r w:rsidRPr="00FE6501">
        <w:rPr>
          <w:rFonts w:eastAsiaTheme="majorEastAsia" w:cstheme="minorHAnsi"/>
        </w:rPr>
        <w:t xml:space="preserve">Metode prikupljanja podataka </w:t>
      </w:r>
    </w:p>
    <w:p w14:paraId="4013E32D" w14:textId="77777777" w:rsidR="00234729" w:rsidRPr="00FE6501" w:rsidRDefault="00234729" w:rsidP="00234729">
      <w:pPr>
        <w:pStyle w:val="ListParagraph"/>
        <w:rPr>
          <w:rFonts w:eastAsiaTheme="majorEastAsia" w:cstheme="minorHAnsi"/>
        </w:rPr>
      </w:pPr>
    </w:p>
    <w:p w14:paraId="41090D82" w14:textId="5606CC77" w:rsidR="00234729" w:rsidRPr="00FE6501" w:rsidRDefault="00234729" w:rsidP="00234729">
      <w:pPr>
        <w:spacing w:line="276" w:lineRule="auto"/>
        <w:jc w:val="both"/>
        <w:rPr>
          <w:rFonts w:eastAsiaTheme="majorEastAsia" w:cstheme="minorHAnsi"/>
        </w:rPr>
      </w:pPr>
      <w:r w:rsidRPr="00FE6501">
        <w:rPr>
          <w:rFonts w:eastAsiaTheme="majorEastAsia" w:cstheme="minorHAnsi"/>
        </w:rPr>
        <w:t xml:space="preserve">Metode prikupljanja podataka koje se primjenjuju za procjenu rezultata, </w:t>
      </w:r>
      <w:r w:rsidR="006C2A25" w:rsidRPr="00FE6501">
        <w:rPr>
          <w:rFonts w:eastAsiaTheme="majorEastAsia" w:cstheme="minorHAnsi"/>
          <w:lang w:val="sr-Latn-RS"/>
        </w:rPr>
        <w:t>mjera</w:t>
      </w:r>
      <w:r w:rsidRPr="00FE6501">
        <w:rPr>
          <w:rFonts w:eastAsiaTheme="majorEastAsia" w:cstheme="minorHAnsi"/>
        </w:rPr>
        <w:t xml:space="preserve"> i </w:t>
      </w:r>
      <w:r w:rsidR="006C2A25" w:rsidRPr="00FE6501">
        <w:rPr>
          <w:rFonts w:eastAsiaTheme="majorEastAsia" w:cstheme="minorHAnsi"/>
          <w:lang w:val="sr-Latn-RS"/>
        </w:rPr>
        <w:t>aktivnosti</w:t>
      </w:r>
      <w:r w:rsidRPr="00FE6501">
        <w:rPr>
          <w:rFonts w:eastAsiaTheme="majorEastAsia" w:cstheme="minorHAnsi"/>
        </w:rPr>
        <w:t xml:space="preserve"> Strategije su: </w:t>
      </w:r>
    </w:p>
    <w:p w14:paraId="36737914" w14:textId="0172BF6C" w:rsidR="00234729" w:rsidRPr="00FE6501" w:rsidRDefault="00F9534B" w:rsidP="00F9534B">
      <w:pPr>
        <w:spacing w:line="276" w:lineRule="auto"/>
        <w:ind w:left="720"/>
        <w:jc w:val="both"/>
        <w:rPr>
          <w:rFonts w:eastAsiaTheme="majorEastAsia" w:cstheme="minorHAnsi"/>
          <w:lang w:val="en-US"/>
        </w:rPr>
      </w:pPr>
      <w:r w:rsidRPr="00FE6501">
        <w:rPr>
          <w:rFonts w:eastAsiaTheme="majorEastAsia" w:cstheme="minorHAnsi"/>
          <w:lang w:val="en-GB"/>
        </w:rPr>
        <w:t>(a</w:t>
      </w:r>
      <w:r w:rsidRPr="00FE6501">
        <w:rPr>
          <w:rFonts w:eastAsiaTheme="majorEastAsia" w:cstheme="minorHAnsi"/>
        </w:rPr>
        <w:t xml:space="preserve">) </w:t>
      </w:r>
      <w:r w:rsidR="00040589">
        <w:rPr>
          <w:rFonts w:eastAsiaTheme="majorEastAsia" w:cstheme="minorHAnsi"/>
          <w:lang w:val="sr-Latn-RS"/>
        </w:rPr>
        <w:t>kancelarijsko istraživanje</w:t>
      </w:r>
      <w:r w:rsidR="00234729" w:rsidRPr="00FE6501">
        <w:rPr>
          <w:rFonts w:eastAsiaTheme="majorEastAsia" w:cstheme="minorHAnsi"/>
        </w:rPr>
        <w:t xml:space="preserve"> i sekundarna analiza prikupljanja podataka strateških dokumenata</w:t>
      </w:r>
      <w:r w:rsidR="00040589">
        <w:rPr>
          <w:rFonts w:eastAsiaTheme="majorEastAsia" w:cstheme="minorHAnsi"/>
          <w:lang w:val="sr-Latn-RS"/>
        </w:rPr>
        <w:t xml:space="preserve"> za periode</w:t>
      </w:r>
      <w:r w:rsidR="00234729" w:rsidRPr="00FE6501">
        <w:rPr>
          <w:rFonts w:eastAsiaTheme="majorEastAsia" w:cstheme="minorHAnsi"/>
        </w:rPr>
        <w:t xml:space="preserve"> 2015-2017 i 2019-2022, </w:t>
      </w:r>
      <w:r w:rsidR="00040589">
        <w:rPr>
          <w:rFonts w:eastAsiaTheme="majorEastAsia" w:cstheme="minorHAnsi"/>
          <w:lang w:val="sr-Latn-RS"/>
        </w:rPr>
        <w:t>G</w:t>
      </w:r>
      <w:r w:rsidR="00234729" w:rsidRPr="00FE6501">
        <w:rPr>
          <w:rFonts w:eastAsiaTheme="majorEastAsia" w:cstheme="minorHAnsi"/>
        </w:rPr>
        <w:t>odišnji izvještaji o napretku, rezultati Twinning light projekta: „Razvoj kapaciteta Služb</w:t>
      </w:r>
      <w:r w:rsidR="00C47DA5">
        <w:rPr>
          <w:rFonts w:eastAsiaTheme="majorEastAsia" w:cstheme="minorHAnsi"/>
          <w:lang w:val="sr-Latn-RS"/>
        </w:rPr>
        <w:t>e</w:t>
      </w:r>
      <w:r w:rsidR="00234729" w:rsidRPr="00FE6501">
        <w:rPr>
          <w:rFonts w:eastAsiaTheme="majorEastAsia" w:cstheme="minorHAnsi"/>
        </w:rPr>
        <w:t xml:space="preserve"> za koordinaciju borbe </w:t>
      </w:r>
      <w:r w:rsidR="00234729" w:rsidRPr="00FE6501">
        <w:rPr>
          <w:rFonts w:eastAsiaTheme="majorEastAsia" w:cstheme="minorHAnsi"/>
        </w:rPr>
        <w:lastRenderedPageBreak/>
        <w:t>protiv prevara (AFCOS), dokumentacij</w:t>
      </w:r>
      <w:r w:rsidR="001B6FA9" w:rsidRPr="00FE6501">
        <w:rPr>
          <w:rFonts w:eastAsiaTheme="majorEastAsia" w:cstheme="minorHAnsi"/>
          <w:lang w:val="sr-Latn-RS"/>
        </w:rPr>
        <w:t>a</w:t>
      </w:r>
      <w:r w:rsidR="00234729" w:rsidRPr="00FE6501">
        <w:rPr>
          <w:rFonts w:eastAsiaTheme="majorEastAsia" w:cstheme="minorHAnsi"/>
        </w:rPr>
        <w:t xml:space="preserve"> o realizaciji mjera</w:t>
      </w:r>
      <w:r w:rsidR="001B6FA9" w:rsidRPr="00FE6501">
        <w:rPr>
          <w:rFonts w:eastAsiaTheme="majorEastAsia" w:cstheme="minorHAnsi"/>
          <w:lang w:val="sr-Latn-RS"/>
        </w:rPr>
        <w:t xml:space="preserve"> i</w:t>
      </w:r>
      <w:r w:rsidR="00234729" w:rsidRPr="00FE6501">
        <w:rPr>
          <w:rFonts w:eastAsiaTheme="majorEastAsia" w:cstheme="minorHAnsi"/>
        </w:rPr>
        <w:t xml:space="preserve"> aktivnosti i relevantn</w:t>
      </w:r>
      <w:r w:rsidR="00C47DA5">
        <w:rPr>
          <w:rFonts w:eastAsiaTheme="majorEastAsia" w:cstheme="minorHAnsi"/>
          <w:lang w:val="sr-Latn-RS"/>
        </w:rPr>
        <w:t>i</w:t>
      </w:r>
      <w:r w:rsidR="00234729" w:rsidRPr="00FE6501">
        <w:rPr>
          <w:rFonts w:eastAsiaTheme="majorEastAsia" w:cstheme="minorHAnsi"/>
        </w:rPr>
        <w:t xml:space="preserve"> izvještaj</w:t>
      </w:r>
      <w:r w:rsidR="00C47DA5">
        <w:rPr>
          <w:rFonts w:eastAsiaTheme="majorEastAsia" w:cstheme="minorHAnsi"/>
          <w:lang w:val="sr-Latn-RS"/>
        </w:rPr>
        <w:t>i</w:t>
      </w:r>
      <w:r w:rsidR="00234729" w:rsidRPr="00FE6501">
        <w:rPr>
          <w:rFonts w:eastAsiaTheme="majorEastAsia" w:cstheme="minorHAnsi"/>
        </w:rPr>
        <w:t>;</w:t>
      </w:r>
      <w:r w:rsidR="00234729" w:rsidRPr="00FE6501">
        <w:rPr>
          <w:rFonts w:eastAsiaTheme="majorEastAsia" w:cstheme="minorHAnsi"/>
          <w:lang w:val="en-US"/>
        </w:rPr>
        <w:t xml:space="preserve"> </w:t>
      </w:r>
    </w:p>
    <w:p w14:paraId="359935B6" w14:textId="331533F0" w:rsidR="00234729" w:rsidRPr="00FE6501" w:rsidRDefault="00774A47" w:rsidP="00234729">
      <w:pPr>
        <w:pStyle w:val="ListParagraph"/>
        <w:spacing w:line="276" w:lineRule="auto"/>
        <w:jc w:val="both"/>
        <w:rPr>
          <w:rFonts w:cstheme="minorHAnsi"/>
          <w:lang w:val="en-US"/>
        </w:rPr>
      </w:pPr>
      <w:r w:rsidRPr="00FE6501">
        <w:rPr>
          <w:rFonts w:cstheme="minorHAnsi"/>
          <w:lang w:val="en-US"/>
        </w:rPr>
        <w:t xml:space="preserve">(b) </w:t>
      </w:r>
      <w:r w:rsidR="00234729" w:rsidRPr="00FE6501">
        <w:rPr>
          <w:rFonts w:cstheme="minorHAnsi"/>
        </w:rPr>
        <w:t xml:space="preserve">Polustrukturirani intervjui korišteni su za validaciju i triangulaciju informacija i nalaza iz </w:t>
      </w:r>
      <w:r w:rsidR="00C47DA5">
        <w:rPr>
          <w:rFonts w:cstheme="minorHAnsi"/>
          <w:lang w:val="sr-Latn-RS"/>
        </w:rPr>
        <w:t>kancelarijskog</w:t>
      </w:r>
      <w:r w:rsidR="00234729" w:rsidRPr="00FE6501">
        <w:rPr>
          <w:rFonts w:cstheme="minorHAnsi"/>
        </w:rPr>
        <w:t xml:space="preserve"> istraživanja. U tom pravcu, alati za prikupljanje podataka korišteni za ove intervjue uključivali su posebne vodiče za intervjue koji su primijenjeni na polustrukturiran način. Pored toga</w:t>
      </w:r>
      <w:r w:rsidR="00C47DA5">
        <w:rPr>
          <w:rFonts w:cstheme="minorHAnsi"/>
          <w:lang w:val="sr-Latn-RS"/>
        </w:rPr>
        <w:t xml:space="preserve">, </w:t>
      </w:r>
      <w:r w:rsidR="00234729" w:rsidRPr="00FE6501">
        <w:rPr>
          <w:rFonts w:cstheme="minorHAnsi"/>
        </w:rPr>
        <w:t>evaluac</w:t>
      </w:r>
      <w:r w:rsidR="00C47DA5">
        <w:rPr>
          <w:rFonts w:cstheme="minorHAnsi"/>
          <w:lang w:val="sr-Latn-RS"/>
        </w:rPr>
        <w:t>ioni tim</w:t>
      </w:r>
      <w:r w:rsidR="00234729" w:rsidRPr="00FE6501">
        <w:rPr>
          <w:rFonts w:cstheme="minorHAnsi"/>
        </w:rPr>
        <w:t xml:space="preserve"> je pripremio i distribuirao upitnike ključnim zainteresovanim stranama i članovima AFCOS mreže. Na osnovu datih odgovora i uz vrijednu pomoć tima AFCOS kancelarije, lični intervjui su održani licem u lice tokom terenskih posjeta u Podgorici i</w:t>
      </w:r>
      <w:r w:rsidR="00234729" w:rsidRPr="00FE6501">
        <w:rPr>
          <w:rFonts w:cstheme="minorHAnsi"/>
          <w:lang w:val="en-US"/>
        </w:rPr>
        <w:t xml:space="preserve"> </w:t>
      </w:r>
    </w:p>
    <w:p w14:paraId="0BB1C15F" w14:textId="77777777" w:rsidR="00F9534B" w:rsidRPr="00FE6501" w:rsidRDefault="00F9534B" w:rsidP="00234729">
      <w:pPr>
        <w:pStyle w:val="ListParagraph"/>
        <w:spacing w:line="276" w:lineRule="auto"/>
        <w:jc w:val="both"/>
        <w:rPr>
          <w:rFonts w:cstheme="minorHAnsi"/>
          <w:lang w:val="en-US"/>
        </w:rPr>
      </w:pPr>
    </w:p>
    <w:p w14:paraId="60EC7904" w14:textId="37F41054" w:rsidR="001B6FA9" w:rsidRPr="00FE6501" w:rsidRDefault="00774A47" w:rsidP="00F9534B">
      <w:pPr>
        <w:pStyle w:val="ListParagraph"/>
        <w:spacing w:line="276" w:lineRule="auto"/>
        <w:jc w:val="both"/>
        <w:rPr>
          <w:rFonts w:cstheme="minorHAnsi"/>
        </w:rPr>
      </w:pPr>
      <w:r w:rsidRPr="00FE6501">
        <w:rPr>
          <w:rFonts w:cstheme="minorHAnsi"/>
          <w:lang w:val="en-US"/>
        </w:rPr>
        <w:t xml:space="preserve">(c) </w:t>
      </w:r>
      <w:r w:rsidR="00F9534B" w:rsidRPr="00FE6501">
        <w:rPr>
          <w:rFonts w:cstheme="minorHAnsi"/>
        </w:rPr>
        <w:t xml:space="preserve">Terenske posjete dale su priliku evaluacionom timu da sasluša mišljenja ključnih </w:t>
      </w:r>
      <w:r w:rsidR="00C47DA5">
        <w:rPr>
          <w:rFonts w:cstheme="minorHAnsi"/>
          <w:lang w:val="sr-Latn-RS"/>
        </w:rPr>
        <w:t>predstavnika zainteresovanih strana</w:t>
      </w:r>
      <w:r w:rsidR="00F9534B" w:rsidRPr="00FE6501">
        <w:rPr>
          <w:rFonts w:cstheme="minorHAnsi"/>
        </w:rPr>
        <w:t xml:space="preserve"> o uticaju, relevantnosti i djelotvornosti Strategije, kao i da izvu</w:t>
      </w:r>
      <w:r w:rsidR="00C47DA5">
        <w:rPr>
          <w:rFonts w:cstheme="minorHAnsi"/>
          <w:lang w:val="sr-Latn-RS"/>
        </w:rPr>
        <w:t>ku</w:t>
      </w:r>
      <w:r w:rsidR="00F9534B" w:rsidRPr="00FE6501">
        <w:rPr>
          <w:rFonts w:cstheme="minorHAnsi"/>
        </w:rPr>
        <w:t xml:space="preserve"> vrijedne zaključke iz direktnog posmatranja modus operandi crnogorske javne uprave.</w:t>
      </w:r>
    </w:p>
    <w:p w14:paraId="08C9282A" w14:textId="77777777" w:rsidR="001B6FA9" w:rsidRPr="00FE6501" w:rsidRDefault="001B6FA9" w:rsidP="00F9534B">
      <w:pPr>
        <w:pStyle w:val="ListParagraph"/>
        <w:spacing w:line="276" w:lineRule="auto"/>
        <w:jc w:val="both"/>
        <w:rPr>
          <w:rFonts w:cstheme="minorHAnsi"/>
        </w:rPr>
      </w:pPr>
    </w:p>
    <w:p w14:paraId="04D9995A" w14:textId="77777777" w:rsidR="001B6FA9" w:rsidRPr="00FE6501" w:rsidRDefault="001B6FA9" w:rsidP="00F9534B">
      <w:pPr>
        <w:pStyle w:val="ListParagraph"/>
        <w:spacing w:line="276" w:lineRule="auto"/>
        <w:jc w:val="both"/>
        <w:rPr>
          <w:rFonts w:cstheme="minorHAnsi"/>
        </w:rPr>
      </w:pPr>
    </w:p>
    <w:p w14:paraId="7AE71750" w14:textId="77777777" w:rsidR="001B6FA9" w:rsidRPr="00FE6501" w:rsidRDefault="00F9534B" w:rsidP="001B6FA9">
      <w:pPr>
        <w:pStyle w:val="ListParagraph"/>
        <w:spacing w:line="276" w:lineRule="auto"/>
        <w:ind w:left="0"/>
        <w:jc w:val="both"/>
        <w:rPr>
          <w:rFonts w:cstheme="minorHAnsi"/>
          <w:b/>
          <w:color w:val="002060"/>
        </w:rPr>
      </w:pPr>
      <w:r w:rsidRPr="00FE6501">
        <w:rPr>
          <w:rFonts w:cstheme="minorHAnsi"/>
          <w:b/>
          <w:color w:val="002060"/>
        </w:rPr>
        <w:t>Ograničenja evaluacije</w:t>
      </w:r>
    </w:p>
    <w:p w14:paraId="6ED9E6CA" w14:textId="77777777" w:rsidR="001B6FA9" w:rsidRPr="00FE6501" w:rsidRDefault="001B6FA9" w:rsidP="001B6FA9">
      <w:pPr>
        <w:pStyle w:val="ListParagraph"/>
        <w:spacing w:line="276" w:lineRule="auto"/>
        <w:ind w:left="0"/>
        <w:jc w:val="both"/>
        <w:rPr>
          <w:rFonts w:cstheme="minorHAnsi"/>
        </w:rPr>
      </w:pPr>
    </w:p>
    <w:p w14:paraId="32149439" w14:textId="5E1D359C" w:rsidR="001B6FA9" w:rsidRPr="00FE6501" w:rsidRDefault="00F9534B" w:rsidP="001B6FA9">
      <w:pPr>
        <w:pStyle w:val="ListParagraph"/>
        <w:spacing w:line="276" w:lineRule="auto"/>
        <w:ind w:left="0"/>
        <w:jc w:val="both"/>
        <w:rPr>
          <w:rFonts w:cstheme="minorHAnsi"/>
        </w:rPr>
      </w:pPr>
      <w:r w:rsidRPr="00FE6501">
        <w:rPr>
          <w:rFonts w:cstheme="minorHAnsi"/>
        </w:rPr>
        <w:t xml:space="preserve"> Glavna ograničenja koja su uticala na ovaj izvještaj su: </w:t>
      </w:r>
    </w:p>
    <w:p w14:paraId="219E9789" w14:textId="77777777" w:rsidR="001B6FA9" w:rsidRPr="00FE6501" w:rsidRDefault="001B6FA9" w:rsidP="001B6FA9">
      <w:pPr>
        <w:pStyle w:val="ListParagraph"/>
        <w:spacing w:line="276" w:lineRule="auto"/>
        <w:ind w:left="0"/>
        <w:jc w:val="both"/>
        <w:rPr>
          <w:rFonts w:cstheme="minorHAnsi"/>
        </w:rPr>
      </w:pPr>
    </w:p>
    <w:p w14:paraId="77870AC0" w14:textId="5AC9CD9A" w:rsidR="001B6FA9" w:rsidRPr="00FE6501" w:rsidRDefault="00F9534B" w:rsidP="001B6FA9">
      <w:pPr>
        <w:pStyle w:val="ListParagraph"/>
        <w:numPr>
          <w:ilvl w:val="0"/>
          <w:numId w:val="19"/>
        </w:numPr>
        <w:spacing w:line="276" w:lineRule="auto"/>
        <w:jc w:val="both"/>
        <w:rPr>
          <w:rFonts w:cstheme="minorHAnsi"/>
        </w:rPr>
      </w:pPr>
      <w:r w:rsidRPr="00FE6501">
        <w:rPr>
          <w:rFonts w:cstheme="minorHAnsi"/>
        </w:rPr>
        <w:t xml:space="preserve">Nedostatak dostupnosti, uglavnom pokazatelja </w:t>
      </w:r>
      <w:r w:rsidR="00023B4F">
        <w:rPr>
          <w:rFonts w:cstheme="minorHAnsi"/>
          <w:lang w:val="sr-Latn-RS"/>
        </w:rPr>
        <w:t>ishoda</w:t>
      </w:r>
      <w:r w:rsidRPr="00FE6501">
        <w:rPr>
          <w:rFonts w:cstheme="minorHAnsi"/>
        </w:rPr>
        <w:t xml:space="preserve"> i mjerljivih rezultata, u pogledu realizacije aktivnosti i postizanja ciljeva, </w:t>
      </w:r>
    </w:p>
    <w:p w14:paraId="3F023A95" w14:textId="2A6BDBA7" w:rsidR="00F9534B" w:rsidRPr="00FE6501" w:rsidRDefault="00F9534B" w:rsidP="001B6FA9">
      <w:pPr>
        <w:pStyle w:val="ListParagraph"/>
        <w:numPr>
          <w:ilvl w:val="0"/>
          <w:numId w:val="19"/>
        </w:numPr>
        <w:spacing w:line="276" w:lineRule="auto"/>
        <w:jc w:val="both"/>
        <w:rPr>
          <w:rFonts w:cstheme="minorHAnsi"/>
        </w:rPr>
      </w:pPr>
      <w:r w:rsidRPr="00FE6501">
        <w:rPr>
          <w:rFonts w:cstheme="minorHAnsi"/>
        </w:rPr>
        <w:t>Ograničenja vezana za prikupljanje podataka putem intervjua i popunjenih upitnika zbog imenovanja u nekim slučajevima kontakt osoba sa malo ili nimalo poznavanja Strategije (novoimenovan</w:t>
      </w:r>
      <w:r w:rsidR="00023B4F">
        <w:rPr>
          <w:rFonts w:cstheme="minorHAnsi"/>
          <w:lang w:val="sr-Latn-RS"/>
        </w:rPr>
        <w:t>i zaposleni</w:t>
      </w:r>
      <w:r w:rsidRPr="00FE6501">
        <w:rPr>
          <w:rFonts w:cstheme="minorHAnsi"/>
        </w:rPr>
        <w:t>/nedavno premešten</w:t>
      </w:r>
      <w:r w:rsidR="00023B4F">
        <w:rPr>
          <w:rFonts w:cstheme="minorHAnsi"/>
          <w:lang w:val="sr-Latn-RS"/>
        </w:rPr>
        <w:t>i na to radno mjesto</w:t>
      </w:r>
      <w:r w:rsidRPr="00FE6501">
        <w:rPr>
          <w:rFonts w:cstheme="minorHAnsi"/>
        </w:rPr>
        <w:t>).</w:t>
      </w:r>
    </w:p>
    <w:p w14:paraId="14E52B80" w14:textId="77777777" w:rsidR="00F9534B" w:rsidRPr="00FE6501" w:rsidRDefault="00F9534B" w:rsidP="00F9534B">
      <w:pPr>
        <w:pStyle w:val="ListParagraph"/>
        <w:spacing w:line="276" w:lineRule="auto"/>
        <w:jc w:val="both"/>
        <w:rPr>
          <w:rFonts w:cstheme="minorHAnsi"/>
          <w:b/>
          <w:lang w:val="en-US"/>
        </w:rPr>
      </w:pPr>
    </w:p>
    <w:p w14:paraId="5EC0E9A8" w14:textId="06D664CC" w:rsidR="00F9534B" w:rsidRDefault="00F9534B" w:rsidP="00F9534B">
      <w:pPr>
        <w:pStyle w:val="ListParagraph"/>
        <w:spacing w:line="276" w:lineRule="auto"/>
        <w:jc w:val="both"/>
        <w:rPr>
          <w:rFonts w:cstheme="minorHAnsi"/>
          <w:b/>
          <w:lang w:val="en-US"/>
        </w:rPr>
      </w:pPr>
    </w:p>
    <w:p w14:paraId="69E59264" w14:textId="272DED95" w:rsidR="00023B4F" w:rsidRDefault="00023B4F" w:rsidP="00F9534B">
      <w:pPr>
        <w:pStyle w:val="ListParagraph"/>
        <w:spacing w:line="276" w:lineRule="auto"/>
        <w:jc w:val="both"/>
        <w:rPr>
          <w:rFonts w:cstheme="minorHAnsi"/>
          <w:b/>
          <w:lang w:val="en-US"/>
        </w:rPr>
      </w:pPr>
    </w:p>
    <w:p w14:paraId="28002C25" w14:textId="29AA5811" w:rsidR="00023B4F" w:rsidRDefault="00023B4F" w:rsidP="00F9534B">
      <w:pPr>
        <w:pStyle w:val="ListParagraph"/>
        <w:spacing w:line="276" w:lineRule="auto"/>
        <w:jc w:val="both"/>
        <w:rPr>
          <w:rFonts w:cstheme="minorHAnsi"/>
          <w:b/>
          <w:lang w:val="en-US"/>
        </w:rPr>
      </w:pPr>
    </w:p>
    <w:p w14:paraId="070148BD" w14:textId="575035DA" w:rsidR="00023B4F" w:rsidRDefault="00023B4F" w:rsidP="00F9534B">
      <w:pPr>
        <w:pStyle w:val="ListParagraph"/>
        <w:spacing w:line="276" w:lineRule="auto"/>
        <w:jc w:val="both"/>
        <w:rPr>
          <w:rFonts w:cstheme="minorHAnsi"/>
          <w:b/>
          <w:lang w:val="en-US"/>
        </w:rPr>
      </w:pPr>
    </w:p>
    <w:p w14:paraId="3B2ED911" w14:textId="0F4A3819" w:rsidR="00023B4F" w:rsidRDefault="00023B4F" w:rsidP="00F9534B">
      <w:pPr>
        <w:pStyle w:val="ListParagraph"/>
        <w:spacing w:line="276" w:lineRule="auto"/>
        <w:jc w:val="both"/>
        <w:rPr>
          <w:rFonts w:cstheme="minorHAnsi"/>
          <w:b/>
          <w:lang w:val="en-US"/>
        </w:rPr>
      </w:pPr>
    </w:p>
    <w:p w14:paraId="2D56BF2C" w14:textId="73F0B547" w:rsidR="00023B4F" w:rsidRDefault="00023B4F" w:rsidP="00F9534B">
      <w:pPr>
        <w:pStyle w:val="ListParagraph"/>
        <w:spacing w:line="276" w:lineRule="auto"/>
        <w:jc w:val="both"/>
        <w:rPr>
          <w:rFonts w:cstheme="minorHAnsi"/>
          <w:b/>
          <w:lang w:val="en-US"/>
        </w:rPr>
      </w:pPr>
    </w:p>
    <w:p w14:paraId="74674AC4" w14:textId="39AC49A6" w:rsidR="00023B4F" w:rsidRDefault="00023B4F" w:rsidP="00F9534B">
      <w:pPr>
        <w:pStyle w:val="ListParagraph"/>
        <w:spacing w:line="276" w:lineRule="auto"/>
        <w:jc w:val="both"/>
        <w:rPr>
          <w:rFonts w:cstheme="minorHAnsi"/>
          <w:b/>
          <w:lang w:val="en-US"/>
        </w:rPr>
      </w:pPr>
    </w:p>
    <w:p w14:paraId="2192364E" w14:textId="013A0F61" w:rsidR="00023B4F" w:rsidRDefault="00023B4F" w:rsidP="00F9534B">
      <w:pPr>
        <w:pStyle w:val="ListParagraph"/>
        <w:spacing w:line="276" w:lineRule="auto"/>
        <w:jc w:val="both"/>
        <w:rPr>
          <w:rFonts w:cstheme="minorHAnsi"/>
          <w:b/>
          <w:lang w:val="en-US"/>
        </w:rPr>
      </w:pPr>
    </w:p>
    <w:p w14:paraId="2B6CA2D4" w14:textId="01AF6767" w:rsidR="00023B4F" w:rsidRDefault="00023B4F" w:rsidP="00F9534B">
      <w:pPr>
        <w:pStyle w:val="ListParagraph"/>
        <w:spacing w:line="276" w:lineRule="auto"/>
        <w:jc w:val="both"/>
        <w:rPr>
          <w:rFonts w:cstheme="minorHAnsi"/>
          <w:b/>
          <w:lang w:val="en-US"/>
        </w:rPr>
      </w:pPr>
    </w:p>
    <w:p w14:paraId="411E84DD" w14:textId="4ADBFB73" w:rsidR="00023B4F" w:rsidRDefault="00023B4F" w:rsidP="00F9534B">
      <w:pPr>
        <w:pStyle w:val="ListParagraph"/>
        <w:spacing w:line="276" w:lineRule="auto"/>
        <w:jc w:val="both"/>
        <w:rPr>
          <w:rFonts w:cstheme="minorHAnsi"/>
          <w:b/>
          <w:lang w:val="en-US"/>
        </w:rPr>
      </w:pPr>
    </w:p>
    <w:p w14:paraId="744A45D0" w14:textId="60653100" w:rsidR="00023B4F" w:rsidRDefault="00023B4F" w:rsidP="00F9534B">
      <w:pPr>
        <w:pStyle w:val="ListParagraph"/>
        <w:spacing w:line="276" w:lineRule="auto"/>
        <w:jc w:val="both"/>
        <w:rPr>
          <w:rFonts w:cstheme="minorHAnsi"/>
          <w:b/>
          <w:lang w:val="en-US"/>
        </w:rPr>
      </w:pPr>
    </w:p>
    <w:p w14:paraId="2515B155" w14:textId="4C40C5AC" w:rsidR="00023B4F" w:rsidRDefault="00023B4F" w:rsidP="00F9534B">
      <w:pPr>
        <w:pStyle w:val="ListParagraph"/>
        <w:spacing w:line="276" w:lineRule="auto"/>
        <w:jc w:val="both"/>
        <w:rPr>
          <w:rFonts w:cstheme="minorHAnsi"/>
          <w:b/>
          <w:lang w:val="en-US"/>
        </w:rPr>
      </w:pPr>
    </w:p>
    <w:p w14:paraId="6BEC2F5F" w14:textId="5EE2522F" w:rsidR="00023B4F" w:rsidRDefault="00023B4F" w:rsidP="00F9534B">
      <w:pPr>
        <w:pStyle w:val="ListParagraph"/>
        <w:spacing w:line="276" w:lineRule="auto"/>
        <w:jc w:val="both"/>
        <w:rPr>
          <w:rFonts w:cstheme="minorHAnsi"/>
          <w:b/>
          <w:lang w:val="en-US"/>
        </w:rPr>
      </w:pPr>
    </w:p>
    <w:p w14:paraId="2B77CCE3" w14:textId="2DFBE4F3" w:rsidR="00023B4F" w:rsidRDefault="00023B4F" w:rsidP="00F9534B">
      <w:pPr>
        <w:pStyle w:val="ListParagraph"/>
        <w:spacing w:line="276" w:lineRule="auto"/>
        <w:jc w:val="both"/>
        <w:rPr>
          <w:rFonts w:cstheme="minorHAnsi"/>
          <w:b/>
          <w:lang w:val="en-US"/>
        </w:rPr>
      </w:pPr>
    </w:p>
    <w:p w14:paraId="338B18DE" w14:textId="7A45C746" w:rsidR="00023B4F" w:rsidRDefault="00023B4F" w:rsidP="00F9534B">
      <w:pPr>
        <w:pStyle w:val="ListParagraph"/>
        <w:spacing w:line="276" w:lineRule="auto"/>
        <w:jc w:val="both"/>
        <w:rPr>
          <w:rFonts w:cstheme="minorHAnsi"/>
          <w:b/>
          <w:lang w:val="en-US"/>
        </w:rPr>
      </w:pPr>
    </w:p>
    <w:p w14:paraId="61FAC555" w14:textId="6C714649" w:rsidR="00023B4F" w:rsidRDefault="00023B4F" w:rsidP="00F9534B">
      <w:pPr>
        <w:pStyle w:val="ListParagraph"/>
        <w:spacing w:line="276" w:lineRule="auto"/>
        <w:jc w:val="both"/>
        <w:rPr>
          <w:rFonts w:cstheme="minorHAnsi"/>
          <w:b/>
          <w:lang w:val="en-US"/>
        </w:rPr>
      </w:pPr>
    </w:p>
    <w:p w14:paraId="50A25AC0" w14:textId="7F8057E1" w:rsidR="00023B4F" w:rsidRDefault="00023B4F" w:rsidP="00F9534B">
      <w:pPr>
        <w:pStyle w:val="ListParagraph"/>
        <w:spacing w:line="276" w:lineRule="auto"/>
        <w:jc w:val="both"/>
        <w:rPr>
          <w:rFonts w:cstheme="minorHAnsi"/>
          <w:b/>
          <w:lang w:val="en-US"/>
        </w:rPr>
      </w:pPr>
    </w:p>
    <w:p w14:paraId="789E15E1" w14:textId="77777777" w:rsidR="00472366" w:rsidRDefault="00472366" w:rsidP="00472366">
      <w:pPr>
        <w:spacing w:line="276" w:lineRule="auto"/>
        <w:jc w:val="both"/>
        <w:rPr>
          <w:rFonts w:cstheme="minorHAnsi"/>
          <w:b/>
          <w:lang w:val="en-US"/>
        </w:rPr>
      </w:pPr>
    </w:p>
    <w:p w14:paraId="5FB30642" w14:textId="04958F10" w:rsidR="00FA2978" w:rsidRPr="00472366" w:rsidRDefault="00FA2978" w:rsidP="00472366">
      <w:pPr>
        <w:spacing w:line="276" w:lineRule="auto"/>
        <w:jc w:val="both"/>
        <w:rPr>
          <w:rFonts w:cstheme="minorHAnsi"/>
          <w:b/>
          <w:lang w:val="en-US"/>
        </w:rPr>
      </w:pPr>
      <w:r w:rsidRPr="00472366">
        <w:rPr>
          <w:rFonts w:cstheme="minorHAnsi"/>
          <w:b/>
          <w:lang w:val="en-US"/>
        </w:rPr>
        <w:lastRenderedPageBreak/>
        <w:t xml:space="preserve">2. </w:t>
      </w:r>
      <w:r w:rsidR="00DE341D" w:rsidRPr="00472366">
        <w:rPr>
          <w:rFonts w:cstheme="minorHAnsi"/>
          <w:b/>
          <w:lang w:val="en-US"/>
        </w:rPr>
        <w:t>B</w:t>
      </w:r>
      <w:r w:rsidR="00EE5854" w:rsidRPr="00472366">
        <w:rPr>
          <w:rFonts w:cstheme="minorHAnsi"/>
          <w:b/>
          <w:lang w:val="en-US"/>
        </w:rPr>
        <w:t>ackground</w:t>
      </w:r>
      <w:r w:rsidR="00DE341D" w:rsidRPr="00472366">
        <w:rPr>
          <w:rFonts w:cstheme="minorHAnsi"/>
          <w:b/>
          <w:lang w:val="en-US"/>
        </w:rPr>
        <w:t xml:space="preserve"> </w:t>
      </w:r>
    </w:p>
    <w:p w14:paraId="25216063" w14:textId="7803C34A" w:rsidR="00023B4F" w:rsidRDefault="00B15355" w:rsidP="00E63F8E">
      <w:pPr>
        <w:spacing w:after="120" w:line="276" w:lineRule="auto"/>
        <w:jc w:val="both"/>
        <w:rPr>
          <w:rFonts w:cstheme="minorHAnsi"/>
        </w:rPr>
      </w:pPr>
      <w:r w:rsidRPr="00FE6501">
        <w:rPr>
          <w:rFonts w:cstheme="minorHAnsi"/>
        </w:rPr>
        <w:t>Evropska unija je 2003. godine ponovila svoju "nedvosmislenu podršku evropskoj perspektivi zemalja zapadnog Balkana" i svoje uvjerenje da je "budućnost Balkana unutar Evropske unije"</w:t>
      </w:r>
      <w:r w:rsidR="00AE0164">
        <w:rPr>
          <w:rStyle w:val="FootnoteReference"/>
          <w:rFonts w:cstheme="minorHAnsi"/>
        </w:rPr>
        <w:footnoteReference w:id="1"/>
      </w:r>
      <w:r w:rsidRPr="00FE6501">
        <w:rPr>
          <w:rFonts w:cstheme="minorHAnsi"/>
        </w:rPr>
        <w:t xml:space="preserve">. U svjetlu ovoga, evropsku perspektivu Crne Gore reafirmisao je Savjet EU u junu 2006. godine, ubrzo nakon sticanja nezavisnosti zemlje od Državne zajednice Srbija i Crna Gora. Crna Gora je 15. oktobra 2007. godine potpisala Sporazum o stabilizaciji i pridruživanju (SSP), kojim je država formalno pristala na pridruživanje EU, čime je preuzela odgovornost za svoju evropsku budućnost. </w:t>
      </w:r>
    </w:p>
    <w:p w14:paraId="7843664B" w14:textId="77777777" w:rsidR="00023B4F" w:rsidRDefault="00B15355" w:rsidP="00E63F8E">
      <w:pPr>
        <w:spacing w:after="120" w:line="276" w:lineRule="auto"/>
        <w:jc w:val="both"/>
        <w:rPr>
          <w:rFonts w:cstheme="minorHAnsi"/>
        </w:rPr>
      </w:pPr>
      <w:r w:rsidRPr="00FE6501">
        <w:rPr>
          <w:rFonts w:cstheme="minorHAnsi"/>
        </w:rPr>
        <w:t xml:space="preserve">Crna Gora je 2008. godine podnijela zahtjev za članstvo u EU i dobila status zemlje kandidata u decembru 2010. godine. Pregovori o pristupanju počeli su u junu 2012. godine, nakon čega je uslijedio dinamičan proces za ispunjavanje zahtjeva EU i </w:t>
      </w:r>
      <w:r w:rsidR="001D5C5E" w:rsidRPr="00FE6501">
        <w:rPr>
          <w:rFonts w:cstheme="minorHAnsi"/>
          <w:lang w:val="sr-Latn-RS"/>
        </w:rPr>
        <w:t>usklađivanje</w:t>
      </w:r>
      <w:r w:rsidRPr="00FE6501">
        <w:rPr>
          <w:rFonts w:cstheme="minorHAnsi"/>
        </w:rPr>
        <w:t xml:space="preserve"> vrijednosti, standarda, prava i obaveza EU </w:t>
      </w:r>
      <w:r w:rsidR="001D5C5E" w:rsidRPr="00FE6501">
        <w:rPr>
          <w:rFonts w:cstheme="minorHAnsi"/>
          <w:lang w:val="sr-Latn-RS"/>
        </w:rPr>
        <w:t>sa</w:t>
      </w:r>
      <w:r w:rsidRPr="00FE6501">
        <w:rPr>
          <w:rFonts w:cstheme="minorHAnsi"/>
        </w:rPr>
        <w:t xml:space="preserve"> propisano</w:t>
      </w:r>
      <w:r w:rsidR="001D5C5E" w:rsidRPr="00FE6501">
        <w:rPr>
          <w:rFonts w:cstheme="minorHAnsi"/>
          <w:lang w:val="sr-Latn-RS"/>
        </w:rPr>
        <w:t>m</w:t>
      </w:r>
      <w:r w:rsidRPr="00FE6501">
        <w:rPr>
          <w:rFonts w:cstheme="minorHAnsi"/>
        </w:rPr>
        <w:t xml:space="preserve"> pravnom tekovinom EU. Do sada su od ukupno 35 pregovaračkih poglavlja pravne tekovine EU otvorena za pregovore </w:t>
      </w:r>
      <w:r w:rsidR="001D5C5E" w:rsidRPr="00FE6501">
        <w:rPr>
          <w:rFonts w:cstheme="minorHAnsi"/>
          <w:lang w:val="sr-Latn-RS"/>
        </w:rPr>
        <w:t xml:space="preserve">njih </w:t>
      </w:r>
      <w:r w:rsidRPr="00FE6501">
        <w:rPr>
          <w:rFonts w:cstheme="minorHAnsi"/>
        </w:rPr>
        <w:t xml:space="preserve">33, od kojih su tri već privremeno zatvorena. </w:t>
      </w:r>
    </w:p>
    <w:p w14:paraId="57D9C910" w14:textId="124D0C21" w:rsidR="00B15355" w:rsidRPr="00FE6501" w:rsidRDefault="00B15355" w:rsidP="00E63F8E">
      <w:pPr>
        <w:spacing w:after="120" w:line="276" w:lineRule="auto"/>
        <w:jc w:val="both"/>
        <w:rPr>
          <w:rFonts w:cstheme="minorHAnsi"/>
        </w:rPr>
      </w:pPr>
      <w:r w:rsidRPr="00FE6501">
        <w:rPr>
          <w:rFonts w:cstheme="minorHAnsi"/>
        </w:rPr>
        <w:t xml:space="preserve">S tim u vezi, Poglavlje 32 je otvoreno za Crnu Goru na Međuvladinoj konferenciji 24. juna 2014. Acquis o zaštiti finansijskih interesa EU dio je 3. mjerila poglavlja 32 – Finansijska kontrola, koje pokriva četiri glavne oblasti: interna finansijska kontrola (PIFC), eksterna revizija, zaštita finansijskih interesa EU i zaštita eura od </w:t>
      </w:r>
      <w:r w:rsidR="001D5C5E" w:rsidRPr="00FE6501">
        <w:rPr>
          <w:rFonts w:cstheme="minorHAnsi"/>
          <w:lang w:val="sr-Latn-RS"/>
        </w:rPr>
        <w:t>falsifikova</w:t>
      </w:r>
      <w:r w:rsidRPr="00FE6501">
        <w:rPr>
          <w:rFonts w:cstheme="minorHAnsi"/>
        </w:rPr>
        <w:t xml:space="preserve">nja. U tom </w:t>
      </w:r>
      <w:r w:rsidR="00D705BB" w:rsidRPr="00FE6501">
        <w:rPr>
          <w:rFonts w:cstheme="minorHAnsi"/>
          <w:lang w:val="sr-Latn-RS"/>
        </w:rPr>
        <w:t>dijelu</w:t>
      </w:r>
      <w:r w:rsidRPr="00FE6501">
        <w:rPr>
          <w:rFonts w:cstheme="minorHAnsi"/>
        </w:rPr>
        <w:t xml:space="preserve"> od zemlje se tražilo da</w:t>
      </w:r>
      <w:r w:rsidR="002C756D">
        <w:rPr>
          <w:rFonts w:cstheme="minorHAnsi"/>
          <w:lang w:val="sr-Latn-RS"/>
        </w:rPr>
        <w:t>:</w:t>
      </w:r>
      <w:r w:rsidRPr="00FE6501">
        <w:rPr>
          <w:rFonts w:cstheme="minorHAnsi"/>
        </w:rPr>
        <w:t xml:space="preserve"> </w:t>
      </w:r>
      <w:r w:rsidR="002C756D">
        <w:rPr>
          <w:rFonts w:cstheme="minorHAnsi"/>
          <w:lang w:val="sr-Latn-RS"/>
        </w:rPr>
        <w:t>a</w:t>
      </w:r>
      <w:r w:rsidRPr="00FE6501">
        <w:rPr>
          <w:rFonts w:cstheme="minorHAnsi"/>
        </w:rPr>
        <w:t xml:space="preserve">) uspostavi čvrst pravni i institucionalni okvir za zaštitu finansijskih interesa EU, </w:t>
      </w:r>
      <w:r w:rsidR="002C756D">
        <w:rPr>
          <w:rFonts w:cstheme="minorHAnsi"/>
          <w:lang w:val="sr-Latn-RS"/>
        </w:rPr>
        <w:t>b</w:t>
      </w:r>
      <w:r w:rsidRPr="00FE6501">
        <w:rPr>
          <w:rFonts w:cstheme="minorHAnsi"/>
        </w:rPr>
        <w:t>) omogući administrativne istrage od strane istražitelja Evropsk</w:t>
      </w:r>
      <w:r w:rsidR="00023B4F">
        <w:rPr>
          <w:rFonts w:cstheme="minorHAnsi"/>
          <w:lang w:val="sr-Latn-RS"/>
        </w:rPr>
        <w:t>e kancelarije</w:t>
      </w:r>
      <w:r w:rsidRPr="00FE6501">
        <w:rPr>
          <w:rFonts w:cstheme="minorHAnsi"/>
        </w:rPr>
        <w:t xml:space="preserve"> za borbu protiv prevara (u daljem tekstu: OLAF) i </w:t>
      </w:r>
      <w:r w:rsidR="002C756D">
        <w:rPr>
          <w:rFonts w:cstheme="minorHAnsi"/>
          <w:lang w:val="sr-Latn-RS"/>
        </w:rPr>
        <w:t>c</w:t>
      </w:r>
      <w:r w:rsidRPr="00FE6501">
        <w:rPr>
          <w:rFonts w:cstheme="minorHAnsi"/>
        </w:rPr>
        <w:t xml:space="preserve">) usaglasi Krivični zakonik Crne Gore kako bi se obezbijedilo odgovarajuće sankcionisanje krivičnih djela </w:t>
      </w:r>
      <w:r w:rsidR="00D705BB" w:rsidRPr="00FE6501">
        <w:rPr>
          <w:rFonts w:cstheme="minorHAnsi"/>
          <w:lang w:val="sr-Latn-RS"/>
        </w:rPr>
        <w:t>na štetu</w:t>
      </w:r>
      <w:r w:rsidRPr="00FE6501">
        <w:rPr>
          <w:rFonts w:cstheme="minorHAnsi"/>
        </w:rPr>
        <w:t xml:space="preserve"> finansijskih interesa EU.</w:t>
      </w:r>
    </w:p>
    <w:p w14:paraId="1F63B38F" w14:textId="63FBB174" w:rsidR="00B15355" w:rsidRPr="00FE6501" w:rsidRDefault="00B15355" w:rsidP="00E63F8E">
      <w:pPr>
        <w:spacing w:after="120" w:line="276" w:lineRule="auto"/>
        <w:jc w:val="both"/>
        <w:rPr>
          <w:rFonts w:cstheme="minorHAnsi"/>
        </w:rPr>
      </w:pPr>
      <w:r w:rsidRPr="00FE6501">
        <w:rPr>
          <w:rFonts w:cstheme="minorHAnsi"/>
        </w:rPr>
        <w:t>Efikasno finansijsko upravljanje resursima EU je od posebnog interesa za Crnu Goru. Od SSP-a, zemlja je postala korisnik Programa pretpristupne pomoći (IPA) koji dodjeljuje sredstva EU u cilju pružanja finansijske i tehničke pomoći zemljama kandidatima u procesu priprema za punopravno članstvo u E</w:t>
      </w:r>
      <w:r w:rsidR="00686588">
        <w:rPr>
          <w:rFonts w:cstheme="minorHAnsi"/>
          <w:lang w:val="sr-Latn-RS"/>
        </w:rPr>
        <w:t>U</w:t>
      </w:r>
      <w:r w:rsidRPr="00FE6501">
        <w:rPr>
          <w:rFonts w:cstheme="minorHAnsi"/>
        </w:rPr>
        <w:t xml:space="preserve">. EU je izrasla u najvećeg donatora Crne Gore i njenog glavnog partnera u pružanju finansijske i tehničke podrške tekućim reformama i razvoju nacije, obezbjeđujući više od 620 miliona eura bespovratne pomoći od 2007. godine. U okviru ovog spektra, Crna Gora je preuzela obavezu da obezbijedi pravni okvir kojim se uspostavlja adekvatna institucionalna struktura u cilju razvoja administrativnih kapaciteta neophodnih za primjenu acquis communautaire, uključujući kapacitet zakonodavnih i pravosudnih </w:t>
      </w:r>
      <w:r w:rsidR="00D705BB" w:rsidRPr="00FE6501">
        <w:rPr>
          <w:rFonts w:cstheme="minorHAnsi"/>
          <w:lang w:val="sr-Latn-RS"/>
        </w:rPr>
        <w:t>institucij</w:t>
      </w:r>
      <w:r w:rsidRPr="00FE6501">
        <w:rPr>
          <w:rFonts w:cstheme="minorHAnsi"/>
        </w:rPr>
        <w:t>a da odgovore na slučajeve u kojima su finansijski interesi EU ugroženi.</w:t>
      </w:r>
    </w:p>
    <w:p w14:paraId="090D07D5" w14:textId="4A19AFAB" w:rsidR="00B15355" w:rsidRPr="00D35559" w:rsidRDefault="00D705BB" w:rsidP="00D35559">
      <w:pPr>
        <w:spacing w:before="120" w:after="120" w:line="276" w:lineRule="auto"/>
        <w:jc w:val="both"/>
        <w:rPr>
          <w:rFonts w:cstheme="minorHAnsi"/>
          <w:lang w:eastAsia="ja-JP"/>
        </w:rPr>
      </w:pPr>
      <w:r w:rsidRPr="006319B0">
        <w:rPr>
          <w:rFonts w:cstheme="minorHAnsi"/>
          <w:lang w:val="sr-Latn-RS"/>
        </w:rPr>
        <w:t>U skladu s tim</w:t>
      </w:r>
      <w:r w:rsidR="00B15355" w:rsidRPr="006319B0">
        <w:rPr>
          <w:rFonts w:cstheme="minorHAnsi"/>
        </w:rPr>
        <w:t xml:space="preserve">, u okviru pretpristupnih pregovora i u skladu sa </w:t>
      </w:r>
      <w:r w:rsidRPr="006319B0">
        <w:rPr>
          <w:rFonts w:cstheme="minorHAnsi"/>
          <w:lang w:val="sr-Latn-RS"/>
        </w:rPr>
        <w:t>zakonodavnim</w:t>
      </w:r>
      <w:r w:rsidR="00B15355" w:rsidRPr="006319B0">
        <w:rPr>
          <w:rFonts w:cstheme="minorHAnsi"/>
        </w:rPr>
        <w:t xml:space="preserve"> obavezama koje proizilaze iz statusa zemlje kao korisnice IPA-e, Crna Gora je krenula u progresivno uspostavljanje </w:t>
      </w:r>
      <w:r w:rsidR="007A63BF" w:rsidRPr="006319B0">
        <w:rPr>
          <w:rFonts w:cstheme="minorHAnsi"/>
          <w:lang w:val="sr-Latn-RS"/>
        </w:rPr>
        <w:t xml:space="preserve">tzv. zdravog finansijskog </w:t>
      </w:r>
      <w:r w:rsidR="00B15355" w:rsidRPr="006319B0">
        <w:rPr>
          <w:rFonts w:cstheme="minorHAnsi"/>
        </w:rPr>
        <w:t>sistema upravljanja i kontrole fondovima EU</w:t>
      </w:r>
      <w:r w:rsidR="007A63BF" w:rsidRPr="006319B0">
        <w:rPr>
          <w:rFonts w:cstheme="minorHAnsi"/>
          <w:lang w:val="sr-Latn-RS"/>
        </w:rPr>
        <w:t xml:space="preserve">, na način kako to zahtijevaju </w:t>
      </w:r>
      <w:r w:rsidR="00B15355" w:rsidRPr="006319B0">
        <w:rPr>
          <w:rFonts w:cstheme="minorHAnsi"/>
        </w:rPr>
        <w:t xml:space="preserve">odredbe </w:t>
      </w:r>
      <w:r w:rsidR="007A63BF" w:rsidRPr="006319B0">
        <w:rPr>
          <w:rFonts w:cstheme="minorHAnsi"/>
          <w:lang w:val="sr-Latn-RS"/>
        </w:rPr>
        <w:t xml:space="preserve">IPA Implementacionih uredbi za finansijske perspektive IPA I i IPA II, odnosno </w:t>
      </w:r>
      <w:r w:rsidR="00B15355" w:rsidRPr="006319B0">
        <w:rPr>
          <w:rFonts w:cstheme="minorHAnsi"/>
        </w:rPr>
        <w:t xml:space="preserve">Uredbe Komisije (EZ) br. 718/2007, </w:t>
      </w:r>
      <w:r w:rsidR="007A63BF" w:rsidRPr="006319B0">
        <w:rPr>
          <w:rFonts w:cstheme="minorHAnsi"/>
          <w:lang w:val="sr-Latn-RS"/>
        </w:rPr>
        <w:t>U</w:t>
      </w:r>
      <w:r w:rsidR="00B15355" w:rsidRPr="006319B0">
        <w:rPr>
          <w:rFonts w:cstheme="minorHAnsi"/>
        </w:rPr>
        <w:t>redbe Komisije (EU) br. 447/2014</w:t>
      </w:r>
      <w:r w:rsidR="00682B8A">
        <w:rPr>
          <w:rStyle w:val="FootnoteReference"/>
          <w:rFonts w:cstheme="minorHAnsi"/>
        </w:rPr>
        <w:footnoteReference w:id="2"/>
      </w:r>
      <w:r w:rsidR="00746DA2" w:rsidRPr="006319B0">
        <w:rPr>
          <w:rFonts w:cstheme="minorHAnsi"/>
          <w:lang w:val="sr-Latn-RS"/>
        </w:rPr>
        <w:t xml:space="preserve">. </w:t>
      </w:r>
      <w:r w:rsidR="00B15355" w:rsidRPr="006319B0">
        <w:rPr>
          <w:rFonts w:cstheme="minorHAnsi"/>
        </w:rPr>
        <w:t xml:space="preserve">Uredba o </w:t>
      </w:r>
      <w:r w:rsidR="00B15355" w:rsidRPr="006319B0">
        <w:rPr>
          <w:rFonts w:cstheme="minorHAnsi"/>
        </w:rPr>
        <w:lastRenderedPageBreak/>
        <w:t>organizaciji decentralizovanog upravljanja Instrumentom pretpristupne pomoći</w:t>
      </w:r>
      <w:r w:rsidR="00746DA2" w:rsidRPr="006319B0">
        <w:rPr>
          <w:rFonts w:cstheme="minorHAnsi"/>
          <w:lang w:val="sr-Latn-RS"/>
        </w:rPr>
        <w:t xml:space="preserve"> (IPA I)</w:t>
      </w:r>
      <w:r w:rsidR="00B15355" w:rsidRPr="006319B0">
        <w:rPr>
          <w:rFonts w:cstheme="minorHAnsi"/>
        </w:rPr>
        <w:t xml:space="preserve">, </w:t>
      </w:r>
      <w:r w:rsidR="00746DA2" w:rsidRPr="006319B0">
        <w:rPr>
          <w:rFonts w:cstheme="minorHAnsi"/>
          <w:lang w:val="sr-Latn-RS"/>
        </w:rPr>
        <w:t xml:space="preserve">ali i </w:t>
      </w:r>
      <w:r w:rsidR="00B15355" w:rsidRPr="006319B0">
        <w:rPr>
          <w:rFonts w:cstheme="minorHAnsi"/>
        </w:rPr>
        <w:t>Uredba o organizaciji indirektnog upravljanja za implementaciju finansijske pomoći Unije u okviru Instrumenta za pretpristupnu pomoć (IPA II)</w:t>
      </w:r>
      <w:r w:rsidR="0034174B">
        <w:rPr>
          <w:rStyle w:val="FootnoteReference"/>
          <w:rFonts w:cstheme="minorHAnsi"/>
        </w:rPr>
        <w:footnoteReference w:id="3"/>
      </w:r>
      <w:r w:rsidR="00B15355" w:rsidRPr="006319B0">
        <w:rPr>
          <w:rFonts w:cstheme="minorHAnsi"/>
        </w:rPr>
        <w:t xml:space="preserve"> dal</w:t>
      </w:r>
      <w:r w:rsidR="00746DA2" w:rsidRPr="006319B0">
        <w:rPr>
          <w:rFonts w:cstheme="minorHAnsi"/>
          <w:lang w:val="sr-Latn-RS"/>
        </w:rPr>
        <w:t>e</w:t>
      </w:r>
      <w:r w:rsidR="00B15355" w:rsidRPr="006319B0">
        <w:rPr>
          <w:rFonts w:cstheme="minorHAnsi"/>
        </w:rPr>
        <w:t xml:space="preserve"> </w:t>
      </w:r>
      <w:r w:rsidR="00746DA2" w:rsidRPr="006319B0">
        <w:rPr>
          <w:rFonts w:cstheme="minorHAnsi"/>
          <w:lang w:val="sr-Latn-RS"/>
        </w:rPr>
        <w:t>su</w:t>
      </w:r>
      <w:r w:rsidR="00B15355" w:rsidRPr="006319B0">
        <w:rPr>
          <w:rFonts w:cstheme="minorHAnsi"/>
        </w:rPr>
        <w:t xml:space="preserve"> okvir za strukturu sistema upravljanja i kontrole, a Vlada Crne Gore je naknadno donijela Odluku o imenovanju lica odgovornih za vršenje funkcija u vezi sa decentralizovanim i/ili indirektnim upravljanjem pretpristupnim fondovima Evropske unije (EU)</w:t>
      </w:r>
      <w:r w:rsidR="0034174B">
        <w:rPr>
          <w:rStyle w:val="FootnoteReference"/>
          <w:rFonts w:cstheme="minorHAnsi"/>
        </w:rPr>
        <w:footnoteReference w:id="4"/>
      </w:r>
      <w:r w:rsidR="00B15355" w:rsidRPr="006319B0">
        <w:rPr>
          <w:rFonts w:cstheme="minorHAnsi"/>
        </w:rPr>
        <w:t xml:space="preserve">. U skladu sa navedenom zakonskom regulativom, uspostavljena institucionalna struktura uključuje </w:t>
      </w:r>
      <w:r w:rsidR="00746DA2" w:rsidRPr="006319B0">
        <w:rPr>
          <w:rFonts w:cstheme="minorHAnsi"/>
          <w:lang w:val="sr-Latn-RS"/>
        </w:rPr>
        <w:t>institucije</w:t>
      </w:r>
      <w:r w:rsidR="00B15355" w:rsidRPr="006319B0">
        <w:rPr>
          <w:rFonts w:cstheme="minorHAnsi"/>
        </w:rPr>
        <w:t xml:space="preserve"> koj</w:t>
      </w:r>
      <w:r w:rsidR="00746DA2" w:rsidRPr="006319B0">
        <w:rPr>
          <w:rFonts w:cstheme="minorHAnsi"/>
          <w:lang w:val="sr-Latn-RS"/>
        </w:rPr>
        <w:t>e</w:t>
      </w:r>
      <w:r w:rsidR="00B15355" w:rsidRPr="006319B0">
        <w:rPr>
          <w:rFonts w:cstheme="minorHAnsi"/>
        </w:rPr>
        <w:t xml:space="preserve"> obavljaju upravljanje, kontrolu, nadzor, praćenje, evaluaciju, izvještavanje i internu reviziju </w:t>
      </w:r>
      <w:r w:rsidR="00746DA2" w:rsidRPr="006319B0">
        <w:rPr>
          <w:rFonts w:cstheme="minorHAnsi"/>
          <w:lang w:val="sr-Latn-RS"/>
        </w:rPr>
        <w:t>sredstava</w:t>
      </w:r>
      <w:r w:rsidR="00B15355" w:rsidRPr="006319B0">
        <w:rPr>
          <w:rFonts w:cstheme="minorHAnsi"/>
        </w:rPr>
        <w:t xml:space="preserve"> EU, kao i specifične funkcije vezane za sprječavanje, otkrivanje i </w:t>
      </w:r>
      <w:r w:rsidR="00746DA2" w:rsidRPr="006319B0">
        <w:rPr>
          <w:rFonts w:cstheme="minorHAnsi"/>
          <w:lang w:val="sr-Latn-RS"/>
        </w:rPr>
        <w:t>sankcionisanje</w:t>
      </w:r>
      <w:r w:rsidR="00B15355" w:rsidRPr="006319B0">
        <w:rPr>
          <w:rFonts w:cstheme="minorHAnsi"/>
        </w:rPr>
        <w:t xml:space="preserve"> nepravilnosti i izvještavanje</w:t>
      </w:r>
      <w:r w:rsidR="00746DA2" w:rsidRPr="006319B0">
        <w:rPr>
          <w:rFonts w:cstheme="minorHAnsi"/>
          <w:lang w:val="sr-Latn-RS"/>
        </w:rPr>
        <w:t xml:space="preserve"> njihovo</w:t>
      </w:r>
      <w:r w:rsidR="00B15355" w:rsidRPr="006319B0">
        <w:rPr>
          <w:rFonts w:cstheme="minorHAnsi"/>
        </w:rPr>
        <w:t xml:space="preserve"> Komisiji. </w:t>
      </w:r>
      <w:r w:rsidR="00B15355" w:rsidRPr="00D35559">
        <w:rPr>
          <w:rFonts w:cstheme="minorHAnsi"/>
        </w:rPr>
        <w:t xml:space="preserve">Sistem upravljanja i kontrole </w:t>
      </w:r>
      <w:r w:rsidR="00017C53" w:rsidRPr="00D35559">
        <w:rPr>
          <w:rFonts w:cstheme="minorHAnsi"/>
          <w:lang w:val="sr-Latn-RS"/>
        </w:rPr>
        <w:t xml:space="preserve">IPA </w:t>
      </w:r>
      <w:r w:rsidR="00B15355" w:rsidRPr="00D35559">
        <w:rPr>
          <w:rFonts w:cstheme="minorHAnsi"/>
        </w:rPr>
        <w:t>u Crnoj Gori čine:</w:t>
      </w:r>
    </w:p>
    <w:p w14:paraId="5B1EF08D" w14:textId="09F1ADB5" w:rsidR="000C6B32" w:rsidRPr="00FE6501" w:rsidRDefault="00746DA2" w:rsidP="00DB1F9B">
      <w:pPr>
        <w:pStyle w:val="ListParagraph"/>
        <w:numPr>
          <w:ilvl w:val="0"/>
          <w:numId w:val="1"/>
        </w:numPr>
        <w:spacing w:before="120" w:after="120" w:line="276" w:lineRule="auto"/>
        <w:ind w:left="426" w:hanging="357"/>
        <w:jc w:val="both"/>
        <w:rPr>
          <w:rFonts w:cstheme="minorHAnsi"/>
          <w:lang w:eastAsia="ja-JP"/>
        </w:rPr>
      </w:pPr>
      <w:r w:rsidRPr="00FE6501">
        <w:rPr>
          <w:rFonts w:cstheme="minorHAnsi"/>
          <w:lang w:eastAsia="ja-JP"/>
        </w:rPr>
        <w:t>Nacionalni</w:t>
      </w:r>
      <w:r w:rsidR="000C6B32" w:rsidRPr="00FE6501">
        <w:rPr>
          <w:rFonts w:cstheme="minorHAnsi"/>
          <w:lang w:eastAsia="ja-JP"/>
        </w:rPr>
        <w:t xml:space="preserve"> IPA </w:t>
      </w:r>
      <w:r w:rsidRPr="00FE6501">
        <w:rPr>
          <w:rFonts w:cstheme="minorHAnsi"/>
          <w:lang w:eastAsia="ja-JP"/>
        </w:rPr>
        <w:t>k</w:t>
      </w:r>
      <w:r w:rsidR="000C6B32" w:rsidRPr="00FE6501">
        <w:rPr>
          <w:rFonts w:cstheme="minorHAnsi"/>
          <w:lang w:eastAsia="ja-JP"/>
        </w:rPr>
        <w:t>oordinator (NIPAC)</w:t>
      </w:r>
    </w:p>
    <w:p w14:paraId="4CFF36AD" w14:textId="7DDA3989" w:rsidR="000C6B32" w:rsidRPr="00FE6501" w:rsidRDefault="00746DA2" w:rsidP="00DB1F9B">
      <w:pPr>
        <w:pStyle w:val="ListParagraph"/>
        <w:numPr>
          <w:ilvl w:val="0"/>
          <w:numId w:val="1"/>
        </w:numPr>
        <w:spacing w:before="120" w:after="120" w:line="276" w:lineRule="auto"/>
        <w:ind w:left="426" w:hanging="357"/>
        <w:jc w:val="both"/>
        <w:rPr>
          <w:rFonts w:cstheme="minorHAnsi"/>
          <w:lang w:eastAsia="ja-JP"/>
        </w:rPr>
      </w:pPr>
      <w:r w:rsidRPr="00FE6501">
        <w:rPr>
          <w:rFonts w:cstheme="minorHAnsi"/>
          <w:lang w:eastAsia="ja-JP"/>
        </w:rPr>
        <w:t>Nacionalni službenik za ovjeravanje</w:t>
      </w:r>
      <w:r w:rsidR="000C6B32" w:rsidRPr="00FE6501">
        <w:rPr>
          <w:rFonts w:cstheme="minorHAnsi"/>
          <w:lang w:eastAsia="ja-JP"/>
        </w:rPr>
        <w:t xml:space="preserve"> (NAO)</w:t>
      </w:r>
    </w:p>
    <w:p w14:paraId="75E16270" w14:textId="13C8CBD6" w:rsidR="000C6B32" w:rsidRPr="00FE6501" w:rsidRDefault="00746DA2" w:rsidP="00DB1F9B">
      <w:pPr>
        <w:pStyle w:val="ListParagraph"/>
        <w:numPr>
          <w:ilvl w:val="0"/>
          <w:numId w:val="1"/>
        </w:numPr>
        <w:spacing w:before="120" w:after="120" w:line="276" w:lineRule="auto"/>
        <w:ind w:left="426" w:hanging="357"/>
        <w:jc w:val="both"/>
        <w:rPr>
          <w:rFonts w:cstheme="minorHAnsi"/>
          <w:lang w:eastAsia="ja-JP"/>
        </w:rPr>
      </w:pPr>
      <w:r w:rsidRPr="00FE6501">
        <w:rPr>
          <w:rFonts w:cstheme="minorHAnsi"/>
          <w:lang w:eastAsia="ja-JP"/>
        </w:rPr>
        <w:t>Upravljačka struktura-</w:t>
      </w:r>
      <w:r w:rsidR="000C6B32" w:rsidRPr="00FE6501">
        <w:rPr>
          <w:rFonts w:cstheme="minorHAnsi"/>
          <w:lang w:eastAsia="ja-JP"/>
        </w:rPr>
        <w:t xml:space="preserve"> Na</w:t>
      </w:r>
      <w:r w:rsidRPr="00FE6501">
        <w:rPr>
          <w:rFonts w:cstheme="minorHAnsi"/>
          <w:lang w:eastAsia="ja-JP"/>
        </w:rPr>
        <w:t>cionalni</w:t>
      </w:r>
      <w:r w:rsidR="000C6B32" w:rsidRPr="00FE6501">
        <w:rPr>
          <w:rFonts w:cstheme="minorHAnsi"/>
          <w:lang w:eastAsia="ja-JP"/>
        </w:rPr>
        <w:t xml:space="preserve"> </w:t>
      </w:r>
      <w:r w:rsidRPr="00FE6501">
        <w:rPr>
          <w:rFonts w:cstheme="minorHAnsi"/>
          <w:lang w:eastAsia="ja-JP"/>
        </w:rPr>
        <w:t>fo</w:t>
      </w:r>
      <w:r w:rsidR="000C6B32" w:rsidRPr="00FE6501">
        <w:rPr>
          <w:rFonts w:cstheme="minorHAnsi"/>
          <w:lang w:eastAsia="ja-JP"/>
        </w:rPr>
        <w:t xml:space="preserve">nd </w:t>
      </w:r>
      <w:r w:rsidRPr="00FE6501">
        <w:rPr>
          <w:rFonts w:cstheme="minorHAnsi"/>
          <w:lang w:eastAsia="ja-JP"/>
        </w:rPr>
        <w:t>I kancelarija podrške</w:t>
      </w:r>
      <w:r w:rsidR="000C6B32" w:rsidRPr="00FE6501">
        <w:rPr>
          <w:rFonts w:cstheme="minorHAnsi"/>
          <w:lang w:eastAsia="ja-JP"/>
        </w:rPr>
        <w:t xml:space="preserve"> NAO</w:t>
      </w:r>
      <w:r w:rsidRPr="00FE6501">
        <w:rPr>
          <w:rFonts w:cstheme="minorHAnsi"/>
          <w:lang w:eastAsia="ja-JP"/>
        </w:rPr>
        <w:t>-u</w:t>
      </w:r>
    </w:p>
    <w:p w14:paraId="628A497D" w14:textId="231F3319" w:rsidR="000C6B32" w:rsidRPr="00FE6501" w:rsidRDefault="00746DA2" w:rsidP="00DB1F9B">
      <w:pPr>
        <w:pStyle w:val="ListParagraph"/>
        <w:numPr>
          <w:ilvl w:val="0"/>
          <w:numId w:val="1"/>
        </w:numPr>
        <w:spacing w:before="120" w:after="120" w:line="276" w:lineRule="auto"/>
        <w:ind w:left="426"/>
        <w:jc w:val="both"/>
        <w:rPr>
          <w:rFonts w:cstheme="minorHAnsi"/>
          <w:lang w:eastAsia="ja-JP"/>
        </w:rPr>
      </w:pPr>
      <w:r w:rsidRPr="00FE6501">
        <w:rPr>
          <w:rFonts w:cstheme="minorHAnsi"/>
          <w:lang w:eastAsia="ja-JP"/>
        </w:rPr>
        <w:t>Operativna struktura za godišnje I višegodišnje</w:t>
      </w:r>
      <w:r w:rsidR="000C6B32" w:rsidRPr="00FE6501">
        <w:rPr>
          <w:rFonts w:cstheme="minorHAnsi"/>
          <w:lang w:eastAsia="ja-JP"/>
        </w:rPr>
        <w:t xml:space="preserve"> program</w:t>
      </w:r>
      <w:r w:rsidRPr="00FE6501">
        <w:rPr>
          <w:rFonts w:cstheme="minorHAnsi"/>
          <w:lang w:eastAsia="ja-JP"/>
        </w:rPr>
        <w:t>e</w:t>
      </w:r>
      <w:r w:rsidR="000C6B32" w:rsidRPr="00FE6501">
        <w:rPr>
          <w:rFonts w:cstheme="minorHAnsi"/>
          <w:lang w:eastAsia="ja-JP"/>
        </w:rPr>
        <w:t xml:space="preserve"> </w:t>
      </w:r>
    </w:p>
    <w:p w14:paraId="6E322257" w14:textId="484FAEE2" w:rsidR="000C6B32" w:rsidRPr="00FE6501" w:rsidRDefault="00746DA2" w:rsidP="00DB1F9B">
      <w:pPr>
        <w:pStyle w:val="ListParagraph"/>
        <w:numPr>
          <w:ilvl w:val="0"/>
          <w:numId w:val="1"/>
        </w:numPr>
        <w:spacing w:before="120" w:after="120" w:line="276" w:lineRule="auto"/>
        <w:ind w:left="426"/>
        <w:jc w:val="both"/>
        <w:rPr>
          <w:rFonts w:cstheme="minorHAnsi"/>
          <w:lang w:eastAsia="ja-JP"/>
        </w:rPr>
      </w:pPr>
      <w:r w:rsidRPr="00FE6501">
        <w:rPr>
          <w:rFonts w:cstheme="minorHAnsi"/>
          <w:lang w:eastAsia="ja-JP"/>
        </w:rPr>
        <w:t>Operativna struktura za bilateralnu prekograničnu saradnju</w:t>
      </w:r>
      <w:r w:rsidR="000C6B32" w:rsidRPr="00FE6501">
        <w:rPr>
          <w:rFonts w:cstheme="minorHAnsi"/>
          <w:lang w:eastAsia="ja-JP"/>
        </w:rPr>
        <w:t xml:space="preserve"> </w:t>
      </w:r>
    </w:p>
    <w:p w14:paraId="33F4F85B" w14:textId="0CF8A2DA" w:rsidR="00746DA2" w:rsidRPr="00FE6501" w:rsidRDefault="00746DA2" w:rsidP="00DB1F9B">
      <w:pPr>
        <w:pStyle w:val="ListParagraph"/>
        <w:numPr>
          <w:ilvl w:val="0"/>
          <w:numId w:val="1"/>
        </w:numPr>
        <w:spacing w:before="120" w:after="120" w:line="276" w:lineRule="auto"/>
        <w:ind w:left="426"/>
        <w:jc w:val="both"/>
        <w:rPr>
          <w:rFonts w:cstheme="minorHAnsi"/>
          <w:lang w:eastAsia="ja-JP"/>
        </w:rPr>
      </w:pPr>
      <w:r w:rsidRPr="00FE6501">
        <w:rPr>
          <w:rFonts w:cstheme="minorHAnsi"/>
          <w:lang w:eastAsia="ja-JP"/>
        </w:rPr>
        <w:t>Operativna struktura za ruralni program</w:t>
      </w:r>
      <w:r w:rsidR="00196ACD" w:rsidRPr="00FE6501">
        <w:rPr>
          <w:rFonts w:cstheme="minorHAnsi"/>
          <w:lang w:eastAsia="ja-JP"/>
        </w:rPr>
        <w:t>.</w:t>
      </w:r>
    </w:p>
    <w:p w14:paraId="145C4CF5" w14:textId="632CCA09" w:rsidR="000C6B32" w:rsidRPr="00FE6501" w:rsidRDefault="000C6B32" w:rsidP="00746DA2">
      <w:pPr>
        <w:pStyle w:val="ListParagraph"/>
        <w:spacing w:before="120" w:after="120" w:line="276" w:lineRule="auto"/>
        <w:ind w:left="426"/>
        <w:jc w:val="both"/>
        <w:rPr>
          <w:rFonts w:cstheme="minorHAnsi"/>
          <w:b/>
          <w:bCs/>
          <w:color w:val="CC5252"/>
          <w:lang w:val="en-US"/>
        </w:rPr>
      </w:pPr>
      <w:r w:rsidRPr="00FE6501">
        <w:rPr>
          <w:rFonts w:cstheme="minorHAnsi"/>
          <w:lang w:eastAsia="ja-JP"/>
        </w:rPr>
        <w:t xml:space="preserve"> </w:t>
      </w:r>
    </w:p>
    <w:p w14:paraId="5C932583" w14:textId="7FB3F878" w:rsidR="00B15355" w:rsidRPr="00FE6501" w:rsidRDefault="00B15355" w:rsidP="00E63F8E">
      <w:pPr>
        <w:spacing w:after="120" w:line="276" w:lineRule="auto"/>
        <w:jc w:val="both"/>
        <w:rPr>
          <w:rFonts w:cstheme="minorHAnsi"/>
        </w:rPr>
      </w:pPr>
      <w:r w:rsidRPr="00FE6501">
        <w:rPr>
          <w:rFonts w:cstheme="minorHAnsi"/>
        </w:rPr>
        <w:t>Po tom osnovu Vlada Crne Gore je 5. decembra 2013. godine dala saglasnost na Odluku o formiranju Koordinacionog tijela za praćenje i vođenje politike prevencije i suzbijanja nepravilnosti i zaštite finansijskih interesa Evropske unije (AFCOS mreža</w:t>
      </w:r>
      <w:r w:rsidR="0034174B">
        <w:rPr>
          <w:rStyle w:val="FootnoteReference"/>
          <w:rFonts w:cstheme="minorHAnsi"/>
        </w:rPr>
        <w:footnoteReference w:id="5"/>
      </w:r>
      <w:r w:rsidRPr="00FE6501">
        <w:rPr>
          <w:rFonts w:cstheme="minorHAnsi"/>
        </w:rPr>
        <w:t>). U skladu sa odredbama odluke, uspostavljena je horizontalna mreža administrativnih organa za direktnu saradnju sa OLAF-om i za koordinaciju zakonodavnih, administrativnih i operativnih radnji koje se p</w:t>
      </w:r>
      <w:r w:rsidR="006F2757" w:rsidRPr="00FE6501">
        <w:rPr>
          <w:rFonts w:cstheme="minorHAnsi"/>
          <w:lang w:val="sr-Latn-RS"/>
        </w:rPr>
        <w:t>re</w:t>
      </w:r>
      <w:r w:rsidRPr="00FE6501">
        <w:rPr>
          <w:rFonts w:cstheme="minorHAnsi"/>
        </w:rPr>
        <w:t>duzimaju u cilju zaštite finansijskih interesa Unije. Institucionalnu strukturu AFCOS Crne Gore čine (a) Akreditovana tijela IPA sistema upravljanja i kontrole (Struktura za prijavljivanje nepravilnosti), (b) Agencije za borbu protiv prevara i korupcije (AFCOS mreža) i (c) Odjeljenje za borbu protiv nepravilnosti i prevara - AFCOS</w:t>
      </w:r>
      <w:r w:rsidR="0034174B" w:rsidRPr="0034174B">
        <w:rPr>
          <w:rFonts w:cstheme="minorHAnsi"/>
        </w:rPr>
        <w:t xml:space="preserve"> </w:t>
      </w:r>
      <w:r w:rsidR="0034174B">
        <w:rPr>
          <w:rFonts w:cstheme="minorHAnsi"/>
          <w:lang w:val="sr-Latn-RS"/>
        </w:rPr>
        <w:t>k</w:t>
      </w:r>
      <w:r w:rsidR="0034174B" w:rsidRPr="00FE6501">
        <w:rPr>
          <w:rFonts w:cstheme="minorHAnsi"/>
        </w:rPr>
        <w:t>ancelarija</w:t>
      </w:r>
      <w:r w:rsidR="006F2757" w:rsidRPr="00FE6501">
        <w:rPr>
          <w:rFonts w:cstheme="minorHAnsi"/>
          <w:lang w:val="sr-Latn-RS"/>
        </w:rPr>
        <w:t>,</w:t>
      </w:r>
      <w:r w:rsidRPr="00FE6501">
        <w:rPr>
          <w:rFonts w:cstheme="minorHAnsi"/>
        </w:rPr>
        <w:t xml:space="preserve"> određena kao </w:t>
      </w:r>
      <w:r w:rsidR="00A85C28">
        <w:rPr>
          <w:rFonts w:cstheme="minorHAnsi"/>
          <w:lang w:val="sr-Latn-RS"/>
        </w:rPr>
        <w:t>tijelo</w:t>
      </w:r>
      <w:r w:rsidR="00590DF1">
        <w:rPr>
          <w:rFonts w:cstheme="minorHAnsi"/>
          <w:lang w:val="sr-Latn-RS"/>
        </w:rPr>
        <w:t xml:space="preserve"> nadležno</w:t>
      </w:r>
      <w:r w:rsidR="00A85C28">
        <w:rPr>
          <w:rFonts w:cstheme="minorHAnsi"/>
          <w:lang w:val="sr-Latn-RS"/>
        </w:rPr>
        <w:t xml:space="preserve"> za</w:t>
      </w:r>
      <w:r w:rsidRPr="00FE6501">
        <w:rPr>
          <w:rFonts w:cstheme="minorHAnsi"/>
        </w:rPr>
        <w:t xml:space="preserve"> zaštitu finansijskih interesa Evropske unije u Crnoj Gori.</w:t>
      </w:r>
    </w:p>
    <w:p w14:paraId="547B602B" w14:textId="3903F39E" w:rsidR="00B15355" w:rsidRPr="00FE6501" w:rsidRDefault="00B15355" w:rsidP="00B15355">
      <w:pPr>
        <w:spacing w:after="120" w:line="276" w:lineRule="auto"/>
        <w:jc w:val="both"/>
        <w:rPr>
          <w:rFonts w:cstheme="minorHAnsi"/>
          <w:lang w:eastAsia="ja-JP"/>
        </w:rPr>
      </w:pPr>
      <w:r w:rsidRPr="00FE6501">
        <w:rPr>
          <w:rFonts w:cstheme="minorHAnsi"/>
          <w:lang w:eastAsia="ja-JP"/>
        </w:rPr>
        <w:t xml:space="preserve">Uporedo sa institucionalizacijom AFCOS sistema, Vlada Crne Gore je usvojila i prvu strategiju borbe protiv prevara, odnosno Strategiju za borbu protiv prevara i upravljanja nepravilnostima za zaštitu finansijskih interesa EU 2015–2017. Uloga Strategije bila je ključna u određivanju ključnih aktera i procedura u procesu uvođenja sistema upravljanja pomoći EU, razvoju sistema i koordinaciji. U tom kontekstu predviđene su mjere za operacionalizaciju AFCOS sistema, kao i mjere za </w:t>
      </w:r>
      <w:r w:rsidR="00196ACD" w:rsidRPr="00FE6501">
        <w:rPr>
          <w:rFonts w:cstheme="minorHAnsi"/>
          <w:lang w:val="sr-Latn-RS" w:eastAsia="ja-JP"/>
        </w:rPr>
        <w:t>sprečavanje</w:t>
      </w:r>
      <w:r w:rsidRPr="00FE6501">
        <w:rPr>
          <w:rFonts w:cstheme="minorHAnsi"/>
          <w:lang w:eastAsia="ja-JP"/>
        </w:rPr>
        <w:t xml:space="preserve"> prevara i nepravilnosti. Strategija je nastojala da osigura zdravu i efikasnu zaštitu finansijskih interesa EU kroz institucionalizaciju kritičnih normativnih i operativnih aspekata za uspostavljanje sveobuhvatnog okvira za borbu protiv prevara i nepravilnosti u zemlji. Opšti ciljevi strategije su bili:</w:t>
      </w:r>
    </w:p>
    <w:p w14:paraId="50AF0BC6" w14:textId="77777777" w:rsidR="00B15355" w:rsidRPr="00FE6501" w:rsidRDefault="00B15355" w:rsidP="00B15355">
      <w:pPr>
        <w:spacing w:after="120" w:line="276" w:lineRule="auto"/>
        <w:jc w:val="both"/>
        <w:rPr>
          <w:rFonts w:cstheme="minorHAnsi"/>
          <w:lang w:val="en-US" w:eastAsia="ja-JP"/>
        </w:rPr>
      </w:pPr>
    </w:p>
    <w:p w14:paraId="18204928" w14:textId="7D74AE91" w:rsidR="00B15355" w:rsidRPr="00FE6501" w:rsidRDefault="00B15355" w:rsidP="006B7D28">
      <w:pPr>
        <w:pStyle w:val="ListParagraph"/>
        <w:numPr>
          <w:ilvl w:val="0"/>
          <w:numId w:val="21"/>
        </w:numPr>
        <w:spacing w:line="276" w:lineRule="auto"/>
        <w:rPr>
          <w:rFonts w:cstheme="minorHAnsi"/>
          <w:lang w:eastAsia="ja-JP"/>
        </w:rPr>
      </w:pPr>
      <w:r w:rsidRPr="00FE6501">
        <w:rPr>
          <w:rFonts w:cstheme="minorHAnsi"/>
          <w:lang w:eastAsia="ja-JP"/>
        </w:rPr>
        <w:t xml:space="preserve">Unapređenje pravnog okvira za zaštitu finansijskih interesa EU u Crnoj Gori, </w:t>
      </w:r>
    </w:p>
    <w:p w14:paraId="798CEAD7" w14:textId="34F81FBB" w:rsidR="00B15355" w:rsidRPr="00FE6501" w:rsidRDefault="00A1290E" w:rsidP="006B7D28">
      <w:pPr>
        <w:pStyle w:val="ListParagraph"/>
        <w:numPr>
          <w:ilvl w:val="0"/>
          <w:numId w:val="21"/>
        </w:numPr>
        <w:spacing w:line="276" w:lineRule="auto"/>
        <w:rPr>
          <w:rFonts w:cstheme="minorHAnsi"/>
          <w:lang w:eastAsia="ja-JP"/>
        </w:rPr>
      </w:pPr>
      <w:r w:rsidRPr="00FE6501">
        <w:rPr>
          <w:rFonts w:cstheme="minorHAnsi"/>
          <w:lang w:eastAsia="ja-JP"/>
        </w:rPr>
        <w:lastRenderedPageBreak/>
        <w:t xml:space="preserve">Unapređenje </w:t>
      </w:r>
      <w:r w:rsidR="00B15355" w:rsidRPr="00FE6501">
        <w:rPr>
          <w:rFonts w:cstheme="minorHAnsi"/>
          <w:lang w:eastAsia="ja-JP"/>
        </w:rPr>
        <w:t>administrativni</w:t>
      </w:r>
      <w:r w:rsidRPr="00FE6501">
        <w:rPr>
          <w:rFonts w:cstheme="minorHAnsi"/>
          <w:lang w:eastAsia="ja-JP"/>
        </w:rPr>
        <w:t>h</w:t>
      </w:r>
      <w:r w:rsidR="00B15355" w:rsidRPr="00FE6501">
        <w:rPr>
          <w:rFonts w:cstheme="minorHAnsi"/>
          <w:lang w:eastAsia="ja-JP"/>
        </w:rPr>
        <w:t xml:space="preserve"> kapacitet</w:t>
      </w:r>
      <w:r w:rsidRPr="00FE6501">
        <w:rPr>
          <w:rFonts w:cstheme="minorHAnsi"/>
          <w:lang w:eastAsia="ja-JP"/>
        </w:rPr>
        <w:t xml:space="preserve">a, sa ciljem njihove održivosti, </w:t>
      </w:r>
      <w:r w:rsidR="00B15355" w:rsidRPr="00FE6501">
        <w:rPr>
          <w:rFonts w:cstheme="minorHAnsi"/>
          <w:lang w:eastAsia="ja-JP"/>
        </w:rPr>
        <w:t>i obuka na svim nivoima AFCOS mreže;</w:t>
      </w:r>
    </w:p>
    <w:p w14:paraId="3B4DA7B6" w14:textId="1F4E3468" w:rsidR="00B15355" w:rsidRPr="00FE6501" w:rsidRDefault="00B15355" w:rsidP="006B7D28">
      <w:pPr>
        <w:pStyle w:val="ListParagraph"/>
        <w:numPr>
          <w:ilvl w:val="0"/>
          <w:numId w:val="21"/>
        </w:numPr>
        <w:spacing w:line="276" w:lineRule="auto"/>
        <w:rPr>
          <w:rFonts w:cstheme="minorHAnsi"/>
          <w:lang w:eastAsia="ja-JP"/>
        </w:rPr>
      </w:pPr>
      <w:r w:rsidRPr="00FE6501">
        <w:rPr>
          <w:rFonts w:cstheme="minorHAnsi"/>
          <w:lang w:eastAsia="ja-JP"/>
        </w:rPr>
        <w:t xml:space="preserve">Sprečavanje nepravilnosti i prevara kroz </w:t>
      </w:r>
      <w:r w:rsidR="00A1290E" w:rsidRPr="00FE6501">
        <w:rPr>
          <w:rFonts w:cstheme="minorHAnsi"/>
          <w:lang w:eastAsia="ja-JP"/>
        </w:rPr>
        <w:t xml:space="preserve">jačanje svijesti o ovim pojavama, kroz poboljšanu </w:t>
      </w:r>
      <w:r w:rsidRPr="00FE6501">
        <w:rPr>
          <w:rFonts w:cstheme="minorHAnsi"/>
          <w:lang w:eastAsia="ja-JP"/>
        </w:rPr>
        <w:t>komunikaciju sa javnošću</w:t>
      </w:r>
      <w:r w:rsidR="00A1290E" w:rsidRPr="00FE6501">
        <w:rPr>
          <w:rFonts w:cstheme="minorHAnsi"/>
          <w:lang w:eastAsia="ja-JP"/>
        </w:rPr>
        <w:t>, kao</w:t>
      </w:r>
      <w:r w:rsidRPr="00FE6501">
        <w:rPr>
          <w:rFonts w:cstheme="minorHAnsi"/>
          <w:lang w:eastAsia="ja-JP"/>
        </w:rPr>
        <w:t xml:space="preserve"> i između zaposlenih i kroz poštovanje kodeksa ponašanja i etičkih kodeksa javne uprave; </w:t>
      </w:r>
    </w:p>
    <w:p w14:paraId="694BDA10" w14:textId="6A1C2F44" w:rsidR="00B15355" w:rsidRPr="00FE6501" w:rsidRDefault="00B15355" w:rsidP="006B7D28">
      <w:pPr>
        <w:pStyle w:val="ListParagraph"/>
        <w:numPr>
          <w:ilvl w:val="0"/>
          <w:numId w:val="21"/>
        </w:numPr>
        <w:spacing w:line="276" w:lineRule="auto"/>
        <w:rPr>
          <w:rFonts w:cstheme="minorHAnsi"/>
          <w:lang w:eastAsia="ja-JP"/>
        </w:rPr>
      </w:pPr>
      <w:r w:rsidRPr="00FE6501">
        <w:rPr>
          <w:rFonts w:cstheme="minorHAnsi"/>
          <w:lang w:eastAsia="ja-JP"/>
        </w:rPr>
        <w:t>Unapređenje</w:t>
      </w:r>
      <w:r w:rsidR="00A1290E" w:rsidRPr="00FE6501">
        <w:rPr>
          <w:rFonts w:cstheme="minorHAnsi"/>
          <w:lang w:eastAsia="ja-JP"/>
        </w:rPr>
        <w:t xml:space="preserve"> kanala</w:t>
      </w:r>
      <w:r w:rsidRPr="00FE6501">
        <w:rPr>
          <w:rFonts w:cstheme="minorHAnsi"/>
          <w:lang w:eastAsia="ja-JP"/>
        </w:rPr>
        <w:t xml:space="preserve"> komunikacij</w:t>
      </w:r>
      <w:r w:rsidR="00A1290E" w:rsidRPr="00FE6501">
        <w:rPr>
          <w:rFonts w:cstheme="minorHAnsi"/>
          <w:lang w:eastAsia="ja-JP"/>
        </w:rPr>
        <w:t>e</w:t>
      </w:r>
      <w:r w:rsidRPr="00FE6501">
        <w:rPr>
          <w:rFonts w:cstheme="minorHAnsi"/>
          <w:lang w:eastAsia="ja-JP"/>
        </w:rPr>
        <w:t xml:space="preserve"> između </w:t>
      </w:r>
      <w:r w:rsidR="00014F27" w:rsidRPr="00FE6501">
        <w:rPr>
          <w:rFonts w:cstheme="minorHAnsi"/>
          <w:lang w:eastAsia="ja-JP"/>
        </w:rPr>
        <w:t xml:space="preserve">subjekata </w:t>
      </w:r>
      <w:r w:rsidRPr="00FE6501">
        <w:rPr>
          <w:rFonts w:cstheme="minorHAnsi"/>
          <w:lang w:eastAsia="ja-JP"/>
        </w:rPr>
        <w:t>AFCOS</w:t>
      </w:r>
      <w:r w:rsidR="00014F27" w:rsidRPr="00FE6501">
        <w:rPr>
          <w:rFonts w:cstheme="minorHAnsi"/>
          <w:lang w:eastAsia="ja-JP"/>
        </w:rPr>
        <w:t xml:space="preserve"> sistema</w:t>
      </w:r>
      <w:r w:rsidRPr="00FE6501">
        <w:rPr>
          <w:rFonts w:cstheme="minorHAnsi"/>
          <w:lang w:eastAsia="ja-JP"/>
        </w:rPr>
        <w:t xml:space="preserve"> (IPA strukture, AFCOS </w:t>
      </w:r>
      <w:r w:rsidR="00196ACD" w:rsidRPr="00FE6501">
        <w:rPr>
          <w:rFonts w:cstheme="minorHAnsi"/>
          <w:lang w:eastAsia="ja-JP"/>
        </w:rPr>
        <w:t>kancelarij</w:t>
      </w:r>
      <w:r w:rsidR="00014F27" w:rsidRPr="00FE6501">
        <w:rPr>
          <w:rFonts w:cstheme="minorHAnsi"/>
          <w:lang w:eastAsia="ja-JP"/>
        </w:rPr>
        <w:t>e</w:t>
      </w:r>
      <w:r w:rsidR="00196ACD" w:rsidRPr="00FE6501">
        <w:rPr>
          <w:rFonts w:cstheme="minorHAnsi"/>
          <w:lang w:eastAsia="ja-JP"/>
        </w:rPr>
        <w:t xml:space="preserve"> </w:t>
      </w:r>
      <w:r w:rsidRPr="00FE6501">
        <w:rPr>
          <w:rFonts w:cstheme="minorHAnsi"/>
          <w:lang w:eastAsia="ja-JP"/>
        </w:rPr>
        <w:t>i subjek</w:t>
      </w:r>
      <w:r w:rsidR="00014F27" w:rsidRPr="00FE6501">
        <w:rPr>
          <w:rFonts w:cstheme="minorHAnsi"/>
          <w:lang w:eastAsia="ja-JP"/>
        </w:rPr>
        <w:t>ata</w:t>
      </w:r>
      <w:r w:rsidRPr="00FE6501">
        <w:rPr>
          <w:rFonts w:cstheme="minorHAnsi"/>
          <w:lang w:eastAsia="ja-JP"/>
        </w:rPr>
        <w:t xml:space="preserve"> AFCOS mreže </w:t>
      </w:r>
      <w:r w:rsidR="00014F27" w:rsidRPr="00FE6501">
        <w:rPr>
          <w:rFonts w:cstheme="minorHAnsi"/>
          <w:lang w:eastAsia="ja-JP"/>
        </w:rPr>
        <w:t xml:space="preserve">koji su </w:t>
      </w:r>
      <w:r w:rsidRPr="00FE6501">
        <w:rPr>
          <w:rFonts w:cstheme="minorHAnsi"/>
          <w:lang w:eastAsia="ja-JP"/>
        </w:rPr>
        <w:t>odgovorni za borbu protiv prijevara, korupcije ili bilo kojeg drugog oblika nepravilnosti u sistemu);</w:t>
      </w:r>
    </w:p>
    <w:p w14:paraId="09F95242" w14:textId="231E5F0B" w:rsidR="00B15355" w:rsidRPr="00FE6501" w:rsidRDefault="00B15355" w:rsidP="006B7D28">
      <w:pPr>
        <w:pStyle w:val="ListParagraph"/>
        <w:numPr>
          <w:ilvl w:val="0"/>
          <w:numId w:val="21"/>
        </w:numPr>
        <w:spacing w:line="276" w:lineRule="auto"/>
        <w:rPr>
          <w:rFonts w:cstheme="minorHAnsi"/>
          <w:lang w:eastAsia="ja-JP"/>
        </w:rPr>
      </w:pPr>
      <w:r w:rsidRPr="00FE6501">
        <w:rPr>
          <w:rFonts w:cstheme="minorHAnsi"/>
          <w:lang w:eastAsia="ja-JP"/>
        </w:rPr>
        <w:t xml:space="preserve">Promovisati saradnju </w:t>
      </w:r>
      <w:r w:rsidR="00B87C9C" w:rsidRPr="00FE6501">
        <w:rPr>
          <w:rFonts w:cstheme="minorHAnsi"/>
          <w:lang w:eastAsia="ja-JP"/>
        </w:rPr>
        <w:t>između</w:t>
      </w:r>
      <w:r w:rsidRPr="00FE6501">
        <w:rPr>
          <w:rFonts w:cstheme="minorHAnsi"/>
          <w:lang w:eastAsia="ja-JP"/>
        </w:rPr>
        <w:t xml:space="preserve"> nacionalni</w:t>
      </w:r>
      <w:r w:rsidR="00B87C9C" w:rsidRPr="00FE6501">
        <w:rPr>
          <w:rFonts w:cstheme="minorHAnsi"/>
          <w:lang w:eastAsia="ja-JP"/>
        </w:rPr>
        <w:t>h</w:t>
      </w:r>
      <w:r w:rsidRPr="00FE6501">
        <w:rPr>
          <w:rFonts w:cstheme="minorHAnsi"/>
          <w:lang w:eastAsia="ja-JP"/>
        </w:rPr>
        <w:t xml:space="preserve"> institucija i OLAF-</w:t>
      </w:r>
      <w:r w:rsidR="00B87C9C" w:rsidRPr="00FE6501">
        <w:rPr>
          <w:rFonts w:cstheme="minorHAnsi"/>
          <w:lang w:eastAsia="ja-JP"/>
        </w:rPr>
        <w:t xml:space="preserve">a </w:t>
      </w:r>
      <w:r w:rsidRPr="00FE6501">
        <w:rPr>
          <w:rFonts w:cstheme="minorHAnsi"/>
          <w:lang w:eastAsia="ja-JP"/>
        </w:rPr>
        <w:t>i</w:t>
      </w:r>
    </w:p>
    <w:p w14:paraId="0CD53264" w14:textId="3888C547" w:rsidR="00397FC3" w:rsidRPr="00FE6501" w:rsidRDefault="00B15355" w:rsidP="006B7D28">
      <w:pPr>
        <w:pStyle w:val="ListParagraph"/>
        <w:numPr>
          <w:ilvl w:val="0"/>
          <w:numId w:val="21"/>
        </w:numPr>
        <w:spacing w:line="276" w:lineRule="auto"/>
        <w:rPr>
          <w:rFonts w:cstheme="minorHAnsi"/>
          <w:lang w:val="en-US"/>
        </w:rPr>
        <w:sectPr w:rsidR="00397FC3" w:rsidRPr="00FE6501" w:rsidSect="00AF1D3F">
          <w:pgSz w:w="11906" w:h="16838"/>
          <w:pgMar w:top="1440" w:right="1800" w:bottom="1440" w:left="1800" w:header="708" w:footer="708" w:gutter="0"/>
          <w:cols w:space="708"/>
          <w:docGrid w:linePitch="360"/>
        </w:sectPr>
      </w:pPr>
      <w:r w:rsidRPr="00FE6501">
        <w:rPr>
          <w:rFonts w:cstheme="minorHAnsi"/>
          <w:lang w:eastAsia="ja-JP"/>
        </w:rPr>
        <w:t>Osigurati blagovremeno prijavljivanje nepravilnosti i prevara i reagovanje na prijave.</w:t>
      </w:r>
    </w:p>
    <w:p w14:paraId="064B87DF" w14:textId="26FE6C98" w:rsidR="00FA2978" w:rsidRPr="00FE6501" w:rsidRDefault="00397FC3" w:rsidP="00397FC3">
      <w:pPr>
        <w:pStyle w:val="Heading1"/>
        <w:rPr>
          <w:rFonts w:asciiTheme="minorHAnsi" w:hAnsiTheme="minorHAnsi" w:cstheme="minorHAnsi"/>
          <w:b/>
          <w:sz w:val="22"/>
          <w:szCs w:val="22"/>
          <w:lang w:val="en-US"/>
        </w:rPr>
      </w:pPr>
      <w:bookmarkStart w:id="19" w:name="_Toc136505860"/>
      <w:r w:rsidRPr="00FE6501">
        <w:rPr>
          <w:rFonts w:asciiTheme="minorHAnsi" w:hAnsiTheme="minorHAnsi" w:cstheme="minorHAnsi"/>
          <w:b/>
          <w:sz w:val="22"/>
          <w:szCs w:val="22"/>
          <w:lang w:val="en-US"/>
        </w:rPr>
        <w:lastRenderedPageBreak/>
        <w:t xml:space="preserve">3. </w:t>
      </w:r>
      <w:r w:rsidR="001D3E9B" w:rsidRPr="00FE6501">
        <w:rPr>
          <w:rFonts w:asciiTheme="minorHAnsi" w:hAnsiTheme="minorHAnsi" w:cstheme="minorHAnsi"/>
          <w:b/>
          <w:sz w:val="22"/>
          <w:szCs w:val="22"/>
          <w:lang w:val="en-US"/>
        </w:rPr>
        <w:t>S</w:t>
      </w:r>
      <w:r w:rsidR="00633324" w:rsidRPr="00FE6501">
        <w:rPr>
          <w:rFonts w:asciiTheme="minorHAnsi" w:hAnsiTheme="minorHAnsi" w:cstheme="minorHAnsi"/>
          <w:b/>
          <w:sz w:val="22"/>
          <w:szCs w:val="22"/>
          <w:lang w:val="en-US"/>
        </w:rPr>
        <w:t>tru</w:t>
      </w:r>
      <w:r w:rsidR="0016141C" w:rsidRPr="00FE6501">
        <w:rPr>
          <w:rFonts w:asciiTheme="minorHAnsi" w:hAnsiTheme="minorHAnsi" w:cstheme="minorHAnsi"/>
          <w:b/>
          <w:sz w:val="22"/>
          <w:szCs w:val="22"/>
          <w:lang w:val="en-US"/>
        </w:rPr>
        <w:t>ktura</w:t>
      </w:r>
      <w:r w:rsidR="001D3E9B" w:rsidRPr="00FE6501">
        <w:rPr>
          <w:rFonts w:asciiTheme="minorHAnsi" w:hAnsiTheme="minorHAnsi" w:cstheme="minorHAnsi"/>
          <w:b/>
          <w:sz w:val="22"/>
          <w:szCs w:val="22"/>
          <w:lang w:val="en-US"/>
        </w:rPr>
        <w:t xml:space="preserve"> </w:t>
      </w:r>
      <w:r w:rsidR="0016141C" w:rsidRPr="00FE6501">
        <w:rPr>
          <w:rFonts w:asciiTheme="minorHAnsi" w:hAnsiTheme="minorHAnsi" w:cstheme="minorHAnsi"/>
          <w:b/>
          <w:sz w:val="22"/>
          <w:szCs w:val="22"/>
          <w:lang w:val="en-US"/>
        </w:rPr>
        <w:t>i sadržaj</w:t>
      </w:r>
      <w:r w:rsidR="00633324" w:rsidRPr="00FE6501">
        <w:rPr>
          <w:rFonts w:asciiTheme="minorHAnsi" w:hAnsiTheme="minorHAnsi" w:cstheme="minorHAnsi"/>
          <w:b/>
          <w:sz w:val="22"/>
          <w:szCs w:val="22"/>
          <w:lang w:val="en-US"/>
        </w:rPr>
        <w:t xml:space="preserve"> </w:t>
      </w:r>
      <w:r w:rsidR="0016141C" w:rsidRPr="00FE6501">
        <w:rPr>
          <w:rFonts w:asciiTheme="minorHAnsi" w:hAnsiTheme="minorHAnsi" w:cstheme="minorHAnsi"/>
          <w:b/>
          <w:sz w:val="22"/>
          <w:szCs w:val="22"/>
          <w:lang w:val="en-US"/>
        </w:rPr>
        <w:t>Strategije</w:t>
      </w:r>
      <w:r w:rsidR="00063602" w:rsidRPr="00FE6501">
        <w:rPr>
          <w:rFonts w:asciiTheme="minorHAnsi" w:hAnsiTheme="minorHAnsi" w:cstheme="minorHAnsi"/>
          <w:b/>
          <w:sz w:val="22"/>
          <w:szCs w:val="22"/>
          <w:lang w:val="en-US"/>
        </w:rPr>
        <w:t xml:space="preserve"> </w:t>
      </w:r>
      <w:r w:rsidR="00FA2978" w:rsidRPr="00FE6501">
        <w:rPr>
          <w:rFonts w:asciiTheme="minorHAnsi" w:hAnsiTheme="minorHAnsi" w:cstheme="minorHAnsi"/>
          <w:b/>
          <w:sz w:val="22"/>
          <w:szCs w:val="22"/>
          <w:lang w:val="en-US"/>
        </w:rPr>
        <w:t>2019 – 2022</w:t>
      </w:r>
      <w:bookmarkEnd w:id="19"/>
      <w:r w:rsidR="00FA2978" w:rsidRPr="00FE6501">
        <w:rPr>
          <w:rFonts w:asciiTheme="minorHAnsi" w:hAnsiTheme="minorHAnsi" w:cstheme="minorHAnsi"/>
          <w:b/>
          <w:sz w:val="22"/>
          <w:szCs w:val="22"/>
          <w:lang w:val="en-US"/>
        </w:rPr>
        <w:t xml:space="preserve"> </w:t>
      </w:r>
    </w:p>
    <w:p w14:paraId="534350AB" w14:textId="120182B2" w:rsidR="0078670C"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rPr>
      </w:pPr>
      <w:bookmarkStart w:id="20" w:name="_Hlk131440979"/>
      <w:r w:rsidRPr="00FE6501">
        <w:rPr>
          <w:rFonts w:cstheme="minorHAnsi"/>
        </w:rPr>
        <w:t xml:space="preserve">Strategija za borbu protiv prevara i upravljanja nepravilnostima za zaštitu finansijskih interesa Evropske unije 2019 – 2022. je glavni strateški dokument koji obuhvata prioritete, </w:t>
      </w:r>
      <w:r w:rsidR="00683DB0" w:rsidRPr="00FE6501">
        <w:rPr>
          <w:rFonts w:cstheme="minorHAnsi"/>
          <w:lang w:val="sr-Latn-RS"/>
        </w:rPr>
        <w:t>aktivnosti</w:t>
      </w:r>
      <w:r w:rsidRPr="00FE6501">
        <w:rPr>
          <w:rFonts w:cstheme="minorHAnsi"/>
        </w:rPr>
        <w:t xml:space="preserve"> i ciljeve Crne Gore u odgovarajućim oblastima politike, kao i mjere za njihovo postizanje. Svrha Strategije je da se kroz koordinaciju aktivnosti na uspostavljanju normativnog, institucionalnog i operativnog okvira finansijskih interesa EU, obezbijedi kvalitetna i efikasna zaštita finansijskih interesa EU u istoj mjeri kao </w:t>
      </w:r>
      <w:r w:rsidR="00B87C9C" w:rsidRPr="00FE6501">
        <w:rPr>
          <w:rFonts w:cstheme="minorHAnsi"/>
          <w:lang w:val="sr-Latn-RS"/>
        </w:rPr>
        <w:t xml:space="preserve">što je </w:t>
      </w:r>
      <w:r w:rsidRPr="00FE6501">
        <w:rPr>
          <w:rFonts w:cstheme="minorHAnsi"/>
        </w:rPr>
        <w:t>zaštita vlastitih resursa</w:t>
      </w:r>
      <w:r w:rsidR="00B87C9C" w:rsidRPr="00FE6501">
        <w:rPr>
          <w:rFonts w:cstheme="minorHAnsi"/>
          <w:lang w:val="sr-Latn-RS"/>
        </w:rPr>
        <w:t xml:space="preserve">, </w:t>
      </w:r>
      <w:r w:rsidRPr="00FE6501">
        <w:rPr>
          <w:rFonts w:cstheme="minorHAnsi"/>
        </w:rPr>
        <w:t xml:space="preserve"> </w:t>
      </w:r>
      <w:r w:rsidR="00B87C9C" w:rsidRPr="00FE6501">
        <w:rPr>
          <w:rFonts w:cstheme="minorHAnsi"/>
          <w:lang w:val="sr-Latn-RS"/>
        </w:rPr>
        <w:t>ali</w:t>
      </w:r>
      <w:r w:rsidR="00B87C9C" w:rsidRPr="00FE6501">
        <w:rPr>
          <w:rFonts w:cstheme="minorHAnsi"/>
        </w:rPr>
        <w:t xml:space="preserve"> i definisanje </w:t>
      </w:r>
      <w:r w:rsidRPr="00FE6501">
        <w:rPr>
          <w:rFonts w:cstheme="minorHAnsi"/>
        </w:rPr>
        <w:t>rizik</w:t>
      </w:r>
      <w:r w:rsidR="00B87C9C" w:rsidRPr="00FE6501">
        <w:rPr>
          <w:rFonts w:cstheme="minorHAnsi"/>
          <w:lang w:val="sr-Latn-RS"/>
        </w:rPr>
        <w:t>a</w:t>
      </w:r>
      <w:r w:rsidRPr="00FE6501">
        <w:rPr>
          <w:rFonts w:cstheme="minorHAnsi"/>
        </w:rPr>
        <w:t>, ciljev</w:t>
      </w:r>
      <w:r w:rsidR="00B87C9C" w:rsidRPr="00FE6501">
        <w:rPr>
          <w:rFonts w:cstheme="minorHAnsi"/>
          <w:lang w:val="sr-Latn-RS"/>
        </w:rPr>
        <w:t>a</w:t>
      </w:r>
      <w:r w:rsidRPr="00FE6501">
        <w:rPr>
          <w:rFonts w:cstheme="minorHAnsi"/>
        </w:rPr>
        <w:t xml:space="preserve"> i mjer</w:t>
      </w:r>
      <w:r w:rsidR="00B87C9C" w:rsidRPr="00FE6501">
        <w:rPr>
          <w:rFonts w:cstheme="minorHAnsi"/>
          <w:lang w:val="sr-Latn-RS"/>
        </w:rPr>
        <w:t>a</w:t>
      </w:r>
      <w:r w:rsidRPr="00FE6501">
        <w:rPr>
          <w:rFonts w:cstheme="minorHAnsi"/>
        </w:rPr>
        <w:t xml:space="preserve"> koje će doprinijeti efikasnijoj i </w:t>
      </w:r>
      <w:r w:rsidR="00391F8E">
        <w:rPr>
          <w:rFonts w:cstheme="minorHAnsi"/>
          <w:lang w:val="sr-Latn-RS"/>
        </w:rPr>
        <w:t>djelotvorni</w:t>
      </w:r>
      <w:r w:rsidRPr="00FE6501">
        <w:rPr>
          <w:rFonts w:cstheme="minorHAnsi"/>
        </w:rPr>
        <w:t xml:space="preserve">joj borbi protiv prevara kroz unapređenje saradnje nadležnih organa, kako na nacionalnom, tako i na međunarodnom nivou. </w:t>
      </w:r>
    </w:p>
    <w:p w14:paraId="71986E00" w14:textId="6948418E" w:rsidR="00397FC3"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lang w:val="en-US"/>
        </w:rPr>
      </w:pPr>
      <w:r w:rsidRPr="00FE6501">
        <w:rPr>
          <w:rFonts w:cstheme="minorHAnsi"/>
        </w:rPr>
        <w:t>Na osnovu naučenih lekcija iz Strategije 2015-2017 i analitičk</w:t>
      </w:r>
      <w:r w:rsidR="00B87C9C" w:rsidRPr="00FE6501">
        <w:rPr>
          <w:rFonts w:cstheme="minorHAnsi"/>
          <w:lang w:val="sr-Latn-RS"/>
        </w:rPr>
        <w:t>ih</w:t>
      </w:r>
      <w:r w:rsidRPr="00FE6501">
        <w:rPr>
          <w:rFonts w:cstheme="minorHAnsi"/>
        </w:rPr>
        <w:t xml:space="preserve"> procjen</w:t>
      </w:r>
      <w:r w:rsidR="00B87C9C" w:rsidRPr="00FE6501">
        <w:rPr>
          <w:rFonts w:cstheme="minorHAnsi"/>
          <w:lang w:val="sr-Latn-RS"/>
        </w:rPr>
        <w:t>a</w:t>
      </w:r>
      <w:r w:rsidRPr="00FE6501">
        <w:rPr>
          <w:rFonts w:cstheme="minorHAnsi"/>
        </w:rPr>
        <w:t xml:space="preserve"> dat</w:t>
      </w:r>
      <w:r w:rsidR="00B87C9C" w:rsidRPr="00FE6501">
        <w:rPr>
          <w:rFonts w:cstheme="minorHAnsi"/>
          <w:lang w:val="sr-Latn-RS"/>
        </w:rPr>
        <w:t>ih</w:t>
      </w:r>
      <w:r w:rsidRPr="00FE6501">
        <w:rPr>
          <w:rFonts w:cstheme="minorHAnsi"/>
        </w:rPr>
        <w:t xml:space="preserve"> u </w:t>
      </w:r>
      <w:r w:rsidR="00B87C9C" w:rsidRPr="00FE6501">
        <w:rPr>
          <w:rFonts w:cstheme="minorHAnsi"/>
          <w:lang w:val="sr-Latn-RS"/>
        </w:rPr>
        <w:t xml:space="preserve">finalnom izvještaju </w:t>
      </w:r>
      <w:r w:rsidRPr="00FE6501">
        <w:rPr>
          <w:rFonts w:cstheme="minorHAnsi"/>
        </w:rPr>
        <w:t xml:space="preserve">Tvining </w:t>
      </w:r>
      <w:r w:rsidR="0055625F" w:rsidRPr="00FE6501">
        <w:rPr>
          <w:rFonts w:cstheme="minorHAnsi"/>
          <w:lang w:val="sr-Latn-RS"/>
        </w:rPr>
        <w:t xml:space="preserve">lajt </w:t>
      </w:r>
      <w:r w:rsidRPr="00FE6501">
        <w:rPr>
          <w:rFonts w:cstheme="minorHAnsi"/>
        </w:rPr>
        <w:t xml:space="preserve">projekta 24/222, Strategiju 2019-2022 izradila je AFCOS </w:t>
      </w:r>
      <w:r w:rsidR="00B87C9C" w:rsidRPr="00FE6501">
        <w:rPr>
          <w:rFonts w:cstheme="minorHAnsi"/>
          <w:lang w:val="sr-Latn-RS"/>
        </w:rPr>
        <w:t>k</w:t>
      </w:r>
      <w:r w:rsidR="00B87C9C" w:rsidRPr="00FE6501">
        <w:rPr>
          <w:rFonts w:cstheme="minorHAnsi"/>
        </w:rPr>
        <w:t xml:space="preserve">ancelarija </w:t>
      </w:r>
      <w:r w:rsidRPr="00FE6501">
        <w:rPr>
          <w:rFonts w:cstheme="minorHAnsi"/>
        </w:rPr>
        <w:t xml:space="preserve">uz značajan doprinos </w:t>
      </w:r>
      <w:r w:rsidR="00B87C9C" w:rsidRPr="00FE6501">
        <w:rPr>
          <w:rFonts w:cstheme="minorHAnsi"/>
          <w:lang w:val="sr-Latn-RS"/>
        </w:rPr>
        <w:t>spoljnih</w:t>
      </w:r>
      <w:r w:rsidRPr="00FE6501">
        <w:rPr>
          <w:rFonts w:cstheme="minorHAnsi"/>
        </w:rPr>
        <w:t xml:space="preserve"> eksperata i usvojila Vlada Crne Gore, čime se postavlja ambiciozan i sveobuhvatan okvir nacionalne politike u skladu sa nacionalnim i EU prioritetima u cilju poboljšanja sposobnosti zemlje da zaštiti finansijske interese EU i </w:t>
      </w:r>
      <w:r w:rsidR="00B87C9C" w:rsidRPr="00FE6501">
        <w:rPr>
          <w:rFonts w:cstheme="minorHAnsi"/>
          <w:lang w:val="sr-Latn-RS"/>
        </w:rPr>
        <w:t xml:space="preserve">na taj način </w:t>
      </w:r>
      <w:r w:rsidRPr="00FE6501">
        <w:rPr>
          <w:rFonts w:cstheme="minorHAnsi"/>
        </w:rPr>
        <w:t>ispun</w:t>
      </w:r>
      <w:r w:rsidR="00B87C9C" w:rsidRPr="00FE6501">
        <w:rPr>
          <w:rFonts w:cstheme="minorHAnsi"/>
          <w:lang w:val="sr-Latn-RS"/>
        </w:rPr>
        <w:t>i</w:t>
      </w:r>
      <w:r w:rsidRPr="00FE6501">
        <w:rPr>
          <w:rFonts w:cstheme="minorHAnsi"/>
        </w:rPr>
        <w:t xml:space="preserve"> zahtjeve postavljene u Poglavlju 32</w:t>
      </w:r>
      <w:r w:rsidR="00B87C9C" w:rsidRPr="00FE6501">
        <w:rPr>
          <w:rFonts w:cstheme="minorHAnsi"/>
          <w:lang w:val="sr-Latn-RS"/>
        </w:rPr>
        <w:t xml:space="preserve"> </w:t>
      </w:r>
      <w:r w:rsidRPr="00FE6501">
        <w:rPr>
          <w:rFonts w:cstheme="minorHAnsi"/>
        </w:rPr>
        <w:t>Pretpristupn</w:t>
      </w:r>
      <w:r w:rsidR="00B87C9C" w:rsidRPr="00FE6501">
        <w:rPr>
          <w:rFonts w:cstheme="minorHAnsi"/>
          <w:lang w:val="sr-Latn-RS"/>
        </w:rPr>
        <w:t>ih</w:t>
      </w:r>
      <w:r w:rsidRPr="00FE6501">
        <w:rPr>
          <w:rFonts w:cstheme="minorHAnsi"/>
        </w:rPr>
        <w:t xml:space="preserve"> </w:t>
      </w:r>
      <w:r w:rsidR="00B87C9C" w:rsidRPr="00FE6501">
        <w:rPr>
          <w:rFonts w:cstheme="minorHAnsi"/>
          <w:lang w:val="sr-Latn-RS"/>
        </w:rPr>
        <w:t>pregovora</w:t>
      </w:r>
      <w:r w:rsidRPr="00FE6501">
        <w:rPr>
          <w:rFonts w:cstheme="minorHAnsi"/>
        </w:rPr>
        <w:t xml:space="preserve">. </w:t>
      </w:r>
      <w:bookmarkStart w:id="21" w:name="_Hlk136506425"/>
      <w:r w:rsidRPr="00FE6501">
        <w:rPr>
          <w:rFonts w:cstheme="minorHAnsi"/>
        </w:rPr>
        <w:t xml:space="preserve">Strateški cilj „Jačanje kapaciteta Crne Gore za borbu protiv prevara i unapređenje upravljanja nepravilnostima“ raščlanjen je na tri </w:t>
      </w:r>
      <w:bookmarkEnd w:id="21"/>
      <w:r w:rsidRPr="00FE6501">
        <w:rPr>
          <w:rFonts w:cstheme="minorHAnsi"/>
        </w:rPr>
        <w:t>Operativna cilja:</w:t>
      </w:r>
      <w:r w:rsidR="00397FC3" w:rsidRPr="00FE6501">
        <w:rPr>
          <w:rFonts w:cstheme="minorHAnsi"/>
          <w:noProof/>
        </w:rPr>
        <w:drawing>
          <wp:inline distT="0" distB="0" distL="0" distR="0" wp14:anchorId="160FC038" wp14:editId="5F370FB9">
            <wp:extent cx="5410200" cy="117157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41AD0.tmp"/>
                    <pic:cNvPicPr/>
                  </pic:nvPicPr>
                  <pic:blipFill>
                    <a:blip r:embed="rId10">
                      <a:extLst>
                        <a:ext uri="{28A0092B-C50C-407E-A947-70E740481C1C}">
                          <a14:useLocalDpi xmlns:a14="http://schemas.microsoft.com/office/drawing/2010/main" val="0"/>
                        </a:ext>
                      </a:extLst>
                    </a:blip>
                    <a:stretch>
                      <a:fillRect/>
                    </a:stretch>
                  </pic:blipFill>
                  <pic:spPr>
                    <a:xfrm>
                      <a:off x="0" y="0"/>
                      <a:ext cx="5411854" cy="1171933"/>
                    </a:xfrm>
                    <a:prstGeom prst="rect">
                      <a:avLst/>
                    </a:prstGeom>
                  </pic:spPr>
                </pic:pic>
              </a:graphicData>
            </a:graphic>
          </wp:inline>
        </w:drawing>
      </w:r>
    </w:p>
    <w:p w14:paraId="0D42689C" w14:textId="271764F2" w:rsidR="0078670C"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rPr>
      </w:pPr>
      <w:bookmarkStart w:id="22" w:name="_Hlk136508207"/>
      <w:bookmarkStart w:id="23" w:name="_GoBack"/>
      <w:r w:rsidRPr="00FE6501">
        <w:rPr>
          <w:rFonts w:cstheme="minorHAnsi"/>
        </w:rPr>
        <w:t>Prvi Operativni cilj pod nazivom „Unapređenje funkcionisanja AFCOS sistema u Crnoj Gori kroz uspostavljanje adekvatnog zakon</w:t>
      </w:r>
      <w:r w:rsidR="0055625F" w:rsidRPr="00FE6501">
        <w:rPr>
          <w:rFonts w:cstheme="minorHAnsi"/>
          <w:lang w:val="sr-Latn-RS"/>
        </w:rPr>
        <w:t>odavn</w:t>
      </w:r>
      <w:r w:rsidRPr="00FE6501">
        <w:rPr>
          <w:rFonts w:cstheme="minorHAnsi"/>
        </w:rPr>
        <w:t>og okvira i međuinstitucionaln</w:t>
      </w:r>
      <w:r w:rsidR="0055625F" w:rsidRPr="00FE6501">
        <w:rPr>
          <w:rFonts w:cstheme="minorHAnsi"/>
          <w:lang w:val="sr-Latn-RS"/>
        </w:rPr>
        <w:t>e</w:t>
      </w:r>
      <w:r w:rsidRPr="00FE6501">
        <w:rPr>
          <w:rFonts w:cstheme="minorHAnsi"/>
        </w:rPr>
        <w:t xml:space="preserve"> saradnj</w:t>
      </w:r>
      <w:r w:rsidR="0055625F" w:rsidRPr="00FE6501">
        <w:rPr>
          <w:rFonts w:cstheme="minorHAnsi"/>
          <w:lang w:val="sr-Latn-RS"/>
        </w:rPr>
        <w:t>e</w:t>
      </w:r>
      <w:r w:rsidRPr="00FE6501">
        <w:rPr>
          <w:rFonts w:cstheme="minorHAnsi"/>
        </w:rPr>
        <w:t xml:space="preserve"> </w:t>
      </w:r>
      <w:r w:rsidR="0055625F" w:rsidRPr="00FE6501">
        <w:rPr>
          <w:rFonts w:cstheme="minorHAnsi"/>
          <w:lang w:val="sr-Latn-RS"/>
        </w:rPr>
        <w:t>institucija</w:t>
      </w:r>
      <w:r w:rsidRPr="00FE6501">
        <w:rPr>
          <w:rFonts w:cstheme="minorHAnsi"/>
        </w:rPr>
        <w:t xml:space="preserve"> AFCOS sistema“ prioritetno </w:t>
      </w:r>
      <w:r w:rsidR="0055625F" w:rsidRPr="00FE6501">
        <w:rPr>
          <w:rFonts w:cstheme="minorHAnsi"/>
          <w:lang w:val="sr-Latn-RS"/>
        </w:rPr>
        <w:t>se odnosi na</w:t>
      </w:r>
      <w:r w:rsidRPr="00FE6501">
        <w:rPr>
          <w:rFonts w:cstheme="minorHAnsi"/>
        </w:rPr>
        <w:t xml:space="preserve"> donošenje zakonodavn</w:t>
      </w:r>
      <w:r w:rsidR="0055625F" w:rsidRPr="00FE6501">
        <w:rPr>
          <w:rFonts w:cstheme="minorHAnsi"/>
          <w:lang w:val="sr-Latn-RS"/>
        </w:rPr>
        <w:t xml:space="preserve">og okvira </w:t>
      </w:r>
      <w:r w:rsidRPr="00FE6501">
        <w:rPr>
          <w:rFonts w:cstheme="minorHAnsi"/>
        </w:rPr>
        <w:t>za uspostavljanje funkcionalnog AFCOS sistem</w:t>
      </w:r>
      <w:r w:rsidR="0055625F" w:rsidRPr="00FE6501">
        <w:rPr>
          <w:rFonts w:cstheme="minorHAnsi"/>
          <w:lang w:val="sr-Latn-RS"/>
        </w:rPr>
        <w:t>a</w:t>
      </w:r>
      <w:r w:rsidRPr="00FE6501">
        <w:rPr>
          <w:rFonts w:cstheme="minorHAnsi"/>
        </w:rPr>
        <w:t xml:space="preserve"> kao i među</w:t>
      </w:r>
      <w:r w:rsidR="0055625F" w:rsidRPr="00FE6501">
        <w:rPr>
          <w:rFonts w:cstheme="minorHAnsi"/>
          <w:lang w:val="sr-Latn-RS"/>
        </w:rPr>
        <w:t>institucionalne</w:t>
      </w:r>
      <w:r w:rsidRPr="00FE6501">
        <w:rPr>
          <w:rFonts w:cstheme="minorHAnsi"/>
        </w:rPr>
        <w:t xml:space="preserve"> saradnj</w:t>
      </w:r>
      <w:r w:rsidR="0055625F" w:rsidRPr="00FE6501">
        <w:rPr>
          <w:rFonts w:cstheme="minorHAnsi"/>
          <w:lang w:val="sr-Latn-RS"/>
        </w:rPr>
        <w:t>e</w:t>
      </w:r>
      <w:r w:rsidRPr="00FE6501">
        <w:rPr>
          <w:rFonts w:cstheme="minorHAnsi"/>
        </w:rPr>
        <w:t xml:space="preserve"> kroz potpisivanje </w:t>
      </w:r>
      <w:r w:rsidR="0055625F" w:rsidRPr="00FE6501">
        <w:rPr>
          <w:rFonts w:cstheme="minorHAnsi"/>
          <w:lang w:val="sr-Latn-RS"/>
        </w:rPr>
        <w:t>Protokola</w:t>
      </w:r>
      <w:r w:rsidRPr="00FE6501">
        <w:rPr>
          <w:rFonts w:cstheme="minorHAnsi"/>
        </w:rPr>
        <w:t xml:space="preserve"> o </w:t>
      </w:r>
      <w:r w:rsidR="0055625F" w:rsidRPr="00FE6501">
        <w:rPr>
          <w:rFonts w:cstheme="minorHAnsi"/>
          <w:lang w:val="sr-Latn-RS"/>
        </w:rPr>
        <w:t>saradnji</w:t>
      </w:r>
      <w:r w:rsidRPr="00FE6501">
        <w:rPr>
          <w:rFonts w:cstheme="minorHAnsi"/>
        </w:rPr>
        <w:t xml:space="preserve">. </w:t>
      </w:r>
    </w:p>
    <w:p w14:paraId="5B815EEC" w14:textId="77777777" w:rsidR="0078670C"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rPr>
      </w:pPr>
      <w:r w:rsidRPr="00FE6501">
        <w:rPr>
          <w:rFonts w:cstheme="minorHAnsi"/>
        </w:rPr>
        <w:t xml:space="preserve">Cilj se ostvaruje kroz četiri (4) mjere: </w:t>
      </w:r>
    </w:p>
    <w:p w14:paraId="2228524C" w14:textId="77777777" w:rsidR="0078670C" w:rsidRPr="00FE6501" w:rsidRDefault="0078670C" w:rsidP="00151A65">
      <w:pPr>
        <w:pBdr>
          <w:bottom w:val="single" w:sz="6" w:space="1" w:color="F1F1F5"/>
        </w:pBdr>
        <w:shd w:val="clear" w:color="auto" w:fill="FFFFFF"/>
        <w:spacing w:after="0" w:line="240" w:lineRule="auto"/>
        <w:jc w:val="both"/>
        <w:rPr>
          <w:rFonts w:cstheme="minorHAnsi"/>
        </w:rPr>
      </w:pPr>
      <w:r w:rsidRPr="00FE6501">
        <w:rPr>
          <w:rFonts w:cstheme="minorHAnsi"/>
        </w:rPr>
        <w:t xml:space="preserve">1.1 Usvojiti pravni osnov za funkcionisanje AFCOS sistema i zaštitu finansijskih interesa EU u Crnoj Gori, </w:t>
      </w:r>
    </w:p>
    <w:p w14:paraId="4F802035" w14:textId="77777777" w:rsidR="0078670C" w:rsidRPr="00FE6501" w:rsidRDefault="0078670C" w:rsidP="00151A65">
      <w:pPr>
        <w:pBdr>
          <w:bottom w:val="single" w:sz="6" w:space="1" w:color="F1F1F5"/>
        </w:pBdr>
        <w:shd w:val="clear" w:color="auto" w:fill="FFFFFF"/>
        <w:spacing w:after="0" w:line="240" w:lineRule="auto"/>
        <w:jc w:val="both"/>
        <w:rPr>
          <w:rFonts w:cstheme="minorHAnsi"/>
        </w:rPr>
      </w:pPr>
      <w:r w:rsidRPr="00FE6501">
        <w:rPr>
          <w:rFonts w:cstheme="minorHAnsi"/>
        </w:rPr>
        <w:t>1.2 Učiniti AFCOS sistem potpuno operativnim,</w:t>
      </w:r>
    </w:p>
    <w:p w14:paraId="6D7D2C6B" w14:textId="79A2244D" w:rsidR="0078670C" w:rsidRPr="00FE6501" w:rsidRDefault="0078670C" w:rsidP="00151A65">
      <w:pPr>
        <w:pBdr>
          <w:bottom w:val="single" w:sz="6" w:space="1" w:color="F1F1F5"/>
        </w:pBdr>
        <w:shd w:val="clear" w:color="auto" w:fill="FFFFFF"/>
        <w:spacing w:after="0" w:line="240" w:lineRule="auto"/>
        <w:jc w:val="both"/>
        <w:rPr>
          <w:rFonts w:cstheme="minorHAnsi"/>
        </w:rPr>
      </w:pPr>
      <w:r w:rsidRPr="00FE6501">
        <w:rPr>
          <w:rFonts w:cstheme="minorHAnsi"/>
        </w:rPr>
        <w:t>1.3 Unapređenje međuinstitucionalne saradnje organa AFCOS sistema i saradnje organa AFCOS sistema sa OLAF-om</w:t>
      </w:r>
      <w:r w:rsidR="0055625F" w:rsidRPr="00FE6501">
        <w:rPr>
          <w:rFonts w:cstheme="minorHAnsi"/>
          <w:lang w:val="sr-Latn-RS"/>
        </w:rPr>
        <w:t>,</w:t>
      </w:r>
      <w:r w:rsidRPr="00FE6501">
        <w:rPr>
          <w:rFonts w:cstheme="minorHAnsi"/>
        </w:rPr>
        <w:t xml:space="preserve"> u oblasti upravljanja nepravilnostima,</w:t>
      </w:r>
    </w:p>
    <w:p w14:paraId="78484C19" w14:textId="5D41F795" w:rsidR="0078670C" w:rsidRPr="00151A65" w:rsidRDefault="0078670C" w:rsidP="00151A65">
      <w:pPr>
        <w:pBdr>
          <w:bottom w:val="single" w:sz="6" w:space="1" w:color="F1F1F5"/>
        </w:pBdr>
        <w:shd w:val="clear" w:color="auto" w:fill="FFFFFF"/>
        <w:spacing w:after="0" w:line="240" w:lineRule="auto"/>
        <w:jc w:val="both"/>
        <w:rPr>
          <w:rFonts w:cstheme="minorHAnsi"/>
          <w:lang w:val="sr-Latn-RS"/>
        </w:rPr>
      </w:pPr>
      <w:r w:rsidRPr="00FE6501">
        <w:rPr>
          <w:rFonts w:cstheme="minorHAnsi"/>
        </w:rPr>
        <w:t xml:space="preserve"> 1.4 Unaprijediti rad AFCOS </w:t>
      </w:r>
      <w:r w:rsidRPr="00FE6501">
        <w:rPr>
          <w:rFonts w:cstheme="minorHAnsi"/>
          <w:lang w:val="sr-Latn-RS"/>
        </w:rPr>
        <w:t>kancelarije</w:t>
      </w:r>
      <w:r w:rsidRPr="00FE6501">
        <w:rPr>
          <w:rFonts w:cstheme="minorHAnsi"/>
        </w:rPr>
        <w:t>.</w:t>
      </w:r>
    </w:p>
    <w:p w14:paraId="4DFCF2ED" w14:textId="079D1E28" w:rsidR="0078670C"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rPr>
      </w:pPr>
      <w:r w:rsidRPr="00FE6501">
        <w:rPr>
          <w:rFonts w:cstheme="minorHAnsi"/>
        </w:rPr>
        <w:t>Drugi Operativni cilj pod nazivom „Unapređenje rada organa strukture za prijavljivanje nepravilnosti u oblasti upravljanja nepravilnostima“ stavlja fokus na standardizaciju procesa uz razvoj metodoloških alata za operacionalizaciju sveobuhvatnog sistema upravljanja nepravilnosti i otkrivanje/sprečavanje prevare</w:t>
      </w:r>
      <w:r w:rsidRPr="00FE6501">
        <w:rPr>
          <w:rFonts w:cstheme="minorHAnsi"/>
          <w:lang w:val="sr-Latn-RS"/>
        </w:rPr>
        <w:t>.</w:t>
      </w:r>
      <w:r w:rsidRPr="00FE6501">
        <w:rPr>
          <w:rFonts w:cstheme="minorHAnsi"/>
        </w:rPr>
        <w:t xml:space="preserve"> Cilj se ostvaruje kroz pet (5) mjera: </w:t>
      </w:r>
    </w:p>
    <w:p w14:paraId="2095CF97" w14:textId="77777777" w:rsidR="00AC13A8" w:rsidRDefault="0078670C" w:rsidP="00AC13A8">
      <w:pPr>
        <w:pBdr>
          <w:bottom w:val="single" w:sz="6" w:space="1" w:color="F1F1F5"/>
        </w:pBdr>
        <w:shd w:val="clear" w:color="auto" w:fill="FFFFFF"/>
        <w:spacing w:after="0" w:line="240" w:lineRule="auto"/>
        <w:jc w:val="both"/>
        <w:rPr>
          <w:rFonts w:cstheme="minorHAnsi"/>
        </w:rPr>
      </w:pPr>
      <w:r w:rsidRPr="00FE6501">
        <w:rPr>
          <w:rFonts w:cstheme="minorHAnsi"/>
        </w:rPr>
        <w:lastRenderedPageBreak/>
        <w:t>2.1 Efikasno upravljanje rizikom u oblasti nepravilnosti i prevara,</w:t>
      </w:r>
    </w:p>
    <w:p w14:paraId="26A5246F" w14:textId="3C1671B6" w:rsidR="0078670C" w:rsidRPr="00FE6501" w:rsidRDefault="0078670C" w:rsidP="00AC13A8">
      <w:pPr>
        <w:pBdr>
          <w:bottom w:val="single" w:sz="6" w:space="1" w:color="F1F1F5"/>
        </w:pBdr>
        <w:shd w:val="clear" w:color="auto" w:fill="FFFFFF"/>
        <w:spacing w:after="0" w:line="240" w:lineRule="auto"/>
        <w:jc w:val="both"/>
        <w:rPr>
          <w:rFonts w:cstheme="minorHAnsi"/>
        </w:rPr>
      </w:pPr>
      <w:r w:rsidRPr="00FE6501">
        <w:rPr>
          <w:rFonts w:cstheme="minorHAnsi"/>
        </w:rPr>
        <w:t>2.2 Poboljšanje komunikacije između organa AFCOS sistema, kao i poboljšanje odnosa s javnošću i komunikacije u slučajevima nepravilnosti i sumnje na prevaru,</w:t>
      </w:r>
    </w:p>
    <w:p w14:paraId="6FF0A0A8" w14:textId="44152790" w:rsidR="0078670C" w:rsidRPr="00FE6501" w:rsidRDefault="0078670C" w:rsidP="00AC13A8">
      <w:pPr>
        <w:pBdr>
          <w:bottom w:val="single" w:sz="6" w:space="1" w:color="F1F1F5"/>
        </w:pBdr>
        <w:shd w:val="clear" w:color="auto" w:fill="FFFFFF"/>
        <w:spacing w:after="0" w:line="240" w:lineRule="auto"/>
        <w:jc w:val="both"/>
        <w:rPr>
          <w:rFonts w:cstheme="minorHAnsi"/>
        </w:rPr>
      </w:pPr>
      <w:r w:rsidRPr="00FE6501">
        <w:rPr>
          <w:rFonts w:cstheme="minorHAnsi"/>
        </w:rPr>
        <w:t>2.3 Promovi</w:t>
      </w:r>
      <w:r w:rsidR="009D4FCC" w:rsidRPr="00FE6501">
        <w:rPr>
          <w:rFonts w:cstheme="minorHAnsi"/>
          <w:lang w:val="sr-Latn-RS"/>
        </w:rPr>
        <w:t>s</w:t>
      </w:r>
      <w:r w:rsidRPr="00FE6501">
        <w:rPr>
          <w:rFonts w:cstheme="minorHAnsi"/>
        </w:rPr>
        <w:t xml:space="preserve">anje etike i integriteta u javnoj upravi, </w:t>
      </w:r>
    </w:p>
    <w:p w14:paraId="0C708B64" w14:textId="77777777" w:rsidR="0078670C" w:rsidRPr="00FE6501" w:rsidRDefault="0078670C" w:rsidP="00AC13A8">
      <w:pPr>
        <w:pBdr>
          <w:bottom w:val="single" w:sz="6" w:space="1" w:color="F1F1F5"/>
        </w:pBdr>
        <w:shd w:val="clear" w:color="auto" w:fill="FFFFFF"/>
        <w:spacing w:after="0" w:line="240" w:lineRule="auto"/>
        <w:jc w:val="both"/>
        <w:rPr>
          <w:rFonts w:cstheme="minorHAnsi"/>
        </w:rPr>
      </w:pPr>
      <w:r w:rsidRPr="00FE6501">
        <w:rPr>
          <w:rFonts w:cstheme="minorHAnsi"/>
        </w:rPr>
        <w:t xml:space="preserve">2.4 Zaštita uzbunjivača </w:t>
      </w:r>
    </w:p>
    <w:p w14:paraId="2889596E" w14:textId="77777777" w:rsidR="004D489D" w:rsidRPr="00FE6501" w:rsidRDefault="0078670C" w:rsidP="00AC13A8">
      <w:pPr>
        <w:pBdr>
          <w:bottom w:val="single" w:sz="6" w:space="1" w:color="F1F1F5"/>
        </w:pBdr>
        <w:shd w:val="clear" w:color="auto" w:fill="FFFFFF"/>
        <w:spacing w:after="0" w:line="240" w:lineRule="auto"/>
        <w:jc w:val="both"/>
        <w:rPr>
          <w:rFonts w:cstheme="minorHAnsi"/>
        </w:rPr>
      </w:pPr>
      <w:r w:rsidRPr="00FE6501">
        <w:rPr>
          <w:rFonts w:cstheme="minorHAnsi"/>
        </w:rPr>
        <w:t xml:space="preserve">2.5 Poboljšanje procedura upravljanja nepravilnostima. </w:t>
      </w:r>
    </w:p>
    <w:p w14:paraId="598E93A2" w14:textId="3585F0D0" w:rsidR="0078670C" w:rsidRPr="00FE6501" w:rsidRDefault="0078670C" w:rsidP="00E63F8E">
      <w:pPr>
        <w:pBdr>
          <w:bottom w:val="single" w:sz="6" w:space="1" w:color="F1F1F5"/>
        </w:pBdr>
        <w:shd w:val="clear" w:color="auto" w:fill="FFFFFF"/>
        <w:spacing w:before="100" w:beforeAutospacing="1" w:after="100" w:afterAutospacing="1" w:line="276" w:lineRule="auto"/>
        <w:jc w:val="both"/>
        <w:rPr>
          <w:rFonts w:cstheme="minorHAnsi"/>
          <w:lang w:val="en-US"/>
        </w:rPr>
      </w:pPr>
      <w:r w:rsidRPr="00FE6501">
        <w:rPr>
          <w:rFonts w:cstheme="minorHAnsi"/>
        </w:rPr>
        <w:t xml:space="preserve">Treći Operativni cilj pod naslovom „Jačanje administrativnih kapaciteta AFCOS sistema“ naglašava </w:t>
      </w:r>
      <w:r w:rsidR="00975CDE" w:rsidRPr="00FE6501">
        <w:rPr>
          <w:rFonts w:cstheme="minorHAnsi"/>
          <w:lang w:val="sr-Latn-RS"/>
        </w:rPr>
        <w:t>kreiranje</w:t>
      </w:r>
      <w:r w:rsidRPr="00FE6501">
        <w:rPr>
          <w:rFonts w:cstheme="minorHAnsi"/>
        </w:rPr>
        <w:t xml:space="preserve"> i implementaciju </w:t>
      </w:r>
      <w:r w:rsidR="00975CDE" w:rsidRPr="00FE6501">
        <w:rPr>
          <w:rFonts w:cstheme="minorHAnsi"/>
          <w:lang w:val="sr-Latn-RS"/>
        </w:rPr>
        <w:t>sveobuhvatnog kataloga treninga/</w:t>
      </w:r>
      <w:r w:rsidRPr="00FE6501">
        <w:rPr>
          <w:rFonts w:cstheme="minorHAnsi"/>
        </w:rPr>
        <w:t xml:space="preserve"> obuk</w:t>
      </w:r>
      <w:r w:rsidR="00975CDE" w:rsidRPr="00FE6501">
        <w:rPr>
          <w:rFonts w:cstheme="minorHAnsi"/>
          <w:lang w:val="sr-Latn-RS"/>
        </w:rPr>
        <w:t>a</w:t>
      </w:r>
      <w:r w:rsidRPr="00FE6501">
        <w:rPr>
          <w:rFonts w:cstheme="minorHAnsi"/>
        </w:rPr>
        <w:t xml:space="preserve"> u oblastima prevencije i otkrivanja prevara i upravljanja nepravilnostima. Cilj se ostvaruje kroz sljedeće mjere:</w:t>
      </w:r>
    </w:p>
    <w:p w14:paraId="2FD8106A" w14:textId="77777777" w:rsidR="007B0065" w:rsidRPr="00FE6501" w:rsidRDefault="007B0065" w:rsidP="00E63F8E">
      <w:pPr>
        <w:pBdr>
          <w:bottom w:val="single" w:sz="6" w:space="1" w:color="F1F1F5"/>
        </w:pBdr>
        <w:shd w:val="clear" w:color="auto" w:fill="FFFFFF"/>
        <w:spacing w:before="100" w:beforeAutospacing="1" w:after="100" w:afterAutospacing="1" w:line="276" w:lineRule="auto"/>
        <w:jc w:val="both"/>
        <w:rPr>
          <w:rFonts w:cstheme="minorHAnsi"/>
        </w:rPr>
      </w:pPr>
      <w:bookmarkStart w:id="24" w:name="_Hlk131512516"/>
      <w:r w:rsidRPr="00FE6501">
        <w:rPr>
          <w:rFonts w:cstheme="minorHAnsi"/>
        </w:rPr>
        <w:t xml:space="preserve">3.1. Sistematsko sprovođenje obuke za upravljanje nepravilnostima. </w:t>
      </w:r>
    </w:p>
    <w:bookmarkEnd w:id="22"/>
    <w:bookmarkEnd w:id="23"/>
    <w:p w14:paraId="67DE2F64" w14:textId="3AB3328B" w:rsidR="004D489D" w:rsidRPr="00FE6501" w:rsidRDefault="007B0065" w:rsidP="00E63F8E">
      <w:pPr>
        <w:pBdr>
          <w:bottom w:val="single" w:sz="6" w:space="1" w:color="F1F1F5"/>
        </w:pBdr>
        <w:shd w:val="clear" w:color="auto" w:fill="FFFFFF"/>
        <w:spacing w:before="100" w:beforeAutospacing="1" w:after="100" w:afterAutospacing="1" w:line="276" w:lineRule="auto"/>
        <w:jc w:val="both"/>
        <w:rPr>
          <w:rFonts w:cstheme="minorHAnsi"/>
          <w:lang w:val="sr-Latn-RS"/>
        </w:rPr>
      </w:pPr>
      <w:r w:rsidRPr="00FE6501">
        <w:rPr>
          <w:rFonts w:cstheme="minorHAnsi"/>
        </w:rPr>
        <w:t xml:space="preserve">Mjere Strategije su materijalizovane kroz niz aktivnosti čija se implementacija odvijala u okviru godišnjih akcionih planova. </w:t>
      </w:r>
      <w:r w:rsidR="004D6E5E">
        <w:rPr>
          <w:rFonts w:cstheme="minorHAnsi"/>
          <w:lang w:val="sr-Latn-RS"/>
        </w:rPr>
        <w:t>E</w:t>
      </w:r>
      <w:r w:rsidRPr="00FE6501">
        <w:rPr>
          <w:rFonts w:cstheme="minorHAnsi"/>
        </w:rPr>
        <w:t>valuaci</w:t>
      </w:r>
      <w:r w:rsidR="004D6E5E">
        <w:rPr>
          <w:rFonts w:cstheme="minorHAnsi"/>
          <w:lang w:val="sr-Latn-RS"/>
        </w:rPr>
        <w:t>oni tim</w:t>
      </w:r>
      <w:r w:rsidRPr="00FE6501">
        <w:rPr>
          <w:rFonts w:cstheme="minorHAnsi"/>
        </w:rPr>
        <w:t xml:space="preserve"> je u početnom pokušaju </w:t>
      </w:r>
      <w:r w:rsidR="004D6E5E" w:rsidRPr="004D6E5E">
        <w:rPr>
          <w:rFonts w:cstheme="minorHAnsi"/>
          <w:lang w:val="sr-Latn-RS"/>
        </w:rPr>
        <w:t>da analizira uzročno-posljedičnu</w:t>
      </w:r>
      <w:r w:rsidRPr="004D6E5E">
        <w:rPr>
          <w:rFonts w:cstheme="minorHAnsi"/>
        </w:rPr>
        <w:t xml:space="preserve"> logiku dokumenta klasifikovao ovih dvadeset (20) aktivnos</w:t>
      </w:r>
      <w:r w:rsidRPr="00FE6501">
        <w:rPr>
          <w:rFonts w:cstheme="minorHAnsi"/>
        </w:rPr>
        <w:t>ti u četiri (4) široka tematska područja, odnosno</w:t>
      </w:r>
      <w:r w:rsidR="004D489D" w:rsidRPr="00FE6501">
        <w:rPr>
          <w:rFonts w:cstheme="minorHAnsi"/>
          <w:lang w:val="sr-Latn-RS"/>
        </w:rPr>
        <w:t>:</w:t>
      </w:r>
    </w:p>
    <w:p w14:paraId="034E0454" w14:textId="77777777" w:rsidR="004D489D" w:rsidRPr="00FE6501" w:rsidRDefault="007B0065" w:rsidP="00151A65">
      <w:pPr>
        <w:pStyle w:val="ListParagraph"/>
        <w:numPr>
          <w:ilvl w:val="0"/>
          <w:numId w:val="22"/>
        </w:numPr>
        <w:pBdr>
          <w:bottom w:val="single" w:sz="6" w:space="1" w:color="F1F1F5"/>
        </w:pBdr>
        <w:shd w:val="clear" w:color="auto" w:fill="FFFFFF"/>
        <w:spacing w:after="0" w:line="240" w:lineRule="auto"/>
        <w:ind w:left="760" w:hanging="357"/>
        <w:jc w:val="both"/>
        <w:rPr>
          <w:rFonts w:cstheme="minorHAnsi"/>
          <w:lang w:val="en-US"/>
        </w:rPr>
      </w:pPr>
      <w:r w:rsidRPr="00FE6501">
        <w:rPr>
          <w:rFonts w:cstheme="minorHAnsi"/>
        </w:rPr>
        <w:t xml:space="preserve">pravni okvir </w:t>
      </w:r>
    </w:p>
    <w:p w14:paraId="3703A6BD" w14:textId="2F4C0E20" w:rsidR="004D489D" w:rsidRPr="00FE6501" w:rsidRDefault="007B0065" w:rsidP="00151A65">
      <w:pPr>
        <w:pStyle w:val="ListParagraph"/>
        <w:numPr>
          <w:ilvl w:val="0"/>
          <w:numId w:val="22"/>
        </w:numPr>
        <w:pBdr>
          <w:bottom w:val="single" w:sz="6" w:space="1" w:color="F1F1F5"/>
        </w:pBdr>
        <w:shd w:val="clear" w:color="auto" w:fill="FFFFFF"/>
        <w:spacing w:after="0" w:line="240" w:lineRule="auto"/>
        <w:ind w:left="760" w:hanging="357"/>
        <w:jc w:val="both"/>
        <w:rPr>
          <w:rFonts w:cstheme="minorHAnsi"/>
          <w:lang w:val="en-US"/>
        </w:rPr>
      </w:pPr>
      <w:r w:rsidRPr="00FE6501">
        <w:rPr>
          <w:rFonts w:cstheme="minorHAnsi"/>
        </w:rPr>
        <w:t>među</w:t>
      </w:r>
      <w:r w:rsidR="004D489D" w:rsidRPr="00FE6501">
        <w:rPr>
          <w:rFonts w:cstheme="minorHAnsi"/>
        </w:rPr>
        <w:t>institucionalna</w:t>
      </w:r>
      <w:r w:rsidR="000720A4" w:rsidRPr="00FE6501">
        <w:rPr>
          <w:rFonts w:cstheme="minorHAnsi"/>
        </w:rPr>
        <w:t xml:space="preserve"> saradnja</w:t>
      </w:r>
      <w:r w:rsidRPr="00FE6501">
        <w:rPr>
          <w:rFonts w:cstheme="minorHAnsi"/>
        </w:rPr>
        <w:t xml:space="preserve"> </w:t>
      </w:r>
    </w:p>
    <w:p w14:paraId="6DD961B4" w14:textId="77777777" w:rsidR="004D489D" w:rsidRPr="00FE6501" w:rsidRDefault="007B0065" w:rsidP="00151A65">
      <w:pPr>
        <w:pStyle w:val="ListParagraph"/>
        <w:numPr>
          <w:ilvl w:val="0"/>
          <w:numId w:val="22"/>
        </w:numPr>
        <w:pBdr>
          <w:bottom w:val="single" w:sz="6" w:space="1" w:color="F1F1F5"/>
        </w:pBdr>
        <w:shd w:val="clear" w:color="auto" w:fill="FFFFFF"/>
        <w:spacing w:after="0" w:line="240" w:lineRule="auto"/>
        <w:ind w:left="760" w:hanging="357"/>
        <w:jc w:val="both"/>
        <w:rPr>
          <w:rFonts w:cstheme="minorHAnsi"/>
          <w:lang w:val="en-US"/>
        </w:rPr>
      </w:pPr>
      <w:r w:rsidRPr="00FE6501">
        <w:rPr>
          <w:rFonts w:cstheme="minorHAnsi"/>
        </w:rPr>
        <w:t>operativne procedure i alati</w:t>
      </w:r>
    </w:p>
    <w:p w14:paraId="30B6184A" w14:textId="331BB51E" w:rsidR="007B0065" w:rsidRPr="00FE6501" w:rsidRDefault="007B0065" w:rsidP="00151A65">
      <w:pPr>
        <w:pStyle w:val="ListParagraph"/>
        <w:numPr>
          <w:ilvl w:val="0"/>
          <w:numId w:val="22"/>
        </w:numPr>
        <w:pBdr>
          <w:bottom w:val="single" w:sz="6" w:space="1" w:color="F1F1F5"/>
        </w:pBdr>
        <w:shd w:val="clear" w:color="auto" w:fill="FFFFFF"/>
        <w:spacing w:after="0" w:line="240" w:lineRule="auto"/>
        <w:ind w:left="760" w:hanging="357"/>
        <w:jc w:val="both"/>
        <w:rPr>
          <w:rFonts w:cstheme="minorHAnsi"/>
          <w:lang w:val="en-US"/>
        </w:rPr>
      </w:pPr>
      <w:r w:rsidRPr="00FE6501">
        <w:rPr>
          <w:rFonts w:cstheme="minorHAnsi"/>
        </w:rPr>
        <w:t xml:space="preserve">inicijative za izgradnju </w:t>
      </w:r>
      <w:r w:rsidR="00B72EEE" w:rsidRPr="00FE6501">
        <w:rPr>
          <w:rFonts w:cstheme="minorHAnsi"/>
        </w:rPr>
        <w:t xml:space="preserve">administrativnih </w:t>
      </w:r>
      <w:r w:rsidRPr="00FE6501">
        <w:rPr>
          <w:rFonts w:cstheme="minorHAnsi"/>
        </w:rPr>
        <w:t>kapaciteta.</w:t>
      </w:r>
    </w:p>
    <w:p w14:paraId="09304095" w14:textId="360FE6BC" w:rsidR="00E9357D" w:rsidRPr="00FE6501" w:rsidRDefault="004D489D" w:rsidP="00E63F8E">
      <w:pPr>
        <w:pBdr>
          <w:bottom w:val="single" w:sz="6" w:space="1" w:color="F1F1F5"/>
        </w:pBdr>
        <w:shd w:val="clear" w:color="auto" w:fill="FFFFFF"/>
        <w:spacing w:before="100" w:beforeAutospacing="1" w:after="100" w:afterAutospacing="1" w:line="276" w:lineRule="auto"/>
        <w:jc w:val="center"/>
        <w:rPr>
          <w:rFonts w:cstheme="minorHAnsi"/>
          <w:b/>
          <w:lang w:val="en-US"/>
        </w:rPr>
      </w:pPr>
      <w:r w:rsidRPr="00FE6501">
        <w:rPr>
          <w:rFonts w:cstheme="minorHAnsi"/>
          <w:b/>
          <w:lang w:val="en-US"/>
        </w:rPr>
        <w:t>KLASIFIKACIJA AKTIVNOSTI PO TEMATSKOM PODRUČJU</w:t>
      </w:r>
    </w:p>
    <w:tbl>
      <w:tblPr>
        <w:tblW w:w="8359" w:type="dxa"/>
        <w:tblLook w:val="04A0" w:firstRow="1" w:lastRow="0" w:firstColumn="1" w:lastColumn="0" w:noHBand="0" w:noVBand="1"/>
      </w:tblPr>
      <w:tblGrid>
        <w:gridCol w:w="1211"/>
        <w:gridCol w:w="4698"/>
        <w:gridCol w:w="2450"/>
      </w:tblGrid>
      <w:tr w:rsidR="00E9357D" w:rsidRPr="00FE6501" w14:paraId="301E621C" w14:textId="77777777" w:rsidTr="0052647F">
        <w:trPr>
          <w:trHeight w:val="600"/>
          <w:tblHeader/>
        </w:trPr>
        <w:tc>
          <w:tcPr>
            <w:tcW w:w="1211" w:type="dxa"/>
            <w:tcBorders>
              <w:top w:val="single" w:sz="4" w:space="0" w:color="auto"/>
              <w:left w:val="single" w:sz="4" w:space="0" w:color="auto"/>
              <w:bottom w:val="single" w:sz="4" w:space="0" w:color="auto"/>
              <w:right w:val="single" w:sz="4" w:space="0" w:color="auto"/>
            </w:tcBorders>
            <w:noWrap/>
            <w:vAlign w:val="center"/>
            <w:hideMark/>
          </w:tcPr>
          <w:p w14:paraId="1B2A3EEA" w14:textId="32F28231" w:rsidR="00E9357D" w:rsidRPr="00FE6501" w:rsidRDefault="004D489D" w:rsidP="00E63F8E">
            <w:pPr>
              <w:spacing w:after="0" w:line="276" w:lineRule="auto"/>
              <w:jc w:val="center"/>
              <w:rPr>
                <w:rFonts w:eastAsia="Times New Roman" w:cstheme="minorHAnsi"/>
                <w:b/>
                <w:bCs/>
                <w:color w:val="000000"/>
                <w:lang w:eastAsia="el-GR"/>
              </w:rPr>
            </w:pPr>
            <w:r w:rsidRPr="00FE6501">
              <w:rPr>
                <w:rFonts w:eastAsia="Times New Roman" w:cstheme="minorHAnsi"/>
                <w:b/>
                <w:bCs/>
                <w:color w:val="000000"/>
                <w:lang w:val="sr-Latn-RS" w:eastAsia="el-GR"/>
              </w:rPr>
              <w:t>MJERE</w:t>
            </w:r>
            <w:r w:rsidR="00E9357D" w:rsidRPr="00FE6501">
              <w:rPr>
                <w:rFonts w:eastAsia="Times New Roman" w:cstheme="minorHAnsi"/>
                <w:b/>
                <w:bCs/>
                <w:color w:val="000000"/>
                <w:lang w:eastAsia="el-GR"/>
              </w:rPr>
              <w:t xml:space="preserve"> </w:t>
            </w:r>
          </w:p>
        </w:tc>
        <w:tc>
          <w:tcPr>
            <w:tcW w:w="5305" w:type="dxa"/>
            <w:tcBorders>
              <w:top w:val="single" w:sz="4" w:space="0" w:color="auto"/>
              <w:left w:val="nil"/>
              <w:bottom w:val="single" w:sz="4" w:space="0" w:color="auto"/>
              <w:right w:val="single" w:sz="4" w:space="0" w:color="auto"/>
            </w:tcBorders>
            <w:shd w:val="clear" w:color="auto" w:fill="D9E1F2"/>
            <w:vAlign w:val="center"/>
            <w:hideMark/>
          </w:tcPr>
          <w:p w14:paraId="3EBC65FC" w14:textId="6DEBA277" w:rsidR="00E9357D" w:rsidRPr="00FE6501" w:rsidRDefault="00E9357D" w:rsidP="00E63F8E">
            <w:pPr>
              <w:spacing w:after="0" w:line="276" w:lineRule="auto"/>
              <w:jc w:val="center"/>
              <w:rPr>
                <w:rFonts w:eastAsia="Times New Roman" w:cstheme="minorHAnsi"/>
                <w:b/>
                <w:bCs/>
                <w:color w:val="000000"/>
                <w:lang w:val="sr-Latn-RS" w:eastAsia="el-GR"/>
              </w:rPr>
            </w:pPr>
            <w:r w:rsidRPr="00FE6501">
              <w:rPr>
                <w:rFonts w:eastAsia="Times New Roman" w:cstheme="minorHAnsi"/>
                <w:b/>
                <w:bCs/>
                <w:color w:val="000000"/>
                <w:lang w:eastAsia="el-GR"/>
              </w:rPr>
              <w:t>A</w:t>
            </w:r>
            <w:r w:rsidR="004D489D" w:rsidRPr="00FE6501">
              <w:rPr>
                <w:rFonts w:eastAsia="Times New Roman" w:cstheme="minorHAnsi"/>
                <w:b/>
                <w:bCs/>
                <w:color w:val="000000"/>
                <w:lang w:val="sr-Latn-RS" w:eastAsia="el-GR"/>
              </w:rPr>
              <w:t>KTIVNOSTI</w:t>
            </w:r>
          </w:p>
        </w:tc>
        <w:tc>
          <w:tcPr>
            <w:tcW w:w="1843" w:type="dxa"/>
            <w:tcBorders>
              <w:top w:val="single" w:sz="4" w:space="0" w:color="auto"/>
              <w:left w:val="nil"/>
              <w:bottom w:val="single" w:sz="4" w:space="0" w:color="auto"/>
              <w:right w:val="single" w:sz="4" w:space="0" w:color="auto"/>
            </w:tcBorders>
            <w:shd w:val="clear" w:color="auto" w:fill="D9E1F2"/>
            <w:vAlign w:val="center"/>
            <w:hideMark/>
          </w:tcPr>
          <w:p w14:paraId="5CA13941" w14:textId="1C4EABFC" w:rsidR="00E9357D" w:rsidRPr="00FE6501" w:rsidRDefault="004D489D" w:rsidP="00E63F8E">
            <w:pPr>
              <w:spacing w:after="0" w:line="276" w:lineRule="auto"/>
              <w:jc w:val="center"/>
              <w:rPr>
                <w:rFonts w:eastAsia="Times New Roman" w:cstheme="minorHAnsi"/>
                <w:b/>
                <w:bCs/>
                <w:color w:val="000000"/>
                <w:lang w:val="sr-Latn-RS" w:eastAsia="el-GR"/>
              </w:rPr>
            </w:pPr>
            <w:r w:rsidRPr="00FE6501">
              <w:rPr>
                <w:rFonts w:eastAsia="Times New Roman" w:cstheme="minorHAnsi"/>
                <w:b/>
                <w:bCs/>
                <w:color w:val="000000"/>
                <w:lang w:val="sr-Latn-RS" w:eastAsia="el-GR"/>
              </w:rPr>
              <w:t>TEMATSKO PODRUČJE</w:t>
            </w:r>
          </w:p>
        </w:tc>
      </w:tr>
      <w:tr w:rsidR="00E9357D" w:rsidRPr="00FE6501" w14:paraId="3DE6870B"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18A68A71"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1.1</w:t>
            </w:r>
          </w:p>
        </w:tc>
        <w:tc>
          <w:tcPr>
            <w:tcW w:w="5305" w:type="dxa"/>
            <w:tcBorders>
              <w:top w:val="nil"/>
              <w:left w:val="nil"/>
              <w:bottom w:val="single" w:sz="4" w:space="0" w:color="auto"/>
              <w:right w:val="single" w:sz="4" w:space="0" w:color="auto"/>
            </w:tcBorders>
            <w:shd w:val="clear" w:color="auto" w:fill="D9E1F2"/>
            <w:vAlign w:val="center"/>
            <w:hideMark/>
          </w:tcPr>
          <w:p w14:paraId="4819C25A" w14:textId="1A891917" w:rsidR="00E9357D" w:rsidRPr="00FE6501" w:rsidRDefault="00F9065F" w:rsidP="00F9065F">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en-US" w:eastAsia="el-GR"/>
              </w:rPr>
              <w:t>Donošenje pravne osnove za funkcionisanje AFCOS sistema i zaštitu finansijskih interesa EU u Crnoj Gori</w:t>
            </w:r>
          </w:p>
        </w:tc>
        <w:tc>
          <w:tcPr>
            <w:tcW w:w="1843" w:type="dxa"/>
            <w:tcBorders>
              <w:top w:val="nil"/>
              <w:left w:val="nil"/>
              <w:bottom w:val="single" w:sz="4" w:space="0" w:color="auto"/>
              <w:right w:val="single" w:sz="4" w:space="0" w:color="auto"/>
            </w:tcBorders>
            <w:shd w:val="clear" w:color="auto" w:fill="D9E1F2"/>
            <w:vAlign w:val="center"/>
            <w:hideMark/>
          </w:tcPr>
          <w:p w14:paraId="1F41E478" w14:textId="0B5DC13D" w:rsidR="00E9357D" w:rsidRPr="00FE6501" w:rsidRDefault="004D489D" w:rsidP="00E63F8E">
            <w:pPr>
              <w:spacing w:after="0" w:line="276" w:lineRule="auto"/>
              <w:jc w:val="center"/>
              <w:rPr>
                <w:rFonts w:eastAsia="Times New Roman" w:cstheme="minorHAnsi"/>
                <w:color w:val="000000"/>
                <w:lang w:val="sr-Latn-RS" w:eastAsia="el-GR"/>
              </w:rPr>
            </w:pPr>
            <w:r w:rsidRPr="00FE6501">
              <w:rPr>
                <w:rFonts w:eastAsia="Times New Roman" w:cstheme="minorHAnsi"/>
                <w:color w:val="000000"/>
                <w:lang w:val="sr-Latn-RS" w:eastAsia="el-GR"/>
              </w:rPr>
              <w:t>UNAPRIJEDITI ZAKONODAVNI OKVIR</w:t>
            </w:r>
          </w:p>
        </w:tc>
      </w:tr>
      <w:tr w:rsidR="00E9357D" w:rsidRPr="00FE6501" w14:paraId="62CE24F3"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4FD7745B"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1.2</w:t>
            </w:r>
          </w:p>
        </w:tc>
        <w:tc>
          <w:tcPr>
            <w:tcW w:w="5305" w:type="dxa"/>
            <w:tcBorders>
              <w:top w:val="nil"/>
              <w:left w:val="nil"/>
              <w:bottom w:val="single" w:sz="4" w:space="0" w:color="auto"/>
              <w:right w:val="single" w:sz="4" w:space="0" w:color="auto"/>
            </w:tcBorders>
            <w:shd w:val="clear" w:color="auto" w:fill="D9E1F2"/>
            <w:vAlign w:val="center"/>
            <w:hideMark/>
          </w:tcPr>
          <w:p w14:paraId="1797AC37" w14:textId="6E7F055B" w:rsidR="00E9357D" w:rsidRPr="00FE6501" w:rsidRDefault="00F9065F"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en-US" w:eastAsia="el-GR"/>
              </w:rPr>
              <w:t>Postizanje pune operativnosti AFCOS sistema</w:t>
            </w:r>
          </w:p>
        </w:tc>
        <w:tc>
          <w:tcPr>
            <w:tcW w:w="1843" w:type="dxa"/>
            <w:tcBorders>
              <w:top w:val="nil"/>
              <w:left w:val="nil"/>
              <w:bottom w:val="single" w:sz="4" w:space="0" w:color="auto"/>
              <w:right w:val="single" w:sz="4" w:space="0" w:color="auto"/>
            </w:tcBorders>
            <w:shd w:val="clear" w:color="auto" w:fill="D9E1F2"/>
            <w:vAlign w:val="center"/>
            <w:hideMark/>
          </w:tcPr>
          <w:p w14:paraId="30B675B3" w14:textId="3A713EC9" w:rsidR="00E9357D" w:rsidRPr="00FE6501" w:rsidRDefault="004D489D"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UNAPRIJEDITI ZAKONODAVNI OKVIR</w:t>
            </w:r>
          </w:p>
        </w:tc>
      </w:tr>
      <w:tr w:rsidR="00E9357D" w:rsidRPr="00FE6501" w14:paraId="2517F61B"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196C5EB6"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1.3</w:t>
            </w:r>
          </w:p>
        </w:tc>
        <w:tc>
          <w:tcPr>
            <w:tcW w:w="5305" w:type="dxa"/>
            <w:tcBorders>
              <w:top w:val="nil"/>
              <w:left w:val="nil"/>
              <w:bottom w:val="single" w:sz="4" w:space="0" w:color="auto"/>
              <w:right w:val="single" w:sz="4" w:space="0" w:color="auto"/>
            </w:tcBorders>
            <w:shd w:val="clear" w:color="auto" w:fill="D9E1F2"/>
            <w:vAlign w:val="center"/>
            <w:hideMark/>
          </w:tcPr>
          <w:p w14:paraId="6D7A3D30" w14:textId="272DFDAB" w:rsidR="00E9357D" w:rsidRPr="00FE6501" w:rsidRDefault="00F9065F"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sr-Latn-CS" w:eastAsia="el-GR"/>
              </w:rPr>
              <w:t>Donijeti Uredbu o institucionalnom okviru funkcionisanja sistema za suzbijanje nepravilnosti i prevara (AFCOS sistema) u Crnoj Gori</w:t>
            </w:r>
          </w:p>
        </w:tc>
        <w:tc>
          <w:tcPr>
            <w:tcW w:w="1843" w:type="dxa"/>
            <w:tcBorders>
              <w:top w:val="nil"/>
              <w:left w:val="nil"/>
              <w:bottom w:val="single" w:sz="4" w:space="0" w:color="auto"/>
              <w:right w:val="single" w:sz="4" w:space="0" w:color="auto"/>
            </w:tcBorders>
            <w:shd w:val="clear" w:color="auto" w:fill="D9E1F2"/>
            <w:vAlign w:val="center"/>
            <w:hideMark/>
          </w:tcPr>
          <w:p w14:paraId="058A48D0" w14:textId="76E318B9" w:rsidR="00E9357D" w:rsidRPr="00FE6501" w:rsidRDefault="004D489D"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UNAPRIJEDITI ZAKONODAVNI OKVIR</w:t>
            </w:r>
          </w:p>
        </w:tc>
      </w:tr>
      <w:tr w:rsidR="00E9357D" w:rsidRPr="00FE6501" w14:paraId="1008F279"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23493989"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1.3</w:t>
            </w:r>
          </w:p>
        </w:tc>
        <w:tc>
          <w:tcPr>
            <w:tcW w:w="5305" w:type="dxa"/>
            <w:tcBorders>
              <w:top w:val="nil"/>
              <w:left w:val="nil"/>
              <w:bottom w:val="single" w:sz="4" w:space="0" w:color="auto"/>
              <w:right w:val="single" w:sz="4" w:space="0" w:color="auto"/>
            </w:tcBorders>
            <w:shd w:val="clear" w:color="auto" w:fill="D9E1F2"/>
            <w:vAlign w:val="center"/>
            <w:hideMark/>
          </w:tcPr>
          <w:p w14:paraId="4B30FA6F" w14:textId="57961688" w:rsidR="00E9357D" w:rsidRPr="00FE6501" w:rsidRDefault="00F9065F"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sr-Latn-CS" w:eastAsia="el-GR"/>
              </w:rPr>
              <w:t>Potpisati protokole o saradnji između Ministarstva finansija i Revizorskog tijela, Državnog tužilaštva i Uprave policije</w:t>
            </w:r>
          </w:p>
        </w:tc>
        <w:tc>
          <w:tcPr>
            <w:tcW w:w="1843" w:type="dxa"/>
            <w:tcBorders>
              <w:top w:val="nil"/>
              <w:left w:val="nil"/>
              <w:bottom w:val="single" w:sz="4" w:space="0" w:color="auto"/>
              <w:right w:val="single" w:sz="4" w:space="0" w:color="auto"/>
            </w:tcBorders>
            <w:shd w:val="clear" w:color="auto" w:fill="D9E1F2"/>
            <w:vAlign w:val="center"/>
            <w:hideMark/>
          </w:tcPr>
          <w:p w14:paraId="5928D3FA" w14:textId="77777777" w:rsidR="00DC00BC" w:rsidRPr="00FE6501" w:rsidRDefault="00DC00BC" w:rsidP="00DC00BC">
            <w:pPr>
              <w:spacing w:after="0" w:line="276" w:lineRule="auto"/>
              <w:jc w:val="both"/>
              <w:rPr>
                <w:rFonts w:eastAsia="Times New Roman" w:cstheme="minorHAnsi"/>
                <w:color w:val="000000"/>
                <w:lang w:val="en-US" w:eastAsia="el-GR"/>
              </w:rPr>
            </w:pPr>
            <w:r w:rsidRPr="00FE6501">
              <w:rPr>
                <w:rFonts w:eastAsia="Times New Roman" w:cstheme="minorHAnsi"/>
                <w:color w:val="000000"/>
                <w:lang w:val="en-US" w:eastAsia="el-GR"/>
              </w:rPr>
              <w:t xml:space="preserve">MEĐUINSTITUCIONALNA    </w:t>
            </w:r>
          </w:p>
          <w:p w14:paraId="310460F9" w14:textId="0703332C" w:rsidR="00E9357D" w:rsidRPr="00FE6501" w:rsidRDefault="00DC00BC" w:rsidP="00DC00BC">
            <w:pPr>
              <w:spacing w:after="0" w:line="276" w:lineRule="auto"/>
              <w:jc w:val="both"/>
              <w:rPr>
                <w:rFonts w:eastAsia="Times New Roman" w:cstheme="minorHAnsi"/>
                <w:color w:val="000000"/>
                <w:lang w:eastAsia="el-GR"/>
              </w:rPr>
            </w:pPr>
            <w:r w:rsidRPr="00FE6501">
              <w:rPr>
                <w:rFonts w:eastAsia="Times New Roman" w:cstheme="minorHAnsi"/>
                <w:color w:val="000000"/>
                <w:lang w:val="en-US" w:eastAsia="el-GR"/>
              </w:rPr>
              <w:t xml:space="preserve">           SARADNJA</w:t>
            </w:r>
          </w:p>
        </w:tc>
      </w:tr>
      <w:tr w:rsidR="00E9357D" w:rsidRPr="00FE6501" w14:paraId="2E8EC368"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424AC068"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1.4</w:t>
            </w:r>
          </w:p>
        </w:tc>
        <w:tc>
          <w:tcPr>
            <w:tcW w:w="5305" w:type="dxa"/>
            <w:tcBorders>
              <w:top w:val="nil"/>
              <w:left w:val="nil"/>
              <w:bottom w:val="single" w:sz="4" w:space="0" w:color="auto"/>
              <w:right w:val="single" w:sz="4" w:space="0" w:color="auto"/>
            </w:tcBorders>
            <w:shd w:val="clear" w:color="auto" w:fill="D9E1F2"/>
            <w:vAlign w:val="center"/>
            <w:hideMark/>
          </w:tcPr>
          <w:p w14:paraId="48C43551" w14:textId="67150272" w:rsidR="00E9357D" w:rsidRPr="00FE6501" w:rsidRDefault="00F9065F"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Izraditi interne procedure (radne postupke) za rad AFCOS kancelarije</w:t>
            </w:r>
          </w:p>
        </w:tc>
        <w:tc>
          <w:tcPr>
            <w:tcW w:w="1843" w:type="dxa"/>
            <w:tcBorders>
              <w:top w:val="nil"/>
              <w:left w:val="nil"/>
              <w:bottom w:val="single" w:sz="4" w:space="0" w:color="auto"/>
              <w:right w:val="single" w:sz="4" w:space="0" w:color="auto"/>
            </w:tcBorders>
            <w:shd w:val="clear" w:color="auto" w:fill="D9E1F2"/>
            <w:vAlign w:val="center"/>
            <w:hideMark/>
          </w:tcPr>
          <w:p w14:paraId="2A3E2E9B" w14:textId="44E180CF" w:rsidR="00E9357D" w:rsidRPr="00FE6501" w:rsidRDefault="00DC00BC" w:rsidP="00E63F8E">
            <w:pPr>
              <w:spacing w:after="0" w:line="276" w:lineRule="auto"/>
              <w:jc w:val="center"/>
              <w:rPr>
                <w:rFonts w:eastAsia="Times New Roman" w:cstheme="minorHAnsi"/>
                <w:color w:val="000000"/>
                <w:lang w:val="sr-Latn-RS" w:eastAsia="el-GR"/>
              </w:rPr>
            </w:pPr>
            <w:r w:rsidRPr="00FE6501">
              <w:rPr>
                <w:rFonts w:eastAsia="Times New Roman" w:cstheme="minorHAnsi"/>
                <w:color w:val="000000"/>
                <w:lang w:val="sr-Latn-RS" w:eastAsia="el-GR"/>
              </w:rPr>
              <w:t>POBOLJŠATI PROCEDURE</w:t>
            </w:r>
          </w:p>
        </w:tc>
      </w:tr>
      <w:tr w:rsidR="00E9357D" w:rsidRPr="00FE6501" w14:paraId="2970EA83"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35EB311E"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2.1</w:t>
            </w:r>
          </w:p>
        </w:tc>
        <w:tc>
          <w:tcPr>
            <w:tcW w:w="5305" w:type="dxa"/>
            <w:tcBorders>
              <w:top w:val="nil"/>
              <w:left w:val="nil"/>
              <w:bottom w:val="single" w:sz="4" w:space="0" w:color="auto"/>
              <w:right w:val="single" w:sz="4" w:space="0" w:color="auto"/>
            </w:tcBorders>
            <w:shd w:val="clear" w:color="auto" w:fill="D9E1F2"/>
            <w:vAlign w:val="center"/>
            <w:hideMark/>
          </w:tcPr>
          <w:p w14:paraId="1AC8188D" w14:textId="711D4975" w:rsidR="00E9357D" w:rsidRPr="00FE6501" w:rsidRDefault="004775BA"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 xml:space="preserve">Izrada </w:t>
            </w:r>
            <w:proofErr w:type="gramStart"/>
            <w:r w:rsidRPr="00FE6501">
              <w:rPr>
                <w:rFonts w:eastAsia="Times New Roman" w:cstheme="minorHAnsi"/>
                <w:color w:val="000000"/>
                <w:lang w:val="en-US" w:eastAsia="el-GR"/>
              </w:rPr>
              <w:t>Metodologije  upravljanja</w:t>
            </w:r>
            <w:proofErr w:type="gramEnd"/>
            <w:r w:rsidRPr="00FE6501">
              <w:rPr>
                <w:rFonts w:eastAsia="Times New Roman" w:cstheme="minorHAnsi"/>
                <w:color w:val="000000"/>
                <w:lang w:val="en-US" w:eastAsia="el-GR"/>
              </w:rPr>
              <w:t xml:space="preserve"> rizicima u oblasti nepravilnosti i prevara u okviru upravljanja i korišćenja sredstava iz programa IPA</w:t>
            </w:r>
          </w:p>
        </w:tc>
        <w:tc>
          <w:tcPr>
            <w:tcW w:w="1843" w:type="dxa"/>
            <w:tcBorders>
              <w:top w:val="nil"/>
              <w:left w:val="nil"/>
              <w:bottom w:val="single" w:sz="4" w:space="0" w:color="auto"/>
              <w:right w:val="single" w:sz="4" w:space="0" w:color="auto"/>
            </w:tcBorders>
            <w:shd w:val="clear" w:color="auto" w:fill="D9E1F2"/>
            <w:vAlign w:val="center"/>
            <w:hideMark/>
          </w:tcPr>
          <w:p w14:paraId="0962AC19" w14:textId="35792B9E"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00F80C65"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6BE17C9A"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2.1</w:t>
            </w:r>
          </w:p>
        </w:tc>
        <w:tc>
          <w:tcPr>
            <w:tcW w:w="5305" w:type="dxa"/>
            <w:tcBorders>
              <w:top w:val="nil"/>
              <w:left w:val="nil"/>
              <w:bottom w:val="single" w:sz="4" w:space="0" w:color="auto"/>
              <w:right w:val="single" w:sz="4" w:space="0" w:color="auto"/>
            </w:tcBorders>
            <w:shd w:val="clear" w:color="auto" w:fill="D9E1F2"/>
            <w:vAlign w:val="center"/>
            <w:hideMark/>
          </w:tcPr>
          <w:p w14:paraId="4476180E" w14:textId="06E81B7E" w:rsidR="00E9357D" w:rsidRPr="00FE6501" w:rsidRDefault="00B33C22"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sr-Latn-CS" w:eastAsia="el-GR"/>
              </w:rPr>
              <w:t xml:space="preserve">Sprovođenje analize rizika u skladu sa Metodologijom upravljanja rizicima u oblasti </w:t>
            </w:r>
            <w:r w:rsidRPr="00FE6501">
              <w:rPr>
                <w:rFonts w:eastAsia="Times New Roman" w:cstheme="minorHAnsi"/>
                <w:i/>
                <w:color w:val="000000"/>
                <w:lang w:val="sr-Latn-CS" w:eastAsia="el-GR"/>
              </w:rPr>
              <w:lastRenderedPageBreak/>
              <w:t>nepravilnosti  i prevara u okviru upravljanja i korištenja sredstava iz programa IPA</w:t>
            </w:r>
          </w:p>
        </w:tc>
        <w:tc>
          <w:tcPr>
            <w:tcW w:w="1843" w:type="dxa"/>
            <w:tcBorders>
              <w:top w:val="nil"/>
              <w:left w:val="nil"/>
              <w:bottom w:val="single" w:sz="4" w:space="0" w:color="auto"/>
              <w:right w:val="single" w:sz="4" w:space="0" w:color="auto"/>
            </w:tcBorders>
            <w:shd w:val="clear" w:color="auto" w:fill="D9E1F2"/>
            <w:vAlign w:val="center"/>
            <w:hideMark/>
          </w:tcPr>
          <w:p w14:paraId="0185B186" w14:textId="7B7EC739"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lastRenderedPageBreak/>
              <w:t>POBOLJŠATI PROCEDURE</w:t>
            </w:r>
          </w:p>
        </w:tc>
      </w:tr>
      <w:tr w:rsidR="00E9357D" w:rsidRPr="00FE6501" w14:paraId="48A5B409"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47002056" w14:textId="1FBCE910"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 xml:space="preserve">2.2 </w:t>
            </w:r>
          </w:p>
        </w:tc>
        <w:tc>
          <w:tcPr>
            <w:tcW w:w="5305" w:type="dxa"/>
            <w:tcBorders>
              <w:top w:val="nil"/>
              <w:left w:val="nil"/>
              <w:bottom w:val="single" w:sz="4" w:space="0" w:color="auto"/>
              <w:right w:val="single" w:sz="4" w:space="0" w:color="auto"/>
            </w:tcBorders>
            <w:shd w:val="clear" w:color="auto" w:fill="D9E1F2"/>
            <w:vAlign w:val="center"/>
            <w:hideMark/>
          </w:tcPr>
          <w:p w14:paraId="6AE55792" w14:textId="21467469" w:rsidR="00E9357D" w:rsidRPr="00FE6501" w:rsidRDefault="00B33C22"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sr-Latn-CS" w:eastAsia="el-GR"/>
              </w:rPr>
              <w:t>Donijeti procedure za komuniciranje između tijela AFCOS sistema i sa javnošću vezano za slučajeve utvrđenih nepravilnosti i sumnji na prevaru u kontekstu upravljanja i korišćenja sredstava iz programa IPA i ugraditi ih u opštu Komunikacionu strategiju.</w:t>
            </w:r>
          </w:p>
        </w:tc>
        <w:tc>
          <w:tcPr>
            <w:tcW w:w="1843" w:type="dxa"/>
            <w:tcBorders>
              <w:top w:val="nil"/>
              <w:left w:val="nil"/>
              <w:bottom w:val="single" w:sz="4" w:space="0" w:color="auto"/>
              <w:right w:val="single" w:sz="4" w:space="0" w:color="auto"/>
            </w:tcBorders>
            <w:shd w:val="clear" w:color="auto" w:fill="D9E1F2"/>
            <w:vAlign w:val="center"/>
            <w:hideMark/>
          </w:tcPr>
          <w:p w14:paraId="7B5D62D6" w14:textId="1C0A594D"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0E2B3953"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17F8A6B2"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2.3</w:t>
            </w:r>
          </w:p>
        </w:tc>
        <w:tc>
          <w:tcPr>
            <w:tcW w:w="5305" w:type="dxa"/>
            <w:tcBorders>
              <w:top w:val="nil"/>
              <w:left w:val="nil"/>
              <w:bottom w:val="single" w:sz="4" w:space="0" w:color="auto"/>
              <w:right w:val="single" w:sz="4" w:space="0" w:color="auto"/>
            </w:tcBorders>
            <w:shd w:val="clear" w:color="auto" w:fill="D9E1F2"/>
            <w:vAlign w:val="center"/>
            <w:hideMark/>
          </w:tcPr>
          <w:p w14:paraId="391FC3F2" w14:textId="179460E5" w:rsidR="00E9357D" w:rsidRPr="00FE6501" w:rsidRDefault="00B33C22"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Održati 2 edukacije u oblasti etike i integriteta u javnoj upravi</w:t>
            </w:r>
          </w:p>
        </w:tc>
        <w:tc>
          <w:tcPr>
            <w:tcW w:w="1843" w:type="dxa"/>
            <w:tcBorders>
              <w:top w:val="nil"/>
              <w:left w:val="nil"/>
              <w:bottom w:val="single" w:sz="4" w:space="0" w:color="auto"/>
              <w:right w:val="single" w:sz="4" w:space="0" w:color="auto"/>
            </w:tcBorders>
            <w:shd w:val="clear" w:color="auto" w:fill="D9E1F2"/>
            <w:vAlign w:val="center"/>
            <w:hideMark/>
          </w:tcPr>
          <w:p w14:paraId="12ACE71F" w14:textId="57A43BF0"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en-US" w:eastAsia="el-GR"/>
              </w:rPr>
              <w:t>JAČANJE KAPACITETA</w:t>
            </w:r>
          </w:p>
        </w:tc>
      </w:tr>
      <w:tr w:rsidR="00E9357D" w:rsidRPr="00FE6501" w14:paraId="0EB2B6B6"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2B42ED4F"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2.4</w:t>
            </w:r>
          </w:p>
        </w:tc>
        <w:tc>
          <w:tcPr>
            <w:tcW w:w="5305" w:type="dxa"/>
            <w:tcBorders>
              <w:top w:val="nil"/>
              <w:left w:val="nil"/>
              <w:bottom w:val="single" w:sz="4" w:space="0" w:color="auto"/>
              <w:right w:val="single" w:sz="4" w:space="0" w:color="auto"/>
            </w:tcBorders>
            <w:shd w:val="clear" w:color="auto" w:fill="D9E1F2"/>
            <w:vAlign w:val="center"/>
            <w:hideMark/>
          </w:tcPr>
          <w:p w14:paraId="4196C677" w14:textId="4BCC189D" w:rsidR="00E9357D" w:rsidRPr="00FE6501" w:rsidRDefault="00B33C22" w:rsidP="00B33C22">
            <w:pPr>
              <w:spacing w:after="0" w:line="276" w:lineRule="auto"/>
              <w:jc w:val="center"/>
              <w:rPr>
                <w:rFonts w:eastAsia="Times New Roman" w:cstheme="minorHAnsi"/>
                <w:i/>
                <w:color w:val="000000"/>
                <w:lang w:val="sr-Latn-CS" w:eastAsia="el-GR"/>
              </w:rPr>
            </w:pPr>
            <w:r w:rsidRPr="00FE6501">
              <w:rPr>
                <w:rFonts w:eastAsia="Times New Roman" w:cstheme="minorHAnsi"/>
                <w:i/>
                <w:color w:val="000000"/>
                <w:lang w:val="sr-Latn-CS" w:eastAsia="el-GR"/>
              </w:rPr>
              <w:t>Aktivirati posebne e-mail adrese od strane Strukuture za izvještavanje o nepravilnostima na koju se anonimno mogu prijaviti nepravilnosti</w:t>
            </w:r>
          </w:p>
        </w:tc>
        <w:tc>
          <w:tcPr>
            <w:tcW w:w="1843" w:type="dxa"/>
            <w:tcBorders>
              <w:top w:val="nil"/>
              <w:left w:val="nil"/>
              <w:bottom w:val="single" w:sz="4" w:space="0" w:color="auto"/>
              <w:right w:val="single" w:sz="4" w:space="0" w:color="auto"/>
            </w:tcBorders>
            <w:shd w:val="clear" w:color="auto" w:fill="D9E1F2"/>
            <w:vAlign w:val="center"/>
            <w:hideMark/>
          </w:tcPr>
          <w:p w14:paraId="5048AA1B" w14:textId="44FD1B9B"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0DB1D022" w14:textId="77777777" w:rsidTr="00F31810">
        <w:trPr>
          <w:trHeight w:val="600"/>
        </w:trPr>
        <w:tc>
          <w:tcPr>
            <w:tcW w:w="1211" w:type="dxa"/>
            <w:tcBorders>
              <w:top w:val="nil"/>
              <w:left w:val="single" w:sz="4" w:space="0" w:color="auto"/>
              <w:bottom w:val="single" w:sz="4" w:space="0" w:color="auto"/>
              <w:right w:val="single" w:sz="4" w:space="0" w:color="auto"/>
            </w:tcBorders>
            <w:vAlign w:val="center"/>
            <w:hideMark/>
          </w:tcPr>
          <w:p w14:paraId="791822FB"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tcPr>
          <w:p w14:paraId="69F62D20" w14:textId="77777777" w:rsidR="00F31810" w:rsidRPr="00FE6501" w:rsidRDefault="00F31810" w:rsidP="00F31810">
            <w:pPr>
              <w:spacing w:after="0" w:line="276" w:lineRule="auto"/>
              <w:jc w:val="center"/>
              <w:rPr>
                <w:rFonts w:eastAsia="Times New Roman" w:cstheme="minorHAnsi"/>
                <w:i/>
                <w:color w:val="000000"/>
                <w:lang w:val="sr-Latn-CS" w:eastAsia="el-GR"/>
              </w:rPr>
            </w:pPr>
            <w:r w:rsidRPr="00FE6501">
              <w:rPr>
                <w:rFonts w:eastAsia="Times New Roman" w:cstheme="minorHAnsi"/>
                <w:i/>
                <w:color w:val="000000"/>
                <w:lang w:val="sr-Latn-CS" w:eastAsia="el-GR"/>
              </w:rPr>
              <w:t xml:space="preserve">Izraditi  Smjernice o upravljanju nepravilnostima </w:t>
            </w:r>
          </w:p>
          <w:p w14:paraId="2E02E03C" w14:textId="5A076D3A" w:rsidR="00E9357D" w:rsidRPr="00FE6501" w:rsidRDefault="00E9357D" w:rsidP="00E63F8E">
            <w:pPr>
              <w:spacing w:after="0" w:line="276" w:lineRule="auto"/>
              <w:jc w:val="center"/>
              <w:rPr>
                <w:rFonts w:eastAsia="Times New Roman" w:cstheme="minorHAnsi"/>
                <w:color w:val="000000"/>
                <w:lang w:val="en-US" w:eastAsia="el-GR"/>
              </w:rPr>
            </w:pPr>
          </w:p>
        </w:tc>
        <w:tc>
          <w:tcPr>
            <w:tcW w:w="1843" w:type="dxa"/>
            <w:tcBorders>
              <w:top w:val="nil"/>
              <w:left w:val="nil"/>
              <w:bottom w:val="single" w:sz="4" w:space="0" w:color="auto"/>
              <w:right w:val="single" w:sz="4" w:space="0" w:color="auto"/>
            </w:tcBorders>
            <w:shd w:val="clear" w:color="auto" w:fill="D9E1F2"/>
            <w:vAlign w:val="center"/>
          </w:tcPr>
          <w:p w14:paraId="3F612AC0" w14:textId="02F94F10"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7E4D36FF"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798A6DA8"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hideMark/>
          </w:tcPr>
          <w:p w14:paraId="4E9DC6E8" w14:textId="23A1D94F" w:rsidR="00E9357D" w:rsidRPr="00FE6501" w:rsidRDefault="00F31810" w:rsidP="00E63F8E">
            <w:pPr>
              <w:spacing w:after="0" w:line="276" w:lineRule="auto"/>
              <w:jc w:val="center"/>
              <w:rPr>
                <w:rFonts w:eastAsia="Times New Roman" w:cstheme="minorHAnsi"/>
                <w:color w:val="000000"/>
                <w:lang w:val="en-US" w:eastAsia="el-GR"/>
              </w:rPr>
            </w:pPr>
            <w:r w:rsidRPr="00FE6501">
              <w:rPr>
                <w:rFonts w:eastAsia="Times New Roman" w:cstheme="minorHAnsi"/>
                <w:bCs/>
                <w:i/>
                <w:color w:val="000000"/>
                <w:lang w:val="lt-LT" w:eastAsia="el-GR"/>
              </w:rPr>
              <w:t>Procedure iz Smjernica o upravljanju nepravilnostima ugraditi u poglavlje „Nepravilnosti“ priručnika za postupanje tijela Strukture za izvještavanje o nepravilnostima</w:t>
            </w:r>
          </w:p>
        </w:tc>
        <w:tc>
          <w:tcPr>
            <w:tcW w:w="1843" w:type="dxa"/>
            <w:tcBorders>
              <w:top w:val="nil"/>
              <w:left w:val="nil"/>
              <w:bottom w:val="single" w:sz="4" w:space="0" w:color="auto"/>
              <w:right w:val="single" w:sz="4" w:space="0" w:color="auto"/>
            </w:tcBorders>
            <w:shd w:val="clear" w:color="auto" w:fill="D9E1F2"/>
            <w:vAlign w:val="center"/>
          </w:tcPr>
          <w:p w14:paraId="15E49C4F" w14:textId="5CFEBC50"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197C2F42"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7343CC98"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hideMark/>
          </w:tcPr>
          <w:p w14:paraId="0B0CDC15" w14:textId="17F1CA43" w:rsidR="00E9357D" w:rsidRPr="00FE6501" w:rsidRDefault="00F31810"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Blagovremeno slanje izvještaja o nepravilnostima OLAFu</w:t>
            </w:r>
          </w:p>
        </w:tc>
        <w:tc>
          <w:tcPr>
            <w:tcW w:w="1843" w:type="dxa"/>
            <w:tcBorders>
              <w:top w:val="nil"/>
              <w:left w:val="nil"/>
              <w:bottom w:val="single" w:sz="4" w:space="0" w:color="auto"/>
              <w:right w:val="single" w:sz="4" w:space="0" w:color="auto"/>
            </w:tcBorders>
            <w:shd w:val="clear" w:color="auto" w:fill="D9E1F2"/>
            <w:vAlign w:val="center"/>
          </w:tcPr>
          <w:p w14:paraId="0763C4A9" w14:textId="3CACCB61"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1A6DB191"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4C2DC2BB"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hideMark/>
          </w:tcPr>
          <w:p w14:paraId="12944BEA" w14:textId="5B0DB0A3" w:rsidR="00E9357D" w:rsidRPr="00FE6501" w:rsidRDefault="00535D59"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Smanjivati broj vraćenih izvještaja o nepravilnostima od strane AFCOS kancelarije Implementacionim agencijama na doradu</w:t>
            </w:r>
          </w:p>
        </w:tc>
        <w:tc>
          <w:tcPr>
            <w:tcW w:w="1843" w:type="dxa"/>
            <w:tcBorders>
              <w:top w:val="nil"/>
              <w:left w:val="nil"/>
              <w:bottom w:val="single" w:sz="4" w:space="0" w:color="auto"/>
              <w:right w:val="single" w:sz="4" w:space="0" w:color="auto"/>
            </w:tcBorders>
            <w:shd w:val="clear" w:color="auto" w:fill="D9E1F2"/>
            <w:vAlign w:val="center"/>
          </w:tcPr>
          <w:p w14:paraId="5E310A86" w14:textId="6ABF207B"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7F258FBF"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7D41B6F4"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hideMark/>
          </w:tcPr>
          <w:p w14:paraId="5D14A015" w14:textId="0548ACCC" w:rsidR="00E9357D" w:rsidRPr="00FE6501" w:rsidRDefault="00535D59"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 xml:space="preserve">Izvještavanje u papirnoj </w:t>
            </w:r>
            <w:proofErr w:type="gramStart"/>
            <w:r w:rsidRPr="00FE6501">
              <w:rPr>
                <w:rFonts w:eastAsia="Times New Roman" w:cstheme="minorHAnsi"/>
                <w:color w:val="000000"/>
                <w:lang w:val="en-US" w:eastAsia="el-GR"/>
              </w:rPr>
              <w:t>formi  o</w:t>
            </w:r>
            <w:proofErr w:type="gramEnd"/>
            <w:r w:rsidRPr="00FE6501">
              <w:rPr>
                <w:rFonts w:eastAsia="Times New Roman" w:cstheme="minorHAnsi"/>
                <w:color w:val="000000"/>
                <w:lang w:val="en-US" w:eastAsia="el-GR"/>
              </w:rPr>
              <w:t xml:space="preserve"> nepravilnostima zamijeniti elektronskim izvještavanjem o nepravilnostima u okviru IMS sistema</w:t>
            </w:r>
          </w:p>
        </w:tc>
        <w:tc>
          <w:tcPr>
            <w:tcW w:w="1843" w:type="dxa"/>
            <w:tcBorders>
              <w:top w:val="nil"/>
              <w:left w:val="nil"/>
              <w:bottom w:val="single" w:sz="4" w:space="0" w:color="auto"/>
              <w:right w:val="single" w:sz="4" w:space="0" w:color="auto"/>
            </w:tcBorders>
            <w:shd w:val="clear" w:color="auto" w:fill="D9E1F2"/>
            <w:vAlign w:val="center"/>
          </w:tcPr>
          <w:p w14:paraId="7B4E1FC4" w14:textId="67C98CBA"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55D34D05"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5F0881CE"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2.5</w:t>
            </w:r>
          </w:p>
        </w:tc>
        <w:tc>
          <w:tcPr>
            <w:tcW w:w="5305" w:type="dxa"/>
            <w:tcBorders>
              <w:top w:val="nil"/>
              <w:left w:val="nil"/>
              <w:bottom w:val="single" w:sz="4" w:space="0" w:color="auto"/>
              <w:right w:val="single" w:sz="4" w:space="0" w:color="auto"/>
            </w:tcBorders>
            <w:shd w:val="clear" w:color="auto" w:fill="D9E1F2"/>
            <w:vAlign w:val="center"/>
            <w:hideMark/>
          </w:tcPr>
          <w:p w14:paraId="64689992" w14:textId="29804BF3" w:rsidR="00E9357D" w:rsidRPr="00FE6501" w:rsidRDefault="00054ACE" w:rsidP="00E63F8E">
            <w:pPr>
              <w:spacing w:after="0" w:line="276" w:lineRule="auto"/>
              <w:jc w:val="center"/>
              <w:rPr>
                <w:rFonts w:eastAsia="Times New Roman" w:cstheme="minorHAnsi"/>
                <w:color w:val="000000"/>
                <w:lang w:val="en-US" w:eastAsia="el-GR"/>
              </w:rPr>
            </w:pPr>
            <w:r w:rsidRPr="00FE6501">
              <w:rPr>
                <w:rFonts w:eastAsia="Times New Roman" w:cstheme="minorHAnsi"/>
                <w:bCs/>
                <w:i/>
                <w:color w:val="000000"/>
                <w:lang w:val="lt-LT" w:eastAsia="el-GR"/>
              </w:rPr>
              <w:t>Praćenje promjena u sistemu izvještavanja IMS</w:t>
            </w:r>
          </w:p>
        </w:tc>
        <w:tc>
          <w:tcPr>
            <w:tcW w:w="1843" w:type="dxa"/>
            <w:tcBorders>
              <w:top w:val="nil"/>
              <w:left w:val="nil"/>
              <w:bottom w:val="single" w:sz="4" w:space="0" w:color="auto"/>
              <w:right w:val="single" w:sz="4" w:space="0" w:color="auto"/>
            </w:tcBorders>
            <w:shd w:val="clear" w:color="auto" w:fill="D9E1F2"/>
            <w:vAlign w:val="center"/>
          </w:tcPr>
          <w:p w14:paraId="1BD858CC" w14:textId="76B619B6"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12BE3E2D" w14:textId="77777777" w:rsidTr="00DC00BC">
        <w:trPr>
          <w:trHeight w:val="600"/>
        </w:trPr>
        <w:tc>
          <w:tcPr>
            <w:tcW w:w="1211" w:type="dxa"/>
            <w:tcBorders>
              <w:top w:val="nil"/>
              <w:left w:val="single" w:sz="4" w:space="0" w:color="auto"/>
              <w:bottom w:val="single" w:sz="4" w:space="0" w:color="auto"/>
              <w:right w:val="single" w:sz="4" w:space="0" w:color="auto"/>
            </w:tcBorders>
            <w:vAlign w:val="center"/>
            <w:hideMark/>
          </w:tcPr>
          <w:p w14:paraId="263E9A86"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3.1</w:t>
            </w:r>
          </w:p>
        </w:tc>
        <w:tc>
          <w:tcPr>
            <w:tcW w:w="5305" w:type="dxa"/>
            <w:tcBorders>
              <w:top w:val="nil"/>
              <w:left w:val="nil"/>
              <w:bottom w:val="single" w:sz="4" w:space="0" w:color="auto"/>
              <w:right w:val="single" w:sz="4" w:space="0" w:color="auto"/>
            </w:tcBorders>
            <w:shd w:val="clear" w:color="auto" w:fill="D9E1F2"/>
            <w:vAlign w:val="center"/>
            <w:hideMark/>
          </w:tcPr>
          <w:p w14:paraId="4ABADB20" w14:textId="55C54A7D" w:rsidR="00E9357D" w:rsidRPr="00FE6501" w:rsidRDefault="00FA7BD1" w:rsidP="00FA7BD1">
            <w:pPr>
              <w:spacing w:after="0" w:line="276" w:lineRule="auto"/>
              <w:rPr>
                <w:rFonts w:eastAsia="Times New Roman" w:cstheme="minorHAnsi"/>
                <w:color w:val="000000"/>
                <w:lang w:val="en-US" w:eastAsia="el-GR"/>
              </w:rPr>
            </w:pPr>
            <w:r w:rsidRPr="00FE6501">
              <w:rPr>
                <w:rFonts w:eastAsia="Times New Roman" w:cstheme="minorHAnsi"/>
                <w:color w:val="000000"/>
                <w:lang w:val="en-US" w:eastAsia="el-GR"/>
              </w:rPr>
              <w:t xml:space="preserve"> Izraditi Uputstva za sprovođenje edukacija vezano za oblast upravljanja nepravilnostima za period 2021-2022</w:t>
            </w:r>
          </w:p>
        </w:tc>
        <w:tc>
          <w:tcPr>
            <w:tcW w:w="1843" w:type="dxa"/>
            <w:tcBorders>
              <w:top w:val="nil"/>
              <w:left w:val="nil"/>
              <w:bottom w:val="single" w:sz="4" w:space="0" w:color="auto"/>
              <w:right w:val="single" w:sz="4" w:space="0" w:color="auto"/>
            </w:tcBorders>
            <w:shd w:val="clear" w:color="auto" w:fill="D9E1F2"/>
            <w:vAlign w:val="center"/>
          </w:tcPr>
          <w:p w14:paraId="7D75294C" w14:textId="3BAA9748"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sr-Latn-RS" w:eastAsia="el-GR"/>
              </w:rPr>
              <w:t>POBOLJŠATI PROCEDURE</w:t>
            </w:r>
          </w:p>
        </w:tc>
      </w:tr>
      <w:tr w:rsidR="00E9357D" w:rsidRPr="00FE6501" w14:paraId="550E4A51"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2763F7AD"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3.1</w:t>
            </w:r>
          </w:p>
        </w:tc>
        <w:tc>
          <w:tcPr>
            <w:tcW w:w="5305" w:type="dxa"/>
            <w:tcBorders>
              <w:top w:val="nil"/>
              <w:left w:val="nil"/>
              <w:bottom w:val="single" w:sz="4" w:space="0" w:color="auto"/>
              <w:right w:val="single" w:sz="4" w:space="0" w:color="auto"/>
            </w:tcBorders>
            <w:shd w:val="clear" w:color="auto" w:fill="D9E1F2"/>
            <w:vAlign w:val="center"/>
            <w:hideMark/>
          </w:tcPr>
          <w:p w14:paraId="41216B95" w14:textId="4ACDD39F" w:rsidR="00E9357D" w:rsidRPr="00FE6501" w:rsidRDefault="00852178" w:rsidP="00E63F8E">
            <w:pPr>
              <w:spacing w:after="0" w:line="276" w:lineRule="auto"/>
              <w:jc w:val="center"/>
              <w:rPr>
                <w:rFonts w:eastAsia="Times New Roman" w:cstheme="minorHAnsi"/>
                <w:color w:val="000000"/>
                <w:lang w:val="en-US" w:eastAsia="el-GR"/>
              </w:rPr>
            </w:pPr>
            <w:r w:rsidRPr="00FE6501">
              <w:rPr>
                <w:rFonts w:eastAsia="Times New Roman" w:cstheme="minorHAnsi"/>
                <w:i/>
                <w:color w:val="000000"/>
                <w:lang w:val="sr-Latn-CS" w:eastAsia="el-GR"/>
              </w:rPr>
              <w:t xml:space="preserve">Srovesti analizu potreba za edukacijom tijela u AFCOS sistemu sa ciljem procjene postojećih kapaciteta službenika i identifikovanju slabosti koje treba otkloniti  </w:t>
            </w:r>
          </w:p>
        </w:tc>
        <w:tc>
          <w:tcPr>
            <w:tcW w:w="1843" w:type="dxa"/>
            <w:tcBorders>
              <w:top w:val="nil"/>
              <w:left w:val="nil"/>
              <w:bottom w:val="single" w:sz="4" w:space="0" w:color="auto"/>
              <w:right w:val="single" w:sz="4" w:space="0" w:color="auto"/>
            </w:tcBorders>
            <w:shd w:val="clear" w:color="auto" w:fill="D9E1F2"/>
            <w:vAlign w:val="center"/>
            <w:hideMark/>
          </w:tcPr>
          <w:p w14:paraId="3A2914C3" w14:textId="71C2CE3C" w:rsidR="00E9357D" w:rsidRPr="00FE6501" w:rsidRDefault="00DC00BC"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JAČANJE KAPACITETA</w:t>
            </w:r>
          </w:p>
        </w:tc>
      </w:tr>
      <w:tr w:rsidR="00E9357D" w:rsidRPr="00FE6501" w14:paraId="0CFE44DF"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2045D839"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3.1</w:t>
            </w:r>
          </w:p>
        </w:tc>
        <w:tc>
          <w:tcPr>
            <w:tcW w:w="5305" w:type="dxa"/>
            <w:tcBorders>
              <w:top w:val="nil"/>
              <w:left w:val="nil"/>
              <w:bottom w:val="single" w:sz="4" w:space="0" w:color="auto"/>
              <w:right w:val="single" w:sz="4" w:space="0" w:color="auto"/>
            </w:tcBorders>
            <w:shd w:val="clear" w:color="auto" w:fill="D9E1F2"/>
            <w:vAlign w:val="center"/>
            <w:hideMark/>
          </w:tcPr>
          <w:p w14:paraId="3284D188" w14:textId="5F1C1736" w:rsidR="00E9357D" w:rsidRPr="00FE6501" w:rsidRDefault="00852178" w:rsidP="00E63F8E">
            <w:pPr>
              <w:spacing w:after="0" w:line="276" w:lineRule="auto"/>
              <w:jc w:val="center"/>
              <w:rPr>
                <w:rFonts w:eastAsia="Times New Roman" w:cstheme="minorHAnsi"/>
                <w:color w:val="000000"/>
                <w:lang w:val="en-US" w:eastAsia="el-GR"/>
              </w:rPr>
            </w:pPr>
            <w:r w:rsidRPr="00FE6501">
              <w:rPr>
                <w:rFonts w:eastAsia="Times New Roman" w:cstheme="minorHAnsi"/>
                <w:color w:val="000000"/>
                <w:lang w:val="en-US" w:eastAsia="el-GR"/>
              </w:rPr>
              <w:t>Izraditi Program edukacije usklađen sa rezultatima sprovedene analize potreba za edukacijom tijela u AFCOS sistemu</w:t>
            </w:r>
            <w:r w:rsidRPr="00FE6501">
              <w:rPr>
                <w:rFonts w:eastAsia="Times New Roman" w:cstheme="minorHAnsi"/>
                <w:color w:val="000000"/>
                <w:lang w:val="en-US" w:eastAsia="el-GR"/>
              </w:rPr>
              <w:tab/>
            </w:r>
          </w:p>
        </w:tc>
        <w:tc>
          <w:tcPr>
            <w:tcW w:w="1843" w:type="dxa"/>
            <w:tcBorders>
              <w:top w:val="nil"/>
              <w:left w:val="nil"/>
              <w:bottom w:val="single" w:sz="4" w:space="0" w:color="auto"/>
              <w:right w:val="single" w:sz="4" w:space="0" w:color="auto"/>
            </w:tcBorders>
            <w:shd w:val="clear" w:color="auto" w:fill="D9E1F2"/>
            <w:vAlign w:val="center"/>
            <w:hideMark/>
          </w:tcPr>
          <w:p w14:paraId="2C672B8B" w14:textId="31B9F107"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en-US" w:eastAsia="el-GR"/>
              </w:rPr>
              <w:t>JAČANJE KAPACITETA</w:t>
            </w:r>
          </w:p>
        </w:tc>
      </w:tr>
      <w:tr w:rsidR="00E9357D" w:rsidRPr="00FE6501" w14:paraId="05CFFB4B" w14:textId="77777777" w:rsidTr="0052647F">
        <w:trPr>
          <w:trHeight w:val="600"/>
        </w:trPr>
        <w:tc>
          <w:tcPr>
            <w:tcW w:w="1211" w:type="dxa"/>
            <w:tcBorders>
              <w:top w:val="nil"/>
              <w:left w:val="single" w:sz="4" w:space="0" w:color="auto"/>
              <w:bottom w:val="single" w:sz="4" w:space="0" w:color="auto"/>
              <w:right w:val="single" w:sz="4" w:space="0" w:color="auto"/>
            </w:tcBorders>
            <w:vAlign w:val="center"/>
            <w:hideMark/>
          </w:tcPr>
          <w:p w14:paraId="11A4DC88" w14:textId="77777777" w:rsidR="00E9357D" w:rsidRPr="00FE6501" w:rsidRDefault="00E9357D" w:rsidP="00E63F8E">
            <w:pPr>
              <w:spacing w:after="0" w:line="276" w:lineRule="auto"/>
              <w:jc w:val="center"/>
              <w:rPr>
                <w:rFonts w:eastAsia="Times New Roman" w:cstheme="minorHAnsi"/>
                <w:lang w:eastAsia="el-GR"/>
              </w:rPr>
            </w:pPr>
            <w:r w:rsidRPr="00FE6501">
              <w:rPr>
                <w:rFonts w:eastAsia="Times New Roman" w:cstheme="minorHAnsi"/>
                <w:lang w:eastAsia="el-GR"/>
              </w:rPr>
              <w:t>3.1</w:t>
            </w:r>
          </w:p>
        </w:tc>
        <w:tc>
          <w:tcPr>
            <w:tcW w:w="5305" w:type="dxa"/>
            <w:tcBorders>
              <w:top w:val="nil"/>
              <w:left w:val="nil"/>
              <w:bottom w:val="single" w:sz="4" w:space="0" w:color="auto"/>
              <w:right w:val="single" w:sz="4" w:space="0" w:color="auto"/>
            </w:tcBorders>
            <w:shd w:val="clear" w:color="auto" w:fill="D9E1F2"/>
            <w:vAlign w:val="center"/>
            <w:hideMark/>
          </w:tcPr>
          <w:p w14:paraId="7CAD05C0" w14:textId="51E0D049" w:rsidR="00E9357D" w:rsidRPr="00FE6501" w:rsidRDefault="00852178" w:rsidP="00E63F8E">
            <w:pPr>
              <w:spacing w:after="0" w:line="276" w:lineRule="auto"/>
              <w:jc w:val="center"/>
              <w:rPr>
                <w:rFonts w:eastAsia="Times New Roman" w:cstheme="minorHAnsi"/>
                <w:color w:val="000000"/>
                <w:lang w:val="en-US" w:eastAsia="el-GR"/>
              </w:rPr>
            </w:pPr>
            <w:proofErr w:type="gramStart"/>
            <w:r w:rsidRPr="00FE6501">
              <w:rPr>
                <w:rFonts w:eastAsia="Times New Roman" w:cstheme="minorHAnsi"/>
                <w:color w:val="000000"/>
                <w:lang w:val="en-US" w:eastAsia="el-GR"/>
              </w:rPr>
              <w:t>Sprovesti  edukacije</w:t>
            </w:r>
            <w:proofErr w:type="gramEnd"/>
            <w:r w:rsidRPr="00FE6501">
              <w:rPr>
                <w:rFonts w:eastAsia="Times New Roman" w:cstheme="minorHAnsi"/>
                <w:color w:val="000000"/>
                <w:lang w:val="en-US" w:eastAsia="el-GR"/>
              </w:rPr>
              <w:t xml:space="preserve"> u oblasti upravljanja nepravilnostima u skladu s Programom edukacija</w:t>
            </w:r>
          </w:p>
        </w:tc>
        <w:tc>
          <w:tcPr>
            <w:tcW w:w="1843" w:type="dxa"/>
            <w:tcBorders>
              <w:top w:val="nil"/>
              <w:left w:val="nil"/>
              <w:bottom w:val="single" w:sz="4" w:space="0" w:color="auto"/>
              <w:right w:val="single" w:sz="4" w:space="0" w:color="auto"/>
            </w:tcBorders>
            <w:shd w:val="clear" w:color="auto" w:fill="D9E1F2"/>
            <w:vAlign w:val="center"/>
            <w:hideMark/>
          </w:tcPr>
          <w:p w14:paraId="14C2875F" w14:textId="48DBF331" w:rsidR="00E9357D" w:rsidRPr="00FE6501" w:rsidRDefault="00DC00BC" w:rsidP="00E63F8E">
            <w:pPr>
              <w:spacing w:after="0" w:line="276" w:lineRule="auto"/>
              <w:jc w:val="center"/>
              <w:rPr>
                <w:rFonts w:eastAsia="Times New Roman" w:cstheme="minorHAnsi"/>
                <w:color w:val="000000"/>
                <w:lang w:eastAsia="el-GR"/>
              </w:rPr>
            </w:pPr>
            <w:r w:rsidRPr="00FE6501">
              <w:rPr>
                <w:rFonts w:eastAsia="Times New Roman" w:cstheme="minorHAnsi"/>
                <w:color w:val="000000"/>
                <w:lang w:val="en-US" w:eastAsia="el-GR"/>
              </w:rPr>
              <w:t>JAČANJE KAPACITETA</w:t>
            </w:r>
          </w:p>
        </w:tc>
      </w:tr>
    </w:tbl>
    <w:bookmarkEnd w:id="24"/>
    <w:p w14:paraId="3C05D38B" w14:textId="77777777" w:rsidR="00151A65" w:rsidRDefault="007B0065" w:rsidP="00E63F8E">
      <w:pPr>
        <w:pBdr>
          <w:bottom w:val="single" w:sz="6" w:space="0" w:color="F1F1F5"/>
        </w:pBdr>
        <w:shd w:val="clear" w:color="auto" w:fill="FFFFFF"/>
        <w:spacing w:before="100" w:beforeAutospacing="1" w:after="100" w:afterAutospacing="1" w:line="276" w:lineRule="auto"/>
        <w:jc w:val="both"/>
        <w:rPr>
          <w:rFonts w:cstheme="minorHAnsi"/>
        </w:rPr>
      </w:pPr>
      <w:r w:rsidRPr="00FE6501">
        <w:rPr>
          <w:rFonts w:cstheme="minorHAnsi"/>
        </w:rPr>
        <w:lastRenderedPageBreak/>
        <w:t xml:space="preserve">Kvantitativna analiza pokazuje da se većina aktivnosti (12 od 20) fokusira na jačanje sistema upravljanja nepravilnostima u smislu efikasnosti i efektivnosti kroz razvoj standardizovanih procedura i novih alata. Među njima, razvoj Smjernica o upravljanju nepravilnostima zajedno sa </w:t>
      </w:r>
      <w:r w:rsidR="00B72EEE" w:rsidRPr="00FE6501">
        <w:rPr>
          <w:rFonts w:cstheme="minorHAnsi"/>
          <w:lang w:val="sr-Latn-RS"/>
        </w:rPr>
        <w:t>Metodologijom</w:t>
      </w:r>
      <w:r w:rsidRPr="00FE6501">
        <w:rPr>
          <w:rFonts w:cstheme="minorHAnsi"/>
        </w:rPr>
        <w:t xml:space="preserve"> upravljanja rizikom od prevara i ažuriranje Priručnika o procedurama za prijavu nepravilnosti prepoznati su kao inicijative koje imaju potencijal da značajno unaprijede ukupne performanse AFCOS sistema u smislu djelotvornosti. Inicijative digitalne transformacije čine mali klaster u ovoj tematskoj oblasti sa dvije (2) akc</w:t>
      </w:r>
      <w:r w:rsidR="0054397E" w:rsidRPr="00FE6501">
        <w:rPr>
          <w:rFonts w:cstheme="minorHAnsi"/>
          <w:lang w:val="sr-Latn-RS"/>
        </w:rPr>
        <w:t xml:space="preserve">tivnosti usmjerene </w:t>
      </w:r>
      <w:r w:rsidRPr="00FE6501">
        <w:rPr>
          <w:rFonts w:cstheme="minorHAnsi"/>
        </w:rPr>
        <w:t>na optimizacij</w:t>
      </w:r>
      <w:r w:rsidR="00A72F66" w:rsidRPr="00FE6501">
        <w:rPr>
          <w:rFonts w:cstheme="minorHAnsi"/>
          <w:lang w:val="sr-Latn-RS"/>
        </w:rPr>
        <w:t>u</w:t>
      </w:r>
      <w:r w:rsidRPr="00FE6501">
        <w:rPr>
          <w:rFonts w:cstheme="minorHAnsi"/>
        </w:rPr>
        <w:t xml:space="preserve"> sistema prijavljivanja protiv prevara kroz korištenje IMS-a i jednom (1) ak</w:t>
      </w:r>
      <w:r w:rsidR="0054397E" w:rsidRPr="00FE6501">
        <w:rPr>
          <w:rFonts w:cstheme="minorHAnsi"/>
          <w:lang w:val="sr-Latn-RS"/>
        </w:rPr>
        <w:t>tivnošću</w:t>
      </w:r>
      <w:r w:rsidRPr="00FE6501">
        <w:rPr>
          <w:rFonts w:cstheme="minorHAnsi"/>
        </w:rPr>
        <w:t xml:space="preserve"> posvećenom uspostavljanju kanala za primanje anonimnih žalbi od uzbunjivača putem e-pošte.</w:t>
      </w:r>
    </w:p>
    <w:p w14:paraId="79689460" w14:textId="77777777" w:rsidR="004B6451" w:rsidRDefault="007B0065" w:rsidP="00E63F8E">
      <w:pPr>
        <w:pBdr>
          <w:bottom w:val="single" w:sz="6" w:space="0" w:color="F1F1F5"/>
        </w:pBdr>
        <w:shd w:val="clear" w:color="auto" w:fill="FFFFFF"/>
        <w:spacing w:before="100" w:beforeAutospacing="1" w:after="100" w:afterAutospacing="1" w:line="276" w:lineRule="auto"/>
        <w:jc w:val="both"/>
        <w:rPr>
          <w:rFonts w:cstheme="minorHAnsi"/>
        </w:rPr>
      </w:pPr>
      <w:r w:rsidRPr="00FE6501">
        <w:rPr>
          <w:rFonts w:cstheme="minorHAnsi"/>
        </w:rPr>
        <w:t>Tri (3) aktivnosti Strategije</w:t>
      </w:r>
      <w:r w:rsidR="00A72F66" w:rsidRPr="00FE6501">
        <w:rPr>
          <w:rFonts w:cstheme="minorHAnsi"/>
          <w:lang w:val="sr-Latn-RS"/>
        </w:rPr>
        <w:t xml:space="preserve"> koje</w:t>
      </w:r>
      <w:r w:rsidRPr="00FE6501">
        <w:rPr>
          <w:rFonts w:cstheme="minorHAnsi"/>
        </w:rPr>
        <w:t xml:space="preserve"> imaju za cilj donošenje primarnog (Izmjena Zakona o budžetu i fiskalnoj odgovornosti) i sekundarnog (Uredba o institucionalnom okviru za funkcionisanje AFCOS sistema i Odluka o osnivanju AFCOS savjetodavnog tijela) zakonodavstva</w:t>
      </w:r>
      <w:r w:rsidR="00A72F66" w:rsidRPr="00FE6501">
        <w:rPr>
          <w:rFonts w:cstheme="minorHAnsi"/>
          <w:lang w:val="sr-Latn-RS"/>
        </w:rPr>
        <w:t>,</w:t>
      </w:r>
      <w:r w:rsidRPr="00FE6501">
        <w:rPr>
          <w:rFonts w:cstheme="minorHAnsi"/>
        </w:rPr>
        <w:t xml:space="preserve"> </w:t>
      </w:r>
      <w:r w:rsidR="00151A65">
        <w:rPr>
          <w:rFonts w:cstheme="minorHAnsi"/>
          <w:lang w:val="sr-Latn-RS"/>
        </w:rPr>
        <w:t>usmjereni su na</w:t>
      </w:r>
      <w:r w:rsidRPr="00FE6501">
        <w:rPr>
          <w:rFonts w:cstheme="minorHAnsi"/>
        </w:rPr>
        <w:t xml:space="preserve"> poboljšanj</w:t>
      </w:r>
      <w:r w:rsidR="00151A65">
        <w:rPr>
          <w:rFonts w:cstheme="minorHAnsi"/>
          <w:lang w:val="sr-Latn-RS"/>
        </w:rPr>
        <w:t>e</w:t>
      </w:r>
      <w:r w:rsidRPr="00FE6501">
        <w:rPr>
          <w:rFonts w:cstheme="minorHAnsi"/>
        </w:rPr>
        <w:t xml:space="preserve"> identifikovanih nedostataka i sistemskih nedostataka i uspostavlja</w:t>
      </w:r>
      <w:r w:rsidR="00A72F66" w:rsidRPr="00FE6501">
        <w:rPr>
          <w:rFonts w:cstheme="minorHAnsi"/>
          <w:lang w:val="sr-Latn-RS"/>
        </w:rPr>
        <w:t>ju</w:t>
      </w:r>
      <w:r w:rsidRPr="00FE6501">
        <w:rPr>
          <w:rFonts w:cstheme="minorHAnsi"/>
        </w:rPr>
        <w:t xml:space="preserve"> čvrstu pravnu osnovu za pravilno i efikasno funkcionisanje AFCOS sistema. Predviđena je jedinstvena aktivnost za unapređenje međuresorske saradnje kroz potpisivanje</w:t>
      </w:r>
      <w:r w:rsidR="00151A65">
        <w:rPr>
          <w:rFonts w:cstheme="minorHAnsi"/>
          <w:lang w:val="sr-Latn-RS"/>
        </w:rPr>
        <w:t xml:space="preserve"> tri </w:t>
      </w:r>
      <w:r w:rsidRPr="00FE6501">
        <w:rPr>
          <w:rFonts w:cstheme="minorHAnsi"/>
        </w:rPr>
        <w:t xml:space="preserve"> Memoranduma o saradnji (</w:t>
      </w:r>
      <w:r w:rsidR="00CF4C44" w:rsidRPr="00FE6501">
        <w:rPr>
          <w:rFonts w:cstheme="minorHAnsi"/>
          <w:lang w:val="sr-Latn-RS"/>
        </w:rPr>
        <w:t>Protokola</w:t>
      </w:r>
      <w:r w:rsidRPr="00FE6501">
        <w:rPr>
          <w:rFonts w:cstheme="minorHAnsi"/>
        </w:rPr>
        <w:t xml:space="preserve">) između </w:t>
      </w:r>
      <w:r w:rsidR="00151A65">
        <w:rPr>
          <w:rFonts w:cstheme="minorHAnsi"/>
          <w:lang w:val="sr-Latn-RS"/>
        </w:rPr>
        <w:t xml:space="preserve">Ministarstva finansija, s jedne strane </w:t>
      </w:r>
      <w:r w:rsidRPr="00FE6501">
        <w:rPr>
          <w:rFonts w:cstheme="minorHAnsi"/>
        </w:rPr>
        <w:t>i Revizorskog tijela, Državnog tužilaštva i Ministarstva unutrašnjih poslova</w:t>
      </w:r>
      <w:r w:rsidR="00151A65">
        <w:rPr>
          <w:rFonts w:cstheme="minorHAnsi"/>
          <w:lang w:val="sr-Latn-RS"/>
        </w:rPr>
        <w:t>, s druge strane</w:t>
      </w:r>
      <w:r w:rsidRPr="00FE6501">
        <w:rPr>
          <w:rFonts w:cstheme="minorHAnsi"/>
        </w:rPr>
        <w:t xml:space="preserve">. Institucionalizacija </w:t>
      </w:r>
      <w:r w:rsidR="0054397E" w:rsidRPr="00FE6501">
        <w:rPr>
          <w:rFonts w:cstheme="minorHAnsi"/>
          <w:lang w:val="sr-Latn-RS"/>
        </w:rPr>
        <w:t>programa</w:t>
      </w:r>
      <w:r w:rsidRPr="00FE6501">
        <w:rPr>
          <w:rFonts w:cstheme="minorHAnsi"/>
        </w:rPr>
        <w:t xml:space="preserve"> saradnje u obliku bilateralnih protokola smatra se ključnim faktorom za operacionalizaciju postojećih institucionalnih aranžmana i kao preduslov za formiranje efikasne horizontalne komunikac</w:t>
      </w:r>
      <w:r w:rsidR="0054397E" w:rsidRPr="00FE6501">
        <w:rPr>
          <w:rFonts w:cstheme="minorHAnsi"/>
          <w:lang w:val="sr-Latn-RS"/>
        </w:rPr>
        <w:t>ione</w:t>
      </w:r>
      <w:r w:rsidRPr="00FE6501">
        <w:rPr>
          <w:rFonts w:cstheme="minorHAnsi"/>
        </w:rPr>
        <w:t xml:space="preserve"> mreže između nadležnih </w:t>
      </w:r>
      <w:r w:rsidR="0054397E" w:rsidRPr="00FE6501">
        <w:rPr>
          <w:rFonts w:cstheme="minorHAnsi"/>
          <w:lang w:val="sr-Latn-RS"/>
        </w:rPr>
        <w:t>institucija</w:t>
      </w:r>
      <w:r w:rsidRPr="00FE6501">
        <w:rPr>
          <w:rFonts w:cstheme="minorHAnsi"/>
        </w:rPr>
        <w:t xml:space="preserve"> AFCOS </w:t>
      </w:r>
      <w:r w:rsidR="0054397E" w:rsidRPr="00FE6501">
        <w:rPr>
          <w:rFonts w:cstheme="minorHAnsi"/>
          <w:lang w:val="sr-Latn-RS"/>
        </w:rPr>
        <w:t>s</w:t>
      </w:r>
      <w:r w:rsidRPr="00FE6501">
        <w:rPr>
          <w:rFonts w:cstheme="minorHAnsi"/>
        </w:rPr>
        <w:t>istem</w:t>
      </w:r>
      <w:r w:rsidR="0054397E" w:rsidRPr="00FE6501">
        <w:rPr>
          <w:rFonts w:cstheme="minorHAnsi"/>
          <w:lang w:val="sr-Latn-RS"/>
        </w:rPr>
        <w:t>a</w:t>
      </w:r>
      <w:r w:rsidRPr="00FE6501">
        <w:rPr>
          <w:rFonts w:cstheme="minorHAnsi"/>
        </w:rPr>
        <w:t xml:space="preserve">. </w:t>
      </w:r>
    </w:p>
    <w:p w14:paraId="7B7E9480" w14:textId="77777777" w:rsidR="000A6F31" w:rsidRDefault="007B0065" w:rsidP="000A6F31">
      <w:pPr>
        <w:pBdr>
          <w:bottom w:val="single" w:sz="6" w:space="0" w:color="F1F1F5"/>
        </w:pBdr>
        <w:shd w:val="clear" w:color="auto" w:fill="FFFFFF"/>
        <w:spacing w:before="100" w:beforeAutospacing="1" w:after="100" w:afterAutospacing="1" w:line="276" w:lineRule="auto"/>
        <w:jc w:val="both"/>
        <w:rPr>
          <w:rFonts w:cstheme="minorHAnsi"/>
        </w:rPr>
      </w:pPr>
      <w:r w:rsidRPr="00FE6501">
        <w:rPr>
          <w:rFonts w:cstheme="minorHAnsi"/>
        </w:rPr>
        <w:t>Izgradnja kapaciteta kroz obuku identifikovana je kao kritično međusektorsko pitanje u crnogorsko</w:t>
      </w:r>
      <w:r w:rsidR="0054397E" w:rsidRPr="00FE6501">
        <w:rPr>
          <w:rFonts w:cstheme="minorHAnsi"/>
          <w:lang w:val="sr-Latn-RS"/>
        </w:rPr>
        <w:t>j</w:t>
      </w:r>
      <w:r w:rsidR="003F5BC3" w:rsidRPr="00FE6501">
        <w:rPr>
          <w:rFonts w:cstheme="minorHAnsi"/>
          <w:lang w:val="sr-Latn-RS"/>
        </w:rPr>
        <w:t xml:space="preserve"> Strategiji</w:t>
      </w:r>
      <w:r w:rsidRPr="00FE6501">
        <w:rPr>
          <w:rFonts w:cstheme="minorHAnsi"/>
        </w:rPr>
        <w:t xml:space="preserve"> i predviđene su relevantne akcije za materijalizaciju ciljeva 2 i 3 Strategije. Paralelno sa </w:t>
      </w:r>
      <w:r w:rsidR="00A72F66" w:rsidRPr="00FE6501">
        <w:rPr>
          <w:rFonts w:cstheme="minorHAnsi"/>
          <w:lang w:val="sr-Latn-RS"/>
        </w:rPr>
        <w:t>tematskim</w:t>
      </w:r>
      <w:r w:rsidRPr="00FE6501">
        <w:rPr>
          <w:rFonts w:cstheme="minorHAnsi"/>
        </w:rPr>
        <w:t xml:space="preserve"> </w:t>
      </w:r>
      <w:r w:rsidR="00A72F66" w:rsidRPr="00FE6501">
        <w:rPr>
          <w:rFonts w:cstheme="minorHAnsi"/>
          <w:lang w:val="sr-Latn-RS"/>
        </w:rPr>
        <w:t>seminarima-</w:t>
      </w:r>
      <w:r w:rsidRPr="00FE6501">
        <w:rPr>
          <w:rFonts w:cstheme="minorHAnsi"/>
        </w:rPr>
        <w:t xml:space="preserve"> obuk</w:t>
      </w:r>
      <w:r w:rsidR="00A72F66" w:rsidRPr="00FE6501">
        <w:rPr>
          <w:rFonts w:cstheme="minorHAnsi"/>
          <w:lang w:val="sr-Latn-RS"/>
        </w:rPr>
        <w:t>a</w:t>
      </w:r>
      <w:r w:rsidRPr="00FE6501">
        <w:rPr>
          <w:rFonts w:cstheme="minorHAnsi"/>
        </w:rPr>
        <w:t xml:space="preserve"> o etici i integritetu u crnogorskoj javnoj upravi, Strategija ima za cilj da okonča fragmentaciju u sprovođenju obuk</w:t>
      </w:r>
      <w:r w:rsidR="00A72F66" w:rsidRPr="00FE6501">
        <w:rPr>
          <w:rFonts w:cstheme="minorHAnsi"/>
          <w:lang w:val="sr-Latn-RS"/>
        </w:rPr>
        <w:t>a</w:t>
      </w:r>
      <w:r w:rsidRPr="00FE6501">
        <w:rPr>
          <w:rFonts w:cstheme="minorHAnsi"/>
        </w:rPr>
        <w:t xml:space="preserve"> kroz usvajanje sistemskog pristupa koji se zasniva na procjeni potreba za postizanje ciljanih rezultata u oblasti borbe protiv prevara</w:t>
      </w:r>
      <w:r w:rsidR="0054397E" w:rsidRPr="00FE6501">
        <w:rPr>
          <w:rFonts w:cstheme="minorHAnsi"/>
          <w:lang w:val="sr-Latn-RS"/>
        </w:rPr>
        <w:t xml:space="preserve"> </w:t>
      </w:r>
      <w:r w:rsidRPr="00FE6501">
        <w:rPr>
          <w:rFonts w:cstheme="minorHAnsi"/>
        </w:rPr>
        <w:t xml:space="preserve"> i upravljanje</w:t>
      </w:r>
      <w:r w:rsidRPr="007B0065">
        <w:rPr>
          <w:rFonts w:cstheme="minorHAnsi"/>
        </w:rPr>
        <w:t xml:space="preserve"> nepravilnostima.</w:t>
      </w:r>
      <w:bookmarkEnd w:id="20"/>
    </w:p>
    <w:p w14:paraId="0EF17C25" w14:textId="77777777" w:rsidR="000A6F31" w:rsidRDefault="007B0065" w:rsidP="000A6F31">
      <w:pPr>
        <w:pBdr>
          <w:bottom w:val="single" w:sz="6" w:space="0" w:color="F1F1F5"/>
        </w:pBdr>
        <w:shd w:val="clear" w:color="auto" w:fill="FFFFFF"/>
        <w:spacing w:before="100" w:beforeAutospacing="1" w:after="100" w:afterAutospacing="1" w:line="276" w:lineRule="auto"/>
        <w:jc w:val="both"/>
        <w:rPr>
          <w:rFonts w:eastAsiaTheme="minorHAnsi" w:cstheme="minorHAnsi"/>
          <w:bCs/>
        </w:rPr>
      </w:pPr>
      <w:r w:rsidRPr="007B0065">
        <w:rPr>
          <w:rFonts w:eastAsiaTheme="minorHAnsi" w:cstheme="minorHAnsi"/>
          <w:bCs/>
        </w:rPr>
        <w:t>Odredbe za sveobuhvatan sistem upravljanja koji pokriva oblasti praćenja, izvještavanja i evaluacije uključene su u strateški dokument. U skladu sa njima, Kancelarija AFCOS je dosljedno dostavljala kvalitetne analitičke godišnje izvještaje kako bi informisala Vladu (Vlada je na sjednici usvojila te izvještaje) o postignutom napretku i ukazala na kašnjenja i odstupanja od početnog planiranja. U tom pravcu i iako nije postojao standardizovan proces praćenja, uspostavljeni su efikasni kanali komunikacije sa inicijativom AFCOS Kancelarije na ad hoc osnovi, dok se razm</w:t>
      </w:r>
      <w:r w:rsidR="0055792B">
        <w:rPr>
          <w:rFonts w:eastAsiaTheme="minorHAnsi" w:cstheme="minorHAnsi"/>
          <w:bCs/>
          <w:lang w:val="sr-Latn-RS"/>
        </w:rPr>
        <w:t>j</w:t>
      </w:r>
      <w:r w:rsidRPr="007B0065">
        <w:rPr>
          <w:rFonts w:eastAsiaTheme="minorHAnsi" w:cstheme="minorHAnsi"/>
          <w:bCs/>
        </w:rPr>
        <w:t xml:space="preserve">ena informacija i prikupljanje relevantnih podataka između zainteresovanih strana odvijala uglavnom putem telefona i e-pošte. </w:t>
      </w:r>
    </w:p>
    <w:p w14:paraId="24FFABA6" w14:textId="4213DC26" w:rsidR="007B0065" w:rsidRPr="000A6F31" w:rsidRDefault="007B0065" w:rsidP="000A6F31">
      <w:pPr>
        <w:pBdr>
          <w:bottom w:val="single" w:sz="6" w:space="0" w:color="F1F1F5"/>
        </w:pBdr>
        <w:shd w:val="clear" w:color="auto" w:fill="FFFFFF"/>
        <w:spacing w:before="100" w:beforeAutospacing="1" w:after="100" w:afterAutospacing="1" w:line="276" w:lineRule="auto"/>
        <w:jc w:val="both"/>
        <w:rPr>
          <w:rFonts w:cstheme="minorHAnsi"/>
        </w:rPr>
      </w:pPr>
      <w:r w:rsidRPr="007B0065">
        <w:rPr>
          <w:rFonts w:eastAsiaTheme="minorHAnsi" w:cstheme="minorHAnsi"/>
          <w:bCs/>
        </w:rPr>
        <w:t>Nadalje, sistem upravljanja pridaje veliki značaj evaluaciji politike i obezbjeđuje sprovođenje naknadne i tekuće/privremene evaluacije. Međutim, p</w:t>
      </w:r>
      <w:r w:rsidR="0055792B">
        <w:rPr>
          <w:rFonts w:eastAsiaTheme="minorHAnsi" w:cstheme="minorHAnsi"/>
          <w:bCs/>
          <w:lang w:val="sr-Latn-RS"/>
        </w:rPr>
        <w:t>oslednje pomenuto</w:t>
      </w:r>
      <w:r w:rsidRPr="007B0065">
        <w:rPr>
          <w:rFonts w:eastAsiaTheme="minorHAnsi" w:cstheme="minorHAnsi"/>
          <w:bCs/>
        </w:rPr>
        <w:t xml:space="preserve"> se nije dogodilo kako je prvobitno zamišljeno</w:t>
      </w:r>
      <w:r w:rsidR="00A62AB4">
        <w:rPr>
          <w:rFonts w:eastAsiaTheme="minorHAnsi" w:cstheme="minorHAnsi"/>
          <w:bCs/>
          <w:lang w:val="sr-Latn-RS"/>
        </w:rPr>
        <w:t>,</w:t>
      </w:r>
      <w:r w:rsidRPr="007B0065">
        <w:rPr>
          <w:rFonts w:eastAsiaTheme="minorHAnsi" w:cstheme="minorHAnsi"/>
          <w:bCs/>
        </w:rPr>
        <w:t xml:space="preserve"> jer </w:t>
      </w:r>
      <w:r w:rsidR="0055792B">
        <w:rPr>
          <w:rFonts w:eastAsiaTheme="minorHAnsi" w:cstheme="minorHAnsi"/>
          <w:bCs/>
          <w:lang w:val="sr-Latn-RS"/>
        </w:rPr>
        <w:t>kancelarij</w:t>
      </w:r>
      <w:r w:rsidR="00A3282C">
        <w:rPr>
          <w:rFonts w:eastAsiaTheme="minorHAnsi" w:cstheme="minorHAnsi"/>
          <w:bCs/>
          <w:lang w:val="sr-Latn-RS"/>
        </w:rPr>
        <w:t>i</w:t>
      </w:r>
      <w:r w:rsidRPr="007B0065">
        <w:rPr>
          <w:rFonts w:eastAsiaTheme="minorHAnsi" w:cstheme="minorHAnsi"/>
          <w:bCs/>
        </w:rPr>
        <w:t xml:space="preserve"> AFCOS-a nedostaju resursi za izvođenje vježbe vlastitim sredstvima, dok je pandemija COVID-19 bila važna prepreka za dobijanje eksterne ekspertize za izvršavanje zadatka. Kao posljedica toga, nije bilo </w:t>
      </w:r>
      <w:r w:rsidR="00A3282C">
        <w:rPr>
          <w:rFonts w:eastAsiaTheme="minorHAnsi" w:cstheme="minorHAnsi"/>
          <w:bCs/>
          <w:lang w:val="sr-Latn-RS"/>
        </w:rPr>
        <w:t xml:space="preserve">srednjoročne evaluacije </w:t>
      </w:r>
      <w:r w:rsidRPr="007B0065">
        <w:rPr>
          <w:rFonts w:eastAsiaTheme="minorHAnsi" w:cstheme="minorHAnsi"/>
          <w:bCs/>
        </w:rPr>
        <w:t>/</w:t>
      </w:r>
      <w:r w:rsidR="00A3282C">
        <w:rPr>
          <w:rFonts w:eastAsiaTheme="minorHAnsi" w:cstheme="minorHAnsi"/>
          <w:bCs/>
          <w:lang w:val="sr-Latn-RS"/>
        </w:rPr>
        <w:t xml:space="preserve">evaluacije </w:t>
      </w:r>
      <w:r w:rsidRPr="007B0065">
        <w:rPr>
          <w:rFonts w:eastAsiaTheme="minorHAnsi" w:cstheme="minorHAnsi"/>
          <w:bCs/>
        </w:rPr>
        <w:t>Strategije tokom perioda implementacije (2019-2022)</w:t>
      </w:r>
      <w:r w:rsidR="00A3282C">
        <w:rPr>
          <w:rFonts w:eastAsiaTheme="minorHAnsi" w:cstheme="minorHAnsi"/>
          <w:bCs/>
          <w:lang w:val="sr-Latn-RS"/>
        </w:rPr>
        <w:t>,</w:t>
      </w:r>
      <w:r w:rsidRPr="007B0065">
        <w:rPr>
          <w:rFonts w:eastAsiaTheme="minorHAnsi" w:cstheme="minorHAnsi"/>
          <w:bCs/>
        </w:rPr>
        <w:t xml:space="preserve"> koj</w:t>
      </w:r>
      <w:r w:rsidR="00A3282C">
        <w:rPr>
          <w:rFonts w:eastAsiaTheme="minorHAnsi" w:cstheme="minorHAnsi"/>
          <w:bCs/>
          <w:lang w:val="sr-Latn-RS"/>
        </w:rPr>
        <w:t>a</w:t>
      </w:r>
      <w:r w:rsidRPr="007B0065">
        <w:rPr>
          <w:rFonts w:eastAsiaTheme="minorHAnsi" w:cstheme="minorHAnsi"/>
          <w:bCs/>
        </w:rPr>
        <w:t xml:space="preserve"> bi omogućil</w:t>
      </w:r>
      <w:r w:rsidR="00A3282C">
        <w:rPr>
          <w:rFonts w:eastAsiaTheme="minorHAnsi" w:cstheme="minorHAnsi"/>
          <w:bCs/>
          <w:lang w:val="sr-Latn-RS"/>
        </w:rPr>
        <w:t>a</w:t>
      </w:r>
      <w:r w:rsidRPr="007B0065">
        <w:rPr>
          <w:rFonts w:eastAsiaTheme="minorHAnsi" w:cstheme="minorHAnsi"/>
          <w:bCs/>
        </w:rPr>
        <w:t xml:space="preserve"> a) </w:t>
      </w:r>
      <w:r w:rsidRPr="007B0065">
        <w:rPr>
          <w:rFonts w:eastAsiaTheme="minorHAnsi" w:cstheme="minorHAnsi"/>
          <w:bCs/>
        </w:rPr>
        <w:lastRenderedPageBreak/>
        <w:t>usvajanje korektivnih mjera u vezi sa strukturnim komponentama dokumenta (tj. indikatori</w:t>
      </w:r>
      <w:r w:rsidR="00EA487B">
        <w:rPr>
          <w:rFonts w:eastAsiaTheme="minorHAnsi" w:cstheme="minorHAnsi"/>
          <w:bCs/>
          <w:lang w:val="sr-Latn-RS"/>
        </w:rPr>
        <w:t>ma</w:t>
      </w:r>
      <w:r w:rsidRPr="007B0065">
        <w:rPr>
          <w:rFonts w:eastAsiaTheme="minorHAnsi" w:cstheme="minorHAnsi"/>
          <w:bCs/>
        </w:rPr>
        <w:t xml:space="preserve"> </w:t>
      </w:r>
      <w:r w:rsidR="00E309FA">
        <w:rPr>
          <w:rFonts w:eastAsiaTheme="minorHAnsi" w:cstheme="minorHAnsi"/>
          <w:bCs/>
          <w:lang w:val="sr-Latn-RS"/>
        </w:rPr>
        <w:t>učinak</w:t>
      </w:r>
      <w:r w:rsidRPr="007B0065">
        <w:rPr>
          <w:rFonts w:eastAsiaTheme="minorHAnsi" w:cstheme="minorHAnsi"/>
          <w:bCs/>
        </w:rPr>
        <w:t xml:space="preserve">a i rezultata) i b) uvođenje mjera ublažavanja kao odgovor na izazove implementacije i na novonastale prijetnje iz </w:t>
      </w:r>
      <w:r w:rsidR="00EA487B">
        <w:rPr>
          <w:rFonts w:eastAsiaTheme="minorHAnsi" w:cstheme="minorHAnsi"/>
          <w:bCs/>
          <w:lang w:val="sr-Latn-RS"/>
        </w:rPr>
        <w:t>spoljnog</w:t>
      </w:r>
      <w:r w:rsidRPr="007B0065">
        <w:rPr>
          <w:rFonts w:eastAsiaTheme="minorHAnsi" w:cstheme="minorHAnsi"/>
          <w:bCs/>
        </w:rPr>
        <w:t xml:space="preserve"> okruženja (tj. COVID-19).</w:t>
      </w:r>
    </w:p>
    <w:p w14:paraId="0493C558" w14:textId="77777777" w:rsidR="006B44AE" w:rsidRDefault="006B44AE" w:rsidP="00AC2D64">
      <w:pPr>
        <w:pStyle w:val="Heading1"/>
        <w:spacing w:after="240"/>
        <w:rPr>
          <w:b/>
          <w:lang w:val="en-US"/>
        </w:rPr>
      </w:pPr>
    </w:p>
    <w:p w14:paraId="28C0585A" w14:textId="0BF657D2" w:rsidR="00FA2978" w:rsidRPr="00AC2D64" w:rsidRDefault="00FA2978" w:rsidP="00AC2D64">
      <w:pPr>
        <w:pStyle w:val="Heading1"/>
        <w:spacing w:after="240"/>
        <w:rPr>
          <w:b/>
          <w:lang w:val="en-US"/>
        </w:rPr>
      </w:pPr>
      <w:bookmarkStart w:id="25" w:name="_Toc136505861"/>
      <w:r w:rsidRPr="00AC2D64">
        <w:rPr>
          <w:b/>
          <w:lang w:val="en-US"/>
        </w:rPr>
        <w:t xml:space="preserve">4. </w:t>
      </w:r>
      <w:r w:rsidR="00A74C20">
        <w:rPr>
          <w:b/>
          <w:lang w:val="en-US"/>
        </w:rPr>
        <w:t>Ključni nalazi evaluacije</w:t>
      </w:r>
      <w:bookmarkEnd w:id="25"/>
      <w:r w:rsidR="00667DC4" w:rsidRPr="00AC2D64">
        <w:rPr>
          <w:b/>
          <w:lang w:val="en-US"/>
        </w:rPr>
        <w:t xml:space="preserve"> </w:t>
      </w:r>
    </w:p>
    <w:p w14:paraId="4CDF0492" w14:textId="22BF2657" w:rsidR="00A90971" w:rsidRPr="00A90971" w:rsidRDefault="007B0065" w:rsidP="00A90971">
      <w:pPr>
        <w:pStyle w:val="Heading2"/>
        <w:jc w:val="both"/>
        <w:rPr>
          <w:rFonts w:asciiTheme="minorHAnsi" w:eastAsiaTheme="minorHAnsi" w:hAnsiTheme="minorHAnsi" w:cstheme="minorBidi"/>
          <w:color w:val="auto"/>
          <w:sz w:val="22"/>
          <w:szCs w:val="22"/>
        </w:rPr>
      </w:pPr>
      <w:bookmarkStart w:id="26" w:name="_Toc136505862"/>
      <w:r w:rsidRPr="007B0065">
        <w:rPr>
          <w:rFonts w:asciiTheme="minorHAnsi" w:eastAsiaTheme="minorHAnsi" w:hAnsiTheme="minorHAnsi" w:cstheme="minorBidi"/>
          <w:color w:val="auto"/>
          <w:sz w:val="22"/>
          <w:szCs w:val="22"/>
        </w:rPr>
        <w:t>U ovom poglavlju dat je pregled ukupnog učinka crnogorske Strategije za borbu protiv prevara i upravljanja nepravilnostima za zaštitu finansijskih interesa Evropske unije za period 2019 – 2022. godine i njenih Akcionih planova iz perspektive relevantnosti, efektivnosti i dodan</w:t>
      </w:r>
      <w:r w:rsidR="002F6356">
        <w:rPr>
          <w:rFonts w:asciiTheme="minorHAnsi" w:eastAsiaTheme="minorHAnsi" w:hAnsiTheme="minorHAnsi" w:cstheme="minorBidi"/>
          <w:color w:val="auto"/>
          <w:sz w:val="22"/>
          <w:szCs w:val="22"/>
          <w:lang w:val="sr-Latn-RS"/>
        </w:rPr>
        <w:t>e</w:t>
      </w:r>
      <w:r w:rsidRPr="007B0065">
        <w:rPr>
          <w:rFonts w:asciiTheme="minorHAnsi" w:eastAsiaTheme="minorHAnsi" w:hAnsiTheme="minorHAnsi" w:cstheme="minorBidi"/>
          <w:color w:val="auto"/>
          <w:sz w:val="22"/>
          <w:szCs w:val="22"/>
        </w:rPr>
        <w:t xml:space="preserve"> vrijednost</w:t>
      </w:r>
      <w:r w:rsidR="002F6356">
        <w:rPr>
          <w:rFonts w:asciiTheme="minorHAnsi" w:eastAsiaTheme="minorHAnsi" w:hAnsiTheme="minorHAnsi" w:cstheme="minorBidi"/>
          <w:color w:val="auto"/>
          <w:sz w:val="22"/>
          <w:szCs w:val="22"/>
          <w:lang w:val="sr-Latn-RS"/>
        </w:rPr>
        <w:t>i</w:t>
      </w:r>
      <w:r w:rsidRPr="007B0065">
        <w:rPr>
          <w:rFonts w:asciiTheme="minorHAnsi" w:eastAsiaTheme="minorHAnsi" w:hAnsiTheme="minorHAnsi" w:cstheme="minorBidi"/>
          <w:color w:val="auto"/>
          <w:sz w:val="22"/>
          <w:szCs w:val="22"/>
        </w:rPr>
        <w:t xml:space="preserve"> u okviru napretka pristupanja zemlje. Ključni nalazi su organizovani u vezi sa glavnim pitanjima evaluacije i povezanim kriterijumima prosuđivanja koje su odobrili tim za evaluaciju i AFCOS </w:t>
      </w:r>
      <w:r w:rsidR="000A6F31">
        <w:rPr>
          <w:rFonts w:asciiTheme="minorHAnsi" w:eastAsiaTheme="minorHAnsi" w:hAnsiTheme="minorHAnsi" w:cstheme="minorBidi"/>
          <w:color w:val="auto"/>
          <w:sz w:val="22"/>
          <w:szCs w:val="22"/>
          <w:lang w:val="sr-Latn-RS"/>
        </w:rPr>
        <w:t>k</w:t>
      </w:r>
      <w:r w:rsidR="000A6F31" w:rsidRPr="007B0065">
        <w:rPr>
          <w:rFonts w:asciiTheme="minorHAnsi" w:eastAsiaTheme="minorHAnsi" w:hAnsiTheme="minorHAnsi" w:cstheme="minorBidi"/>
          <w:color w:val="auto"/>
          <w:sz w:val="22"/>
          <w:szCs w:val="22"/>
        </w:rPr>
        <w:t xml:space="preserve">ancelarija </w:t>
      </w:r>
      <w:r w:rsidRPr="007B0065">
        <w:rPr>
          <w:rFonts w:asciiTheme="minorHAnsi" w:eastAsiaTheme="minorHAnsi" w:hAnsiTheme="minorHAnsi" w:cstheme="minorBidi"/>
          <w:color w:val="auto"/>
          <w:sz w:val="22"/>
          <w:szCs w:val="22"/>
        </w:rPr>
        <w:t xml:space="preserve">sa </w:t>
      </w:r>
      <w:r w:rsidR="002F6356">
        <w:rPr>
          <w:rFonts w:asciiTheme="minorHAnsi" w:eastAsiaTheme="minorHAnsi" w:hAnsiTheme="minorHAnsi" w:cstheme="minorBidi"/>
          <w:color w:val="auto"/>
          <w:sz w:val="22"/>
          <w:szCs w:val="22"/>
          <w:lang w:val="sr-Latn-RS"/>
        </w:rPr>
        <w:t>Mapom</w:t>
      </w:r>
      <w:r w:rsidRPr="007B0065">
        <w:rPr>
          <w:rFonts w:asciiTheme="minorHAnsi" w:eastAsiaTheme="minorHAnsi" w:hAnsiTheme="minorHAnsi" w:cstheme="minorBidi"/>
          <w:color w:val="auto"/>
          <w:sz w:val="22"/>
          <w:szCs w:val="22"/>
        </w:rPr>
        <w:t xml:space="preserve"> puta za evaluaciju (Aneks IV). Nalazi evaluacije, a samim tim i ono što se u cijelom izvještaju naziva 'dokazom', proizilaze iz detaljnog pregleda dokumenata koje je stavila na raspolaganje AFCOS </w:t>
      </w:r>
      <w:r w:rsidR="000A6F31">
        <w:rPr>
          <w:rFonts w:asciiTheme="minorHAnsi" w:eastAsiaTheme="minorHAnsi" w:hAnsiTheme="minorHAnsi" w:cstheme="minorBidi"/>
          <w:color w:val="auto"/>
          <w:sz w:val="22"/>
          <w:szCs w:val="22"/>
          <w:lang w:val="sr-Latn-RS"/>
        </w:rPr>
        <w:t>kancelarija,</w:t>
      </w:r>
      <w:r w:rsidR="000A6F31" w:rsidRPr="007B0065">
        <w:rPr>
          <w:rFonts w:asciiTheme="minorHAnsi" w:eastAsiaTheme="minorHAnsi" w:hAnsiTheme="minorHAnsi" w:cstheme="minorBidi"/>
          <w:color w:val="auto"/>
          <w:sz w:val="22"/>
          <w:szCs w:val="22"/>
        </w:rPr>
        <w:t xml:space="preserve"> </w:t>
      </w:r>
      <w:r w:rsidRPr="007B0065">
        <w:rPr>
          <w:rFonts w:asciiTheme="minorHAnsi" w:eastAsiaTheme="minorHAnsi" w:hAnsiTheme="minorHAnsi" w:cstheme="minorBidi"/>
          <w:color w:val="auto"/>
          <w:sz w:val="22"/>
          <w:szCs w:val="22"/>
        </w:rPr>
        <w:t>sekundarnih izvora koje je prikupio tim za evaluaciju tokom cijelog procesa, popunjenih upitnika koji omogućavaju kvantitativnu analizu stavova i intervju</w:t>
      </w:r>
      <w:r w:rsidR="002F6356">
        <w:rPr>
          <w:rFonts w:asciiTheme="minorHAnsi" w:eastAsiaTheme="minorHAnsi" w:hAnsiTheme="minorHAnsi" w:cstheme="minorBidi"/>
          <w:color w:val="auto"/>
          <w:sz w:val="22"/>
          <w:szCs w:val="22"/>
          <w:lang w:val="sr-Latn-RS"/>
        </w:rPr>
        <w:t>a</w:t>
      </w:r>
      <w:r w:rsidR="003A184D">
        <w:rPr>
          <w:rFonts w:asciiTheme="minorHAnsi" w:eastAsiaTheme="minorHAnsi" w:hAnsiTheme="minorHAnsi" w:cstheme="minorBidi"/>
          <w:color w:val="auto"/>
          <w:sz w:val="22"/>
          <w:szCs w:val="22"/>
          <w:lang w:val="sr-Latn-RS"/>
        </w:rPr>
        <w:t xml:space="preserve">, </w:t>
      </w:r>
      <w:r w:rsidRPr="007B0065">
        <w:rPr>
          <w:rFonts w:asciiTheme="minorHAnsi" w:eastAsiaTheme="minorHAnsi" w:hAnsiTheme="minorHAnsi" w:cstheme="minorBidi"/>
          <w:color w:val="auto"/>
          <w:sz w:val="22"/>
          <w:szCs w:val="22"/>
        </w:rPr>
        <w:t>i omogućavaju kvalitativnu analizu stavova i percepcija sa glavnim korisnikom i ključnim zainteresovanim stranama.</w:t>
      </w:r>
      <w:r w:rsidR="00A90971" w:rsidRPr="00A90971">
        <w:rPr>
          <w:rFonts w:asciiTheme="minorHAnsi" w:eastAsiaTheme="minorHAnsi" w:hAnsiTheme="minorHAnsi" w:cstheme="minorHAnsi"/>
          <w:color w:val="auto"/>
          <w:sz w:val="22"/>
          <w:szCs w:val="22"/>
        </w:rPr>
        <w:t xml:space="preserve"> </w:t>
      </w:r>
      <w:r w:rsidR="00A90971" w:rsidRPr="00A90971">
        <w:rPr>
          <w:rFonts w:asciiTheme="minorHAnsi" w:eastAsiaTheme="minorHAnsi" w:hAnsiTheme="minorHAnsi" w:cstheme="minorBidi"/>
          <w:color w:val="auto"/>
          <w:sz w:val="22"/>
          <w:szCs w:val="22"/>
        </w:rPr>
        <w:t>Pored toga, distribuirani su upitnici i obavljeni su naknadni intervjui sa zainteresovanim stranama.</w:t>
      </w:r>
      <w:bookmarkEnd w:id="26"/>
    </w:p>
    <w:p w14:paraId="1C205803" w14:textId="1F44160B" w:rsidR="007B0065" w:rsidRDefault="007B0065" w:rsidP="00A90971">
      <w:pPr>
        <w:pStyle w:val="Heading2"/>
        <w:spacing w:after="240"/>
        <w:jc w:val="both"/>
        <w:rPr>
          <w:rFonts w:asciiTheme="minorHAnsi" w:eastAsiaTheme="minorHAnsi" w:hAnsiTheme="minorHAnsi" w:cstheme="minorBidi"/>
          <w:color w:val="auto"/>
          <w:sz w:val="22"/>
          <w:szCs w:val="22"/>
        </w:rPr>
      </w:pPr>
    </w:p>
    <w:p w14:paraId="13D29860" w14:textId="34068155" w:rsidR="009C2AD0" w:rsidRDefault="009C2AD0" w:rsidP="00AC2D64">
      <w:pPr>
        <w:pStyle w:val="Heading2"/>
        <w:spacing w:after="240"/>
        <w:rPr>
          <w:b/>
          <w:lang w:val="en-US"/>
        </w:rPr>
      </w:pPr>
      <w:bookmarkStart w:id="27" w:name="_Toc136505863"/>
      <w:r w:rsidRPr="00AC2D64">
        <w:rPr>
          <w:b/>
          <w:lang w:val="en-US"/>
        </w:rPr>
        <w:t xml:space="preserve">4.1 </w:t>
      </w:r>
      <w:r w:rsidR="0098181F" w:rsidRPr="00AC2D64">
        <w:rPr>
          <w:b/>
          <w:lang w:val="en-US"/>
        </w:rPr>
        <w:t>Relevan</w:t>
      </w:r>
      <w:r w:rsidR="00A74C20">
        <w:rPr>
          <w:b/>
          <w:lang w:val="en-US"/>
        </w:rPr>
        <w:t>tnost</w:t>
      </w:r>
      <w:bookmarkEnd w:id="27"/>
    </w:p>
    <w:p w14:paraId="60659559" w14:textId="067F768D" w:rsidR="00942257" w:rsidRDefault="007B0065" w:rsidP="00E63F8E">
      <w:pPr>
        <w:spacing w:line="276" w:lineRule="auto"/>
        <w:jc w:val="both"/>
        <w:rPr>
          <w:rFonts w:eastAsiaTheme="majorEastAsia" w:cstheme="minorHAnsi"/>
        </w:rPr>
      </w:pPr>
      <w:r w:rsidRPr="00917D78">
        <w:rPr>
          <w:rFonts w:eastAsiaTheme="majorEastAsia" w:cstheme="minorHAnsi"/>
        </w:rPr>
        <w:t xml:space="preserve">Kako bi se efikasno zaštitili finansijski interesi EU, Strategija 2019–2022 mora se baviti zahtjevima i ciljevima primarnog korisnika i drugih važnih </w:t>
      </w:r>
      <w:r w:rsidR="00942257">
        <w:rPr>
          <w:rFonts w:eastAsiaTheme="majorEastAsia" w:cstheme="minorHAnsi"/>
          <w:lang w:val="sr-Latn-RS"/>
        </w:rPr>
        <w:t>uče</w:t>
      </w:r>
      <w:r w:rsidR="000A6F31">
        <w:rPr>
          <w:rFonts w:eastAsiaTheme="majorEastAsia" w:cstheme="minorHAnsi"/>
          <w:lang w:val="sr-Latn-RS"/>
        </w:rPr>
        <w:t>s</w:t>
      </w:r>
      <w:r w:rsidR="00942257">
        <w:rPr>
          <w:rFonts w:eastAsiaTheme="majorEastAsia" w:cstheme="minorHAnsi"/>
          <w:lang w:val="sr-Latn-RS"/>
        </w:rPr>
        <w:t>nika</w:t>
      </w:r>
      <w:r w:rsidRPr="00917D78">
        <w:rPr>
          <w:rFonts w:eastAsiaTheme="majorEastAsia" w:cstheme="minorHAnsi"/>
        </w:rPr>
        <w:t xml:space="preserve">. </w:t>
      </w:r>
      <w:r w:rsidR="00942257">
        <w:rPr>
          <w:rFonts w:eastAsiaTheme="majorEastAsia" w:cstheme="minorHAnsi"/>
          <w:lang w:val="sr-Latn-RS"/>
        </w:rPr>
        <w:t>Zato</w:t>
      </w:r>
      <w:r w:rsidRPr="00917D78">
        <w:rPr>
          <w:rFonts w:eastAsiaTheme="majorEastAsia" w:cstheme="minorHAnsi"/>
        </w:rPr>
        <w:t xml:space="preserve"> je neophodna evaluacija relevantnosti. </w:t>
      </w:r>
    </w:p>
    <w:p w14:paraId="4BFF25F7" w14:textId="77777777" w:rsidR="000A6F31" w:rsidRDefault="007B0065" w:rsidP="00E63F8E">
      <w:pPr>
        <w:spacing w:line="276" w:lineRule="auto"/>
        <w:jc w:val="both"/>
        <w:rPr>
          <w:rFonts w:eastAsiaTheme="majorEastAsia" w:cstheme="minorHAnsi"/>
        </w:rPr>
      </w:pPr>
      <w:r w:rsidRPr="006B44AE">
        <w:rPr>
          <w:rFonts w:eastAsiaTheme="majorEastAsia" w:cstheme="minorHAnsi"/>
          <w:b/>
          <w:color w:val="1F3864" w:themeColor="accent1" w:themeShade="80"/>
        </w:rPr>
        <w:t>Nalaz 1: Postoji snažna korelacija između deklari</w:t>
      </w:r>
      <w:r w:rsidR="00687487" w:rsidRPr="006B44AE">
        <w:rPr>
          <w:rFonts w:eastAsiaTheme="majorEastAsia" w:cstheme="minorHAnsi"/>
          <w:b/>
          <w:color w:val="1F3864" w:themeColor="accent1" w:themeShade="80"/>
          <w:lang w:val="sr-Latn-RS"/>
        </w:rPr>
        <w:t>s</w:t>
      </w:r>
      <w:r w:rsidRPr="006B44AE">
        <w:rPr>
          <w:rFonts w:eastAsiaTheme="majorEastAsia" w:cstheme="minorHAnsi"/>
          <w:b/>
          <w:color w:val="1F3864" w:themeColor="accent1" w:themeShade="80"/>
        </w:rPr>
        <w:t>an</w:t>
      </w:r>
      <w:r w:rsidR="00E93474" w:rsidRPr="006B44AE">
        <w:rPr>
          <w:rFonts w:eastAsiaTheme="majorEastAsia" w:cstheme="minorHAnsi"/>
          <w:b/>
          <w:color w:val="1F3864" w:themeColor="accent1" w:themeShade="80"/>
          <w:lang w:val="sr-Latn-RS"/>
        </w:rPr>
        <w:t>e</w:t>
      </w:r>
      <w:r w:rsidRPr="006B44AE">
        <w:rPr>
          <w:rFonts w:eastAsiaTheme="majorEastAsia" w:cstheme="minorHAnsi"/>
          <w:b/>
          <w:color w:val="1F3864" w:themeColor="accent1" w:themeShade="80"/>
        </w:rPr>
        <w:t xml:space="preserve"> </w:t>
      </w:r>
      <w:r w:rsidR="00E93474" w:rsidRPr="006B44AE">
        <w:rPr>
          <w:rFonts w:eastAsiaTheme="majorEastAsia" w:cstheme="minorHAnsi"/>
          <w:b/>
          <w:color w:val="1F3864" w:themeColor="accent1" w:themeShade="80"/>
          <w:lang w:val="sr-Latn-RS"/>
        </w:rPr>
        <w:t>svrhe</w:t>
      </w:r>
      <w:r w:rsidRPr="006B44AE">
        <w:rPr>
          <w:rFonts w:eastAsiaTheme="majorEastAsia" w:cstheme="minorHAnsi"/>
          <w:b/>
          <w:color w:val="1F3864" w:themeColor="accent1" w:themeShade="80"/>
        </w:rPr>
        <w:t xml:space="preserve">, ciljeva i mjera crnogorske </w:t>
      </w:r>
      <w:r w:rsidR="00E93474" w:rsidRPr="006B44AE">
        <w:rPr>
          <w:rFonts w:eastAsiaTheme="majorEastAsia" w:cstheme="minorHAnsi"/>
          <w:b/>
          <w:color w:val="1F3864" w:themeColor="accent1" w:themeShade="80"/>
          <w:lang w:val="sr-Latn-RS"/>
        </w:rPr>
        <w:t>S</w:t>
      </w:r>
      <w:r w:rsidRPr="006B44AE">
        <w:rPr>
          <w:rFonts w:eastAsiaTheme="majorEastAsia" w:cstheme="minorHAnsi"/>
          <w:b/>
          <w:color w:val="1F3864" w:themeColor="accent1" w:themeShade="80"/>
        </w:rPr>
        <w:t>trategije 2019 – 2022. i prioriteta korisnika, što ukazuje da je Strategija dizajnirana u visokom skladu sa identifikovanim potrebama</w:t>
      </w:r>
      <w:r w:rsidRPr="00917D78">
        <w:rPr>
          <w:rFonts w:eastAsiaTheme="majorEastAsia" w:cstheme="minorHAnsi"/>
        </w:rPr>
        <w:t xml:space="preserve">. </w:t>
      </w:r>
    </w:p>
    <w:p w14:paraId="49F98E4F" w14:textId="120E5C7F" w:rsidR="002D7231" w:rsidRPr="00917D78" w:rsidRDefault="007B0065" w:rsidP="00E63F8E">
      <w:pPr>
        <w:spacing w:line="276" w:lineRule="auto"/>
        <w:jc w:val="both"/>
        <w:rPr>
          <w:rFonts w:cstheme="minorHAnsi"/>
          <w:iCs/>
          <w:lang w:val="en-US"/>
        </w:rPr>
      </w:pPr>
      <w:r w:rsidRPr="00917D78">
        <w:rPr>
          <w:rFonts w:eastAsiaTheme="majorEastAsia" w:cstheme="minorHAnsi"/>
        </w:rPr>
        <w:t xml:space="preserve">Strateški dokument zajedno s prvim godišnjim akcionim planom izrađen je u </w:t>
      </w:r>
      <w:r w:rsidR="00E93474">
        <w:rPr>
          <w:rFonts w:eastAsiaTheme="majorEastAsia" w:cstheme="minorHAnsi"/>
          <w:lang w:val="sr-Latn-RS"/>
        </w:rPr>
        <w:t xml:space="preserve">okviru </w:t>
      </w:r>
      <w:r w:rsidRPr="00917D78">
        <w:rPr>
          <w:rFonts w:eastAsiaTheme="majorEastAsia" w:cstheme="minorHAnsi"/>
        </w:rPr>
        <w:t>Twining Light projekta „Razvoj kapaciteta Službe za koordinaciju borbe protiv prevara (AFCOS)“</w:t>
      </w:r>
      <w:r w:rsidR="00F364BB">
        <w:rPr>
          <w:rFonts w:eastAsiaTheme="majorEastAsia" w:cstheme="minorHAnsi"/>
          <w:lang w:val="sr-Latn-RS"/>
        </w:rPr>
        <w:t xml:space="preserve">. Projekat </w:t>
      </w:r>
      <w:r w:rsidRPr="00917D78">
        <w:rPr>
          <w:rFonts w:eastAsiaTheme="majorEastAsia" w:cstheme="minorHAnsi"/>
        </w:rPr>
        <w:t>su implementirali hrvatski stručnjac</w:t>
      </w:r>
      <w:r w:rsidR="00F364BB">
        <w:rPr>
          <w:rFonts w:eastAsiaTheme="majorEastAsia" w:cstheme="minorHAnsi"/>
          <w:lang w:val="sr-Latn-RS"/>
        </w:rPr>
        <w:t xml:space="preserve">i, započeo je u </w:t>
      </w:r>
      <w:r w:rsidRPr="00917D78">
        <w:rPr>
          <w:rFonts w:eastAsiaTheme="majorEastAsia" w:cstheme="minorHAnsi"/>
        </w:rPr>
        <w:t>3. kvartalu 2018. godine, u trajanju od šest (6) mjeseci, sa ciljem unapređenja kapaciteta AFCOS sistema u Crnoj Gori. Eksterni stručnjaci u bliskoj saradnji sa nacionalnim akterima i nadležnim organima dali su sveobuhvatnu ocjenu pravnog i institucionalnog okvira, procedura i praksi za zaštitu finansijskih interesa EU u Crnoj Gori, uključujući sljedeće elemente:</w:t>
      </w:r>
    </w:p>
    <w:p w14:paraId="4CF1CE5D" w14:textId="1AC165C1" w:rsidR="00917D78" w:rsidRPr="00864F12" w:rsidRDefault="00917D78" w:rsidP="00DB1F9B">
      <w:pPr>
        <w:numPr>
          <w:ilvl w:val="0"/>
          <w:numId w:val="4"/>
        </w:numPr>
        <w:spacing w:line="276" w:lineRule="auto"/>
        <w:contextualSpacing/>
        <w:jc w:val="both"/>
        <w:rPr>
          <w:lang w:val="en-US"/>
        </w:rPr>
      </w:pPr>
      <w:r w:rsidRPr="00864F12">
        <w:rPr>
          <w:bCs/>
        </w:rPr>
        <w:t xml:space="preserve">Analiza institucionalnih </w:t>
      </w:r>
      <w:r w:rsidR="00864F12" w:rsidRPr="00864F12">
        <w:rPr>
          <w:bCs/>
          <w:lang w:val="sr-Latn-RS"/>
        </w:rPr>
        <w:t>okvira</w:t>
      </w:r>
      <w:r w:rsidRPr="00864F12">
        <w:rPr>
          <w:bCs/>
        </w:rPr>
        <w:t xml:space="preserve"> u oblasti borbe protiv prevara i upravljanja nepravilnostima, </w:t>
      </w:r>
    </w:p>
    <w:p w14:paraId="2C75ADD8" w14:textId="08694D98" w:rsidR="00917D78" w:rsidRPr="00864F12" w:rsidRDefault="00917D78" w:rsidP="00DB1F9B">
      <w:pPr>
        <w:numPr>
          <w:ilvl w:val="0"/>
          <w:numId w:val="4"/>
        </w:numPr>
        <w:spacing w:line="276" w:lineRule="auto"/>
        <w:contextualSpacing/>
        <w:jc w:val="both"/>
        <w:rPr>
          <w:lang w:val="en-US"/>
        </w:rPr>
      </w:pPr>
      <w:r w:rsidRPr="00864F12">
        <w:rPr>
          <w:bCs/>
        </w:rPr>
        <w:t xml:space="preserve">Identifikacija ključnih nedostataka i nedostataka na institucionalnom i operativnom nivou, </w:t>
      </w:r>
    </w:p>
    <w:p w14:paraId="5EB4166E" w14:textId="4AD287B3" w:rsidR="00917D78" w:rsidRPr="00864F12" w:rsidRDefault="00917D78" w:rsidP="00DB1F9B">
      <w:pPr>
        <w:numPr>
          <w:ilvl w:val="0"/>
          <w:numId w:val="4"/>
        </w:numPr>
        <w:spacing w:line="276" w:lineRule="auto"/>
        <w:contextualSpacing/>
        <w:jc w:val="both"/>
        <w:rPr>
          <w:lang w:val="en-US"/>
        </w:rPr>
      </w:pPr>
      <w:r w:rsidRPr="00864F12">
        <w:rPr>
          <w:bCs/>
        </w:rPr>
        <w:t>Postignuti rezultati implementacije Nacionalne strategije za borbu protiv prevara u periodu 2015-2017.</w:t>
      </w:r>
    </w:p>
    <w:p w14:paraId="5CDDE962" w14:textId="77777777" w:rsidR="00F364BB" w:rsidRPr="00F364BB" w:rsidRDefault="00917D78" w:rsidP="00917D78">
      <w:pPr>
        <w:numPr>
          <w:ilvl w:val="0"/>
          <w:numId w:val="4"/>
        </w:numPr>
        <w:spacing w:line="276" w:lineRule="auto"/>
        <w:contextualSpacing/>
        <w:jc w:val="both"/>
        <w:rPr>
          <w:lang w:val="en-US"/>
        </w:rPr>
      </w:pPr>
      <w:r w:rsidRPr="00F364BB">
        <w:rPr>
          <w:bCs/>
        </w:rPr>
        <w:t>Preporuke za jačanje operativnih kapaciteta i performansi AFCOS sistema.</w:t>
      </w:r>
    </w:p>
    <w:p w14:paraId="5CBD011C" w14:textId="77777777" w:rsidR="00F364BB" w:rsidRDefault="00F364BB" w:rsidP="00F364BB">
      <w:pPr>
        <w:spacing w:line="276" w:lineRule="auto"/>
        <w:contextualSpacing/>
        <w:jc w:val="both"/>
        <w:rPr>
          <w:bCs/>
        </w:rPr>
      </w:pPr>
    </w:p>
    <w:p w14:paraId="69C2FBB8" w14:textId="1C61F9E3" w:rsidR="00917D78" w:rsidRPr="00F364BB" w:rsidRDefault="00917D78" w:rsidP="00F364BB">
      <w:pPr>
        <w:spacing w:line="276" w:lineRule="auto"/>
        <w:contextualSpacing/>
        <w:jc w:val="both"/>
        <w:rPr>
          <w:lang w:val="en-US"/>
        </w:rPr>
      </w:pPr>
      <w:r w:rsidRPr="00F364BB">
        <w:rPr>
          <w:bCs/>
        </w:rPr>
        <w:lastRenderedPageBreak/>
        <w:t xml:space="preserve">Nadovezujući se na dosadašnja dostignuća i identifikujući postojeće nedostatke i horizontalne aspekte (tj. jačanje kapaciteta ljudskih resursa, uspostavljanje efikasnih mehanizama koordinacije i </w:t>
      </w:r>
      <w:r w:rsidR="008F2489">
        <w:rPr>
          <w:bCs/>
          <w:lang w:val="sr-Latn-RS"/>
        </w:rPr>
        <w:t>s</w:t>
      </w:r>
      <w:r w:rsidRPr="00F364BB">
        <w:rPr>
          <w:bCs/>
        </w:rPr>
        <w:t xml:space="preserve">provođenje ciljanih inicijativa za podizanje svijesti), </w:t>
      </w:r>
      <w:r w:rsidR="00F364BB">
        <w:rPr>
          <w:bCs/>
          <w:lang w:val="sr-Latn-RS"/>
        </w:rPr>
        <w:t>evaluacij</w:t>
      </w:r>
      <w:r w:rsidRPr="00F364BB">
        <w:rPr>
          <w:bCs/>
        </w:rPr>
        <w:t>a je istakla sljedeće, kao ključne potrebe koje treba riješiti u Strategiji 2019-2022.</w:t>
      </w:r>
      <w:r w:rsidRPr="00F364BB">
        <w:rPr>
          <w:b/>
          <w:bCs/>
        </w:rPr>
        <w:t xml:space="preserve"> :</w:t>
      </w:r>
    </w:p>
    <w:p w14:paraId="0FA402D8" w14:textId="77777777" w:rsidR="00917D78" w:rsidRPr="00917D78" w:rsidRDefault="00917D78" w:rsidP="00917D78">
      <w:pPr>
        <w:spacing w:line="276" w:lineRule="auto"/>
        <w:contextualSpacing/>
        <w:jc w:val="both"/>
        <w:rPr>
          <w:lang w:val="en-US"/>
        </w:rPr>
      </w:pPr>
    </w:p>
    <w:p w14:paraId="56462BFD" w14:textId="75BC32DB" w:rsidR="00917D78" w:rsidRPr="008F2489" w:rsidRDefault="00917D78" w:rsidP="00DB1F9B">
      <w:pPr>
        <w:numPr>
          <w:ilvl w:val="0"/>
          <w:numId w:val="4"/>
        </w:numPr>
        <w:spacing w:line="276" w:lineRule="auto"/>
        <w:contextualSpacing/>
        <w:jc w:val="both"/>
        <w:rPr>
          <w:lang w:val="en-US"/>
        </w:rPr>
      </w:pPr>
      <w:r w:rsidRPr="008F2489">
        <w:rPr>
          <w:bCs/>
        </w:rPr>
        <w:t>Uspostavljanje sveobuhvatnog zakonodavnog okvira za efikasnu zaštitu finansijskih interesa EU,</w:t>
      </w:r>
    </w:p>
    <w:p w14:paraId="280E1C73" w14:textId="7F802BE9" w:rsidR="00917D78" w:rsidRPr="008F2489" w:rsidRDefault="00917D78" w:rsidP="00DB1F9B">
      <w:pPr>
        <w:numPr>
          <w:ilvl w:val="0"/>
          <w:numId w:val="4"/>
        </w:numPr>
        <w:spacing w:line="276" w:lineRule="auto"/>
        <w:contextualSpacing/>
        <w:jc w:val="both"/>
        <w:rPr>
          <w:lang w:val="en-US"/>
        </w:rPr>
      </w:pPr>
      <w:r w:rsidRPr="008F2489">
        <w:rPr>
          <w:bCs/>
        </w:rPr>
        <w:t>Centralizacija i digitalizacija funkcije prijavljivanja nepravilnosti,</w:t>
      </w:r>
    </w:p>
    <w:p w14:paraId="0A1F143B" w14:textId="6595DF7A" w:rsidR="00917D78" w:rsidRPr="008F2489" w:rsidRDefault="00F364BB" w:rsidP="00DB1F9B">
      <w:pPr>
        <w:numPr>
          <w:ilvl w:val="0"/>
          <w:numId w:val="4"/>
        </w:numPr>
        <w:spacing w:line="276" w:lineRule="auto"/>
        <w:contextualSpacing/>
        <w:jc w:val="both"/>
        <w:rPr>
          <w:lang w:val="en-US"/>
        </w:rPr>
      </w:pPr>
      <w:r w:rsidRPr="008F2489">
        <w:rPr>
          <w:bCs/>
          <w:lang w:val="sr-Latn-RS"/>
        </w:rPr>
        <w:t>I</w:t>
      </w:r>
      <w:r w:rsidR="00917D78" w:rsidRPr="008F2489">
        <w:rPr>
          <w:bCs/>
        </w:rPr>
        <w:t>nicijative za izgradnju kapaciteta za jačanje prvog nivoa izvještavanja,</w:t>
      </w:r>
    </w:p>
    <w:p w14:paraId="317FB51F" w14:textId="77777777" w:rsidR="00917D78" w:rsidRPr="008F2489" w:rsidRDefault="00917D78" w:rsidP="00DB1F9B">
      <w:pPr>
        <w:numPr>
          <w:ilvl w:val="0"/>
          <w:numId w:val="4"/>
        </w:numPr>
        <w:spacing w:line="276" w:lineRule="auto"/>
        <w:contextualSpacing/>
        <w:jc w:val="both"/>
        <w:rPr>
          <w:lang w:val="en-US"/>
        </w:rPr>
      </w:pPr>
      <w:r w:rsidRPr="008F2489">
        <w:rPr>
          <w:bCs/>
        </w:rPr>
        <w:t>Standardizacija procesa za upravljanje nepravilnostima i naknadno ažuriranje IPA priručnika o procedurama,</w:t>
      </w:r>
    </w:p>
    <w:p w14:paraId="3751D7F7" w14:textId="4FF80101" w:rsidR="00917D78" w:rsidRPr="008F2489" w:rsidRDefault="00917D78" w:rsidP="00DB1F9B">
      <w:pPr>
        <w:numPr>
          <w:ilvl w:val="0"/>
          <w:numId w:val="4"/>
        </w:numPr>
        <w:spacing w:line="276" w:lineRule="auto"/>
        <w:contextualSpacing/>
        <w:jc w:val="both"/>
        <w:rPr>
          <w:lang w:val="en-US"/>
        </w:rPr>
      </w:pPr>
      <w:r w:rsidRPr="008F2489">
        <w:rPr>
          <w:bCs/>
        </w:rPr>
        <w:t>Dodjeljivanje jasnih uloga i nadležnosti članovima AFCOS mreže,</w:t>
      </w:r>
    </w:p>
    <w:p w14:paraId="3B87F3F1" w14:textId="77777777" w:rsidR="00917D78" w:rsidRPr="008F2489" w:rsidRDefault="00917D78" w:rsidP="00DB1F9B">
      <w:pPr>
        <w:numPr>
          <w:ilvl w:val="0"/>
          <w:numId w:val="4"/>
        </w:numPr>
        <w:spacing w:line="276" w:lineRule="auto"/>
        <w:contextualSpacing/>
        <w:jc w:val="both"/>
        <w:rPr>
          <w:lang w:val="en-US"/>
        </w:rPr>
      </w:pPr>
      <w:r w:rsidRPr="008F2489">
        <w:rPr>
          <w:bCs/>
        </w:rPr>
        <w:t>Promovisanje međuinstitucionalne saradnje,</w:t>
      </w:r>
    </w:p>
    <w:p w14:paraId="0949AE44" w14:textId="784B7088" w:rsidR="00917D78" w:rsidRPr="008F2489" w:rsidRDefault="00917D78" w:rsidP="00DB1F9B">
      <w:pPr>
        <w:numPr>
          <w:ilvl w:val="0"/>
          <w:numId w:val="4"/>
        </w:numPr>
        <w:spacing w:line="276" w:lineRule="auto"/>
        <w:contextualSpacing/>
        <w:jc w:val="both"/>
        <w:rPr>
          <w:lang w:val="en-US"/>
        </w:rPr>
      </w:pPr>
      <w:r w:rsidRPr="008F2489">
        <w:rPr>
          <w:bCs/>
        </w:rPr>
        <w:t>Uključivanje mjera koje nisu realizovane tokom Strategije 2015 – 2017.</w:t>
      </w:r>
    </w:p>
    <w:p w14:paraId="3E663AAF" w14:textId="01290433" w:rsidR="00917D78" w:rsidRPr="008F2489" w:rsidRDefault="00917D78" w:rsidP="00DB1F9B">
      <w:pPr>
        <w:numPr>
          <w:ilvl w:val="0"/>
          <w:numId w:val="4"/>
        </w:numPr>
        <w:spacing w:line="276" w:lineRule="auto"/>
        <w:contextualSpacing/>
        <w:jc w:val="both"/>
        <w:rPr>
          <w:lang w:val="en-US"/>
        </w:rPr>
      </w:pPr>
      <w:r w:rsidRPr="008F2489">
        <w:rPr>
          <w:bCs/>
        </w:rPr>
        <w:t>Aktivnosti podizanja svijesti.</w:t>
      </w:r>
    </w:p>
    <w:p w14:paraId="017B4D97" w14:textId="77777777" w:rsidR="00917D78" w:rsidRPr="008F2489" w:rsidRDefault="00917D78" w:rsidP="00917D78">
      <w:pPr>
        <w:spacing w:line="276" w:lineRule="auto"/>
        <w:ind w:left="360"/>
        <w:contextualSpacing/>
        <w:jc w:val="both"/>
        <w:rPr>
          <w:lang w:val="en-US"/>
        </w:rPr>
      </w:pPr>
    </w:p>
    <w:p w14:paraId="395A88A3" w14:textId="77777777" w:rsidR="001B0004" w:rsidRDefault="00917D78" w:rsidP="001B0004">
      <w:pPr>
        <w:spacing w:line="276" w:lineRule="auto"/>
        <w:contextualSpacing/>
        <w:jc w:val="both"/>
        <w:rPr>
          <w:bCs/>
        </w:rPr>
      </w:pPr>
      <w:r w:rsidRPr="00917D78">
        <w:rPr>
          <w:bCs/>
        </w:rPr>
        <w:t xml:space="preserve">Navedeni skup zaključaka i preporuka činio je osnovu za izradu Strategije 2019 – 2022 u smislu ciljeva, zadataka i mjera. Iako se </w:t>
      </w:r>
      <w:r w:rsidR="00F364BB">
        <w:rPr>
          <w:bCs/>
          <w:lang w:val="sr-Latn-RS"/>
        </w:rPr>
        <w:t>gore</w:t>
      </w:r>
      <w:r w:rsidR="003108C7">
        <w:rPr>
          <w:bCs/>
          <w:lang w:val="sr-Latn-RS"/>
        </w:rPr>
        <w:t xml:space="preserve"> </w:t>
      </w:r>
      <w:r w:rsidR="00F364BB">
        <w:rPr>
          <w:bCs/>
          <w:lang w:val="sr-Latn-RS"/>
        </w:rPr>
        <w:t xml:space="preserve">pomenuta </w:t>
      </w:r>
      <w:r w:rsidRPr="00917D78">
        <w:rPr>
          <w:bCs/>
        </w:rPr>
        <w:t>analiza uglavnom fokusira na kritične aspekte i karakteristike AFCOS sistema i kao takva, ne kvalifikuje se kao proc</w:t>
      </w:r>
      <w:r w:rsidR="00F364BB">
        <w:rPr>
          <w:bCs/>
          <w:lang w:val="sr-Latn-RS"/>
        </w:rPr>
        <w:t>j</w:t>
      </w:r>
      <w:r w:rsidRPr="00917D78">
        <w:rPr>
          <w:bCs/>
        </w:rPr>
        <w:t>ena rizika od prevare u smislu identifikacije, proc</w:t>
      </w:r>
      <w:r w:rsidR="00F364BB">
        <w:rPr>
          <w:bCs/>
          <w:lang w:val="sr-Latn-RS"/>
        </w:rPr>
        <w:t>j</w:t>
      </w:r>
      <w:r w:rsidRPr="00917D78">
        <w:rPr>
          <w:bCs/>
        </w:rPr>
        <w:t>ene (v</w:t>
      </w:r>
      <w:r w:rsidR="00F364BB">
        <w:rPr>
          <w:bCs/>
          <w:lang w:val="sr-Latn-RS"/>
        </w:rPr>
        <w:t>j</w:t>
      </w:r>
      <w:r w:rsidRPr="00917D78">
        <w:rPr>
          <w:bCs/>
        </w:rPr>
        <w:t>erovatnoća – uticaj) i klasifikacije rizika, postignut je kontinuitet u strateškoj orijentaciji na zadovoljavajući stepen tokom osmišljavanja i izrade strategije</w:t>
      </w:r>
      <w:r w:rsidR="00F364BB">
        <w:rPr>
          <w:bCs/>
          <w:lang w:val="sr-Latn-RS"/>
        </w:rPr>
        <w:t>.</w:t>
      </w:r>
      <w:r w:rsidRPr="00917D78">
        <w:rPr>
          <w:bCs/>
        </w:rPr>
        <w:t xml:space="preserve"> Strategija je uzela u obzir prioritete i zahteve koje je identifikovala AFCOS kancelarija – primarni korisnik – i druge važne zainteresovane strane. Kao rezultat toga, predviđene akcije i programi navedeni u Strategiji služe kao ključni dijelovi za progresivnu izgradnju snažnog i efikasnog nacionalnog okvira za borbu protiv prevara u Crnoj Gori</w:t>
      </w:r>
    </w:p>
    <w:p w14:paraId="57867369" w14:textId="77777777" w:rsidR="001B0004" w:rsidRDefault="001B0004" w:rsidP="001B0004">
      <w:pPr>
        <w:spacing w:line="276" w:lineRule="auto"/>
        <w:contextualSpacing/>
        <w:jc w:val="both"/>
        <w:rPr>
          <w:b/>
          <w:lang w:val="sr-Latn-RS"/>
        </w:rPr>
      </w:pPr>
    </w:p>
    <w:p w14:paraId="190D28A6" w14:textId="77777777" w:rsidR="001B0004" w:rsidRDefault="00917D78" w:rsidP="001B0004">
      <w:pPr>
        <w:spacing w:line="276" w:lineRule="auto"/>
        <w:contextualSpacing/>
        <w:jc w:val="both"/>
        <w:rPr>
          <w:b/>
        </w:rPr>
      </w:pPr>
      <w:r>
        <w:rPr>
          <w:b/>
          <w:lang w:val="sr-Latn-RS"/>
        </w:rPr>
        <w:t>N</w:t>
      </w:r>
      <w:r w:rsidRPr="00917D78">
        <w:rPr>
          <w:b/>
        </w:rPr>
        <w:t>alaz 2: Otvorene konsultacije su podržale dizajn i izradu Strategije. Međutim, stepen uključenosti zainteresovanih strana u proces bio je izuzetno nizak.</w:t>
      </w:r>
    </w:p>
    <w:p w14:paraId="495C6CD7" w14:textId="77777777" w:rsidR="001B0004" w:rsidRDefault="001B0004" w:rsidP="001B0004">
      <w:pPr>
        <w:spacing w:line="276" w:lineRule="auto"/>
        <w:contextualSpacing/>
        <w:jc w:val="both"/>
        <w:rPr>
          <w:rFonts w:eastAsiaTheme="minorHAnsi" w:cstheme="minorHAnsi"/>
          <w:lang w:val="sr-Latn-RS"/>
        </w:rPr>
      </w:pPr>
    </w:p>
    <w:p w14:paraId="66B89256" w14:textId="77777777" w:rsidR="00A90971" w:rsidRDefault="0038333A" w:rsidP="001B0004">
      <w:pPr>
        <w:spacing w:line="276" w:lineRule="auto"/>
        <w:contextualSpacing/>
        <w:jc w:val="both"/>
        <w:rPr>
          <w:rFonts w:eastAsiaTheme="minorHAnsi" w:cstheme="minorHAnsi"/>
        </w:rPr>
      </w:pPr>
      <w:r>
        <w:rPr>
          <w:rFonts w:eastAsiaTheme="minorHAnsi" w:cstheme="minorHAnsi"/>
          <w:lang w:val="sr-Latn-RS"/>
        </w:rPr>
        <w:t>Kancelarijsko istraživanje</w:t>
      </w:r>
      <w:r w:rsidR="00917D78" w:rsidRPr="00917D78">
        <w:rPr>
          <w:rFonts w:eastAsiaTheme="minorHAnsi" w:cstheme="minorHAnsi"/>
        </w:rPr>
        <w:t xml:space="preserve"> i intervjui sa zainteresovanim stranama sprovedeni u okviru ove evaluacije potvrđuju da su otvorene konsultacije sa širokim spektrom relevantnih zainteresovanih strana (uključujući </w:t>
      </w:r>
      <w:r>
        <w:rPr>
          <w:rFonts w:eastAsiaTheme="minorHAnsi" w:cstheme="minorHAnsi"/>
          <w:lang w:val="sr-Latn-RS"/>
        </w:rPr>
        <w:t>institucije</w:t>
      </w:r>
      <w:r w:rsidR="00917D78" w:rsidRPr="00917D78">
        <w:rPr>
          <w:rFonts w:eastAsiaTheme="minorHAnsi" w:cstheme="minorHAnsi"/>
        </w:rPr>
        <w:t xml:space="preserve"> za provođenje zakona i akreditovana t</w:t>
      </w:r>
      <w:r>
        <w:rPr>
          <w:rFonts w:eastAsiaTheme="minorHAnsi" w:cstheme="minorHAnsi"/>
          <w:lang w:val="sr-Latn-RS"/>
        </w:rPr>
        <w:t>ij</w:t>
      </w:r>
      <w:r w:rsidR="00917D78" w:rsidRPr="00917D78">
        <w:rPr>
          <w:rFonts w:eastAsiaTheme="minorHAnsi" w:cstheme="minorHAnsi"/>
        </w:rPr>
        <w:t>ela IPA sistema upravljanja i kontrole) održane tokom pripremne faze Strategij</w:t>
      </w:r>
      <w:r>
        <w:rPr>
          <w:rFonts w:eastAsiaTheme="minorHAnsi" w:cstheme="minorHAnsi"/>
          <w:lang w:val="sr-Latn-RS"/>
        </w:rPr>
        <w:t>e</w:t>
      </w:r>
      <w:r w:rsidR="00917D78" w:rsidRPr="00917D78">
        <w:rPr>
          <w:rFonts w:eastAsiaTheme="minorHAnsi" w:cstheme="minorHAnsi"/>
        </w:rPr>
        <w:t xml:space="preserve">. U skladu sa odredbama Priručnika za ocjenu strateških dokumenata i Metodologije </w:t>
      </w:r>
      <w:r>
        <w:rPr>
          <w:rFonts w:eastAsiaTheme="minorHAnsi" w:cstheme="minorHAnsi"/>
          <w:lang w:val="sr-Latn-RS"/>
        </w:rPr>
        <w:t>razvijanja</w:t>
      </w:r>
      <w:r w:rsidR="00917D78" w:rsidRPr="00917D78">
        <w:rPr>
          <w:rFonts w:eastAsiaTheme="minorHAnsi" w:cstheme="minorHAnsi"/>
        </w:rPr>
        <w:t xml:space="preserve"> politika, izrad</w:t>
      </w:r>
      <w:r>
        <w:rPr>
          <w:rFonts w:eastAsiaTheme="minorHAnsi" w:cstheme="minorHAnsi"/>
          <w:lang w:val="sr-Latn-RS"/>
        </w:rPr>
        <w:t>e</w:t>
      </w:r>
      <w:r w:rsidR="00917D78" w:rsidRPr="00917D78">
        <w:rPr>
          <w:rFonts w:eastAsiaTheme="minorHAnsi" w:cstheme="minorHAnsi"/>
        </w:rPr>
        <w:t xml:space="preserve"> i praćenj</w:t>
      </w:r>
      <w:r>
        <w:rPr>
          <w:rFonts w:eastAsiaTheme="minorHAnsi" w:cstheme="minorHAnsi"/>
          <w:lang w:val="sr-Latn-RS"/>
        </w:rPr>
        <w:t>a sprovođenja</w:t>
      </w:r>
      <w:r w:rsidR="00917D78" w:rsidRPr="00917D78">
        <w:rPr>
          <w:rFonts w:eastAsiaTheme="minorHAnsi" w:cstheme="minorHAnsi"/>
        </w:rPr>
        <w:t xml:space="preserve"> strateških planskih dokumenata</w:t>
      </w:r>
      <w:r w:rsidR="00010652">
        <w:rPr>
          <w:rFonts w:eastAsiaTheme="minorHAnsi" w:cstheme="minorHAnsi"/>
          <w:lang w:val="sr-Latn-RS"/>
        </w:rPr>
        <w:t>, k</w:t>
      </w:r>
      <w:r>
        <w:rPr>
          <w:rFonts w:eastAsiaTheme="minorHAnsi" w:cstheme="minorHAnsi"/>
          <w:lang w:val="sr-Latn-RS"/>
        </w:rPr>
        <w:t xml:space="preserve">ancelarija </w:t>
      </w:r>
      <w:r w:rsidR="00917D78" w:rsidRPr="00917D78">
        <w:rPr>
          <w:rFonts w:eastAsiaTheme="minorHAnsi" w:cstheme="minorHAnsi"/>
        </w:rPr>
        <w:t>AFCOS-a postavi</w:t>
      </w:r>
      <w:r>
        <w:rPr>
          <w:rFonts w:eastAsiaTheme="minorHAnsi" w:cstheme="minorHAnsi"/>
          <w:lang w:val="sr-Latn-RS"/>
        </w:rPr>
        <w:t>la</w:t>
      </w:r>
      <w:r w:rsidR="00917D78" w:rsidRPr="00917D78">
        <w:rPr>
          <w:rFonts w:eastAsiaTheme="minorHAnsi" w:cstheme="minorHAnsi"/>
        </w:rPr>
        <w:t xml:space="preserve"> na internet izrađenu Strategiju, distribuira</w:t>
      </w:r>
      <w:r w:rsidR="00010652">
        <w:rPr>
          <w:rFonts w:eastAsiaTheme="minorHAnsi" w:cstheme="minorHAnsi"/>
          <w:lang w:val="sr-Latn-RS"/>
        </w:rPr>
        <w:t>la</w:t>
      </w:r>
      <w:r w:rsidR="00917D78" w:rsidRPr="00917D78">
        <w:rPr>
          <w:rFonts w:eastAsiaTheme="minorHAnsi" w:cstheme="minorHAnsi"/>
        </w:rPr>
        <w:t xml:space="preserve"> kopije dokumenta svim glavnim akterima i uputi</w:t>
      </w:r>
      <w:r w:rsidR="00010652">
        <w:rPr>
          <w:rFonts w:eastAsiaTheme="minorHAnsi" w:cstheme="minorHAnsi"/>
          <w:lang w:val="sr-Latn-RS"/>
        </w:rPr>
        <w:t>la</w:t>
      </w:r>
      <w:r w:rsidR="00917D78" w:rsidRPr="00917D78">
        <w:rPr>
          <w:rFonts w:eastAsiaTheme="minorHAnsi" w:cstheme="minorHAnsi"/>
        </w:rPr>
        <w:t xml:space="preserve"> otvoreni poziv za javnu raspravu o strateškom dokumentu nadležnim državnim organima, organizacijama civilnog društva, novinarima i široj javnosti. Učešće na događaju je bilo izuzetno ograničeno. </w:t>
      </w:r>
    </w:p>
    <w:p w14:paraId="2334085D" w14:textId="77777777" w:rsidR="00A90971" w:rsidRDefault="00A90971" w:rsidP="001B0004">
      <w:pPr>
        <w:spacing w:line="276" w:lineRule="auto"/>
        <w:contextualSpacing/>
        <w:jc w:val="both"/>
        <w:rPr>
          <w:rFonts w:eastAsiaTheme="minorHAnsi" w:cstheme="minorHAnsi"/>
        </w:rPr>
      </w:pPr>
    </w:p>
    <w:p w14:paraId="23BF4C32" w14:textId="77777777" w:rsidR="00507C7D" w:rsidRDefault="00917D78" w:rsidP="001B0004">
      <w:pPr>
        <w:spacing w:line="276" w:lineRule="auto"/>
        <w:contextualSpacing/>
        <w:jc w:val="both"/>
        <w:rPr>
          <w:rFonts w:eastAsiaTheme="minorHAnsi" w:cstheme="minorHAnsi"/>
        </w:rPr>
      </w:pPr>
      <w:r w:rsidRPr="00917D78">
        <w:rPr>
          <w:rFonts w:eastAsiaTheme="minorHAnsi" w:cstheme="minorHAnsi"/>
        </w:rPr>
        <w:t xml:space="preserve">Navedeno ukazuje na činjenicu da, uprkos kontinuiranim naporima </w:t>
      </w:r>
      <w:r w:rsidR="00010652">
        <w:rPr>
          <w:rFonts w:eastAsiaTheme="minorHAnsi" w:cstheme="minorHAnsi"/>
          <w:lang w:val="sr-Latn-RS"/>
        </w:rPr>
        <w:t>kancelarije</w:t>
      </w:r>
      <w:r w:rsidRPr="00917D78">
        <w:rPr>
          <w:rFonts w:eastAsiaTheme="minorHAnsi" w:cstheme="minorHAnsi"/>
        </w:rPr>
        <w:t xml:space="preserve"> AFCOS na promociji Strategije i podizanju svijesti o njenom značaju kako za jačanje kapaciteta AFCOS sistema u cjelini, tako i za uspješno okončanje pretpristupnih pregovora, značajan broj zainteresovanih strana, uključujući članove IPA II strukture, nije imao jasno razumijevanje svoje uloge i njihovog potencijalnog doprinosa dizajnu crnogorsk</w:t>
      </w:r>
      <w:r w:rsidR="00010652">
        <w:rPr>
          <w:rFonts w:eastAsiaTheme="minorHAnsi" w:cstheme="minorHAnsi"/>
          <w:lang w:val="sr-Latn-RS"/>
        </w:rPr>
        <w:t>e Strategije</w:t>
      </w:r>
      <w:r w:rsidRPr="00917D78">
        <w:rPr>
          <w:rFonts w:eastAsiaTheme="minorHAnsi" w:cstheme="minorHAnsi"/>
        </w:rPr>
        <w:t xml:space="preserve">. Uprkos tome što </w:t>
      </w:r>
      <w:r w:rsidRPr="00917D78">
        <w:rPr>
          <w:rFonts w:eastAsiaTheme="minorHAnsi" w:cstheme="minorHAnsi"/>
        </w:rPr>
        <w:lastRenderedPageBreak/>
        <w:t>je Strategija razvijena nakon opsežnog procesa konsultacija, većina uključenih strana shvatila je ovo drugo kao formativn</w:t>
      </w:r>
      <w:r w:rsidR="00010652">
        <w:rPr>
          <w:rFonts w:eastAsiaTheme="minorHAnsi" w:cstheme="minorHAnsi"/>
          <w:lang w:val="sr-Latn-RS"/>
        </w:rPr>
        <w:t>u</w:t>
      </w:r>
      <w:r w:rsidRPr="00917D78">
        <w:rPr>
          <w:rFonts w:eastAsiaTheme="minorHAnsi" w:cstheme="minorHAnsi"/>
        </w:rPr>
        <w:t xml:space="preserve"> obavezu, a ne kao suštinski element za izradu inkluzivn</w:t>
      </w:r>
      <w:r w:rsidR="00010652">
        <w:rPr>
          <w:rFonts w:eastAsiaTheme="minorHAnsi" w:cstheme="minorHAnsi"/>
          <w:lang w:val="sr-Latn-RS"/>
        </w:rPr>
        <w:t>e</w:t>
      </w:r>
      <w:r w:rsidRPr="00917D78">
        <w:rPr>
          <w:rFonts w:eastAsiaTheme="minorHAnsi" w:cstheme="minorHAnsi"/>
        </w:rPr>
        <w:t xml:space="preserve"> </w:t>
      </w:r>
      <w:r w:rsidR="00010652">
        <w:rPr>
          <w:rFonts w:eastAsiaTheme="minorHAnsi" w:cstheme="minorHAnsi"/>
          <w:lang w:val="sr-Latn-RS"/>
        </w:rPr>
        <w:t>Strategije</w:t>
      </w:r>
      <w:r w:rsidRPr="00917D78">
        <w:rPr>
          <w:rFonts w:eastAsiaTheme="minorHAnsi" w:cstheme="minorHAnsi"/>
        </w:rPr>
        <w:t xml:space="preserve">. Kao rezultat toga, karakterisalo ga je ograničeno učešće i nizak nivo angažovanja zainteresovanih strana. </w:t>
      </w:r>
    </w:p>
    <w:p w14:paraId="7545CDC0" w14:textId="77777777" w:rsidR="00507C7D" w:rsidRDefault="00507C7D" w:rsidP="001B0004">
      <w:pPr>
        <w:spacing w:line="276" w:lineRule="auto"/>
        <w:contextualSpacing/>
        <w:jc w:val="both"/>
        <w:rPr>
          <w:rFonts w:eastAsiaTheme="minorHAnsi" w:cstheme="minorHAnsi"/>
        </w:rPr>
      </w:pPr>
    </w:p>
    <w:p w14:paraId="54F7F5A6" w14:textId="11F333B7" w:rsidR="0038333A" w:rsidRDefault="00917D78" w:rsidP="001B0004">
      <w:pPr>
        <w:spacing w:line="276" w:lineRule="auto"/>
        <w:contextualSpacing/>
        <w:jc w:val="both"/>
        <w:rPr>
          <w:rFonts w:eastAsiaTheme="minorHAnsi" w:cstheme="minorHAnsi"/>
        </w:rPr>
      </w:pPr>
      <w:r w:rsidRPr="00917D78">
        <w:rPr>
          <w:rFonts w:eastAsiaTheme="minorHAnsi" w:cstheme="minorHAnsi"/>
        </w:rPr>
        <w:t xml:space="preserve">Podaci prikupljeni iz upitnika i naknadnih intervjua sa predstavnicima AFCOS sistema pokazuju da je većina ispitanika bila nesigurna da li je proces konsultacija obavljen prije izrade Strategije. Nadalje, Strategija 2019-2022 je prepoznata kao važna politička inicijativa od koristi samo </w:t>
      </w:r>
      <w:r w:rsidR="00010652">
        <w:rPr>
          <w:rFonts w:eastAsiaTheme="minorHAnsi" w:cstheme="minorHAnsi"/>
          <w:lang w:val="sr-Latn-RS"/>
        </w:rPr>
        <w:t>kancelariji</w:t>
      </w:r>
      <w:r w:rsidRPr="00917D78">
        <w:rPr>
          <w:rFonts w:eastAsiaTheme="minorHAnsi" w:cstheme="minorHAnsi"/>
        </w:rPr>
        <w:t xml:space="preserve"> AFCOS-a. Dok se gore navedeni nalazi mogu objasniti ogromnom fluktuacijom kadrova u IPA strukturama, kao i činjenicom da se većina ispitanika identifi</w:t>
      </w:r>
      <w:r w:rsidR="006B44D3">
        <w:rPr>
          <w:rFonts w:eastAsiaTheme="minorHAnsi" w:cstheme="minorHAnsi"/>
          <w:lang w:val="sr-Latn-RS"/>
        </w:rPr>
        <w:t>kova</w:t>
      </w:r>
      <w:r w:rsidRPr="00917D78">
        <w:rPr>
          <w:rFonts w:eastAsiaTheme="minorHAnsi" w:cstheme="minorHAnsi"/>
        </w:rPr>
        <w:t xml:space="preserve">la kao novoimenovani </w:t>
      </w:r>
      <w:r w:rsidR="006B44D3">
        <w:rPr>
          <w:rFonts w:eastAsiaTheme="minorHAnsi" w:cstheme="minorHAnsi"/>
          <w:lang w:val="sr-Latn-RS"/>
        </w:rPr>
        <w:t>službenic</w:t>
      </w:r>
      <w:r w:rsidRPr="00917D78">
        <w:rPr>
          <w:rFonts w:eastAsiaTheme="minorHAnsi" w:cstheme="minorHAnsi"/>
        </w:rPr>
        <w:t xml:space="preserve">i ili da su u isto vrijeme nedavno premješteni na svoje trenutno radno mjesto, </w:t>
      </w:r>
      <w:r w:rsidR="006B44D3">
        <w:rPr>
          <w:rFonts w:eastAsiaTheme="minorHAnsi" w:cstheme="minorHAnsi"/>
          <w:lang w:val="sr-Latn-RS"/>
        </w:rPr>
        <w:t>nalazi</w:t>
      </w:r>
      <w:r w:rsidRPr="00917D78">
        <w:rPr>
          <w:rFonts w:eastAsiaTheme="minorHAnsi" w:cstheme="minorHAnsi"/>
        </w:rPr>
        <w:t xml:space="preserve"> ukazuju </w:t>
      </w:r>
      <w:r w:rsidR="006B44D3">
        <w:rPr>
          <w:rFonts w:eastAsiaTheme="minorHAnsi" w:cstheme="minorHAnsi"/>
          <w:lang w:val="sr-Latn-RS"/>
        </w:rPr>
        <w:t xml:space="preserve">na sljedeće: </w:t>
      </w:r>
      <w:r w:rsidRPr="00917D78">
        <w:rPr>
          <w:rFonts w:eastAsiaTheme="minorHAnsi" w:cstheme="minorHAnsi"/>
        </w:rPr>
        <w:t xml:space="preserve">(i) postojanje </w:t>
      </w:r>
      <w:r w:rsidR="006B44D3">
        <w:rPr>
          <w:rFonts w:eastAsiaTheme="minorHAnsi" w:cstheme="minorHAnsi"/>
          <w:lang w:val="sr-Latn-RS"/>
        </w:rPr>
        <w:t>različiti</w:t>
      </w:r>
      <w:r w:rsidRPr="00917D78">
        <w:rPr>
          <w:rFonts w:eastAsiaTheme="minorHAnsi" w:cstheme="minorHAnsi"/>
        </w:rPr>
        <w:t>h percepcija i očekivanja među članovima AFCOS sistema u vezi sa Strategijom i njenim značajem za pojedinačne institucije (ii) značajan nivo nejasnoće u ime ključnih aktera u pogledu njihove uloge u okviru Strategije i ( iii) nepostojanje efikasnih komunikaci</w:t>
      </w:r>
      <w:r w:rsidR="001602D9">
        <w:rPr>
          <w:rFonts w:eastAsiaTheme="minorHAnsi" w:cstheme="minorHAnsi"/>
          <w:lang w:val="sr-Latn-RS"/>
        </w:rPr>
        <w:t>on</w:t>
      </w:r>
      <w:r w:rsidRPr="00917D78">
        <w:rPr>
          <w:rFonts w:eastAsiaTheme="minorHAnsi" w:cstheme="minorHAnsi"/>
        </w:rPr>
        <w:t>ih kanala kroz AFCOS sistem.</w:t>
      </w:r>
      <w:r w:rsidR="0038333A" w:rsidRPr="0038333A">
        <w:rPr>
          <w:rFonts w:eastAsiaTheme="minorHAnsi" w:cstheme="minorHAnsi"/>
        </w:rPr>
        <w:t xml:space="preserve"> </w:t>
      </w:r>
    </w:p>
    <w:p w14:paraId="3A13BBC9" w14:textId="77777777" w:rsidR="00507C7D" w:rsidRDefault="00507C7D" w:rsidP="001B0004">
      <w:pPr>
        <w:spacing w:line="276" w:lineRule="auto"/>
        <w:contextualSpacing/>
        <w:jc w:val="both"/>
        <w:rPr>
          <w:rFonts w:eastAsiaTheme="minorHAnsi" w:cstheme="minorHAnsi"/>
        </w:rPr>
      </w:pPr>
    </w:p>
    <w:p w14:paraId="00A0D69E" w14:textId="224D992E" w:rsidR="00917D78" w:rsidRDefault="00917D78" w:rsidP="00AC2D64">
      <w:pPr>
        <w:spacing w:after="240" w:line="276" w:lineRule="auto"/>
        <w:jc w:val="both"/>
        <w:rPr>
          <w:bCs/>
        </w:rPr>
      </w:pPr>
      <w:r w:rsidRPr="00917D78">
        <w:rPr>
          <w:bCs/>
        </w:rPr>
        <w:t xml:space="preserve">Ovi nalazi naglašavaju potrebu da se planiraju resursi za osmišljavanje i implementaciju kampanje za podizanje svijesti kako bi se povećala vidljivost sljedeće strategije i naglašavaju njenu dodatnu vrijednost u cijeloj javnoj upravi, uključujući članove AFCOS sistema (IPA tijela, AFCOS </w:t>
      </w:r>
      <w:r w:rsidR="001602D9">
        <w:rPr>
          <w:bCs/>
          <w:lang w:val="sr-Latn-RS"/>
        </w:rPr>
        <w:t>mrežu</w:t>
      </w:r>
      <w:r w:rsidRPr="00917D78">
        <w:rPr>
          <w:bCs/>
        </w:rPr>
        <w:t xml:space="preserve">). U ovom kontekstu, akcenat treba staviti i na ulogu AFCOS kancelarije kao sastavnog dijela IPA III strukture i kao institucije koja obavlja ključnu funkciju od suštinskog značaja za efikasno funkcionisanje cjelokupnog sistema upravljanja </w:t>
      </w:r>
      <w:r w:rsidR="00FF0813" w:rsidRPr="00917D78">
        <w:rPr>
          <w:bCs/>
        </w:rPr>
        <w:t xml:space="preserve">IPA </w:t>
      </w:r>
      <w:r w:rsidR="00FF0813">
        <w:rPr>
          <w:bCs/>
          <w:lang w:val="sr-Latn-RS"/>
        </w:rPr>
        <w:t xml:space="preserve">-om </w:t>
      </w:r>
      <w:r w:rsidRPr="00917D78">
        <w:rPr>
          <w:bCs/>
        </w:rPr>
        <w:t xml:space="preserve">u Crnoj Gori. </w:t>
      </w:r>
    </w:p>
    <w:p w14:paraId="7FCCFEC0" w14:textId="77777777" w:rsidR="00507C7D" w:rsidRDefault="00917D78" w:rsidP="00507C7D">
      <w:pPr>
        <w:spacing w:after="240" w:line="276" w:lineRule="auto"/>
        <w:jc w:val="both"/>
        <w:rPr>
          <w:bCs/>
        </w:rPr>
      </w:pPr>
      <w:r w:rsidRPr="00917D78">
        <w:rPr>
          <w:bCs/>
          <w:color w:val="1F3864" w:themeColor="accent1" w:themeShade="80"/>
        </w:rPr>
        <w:t xml:space="preserve">Nalaz 3: </w:t>
      </w:r>
      <w:r w:rsidR="00166714">
        <w:rPr>
          <w:bCs/>
          <w:color w:val="1F3864" w:themeColor="accent1" w:themeShade="80"/>
          <w:lang w:val="sr-Latn-RS"/>
        </w:rPr>
        <w:t>S</w:t>
      </w:r>
      <w:r w:rsidRPr="00917D78">
        <w:rPr>
          <w:bCs/>
          <w:color w:val="1F3864" w:themeColor="accent1" w:themeShade="80"/>
        </w:rPr>
        <w:t xml:space="preserve">veobuhvatna logika intervencije je djelimično uspostavljena uz odsustvo </w:t>
      </w:r>
      <w:r w:rsidR="0025378F">
        <w:rPr>
          <w:bCs/>
          <w:color w:val="1F3864" w:themeColor="accent1" w:themeShade="80"/>
          <w:lang w:val="sr-Latn-RS"/>
        </w:rPr>
        <w:t xml:space="preserve">cjelokupnog </w:t>
      </w:r>
      <w:r w:rsidRPr="00917D78">
        <w:rPr>
          <w:bCs/>
          <w:color w:val="1F3864" w:themeColor="accent1" w:themeShade="80"/>
        </w:rPr>
        <w:t>skupa pokazatelja rezultata i ishoda, identifikovanih kao važno metodološko ograničenje</w:t>
      </w:r>
      <w:r w:rsidRPr="00917D78">
        <w:rPr>
          <w:bCs/>
        </w:rPr>
        <w:t>.</w:t>
      </w:r>
      <w:bookmarkStart w:id="28" w:name="_Toc133937759"/>
    </w:p>
    <w:p w14:paraId="5EBC19E3" w14:textId="77777777" w:rsidR="00507C7D" w:rsidRDefault="00917D78" w:rsidP="00507C7D">
      <w:pPr>
        <w:spacing w:after="240" w:line="276" w:lineRule="auto"/>
        <w:jc w:val="both"/>
        <w:rPr>
          <w:rFonts w:eastAsiaTheme="minorHAnsi"/>
        </w:rPr>
      </w:pPr>
      <w:r w:rsidRPr="00917D78">
        <w:rPr>
          <w:rFonts w:eastAsiaTheme="minorHAnsi"/>
        </w:rPr>
        <w:t>Logika intervencije usvaja strukturalni/sistemski pristup u cilju rješavanja identifikovanih nedostataka i rješavanja ključnih pitanja (horizontalnih i tematskih), sa ciljem da se osigura efikasno upravljanje nepravilnostima. U tu svrhu uvedena su dva glavna stu</w:t>
      </w:r>
      <w:r w:rsidR="00166714">
        <w:rPr>
          <w:rFonts w:eastAsiaTheme="minorHAnsi"/>
          <w:lang w:val="sr-Latn-RS"/>
        </w:rPr>
        <w:t>b</w:t>
      </w:r>
      <w:r w:rsidRPr="00917D78">
        <w:rPr>
          <w:rFonts w:eastAsiaTheme="minorHAnsi"/>
        </w:rPr>
        <w:t xml:space="preserve">a intervencije, koja postavljaju </w:t>
      </w:r>
      <w:r w:rsidR="00166714">
        <w:rPr>
          <w:rFonts w:eastAsiaTheme="minorHAnsi"/>
          <w:lang w:val="sr-Latn-RS"/>
        </w:rPr>
        <w:t>osnove</w:t>
      </w:r>
      <w:r w:rsidRPr="00917D78">
        <w:rPr>
          <w:rFonts w:eastAsiaTheme="minorHAnsi"/>
        </w:rPr>
        <w:t xml:space="preserve"> za defini</w:t>
      </w:r>
      <w:r w:rsidR="00166714">
        <w:rPr>
          <w:rFonts w:eastAsiaTheme="minorHAnsi"/>
          <w:lang w:val="sr-Latn-RS"/>
        </w:rPr>
        <w:t>s</w:t>
      </w:r>
      <w:r w:rsidRPr="00917D78">
        <w:rPr>
          <w:rFonts w:eastAsiaTheme="minorHAnsi"/>
        </w:rPr>
        <w:t xml:space="preserve">anje ciljeva Strategije: </w:t>
      </w:r>
    </w:p>
    <w:p w14:paraId="56E18CE3" w14:textId="77777777" w:rsidR="00507C7D" w:rsidRDefault="00917D78" w:rsidP="00507C7D">
      <w:pPr>
        <w:spacing w:after="0" w:line="240" w:lineRule="auto"/>
        <w:jc w:val="both"/>
        <w:rPr>
          <w:rFonts w:eastAsiaTheme="minorHAnsi"/>
        </w:rPr>
      </w:pPr>
      <w:r w:rsidRPr="00917D78">
        <w:rPr>
          <w:rFonts w:eastAsiaTheme="minorHAnsi"/>
        </w:rPr>
        <w:t xml:space="preserve">a) </w:t>
      </w:r>
      <w:r w:rsidR="0025378F">
        <w:rPr>
          <w:rFonts w:eastAsiaTheme="minorHAnsi"/>
          <w:lang w:val="sr-Latn-RS"/>
        </w:rPr>
        <w:t>a</w:t>
      </w:r>
      <w:r w:rsidR="00166714">
        <w:rPr>
          <w:rFonts w:eastAsiaTheme="minorHAnsi"/>
          <w:lang w:val="sr-Latn-RS"/>
        </w:rPr>
        <w:t>ktivnosti n</w:t>
      </w:r>
      <w:r w:rsidRPr="00917D78">
        <w:rPr>
          <w:rFonts w:eastAsiaTheme="minorHAnsi"/>
        </w:rPr>
        <w:t>a uspostavljanj</w:t>
      </w:r>
      <w:r w:rsidR="00166714">
        <w:rPr>
          <w:rFonts w:eastAsiaTheme="minorHAnsi"/>
          <w:lang w:val="sr-Latn-RS"/>
        </w:rPr>
        <w:t>u</w:t>
      </w:r>
      <w:r w:rsidRPr="00917D78">
        <w:rPr>
          <w:rFonts w:eastAsiaTheme="minorHAnsi"/>
        </w:rPr>
        <w:t xml:space="preserve"> odgovarajućeg zakonskog i regulatornog okvira u Crnoj Gori za efektivnu implementaciju acquis communautaire</w:t>
      </w:r>
      <w:r w:rsidR="00166714">
        <w:rPr>
          <w:rFonts w:eastAsiaTheme="minorHAnsi"/>
          <w:lang w:val="sr-Latn-RS"/>
        </w:rPr>
        <w:t xml:space="preserve">-a </w:t>
      </w:r>
      <w:r w:rsidRPr="00917D78">
        <w:rPr>
          <w:rFonts w:eastAsiaTheme="minorHAnsi"/>
        </w:rPr>
        <w:t xml:space="preserve"> i za jasno definisanje uloga i odgovornosti članova AFCOS mreže i </w:t>
      </w:r>
    </w:p>
    <w:p w14:paraId="20BC860B" w14:textId="36048A7E" w:rsidR="00507C7D" w:rsidRDefault="00917D78" w:rsidP="00507C7D">
      <w:pPr>
        <w:spacing w:after="0" w:line="240" w:lineRule="auto"/>
        <w:jc w:val="both"/>
        <w:rPr>
          <w:rFonts w:eastAsiaTheme="minorHAnsi"/>
        </w:rPr>
      </w:pPr>
      <w:r w:rsidRPr="00917D78">
        <w:rPr>
          <w:rFonts w:eastAsiaTheme="minorHAnsi"/>
        </w:rPr>
        <w:t xml:space="preserve">b) Inicijative za unapređenje operativnih kapaciteta i uvođenje odgovarajućih institucionalnih aranžmana u okviru AFCOS sistema. </w:t>
      </w:r>
    </w:p>
    <w:p w14:paraId="6741C542" w14:textId="77777777" w:rsidR="00507C7D" w:rsidRDefault="00507C7D" w:rsidP="00507C7D">
      <w:pPr>
        <w:spacing w:after="0" w:line="240" w:lineRule="auto"/>
        <w:jc w:val="both"/>
        <w:rPr>
          <w:rFonts w:eastAsiaTheme="minorHAnsi"/>
        </w:rPr>
      </w:pPr>
    </w:p>
    <w:p w14:paraId="72E707AD" w14:textId="77777777" w:rsidR="00507C7D" w:rsidRDefault="00917D78" w:rsidP="00507C7D">
      <w:pPr>
        <w:spacing w:after="240" w:line="276" w:lineRule="auto"/>
        <w:jc w:val="both"/>
        <w:rPr>
          <w:rFonts w:eastAsiaTheme="minorHAnsi"/>
        </w:rPr>
      </w:pPr>
      <w:r w:rsidRPr="00917D78">
        <w:rPr>
          <w:rFonts w:eastAsiaTheme="minorHAnsi"/>
        </w:rPr>
        <w:t>Na osnovu razumijevanja zaštite finansijskih interesa EU kao dijela šireg kompendijuma nacionalnih strateških prioriteta u okviru reformske agende na putu ka pridruživanju EU, prioritet se daje stvaranju pravnog i regulatornog okvira koji će to omogućiti</w:t>
      </w:r>
      <w:r w:rsidR="00166714">
        <w:rPr>
          <w:rFonts w:eastAsiaTheme="minorHAnsi"/>
          <w:lang w:val="sr-Latn-RS"/>
        </w:rPr>
        <w:t xml:space="preserve">. </w:t>
      </w:r>
      <w:r w:rsidRPr="00917D78">
        <w:rPr>
          <w:rFonts w:eastAsiaTheme="minorHAnsi"/>
        </w:rPr>
        <w:t xml:space="preserve">Uvažavajući istovremeno </w:t>
      </w:r>
      <w:r w:rsidR="00166714">
        <w:rPr>
          <w:rFonts w:eastAsiaTheme="minorHAnsi"/>
          <w:lang w:val="sr-Latn-RS"/>
        </w:rPr>
        <w:t xml:space="preserve">činjenicu </w:t>
      </w:r>
      <w:r w:rsidRPr="00917D78">
        <w:rPr>
          <w:rFonts w:eastAsiaTheme="minorHAnsi"/>
        </w:rPr>
        <w:t>da samo usvajanje odgovarajućeg zakonskog okvira ne osigurava zdravu i efikasnu implementaciju Strategije, predviđen je niz mjera za unapređenje operativnih kapaciteta i jačanje sveukupn</w:t>
      </w:r>
      <w:r w:rsidR="00166714">
        <w:rPr>
          <w:rFonts w:eastAsiaTheme="minorHAnsi"/>
          <w:lang w:val="sr-Latn-RS"/>
        </w:rPr>
        <w:t>og</w:t>
      </w:r>
      <w:r w:rsidRPr="00917D78">
        <w:rPr>
          <w:rFonts w:eastAsiaTheme="minorHAnsi"/>
        </w:rPr>
        <w:t xml:space="preserve"> </w:t>
      </w:r>
      <w:r w:rsidR="00166714">
        <w:rPr>
          <w:rFonts w:eastAsiaTheme="minorHAnsi"/>
          <w:lang w:val="sr-Latn-RS"/>
        </w:rPr>
        <w:t>funkcionisanja</w:t>
      </w:r>
      <w:r w:rsidRPr="00917D78">
        <w:rPr>
          <w:rFonts w:eastAsiaTheme="minorHAnsi"/>
        </w:rPr>
        <w:t xml:space="preserve"> AFCOS sistema. </w:t>
      </w:r>
    </w:p>
    <w:p w14:paraId="3D32FC07" w14:textId="77777777" w:rsidR="00507C7D" w:rsidRDefault="00166714" w:rsidP="00507C7D">
      <w:pPr>
        <w:spacing w:after="240" w:line="276" w:lineRule="auto"/>
        <w:jc w:val="both"/>
        <w:rPr>
          <w:rFonts w:eastAsiaTheme="minorHAnsi"/>
        </w:rPr>
      </w:pPr>
      <w:r>
        <w:rPr>
          <w:rFonts w:eastAsiaTheme="minorHAnsi"/>
          <w:lang w:val="sr-Latn-RS"/>
        </w:rPr>
        <w:lastRenderedPageBreak/>
        <w:t>U skladu sa</w:t>
      </w:r>
      <w:r w:rsidR="00917D78" w:rsidRPr="00917D78">
        <w:rPr>
          <w:rFonts w:eastAsiaTheme="minorHAnsi"/>
        </w:rPr>
        <w:t xml:space="preserve"> naveden</w:t>
      </w:r>
      <w:r>
        <w:rPr>
          <w:rFonts w:eastAsiaTheme="minorHAnsi"/>
          <w:lang w:val="sr-Latn-RS"/>
        </w:rPr>
        <w:t>im</w:t>
      </w:r>
      <w:r w:rsidR="00917D78" w:rsidRPr="00917D78">
        <w:rPr>
          <w:rFonts w:eastAsiaTheme="minorHAnsi"/>
        </w:rPr>
        <w:t xml:space="preserve"> obrazloženj</w:t>
      </w:r>
      <w:r>
        <w:rPr>
          <w:rFonts w:eastAsiaTheme="minorHAnsi"/>
          <w:lang w:val="sr-Latn-RS"/>
        </w:rPr>
        <w:t>em</w:t>
      </w:r>
      <w:r w:rsidR="00917D78" w:rsidRPr="00917D78">
        <w:rPr>
          <w:rFonts w:eastAsiaTheme="minorHAnsi"/>
        </w:rPr>
        <w:t xml:space="preserve">, za svaki identifikovani cilj osmišljene su odgovarajuće akcije, u vidu mjera. Za svaku mjeru identifikovan je set aktivnosti čija bi implementacija dovela do realizacije relevantne mjere, čime bi se doprinijelo postizanju postavljenog cilja. </w:t>
      </w:r>
    </w:p>
    <w:p w14:paraId="30D0B445" w14:textId="77777777" w:rsidR="00507C7D" w:rsidRDefault="00917D78" w:rsidP="00507C7D">
      <w:pPr>
        <w:spacing w:after="240" w:line="276" w:lineRule="auto"/>
        <w:jc w:val="both"/>
        <w:rPr>
          <w:rFonts w:eastAsiaTheme="minorHAnsi"/>
        </w:rPr>
      </w:pPr>
      <w:r w:rsidRPr="00A04C78">
        <w:rPr>
          <w:rFonts w:eastAsiaTheme="minorHAnsi"/>
          <w:b/>
        </w:rPr>
        <w:t xml:space="preserve">Prema analizi, logika </w:t>
      </w:r>
      <w:r w:rsidR="007569D7" w:rsidRPr="00A04C78">
        <w:rPr>
          <w:rFonts w:eastAsiaTheme="minorHAnsi"/>
          <w:b/>
          <w:lang w:val="sr-Latn-RS"/>
        </w:rPr>
        <w:t xml:space="preserve">djelovanja </w:t>
      </w:r>
      <w:r w:rsidRPr="00A04C78">
        <w:rPr>
          <w:rFonts w:eastAsiaTheme="minorHAnsi"/>
          <w:b/>
        </w:rPr>
        <w:t>Strategije ima čvrstu strukturu i izgrađena je na holističkom obrazloženju. Međutim, on ostaje dijelom nepotpun jer ne uključuje sveobuhvatan skup indikatora za mjerenje učinka</w:t>
      </w:r>
      <w:r w:rsidRPr="00A04C78">
        <w:rPr>
          <w:rFonts w:eastAsiaTheme="minorHAnsi"/>
        </w:rPr>
        <w:t xml:space="preserve">. </w:t>
      </w:r>
      <w:r w:rsidRPr="00917D78">
        <w:rPr>
          <w:rFonts w:eastAsiaTheme="minorHAnsi"/>
        </w:rPr>
        <w:t xml:space="preserve">Tačnije, glavni metodološki hendikep identifikovan tokom evaluacije je odsustvo indikatora rezultata koji su direktno povezani sa mjerama predviđenim u dokumentu, kao i nedostatak mjerljivih indikatora ishoda. Iako je mali broj indikatora ishoda uključen u dokument, </w:t>
      </w:r>
      <w:r w:rsidR="0025378F">
        <w:rPr>
          <w:rFonts w:eastAsiaTheme="minorHAnsi"/>
          <w:lang w:val="sr-Latn-RS"/>
        </w:rPr>
        <w:t xml:space="preserve">oni </w:t>
      </w:r>
      <w:r w:rsidRPr="00917D78">
        <w:rPr>
          <w:rFonts w:eastAsiaTheme="minorHAnsi"/>
        </w:rPr>
        <w:t>nisu adekvatno defini</w:t>
      </w:r>
      <w:r w:rsidR="0025378F">
        <w:rPr>
          <w:rFonts w:eastAsiaTheme="minorHAnsi"/>
          <w:lang w:val="sr-Latn-RS"/>
        </w:rPr>
        <w:t>s</w:t>
      </w:r>
      <w:r w:rsidRPr="00917D78">
        <w:rPr>
          <w:rFonts w:eastAsiaTheme="minorHAnsi"/>
        </w:rPr>
        <w:t xml:space="preserve">ani, nedostaju osnovne vrijednosti, dok u nekim slučajevima više liče na pokazatelje rezultata nego pokazatelja ishoda, budući da, prema njihovoj </w:t>
      </w:r>
      <w:r w:rsidR="0025378F">
        <w:rPr>
          <w:rFonts w:eastAsiaTheme="minorHAnsi"/>
          <w:lang w:val="sr-Latn-RS"/>
        </w:rPr>
        <w:t>definiciji</w:t>
      </w:r>
      <w:r w:rsidRPr="00917D78">
        <w:rPr>
          <w:rFonts w:eastAsiaTheme="minorHAnsi"/>
        </w:rPr>
        <w:t>, nastoje mjeriti mjerljive rezultat</w:t>
      </w:r>
      <w:r w:rsidR="0025378F">
        <w:rPr>
          <w:rFonts w:eastAsiaTheme="minorHAnsi"/>
          <w:lang w:val="sr-Latn-RS"/>
        </w:rPr>
        <w:t>e</w:t>
      </w:r>
      <w:r w:rsidRPr="00917D78">
        <w:rPr>
          <w:rFonts w:eastAsiaTheme="minorHAnsi"/>
        </w:rPr>
        <w:t>, a ne očekivan</w:t>
      </w:r>
      <w:r w:rsidR="0025378F">
        <w:rPr>
          <w:rFonts w:eastAsiaTheme="minorHAnsi"/>
          <w:lang w:val="sr-Latn-RS"/>
        </w:rPr>
        <w:t>e</w:t>
      </w:r>
      <w:r w:rsidRPr="00917D78">
        <w:rPr>
          <w:rFonts w:eastAsiaTheme="minorHAnsi"/>
        </w:rPr>
        <w:t xml:space="preserve"> rezultat</w:t>
      </w:r>
      <w:r w:rsidR="0025378F">
        <w:rPr>
          <w:rFonts w:eastAsiaTheme="minorHAnsi"/>
          <w:lang w:val="sr-Latn-RS"/>
        </w:rPr>
        <w:t>e</w:t>
      </w:r>
      <w:r w:rsidRPr="00917D78">
        <w:rPr>
          <w:rFonts w:eastAsiaTheme="minorHAnsi"/>
        </w:rPr>
        <w:t xml:space="preserve"> direktno povezan</w:t>
      </w:r>
      <w:r w:rsidR="0025378F">
        <w:rPr>
          <w:rFonts w:eastAsiaTheme="minorHAnsi"/>
          <w:lang w:val="sr-Latn-RS"/>
        </w:rPr>
        <w:t>e</w:t>
      </w:r>
      <w:r w:rsidRPr="00917D78">
        <w:rPr>
          <w:rFonts w:eastAsiaTheme="minorHAnsi"/>
        </w:rPr>
        <w:t xml:space="preserve"> sa operativnim ciljevima. </w:t>
      </w:r>
    </w:p>
    <w:p w14:paraId="60378CF5" w14:textId="67FB5AA1" w:rsidR="00917D78" w:rsidRDefault="00917D78" w:rsidP="00507C7D">
      <w:pPr>
        <w:spacing w:after="240" w:line="276" w:lineRule="auto"/>
        <w:jc w:val="both"/>
        <w:rPr>
          <w:rFonts w:eastAsiaTheme="minorHAnsi"/>
        </w:rPr>
      </w:pPr>
      <w:r w:rsidRPr="00917D78">
        <w:rPr>
          <w:rFonts w:eastAsiaTheme="minorHAnsi"/>
        </w:rPr>
        <w:t>Razvoj integrisanog sistema S.M.A.R.T. (</w:t>
      </w:r>
      <w:r w:rsidR="00FE6354">
        <w:rPr>
          <w:rFonts w:eastAsiaTheme="minorHAnsi"/>
          <w:lang w:val="sr-Latn-RS"/>
        </w:rPr>
        <w:t>s</w:t>
      </w:r>
      <w:r w:rsidRPr="00917D78">
        <w:rPr>
          <w:rFonts w:eastAsiaTheme="minorHAnsi"/>
        </w:rPr>
        <w:t>pecifični, mjerljivi, ostvarivi, relevantni i vremenski vezani) indikator</w:t>
      </w:r>
      <w:r w:rsidR="00FE6354">
        <w:rPr>
          <w:rFonts w:eastAsiaTheme="minorHAnsi"/>
          <w:lang w:val="sr-Latn-RS"/>
        </w:rPr>
        <w:t>a</w:t>
      </w:r>
      <w:r w:rsidRPr="00917D78">
        <w:rPr>
          <w:rFonts w:eastAsiaTheme="minorHAnsi"/>
        </w:rPr>
        <w:t xml:space="preserve"> (rezultat i ishod) tim za evaluaciju smatra prioritetom za praćenje i evaluaciju sljedeće strategije</w:t>
      </w:r>
      <w:r w:rsidR="00FE6354">
        <w:rPr>
          <w:rFonts w:eastAsiaTheme="minorHAnsi"/>
          <w:lang w:val="sr-Latn-RS"/>
        </w:rPr>
        <w:t>,</w:t>
      </w:r>
      <w:r w:rsidRPr="00917D78">
        <w:rPr>
          <w:rFonts w:eastAsiaTheme="minorHAnsi"/>
        </w:rPr>
        <w:t xml:space="preserve"> jer će pružiti jasan i objektivan način mjerenja napretka </w:t>
      </w:r>
      <w:r w:rsidR="00FE6354">
        <w:rPr>
          <w:rFonts w:eastAsiaTheme="minorHAnsi"/>
          <w:lang w:val="sr-Latn-RS"/>
        </w:rPr>
        <w:t>prema</w:t>
      </w:r>
      <w:r w:rsidRPr="00917D78">
        <w:rPr>
          <w:rFonts w:eastAsiaTheme="minorHAnsi"/>
        </w:rPr>
        <w:t xml:space="preserve"> predviđen</w:t>
      </w:r>
      <w:r w:rsidR="00FE6354">
        <w:rPr>
          <w:rFonts w:eastAsiaTheme="minorHAnsi"/>
          <w:lang w:val="sr-Latn-RS"/>
        </w:rPr>
        <w:t>om</w:t>
      </w:r>
      <w:r w:rsidRPr="00917D78">
        <w:rPr>
          <w:rFonts w:eastAsiaTheme="minorHAnsi"/>
        </w:rPr>
        <w:t xml:space="preserve"> stratešk</w:t>
      </w:r>
      <w:r w:rsidR="00FE6354">
        <w:rPr>
          <w:rFonts w:eastAsiaTheme="minorHAnsi"/>
          <w:lang w:val="sr-Latn-RS"/>
        </w:rPr>
        <w:t>om i</w:t>
      </w:r>
      <w:r w:rsidRPr="00917D78">
        <w:rPr>
          <w:rFonts w:eastAsiaTheme="minorHAnsi"/>
        </w:rPr>
        <w:t xml:space="preserve"> operativn</w:t>
      </w:r>
      <w:r w:rsidR="00FE6354">
        <w:rPr>
          <w:rFonts w:eastAsiaTheme="minorHAnsi"/>
          <w:lang w:val="sr-Latn-RS"/>
        </w:rPr>
        <w:t>im</w:t>
      </w:r>
      <w:r w:rsidRPr="00917D78">
        <w:rPr>
          <w:rFonts w:eastAsiaTheme="minorHAnsi"/>
        </w:rPr>
        <w:t xml:space="preserve"> ciljev</w:t>
      </w:r>
      <w:r w:rsidR="00FE6354">
        <w:rPr>
          <w:rFonts w:eastAsiaTheme="minorHAnsi"/>
          <w:lang w:val="sr-Latn-RS"/>
        </w:rPr>
        <w:t>ima</w:t>
      </w:r>
      <w:r w:rsidR="008901CD">
        <w:rPr>
          <w:rFonts w:eastAsiaTheme="minorHAnsi"/>
          <w:lang w:val="sr-Latn-RS"/>
        </w:rPr>
        <w:t>. Na ovaj način</w:t>
      </w:r>
      <w:r w:rsidRPr="00917D78">
        <w:rPr>
          <w:rFonts w:eastAsiaTheme="minorHAnsi"/>
        </w:rPr>
        <w:t xml:space="preserve"> </w:t>
      </w:r>
      <w:r w:rsidR="008901CD">
        <w:rPr>
          <w:rFonts w:eastAsiaTheme="minorHAnsi"/>
          <w:lang w:val="sr-Latn-RS"/>
        </w:rPr>
        <w:t xml:space="preserve">definisani indikatori </w:t>
      </w:r>
      <w:r w:rsidRPr="00917D78">
        <w:rPr>
          <w:rFonts w:eastAsiaTheme="minorHAnsi"/>
        </w:rPr>
        <w:t>osigurav</w:t>
      </w:r>
      <w:r w:rsidR="008901CD">
        <w:rPr>
          <w:rFonts w:eastAsiaTheme="minorHAnsi"/>
          <w:lang w:val="sr-Latn-RS"/>
        </w:rPr>
        <w:t xml:space="preserve">aju </w:t>
      </w:r>
      <w:r w:rsidRPr="00917D78">
        <w:rPr>
          <w:rFonts w:eastAsiaTheme="minorHAnsi"/>
        </w:rPr>
        <w:t>odgovornost, pokreć</w:t>
      </w:r>
      <w:r w:rsidR="008901CD">
        <w:rPr>
          <w:rFonts w:eastAsiaTheme="minorHAnsi"/>
          <w:lang w:val="sr-Latn-RS"/>
        </w:rPr>
        <w:t>u</w:t>
      </w:r>
      <w:r w:rsidRPr="00917D78">
        <w:rPr>
          <w:rFonts w:eastAsiaTheme="minorHAnsi"/>
        </w:rPr>
        <w:t xml:space="preserve"> kontinuirano poboljšanje, informiš</w:t>
      </w:r>
      <w:r w:rsidR="008901CD">
        <w:rPr>
          <w:rFonts w:eastAsiaTheme="minorHAnsi"/>
          <w:lang w:val="sr-Latn-RS"/>
        </w:rPr>
        <w:t>u</w:t>
      </w:r>
      <w:r w:rsidRPr="00917D78">
        <w:rPr>
          <w:rFonts w:eastAsiaTheme="minorHAnsi"/>
        </w:rPr>
        <w:t xml:space="preserve"> o formulisanju politike zasnovanoj na činjenicama i odlukama o raspodeli resursa.</w:t>
      </w:r>
    </w:p>
    <w:bookmarkEnd w:id="28"/>
    <w:p w14:paraId="6045C769" w14:textId="4B953FD5" w:rsidR="00CB5EBA" w:rsidRPr="00CB5EBA" w:rsidRDefault="00CB5EBA" w:rsidP="00CB5EBA">
      <w:pPr>
        <w:pBdr>
          <w:bottom w:val="single" w:sz="6" w:space="1" w:color="F1F1F5"/>
        </w:pBdr>
        <w:shd w:val="clear" w:color="auto" w:fill="FFFFFF"/>
        <w:spacing w:before="100" w:beforeAutospacing="1" w:after="100" w:afterAutospacing="1" w:line="276" w:lineRule="auto"/>
        <w:jc w:val="both"/>
        <w:rPr>
          <w:rFonts w:asciiTheme="majorHAnsi" w:eastAsiaTheme="majorEastAsia" w:hAnsiTheme="majorHAnsi" w:cstheme="majorBidi"/>
          <w:b/>
          <w:color w:val="1F3763" w:themeColor="accent1" w:themeShade="7F"/>
          <w:sz w:val="24"/>
          <w:szCs w:val="24"/>
        </w:rPr>
      </w:pPr>
      <w:r w:rsidRPr="00CB5EBA">
        <w:rPr>
          <w:rFonts w:asciiTheme="majorHAnsi" w:eastAsiaTheme="majorEastAsia" w:hAnsiTheme="majorHAnsi" w:cstheme="majorBidi"/>
          <w:b/>
          <w:color w:val="1F3763" w:themeColor="accent1" w:themeShade="7F"/>
          <w:sz w:val="24"/>
          <w:szCs w:val="24"/>
        </w:rPr>
        <w:t xml:space="preserve">Nalaz 4: </w:t>
      </w:r>
      <w:r w:rsidR="00D032E4">
        <w:rPr>
          <w:rFonts w:asciiTheme="majorHAnsi" w:eastAsiaTheme="majorEastAsia" w:hAnsiTheme="majorHAnsi" w:cstheme="majorBidi"/>
          <w:b/>
          <w:color w:val="1F3763" w:themeColor="accent1" w:themeShade="7F"/>
          <w:sz w:val="24"/>
          <w:szCs w:val="24"/>
          <w:lang w:val="sr-Latn-RS"/>
        </w:rPr>
        <w:t>Definisana oblast</w:t>
      </w:r>
      <w:r w:rsidR="00D032E4" w:rsidRPr="00CB5EBA">
        <w:rPr>
          <w:rFonts w:asciiTheme="majorHAnsi" w:eastAsiaTheme="majorEastAsia" w:hAnsiTheme="majorHAnsi" w:cstheme="majorBidi"/>
          <w:b/>
          <w:color w:val="1F3763" w:themeColor="accent1" w:themeShade="7F"/>
          <w:sz w:val="24"/>
          <w:szCs w:val="24"/>
        </w:rPr>
        <w:t xml:space="preserve"> </w:t>
      </w:r>
      <w:r w:rsidRPr="00CB5EBA">
        <w:rPr>
          <w:rFonts w:asciiTheme="majorHAnsi" w:eastAsiaTheme="majorEastAsia" w:hAnsiTheme="majorHAnsi" w:cstheme="majorBidi"/>
          <w:b/>
          <w:color w:val="1F3763" w:themeColor="accent1" w:themeShade="7F"/>
          <w:sz w:val="24"/>
          <w:szCs w:val="24"/>
        </w:rPr>
        <w:t>Strate</w:t>
      </w:r>
      <w:r w:rsidR="00D032E4">
        <w:rPr>
          <w:rFonts w:asciiTheme="majorHAnsi" w:eastAsiaTheme="majorEastAsia" w:hAnsiTheme="majorHAnsi" w:cstheme="majorBidi"/>
          <w:b/>
          <w:color w:val="1F3763" w:themeColor="accent1" w:themeShade="7F"/>
          <w:sz w:val="24"/>
          <w:szCs w:val="24"/>
          <w:lang w:val="sr-Latn-RS"/>
        </w:rPr>
        <w:t xml:space="preserve">gije </w:t>
      </w:r>
      <w:r w:rsidRPr="00CB5EBA">
        <w:rPr>
          <w:rFonts w:asciiTheme="majorHAnsi" w:eastAsiaTheme="majorEastAsia" w:hAnsiTheme="majorHAnsi" w:cstheme="majorBidi"/>
          <w:b/>
          <w:color w:val="1F3763" w:themeColor="accent1" w:themeShade="7F"/>
          <w:sz w:val="24"/>
          <w:szCs w:val="24"/>
        </w:rPr>
        <w:t>je širok</w:t>
      </w:r>
      <w:r w:rsidR="00D032E4">
        <w:rPr>
          <w:rFonts w:asciiTheme="majorHAnsi" w:eastAsiaTheme="majorEastAsia" w:hAnsiTheme="majorHAnsi" w:cstheme="majorBidi"/>
          <w:b/>
          <w:color w:val="1F3763" w:themeColor="accent1" w:themeShade="7F"/>
          <w:sz w:val="24"/>
          <w:szCs w:val="24"/>
          <w:lang w:val="sr-Latn-RS"/>
        </w:rPr>
        <w:t>a</w:t>
      </w:r>
      <w:r w:rsidRPr="00CB5EBA">
        <w:rPr>
          <w:rFonts w:asciiTheme="majorHAnsi" w:eastAsiaTheme="majorEastAsia" w:hAnsiTheme="majorHAnsi" w:cstheme="majorBidi"/>
          <w:b/>
          <w:color w:val="1F3763" w:themeColor="accent1" w:themeShade="7F"/>
          <w:sz w:val="24"/>
          <w:szCs w:val="24"/>
        </w:rPr>
        <w:t xml:space="preserve"> i inkluziv</w:t>
      </w:r>
      <w:r w:rsidR="00D032E4">
        <w:rPr>
          <w:rFonts w:asciiTheme="majorHAnsi" w:eastAsiaTheme="majorEastAsia" w:hAnsiTheme="majorHAnsi" w:cstheme="majorBidi"/>
          <w:b/>
          <w:color w:val="1F3763" w:themeColor="accent1" w:themeShade="7F"/>
          <w:sz w:val="24"/>
          <w:szCs w:val="24"/>
          <w:lang w:val="sr-Latn-RS"/>
        </w:rPr>
        <w:t>na</w:t>
      </w:r>
      <w:r w:rsidRPr="00CB5EBA">
        <w:rPr>
          <w:rFonts w:asciiTheme="majorHAnsi" w:eastAsiaTheme="majorEastAsia" w:hAnsiTheme="majorHAnsi" w:cstheme="majorBidi"/>
          <w:b/>
          <w:color w:val="1F3763" w:themeColor="accent1" w:themeShade="7F"/>
          <w:sz w:val="24"/>
          <w:szCs w:val="24"/>
        </w:rPr>
        <w:t xml:space="preserve">, pokrivajući svaku fazu ciklusa borbe protiv prevara sa jasnim i specifičnim ciljevima, kao i visoko relevantnim mjerama koje se dalje analiziraju u vremenski okvire, ali </w:t>
      </w:r>
      <w:r w:rsidR="00D032E4">
        <w:rPr>
          <w:rFonts w:asciiTheme="majorHAnsi" w:eastAsiaTheme="majorEastAsia" w:hAnsiTheme="majorHAnsi" w:cstheme="majorBidi"/>
          <w:b/>
          <w:color w:val="1F3763" w:themeColor="accent1" w:themeShade="7F"/>
          <w:sz w:val="24"/>
          <w:szCs w:val="24"/>
          <w:lang w:val="sr-Latn-RS"/>
        </w:rPr>
        <w:t xml:space="preserve">su </w:t>
      </w:r>
      <w:r w:rsidRPr="00CB5EBA">
        <w:rPr>
          <w:rFonts w:asciiTheme="majorHAnsi" w:eastAsiaTheme="majorEastAsia" w:hAnsiTheme="majorHAnsi" w:cstheme="majorBidi"/>
          <w:b/>
          <w:color w:val="1F3763" w:themeColor="accent1" w:themeShade="7F"/>
          <w:sz w:val="24"/>
          <w:szCs w:val="24"/>
        </w:rPr>
        <w:t xml:space="preserve">slabo definisane aktivnosti. </w:t>
      </w:r>
    </w:p>
    <w:p w14:paraId="326D9524" w14:textId="2C154D04" w:rsidR="00B81885" w:rsidRDefault="00507C7D" w:rsidP="00E63F8E">
      <w:pPr>
        <w:pBdr>
          <w:bottom w:val="single" w:sz="6" w:space="1" w:color="F1F1F5"/>
        </w:pBdr>
        <w:shd w:val="clear" w:color="auto" w:fill="FFFFFF"/>
        <w:spacing w:before="100" w:beforeAutospacing="1" w:after="100" w:afterAutospacing="1" w:line="276" w:lineRule="auto"/>
        <w:jc w:val="both"/>
        <w:rPr>
          <w:rFonts w:cstheme="minorHAnsi"/>
          <w:lang w:val="en-US"/>
        </w:rPr>
      </w:pPr>
      <w:r>
        <w:rPr>
          <w:rFonts w:cstheme="minorHAnsi"/>
          <w:lang w:val="sr-Latn-RS"/>
        </w:rPr>
        <w:t>Djelokrug</w:t>
      </w:r>
      <w:r w:rsidR="000B11FD" w:rsidRPr="000B11FD">
        <w:rPr>
          <w:rFonts w:cstheme="minorHAnsi"/>
        </w:rPr>
        <w:t xml:space="preserve"> Strategije je širok i inkluzivan i pokriva zaštitu rashoda budžeta EU. U tom pravcu, dokument obuhvata svaku fazu ciklusa borbe protiv prevara i uključuje sve glavne prioritetne oblasti identifikovane u Sm</w:t>
      </w:r>
      <w:r>
        <w:rPr>
          <w:rFonts w:cstheme="minorHAnsi"/>
          <w:lang w:val="sr-Latn-RS"/>
        </w:rPr>
        <w:t>j</w:t>
      </w:r>
      <w:r w:rsidR="000B11FD" w:rsidRPr="000B11FD">
        <w:rPr>
          <w:rFonts w:cstheme="minorHAnsi"/>
        </w:rPr>
        <w:t>ernicama EU o nacionalnim strategijama za borbu protiv prevara, odnosno prevenciju, otkrivanje, upravljanje, izveštavanje, uključujući naknadni povra</w:t>
      </w:r>
      <w:r w:rsidR="00D032E4">
        <w:rPr>
          <w:rFonts w:cstheme="minorHAnsi"/>
          <w:lang w:val="sr-Latn-RS"/>
        </w:rPr>
        <w:t>ćaj</w:t>
      </w:r>
      <w:r w:rsidR="000B11FD" w:rsidRPr="000B11FD">
        <w:rPr>
          <w:rFonts w:cstheme="minorHAnsi"/>
        </w:rPr>
        <w:t xml:space="preserve"> sredstava</w:t>
      </w:r>
      <w:r w:rsidR="00D032E4">
        <w:rPr>
          <w:rFonts w:cstheme="minorHAnsi"/>
          <w:lang w:val="sr-Latn-RS"/>
        </w:rPr>
        <w:t>, kao</w:t>
      </w:r>
      <w:r w:rsidR="000B11FD" w:rsidRPr="000B11FD">
        <w:rPr>
          <w:rFonts w:cstheme="minorHAnsi"/>
        </w:rPr>
        <w:t xml:space="preserve"> i sankcije i koordinaciju politike. </w:t>
      </w:r>
    </w:p>
    <w:tbl>
      <w:tblPr>
        <w:tblpPr w:leftFromText="180" w:rightFromText="180" w:vertAnchor="text" w:horzAnchor="margin" w:tblpY="465"/>
        <w:tblW w:w="3202" w:type="dxa"/>
        <w:tblLook w:val="04A0" w:firstRow="1" w:lastRow="0" w:firstColumn="1" w:lastColumn="0" w:noHBand="0" w:noVBand="1"/>
      </w:tblPr>
      <w:tblGrid>
        <w:gridCol w:w="1743"/>
        <w:gridCol w:w="1696"/>
      </w:tblGrid>
      <w:tr w:rsidR="00B81885" w:rsidRPr="00EA5AFE" w14:paraId="20A95084" w14:textId="77777777" w:rsidTr="00B81885">
        <w:trPr>
          <w:trHeight w:val="586"/>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84E8D" w14:textId="1110358E" w:rsidR="00B81885" w:rsidRPr="00EA5AFE" w:rsidRDefault="000B11FD" w:rsidP="00B81885">
            <w:pPr>
              <w:spacing w:after="0" w:line="276" w:lineRule="auto"/>
              <w:jc w:val="center"/>
              <w:rPr>
                <w:rFonts w:ascii="Calibri" w:eastAsia="Times New Roman" w:hAnsi="Calibri" w:cs="Calibri"/>
                <w:b/>
                <w:bCs/>
                <w:color w:val="000000"/>
                <w:lang w:eastAsia="el-GR"/>
              </w:rPr>
            </w:pPr>
            <w:r w:rsidRPr="00917D78">
              <w:rPr>
                <w:rFonts w:cstheme="minorHAnsi"/>
              </w:rPr>
              <w:t xml:space="preserve">PRIORITETNA OBLAST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786A4A17" w14:textId="5C55FD92" w:rsidR="00B81885" w:rsidRPr="00EA5AFE" w:rsidRDefault="000B11FD" w:rsidP="00B81885">
            <w:pPr>
              <w:spacing w:after="0" w:line="276" w:lineRule="auto"/>
              <w:jc w:val="center"/>
              <w:rPr>
                <w:rFonts w:ascii="Calibri" w:eastAsia="Times New Roman" w:hAnsi="Calibri" w:cs="Calibri"/>
                <w:b/>
                <w:bCs/>
                <w:color w:val="000000"/>
                <w:lang w:eastAsia="el-GR"/>
              </w:rPr>
            </w:pPr>
            <w:r w:rsidRPr="00917D78">
              <w:rPr>
                <w:rFonts w:cstheme="minorHAnsi"/>
              </w:rPr>
              <w:t xml:space="preserve">STEPEN RELEVANTNOSTI </w:t>
            </w:r>
          </w:p>
        </w:tc>
      </w:tr>
      <w:tr w:rsidR="00B81885" w:rsidRPr="00EA5AFE" w14:paraId="65961955"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1A828AAF" w14:textId="320A9439" w:rsidR="00B81885" w:rsidRPr="00EA5AFE" w:rsidRDefault="000B11FD" w:rsidP="00B81885">
            <w:pPr>
              <w:spacing w:after="0" w:line="276" w:lineRule="auto"/>
              <w:jc w:val="center"/>
              <w:rPr>
                <w:rFonts w:ascii="Calibri" w:eastAsia="Times New Roman" w:hAnsi="Calibri" w:cs="Calibri"/>
                <w:b/>
                <w:bCs/>
                <w:color w:val="000000"/>
                <w:sz w:val="20"/>
                <w:szCs w:val="20"/>
                <w:lang w:eastAsia="el-GR"/>
              </w:rPr>
            </w:pPr>
            <w:r w:rsidRPr="000B11FD">
              <w:rPr>
                <w:rFonts w:ascii="Calibri" w:eastAsia="Times New Roman" w:hAnsi="Calibri" w:cs="Calibri"/>
                <w:b/>
                <w:bCs/>
                <w:color w:val="000000"/>
                <w:sz w:val="20"/>
                <w:szCs w:val="20"/>
                <w:lang w:eastAsia="el-GR"/>
              </w:rPr>
              <w:t>PREVENCIJA</w:t>
            </w:r>
          </w:p>
        </w:tc>
        <w:tc>
          <w:tcPr>
            <w:tcW w:w="1459" w:type="dxa"/>
            <w:tcBorders>
              <w:top w:val="nil"/>
              <w:left w:val="nil"/>
              <w:bottom w:val="single" w:sz="4" w:space="0" w:color="auto"/>
              <w:right w:val="single" w:sz="4" w:space="0" w:color="auto"/>
            </w:tcBorders>
            <w:shd w:val="clear" w:color="auto" w:fill="auto"/>
            <w:noWrap/>
            <w:vAlign w:val="center"/>
            <w:hideMark/>
          </w:tcPr>
          <w:p w14:paraId="1D0F0DEE"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80%</w:t>
            </w:r>
          </w:p>
        </w:tc>
      </w:tr>
      <w:tr w:rsidR="00B81885" w:rsidRPr="00EA5AFE" w14:paraId="256134C7"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4A56C2B8" w14:textId="08929512" w:rsidR="00B81885" w:rsidRPr="00EA5AFE" w:rsidRDefault="000B11FD" w:rsidP="00B81885">
            <w:pPr>
              <w:spacing w:after="0" w:line="276" w:lineRule="auto"/>
              <w:jc w:val="center"/>
              <w:rPr>
                <w:rFonts w:ascii="Calibri" w:eastAsia="Times New Roman" w:hAnsi="Calibri" w:cs="Calibri"/>
                <w:b/>
                <w:bCs/>
                <w:color w:val="000000"/>
                <w:sz w:val="20"/>
                <w:szCs w:val="20"/>
                <w:lang w:eastAsia="el-GR"/>
              </w:rPr>
            </w:pPr>
            <w:r w:rsidRPr="000B11FD">
              <w:rPr>
                <w:rFonts w:ascii="Calibri" w:eastAsia="Times New Roman" w:hAnsi="Calibri" w:cs="Calibri"/>
                <w:b/>
                <w:bCs/>
                <w:color w:val="000000"/>
                <w:sz w:val="20"/>
                <w:szCs w:val="20"/>
                <w:lang w:eastAsia="el-GR"/>
              </w:rPr>
              <w:t>DETEKCIJA</w:t>
            </w:r>
          </w:p>
        </w:tc>
        <w:tc>
          <w:tcPr>
            <w:tcW w:w="1459" w:type="dxa"/>
            <w:tcBorders>
              <w:top w:val="nil"/>
              <w:left w:val="nil"/>
              <w:bottom w:val="single" w:sz="4" w:space="0" w:color="auto"/>
              <w:right w:val="single" w:sz="4" w:space="0" w:color="auto"/>
            </w:tcBorders>
            <w:shd w:val="clear" w:color="auto" w:fill="auto"/>
            <w:noWrap/>
            <w:vAlign w:val="center"/>
            <w:hideMark/>
          </w:tcPr>
          <w:p w14:paraId="7D78FBCF"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83%</w:t>
            </w:r>
          </w:p>
        </w:tc>
      </w:tr>
      <w:tr w:rsidR="00B81885" w:rsidRPr="00EA5AFE" w14:paraId="17664AA1"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1D328472" w14:textId="02D536F1" w:rsidR="00B81885" w:rsidRPr="00EA5AFE" w:rsidRDefault="000B11FD" w:rsidP="00B81885">
            <w:pPr>
              <w:spacing w:after="0" w:line="276" w:lineRule="auto"/>
              <w:jc w:val="center"/>
              <w:rPr>
                <w:rFonts w:ascii="Calibri" w:eastAsia="Times New Roman" w:hAnsi="Calibri" w:cs="Calibri"/>
                <w:b/>
                <w:bCs/>
                <w:color w:val="000000"/>
                <w:sz w:val="20"/>
                <w:szCs w:val="20"/>
                <w:lang w:eastAsia="el-GR"/>
              </w:rPr>
            </w:pPr>
            <w:r w:rsidRPr="000B11FD">
              <w:rPr>
                <w:rFonts w:ascii="Calibri" w:eastAsia="Times New Roman" w:hAnsi="Calibri" w:cs="Calibri"/>
                <w:b/>
                <w:bCs/>
                <w:color w:val="000000"/>
                <w:sz w:val="20"/>
                <w:szCs w:val="20"/>
                <w:lang w:eastAsia="el-GR"/>
              </w:rPr>
              <w:t>UPRAVLJANJE</w:t>
            </w:r>
          </w:p>
        </w:tc>
        <w:tc>
          <w:tcPr>
            <w:tcW w:w="1459" w:type="dxa"/>
            <w:tcBorders>
              <w:top w:val="nil"/>
              <w:left w:val="nil"/>
              <w:bottom w:val="single" w:sz="4" w:space="0" w:color="auto"/>
              <w:right w:val="single" w:sz="4" w:space="0" w:color="auto"/>
            </w:tcBorders>
            <w:shd w:val="clear" w:color="auto" w:fill="auto"/>
            <w:noWrap/>
            <w:vAlign w:val="center"/>
            <w:hideMark/>
          </w:tcPr>
          <w:p w14:paraId="360FCE33"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78%</w:t>
            </w:r>
          </w:p>
        </w:tc>
      </w:tr>
      <w:tr w:rsidR="00B81885" w:rsidRPr="00EA5AFE" w14:paraId="01CF9715"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4A49BCA2" w14:textId="0A31977F" w:rsidR="00B81885" w:rsidRPr="00EA5AFE" w:rsidRDefault="000B11FD" w:rsidP="00B81885">
            <w:pPr>
              <w:spacing w:after="0" w:line="276" w:lineRule="auto"/>
              <w:jc w:val="center"/>
              <w:rPr>
                <w:rFonts w:ascii="Calibri" w:eastAsia="Times New Roman" w:hAnsi="Calibri" w:cs="Calibri"/>
                <w:b/>
                <w:bCs/>
                <w:color w:val="000000"/>
                <w:sz w:val="20"/>
                <w:szCs w:val="20"/>
                <w:lang w:eastAsia="el-GR"/>
              </w:rPr>
            </w:pPr>
            <w:r w:rsidRPr="000B11FD">
              <w:rPr>
                <w:rFonts w:ascii="Calibri" w:eastAsia="Times New Roman" w:hAnsi="Calibri" w:cs="Calibri"/>
                <w:b/>
                <w:bCs/>
                <w:color w:val="000000"/>
                <w:sz w:val="20"/>
                <w:szCs w:val="20"/>
                <w:lang w:eastAsia="el-GR"/>
              </w:rPr>
              <w:t>IZVJEŠTAVANJE</w:t>
            </w:r>
          </w:p>
        </w:tc>
        <w:tc>
          <w:tcPr>
            <w:tcW w:w="1459" w:type="dxa"/>
            <w:tcBorders>
              <w:top w:val="nil"/>
              <w:left w:val="nil"/>
              <w:bottom w:val="single" w:sz="4" w:space="0" w:color="auto"/>
              <w:right w:val="single" w:sz="4" w:space="0" w:color="auto"/>
            </w:tcBorders>
            <w:shd w:val="clear" w:color="auto" w:fill="auto"/>
            <w:noWrap/>
            <w:vAlign w:val="center"/>
            <w:hideMark/>
          </w:tcPr>
          <w:p w14:paraId="09D66AE5"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75%</w:t>
            </w:r>
          </w:p>
        </w:tc>
      </w:tr>
      <w:tr w:rsidR="00B81885" w:rsidRPr="00EA5AFE" w14:paraId="55AA2859"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13E3A379"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eastAsia="el-GR"/>
              </w:rPr>
              <w:t>FOLLOW UP</w:t>
            </w:r>
          </w:p>
        </w:tc>
        <w:tc>
          <w:tcPr>
            <w:tcW w:w="1459" w:type="dxa"/>
            <w:tcBorders>
              <w:top w:val="nil"/>
              <w:left w:val="nil"/>
              <w:bottom w:val="single" w:sz="4" w:space="0" w:color="auto"/>
              <w:right w:val="single" w:sz="4" w:space="0" w:color="auto"/>
            </w:tcBorders>
            <w:shd w:val="clear" w:color="auto" w:fill="auto"/>
            <w:noWrap/>
            <w:vAlign w:val="center"/>
            <w:hideMark/>
          </w:tcPr>
          <w:p w14:paraId="1F031E32"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63%</w:t>
            </w:r>
          </w:p>
        </w:tc>
      </w:tr>
      <w:tr w:rsidR="00B81885" w:rsidRPr="00EA5AFE" w14:paraId="709DAF04" w14:textId="77777777" w:rsidTr="00B81885">
        <w:trPr>
          <w:trHeight w:val="307"/>
        </w:trPr>
        <w:tc>
          <w:tcPr>
            <w:tcW w:w="1743" w:type="dxa"/>
            <w:tcBorders>
              <w:top w:val="nil"/>
              <w:left w:val="single" w:sz="4" w:space="0" w:color="auto"/>
              <w:bottom w:val="single" w:sz="4" w:space="0" w:color="auto"/>
              <w:right w:val="single" w:sz="4" w:space="0" w:color="auto"/>
            </w:tcBorders>
            <w:shd w:val="clear" w:color="000000" w:fill="D9E1F2"/>
            <w:vAlign w:val="center"/>
            <w:hideMark/>
          </w:tcPr>
          <w:p w14:paraId="7BDAC368" w14:textId="26629433" w:rsidR="00B81885" w:rsidRPr="00EA5AFE" w:rsidRDefault="000B11FD" w:rsidP="00B81885">
            <w:pPr>
              <w:spacing w:after="0" w:line="276" w:lineRule="auto"/>
              <w:jc w:val="center"/>
              <w:rPr>
                <w:rFonts w:ascii="Calibri" w:eastAsia="Times New Roman" w:hAnsi="Calibri" w:cs="Calibri"/>
                <w:b/>
                <w:bCs/>
                <w:color w:val="000000"/>
                <w:sz w:val="20"/>
                <w:szCs w:val="20"/>
                <w:lang w:eastAsia="el-GR"/>
              </w:rPr>
            </w:pPr>
            <w:r w:rsidRPr="000B11FD">
              <w:rPr>
                <w:rFonts w:ascii="Calibri" w:eastAsia="Times New Roman" w:hAnsi="Calibri" w:cs="Calibri"/>
                <w:b/>
                <w:bCs/>
                <w:color w:val="000000"/>
                <w:sz w:val="20"/>
                <w:szCs w:val="20"/>
                <w:lang w:eastAsia="el-GR"/>
              </w:rPr>
              <w:t>KOORDINACIJA</w:t>
            </w:r>
          </w:p>
        </w:tc>
        <w:tc>
          <w:tcPr>
            <w:tcW w:w="1459" w:type="dxa"/>
            <w:tcBorders>
              <w:top w:val="nil"/>
              <w:left w:val="nil"/>
              <w:bottom w:val="single" w:sz="4" w:space="0" w:color="auto"/>
              <w:right w:val="single" w:sz="4" w:space="0" w:color="auto"/>
            </w:tcBorders>
            <w:shd w:val="clear" w:color="auto" w:fill="auto"/>
            <w:noWrap/>
            <w:vAlign w:val="center"/>
            <w:hideMark/>
          </w:tcPr>
          <w:p w14:paraId="12876E43" w14:textId="77777777" w:rsidR="00B81885" w:rsidRPr="00EA5AFE" w:rsidRDefault="00B81885" w:rsidP="00B81885">
            <w:pPr>
              <w:spacing w:after="0" w:line="276" w:lineRule="auto"/>
              <w:jc w:val="center"/>
              <w:rPr>
                <w:rFonts w:ascii="Calibri" w:eastAsia="Times New Roman" w:hAnsi="Calibri" w:cs="Calibri"/>
                <w:b/>
                <w:bCs/>
                <w:color w:val="000000"/>
                <w:sz w:val="20"/>
                <w:szCs w:val="20"/>
                <w:lang w:eastAsia="el-GR"/>
              </w:rPr>
            </w:pPr>
            <w:r w:rsidRPr="00EA5AFE">
              <w:rPr>
                <w:rFonts w:ascii="Calibri" w:eastAsia="Times New Roman" w:hAnsi="Calibri" w:cs="Calibri"/>
                <w:b/>
                <w:bCs/>
                <w:color w:val="000000"/>
                <w:sz w:val="20"/>
                <w:szCs w:val="20"/>
                <w:lang w:val="en-US" w:eastAsia="el-GR"/>
              </w:rPr>
              <w:t>60%</w:t>
            </w:r>
          </w:p>
        </w:tc>
      </w:tr>
    </w:tbl>
    <w:p w14:paraId="2D330BB4" w14:textId="77777777" w:rsidR="00507C7D" w:rsidRDefault="00917D78" w:rsidP="00507C7D">
      <w:pPr>
        <w:pBdr>
          <w:bottom w:val="single" w:sz="6" w:space="1" w:color="F1F1F5"/>
        </w:pBdr>
        <w:shd w:val="clear" w:color="auto" w:fill="FFFFFF"/>
        <w:spacing w:before="100" w:beforeAutospacing="1" w:after="100" w:afterAutospacing="1" w:line="276" w:lineRule="auto"/>
        <w:jc w:val="both"/>
        <w:rPr>
          <w:rFonts w:eastAsiaTheme="minorHAnsi"/>
        </w:rPr>
      </w:pPr>
      <w:r w:rsidRPr="00917D78">
        <w:rPr>
          <w:rFonts w:cstheme="minorHAnsi"/>
        </w:rPr>
        <w:t xml:space="preserve">Matrica relevantnosti nastala je </w:t>
      </w:r>
      <w:r w:rsidR="000B11FD">
        <w:rPr>
          <w:rFonts w:cstheme="minorHAnsi"/>
          <w:lang w:val="sr-Latn-RS"/>
        </w:rPr>
        <w:t>u</w:t>
      </w:r>
      <w:r w:rsidRPr="00917D78">
        <w:rPr>
          <w:rFonts w:cstheme="minorHAnsi"/>
        </w:rPr>
        <w:t xml:space="preserve"> okvir</w:t>
      </w:r>
      <w:r w:rsidR="000B11FD">
        <w:rPr>
          <w:rFonts w:cstheme="minorHAnsi"/>
          <w:lang w:val="sr-Latn-RS"/>
        </w:rPr>
        <w:t>u</w:t>
      </w:r>
      <w:r w:rsidRPr="00917D78">
        <w:rPr>
          <w:rFonts w:cstheme="minorHAnsi"/>
        </w:rPr>
        <w:t xml:space="preserve"> evaluacije (Aneks I) identifikuje visok stepen relevantnosti doprinosa predviđenih aktivnosti realizaciji strateških prioriteta.</w:t>
      </w:r>
      <w:bookmarkStart w:id="29" w:name="_Toc133937760"/>
      <w:r w:rsidR="00507C7D">
        <w:rPr>
          <w:rFonts w:cstheme="minorHAnsi"/>
          <w:lang w:val="sr-Latn-RS"/>
        </w:rPr>
        <w:t xml:space="preserve"> </w:t>
      </w:r>
      <w:r w:rsidR="000B11FD" w:rsidRPr="000B11FD">
        <w:rPr>
          <w:rFonts w:eastAsiaTheme="minorHAnsi"/>
        </w:rPr>
        <w:t>Strateški cilj Strategije 2019 – 2022. bio je obezbjeđivanje efikasne i ef</w:t>
      </w:r>
      <w:r w:rsidR="00D032E4">
        <w:rPr>
          <w:rFonts w:eastAsiaTheme="minorHAnsi"/>
          <w:lang w:val="sr-Latn-RS"/>
        </w:rPr>
        <w:t>ektivn</w:t>
      </w:r>
      <w:r w:rsidR="000B11FD" w:rsidRPr="000B11FD">
        <w:rPr>
          <w:rFonts w:eastAsiaTheme="minorHAnsi"/>
        </w:rPr>
        <w:t xml:space="preserve">e zaštite finansijskih interesa EU, jačanjem AFCOS sistema u Crnoj Gori u oblasti upravljanja nepravilnostima. Strateški cilj je jasan i specifičan i jasno definiše strateški pravac dokumenta postavljanjem širokog sveobuhvatnog cilja. </w:t>
      </w:r>
    </w:p>
    <w:p w14:paraId="3EED42D4" w14:textId="77777777" w:rsidR="00507C7D" w:rsidRDefault="000B11FD" w:rsidP="00507C7D">
      <w:pPr>
        <w:pBdr>
          <w:bottom w:val="single" w:sz="6" w:space="1" w:color="F1F1F5"/>
        </w:pBdr>
        <w:shd w:val="clear" w:color="auto" w:fill="FFFFFF"/>
        <w:spacing w:before="100" w:beforeAutospacing="1" w:after="100" w:afterAutospacing="1" w:line="276" w:lineRule="auto"/>
        <w:jc w:val="both"/>
        <w:rPr>
          <w:rFonts w:eastAsiaTheme="minorHAnsi"/>
        </w:rPr>
      </w:pPr>
      <w:r w:rsidRPr="000B11FD">
        <w:rPr>
          <w:rFonts w:eastAsiaTheme="minorHAnsi"/>
        </w:rPr>
        <w:t>Operativni ciljevi ocrtavaju trostruki pristup realizaciji Strateškog cilja koji se fokusira na (i) uspostavljanje čvrste pravne osnove (ii) poboljšanje sistemske funkcije kroz uvođenje novih metoda, procedura i alata i (iii) povećanje kapacitet</w:t>
      </w:r>
      <w:r w:rsidR="00961BF4">
        <w:rPr>
          <w:rFonts w:eastAsiaTheme="minorHAnsi"/>
          <w:lang w:val="sr-Latn-RS"/>
        </w:rPr>
        <w:t xml:space="preserve">a </w:t>
      </w:r>
      <w:r w:rsidRPr="000B11FD">
        <w:rPr>
          <w:rFonts w:eastAsiaTheme="minorHAnsi"/>
        </w:rPr>
        <w:t xml:space="preserve">AFCOS sistema. </w:t>
      </w:r>
    </w:p>
    <w:p w14:paraId="7E8FB9DA" w14:textId="77777777" w:rsidR="009068BA" w:rsidRDefault="000B11FD" w:rsidP="00507C7D">
      <w:pPr>
        <w:pBdr>
          <w:bottom w:val="single" w:sz="6" w:space="1" w:color="F1F1F5"/>
        </w:pBdr>
        <w:shd w:val="clear" w:color="auto" w:fill="FFFFFF"/>
        <w:spacing w:before="100" w:beforeAutospacing="1" w:after="100" w:afterAutospacing="1" w:line="276" w:lineRule="auto"/>
        <w:jc w:val="both"/>
        <w:rPr>
          <w:rFonts w:eastAsiaTheme="minorHAnsi"/>
        </w:rPr>
      </w:pPr>
      <w:r w:rsidRPr="000B11FD">
        <w:rPr>
          <w:rFonts w:eastAsiaTheme="minorHAnsi"/>
        </w:rPr>
        <w:lastRenderedPageBreak/>
        <w:t xml:space="preserve">U ovom okviru mjere uključene u </w:t>
      </w:r>
      <w:r w:rsidR="00690834">
        <w:rPr>
          <w:rFonts w:eastAsiaTheme="minorHAnsi"/>
          <w:lang w:val="sr-Latn-RS"/>
        </w:rPr>
        <w:t>Strate</w:t>
      </w:r>
      <w:r w:rsidR="00961BF4">
        <w:rPr>
          <w:rFonts w:eastAsiaTheme="minorHAnsi"/>
          <w:lang w:val="sr-Latn-RS"/>
        </w:rPr>
        <w:t xml:space="preserve">giju </w:t>
      </w:r>
      <w:r w:rsidRPr="000B11FD">
        <w:rPr>
          <w:rFonts w:eastAsiaTheme="minorHAnsi"/>
        </w:rPr>
        <w:t xml:space="preserve">Crne Gore 2019-2022 su klasifikovane u sljedeće četiri (4) ključne tematske oblasti i to (i) jačanje pravnog i institucionalnog okvira, (ii) promovisanje međuinstitucionalne </w:t>
      </w:r>
      <w:r w:rsidR="00507C7D">
        <w:rPr>
          <w:rFonts w:eastAsiaTheme="minorHAnsi"/>
          <w:lang w:val="sr-Latn-RS"/>
        </w:rPr>
        <w:t>saradnj</w:t>
      </w:r>
      <w:r w:rsidRPr="000B11FD">
        <w:rPr>
          <w:rFonts w:eastAsiaTheme="minorHAnsi"/>
        </w:rPr>
        <w:t>e, (iii ) poboljša</w:t>
      </w:r>
      <w:r w:rsidR="00961BF4">
        <w:rPr>
          <w:rFonts w:eastAsiaTheme="minorHAnsi"/>
          <w:lang w:val="sr-Latn-RS"/>
        </w:rPr>
        <w:t>nje</w:t>
      </w:r>
      <w:r w:rsidRPr="000B11FD">
        <w:rPr>
          <w:rFonts w:eastAsiaTheme="minorHAnsi"/>
        </w:rPr>
        <w:t xml:space="preserve"> proces</w:t>
      </w:r>
      <w:r w:rsidR="00961BF4">
        <w:rPr>
          <w:rFonts w:eastAsiaTheme="minorHAnsi"/>
          <w:lang w:val="sr-Latn-RS"/>
        </w:rPr>
        <w:t>a</w:t>
      </w:r>
      <w:r w:rsidRPr="000B11FD">
        <w:rPr>
          <w:rFonts w:eastAsiaTheme="minorHAnsi"/>
        </w:rPr>
        <w:t xml:space="preserve"> i razvoj operativnih alata (iv) izgradnj</w:t>
      </w:r>
      <w:r w:rsidR="00961BF4">
        <w:rPr>
          <w:rFonts w:eastAsiaTheme="minorHAnsi"/>
          <w:lang w:val="sr-Latn-RS"/>
        </w:rPr>
        <w:t>a</w:t>
      </w:r>
      <w:r w:rsidRPr="000B11FD">
        <w:rPr>
          <w:rFonts w:eastAsiaTheme="minorHAnsi"/>
        </w:rPr>
        <w:t xml:space="preserve"> kapaciteta kroz obuku. Kratak, ali koncizan opis svake od njih sadržan je u strateškom dokumentu, a njihova implementacija se smatra realnom i izvodljivom s obzirom na četvorogodišnji period implementacije Strategije.</w:t>
      </w:r>
    </w:p>
    <w:p w14:paraId="25EC73A5" w14:textId="77777777" w:rsidR="009068BA" w:rsidRDefault="000B11FD" w:rsidP="00507C7D">
      <w:pPr>
        <w:pBdr>
          <w:bottom w:val="single" w:sz="6" w:space="1" w:color="F1F1F5"/>
        </w:pBdr>
        <w:shd w:val="clear" w:color="auto" w:fill="FFFFFF"/>
        <w:spacing w:before="100" w:beforeAutospacing="1" w:after="100" w:afterAutospacing="1" w:line="276" w:lineRule="auto"/>
        <w:jc w:val="both"/>
        <w:rPr>
          <w:rFonts w:eastAsiaTheme="minorHAnsi"/>
        </w:rPr>
      </w:pPr>
      <w:r w:rsidRPr="000B11FD">
        <w:rPr>
          <w:rFonts w:eastAsiaTheme="minorHAnsi"/>
        </w:rPr>
        <w:t xml:space="preserve">Štaviše, Strategija je </w:t>
      </w:r>
      <w:r w:rsidR="009068BA">
        <w:rPr>
          <w:rFonts w:eastAsiaTheme="minorHAnsi"/>
          <w:lang w:val="sr-Latn-RS"/>
        </w:rPr>
        <w:t>rea</w:t>
      </w:r>
      <w:r w:rsidRPr="000B11FD">
        <w:rPr>
          <w:rFonts w:eastAsiaTheme="minorHAnsi"/>
        </w:rPr>
        <w:t xml:space="preserve">lizovana kroz implementaciju dva (2) Akciona plana, (jedan za period 2019 – 2020. i jedan za 2022. godinu). U ovom </w:t>
      </w:r>
      <w:r w:rsidR="009068BA">
        <w:rPr>
          <w:rFonts w:eastAsiaTheme="minorHAnsi"/>
          <w:lang w:val="sr-Latn-RS"/>
        </w:rPr>
        <w:t>dijel</w:t>
      </w:r>
      <w:r w:rsidRPr="000B11FD">
        <w:rPr>
          <w:rFonts w:eastAsiaTheme="minorHAnsi"/>
        </w:rPr>
        <w:t xml:space="preserve">u, mjere su dalje raščlanjene na dvadeset (20) aktivnosti sa konkretnim rasporedom implementacije uključujući datume početka i planirane datume završetka. </w:t>
      </w:r>
    </w:p>
    <w:p w14:paraId="596A82BB" w14:textId="77777777" w:rsidR="00AF5E6E" w:rsidRDefault="000B11FD" w:rsidP="00507C7D">
      <w:pPr>
        <w:pBdr>
          <w:bottom w:val="single" w:sz="6" w:space="1" w:color="F1F1F5"/>
        </w:pBdr>
        <w:shd w:val="clear" w:color="auto" w:fill="FFFFFF"/>
        <w:spacing w:before="100" w:beforeAutospacing="1" w:after="100" w:afterAutospacing="1" w:line="276" w:lineRule="auto"/>
        <w:jc w:val="both"/>
        <w:rPr>
          <w:rFonts w:eastAsiaTheme="minorHAnsi"/>
        </w:rPr>
      </w:pPr>
      <w:r w:rsidRPr="000B11FD">
        <w:rPr>
          <w:rFonts w:eastAsiaTheme="minorHAnsi"/>
        </w:rPr>
        <w:t xml:space="preserve">Evaluacija nije mogla donijeti konkretne zaključke o njihovoj izvodljivosti zbog nepostojanja detaljnih opisa njihovog obima, koraka implementacije, uključenih </w:t>
      </w:r>
      <w:r w:rsidR="00961BF4">
        <w:rPr>
          <w:rFonts w:eastAsiaTheme="minorHAnsi"/>
          <w:lang w:val="sr-Latn-RS"/>
        </w:rPr>
        <w:t>učesnika</w:t>
      </w:r>
      <w:r w:rsidRPr="000B11FD">
        <w:rPr>
          <w:rFonts w:eastAsiaTheme="minorHAnsi"/>
        </w:rPr>
        <w:t xml:space="preserve"> i očekivanih rezultata. </w:t>
      </w:r>
    </w:p>
    <w:p w14:paraId="23F0D9E4" w14:textId="5F896929" w:rsidR="005A4A9D" w:rsidRDefault="00AF5E6E" w:rsidP="00507C7D">
      <w:pPr>
        <w:pBdr>
          <w:bottom w:val="single" w:sz="6" w:space="1" w:color="F1F1F5"/>
        </w:pBdr>
        <w:shd w:val="clear" w:color="auto" w:fill="FFFFFF"/>
        <w:spacing w:before="100" w:beforeAutospacing="1" w:after="100" w:afterAutospacing="1" w:line="276" w:lineRule="auto"/>
        <w:jc w:val="both"/>
        <w:rPr>
          <w:rFonts w:eastAsiaTheme="minorHAnsi"/>
        </w:rPr>
      </w:pPr>
      <w:r>
        <w:rPr>
          <w:rFonts w:eastAsiaTheme="minorHAnsi"/>
          <w:lang w:val="sr-Latn-RS"/>
        </w:rPr>
        <w:t>K</w:t>
      </w:r>
      <w:r w:rsidR="00961BF4">
        <w:rPr>
          <w:rFonts w:eastAsiaTheme="minorHAnsi"/>
          <w:lang w:val="sr-Latn-RS"/>
        </w:rPr>
        <w:t>ancelarijsko</w:t>
      </w:r>
      <w:r w:rsidR="000B11FD" w:rsidRPr="000B11FD">
        <w:rPr>
          <w:rFonts w:eastAsiaTheme="minorHAnsi"/>
        </w:rPr>
        <w:t xml:space="preserve"> istraživanje dalje pokazuje da nije bilo odredbi za nacionalno finansiranje za podršku implementaciji aktivnosti. Međutim, nekoliko finansijskih instrumenata EU identifikovano je</w:t>
      </w:r>
      <w:r w:rsidR="00961BF4">
        <w:rPr>
          <w:rFonts w:eastAsiaTheme="minorHAnsi"/>
          <w:lang w:val="sr-Latn-RS"/>
        </w:rPr>
        <w:t xml:space="preserve"> kao podrška u vidu donacija </w:t>
      </w:r>
      <w:r w:rsidR="000B11FD" w:rsidRPr="000B11FD">
        <w:rPr>
          <w:rFonts w:eastAsiaTheme="minorHAnsi"/>
        </w:rPr>
        <w:t xml:space="preserve"> </w:t>
      </w:r>
      <w:r w:rsidR="00961BF4" w:rsidRPr="000B11FD">
        <w:rPr>
          <w:rFonts w:eastAsiaTheme="minorHAnsi"/>
        </w:rPr>
        <w:t xml:space="preserve">kao potencijalni izvori finansiranja </w:t>
      </w:r>
      <w:r w:rsidR="000B11FD" w:rsidRPr="000B11FD">
        <w:rPr>
          <w:rFonts w:eastAsiaTheme="minorHAnsi"/>
        </w:rPr>
        <w:t xml:space="preserve">(tj. Twining Light projekti (TLP), </w:t>
      </w:r>
      <w:r w:rsidR="00961BF4">
        <w:rPr>
          <w:rFonts w:eastAsiaTheme="minorHAnsi"/>
          <w:lang w:val="sr-Latn-RS"/>
        </w:rPr>
        <w:t xml:space="preserve">Program </w:t>
      </w:r>
      <w:r w:rsidR="000B11FD" w:rsidRPr="000B11FD">
        <w:rPr>
          <w:rFonts w:eastAsiaTheme="minorHAnsi"/>
        </w:rPr>
        <w:t xml:space="preserve">tehnička pomoć i razmjena informacija (TAIEX) i </w:t>
      </w:r>
      <w:r w:rsidR="00961BF4">
        <w:rPr>
          <w:rFonts w:eastAsiaTheme="minorHAnsi"/>
          <w:lang w:val="sr-Latn-RS"/>
        </w:rPr>
        <w:t>instrument EK-</w:t>
      </w:r>
      <w:r w:rsidR="000B11FD" w:rsidRPr="000B11FD">
        <w:rPr>
          <w:rFonts w:eastAsiaTheme="minorHAnsi"/>
        </w:rPr>
        <w:t>podrška za poboljšanje upravljanja (SIGMA)) i povezani su sa specifičnim aktivnostima na programskom osnovu. Gore navedeno naglašava da je finansiranje EU bilo od ključnog značaja za implementaciju crnogorsk</w:t>
      </w:r>
      <w:r w:rsidR="00961BF4">
        <w:rPr>
          <w:rFonts w:eastAsiaTheme="minorHAnsi"/>
          <w:lang w:val="sr-Latn-RS"/>
        </w:rPr>
        <w:t>e Strategije</w:t>
      </w:r>
      <w:r w:rsidR="000B11FD" w:rsidRPr="000B11FD">
        <w:rPr>
          <w:rFonts w:eastAsiaTheme="minorHAnsi"/>
        </w:rPr>
        <w:t xml:space="preserve"> 2019-2022. Imajući u vidu gore navedeno, tim za evaluaciju smatra da će dosljednije budžetiranje tokom izrade Strategije 2024-2027 doprinijeti izbjegavanju kašnjenja tokom implementacije i značajno će poboljšati kapacitet </w:t>
      </w:r>
      <w:r w:rsidR="00961BF4">
        <w:rPr>
          <w:rFonts w:eastAsiaTheme="minorHAnsi"/>
          <w:lang w:val="sr-Latn-RS"/>
        </w:rPr>
        <w:t>kancelarije</w:t>
      </w:r>
      <w:r w:rsidR="000B11FD" w:rsidRPr="000B11FD">
        <w:rPr>
          <w:rFonts w:eastAsiaTheme="minorHAnsi"/>
        </w:rPr>
        <w:t xml:space="preserve"> AFCOS za planiranje unaprijed i isporuku očekivanih rezultata i </w:t>
      </w:r>
      <w:r w:rsidR="00961BF4">
        <w:rPr>
          <w:rFonts w:eastAsiaTheme="minorHAnsi"/>
          <w:lang w:val="sr-Latn-RS"/>
        </w:rPr>
        <w:t>ishoda</w:t>
      </w:r>
      <w:r w:rsidR="000B11FD" w:rsidRPr="000B11FD">
        <w:rPr>
          <w:rFonts w:eastAsiaTheme="minorHAnsi"/>
        </w:rPr>
        <w:t>.</w:t>
      </w:r>
    </w:p>
    <w:p w14:paraId="6122F4D5" w14:textId="77777777" w:rsidR="005A4A9D" w:rsidRDefault="005A4A9D" w:rsidP="00AC2D64">
      <w:pPr>
        <w:pStyle w:val="Heading3"/>
        <w:jc w:val="both"/>
        <w:rPr>
          <w:b/>
          <w:lang w:val="en-US"/>
        </w:rPr>
      </w:pPr>
    </w:p>
    <w:bookmarkEnd w:id="29"/>
    <w:p w14:paraId="17D2B6D8" w14:textId="77777777" w:rsidR="005A4A9D" w:rsidRDefault="005A4A9D" w:rsidP="005A4A9D">
      <w:pPr>
        <w:spacing w:line="276" w:lineRule="auto"/>
        <w:jc w:val="both"/>
        <w:rPr>
          <w:rFonts w:asciiTheme="majorHAnsi" w:eastAsiaTheme="majorEastAsia" w:hAnsiTheme="majorHAnsi" w:cstheme="majorBidi"/>
          <w:b/>
          <w:color w:val="1F3763" w:themeColor="accent1" w:themeShade="7F"/>
          <w:sz w:val="24"/>
          <w:szCs w:val="24"/>
        </w:rPr>
      </w:pPr>
      <w:r w:rsidRPr="005A4A9D">
        <w:rPr>
          <w:rFonts w:asciiTheme="majorHAnsi" w:eastAsiaTheme="majorEastAsia" w:hAnsiTheme="majorHAnsi" w:cstheme="majorBidi"/>
          <w:b/>
          <w:color w:val="1F3763" w:themeColor="accent1" w:themeShade="7F"/>
          <w:sz w:val="24"/>
          <w:szCs w:val="24"/>
        </w:rPr>
        <w:t xml:space="preserve">Nalaz 5: Strategija ostaje veoma relevantna čak i nakon završetka tekućeg ciklusa politike (2019-2022) </w:t>
      </w:r>
    </w:p>
    <w:p w14:paraId="64035EE3" w14:textId="5998A672" w:rsidR="005A4A9D" w:rsidRPr="005A4A9D" w:rsidRDefault="005A4A9D" w:rsidP="005A4A9D">
      <w:pPr>
        <w:spacing w:line="276" w:lineRule="auto"/>
        <w:jc w:val="both"/>
        <w:rPr>
          <w:rFonts w:eastAsiaTheme="majorEastAsia" w:cstheme="minorHAnsi"/>
        </w:rPr>
      </w:pPr>
      <w:r w:rsidRPr="005A4A9D">
        <w:rPr>
          <w:rFonts w:eastAsiaTheme="majorEastAsia" w:cstheme="minorHAnsi"/>
        </w:rPr>
        <w:t>Sa okončanjem Strategije 2019 – 2022, glavni akteri i članovi AFCOS sistema u Crnoj Gori i dalje prepoznaju visok stepen kore</w:t>
      </w:r>
      <w:r w:rsidR="001632DA">
        <w:rPr>
          <w:rFonts w:eastAsiaTheme="majorEastAsia" w:cstheme="minorHAnsi"/>
          <w:lang w:val="sr-Latn-RS"/>
        </w:rPr>
        <w:t>lacije</w:t>
      </w:r>
      <w:r w:rsidRPr="005A4A9D">
        <w:rPr>
          <w:rFonts w:eastAsiaTheme="majorEastAsia" w:cstheme="minorHAnsi"/>
        </w:rPr>
        <w:t xml:space="preserve"> između svojih institucionalnih potreba i ciljeva i mjera Strategije:</w:t>
      </w:r>
    </w:p>
    <w:p w14:paraId="24A7C36E" w14:textId="0BAC1737" w:rsidR="00986F67" w:rsidRPr="002D7231" w:rsidRDefault="00986F67" w:rsidP="00E63F8E">
      <w:pPr>
        <w:spacing w:line="276" w:lineRule="auto"/>
        <w:jc w:val="center"/>
        <w:rPr>
          <w:lang w:val="en-US"/>
        </w:rPr>
      </w:pPr>
      <w:r w:rsidRPr="002D7231">
        <w:rPr>
          <w:noProof/>
        </w:rPr>
        <w:lastRenderedPageBreak/>
        <w:drawing>
          <wp:inline distT="0" distB="0" distL="0" distR="0" wp14:anchorId="40D42DB4" wp14:editId="301E4FBE">
            <wp:extent cx="5274310" cy="2853055"/>
            <wp:effectExtent l="0" t="0" r="2540" b="4445"/>
            <wp:docPr id="2" name="Γράφημα 2">
              <a:extLst xmlns:a="http://schemas.openxmlformats.org/drawingml/2006/main">
                <a:ext uri="{FF2B5EF4-FFF2-40B4-BE49-F238E27FC236}">
                  <a16:creationId xmlns:a16="http://schemas.microsoft.com/office/drawing/2014/main" id="{E07552E2-E3BC-76BE-6987-0562E45F9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55E167" w14:textId="15A94C48" w:rsidR="00A41470" w:rsidRPr="00661F1D" w:rsidRDefault="00A74C20" w:rsidP="00AF5E6E">
      <w:pPr>
        <w:spacing w:line="276" w:lineRule="auto"/>
        <w:rPr>
          <w:b/>
          <w:lang w:val="en-US"/>
        </w:rPr>
      </w:pPr>
      <w:r>
        <w:rPr>
          <w:b/>
          <w:lang w:val="en-US"/>
        </w:rPr>
        <w:t>izvor</w:t>
      </w:r>
      <w:r w:rsidR="00A41470" w:rsidRPr="00661F1D">
        <w:rPr>
          <w:b/>
          <w:lang w:val="en-US"/>
        </w:rPr>
        <w:t xml:space="preserve">: </w:t>
      </w:r>
      <w:r>
        <w:rPr>
          <w:b/>
          <w:lang w:val="en-US"/>
        </w:rPr>
        <w:t>Upitnik</w:t>
      </w:r>
    </w:p>
    <w:p w14:paraId="78262AAC" w14:textId="31EC0E0E" w:rsidR="001730B1" w:rsidRDefault="001730B1" w:rsidP="00E63F8E">
      <w:pPr>
        <w:spacing w:line="276" w:lineRule="auto"/>
        <w:jc w:val="both"/>
      </w:pPr>
      <w:r w:rsidRPr="001730B1">
        <w:t xml:space="preserve">Tokom intervjua, učesnici koji predstavljaju ključne aktere u okviru AFCOS sistema su identifikovali snažnu i jasnu korelaciju između mjera Strategije i potreba njihove institucije. Mjere koje su prepoznate kao najrelevantnije su one koje isporučuju rezultate s direktnim uticajem na njihov posao, kao što su ažurirane </w:t>
      </w:r>
      <w:r w:rsidR="009F2ACE">
        <w:rPr>
          <w:lang w:val="sr-Latn-RS"/>
        </w:rPr>
        <w:t>S</w:t>
      </w:r>
      <w:r w:rsidRPr="001730B1">
        <w:t xml:space="preserve">mjernice o upravljanju nepravilnostima, izmjena Priručnika o procedurama za </w:t>
      </w:r>
      <w:r w:rsidR="009F2ACE">
        <w:rPr>
          <w:lang w:val="sr-Latn-RS"/>
        </w:rPr>
        <w:t>institucije</w:t>
      </w:r>
      <w:r w:rsidRPr="001730B1">
        <w:t xml:space="preserve"> </w:t>
      </w:r>
      <w:r w:rsidR="009F2ACE">
        <w:rPr>
          <w:lang w:val="sr-Latn-RS"/>
        </w:rPr>
        <w:t>koje se bave</w:t>
      </w:r>
      <w:r w:rsidRPr="001730B1">
        <w:t xml:space="preserve"> upravljanje</w:t>
      </w:r>
      <w:r w:rsidR="009F2ACE">
        <w:rPr>
          <w:lang w:val="sr-Latn-RS"/>
        </w:rPr>
        <w:t>m</w:t>
      </w:r>
      <w:r w:rsidRPr="001730B1">
        <w:t xml:space="preserve"> IPA-om, pristup IMS-u za prijavljivanje nepravilnosti</w:t>
      </w:r>
      <w:r w:rsidR="009F2ACE">
        <w:rPr>
          <w:lang w:val="sr-Latn-RS"/>
        </w:rPr>
        <w:t>,</w:t>
      </w:r>
      <w:r w:rsidRPr="001730B1">
        <w:t xml:space="preserve"> i </w:t>
      </w:r>
      <w:r w:rsidR="009F2ACE">
        <w:rPr>
          <w:lang w:val="sr-Latn-RS"/>
        </w:rPr>
        <w:t>same</w:t>
      </w:r>
      <w:r w:rsidRPr="001730B1">
        <w:t xml:space="preserve"> obuke. </w:t>
      </w:r>
    </w:p>
    <w:p w14:paraId="138B8ED3" w14:textId="11F718FC" w:rsidR="001730B1" w:rsidRPr="00AF5E6E" w:rsidRDefault="001730B1" w:rsidP="00E63F8E">
      <w:pPr>
        <w:spacing w:line="276" w:lineRule="auto"/>
        <w:jc w:val="both"/>
        <w:rPr>
          <w:b/>
        </w:rPr>
      </w:pPr>
      <w:r w:rsidRPr="00AF5E6E">
        <w:rPr>
          <w:b/>
        </w:rPr>
        <w:t xml:space="preserve">Osim navedenih mjera, čini se da većina ispitanika ne priznaje Strategiju 2019. – 2022. u cijelosti kao relevantnu za potrebe ili nadležnosti njihove institucije, ističući još jednom nizak nivo angažmana </w:t>
      </w:r>
      <w:r w:rsidR="009F2ACE" w:rsidRPr="00AF5E6E">
        <w:rPr>
          <w:b/>
          <w:lang w:val="sr-Latn-RS"/>
        </w:rPr>
        <w:t>učesnika</w:t>
      </w:r>
      <w:r w:rsidRPr="00AF5E6E">
        <w:rPr>
          <w:b/>
        </w:rPr>
        <w:t xml:space="preserve"> i značajno diferenciranu percepciju </w:t>
      </w:r>
      <w:r w:rsidR="009F2ACE" w:rsidRPr="00AF5E6E">
        <w:rPr>
          <w:b/>
          <w:lang w:val="sr-Latn-RS"/>
        </w:rPr>
        <w:t>S</w:t>
      </w:r>
      <w:r w:rsidRPr="00AF5E6E">
        <w:rPr>
          <w:b/>
        </w:rPr>
        <w:t xml:space="preserve">trategije i njen ukupni značaj za zaštitu finansijskih interesa EU i proces pretpristupnih pregovora. </w:t>
      </w:r>
    </w:p>
    <w:p w14:paraId="635F3A3C" w14:textId="6B400EFA" w:rsidR="00B03E52" w:rsidRDefault="001730B1" w:rsidP="00E63F8E">
      <w:pPr>
        <w:spacing w:line="276" w:lineRule="auto"/>
        <w:jc w:val="both"/>
        <w:rPr>
          <w:color w:val="FF0000"/>
          <w:lang w:val="en-US"/>
        </w:rPr>
      </w:pPr>
      <w:r w:rsidRPr="001730B1">
        <w:t>U tom pravcu, tim za evaluaciju identifikuje nepostojanje čvrste pravne osnove koja jasno definiše nadležnosti AFCOS kancelarije kao glavnu prepreku koja stvara nejasnoće u vezi sa njegovom institucionalnom ulogom i ometa punu operacionalizaciju AFCOS sistema.</w:t>
      </w:r>
    </w:p>
    <w:p w14:paraId="0E2254CF" w14:textId="77777777" w:rsidR="00591154" w:rsidRDefault="00591154" w:rsidP="00E63F8E">
      <w:pPr>
        <w:spacing w:line="276" w:lineRule="auto"/>
        <w:jc w:val="both"/>
        <w:rPr>
          <w:color w:val="FF0000"/>
          <w:lang w:val="en-US"/>
        </w:rPr>
        <w:sectPr w:rsidR="00591154" w:rsidSect="00AF1D3F">
          <w:pgSz w:w="11906" w:h="16838"/>
          <w:pgMar w:top="1440" w:right="1800" w:bottom="1440" w:left="1800" w:header="708" w:footer="708" w:gutter="0"/>
          <w:cols w:space="708"/>
          <w:docGrid w:linePitch="360"/>
        </w:sectPr>
      </w:pPr>
    </w:p>
    <w:p w14:paraId="368FC2A7" w14:textId="3EFE4CDE" w:rsidR="00B03E52" w:rsidRPr="00AC2D64" w:rsidRDefault="00B03E52" w:rsidP="00F2318F">
      <w:pPr>
        <w:pStyle w:val="Heading2"/>
        <w:spacing w:after="240"/>
        <w:jc w:val="both"/>
        <w:rPr>
          <w:b/>
          <w:lang w:val="en-US"/>
        </w:rPr>
      </w:pPr>
      <w:bookmarkStart w:id="30" w:name="_Toc136505864"/>
      <w:r w:rsidRPr="00AC2D64">
        <w:rPr>
          <w:b/>
          <w:lang w:val="en-US"/>
        </w:rPr>
        <w:lastRenderedPageBreak/>
        <w:t>4.2 E</w:t>
      </w:r>
      <w:r w:rsidR="00EE5854">
        <w:rPr>
          <w:b/>
          <w:lang w:val="en-US"/>
        </w:rPr>
        <w:t>f</w:t>
      </w:r>
      <w:r w:rsidR="00A74C20">
        <w:rPr>
          <w:b/>
          <w:lang w:val="en-US"/>
        </w:rPr>
        <w:t>ektivnost</w:t>
      </w:r>
      <w:bookmarkEnd w:id="30"/>
      <w:r w:rsidR="00EE5854">
        <w:rPr>
          <w:b/>
          <w:lang w:val="en-US"/>
        </w:rPr>
        <w:t xml:space="preserve"> </w:t>
      </w:r>
    </w:p>
    <w:p w14:paraId="68199E99" w14:textId="5F4537DB" w:rsidR="00251430" w:rsidRDefault="00251430" w:rsidP="00AF5E6E">
      <w:pPr>
        <w:spacing w:after="0" w:line="240" w:lineRule="auto"/>
        <w:jc w:val="both"/>
      </w:pPr>
      <w:r w:rsidRPr="00251430">
        <w:t xml:space="preserve">Mjereći efektivnost, ispituje u kojoj mjeri je Strategija uspjela da ostvari svoje prioritetne ciljeve i </w:t>
      </w:r>
      <w:r w:rsidR="0022409C">
        <w:rPr>
          <w:lang w:val="sr-Latn-RS"/>
        </w:rPr>
        <w:t>svrhu</w:t>
      </w:r>
      <w:r w:rsidRPr="00251430">
        <w:t xml:space="preserve">. U tom </w:t>
      </w:r>
      <w:r w:rsidR="004B62FD">
        <w:rPr>
          <w:lang w:val="sr-Latn-RS"/>
        </w:rPr>
        <w:t>smislu</w:t>
      </w:r>
      <w:r w:rsidRPr="00251430">
        <w:t xml:space="preserve">, </w:t>
      </w:r>
      <w:r w:rsidRPr="00AF5E6E">
        <w:rPr>
          <w:b/>
        </w:rPr>
        <w:t xml:space="preserve">nedostatak mjerljivih pokazatelja rezultata i </w:t>
      </w:r>
      <w:r w:rsidR="004B62FD" w:rsidRPr="00AF5E6E">
        <w:rPr>
          <w:b/>
          <w:lang w:val="sr-Latn-RS"/>
        </w:rPr>
        <w:t>ishoda</w:t>
      </w:r>
      <w:r w:rsidR="004B62FD">
        <w:rPr>
          <w:lang w:val="sr-Latn-RS"/>
        </w:rPr>
        <w:t xml:space="preserve"> </w:t>
      </w:r>
      <w:r w:rsidRPr="00251430">
        <w:t>predstavljao je glavnu prepreku koja ograničava sposobnost evaluaci</w:t>
      </w:r>
      <w:r w:rsidR="004B62FD">
        <w:rPr>
          <w:lang w:val="sr-Latn-RS"/>
        </w:rPr>
        <w:t>on</w:t>
      </w:r>
      <w:r w:rsidRPr="00251430">
        <w:t>og tima da donese zaključke u vezi sa stepenom do kojeg su očekivani rezultati postignuti na osnovu kvantifi</w:t>
      </w:r>
      <w:r w:rsidR="004B62FD">
        <w:rPr>
          <w:lang w:val="sr-Latn-RS"/>
        </w:rPr>
        <w:t>kov</w:t>
      </w:r>
      <w:r w:rsidRPr="00251430">
        <w:t>anih podataka. U pokušaju prevazilaženja navedenog ograničenja prikupljene su relevantne informacije kako bi se izveli zaključci kroz</w:t>
      </w:r>
      <w:r w:rsidR="00D92630">
        <w:rPr>
          <w:lang w:val="sr-Latn-RS"/>
        </w:rPr>
        <w:t xml:space="preserve"> sljedeće procese</w:t>
      </w:r>
      <w:r w:rsidRPr="00251430">
        <w:t xml:space="preserve">: </w:t>
      </w:r>
    </w:p>
    <w:p w14:paraId="7D7CB408" w14:textId="77777777" w:rsidR="00AF5E6E" w:rsidRDefault="00AF5E6E" w:rsidP="00AF5E6E">
      <w:pPr>
        <w:spacing w:after="0" w:line="240" w:lineRule="auto"/>
        <w:jc w:val="both"/>
      </w:pPr>
    </w:p>
    <w:p w14:paraId="4C0309F5" w14:textId="65516E6B" w:rsidR="00251430" w:rsidRDefault="00251430" w:rsidP="00AF5E6E">
      <w:pPr>
        <w:spacing w:after="0" w:line="240" w:lineRule="auto"/>
        <w:jc w:val="both"/>
      </w:pPr>
      <w:r w:rsidRPr="00251430">
        <w:t>a) Praćenje ukupne stope završetka</w:t>
      </w:r>
      <w:r w:rsidR="00D92630">
        <w:rPr>
          <w:lang w:val="sr-Latn-RS"/>
        </w:rPr>
        <w:t>;</w:t>
      </w:r>
      <w:r w:rsidRPr="00251430">
        <w:t xml:space="preserve"> </w:t>
      </w:r>
    </w:p>
    <w:p w14:paraId="7DCBAC26" w14:textId="650198CB" w:rsidR="00251430" w:rsidRPr="00D92630" w:rsidRDefault="00251430" w:rsidP="00AF5E6E">
      <w:pPr>
        <w:spacing w:after="0" w:line="240" w:lineRule="auto"/>
        <w:jc w:val="both"/>
        <w:rPr>
          <w:lang w:val="sr-Latn-RS"/>
        </w:rPr>
      </w:pPr>
      <w:r w:rsidRPr="00251430">
        <w:t xml:space="preserve">b) Detaljna revizija isporučenih rezultata i </w:t>
      </w:r>
      <w:r w:rsidR="00D92630">
        <w:rPr>
          <w:lang w:val="sr-Latn-RS"/>
        </w:rPr>
        <w:t>ishod</w:t>
      </w:r>
      <w:r w:rsidRPr="00251430">
        <w:t>a</w:t>
      </w:r>
      <w:r w:rsidR="00D92630">
        <w:rPr>
          <w:lang w:val="sr-Latn-RS"/>
        </w:rPr>
        <w:t>;</w:t>
      </w:r>
    </w:p>
    <w:p w14:paraId="6C012605" w14:textId="77777777" w:rsidR="00D92630" w:rsidRDefault="00251430" w:rsidP="00AF5E6E">
      <w:pPr>
        <w:spacing w:after="0" w:line="240" w:lineRule="auto"/>
        <w:jc w:val="both"/>
        <w:rPr>
          <w:lang w:val="sr-Latn-RS"/>
        </w:rPr>
      </w:pPr>
      <w:r w:rsidRPr="00251430">
        <w:t>c) Kritička procjena nesprovedenih aktivnosti i njihovog uticaja na implementaciju Strategije</w:t>
      </w:r>
      <w:r w:rsidR="00D92630">
        <w:rPr>
          <w:lang w:val="sr-Latn-RS"/>
        </w:rPr>
        <w:t>;</w:t>
      </w:r>
    </w:p>
    <w:p w14:paraId="2B314772" w14:textId="094F9AA9" w:rsidR="00251430" w:rsidRDefault="00251430" w:rsidP="00AF5E6E">
      <w:pPr>
        <w:spacing w:after="0" w:line="240" w:lineRule="auto"/>
        <w:jc w:val="both"/>
      </w:pPr>
      <w:r w:rsidRPr="00251430">
        <w:t xml:space="preserve"> d)</w:t>
      </w:r>
      <w:r w:rsidR="00D92630">
        <w:rPr>
          <w:lang w:val="sr-Latn-RS"/>
        </w:rPr>
        <w:t xml:space="preserve"> </w:t>
      </w:r>
      <w:r w:rsidRPr="00251430">
        <w:t>Analiza upitnika verifikovana nalazima intervjua sa glavnim korisnikom i ključnim zainteresovanim stranama</w:t>
      </w:r>
      <w:r w:rsidR="00D92630">
        <w:rPr>
          <w:lang w:val="sr-Latn-RS"/>
        </w:rPr>
        <w:t>.</w:t>
      </w:r>
      <w:r w:rsidRPr="00251430">
        <w:t xml:space="preserve"> </w:t>
      </w:r>
    </w:p>
    <w:p w14:paraId="1898633A" w14:textId="77777777" w:rsidR="00D92630" w:rsidRDefault="00D92630" w:rsidP="00251430">
      <w:pPr>
        <w:spacing w:line="276" w:lineRule="auto"/>
        <w:jc w:val="both"/>
        <w:rPr>
          <w:color w:val="4472C4" w:themeColor="accent1"/>
        </w:rPr>
      </w:pPr>
    </w:p>
    <w:p w14:paraId="16F99DF6" w14:textId="012D9919" w:rsidR="00A655C8" w:rsidRPr="00A655C8" w:rsidRDefault="00251430" w:rsidP="00251430">
      <w:pPr>
        <w:spacing w:line="276" w:lineRule="auto"/>
        <w:jc w:val="both"/>
        <w:rPr>
          <w:b/>
          <w:color w:val="2F5496" w:themeColor="accent1" w:themeShade="BF"/>
        </w:rPr>
      </w:pPr>
      <w:r w:rsidRPr="00A655C8">
        <w:rPr>
          <w:b/>
          <w:color w:val="2F5496" w:themeColor="accent1" w:themeShade="BF"/>
        </w:rPr>
        <w:t xml:space="preserve">Nalaz 6: Strategija je postigla </w:t>
      </w:r>
      <w:r w:rsidR="00D92630" w:rsidRPr="00A655C8">
        <w:rPr>
          <w:b/>
          <w:color w:val="2F5496" w:themeColor="accent1" w:themeShade="BF"/>
        </w:rPr>
        <w:t>visok st</w:t>
      </w:r>
      <w:r w:rsidR="00D92630" w:rsidRPr="00A655C8">
        <w:rPr>
          <w:b/>
          <w:color w:val="2F5496" w:themeColor="accent1" w:themeShade="BF"/>
          <w:lang w:val="sr-Latn-RS"/>
        </w:rPr>
        <w:t>epen</w:t>
      </w:r>
      <w:r w:rsidR="00D92630" w:rsidRPr="00A655C8">
        <w:rPr>
          <w:b/>
          <w:color w:val="2F5496" w:themeColor="accent1" w:themeShade="BF"/>
        </w:rPr>
        <w:t xml:space="preserve"> </w:t>
      </w:r>
      <w:r w:rsidRPr="00A655C8">
        <w:rPr>
          <w:b/>
          <w:color w:val="2F5496" w:themeColor="accent1" w:themeShade="BF"/>
        </w:rPr>
        <w:t>ukupn</w:t>
      </w:r>
      <w:r w:rsidR="00D92630" w:rsidRPr="00A655C8">
        <w:rPr>
          <w:b/>
          <w:color w:val="2F5496" w:themeColor="accent1" w:themeShade="BF"/>
          <w:lang w:val="sr-Latn-RS"/>
        </w:rPr>
        <w:t>e realizacije.</w:t>
      </w:r>
      <w:r w:rsidRPr="00A655C8">
        <w:rPr>
          <w:b/>
          <w:color w:val="2F5496" w:themeColor="accent1" w:themeShade="BF"/>
        </w:rPr>
        <w:t xml:space="preserve"> Većina mjera obuhvaćenih Operativnim ciljevima 2 i 3 uspješno je implementirana. S druge strane, značajna kašnjenja otežala su realizaciju mjera predviđenih Operativnim ciljem 1.</w:t>
      </w:r>
    </w:p>
    <w:p w14:paraId="41E92B9B" w14:textId="4FD54AF7" w:rsidR="00251430" w:rsidRDefault="00251430" w:rsidP="00251430">
      <w:pPr>
        <w:spacing w:line="276" w:lineRule="auto"/>
        <w:jc w:val="both"/>
      </w:pPr>
      <w:r w:rsidRPr="00251430">
        <w:t xml:space="preserve">Tok implementacije Strategije nije tekao glatko, s obzirom na neočekivana kašnjenja koja su nastala tokom prve dvije godine implementacije zbog pandemije COVID-19. Ipak, ukupna stopa implementacije se smatra zadovoljavajućom, jer prema dokazima prikupljenim tokom </w:t>
      </w:r>
      <w:r w:rsidR="00162481">
        <w:rPr>
          <w:lang w:val="sr-Latn-RS"/>
        </w:rPr>
        <w:t>kancelarijskog</w:t>
      </w:r>
      <w:r w:rsidRPr="00251430">
        <w:t xml:space="preserve"> istraživanja, dodatno potvrđenim stepenom zadovoljstva iskazanog od strane glavnog korisnika i ključnih aktera tokom intervjua, do kraja 2022. godine 70% predviđenih aktivnosti je bilo završeno, 20% je djelimično implementirano, a 10% nije implementirano, kao što je prikazano na sljedećem grafikonu:</w:t>
      </w:r>
    </w:p>
    <w:p w14:paraId="33EC4588" w14:textId="5237CE10" w:rsidR="00B03E52" w:rsidRDefault="00406BB7" w:rsidP="00251430">
      <w:pPr>
        <w:spacing w:line="276" w:lineRule="auto"/>
        <w:jc w:val="both"/>
        <w:rPr>
          <w:lang w:val="en-US"/>
        </w:rPr>
      </w:pPr>
      <w:r>
        <w:rPr>
          <w:noProof/>
        </w:rPr>
        <mc:AlternateContent>
          <mc:Choice Requires="wps">
            <w:drawing>
              <wp:anchor distT="0" distB="0" distL="114300" distR="114300" simplePos="0" relativeHeight="251675648" behindDoc="0" locked="0" layoutInCell="1" allowOverlap="1" wp14:anchorId="26DB20AF" wp14:editId="06F0EB85">
                <wp:simplePos x="0" y="0"/>
                <wp:positionH relativeFrom="margin">
                  <wp:posOffset>733425</wp:posOffset>
                </wp:positionH>
                <wp:positionV relativeFrom="paragraph">
                  <wp:posOffset>2296160</wp:posOffset>
                </wp:positionV>
                <wp:extent cx="3815715" cy="635"/>
                <wp:effectExtent l="0" t="0" r="0" b="0"/>
                <wp:wrapTopAndBottom/>
                <wp:docPr id="3" name="Text Box 1"/>
                <wp:cNvGraphicFramePr/>
                <a:graphic xmlns:a="http://schemas.openxmlformats.org/drawingml/2006/main">
                  <a:graphicData uri="http://schemas.microsoft.com/office/word/2010/wordprocessingShape">
                    <wps:wsp>
                      <wps:cNvSpPr txBox="1"/>
                      <wps:spPr>
                        <a:xfrm>
                          <a:off x="0" y="0"/>
                          <a:ext cx="3815715" cy="635"/>
                        </a:xfrm>
                        <a:prstGeom prst="rect">
                          <a:avLst/>
                        </a:prstGeom>
                        <a:solidFill>
                          <a:prstClr val="white"/>
                        </a:solidFill>
                        <a:ln>
                          <a:noFill/>
                        </a:ln>
                      </wps:spPr>
                      <wps:txbx>
                        <w:txbxContent>
                          <w:p w14:paraId="2A7625A8" w14:textId="5A986C8D" w:rsidR="0057053C" w:rsidRPr="00405E92" w:rsidRDefault="0057053C" w:rsidP="000E50DF">
                            <w:pPr>
                              <w:pStyle w:val="Caption"/>
                              <w:jc w:val="center"/>
                              <w:rPr>
                                <w:noProof/>
                                <w:lang w:val="en-GB"/>
                              </w:rPr>
                            </w:pPr>
                            <w:r>
                              <w:rPr>
                                <w:lang w:val="en-GB"/>
                              </w:rPr>
                              <w:t>Activities implementation rate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DB20AF" id="_x0000_t202" coordsize="21600,21600" o:spt="202" path="m,l,21600r21600,l21600,xe">
                <v:stroke joinstyle="miter"/>
                <v:path gradientshapeok="t" o:connecttype="rect"/>
              </v:shapetype>
              <v:shape id="Text Box 1" o:spid="_x0000_s1028" type="#_x0000_t202" style="position:absolute;left:0;text-align:left;margin-left:57.75pt;margin-top:180.8pt;width:300.45pt;height:.0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" stroked="f">
                <v:textbox style="mso-fit-shape-to-text:t" inset="0,0,0,0">
                  <w:txbxContent>
                    <w:p w14:paraId="2A7625A8" w14:textId="5A986C8D" w:rsidR="0057053C" w:rsidRPr="00405E92" w:rsidRDefault="0057053C" w:rsidP="000E50DF">
                      <w:pPr>
                        <w:pStyle w:val="Caption"/>
                        <w:jc w:val="center"/>
                        <w:rPr>
                          <w:noProof/>
                          <w:lang w:val="en-GB"/>
                        </w:rPr>
                      </w:pPr>
                      <w:r>
                        <w:rPr>
                          <w:lang w:val="en-GB"/>
                        </w:rPr>
                        <w:t>Activities implementation rate</w:t>
                      </w:r>
                    </w:p>
                  </w:txbxContent>
                </v:textbox>
                <w10:wrap type="topAndBottom" anchorx="margin"/>
              </v:shape>
            </w:pict>
          </mc:Fallback>
        </mc:AlternateContent>
      </w:r>
      <w:r w:rsidR="00810837">
        <w:rPr>
          <w:noProof/>
        </w:rPr>
        <w:drawing>
          <wp:inline distT="0" distB="0" distL="0" distR="0" wp14:anchorId="5CDA9DAF" wp14:editId="5C600C6D">
            <wp:extent cx="3832252" cy="2274073"/>
            <wp:effectExtent l="0" t="0" r="15875" b="12065"/>
            <wp:docPr id="1308712823" name="Chart 1">
              <a:extLst xmlns:a="http://schemas.openxmlformats.org/drawingml/2006/main">
                <a:ext uri="{FF2B5EF4-FFF2-40B4-BE49-F238E27FC236}">
                  <a16:creationId xmlns:a16="http://schemas.microsoft.com/office/drawing/2014/main" id="{84ACA370-F8C1-BBE8-1961-2CA1B5104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AA1470" w14:textId="77777777" w:rsidR="00525D83" w:rsidRDefault="00251430" w:rsidP="00251430">
      <w:pPr>
        <w:spacing w:line="276" w:lineRule="auto"/>
        <w:jc w:val="both"/>
      </w:pPr>
      <w:r w:rsidRPr="00251430">
        <w:t>Najveća stopa implementacije zabilježena je u Operativnim ciljevima 2 (82%) i 3 (75%), dok je Operativni cilj 1 pokazao najnižu stopu implementacije (47%)</w:t>
      </w:r>
      <w:r w:rsidR="00162481">
        <w:rPr>
          <w:lang w:val="sr-Latn-RS"/>
        </w:rPr>
        <w:t>,</w:t>
      </w:r>
      <w:r w:rsidRPr="00251430">
        <w:t xml:space="preserve"> s većinom aktivnosti koje nisu realizovane ili su djelimično realizovane. Mjere i aktivnosti koje sprovodi isključivo </w:t>
      </w:r>
      <w:r w:rsidR="00162481">
        <w:rPr>
          <w:lang w:val="sr-Latn-RS"/>
        </w:rPr>
        <w:t>kancelarija</w:t>
      </w:r>
      <w:r w:rsidRPr="00251430">
        <w:t xml:space="preserve"> AFCOS-a su se suočile sa manje izazova i završene su bez većih kašnjenja u odnosu na one koje su zahtijevale uključivanje trećih lica da bi se realizovale. </w:t>
      </w:r>
    </w:p>
    <w:p w14:paraId="79BB94D0" w14:textId="34771695" w:rsidR="00251430" w:rsidRDefault="00251430" w:rsidP="00251430">
      <w:pPr>
        <w:spacing w:line="276" w:lineRule="auto"/>
        <w:jc w:val="both"/>
      </w:pPr>
      <w:r w:rsidRPr="00251430">
        <w:lastRenderedPageBreak/>
        <w:t>Operativni cilj 1 obuhvatao je pet (5) aktivnosti koje su se uglavnom fokusirale na uvođenje odgovarajućeg zakonodavnog i institucionalnog okvira za uspostavljanje potpuno funkcionalnog AFCOS sistema u Crnoj Gori i unapređenje međuinstitucionalne saradnje u okviru AFCOS mreže. Ipak, jedine aktivnosti koje su realizovane do kraja Strategije su:</w:t>
      </w:r>
    </w:p>
    <w:p w14:paraId="045CACF4" w14:textId="1DD4C77E" w:rsidR="00251430" w:rsidRDefault="00251430" w:rsidP="00DB1F9B">
      <w:pPr>
        <w:pStyle w:val="ListParagraph"/>
        <w:numPr>
          <w:ilvl w:val="0"/>
          <w:numId w:val="16"/>
        </w:numPr>
        <w:spacing w:line="276" w:lineRule="auto"/>
        <w:jc w:val="both"/>
      </w:pPr>
      <w:r w:rsidRPr="00251430">
        <w:t>Donošenje Odluke o uspostavljanju AFCOS mreže u Crnoj Gori i</w:t>
      </w:r>
    </w:p>
    <w:p w14:paraId="78D889BB" w14:textId="77777777" w:rsidR="000016AE" w:rsidRPr="000016AE" w:rsidRDefault="000016AE" w:rsidP="00DB1F9B">
      <w:pPr>
        <w:pStyle w:val="ListParagraph"/>
        <w:numPr>
          <w:ilvl w:val="0"/>
          <w:numId w:val="16"/>
        </w:numPr>
        <w:spacing w:line="276" w:lineRule="auto"/>
        <w:jc w:val="both"/>
      </w:pPr>
      <w:r w:rsidRPr="000016AE">
        <w:t>Razvoj internih procedura za rad AFCOS kancelarije.</w:t>
      </w:r>
    </w:p>
    <w:p w14:paraId="62356DE2" w14:textId="2368718A" w:rsidR="00B00DF0" w:rsidRPr="000016AE" w:rsidRDefault="00F2318F" w:rsidP="000016AE">
      <w:pPr>
        <w:pStyle w:val="ListParagraph"/>
        <w:spacing w:line="276" w:lineRule="auto"/>
        <w:jc w:val="both"/>
      </w:pPr>
      <w:r>
        <w:rPr>
          <w:noProof/>
        </w:rPr>
        <mc:AlternateContent>
          <mc:Choice Requires="wps">
            <w:drawing>
              <wp:anchor distT="0" distB="0" distL="114300" distR="114300" simplePos="0" relativeHeight="251669504" behindDoc="0" locked="0" layoutInCell="1" allowOverlap="1" wp14:anchorId="6347CA96" wp14:editId="40CF55B5">
                <wp:simplePos x="0" y="0"/>
                <wp:positionH relativeFrom="margin">
                  <wp:posOffset>498724</wp:posOffset>
                </wp:positionH>
                <wp:positionV relativeFrom="paragraph">
                  <wp:posOffset>2508885</wp:posOffset>
                </wp:positionV>
                <wp:extent cx="4337685" cy="635"/>
                <wp:effectExtent l="0" t="0" r="5715" b="0"/>
                <wp:wrapTopAndBottom/>
                <wp:docPr id="1743847909" name="Text Box 1"/>
                <wp:cNvGraphicFramePr/>
                <a:graphic xmlns:a="http://schemas.openxmlformats.org/drawingml/2006/main">
                  <a:graphicData uri="http://schemas.microsoft.com/office/word/2010/wordprocessingShape">
                    <wps:wsp>
                      <wps:cNvSpPr txBox="1"/>
                      <wps:spPr>
                        <a:xfrm>
                          <a:off x="0" y="0"/>
                          <a:ext cx="4337685" cy="635"/>
                        </a:xfrm>
                        <a:prstGeom prst="rect">
                          <a:avLst/>
                        </a:prstGeom>
                        <a:solidFill>
                          <a:prstClr val="white"/>
                        </a:solidFill>
                        <a:ln>
                          <a:noFill/>
                        </a:ln>
                      </wps:spPr>
                      <wps:txbx>
                        <w:txbxContent>
                          <w:p w14:paraId="739076FA" w14:textId="77777777" w:rsidR="0057053C" w:rsidRPr="00405E92" w:rsidRDefault="0057053C" w:rsidP="001D3479">
                            <w:pPr>
                              <w:pStyle w:val="Caption"/>
                              <w:jc w:val="center"/>
                              <w:rPr>
                                <w:noProof/>
                                <w:lang w:val="en-GB"/>
                              </w:rPr>
                            </w:pPr>
                            <w:r>
                              <w:rPr>
                                <w:lang w:val="en-GB"/>
                              </w:rPr>
                              <w:t>Activities implementation rate - Operational Objective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47CA96" id="_x0000_s1029" type="#_x0000_t202" style="position:absolute;left:0;text-align:left;margin-left:39.25pt;margin-top:197.55pt;width:341.55pt;height:.0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" stroked="f">
                <v:textbox style="mso-fit-shape-to-text:t" inset="0,0,0,0">
                  <w:txbxContent>
                    <w:p w14:paraId="739076FA" w14:textId="77777777" w:rsidR="0057053C" w:rsidRPr="00405E92" w:rsidRDefault="0057053C" w:rsidP="001D3479">
                      <w:pPr>
                        <w:pStyle w:val="Caption"/>
                        <w:jc w:val="center"/>
                        <w:rPr>
                          <w:noProof/>
                          <w:lang w:val="en-GB"/>
                        </w:rPr>
                      </w:pPr>
                      <w:r>
                        <w:rPr>
                          <w:lang w:val="en-GB"/>
                        </w:rPr>
                        <w:t>Activities implementation rate - Operational Objective 1</w:t>
                      </w:r>
                    </w:p>
                  </w:txbxContent>
                </v:textbox>
                <w10:wrap type="topAndBottom" anchorx="margin"/>
              </v:shape>
            </w:pict>
          </mc:Fallback>
        </mc:AlternateContent>
      </w:r>
      <w:r w:rsidR="00916E6B">
        <w:rPr>
          <w:noProof/>
        </w:rPr>
        <w:drawing>
          <wp:anchor distT="0" distB="0" distL="114300" distR="114300" simplePos="0" relativeHeight="251667456" behindDoc="1" locked="0" layoutInCell="1" allowOverlap="1" wp14:anchorId="5A2AF7E4" wp14:editId="099F2295">
            <wp:simplePos x="0" y="0"/>
            <wp:positionH relativeFrom="margin">
              <wp:posOffset>510540</wp:posOffset>
            </wp:positionH>
            <wp:positionV relativeFrom="paragraph">
              <wp:posOffset>268605</wp:posOffset>
            </wp:positionV>
            <wp:extent cx="4380865" cy="2194560"/>
            <wp:effectExtent l="0" t="0" r="635" b="15240"/>
            <wp:wrapTopAndBottom/>
            <wp:docPr id="1510818381" name="Chart 1">
              <a:extLst xmlns:a="http://schemas.openxmlformats.org/drawingml/2006/main">
                <a:ext uri="{FF2B5EF4-FFF2-40B4-BE49-F238E27FC236}">
                  <a16:creationId xmlns:a16="http://schemas.microsoft.com/office/drawing/2014/main" id="{2545AE3F-9DF3-DAFD-C577-35E5F7059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35B6B" w:rsidRPr="000016AE">
        <w:rPr>
          <w:lang w:val="en-US"/>
        </w:rPr>
        <w:t xml:space="preserve"> </w:t>
      </w:r>
    </w:p>
    <w:p w14:paraId="3E5A0B50" w14:textId="2B47EB9F" w:rsidR="00E274A6" w:rsidRDefault="00E274A6" w:rsidP="00E274A6">
      <w:pPr>
        <w:keepNext/>
        <w:spacing w:line="276" w:lineRule="auto"/>
        <w:jc w:val="both"/>
      </w:pPr>
      <w:r w:rsidRPr="00E274A6">
        <w:t xml:space="preserve">Evaluacija je otkrila da su najuspješnije aktivnosti koje su do sada završene, u ostvarivanju očekivanih rezultata bez značajnih prepreka ili kašnjenja, razvoj internih procedura za vođenje AFCOS </w:t>
      </w:r>
      <w:r w:rsidR="0015270E">
        <w:rPr>
          <w:lang w:val="sr-Latn-RS"/>
        </w:rPr>
        <w:t>kancelarije</w:t>
      </w:r>
      <w:r w:rsidRPr="00E274A6">
        <w:t xml:space="preserve">. Odluka o formiranju Savjetodavnog </w:t>
      </w:r>
      <w:r w:rsidR="0015270E">
        <w:rPr>
          <w:lang w:val="sr-Latn-RS"/>
        </w:rPr>
        <w:t>tijela</w:t>
      </w:r>
      <w:r w:rsidRPr="00E274A6">
        <w:t xml:space="preserve"> AFCOS-a nije završena kako je prvobitno planirano, donesena je izmjena postojeće Odluke kojom su ažurirana imena predstavnika u AFCOS</w:t>
      </w:r>
      <w:r w:rsidR="0015270E">
        <w:rPr>
          <w:lang w:val="sr-Latn-RS"/>
        </w:rPr>
        <w:t xml:space="preserve"> mreži</w:t>
      </w:r>
      <w:r w:rsidRPr="00E274A6">
        <w:t>, umjesto donošenja novog zakonskog akta koji jasno definiše institucije koj</w:t>
      </w:r>
      <w:r w:rsidR="0015270E">
        <w:rPr>
          <w:lang w:val="sr-Latn-RS"/>
        </w:rPr>
        <w:t>e</w:t>
      </w:r>
      <w:r w:rsidRPr="00E274A6">
        <w:t xml:space="preserve"> </w:t>
      </w:r>
      <w:r w:rsidR="0015270E" w:rsidRPr="00E274A6">
        <w:t xml:space="preserve">čine </w:t>
      </w:r>
      <w:r w:rsidRPr="00E274A6">
        <w:t xml:space="preserve">Savjetodavni odbor. Ovaj pristup se ne smatra efikasnim jer povećava potrebu za periodičnim prilagođavanjem, čime se sprečava prepoznavanje uloge i značaja svake institucije u AFCOS </w:t>
      </w:r>
      <w:r w:rsidR="0015270E">
        <w:rPr>
          <w:lang w:val="sr-Latn-RS"/>
        </w:rPr>
        <w:t>mreži</w:t>
      </w:r>
      <w:r w:rsidRPr="00E274A6">
        <w:t>. Naprotiv, povećanje vlasništva i posvećenosti doprinijelo bi poboljšanju institucionalne saradnje uz istovremeno jačanje međuinstitucionalne saradnje uvođenjem normativnog akta koji jasno imenuje nadležna tijela, opisuje njihovu ulogu i utvrđuje njihove odgovornosti.</w:t>
      </w:r>
    </w:p>
    <w:p w14:paraId="446F2BC0" w14:textId="77777777" w:rsidR="00E274A6" w:rsidRDefault="00E274A6" w:rsidP="00E274A6">
      <w:pPr>
        <w:keepNext/>
        <w:spacing w:line="276" w:lineRule="auto"/>
        <w:jc w:val="both"/>
      </w:pPr>
    </w:p>
    <w:p w14:paraId="4A111D96" w14:textId="4A879D37" w:rsidR="00E274A6" w:rsidRDefault="00E274A6" w:rsidP="00E274A6">
      <w:pPr>
        <w:keepNext/>
        <w:spacing w:line="276" w:lineRule="auto"/>
        <w:jc w:val="both"/>
      </w:pPr>
      <w:r w:rsidRPr="008E213F">
        <w:rPr>
          <w:b/>
        </w:rPr>
        <w:t>Operativni cilj 2</w:t>
      </w:r>
      <w:r w:rsidRPr="00E274A6">
        <w:t xml:space="preserve"> pokazao je značajan napredak u implementaciji, jer je prema raspoloživoj dokumentaciji do kraja Strategije završeno devet (9) od jedanaest (11) aktivnosti. Takođe</w:t>
      </w:r>
      <w:r w:rsidR="00525D83">
        <w:rPr>
          <w:lang w:val="sr-Latn-RS"/>
        </w:rPr>
        <w:t xml:space="preserve"> </w:t>
      </w:r>
      <w:r w:rsidR="00525D83">
        <w:rPr>
          <w:lang w:val="sr-Latn-RS"/>
        </w:rPr>
        <w:lastRenderedPageBreak/>
        <w:t>t</w:t>
      </w:r>
      <w:r w:rsidRPr="00E274A6">
        <w:t xml:space="preserve">reba istaći da je navedeni </w:t>
      </w:r>
      <w:r w:rsidR="0037193F">
        <w:rPr>
          <w:lang w:val="sr-Latn-RS"/>
        </w:rPr>
        <w:t>c</w:t>
      </w:r>
      <w:r w:rsidRPr="00E274A6">
        <w:t xml:space="preserve">ilj sadržavao najveći broj aktivnosti, od kojih je većina bila usmjerena na unapređenje rada </w:t>
      </w:r>
      <w:r w:rsidR="0037193F">
        <w:rPr>
          <w:lang w:val="sr-Latn-RS"/>
        </w:rPr>
        <w:t>institucij</w:t>
      </w:r>
      <w:r w:rsidRPr="00E274A6">
        <w:t xml:space="preserve">a koji čine </w:t>
      </w:r>
      <w:r w:rsidR="00525D83">
        <w:rPr>
          <w:lang w:val="sr-Latn-RS"/>
        </w:rPr>
        <w:t>S</w:t>
      </w:r>
      <w:r w:rsidRPr="00E274A6">
        <w:t>trukturu prijavljivanja nepravilnosti.</w:t>
      </w:r>
    </w:p>
    <w:p w14:paraId="21A49E89" w14:textId="227AF3A1" w:rsidR="00E274A6" w:rsidRDefault="00525D83" w:rsidP="00E274A6">
      <w:pPr>
        <w:keepNext/>
        <w:spacing w:line="276" w:lineRule="auto"/>
        <w:jc w:val="both"/>
      </w:pPr>
      <w:r>
        <w:rPr>
          <w:noProof/>
        </w:rPr>
        <w:drawing>
          <wp:inline distT="0" distB="0" distL="0" distR="0" wp14:anchorId="5842B8D9" wp14:editId="650F995A">
            <wp:extent cx="4084955" cy="2188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4955" cy="2188845"/>
                    </a:xfrm>
                    <a:prstGeom prst="rect">
                      <a:avLst/>
                    </a:prstGeom>
                    <a:noFill/>
                  </pic:spPr>
                </pic:pic>
              </a:graphicData>
            </a:graphic>
          </wp:inline>
        </w:drawing>
      </w:r>
    </w:p>
    <w:p w14:paraId="0E9CF196" w14:textId="07705689" w:rsidR="00083FCC" w:rsidRDefault="00083FCC" w:rsidP="00E274A6">
      <w:pPr>
        <w:keepNext/>
        <w:spacing w:line="276" w:lineRule="auto"/>
        <w:jc w:val="both"/>
      </w:pPr>
    </w:p>
    <w:p w14:paraId="492BDF25" w14:textId="68A44BAC" w:rsidR="009E4590" w:rsidRDefault="00083FCC" w:rsidP="00E63F8E">
      <w:pPr>
        <w:pStyle w:val="Caption"/>
        <w:spacing w:line="276" w:lineRule="auto"/>
        <w:jc w:val="center"/>
        <w:rPr>
          <w:lang w:val="en-GB"/>
        </w:rPr>
      </w:pPr>
      <w:r>
        <w:rPr>
          <w:lang w:val="en-GB"/>
        </w:rPr>
        <w:t>Activities implementation rate – Operational Objective 2</w:t>
      </w:r>
    </w:p>
    <w:p w14:paraId="01F7F355" w14:textId="77777777" w:rsidR="00E274A6" w:rsidRPr="00E274A6" w:rsidRDefault="00E274A6" w:rsidP="00E274A6">
      <w:pPr>
        <w:rPr>
          <w:lang w:val="en-GB"/>
        </w:rPr>
      </w:pPr>
    </w:p>
    <w:p w14:paraId="291203A0" w14:textId="14BDEA08" w:rsidR="00E274A6" w:rsidRDefault="00E274A6" w:rsidP="00E63F8E">
      <w:pPr>
        <w:pStyle w:val="ListParagraph"/>
        <w:spacing w:line="276" w:lineRule="auto"/>
        <w:ind w:left="0"/>
        <w:jc w:val="both"/>
        <w:rPr>
          <w:bCs/>
        </w:rPr>
      </w:pPr>
      <w:r w:rsidRPr="00E274A6">
        <w:rPr>
          <w:bCs/>
        </w:rPr>
        <w:t xml:space="preserve">Tačnije, navedeni </w:t>
      </w:r>
      <w:r w:rsidR="00022DFE">
        <w:rPr>
          <w:bCs/>
          <w:lang w:val="sr-Latn-RS"/>
        </w:rPr>
        <w:t>c</w:t>
      </w:r>
      <w:r w:rsidRPr="00E274A6">
        <w:rPr>
          <w:bCs/>
        </w:rPr>
        <w:t xml:space="preserve">ilj je uključivao niz isprepletenih aktivnosti u </w:t>
      </w:r>
      <w:r w:rsidR="00022DFE">
        <w:rPr>
          <w:bCs/>
          <w:lang w:val="sr-Latn-RS"/>
        </w:rPr>
        <w:t>svrhu</w:t>
      </w:r>
      <w:r w:rsidRPr="00E274A6">
        <w:rPr>
          <w:bCs/>
        </w:rPr>
        <w:t xml:space="preserve"> jačanja institucionalnih kapaciteta funkcionisanja u okviru </w:t>
      </w:r>
      <w:r w:rsidR="00525D83">
        <w:rPr>
          <w:bCs/>
          <w:lang w:val="sr-Latn-RS"/>
        </w:rPr>
        <w:t>sistema upravljanja i kontrole</w:t>
      </w:r>
      <w:r w:rsidRPr="00E274A6">
        <w:rPr>
          <w:bCs/>
        </w:rPr>
        <w:t xml:space="preserve"> IPA. U tom cilju, sprovedene aktivnosti bile su posvećene uvođenju novih alata, unapređenju procedura i p</w:t>
      </w:r>
      <w:r w:rsidR="00022DFE">
        <w:rPr>
          <w:bCs/>
          <w:lang w:val="sr-Latn-RS"/>
        </w:rPr>
        <w:t>re</w:t>
      </w:r>
      <w:r w:rsidRPr="00E274A6">
        <w:rPr>
          <w:bCs/>
        </w:rPr>
        <w:t>duzimanju prvih koraka ka digitalizaciji izvještavanja. U okviru ovog:</w:t>
      </w:r>
    </w:p>
    <w:p w14:paraId="4BF638D2" w14:textId="77777777" w:rsidR="00022DFE" w:rsidRDefault="00022DFE" w:rsidP="00E63F8E">
      <w:pPr>
        <w:pStyle w:val="ListParagraph"/>
        <w:spacing w:line="276" w:lineRule="auto"/>
        <w:ind w:left="0"/>
        <w:jc w:val="both"/>
        <w:rPr>
          <w:bCs/>
        </w:rPr>
      </w:pPr>
    </w:p>
    <w:p w14:paraId="1CB7DE99" w14:textId="49BCD198" w:rsidR="00E274A6" w:rsidRPr="00E274A6" w:rsidRDefault="00E274A6" w:rsidP="00DB1F9B">
      <w:pPr>
        <w:pStyle w:val="ListParagraph"/>
        <w:numPr>
          <w:ilvl w:val="0"/>
          <w:numId w:val="17"/>
        </w:numPr>
        <w:spacing w:line="276" w:lineRule="auto"/>
        <w:jc w:val="both"/>
        <w:rPr>
          <w:bCs/>
          <w:lang w:val="en-US"/>
        </w:rPr>
      </w:pPr>
      <w:r w:rsidRPr="00E274A6">
        <w:rPr>
          <w:bCs/>
        </w:rPr>
        <w:t xml:space="preserve">Razvijena je </w:t>
      </w:r>
      <w:r w:rsidR="00022DFE">
        <w:rPr>
          <w:bCs/>
          <w:lang w:val="sr-Latn-RS"/>
        </w:rPr>
        <w:t>M</w:t>
      </w:r>
      <w:r w:rsidRPr="00E274A6">
        <w:rPr>
          <w:bCs/>
        </w:rPr>
        <w:t xml:space="preserve">etodologija upravljanja rizikom u nepravilnostima i prevarama kao alat za prevenciju prevara, </w:t>
      </w:r>
    </w:p>
    <w:p w14:paraId="63D0AF3E" w14:textId="77777777" w:rsidR="00E274A6" w:rsidRPr="00E274A6" w:rsidRDefault="00E274A6" w:rsidP="00DB1F9B">
      <w:pPr>
        <w:pStyle w:val="ListParagraph"/>
        <w:numPr>
          <w:ilvl w:val="0"/>
          <w:numId w:val="17"/>
        </w:numPr>
        <w:spacing w:line="276" w:lineRule="auto"/>
        <w:jc w:val="both"/>
        <w:rPr>
          <w:bCs/>
          <w:lang w:val="en-US"/>
        </w:rPr>
      </w:pPr>
      <w:r w:rsidRPr="00E274A6">
        <w:rPr>
          <w:bCs/>
        </w:rPr>
        <w:t xml:space="preserve">Smjernice za efikasno upravljanje nepravilnostima su kreirane i ugrađene u Priručnik o procedurama strukture za prijavljivanje nepravilnosti, </w:t>
      </w:r>
    </w:p>
    <w:p w14:paraId="3B320E56" w14:textId="77777777" w:rsidR="00E274A6" w:rsidRPr="00E274A6" w:rsidRDefault="00E274A6" w:rsidP="00DB1F9B">
      <w:pPr>
        <w:pStyle w:val="ListParagraph"/>
        <w:numPr>
          <w:ilvl w:val="0"/>
          <w:numId w:val="17"/>
        </w:numPr>
        <w:spacing w:line="276" w:lineRule="auto"/>
        <w:jc w:val="both"/>
        <w:rPr>
          <w:bCs/>
          <w:lang w:val="en-US"/>
        </w:rPr>
      </w:pPr>
      <w:r w:rsidRPr="00E274A6">
        <w:rPr>
          <w:bCs/>
        </w:rPr>
        <w:t>Zaštita uzbunjivača je poboljšana kroz aktiviranje posebnih e-mail adresa za anonimno prijavljivanje na internetu,</w:t>
      </w:r>
    </w:p>
    <w:p w14:paraId="42A46A1B" w14:textId="7113AE88" w:rsidR="00E274A6" w:rsidRPr="00E274A6" w:rsidRDefault="00E274A6" w:rsidP="00DB1F9B">
      <w:pPr>
        <w:pStyle w:val="ListParagraph"/>
        <w:numPr>
          <w:ilvl w:val="0"/>
          <w:numId w:val="17"/>
        </w:numPr>
        <w:spacing w:line="276" w:lineRule="auto"/>
        <w:jc w:val="both"/>
        <w:rPr>
          <w:bCs/>
          <w:lang w:val="en-US"/>
        </w:rPr>
      </w:pPr>
      <w:r w:rsidRPr="00E274A6">
        <w:rPr>
          <w:bCs/>
        </w:rPr>
        <w:t xml:space="preserve">Prijavljivanje nepravilnosti od strane svih nadležnih </w:t>
      </w:r>
      <w:r w:rsidR="00022DFE">
        <w:rPr>
          <w:bCs/>
          <w:lang w:val="sr-Latn-RS"/>
        </w:rPr>
        <w:t>institucija</w:t>
      </w:r>
      <w:r w:rsidRPr="00E274A6">
        <w:rPr>
          <w:bCs/>
        </w:rPr>
        <w:t xml:space="preserve"> postalo je isključivo elektronski putem ovlašćenog pristupa svih </w:t>
      </w:r>
      <w:r w:rsidR="00022DFE">
        <w:rPr>
          <w:bCs/>
          <w:lang w:val="sr-Latn-RS"/>
        </w:rPr>
        <w:t>institucija</w:t>
      </w:r>
      <w:r w:rsidRPr="00E274A6">
        <w:rPr>
          <w:bCs/>
        </w:rPr>
        <w:t xml:space="preserve"> za prijavljivanje IMS-u i</w:t>
      </w:r>
    </w:p>
    <w:p w14:paraId="24A3BF2B" w14:textId="77777777" w:rsidR="00E274A6" w:rsidRPr="00E274A6" w:rsidRDefault="00E274A6" w:rsidP="00DB1F9B">
      <w:pPr>
        <w:pStyle w:val="ListParagraph"/>
        <w:numPr>
          <w:ilvl w:val="0"/>
          <w:numId w:val="17"/>
        </w:numPr>
        <w:spacing w:line="276" w:lineRule="auto"/>
        <w:jc w:val="both"/>
        <w:rPr>
          <w:bCs/>
          <w:lang w:val="en-US"/>
        </w:rPr>
      </w:pPr>
      <w:r w:rsidRPr="00E274A6">
        <w:rPr>
          <w:bCs/>
        </w:rPr>
        <w:t xml:space="preserve">Organizovane su i obuke za promociju etike i integriteta u javnoj upravi. </w:t>
      </w:r>
    </w:p>
    <w:p w14:paraId="74CE9974" w14:textId="77777777" w:rsidR="00E274A6" w:rsidRPr="00E274A6" w:rsidRDefault="00E274A6" w:rsidP="00E274A6">
      <w:pPr>
        <w:spacing w:line="276" w:lineRule="auto"/>
        <w:jc w:val="both"/>
        <w:rPr>
          <w:bCs/>
          <w:lang w:val="en-US"/>
        </w:rPr>
      </w:pPr>
    </w:p>
    <w:p w14:paraId="2E0906E1" w14:textId="77777777" w:rsidR="00B17AC3" w:rsidRDefault="00E274A6" w:rsidP="00E274A6">
      <w:pPr>
        <w:spacing w:line="276" w:lineRule="auto"/>
        <w:jc w:val="both"/>
        <w:rPr>
          <w:bCs/>
        </w:rPr>
      </w:pPr>
      <w:r w:rsidRPr="004E0051">
        <w:rPr>
          <w:b/>
          <w:bCs/>
        </w:rPr>
        <w:t>Jedna aktivnost koja nije realizovana odnosila se na provođenje analize rizika u oblasti nepravilnosti i prevara u upravljanju i korišćenju sredstava iz IPA programa, po razvijenoj metodologiji analize rizika</w:t>
      </w:r>
      <w:r w:rsidRPr="00E274A6">
        <w:rPr>
          <w:bCs/>
        </w:rPr>
        <w:t xml:space="preserve">. Prema informacijama prikupljenim tokom evaluacije, </w:t>
      </w:r>
      <w:r w:rsidR="003302AD">
        <w:rPr>
          <w:bCs/>
          <w:lang w:val="sr-Latn-RS"/>
        </w:rPr>
        <w:t>analize</w:t>
      </w:r>
      <w:r w:rsidRPr="00E274A6">
        <w:rPr>
          <w:bCs/>
        </w:rPr>
        <w:t xml:space="preserve"> procjene rizika su se odvijale u programskom periodu IPA II. Međutim, </w:t>
      </w:r>
      <w:r w:rsidR="003302AD">
        <w:rPr>
          <w:bCs/>
          <w:lang w:val="sr-Latn-RS"/>
        </w:rPr>
        <w:t xml:space="preserve">ove analiz rizika su </w:t>
      </w:r>
      <w:r w:rsidRPr="00E274A6">
        <w:rPr>
          <w:bCs/>
        </w:rPr>
        <w:t>se fokusira</w:t>
      </w:r>
      <w:r w:rsidR="003302AD">
        <w:rPr>
          <w:bCs/>
          <w:lang w:val="sr-Latn-RS"/>
        </w:rPr>
        <w:t>le</w:t>
      </w:r>
      <w:r w:rsidRPr="00E274A6">
        <w:rPr>
          <w:bCs/>
        </w:rPr>
        <w:t xml:space="preserve"> na identifikaciju i rješavanje sistemskih rizika. </w:t>
      </w:r>
      <w:r w:rsidRPr="003F01AD">
        <w:rPr>
          <w:b/>
          <w:bCs/>
        </w:rPr>
        <w:t xml:space="preserve">Postepeno usvajanje metodologije rizika koja je razvijena u vezi sa prevarama i njeno uvrštavanje u procedure strukture </w:t>
      </w:r>
      <w:r w:rsidR="003F01AD">
        <w:rPr>
          <w:b/>
          <w:bCs/>
          <w:lang w:val="sr-Latn-RS"/>
        </w:rPr>
        <w:t xml:space="preserve">sistema </w:t>
      </w:r>
      <w:r w:rsidRPr="003F01AD">
        <w:rPr>
          <w:b/>
          <w:bCs/>
        </w:rPr>
        <w:t xml:space="preserve">upravljanja </w:t>
      </w:r>
      <w:r w:rsidR="003F01AD">
        <w:rPr>
          <w:b/>
          <w:bCs/>
          <w:lang w:val="sr-Latn-RS"/>
        </w:rPr>
        <w:t xml:space="preserve">i kontorle </w:t>
      </w:r>
      <w:r w:rsidRPr="003F01AD">
        <w:rPr>
          <w:b/>
          <w:bCs/>
        </w:rPr>
        <w:t>IPA-om trebalo bi da bude prioritet u narednom periodu,</w:t>
      </w:r>
      <w:r w:rsidRPr="00E274A6">
        <w:rPr>
          <w:bCs/>
        </w:rPr>
        <w:t xml:space="preserve"> jer se smatra dobrom praksom u prevenciji prevara i formulisanju politike protiv prevara unutar </w:t>
      </w:r>
      <w:r w:rsidR="003302AD" w:rsidRPr="00E274A6">
        <w:rPr>
          <w:bCs/>
        </w:rPr>
        <w:t>držav</w:t>
      </w:r>
      <w:r w:rsidR="003302AD">
        <w:rPr>
          <w:bCs/>
          <w:lang w:val="sr-Latn-RS"/>
        </w:rPr>
        <w:t>a</w:t>
      </w:r>
      <w:r w:rsidR="003302AD" w:rsidRPr="00E274A6">
        <w:rPr>
          <w:bCs/>
        </w:rPr>
        <w:t xml:space="preserve"> </w:t>
      </w:r>
      <w:r w:rsidRPr="00E274A6">
        <w:rPr>
          <w:bCs/>
        </w:rPr>
        <w:t>članice EU</w:t>
      </w:r>
      <w:r w:rsidR="003302AD">
        <w:rPr>
          <w:bCs/>
          <w:lang w:val="sr-Latn-RS"/>
        </w:rPr>
        <w:t>.</w:t>
      </w:r>
      <w:r w:rsidRPr="00E274A6">
        <w:rPr>
          <w:bCs/>
        </w:rPr>
        <w:t xml:space="preserve"> </w:t>
      </w:r>
    </w:p>
    <w:p w14:paraId="2B6835D7" w14:textId="77777777" w:rsidR="00B17AC3" w:rsidRDefault="00E274A6" w:rsidP="00E274A6">
      <w:pPr>
        <w:spacing w:line="276" w:lineRule="auto"/>
        <w:jc w:val="both"/>
        <w:rPr>
          <w:bCs/>
        </w:rPr>
      </w:pPr>
      <w:r w:rsidRPr="00E274A6">
        <w:rPr>
          <w:bCs/>
        </w:rPr>
        <w:lastRenderedPageBreak/>
        <w:t xml:space="preserve">S druge strane, aktivnost </w:t>
      </w:r>
      <w:r w:rsidRPr="00B17AC3">
        <w:rPr>
          <w:b/>
          <w:bCs/>
        </w:rPr>
        <w:t>koja je djelimično realizovana</w:t>
      </w:r>
      <w:r w:rsidRPr="00E274A6">
        <w:rPr>
          <w:bCs/>
        </w:rPr>
        <w:t xml:space="preserve"> odnosila se na usvajanje procedura za poboljšanje: </w:t>
      </w:r>
    </w:p>
    <w:p w14:paraId="34DE9B14" w14:textId="77777777" w:rsidR="00B17AC3" w:rsidRPr="00B17AC3" w:rsidRDefault="00E274A6" w:rsidP="00B17AC3">
      <w:pPr>
        <w:spacing w:after="0" w:line="240" w:lineRule="auto"/>
        <w:jc w:val="both"/>
        <w:rPr>
          <w:b/>
          <w:bCs/>
        </w:rPr>
      </w:pPr>
      <w:r w:rsidRPr="00B17AC3">
        <w:rPr>
          <w:b/>
          <w:bCs/>
        </w:rPr>
        <w:t xml:space="preserve">a) komunikacija između tijela AFCOS sistema i </w:t>
      </w:r>
    </w:p>
    <w:p w14:paraId="46CFCD0E" w14:textId="77777777" w:rsidR="00B17AC3" w:rsidRPr="00B17AC3" w:rsidRDefault="00E274A6" w:rsidP="00B17AC3">
      <w:pPr>
        <w:spacing w:after="0" w:line="240" w:lineRule="auto"/>
        <w:jc w:val="both"/>
        <w:rPr>
          <w:b/>
          <w:bCs/>
        </w:rPr>
      </w:pPr>
      <w:r w:rsidRPr="00B17AC3">
        <w:rPr>
          <w:b/>
          <w:bCs/>
        </w:rPr>
        <w:t xml:space="preserve">b) </w:t>
      </w:r>
      <w:r w:rsidR="00BB4BC0" w:rsidRPr="00B17AC3">
        <w:rPr>
          <w:b/>
          <w:bCs/>
          <w:lang w:val="sr-Latn-RS"/>
        </w:rPr>
        <w:t xml:space="preserve">jačanje </w:t>
      </w:r>
      <w:r w:rsidRPr="00B17AC3">
        <w:rPr>
          <w:b/>
          <w:bCs/>
        </w:rPr>
        <w:t>svijest</w:t>
      </w:r>
      <w:r w:rsidR="00BB4BC0" w:rsidRPr="00B17AC3">
        <w:rPr>
          <w:b/>
          <w:bCs/>
          <w:lang w:val="sr-Latn-RS"/>
        </w:rPr>
        <w:t>i</w:t>
      </w:r>
      <w:r w:rsidRPr="00B17AC3">
        <w:rPr>
          <w:b/>
          <w:bCs/>
        </w:rPr>
        <w:t xml:space="preserve"> javnosti o slučajevima utvrđenih nepravilnosti i sumnje ili utvrđene prevare. </w:t>
      </w:r>
    </w:p>
    <w:p w14:paraId="167E1BDB" w14:textId="77777777" w:rsidR="00B54A71" w:rsidRDefault="00B54A71" w:rsidP="00E274A6">
      <w:pPr>
        <w:spacing w:line="276" w:lineRule="auto"/>
        <w:jc w:val="both"/>
        <w:rPr>
          <w:bCs/>
        </w:rPr>
      </w:pPr>
    </w:p>
    <w:p w14:paraId="4FDB3FC4" w14:textId="7EFF63FE" w:rsidR="00E274A6" w:rsidRDefault="00E274A6" w:rsidP="00E274A6">
      <w:pPr>
        <w:spacing w:line="276" w:lineRule="auto"/>
        <w:jc w:val="both"/>
        <w:rPr>
          <w:bCs/>
        </w:rPr>
      </w:pPr>
      <w:r w:rsidRPr="00E274A6">
        <w:rPr>
          <w:bCs/>
        </w:rPr>
        <w:t xml:space="preserve">Što se tiče uspostavljanja efikasnih kanala komunikacije unutar AFCOS sistema, izrada </w:t>
      </w:r>
      <w:r w:rsidR="00BB4BC0">
        <w:rPr>
          <w:bCs/>
          <w:lang w:val="sr-Latn-RS"/>
        </w:rPr>
        <w:t>S</w:t>
      </w:r>
      <w:r w:rsidRPr="00E274A6">
        <w:rPr>
          <w:bCs/>
        </w:rPr>
        <w:t>mjernica za upravljanje nepravilnostima ocijenjena je djelimično efikasnom u tom cilju. Što se tiče podizanja svijesti javnosti, razvijen je komunikacioni materijal u formi letaka, kako na crnogorskom tako i na engleskom jeziku, u okviru Twining Light projekta „Razvoj kapaciteta Službe za koordinaciju borbe protiv prevara (AFCOS)“. Leci su sadržavali informacije o AFCOS kancelariji i tijelima koja čine AFCOS sistem, IPA II, Strukturi za prijavljivanje nepravilnosti u zemlji i Evropskoj kancelariji za borbu protiv prevara (OLAF). Uključili su i ukrštene riječi s terminima koji se odnose na prevaru, u nastojanju da se šira javnost upozna sa nomenklaturom prevara. Ono što je najvažnije, uključeni su i svi potrebni kontakt podaci za više informacija i prijavu nepravilnosti i prevara.</w:t>
      </w:r>
    </w:p>
    <w:p w14:paraId="26ABF366" w14:textId="77777777" w:rsidR="00B54A71" w:rsidRPr="00E274A6" w:rsidRDefault="00B54A71" w:rsidP="00E274A6">
      <w:pPr>
        <w:spacing w:line="276" w:lineRule="auto"/>
        <w:jc w:val="both"/>
        <w:rPr>
          <w:bCs/>
          <w:lang w:val="en-US"/>
        </w:rPr>
      </w:pPr>
    </w:p>
    <w:p w14:paraId="0F5AE063" w14:textId="22D95152" w:rsidR="00A52011" w:rsidRDefault="0062584B" w:rsidP="00E63F8E">
      <w:pPr>
        <w:pStyle w:val="ListParagraph"/>
        <w:spacing w:line="276" w:lineRule="auto"/>
        <w:ind w:left="0"/>
        <w:jc w:val="center"/>
        <w:rPr>
          <w:bCs/>
          <w:lang w:val="en-US"/>
        </w:rPr>
      </w:pPr>
      <w:r>
        <w:rPr>
          <w:noProof/>
        </w:rPr>
        <mc:AlternateContent>
          <mc:Choice Requires="wps">
            <w:drawing>
              <wp:anchor distT="0" distB="0" distL="114300" distR="114300" simplePos="0" relativeHeight="251677696" behindDoc="0" locked="0" layoutInCell="1" allowOverlap="1" wp14:anchorId="75CA0557" wp14:editId="061174E9">
                <wp:simplePos x="0" y="0"/>
                <wp:positionH relativeFrom="margin">
                  <wp:align>center</wp:align>
                </wp:positionH>
                <wp:positionV relativeFrom="paragraph">
                  <wp:posOffset>2156328</wp:posOffset>
                </wp:positionV>
                <wp:extent cx="4337685" cy="635"/>
                <wp:effectExtent l="0" t="0" r="5715" b="0"/>
                <wp:wrapTopAndBottom/>
                <wp:docPr id="4" name="Text Box 1"/>
                <wp:cNvGraphicFramePr/>
                <a:graphic xmlns:a="http://schemas.openxmlformats.org/drawingml/2006/main">
                  <a:graphicData uri="http://schemas.microsoft.com/office/word/2010/wordprocessingShape">
                    <wps:wsp>
                      <wps:cNvSpPr txBox="1"/>
                      <wps:spPr>
                        <a:xfrm>
                          <a:off x="0" y="0"/>
                          <a:ext cx="4337685" cy="635"/>
                        </a:xfrm>
                        <a:prstGeom prst="rect">
                          <a:avLst/>
                        </a:prstGeom>
                        <a:solidFill>
                          <a:prstClr val="white"/>
                        </a:solidFill>
                        <a:ln>
                          <a:noFill/>
                        </a:ln>
                      </wps:spPr>
                      <wps:txbx>
                        <w:txbxContent>
                          <w:p w14:paraId="6CA0B3B1" w14:textId="72FA0CCC" w:rsidR="0057053C" w:rsidRPr="00405E92" w:rsidRDefault="0057053C" w:rsidP="0062584B">
                            <w:pPr>
                              <w:pStyle w:val="Caption"/>
                              <w:jc w:val="center"/>
                              <w:rPr>
                                <w:noProof/>
                                <w:lang w:val="en-GB"/>
                              </w:rPr>
                            </w:pPr>
                            <w:r>
                              <w:rPr>
                                <w:noProof/>
                                <w:lang w:val="en-GB"/>
                              </w:rPr>
                              <w:t>Raising the public’s awareness on fraud – Leaflet 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CA0557" id="_x0000_s1030" type="#_x0000_t202" style="position:absolute;left:0;text-align:left;margin-left:0;margin-top:169.8pt;width:341.55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" stroked="f">
                <v:textbox style="mso-fit-shape-to-text:t" inset="0,0,0,0">
                  <w:txbxContent>
                    <w:p w14:paraId="6CA0B3B1" w14:textId="72FA0CCC" w:rsidR="0057053C" w:rsidRPr="00405E92" w:rsidRDefault="0057053C" w:rsidP="0062584B">
                      <w:pPr>
                        <w:pStyle w:val="Caption"/>
                        <w:jc w:val="center"/>
                        <w:rPr>
                          <w:noProof/>
                          <w:lang w:val="en-GB"/>
                        </w:rPr>
                      </w:pPr>
                      <w:r>
                        <w:rPr>
                          <w:noProof/>
                          <w:lang w:val="en-GB"/>
                        </w:rPr>
                        <w:t>Raising the public’s awareness on fraud – Leaflet images</w:t>
                      </w:r>
                    </w:p>
                  </w:txbxContent>
                </v:textbox>
                <w10:wrap type="topAndBottom" anchorx="margin"/>
              </v:shape>
            </w:pict>
          </mc:Fallback>
        </mc:AlternateContent>
      </w:r>
      <w:r w:rsidR="00A52011">
        <w:rPr>
          <w:bCs/>
          <w:noProof/>
          <w:lang w:val="en-US"/>
        </w:rPr>
        <w:drawing>
          <wp:inline distT="0" distB="0" distL="0" distR="0" wp14:anchorId="4E627A6A" wp14:editId="32FF1517">
            <wp:extent cx="1395182" cy="2038350"/>
            <wp:effectExtent l="0" t="0" r="0" b="0"/>
            <wp:docPr id="1531296505"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96505" name="Picture 1" descr="Diagram,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9261" cy="2102749"/>
                    </a:xfrm>
                    <a:prstGeom prst="rect">
                      <a:avLst/>
                    </a:prstGeom>
                  </pic:spPr>
                </pic:pic>
              </a:graphicData>
            </a:graphic>
          </wp:inline>
        </w:drawing>
      </w:r>
      <w:r w:rsidR="00A52011">
        <w:rPr>
          <w:bCs/>
          <w:noProof/>
          <w:lang w:val="en-US"/>
        </w:rPr>
        <w:t xml:space="preserve">                      </w:t>
      </w:r>
      <w:r w:rsidR="00A52011">
        <w:rPr>
          <w:bCs/>
          <w:noProof/>
          <w:lang w:val="en-US"/>
        </w:rPr>
        <w:drawing>
          <wp:inline distT="0" distB="0" distL="0" distR="0" wp14:anchorId="7ED8F25C" wp14:editId="63D6BFE9">
            <wp:extent cx="1366791" cy="2011680"/>
            <wp:effectExtent l="0" t="0" r="5080" b="7620"/>
            <wp:docPr id="1487610667"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10667" name="Picture 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4059" cy="2037096"/>
                    </a:xfrm>
                    <a:prstGeom prst="rect">
                      <a:avLst/>
                    </a:prstGeom>
                  </pic:spPr>
                </pic:pic>
              </a:graphicData>
            </a:graphic>
          </wp:inline>
        </w:drawing>
      </w:r>
    </w:p>
    <w:p w14:paraId="507418CE" w14:textId="77777777" w:rsidR="00E274A6" w:rsidRDefault="00E274A6" w:rsidP="00E63F8E">
      <w:pPr>
        <w:pStyle w:val="ListParagraph"/>
        <w:spacing w:line="276" w:lineRule="auto"/>
        <w:ind w:left="0"/>
        <w:jc w:val="both"/>
        <w:rPr>
          <w:b/>
          <w:bCs/>
          <w:lang w:val="en-US"/>
        </w:rPr>
      </w:pPr>
    </w:p>
    <w:p w14:paraId="07D15F64" w14:textId="5B92BC5B" w:rsidR="00E274A6" w:rsidRDefault="00E274A6" w:rsidP="00E63F8E">
      <w:pPr>
        <w:spacing w:line="276" w:lineRule="auto"/>
        <w:jc w:val="both"/>
        <w:rPr>
          <w:b/>
          <w:bCs/>
        </w:rPr>
      </w:pPr>
      <w:r w:rsidRPr="00E274A6">
        <w:rPr>
          <w:b/>
          <w:bCs/>
        </w:rPr>
        <w:t xml:space="preserve">Međutim, evaluacija je pokazala da su ove akcije, iako su bile korisne, bile </w:t>
      </w:r>
      <w:r w:rsidR="00C0595C">
        <w:rPr>
          <w:b/>
          <w:bCs/>
          <w:lang w:val="sr-Latn-RS"/>
        </w:rPr>
        <w:t>rijetke</w:t>
      </w:r>
      <w:r w:rsidRPr="00E274A6">
        <w:rPr>
          <w:b/>
          <w:bCs/>
        </w:rPr>
        <w:t xml:space="preserve"> i nisu integri</w:t>
      </w:r>
      <w:r w:rsidR="00C0595C">
        <w:rPr>
          <w:b/>
          <w:bCs/>
          <w:lang w:val="sr-Latn-RS"/>
        </w:rPr>
        <w:t>s</w:t>
      </w:r>
      <w:r w:rsidRPr="00E274A6">
        <w:rPr>
          <w:b/>
          <w:bCs/>
        </w:rPr>
        <w:t>ane u inkluzivan i sistemski pristup, budući da komunikac</w:t>
      </w:r>
      <w:r w:rsidR="00C0595C">
        <w:rPr>
          <w:b/>
          <w:bCs/>
          <w:lang w:val="sr-Latn-RS"/>
        </w:rPr>
        <w:t>ion</w:t>
      </w:r>
      <w:r w:rsidRPr="00E274A6">
        <w:rPr>
          <w:b/>
          <w:bCs/>
        </w:rPr>
        <w:t>a strategija nije razvijena kako je prvobitno osmišljena. Primena sistemske strategije podizanja sv</w:t>
      </w:r>
      <w:r w:rsidR="00C0595C">
        <w:rPr>
          <w:b/>
          <w:bCs/>
          <w:lang w:val="sr-Latn-RS"/>
        </w:rPr>
        <w:t>ij</w:t>
      </w:r>
      <w:r w:rsidRPr="00E274A6">
        <w:rPr>
          <w:b/>
          <w:bCs/>
        </w:rPr>
        <w:t xml:space="preserve">esti o prevarama je </w:t>
      </w:r>
      <w:r w:rsidR="00C0595C">
        <w:rPr>
          <w:b/>
          <w:bCs/>
          <w:lang w:val="sr-Latn-RS"/>
        </w:rPr>
        <w:t>uobičajena</w:t>
      </w:r>
      <w:r w:rsidRPr="00E274A6">
        <w:rPr>
          <w:b/>
          <w:bCs/>
        </w:rPr>
        <w:t xml:space="preserve"> praksa utemeljene dodatne vrednosti za borbu protiv prevara i efektivnu zaštitu zajedničkih vrednosti EU.</w:t>
      </w:r>
    </w:p>
    <w:p w14:paraId="10858A68" w14:textId="4C5E9A22" w:rsidR="004D64BB" w:rsidRDefault="00B127FE" w:rsidP="00E63F8E">
      <w:pPr>
        <w:spacing w:line="276" w:lineRule="auto"/>
        <w:jc w:val="both"/>
        <w:rPr>
          <w:b/>
          <w:bCs/>
          <w:noProof/>
          <w:lang w:val="en-GB"/>
        </w:rPr>
      </w:pPr>
      <w:r w:rsidRPr="003E1C64">
        <w:rPr>
          <w:b/>
          <w:bCs/>
          <w:noProof/>
        </w:rPr>
        <w:lastRenderedPageBreak/>
        <mc:AlternateContent>
          <mc:Choice Requires="wps">
            <w:drawing>
              <wp:anchor distT="0" distB="0" distL="114300" distR="114300" simplePos="0" relativeHeight="251673600" behindDoc="0" locked="0" layoutInCell="1" allowOverlap="1" wp14:anchorId="3FEDBAD5" wp14:editId="71DEA543">
                <wp:simplePos x="0" y="0"/>
                <wp:positionH relativeFrom="margin">
                  <wp:align>center</wp:align>
                </wp:positionH>
                <wp:positionV relativeFrom="paragraph">
                  <wp:posOffset>2621888</wp:posOffset>
                </wp:positionV>
                <wp:extent cx="3971925" cy="635"/>
                <wp:effectExtent l="0" t="0" r="9525" b="0"/>
                <wp:wrapTopAndBottom/>
                <wp:docPr id="1061307013" name="Text Box 1"/>
                <wp:cNvGraphicFramePr/>
                <a:graphic xmlns:a="http://schemas.openxmlformats.org/drawingml/2006/main">
                  <a:graphicData uri="http://schemas.microsoft.com/office/word/2010/wordprocessingShape">
                    <wps:wsp>
                      <wps:cNvSpPr txBox="1"/>
                      <wps:spPr>
                        <a:xfrm>
                          <a:off x="0" y="0"/>
                          <a:ext cx="3971925" cy="635"/>
                        </a:xfrm>
                        <a:prstGeom prst="rect">
                          <a:avLst/>
                        </a:prstGeom>
                        <a:solidFill>
                          <a:prstClr val="white"/>
                        </a:solidFill>
                        <a:ln>
                          <a:noFill/>
                        </a:ln>
                      </wps:spPr>
                      <wps:txbx>
                        <w:txbxContent>
                          <w:p w14:paraId="58259E71" w14:textId="77777777" w:rsidR="0057053C" w:rsidRPr="00FD76C2" w:rsidRDefault="0057053C" w:rsidP="00997485">
                            <w:pPr>
                              <w:pStyle w:val="Caption"/>
                              <w:jc w:val="center"/>
                              <w:rPr>
                                <w:b/>
                                <w:bCs/>
                                <w:noProof/>
                                <w:lang w:val="en-GB"/>
                              </w:rPr>
                            </w:pPr>
                            <w:r>
                              <w:rPr>
                                <w:lang w:val="en-GB"/>
                              </w:rPr>
                              <w:t>Activities implementation rate - Operational Objective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EDBAD5" id="_x0000_s1031" type="#_x0000_t202" style="position:absolute;left:0;text-align:left;margin-left:0;margin-top:206.45pt;width:312.75pt;height:.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" stroked="f">
                <v:textbox style="mso-fit-shape-to-text:t" inset="0,0,0,0">
                  <w:txbxContent>
                    <w:p w14:paraId="58259E71" w14:textId="77777777" w:rsidR="0057053C" w:rsidRPr="00FD76C2" w:rsidRDefault="0057053C" w:rsidP="00997485">
                      <w:pPr>
                        <w:pStyle w:val="Caption"/>
                        <w:jc w:val="center"/>
                        <w:rPr>
                          <w:b/>
                          <w:bCs/>
                          <w:noProof/>
                          <w:lang w:val="en-GB"/>
                        </w:rPr>
                      </w:pPr>
                      <w:r>
                        <w:rPr>
                          <w:lang w:val="en-GB"/>
                        </w:rPr>
                        <w:t>Activities implementation rate - Operational Objective 3</w:t>
                      </w:r>
                    </w:p>
                  </w:txbxContent>
                </v:textbox>
                <w10:wrap type="topAndBottom" anchorx="margin"/>
              </v:shape>
            </w:pict>
          </mc:Fallback>
        </mc:AlternateContent>
      </w:r>
      <w:r w:rsidR="00F2318F" w:rsidRPr="003E1C64">
        <w:rPr>
          <w:b/>
          <w:bCs/>
          <w:noProof/>
        </w:rPr>
        <w:drawing>
          <wp:anchor distT="0" distB="0" distL="114300" distR="114300" simplePos="0" relativeHeight="251671552" behindDoc="0" locked="0" layoutInCell="1" allowOverlap="1" wp14:anchorId="113C3E10" wp14:editId="0F4FF940">
            <wp:simplePos x="0" y="0"/>
            <wp:positionH relativeFrom="margin">
              <wp:posOffset>629920</wp:posOffset>
            </wp:positionH>
            <wp:positionV relativeFrom="paragraph">
              <wp:posOffset>484505</wp:posOffset>
            </wp:positionV>
            <wp:extent cx="4039235" cy="2106930"/>
            <wp:effectExtent l="0" t="0" r="18415" b="7620"/>
            <wp:wrapTopAndBottom/>
            <wp:docPr id="1584999455" name="Chart 1">
              <a:extLst xmlns:a="http://schemas.openxmlformats.org/drawingml/2006/main">
                <a:ext uri="{FF2B5EF4-FFF2-40B4-BE49-F238E27FC236}">
                  <a16:creationId xmlns:a16="http://schemas.microsoft.com/office/drawing/2014/main" id="{25D055E4-F4C7-47F8-AEE4-AACAE543B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C0595C" w:rsidRPr="00C0595C">
        <w:rPr>
          <w:bCs/>
        </w:rPr>
        <w:t>Konačno, Operativni cilj 3 je takođe pokazao visoku stopu završetka (75%), sa tri (3) od četiri (4) aktivnosti završene i jednom djelimično sprovedenom</w:t>
      </w:r>
      <w:r w:rsidR="004D64BB" w:rsidRPr="004D64BB">
        <w:rPr>
          <w:bCs/>
          <w:lang w:val="en-US"/>
        </w:rPr>
        <w:t>:</w:t>
      </w:r>
      <w:r w:rsidR="00E85C02" w:rsidRPr="00E85C02">
        <w:rPr>
          <w:b/>
          <w:bCs/>
          <w:noProof/>
          <w:lang w:val="en-GB"/>
        </w:rPr>
        <w:t xml:space="preserve"> </w:t>
      </w:r>
    </w:p>
    <w:p w14:paraId="333053C2" w14:textId="77777777" w:rsidR="00E274A6" w:rsidRPr="004D64BB" w:rsidRDefault="00E274A6" w:rsidP="00E63F8E">
      <w:pPr>
        <w:spacing w:line="276" w:lineRule="auto"/>
        <w:jc w:val="both"/>
        <w:rPr>
          <w:bCs/>
          <w:lang w:val="en-US"/>
        </w:rPr>
      </w:pPr>
    </w:p>
    <w:p w14:paraId="330E37A0" w14:textId="77777777" w:rsidR="00CE3846" w:rsidRDefault="00412EF1" w:rsidP="00B127FE">
      <w:pPr>
        <w:pStyle w:val="ListParagraph"/>
        <w:spacing w:line="276" w:lineRule="auto"/>
        <w:ind w:left="0"/>
        <w:jc w:val="both"/>
      </w:pPr>
      <w:r w:rsidRPr="00412EF1">
        <w:t xml:space="preserve">Evaluacija je pokazala da je usvojen sistemski pristup u identifikaciji potreba za obukom i osmišljavanju programa obuke za unapređenje ljudskih resursa AFCOS sistema. </w:t>
      </w:r>
    </w:p>
    <w:p w14:paraId="4F1D12D1" w14:textId="77777777" w:rsidR="00D1369D" w:rsidRDefault="00D1369D" w:rsidP="00B127FE">
      <w:pPr>
        <w:pStyle w:val="ListParagraph"/>
        <w:spacing w:line="276" w:lineRule="auto"/>
        <w:ind w:left="0"/>
        <w:jc w:val="both"/>
      </w:pPr>
    </w:p>
    <w:p w14:paraId="0A3327BA" w14:textId="47F9A433" w:rsidR="00CE3846" w:rsidRDefault="00412EF1" w:rsidP="00B127FE">
      <w:pPr>
        <w:pStyle w:val="ListParagraph"/>
        <w:spacing w:line="276" w:lineRule="auto"/>
        <w:ind w:left="0"/>
        <w:jc w:val="both"/>
      </w:pPr>
      <w:r w:rsidRPr="00412EF1">
        <w:t xml:space="preserve">Preciznije: </w:t>
      </w:r>
    </w:p>
    <w:p w14:paraId="2809F959" w14:textId="76E8E127" w:rsidR="00CE3846" w:rsidRDefault="00412EF1" w:rsidP="00DB1F9B">
      <w:pPr>
        <w:pStyle w:val="ListParagraph"/>
        <w:numPr>
          <w:ilvl w:val="0"/>
          <w:numId w:val="18"/>
        </w:numPr>
        <w:spacing w:line="276" w:lineRule="auto"/>
        <w:jc w:val="both"/>
      </w:pPr>
      <w:r w:rsidRPr="00412EF1">
        <w:t xml:space="preserve">Sprovedena je analiza za identifikaciju potreba za obukom </w:t>
      </w:r>
      <w:r w:rsidR="00D1369D">
        <w:rPr>
          <w:lang w:val="sr-Latn-RS"/>
        </w:rPr>
        <w:t>institucija</w:t>
      </w:r>
      <w:r w:rsidRPr="00412EF1">
        <w:t xml:space="preserve"> u okviru AFCOS sistema, za procjenu postojećih kapaciteta službenika i identifikovanje slabosti koje je trebalo riješiti,</w:t>
      </w:r>
    </w:p>
    <w:p w14:paraId="3F1CA949" w14:textId="64025166" w:rsidR="00CE3846" w:rsidRDefault="00412EF1" w:rsidP="00DB1F9B">
      <w:pPr>
        <w:pStyle w:val="ListParagraph"/>
        <w:numPr>
          <w:ilvl w:val="0"/>
          <w:numId w:val="18"/>
        </w:numPr>
        <w:spacing w:line="276" w:lineRule="auto"/>
        <w:jc w:val="both"/>
      </w:pPr>
      <w:r w:rsidRPr="00412EF1">
        <w:t xml:space="preserve">Izrađene su </w:t>
      </w:r>
      <w:r w:rsidR="00D1369D">
        <w:rPr>
          <w:lang w:val="sr-Latn-RS"/>
        </w:rPr>
        <w:t>S</w:t>
      </w:r>
      <w:r w:rsidRPr="00412EF1">
        <w:t>mjernice za sprovođenje obuke iz oblasti upravljanja nepravilnostima za period 2021 – 2022.</w:t>
      </w:r>
    </w:p>
    <w:p w14:paraId="1C52BE8B" w14:textId="77777777" w:rsidR="00265289" w:rsidRDefault="00412EF1" w:rsidP="00DB1F9B">
      <w:pPr>
        <w:pStyle w:val="ListParagraph"/>
        <w:numPr>
          <w:ilvl w:val="0"/>
          <w:numId w:val="18"/>
        </w:numPr>
        <w:spacing w:line="276" w:lineRule="auto"/>
        <w:jc w:val="both"/>
      </w:pPr>
      <w:r w:rsidRPr="00412EF1">
        <w:t xml:space="preserve">Programi obuke planirani su u skladu sa navedenom analizom. </w:t>
      </w:r>
    </w:p>
    <w:p w14:paraId="38BD82D6" w14:textId="77777777" w:rsidR="00B54A71" w:rsidRDefault="00412EF1" w:rsidP="00265289">
      <w:pPr>
        <w:spacing w:line="276" w:lineRule="auto"/>
        <w:jc w:val="both"/>
      </w:pPr>
      <w:r w:rsidRPr="00265289">
        <w:t xml:space="preserve">Od perioda implementacije prethodne Strategije (2015 – 2017) na inicijativu Kancelarije AFCOS organizuju se i realizuju programi obuke i radionice na temu nepravilnosti i prevara. Ono što je izostalo je sistemski pristup u identifikaciji prioriteta obuke i dizajniranju integrisanih programa obuke, usmjerenih ka rješavanju utemeljenih potreba i održivijem poboljšanju operativnih performansi. </w:t>
      </w:r>
    </w:p>
    <w:p w14:paraId="18F3589D" w14:textId="58779FF4" w:rsidR="00B54A71" w:rsidRDefault="00412EF1" w:rsidP="00265289">
      <w:pPr>
        <w:spacing w:line="276" w:lineRule="auto"/>
        <w:jc w:val="both"/>
      </w:pPr>
      <w:r w:rsidRPr="00265289">
        <w:t xml:space="preserve">U tom pravcu, u 2019. godini izvršena je analiza potreba za obukom u okviru AFCOS sistema, koja nudi vrijedan uvid u postojeće kapacitete i nedostatke, uz </w:t>
      </w:r>
      <w:r w:rsidR="000A0610">
        <w:rPr>
          <w:lang w:val="sr-Latn-RS"/>
        </w:rPr>
        <w:t>s</w:t>
      </w:r>
      <w:r w:rsidRPr="00265289">
        <w:t xml:space="preserve">provođenje analize potreba za učenjem. Na osnovu rezultata analize, preporučeni su indikativni plan obuke i katalog obuka za period 2019 – 2021. Međutim, pandemija je uticala na mogućnost organizovanja i održavanja obuke. </w:t>
      </w:r>
      <w:r w:rsidR="000A0610">
        <w:rPr>
          <w:lang w:val="sr-Latn-RS"/>
        </w:rPr>
        <w:t>Kancelarija</w:t>
      </w:r>
      <w:r w:rsidRPr="00265289">
        <w:t xml:space="preserve"> AFCOS-a je 2021. godine, na osnovu iskustava i rezultata prikupljenih analizom, izradi</w:t>
      </w:r>
      <w:r w:rsidR="000A0610">
        <w:rPr>
          <w:lang w:val="sr-Latn-RS"/>
        </w:rPr>
        <w:t>la</w:t>
      </w:r>
      <w:r w:rsidRPr="00265289">
        <w:t xml:space="preserve"> </w:t>
      </w:r>
      <w:r w:rsidR="00B54A71">
        <w:rPr>
          <w:b/>
          <w:lang w:val="sr-Latn-CS"/>
        </w:rPr>
        <w:t>U</w:t>
      </w:r>
      <w:r w:rsidR="00B54A71" w:rsidRPr="00B54A71">
        <w:rPr>
          <w:b/>
          <w:lang w:val="sr-Latn-CS"/>
        </w:rPr>
        <w:t>pustvo za sprovođenje edukacija vezano za oblast upravljanja nepravilnostima za period 2021-2022 godine</w:t>
      </w:r>
      <w:r w:rsidR="00B54A71">
        <w:rPr>
          <w:b/>
          <w:lang w:val="sr-Latn-CS"/>
        </w:rPr>
        <w:t xml:space="preserve">. </w:t>
      </w:r>
      <w:r w:rsidRPr="00265289">
        <w:t xml:space="preserve">Predloženi programi zasnovani su na rješavanju specifičnih potreba, uz usvajanje sistemskog pristupa definisanju obrazovnih prioriteta. </w:t>
      </w:r>
    </w:p>
    <w:p w14:paraId="0E3E9992" w14:textId="59512488" w:rsidR="004E60F7" w:rsidRDefault="000A0610" w:rsidP="00265289">
      <w:pPr>
        <w:spacing w:line="276" w:lineRule="auto"/>
        <w:jc w:val="both"/>
      </w:pPr>
      <w:r>
        <w:rPr>
          <w:lang w:val="sr-Latn-RS"/>
        </w:rPr>
        <w:t>Da</w:t>
      </w:r>
      <w:r w:rsidR="00412EF1" w:rsidRPr="00265289">
        <w:t xml:space="preserve"> zaključ</w:t>
      </w:r>
      <w:r>
        <w:rPr>
          <w:lang w:val="sr-Latn-RS"/>
        </w:rPr>
        <w:t>imo</w:t>
      </w:r>
      <w:r w:rsidR="00412EF1" w:rsidRPr="00265289">
        <w:t xml:space="preserve">, Strategija je uspješno implementirana u zadovoljavajućem stepenu, posebno u pogledu aktivnosti koje su u najvećoj mjeri zavisile od marljivosti i posvećenosti AFCOS </w:t>
      </w:r>
      <w:r w:rsidR="00412EF1" w:rsidRPr="00265289">
        <w:lastRenderedPageBreak/>
        <w:t xml:space="preserve">kancelarije i </w:t>
      </w:r>
      <w:r w:rsidR="00797F1A">
        <w:rPr>
          <w:lang w:val="sr-Latn-RS"/>
        </w:rPr>
        <w:t xml:space="preserve">koje su </w:t>
      </w:r>
      <w:r w:rsidR="00412EF1" w:rsidRPr="00265289">
        <w:t xml:space="preserve">fokusirane na operativno unapređenje i izgradnju kapaciteta. Međutim, postoji značajan prostor za poboljšanje u isporuci željenih rezultata s najvećim uspjehom. </w:t>
      </w:r>
    </w:p>
    <w:p w14:paraId="3404CF6F" w14:textId="77777777" w:rsidR="00917030" w:rsidRPr="00F31018" w:rsidRDefault="00412EF1" w:rsidP="00265289">
      <w:pPr>
        <w:spacing w:line="276" w:lineRule="auto"/>
        <w:jc w:val="both"/>
        <w:rPr>
          <w:b/>
          <w:color w:val="2F5496" w:themeColor="accent1" w:themeShade="BF"/>
        </w:rPr>
      </w:pPr>
      <w:r w:rsidRPr="00F31018">
        <w:rPr>
          <w:b/>
          <w:color w:val="2F5496" w:themeColor="accent1" w:themeShade="BF"/>
        </w:rPr>
        <w:t xml:space="preserve">Nalaz 7: Blagovremena implementacija aktivnosti Strategije je ostvarena u značajnoj mjeri. </w:t>
      </w:r>
    </w:p>
    <w:p w14:paraId="0C2C1615" w14:textId="77777777" w:rsidR="00B54A71" w:rsidRDefault="00412EF1" w:rsidP="00B54A71">
      <w:pPr>
        <w:spacing w:line="276" w:lineRule="auto"/>
        <w:jc w:val="both"/>
      </w:pPr>
      <w:r w:rsidRPr="00265289">
        <w:t xml:space="preserve">Prema </w:t>
      </w:r>
      <w:r w:rsidR="00AB0560">
        <w:rPr>
          <w:lang w:val="sr-Latn-RS"/>
        </w:rPr>
        <w:t>kancelarijskom</w:t>
      </w:r>
      <w:r w:rsidRPr="00265289">
        <w:t xml:space="preserve"> istraživanju i prikupljenim dokazima, sve aktivnosti koje su okarakterisane kao završene ili djelimično realizovane nisu pokazale značajnija kašnjenja, osim u sprovođenju obuke. Takođe treba napomenuti da su ažurirani vremenski okviri procijenjeni i navedeni u Akcionom planu za 2022. godinu, od kojih se velika većina odnosila na aktivnosti koje nisu implementirane do kraja Strategije.</w:t>
      </w:r>
      <w:bookmarkStart w:id="31" w:name="_Toc133937765"/>
    </w:p>
    <w:p w14:paraId="4F6552A9" w14:textId="77777777" w:rsidR="00B54A71" w:rsidRDefault="00917030" w:rsidP="00B54A71">
      <w:pPr>
        <w:spacing w:line="276" w:lineRule="auto"/>
        <w:jc w:val="both"/>
        <w:rPr>
          <w:rFonts w:eastAsiaTheme="minorHAnsi"/>
          <w:bCs/>
        </w:rPr>
      </w:pPr>
      <w:r w:rsidRPr="00917030">
        <w:rPr>
          <w:rFonts w:eastAsiaTheme="minorHAnsi"/>
          <w:bCs/>
        </w:rPr>
        <w:t xml:space="preserve">Eksplicitnije rečeno, sve aktivnosti obuhvaćene Operativnim ciljevima 1 i 2 koje su završene ili djelimično realizovane, realizovane su u prve dvije godine Strategije, kako je navedeno u Izvještaju o monitoringu za 2020. – 2021., što dodatno pokazuje visoku </w:t>
      </w:r>
      <w:r w:rsidR="00E07D6A" w:rsidRPr="00917030">
        <w:rPr>
          <w:rFonts w:eastAsiaTheme="minorHAnsi"/>
          <w:bCs/>
        </w:rPr>
        <w:t>stop</w:t>
      </w:r>
      <w:r w:rsidR="00E07D6A">
        <w:rPr>
          <w:rFonts w:eastAsiaTheme="minorHAnsi"/>
          <w:bCs/>
          <w:lang w:val="sr-Latn-RS"/>
        </w:rPr>
        <w:t>u</w:t>
      </w:r>
      <w:r w:rsidR="00E07D6A" w:rsidRPr="00917030">
        <w:rPr>
          <w:rFonts w:eastAsiaTheme="minorHAnsi"/>
          <w:bCs/>
        </w:rPr>
        <w:t xml:space="preserve"> </w:t>
      </w:r>
      <w:r w:rsidRPr="00917030">
        <w:rPr>
          <w:rFonts w:eastAsiaTheme="minorHAnsi"/>
          <w:bCs/>
        </w:rPr>
        <w:t>implementacij</w:t>
      </w:r>
      <w:r w:rsidR="00E07D6A">
        <w:rPr>
          <w:rFonts w:eastAsiaTheme="minorHAnsi"/>
          <w:bCs/>
          <w:lang w:val="sr-Latn-RS"/>
        </w:rPr>
        <w:t>e</w:t>
      </w:r>
      <w:r w:rsidRPr="00917030">
        <w:rPr>
          <w:rFonts w:eastAsiaTheme="minorHAnsi"/>
          <w:bCs/>
        </w:rPr>
        <w:t xml:space="preserve"> prikazan</w:t>
      </w:r>
      <w:r w:rsidR="00E07D6A">
        <w:rPr>
          <w:rFonts w:eastAsiaTheme="minorHAnsi"/>
          <w:bCs/>
          <w:lang w:val="sr-Latn-RS"/>
        </w:rPr>
        <w:t>u</w:t>
      </w:r>
      <w:r w:rsidRPr="00917030">
        <w:rPr>
          <w:rFonts w:eastAsiaTheme="minorHAnsi"/>
          <w:bCs/>
        </w:rPr>
        <w:t xml:space="preserve"> u okviru 2. operativnog cilja. </w:t>
      </w:r>
    </w:p>
    <w:p w14:paraId="2FCD310E" w14:textId="77777777" w:rsidR="005816D4" w:rsidRDefault="00917030" w:rsidP="005816D4">
      <w:pPr>
        <w:spacing w:line="276" w:lineRule="auto"/>
        <w:jc w:val="both"/>
        <w:rPr>
          <w:rFonts w:eastAsiaTheme="minorHAnsi"/>
          <w:bCs/>
        </w:rPr>
      </w:pPr>
      <w:r w:rsidRPr="00917030">
        <w:rPr>
          <w:rFonts w:eastAsiaTheme="minorHAnsi"/>
          <w:bCs/>
        </w:rPr>
        <w:t>Što se Operativnog cilja 3 tiče, s obzirom da se prve dvije godine Strategije poklapaju s izbijanjem pandemije, provođenje predviđene obuke u to vrijeme nije bilo moguće. Istovremeno, prema informacijama datim tokom intervjua, potrebna infrastruktura, tehnički resursi i kapaciteti nisu bili dostupni za održavanje seminara online. Shodno tome, implementacija obuke je pokazala značajna kašnjenja.</w:t>
      </w:r>
    </w:p>
    <w:p w14:paraId="25C1E465" w14:textId="77777777" w:rsidR="005816D4" w:rsidRDefault="00917030" w:rsidP="005816D4">
      <w:pPr>
        <w:spacing w:line="276" w:lineRule="auto"/>
        <w:jc w:val="both"/>
        <w:rPr>
          <w:rFonts w:eastAsiaTheme="minorHAnsi"/>
          <w:b/>
          <w:bCs/>
          <w:color w:val="2F5496" w:themeColor="accent1" w:themeShade="BF"/>
        </w:rPr>
      </w:pPr>
      <w:r w:rsidRPr="00F31018">
        <w:rPr>
          <w:rFonts w:eastAsiaTheme="minorHAnsi"/>
          <w:b/>
          <w:bCs/>
          <w:color w:val="2F5496" w:themeColor="accent1" w:themeShade="BF"/>
        </w:rPr>
        <w:t xml:space="preserve">Nalaz 8: Očekivani pravni osnov neophodan za potpuno funkcionalan AFCOS sistem u Crnoj Gori nije uspostavljen tokom perioda važenja Strategije. </w:t>
      </w:r>
    </w:p>
    <w:p w14:paraId="00413A3B" w14:textId="77777777" w:rsidR="005816D4" w:rsidRDefault="00917030" w:rsidP="005816D4">
      <w:pPr>
        <w:spacing w:line="276" w:lineRule="auto"/>
        <w:jc w:val="both"/>
        <w:rPr>
          <w:rFonts w:eastAsiaTheme="minorHAnsi"/>
          <w:bCs/>
        </w:rPr>
      </w:pPr>
      <w:r w:rsidRPr="00917030">
        <w:rPr>
          <w:rFonts w:eastAsiaTheme="minorHAnsi"/>
          <w:bCs/>
        </w:rPr>
        <w:t xml:space="preserve">Predviđeno uspostavljanje pravnog osnova za efikasno funkcionisanje AFCOS sistema, a samim tim i zaštitu finansijskih interesa EU u Crnoj Gori, nije realizovano u vremenskom okviru Strategije (Mjera 1.1). </w:t>
      </w:r>
    </w:p>
    <w:p w14:paraId="46C679F6" w14:textId="77777777" w:rsidR="005816D4" w:rsidRDefault="00917030" w:rsidP="005816D4">
      <w:pPr>
        <w:spacing w:line="276" w:lineRule="auto"/>
        <w:jc w:val="both"/>
        <w:rPr>
          <w:rFonts w:eastAsiaTheme="minorHAnsi"/>
          <w:bCs/>
        </w:rPr>
      </w:pPr>
      <w:r w:rsidRPr="00917030">
        <w:rPr>
          <w:rFonts w:eastAsiaTheme="minorHAnsi"/>
          <w:bCs/>
        </w:rPr>
        <w:t xml:space="preserve">Najznačajnija mjera u okviru Operativnog cilja 1 je donošenje zakonske osnove za </w:t>
      </w:r>
      <w:r w:rsidR="00E07D6A">
        <w:rPr>
          <w:rFonts w:eastAsiaTheme="minorHAnsi"/>
          <w:bCs/>
          <w:lang w:val="sr-Latn-RS"/>
        </w:rPr>
        <w:t xml:space="preserve">prepoznavanje i </w:t>
      </w:r>
      <w:r w:rsidRPr="00917030">
        <w:rPr>
          <w:rFonts w:eastAsiaTheme="minorHAnsi"/>
          <w:bCs/>
        </w:rPr>
        <w:t xml:space="preserve">potpuno funkcionisanje AFCOS sistema i za što efikasniju zaštitu finansijskih interesa EU u Crnoj Gori, što je podrazumijevalo dvije aktivnosti: </w:t>
      </w:r>
    </w:p>
    <w:p w14:paraId="3FFF01D4" w14:textId="77777777" w:rsidR="005816D4" w:rsidRDefault="00917030" w:rsidP="005816D4">
      <w:pPr>
        <w:spacing w:after="0" w:line="240" w:lineRule="auto"/>
        <w:jc w:val="both"/>
        <w:rPr>
          <w:rFonts w:eastAsiaTheme="minorHAnsi"/>
          <w:bCs/>
        </w:rPr>
      </w:pPr>
      <w:r w:rsidRPr="00917030">
        <w:rPr>
          <w:rFonts w:eastAsiaTheme="minorHAnsi"/>
          <w:bCs/>
        </w:rPr>
        <w:t xml:space="preserve">a) Usvajanje izmjena i dopuna Zakona o budžetu i fiskalnoj odgovornosti i </w:t>
      </w:r>
    </w:p>
    <w:p w14:paraId="5AC07E42" w14:textId="5AB7C244" w:rsidR="005816D4" w:rsidRDefault="00917030" w:rsidP="005816D4">
      <w:pPr>
        <w:spacing w:after="0" w:line="240" w:lineRule="auto"/>
        <w:jc w:val="both"/>
        <w:rPr>
          <w:rFonts w:eastAsiaTheme="minorHAnsi"/>
          <w:bCs/>
        </w:rPr>
      </w:pPr>
      <w:r w:rsidRPr="00917030">
        <w:rPr>
          <w:rFonts w:eastAsiaTheme="minorHAnsi"/>
          <w:bCs/>
        </w:rPr>
        <w:t xml:space="preserve">b) Donošenje Uredbe o institucionalnom okviru za funkcionisanje sistema za borbu protiv prevara i nepravilnosti (AFCOS sistem) u Crnoj Gori. </w:t>
      </w:r>
    </w:p>
    <w:p w14:paraId="56A49985" w14:textId="77777777" w:rsidR="005816D4" w:rsidRDefault="005816D4" w:rsidP="005816D4">
      <w:pPr>
        <w:spacing w:after="0" w:line="240" w:lineRule="auto"/>
        <w:jc w:val="both"/>
        <w:rPr>
          <w:rFonts w:eastAsiaTheme="minorHAnsi"/>
          <w:bCs/>
        </w:rPr>
      </w:pPr>
    </w:p>
    <w:p w14:paraId="4261D46B" w14:textId="77777777" w:rsidR="007F0899" w:rsidRDefault="00917030" w:rsidP="005816D4">
      <w:pPr>
        <w:spacing w:line="276" w:lineRule="auto"/>
        <w:jc w:val="both"/>
        <w:rPr>
          <w:rFonts w:eastAsiaTheme="minorHAnsi"/>
          <w:bCs/>
        </w:rPr>
      </w:pPr>
      <w:r w:rsidRPr="00917030">
        <w:rPr>
          <w:rFonts w:eastAsiaTheme="minorHAnsi"/>
          <w:bCs/>
        </w:rPr>
        <w:t xml:space="preserve">Očekivalo se da će usvajanje izmjena i dopuna zakona učvrstiti značaj zaštite EU fondova u nacionalnom zakonskom okviru, a istovremeno označiti institucionalnu ulogu </w:t>
      </w:r>
      <w:r w:rsidR="007805E6">
        <w:rPr>
          <w:rFonts w:eastAsiaTheme="minorHAnsi"/>
          <w:bCs/>
          <w:lang w:val="sr-Latn-RS"/>
        </w:rPr>
        <w:t>kancelarije</w:t>
      </w:r>
      <w:r w:rsidRPr="00917030">
        <w:rPr>
          <w:rFonts w:eastAsiaTheme="minorHAnsi"/>
          <w:bCs/>
        </w:rPr>
        <w:t xml:space="preserve"> AFCOS i sistema AFCOS, čime će se povećati njegova vidljivost</w:t>
      </w:r>
      <w:r w:rsidR="007805E6">
        <w:rPr>
          <w:rFonts w:eastAsiaTheme="minorHAnsi"/>
          <w:bCs/>
          <w:lang w:val="sr-Latn-RS"/>
        </w:rPr>
        <w:t>/</w:t>
      </w:r>
      <w:r w:rsidRPr="00917030">
        <w:rPr>
          <w:rFonts w:eastAsiaTheme="minorHAnsi"/>
          <w:bCs/>
        </w:rPr>
        <w:t>prepozna</w:t>
      </w:r>
      <w:r w:rsidR="007805E6">
        <w:rPr>
          <w:rFonts w:eastAsiaTheme="minorHAnsi"/>
          <w:bCs/>
          <w:lang w:val="sr-Latn-RS"/>
        </w:rPr>
        <w:t>tlji</w:t>
      </w:r>
      <w:r w:rsidRPr="00917030">
        <w:rPr>
          <w:rFonts w:eastAsiaTheme="minorHAnsi"/>
          <w:bCs/>
        </w:rPr>
        <w:t>v</w:t>
      </w:r>
      <w:r w:rsidR="007805E6">
        <w:rPr>
          <w:rFonts w:eastAsiaTheme="minorHAnsi"/>
          <w:bCs/>
          <w:lang w:val="sr-Latn-RS"/>
        </w:rPr>
        <w:t>ost</w:t>
      </w:r>
      <w:r w:rsidRPr="00917030">
        <w:rPr>
          <w:rFonts w:eastAsiaTheme="minorHAnsi"/>
          <w:bCs/>
        </w:rPr>
        <w:t>. Iako je sadržaj izmjene i dopune Zakona o budžetu i fiskalnoj odgovornosti labavo definisan u Strategiji i njenom inicijalnom Akcionom planu, u Izvještaj</w:t>
      </w:r>
      <w:r w:rsidR="007805E6">
        <w:rPr>
          <w:rFonts w:eastAsiaTheme="minorHAnsi"/>
          <w:bCs/>
          <w:lang w:val="sr-Latn-RS"/>
        </w:rPr>
        <w:t>u</w:t>
      </w:r>
      <w:r w:rsidRPr="00917030">
        <w:rPr>
          <w:rFonts w:eastAsiaTheme="minorHAnsi"/>
          <w:bCs/>
        </w:rPr>
        <w:t xml:space="preserve"> o </w:t>
      </w:r>
      <w:r w:rsidR="007F0899">
        <w:rPr>
          <w:rFonts w:eastAsiaTheme="minorHAnsi"/>
          <w:bCs/>
          <w:lang w:val="sr-Latn-RS"/>
        </w:rPr>
        <w:t>monitoringu</w:t>
      </w:r>
      <w:r w:rsidRPr="00917030">
        <w:rPr>
          <w:rFonts w:eastAsiaTheme="minorHAnsi"/>
          <w:bCs/>
        </w:rPr>
        <w:t xml:space="preserve"> 2020 – 2021. </w:t>
      </w:r>
      <w:r w:rsidR="005816D4">
        <w:rPr>
          <w:rFonts w:eastAsiaTheme="minorHAnsi"/>
          <w:bCs/>
          <w:lang w:val="sr-Latn-RS"/>
        </w:rPr>
        <w:t>U</w:t>
      </w:r>
      <w:r w:rsidRPr="00917030">
        <w:rPr>
          <w:rFonts w:eastAsiaTheme="minorHAnsi"/>
          <w:bCs/>
        </w:rPr>
        <w:t xml:space="preserve">vršten je kratak opis koji potkrepljuje značaj planirane aktivnosti. Obrazloženje je bilo da se zaštita fondova EU mora tretirati sa jednakom važnosti, rigoroznošću i temeljnošću kao i nacionalnim fondovima, posebno s obzirom na to da bi povraćaj neuredno plaćenih rashoda proizašao iz državnog budžeta. </w:t>
      </w:r>
    </w:p>
    <w:p w14:paraId="28656D9D" w14:textId="77777777" w:rsidR="005016E0" w:rsidRDefault="00917030" w:rsidP="005016E0">
      <w:pPr>
        <w:spacing w:line="276" w:lineRule="auto"/>
        <w:jc w:val="both"/>
        <w:rPr>
          <w:rFonts w:eastAsiaTheme="minorHAnsi"/>
          <w:bCs/>
        </w:rPr>
      </w:pPr>
      <w:r w:rsidRPr="00917030">
        <w:rPr>
          <w:rFonts w:eastAsiaTheme="minorHAnsi"/>
          <w:bCs/>
        </w:rPr>
        <w:t xml:space="preserve">Prijedlog izmjena i dopuna dostavljen je 2019. godine u predviđenom roku prema početnom akcionom planu Strategije. Međutim, prema Izvještaju o monitoringu za 2020. – 2021. aktivnost nije sprovedena u tom vremenskom roku i stoga je uključena u Akcioni plan za 2022. </w:t>
      </w:r>
      <w:r w:rsidRPr="00917030">
        <w:rPr>
          <w:rFonts w:eastAsiaTheme="minorHAnsi"/>
          <w:bCs/>
        </w:rPr>
        <w:lastRenderedPageBreak/>
        <w:t xml:space="preserve">godinu. </w:t>
      </w:r>
      <w:r w:rsidR="00672316">
        <w:rPr>
          <w:rFonts w:eastAsiaTheme="minorHAnsi"/>
          <w:bCs/>
          <w:lang w:val="sr-Latn-RS"/>
        </w:rPr>
        <w:t xml:space="preserve">Vremenski </w:t>
      </w:r>
      <w:r w:rsidR="001902BD">
        <w:rPr>
          <w:rFonts w:eastAsiaTheme="minorHAnsi"/>
          <w:bCs/>
          <w:lang w:val="sr-Latn-RS"/>
        </w:rPr>
        <w:t xml:space="preserve">period važenja </w:t>
      </w:r>
      <w:r w:rsidRPr="00917030">
        <w:rPr>
          <w:rFonts w:eastAsiaTheme="minorHAnsi"/>
          <w:bCs/>
        </w:rPr>
        <w:t>Strategij</w:t>
      </w:r>
      <w:r w:rsidR="001902BD">
        <w:rPr>
          <w:rFonts w:eastAsiaTheme="minorHAnsi"/>
          <w:bCs/>
          <w:lang w:val="sr-Latn-RS"/>
        </w:rPr>
        <w:t>e je istekao, a nisu izvršene izmjene zakonodavne osnove.</w:t>
      </w:r>
      <w:r w:rsidRPr="00917030">
        <w:rPr>
          <w:rFonts w:eastAsiaTheme="minorHAnsi"/>
          <w:bCs/>
        </w:rPr>
        <w:t xml:space="preserve"> Kao rezultat toga, Uredba kojom se reguliše institucionalni okvir crnogorskog AFCOS sistema, kao dio pratećih podzakonskih akata, takođe nije usvojena u okviru Strategije. Prema informacijama prikupljenim tokom terenskih posjeta i intervjua s glavnim korisnikom, ovaj nedostatak je uglavnom uzrokovan nedavnom nestabilnom političkom klimom u zemlji, uz kontinuirane promjene u vladi i posljedičnim kašnjenjima u zakonodavnim procedurama i napretkom administrativnih reformi (vidi i Nalaz 12).</w:t>
      </w:r>
      <w:bookmarkStart w:id="32" w:name="_Toc133937767"/>
      <w:bookmarkEnd w:id="31"/>
    </w:p>
    <w:p w14:paraId="3A2DAAA8" w14:textId="77777777" w:rsidR="005016E0" w:rsidRDefault="00917030" w:rsidP="005016E0">
      <w:pPr>
        <w:spacing w:line="276" w:lineRule="auto"/>
        <w:jc w:val="both"/>
        <w:rPr>
          <w:b/>
        </w:rPr>
      </w:pPr>
      <w:r w:rsidRPr="00917030">
        <w:rPr>
          <w:b/>
        </w:rPr>
        <w:t xml:space="preserve">Nalaz 9: Potpisivanje protokola o bilateralnoj saradnji </w:t>
      </w:r>
      <w:r w:rsidR="003E4F25">
        <w:rPr>
          <w:b/>
          <w:lang w:val="sr-Latn-RS"/>
        </w:rPr>
        <w:t xml:space="preserve">kao </w:t>
      </w:r>
      <w:r w:rsidRPr="00917030">
        <w:rPr>
          <w:b/>
        </w:rPr>
        <w:t xml:space="preserve">prvi korak ka uspostavljanju efikasnog mehanizma koordinacije, sa visokokvalitetnim partnerstvima i dubljom međuinstitucionalnom saradnjom, još uvijek </w:t>
      </w:r>
      <w:r w:rsidR="003E4F25">
        <w:rPr>
          <w:b/>
          <w:lang w:val="sr-Latn-RS"/>
        </w:rPr>
        <w:t>nije kompletno realizovan</w:t>
      </w:r>
      <w:r w:rsidRPr="00917030">
        <w:rPr>
          <w:b/>
        </w:rPr>
        <w:t xml:space="preserve">. </w:t>
      </w:r>
    </w:p>
    <w:p w14:paraId="1587AA85" w14:textId="77777777" w:rsidR="005016E0" w:rsidRDefault="00826D24" w:rsidP="005016E0">
      <w:pPr>
        <w:spacing w:line="276" w:lineRule="auto"/>
        <w:jc w:val="both"/>
        <w:rPr>
          <w:rFonts w:cstheme="minorHAnsi"/>
        </w:rPr>
      </w:pPr>
      <w:r>
        <w:rPr>
          <w:rFonts w:cstheme="minorHAnsi"/>
          <w:lang w:val="sr-Latn-RS"/>
        </w:rPr>
        <w:t>Kako ni</w:t>
      </w:r>
      <w:r w:rsidR="00C82947">
        <w:rPr>
          <w:rFonts w:cstheme="minorHAnsi"/>
          <w:lang w:val="sr-Latn-RS"/>
        </w:rPr>
        <w:t>su</w:t>
      </w:r>
      <w:r>
        <w:rPr>
          <w:rFonts w:cstheme="minorHAnsi"/>
          <w:lang w:val="sr-Latn-RS"/>
        </w:rPr>
        <w:t xml:space="preserve"> završen</w:t>
      </w:r>
      <w:r w:rsidR="00C82947">
        <w:rPr>
          <w:rFonts w:cstheme="minorHAnsi"/>
          <w:lang w:val="sr-Latn-RS"/>
        </w:rPr>
        <w:t>e</w:t>
      </w:r>
      <w:r>
        <w:rPr>
          <w:rFonts w:cstheme="minorHAnsi"/>
          <w:lang w:val="sr-Latn-RS"/>
        </w:rPr>
        <w:t xml:space="preserve"> </w:t>
      </w:r>
      <w:r w:rsidR="00917030" w:rsidRPr="00917030">
        <w:rPr>
          <w:rFonts w:cstheme="minorHAnsi"/>
        </w:rPr>
        <w:t>Izmjen</w:t>
      </w:r>
      <w:r w:rsidR="00C82947">
        <w:rPr>
          <w:rFonts w:cstheme="minorHAnsi"/>
          <w:lang w:val="sr-Latn-RS"/>
        </w:rPr>
        <w:t>e</w:t>
      </w:r>
      <w:r w:rsidR="00917030" w:rsidRPr="00917030">
        <w:rPr>
          <w:rFonts w:cstheme="minorHAnsi"/>
        </w:rPr>
        <w:t xml:space="preserve"> Zakona</w:t>
      </w:r>
      <w:r w:rsidR="00C82947">
        <w:rPr>
          <w:rFonts w:cstheme="minorHAnsi"/>
          <w:lang w:val="sr-Latn-RS"/>
        </w:rPr>
        <w:t>,</w:t>
      </w:r>
      <w:r w:rsidR="00917030" w:rsidRPr="00917030">
        <w:rPr>
          <w:rFonts w:cstheme="minorHAnsi"/>
        </w:rPr>
        <w:t xml:space="preserve"> </w:t>
      </w:r>
      <w:r w:rsidR="00C82947">
        <w:rPr>
          <w:rFonts w:cstheme="minorHAnsi"/>
          <w:lang w:val="sr-Latn-RS"/>
        </w:rPr>
        <w:t>i</w:t>
      </w:r>
      <w:r w:rsidR="00917030" w:rsidRPr="00917030">
        <w:rPr>
          <w:rFonts w:cstheme="minorHAnsi"/>
        </w:rPr>
        <w:t xml:space="preserve"> donoše</w:t>
      </w:r>
      <w:r>
        <w:rPr>
          <w:rFonts w:cstheme="minorHAnsi"/>
          <w:lang w:val="sr-Latn-RS"/>
        </w:rPr>
        <w:t>na</w:t>
      </w:r>
      <w:r w:rsidR="00917030" w:rsidRPr="00917030">
        <w:rPr>
          <w:rFonts w:cstheme="minorHAnsi"/>
        </w:rPr>
        <w:t xml:space="preserve"> Uredb</w:t>
      </w:r>
      <w:r>
        <w:rPr>
          <w:rFonts w:cstheme="minorHAnsi"/>
          <w:lang w:val="sr-Latn-RS"/>
        </w:rPr>
        <w:t>a</w:t>
      </w:r>
      <w:r w:rsidR="00917030" w:rsidRPr="00917030">
        <w:rPr>
          <w:rFonts w:cstheme="minorHAnsi"/>
        </w:rPr>
        <w:t xml:space="preserve"> u institucionalnom okviru za funkcionisanje AFCOS sistema u Crnoj Gori</w:t>
      </w:r>
      <w:r>
        <w:rPr>
          <w:rFonts w:cstheme="minorHAnsi"/>
          <w:lang w:val="sr-Latn-RS"/>
        </w:rPr>
        <w:t>,</w:t>
      </w:r>
      <w:r w:rsidR="00917030" w:rsidRPr="00917030">
        <w:rPr>
          <w:rFonts w:cstheme="minorHAnsi"/>
        </w:rPr>
        <w:t xml:space="preserve"> ni predviđeno jačanje međuinstitucionalne saradnje nije ostvareno kako se očekivalo, a </w:t>
      </w:r>
      <w:r w:rsidR="00AF1604">
        <w:rPr>
          <w:rFonts w:cstheme="minorHAnsi"/>
          <w:lang w:val="sr-Latn-RS"/>
        </w:rPr>
        <w:t xml:space="preserve">ovo se </w:t>
      </w:r>
      <w:r w:rsidR="00917030" w:rsidRPr="00917030">
        <w:rPr>
          <w:rFonts w:cstheme="minorHAnsi"/>
        </w:rPr>
        <w:t xml:space="preserve">posebno ogleda u </w:t>
      </w:r>
      <w:r w:rsidR="00AF1604">
        <w:rPr>
          <w:rFonts w:cstheme="minorHAnsi"/>
          <w:lang w:val="sr-Latn-RS"/>
        </w:rPr>
        <w:t xml:space="preserve">stepenu </w:t>
      </w:r>
      <w:r w:rsidR="006E2B8A">
        <w:rPr>
          <w:rFonts w:cstheme="minorHAnsi"/>
          <w:lang w:val="sr-Latn-RS"/>
        </w:rPr>
        <w:t>realizacije</w:t>
      </w:r>
      <w:r w:rsidR="00917030" w:rsidRPr="00917030">
        <w:rPr>
          <w:rFonts w:cstheme="minorHAnsi"/>
        </w:rPr>
        <w:t xml:space="preserve"> mjere 1.3. koj</w:t>
      </w:r>
      <w:r w:rsidR="00AF1604">
        <w:rPr>
          <w:rFonts w:cstheme="minorHAnsi"/>
          <w:lang w:val="sr-Latn-RS"/>
        </w:rPr>
        <w:t>a</w:t>
      </w:r>
      <w:r w:rsidR="00917030" w:rsidRPr="00917030">
        <w:rPr>
          <w:rFonts w:cstheme="minorHAnsi"/>
        </w:rPr>
        <w:t xml:space="preserve"> je uključiva</w:t>
      </w:r>
      <w:r w:rsidR="00AF1604">
        <w:rPr>
          <w:rFonts w:cstheme="minorHAnsi"/>
          <w:lang w:val="sr-Latn-RS"/>
        </w:rPr>
        <w:t>la</w:t>
      </w:r>
      <w:r w:rsidR="00917030" w:rsidRPr="00917030">
        <w:rPr>
          <w:rFonts w:cstheme="minorHAnsi"/>
        </w:rPr>
        <w:t xml:space="preserve"> potpisivanje tri (3) protokola o saradnji između </w:t>
      </w:r>
      <w:r w:rsidR="007805E6">
        <w:rPr>
          <w:rFonts w:cstheme="minorHAnsi"/>
          <w:lang w:val="sr-Latn-RS"/>
        </w:rPr>
        <w:t>kancelarije</w:t>
      </w:r>
      <w:r w:rsidR="00917030" w:rsidRPr="00917030">
        <w:rPr>
          <w:rFonts w:cstheme="minorHAnsi"/>
        </w:rPr>
        <w:t xml:space="preserve"> AFCOS-a </w:t>
      </w:r>
      <w:r w:rsidR="007805E6">
        <w:rPr>
          <w:rFonts w:cstheme="minorHAnsi"/>
          <w:lang w:val="sr-Latn-RS"/>
        </w:rPr>
        <w:t>(tačnije Ministarstva finansija)</w:t>
      </w:r>
      <w:r w:rsidR="001902BD">
        <w:rPr>
          <w:rFonts w:cstheme="minorHAnsi"/>
          <w:lang w:val="sr-Latn-RS"/>
        </w:rPr>
        <w:t xml:space="preserve">, </w:t>
      </w:r>
      <w:r w:rsidR="00917030" w:rsidRPr="00917030">
        <w:rPr>
          <w:rFonts w:cstheme="minorHAnsi"/>
        </w:rPr>
        <w:t>i odabranih tijela AFCOS</w:t>
      </w:r>
      <w:r w:rsidR="007805E6">
        <w:rPr>
          <w:rFonts w:cstheme="minorHAnsi"/>
          <w:lang w:val="sr-Latn-RS"/>
        </w:rPr>
        <w:t xml:space="preserve"> mreže</w:t>
      </w:r>
      <w:r w:rsidR="00917030" w:rsidRPr="00917030">
        <w:rPr>
          <w:rFonts w:cstheme="minorHAnsi"/>
        </w:rPr>
        <w:t xml:space="preserve"> (Revizorsko tijelo, Ministarstvo unutrašnjih poslova i Državno tužilaštvo), kao dobra praksa koju su usvojile i druge susjedne zemlje. Do kraja referentnog perioda mjera je djelimično implementirana. Nadovezujući se na postojeće sporazume o međuinstitucionalnoj saradnji, potpisan je jedan protokol između </w:t>
      </w:r>
      <w:r w:rsidR="007805E6">
        <w:rPr>
          <w:rFonts w:cstheme="minorHAnsi"/>
          <w:lang w:val="sr-Latn-RS"/>
        </w:rPr>
        <w:t>Minitarstva finansija</w:t>
      </w:r>
      <w:r w:rsidR="00917030" w:rsidRPr="00917030">
        <w:rPr>
          <w:rFonts w:cstheme="minorHAnsi"/>
        </w:rPr>
        <w:t xml:space="preserve"> i Revizorskog tijela, dok druga dva sporazuma nisu materijaliz</w:t>
      </w:r>
      <w:r w:rsidR="007805E6">
        <w:rPr>
          <w:rFonts w:cstheme="minorHAnsi"/>
          <w:lang w:val="sr-Latn-RS"/>
        </w:rPr>
        <w:t>ovan</w:t>
      </w:r>
      <w:r w:rsidR="00917030" w:rsidRPr="00917030">
        <w:rPr>
          <w:rFonts w:cstheme="minorHAnsi"/>
        </w:rPr>
        <w:t>a kako je planirano. Ministarstvo unutrašnjih poslova je 2023. godine zaključilo drugi protokol kojim se ukazuje da se</w:t>
      </w:r>
      <w:r w:rsidR="006E2B8A">
        <w:rPr>
          <w:rFonts w:cstheme="minorHAnsi"/>
          <w:lang w:val="sr-Latn-RS"/>
        </w:rPr>
        <w:t>,</w:t>
      </w:r>
      <w:r w:rsidR="00917030" w:rsidRPr="00917030">
        <w:rPr>
          <w:rFonts w:cstheme="minorHAnsi"/>
        </w:rPr>
        <w:t xml:space="preserve"> ne bez zastoja</w:t>
      </w:r>
      <w:r w:rsidR="006E2B8A">
        <w:rPr>
          <w:rFonts w:cstheme="minorHAnsi"/>
          <w:lang w:val="sr-Latn-RS"/>
        </w:rPr>
        <w:t>,</w:t>
      </w:r>
      <w:r w:rsidR="00917030" w:rsidRPr="00917030">
        <w:rPr>
          <w:rFonts w:cstheme="minorHAnsi"/>
        </w:rPr>
        <w:t xml:space="preserve"> napreduje saradnj</w:t>
      </w:r>
      <w:r w:rsidR="00AD19A6">
        <w:rPr>
          <w:rFonts w:cstheme="minorHAnsi"/>
          <w:lang w:val="sr-Latn-RS"/>
        </w:rPr>
        <w:t>a među institucijama</w:t>
      </w:r>
      <w:r w:rsidR="00917030" w:rsidRPr="00917030">
        <w:rPr>
          <w:rFonts w:cstheme="minorHAnsi"/>
        </w:rPr>
        <w:t xml:space="preserve"> u zajednički dogovorenim oblastima</w:t>
      </w:r>
      <w:r w:rsidR="00AD19A6">
        <w:rPr>
          <w:rFonts w:cstheme="minorHAnsi"/>
          <w:lang w:val="sr-Latn-RS"/>
        </w:rPr>
        <w:t xml:space="preserve">, </w:t>
      </w:r>
      <w:r w:rsidR="00917030" w:rsidRPr="00917030">
        <w:rPr>
          <w:rFonts w:cstheme="minorHAnsi"/>
        </w:rPr>
        <w:t xml:space="preserve">od zajedničkog interesa. </w:t>
      </w:r>
    </w:p>
    <w:p w14:paraId="32C1AF1A" w14:textId="77777777" w:rsidR="005016E0" w:rsidRDefault="00917030" w:rsidP="005016E0">
      <w:pPr>
        <w:spacing w:line="276" w:lineRule="auto"/>
        <w:jc w:val="both"/>
        <w:rPr>
          <w:rFonts w:cstheme="minorHAnsi"/>
        </w:rPr>
      </w:pPr>
      <w:r w:rsidRPr="00917030">
        <w:rPr>
          <w:rFonts w:cstheme="minorHAnsi"/>
        </w:rPr>
        <w:t>U intervjuima sa predstavnicima AFCOS</w:t>
      </w:r>
      <w:r w:rsidR="00826D24">
        <w:rPr>
          <w:rFonts w:cstheme="minorHAnsi"/>
          <w:lang w:val="sr-Latn-RS"/>
        </w:rPr>
        <w:t xml:space="preserve"> mreže</w:t>
      </w:r>
      <w:r w:rsidRPr="00917030">
        <w:rPr>
          <w:rFonts w:cstheme="minorHAnsi"/>
        </w:rPr>
        <w:t xml:space="preserve"> je istaknuto da je u periodu 2019-2022. održan mali broj multilateralnih sastanaka. Sagovornici su takođe primijetili da odredbe regulatornog okvira stvaraju nejasnoće o tome šta se očekuje od svake institucije i o potencijalnim oblastima saradnje sa </w:t>
      </w:r>
      <w:r w:rsidR="001902BD">
        <w:rPr>
          <w:rFonts w:cstheme="minorHAnsi"/>
          <w:lang w:val="sr-Latn-RS"/>
        </w:rPr>
        <w:t>I</w:t>
      </w:r>
      <w:r w:rsidRPr="00917030">
        <w:rPr>
          <w:rFonts w:cstheme="minorHAnsi"/>
        </w:rPr>
        <w:t xml:space="preserve">PA strukturom, čime se sprečava </w:t>
      </w:r>
      <w:r w:rsidR="00AF1604">
        <w:rPr>
          <w:rFonts w:cstheme="minorHAnsi"/>
          <w:lang w:val="sr-Latn-RS"/>
        </w:rPr>
        <w:t>stvaranje</w:t>
      </w:r>
      <w:r w:rsidRPr="00917030">
        <w:rPr>
          <w:rFonts w:cstheme="minorHAnsi"/>
        </w:rPr>
        <w:t xml:space="preserve"> sinergije među različitim akterima AFCOS sistema, posebno u oblasti otkrivanja i sankcionisanja</w:t>
      </w:r>
      <w:r w:rsidR="00AF1604">
        <w:rPr>
          <w:rFonts w:cstheme="minorHAnsi"/>
          <w:lang w:val="sr-Latn-RS"/>
        </w:rPr>
        <w:t xml:space="preserve"> nepravilnosti i prevara</w:t>
      </w:r>
      <w:r w:rsidRPr="00917030">
        <w:rPr>
          <w:rFonts w:cstheme="minorHAnsi"/>
        </w:rPr>
        <w:t>.</w:t>
      </w:r>
    </w:p>
    <w:p w14:paraId="765489C2" w14:textId="77777777" w:rsidR="005016E0" w:rsidRDefault="00917030" w:rsidP="005016E0">
      <w:pPr>
        <w:spacing w:line="276" w:lineRule="auto"/>
        <w:jc w:val="both"/>
        <w:rPr>
          <w:rFonts w:cstheme="minorHAnsi"/>
        </w:rPr>
      </w:pPr>
      <w:r w:rsidRPr="00917030">
        <w:rPr>
          <w:rFonts w:cstheme="minorHAnsi"/>
        </w:rPr>
        <w:t xml:space="preserve">Gore navedeni nalazi smatraju se veoma ohrabrujućim i pokazuju značajan potencijal za unapređenje u oblasti međuinstitucionalne saradnje, kako promovisanjem tako i preduzimanjem praktičnih koraka ka efikasnim mehanizmima i procedurama saradnje. </w:t>
      </w:r>
    </w:p>
    <w:p w14:paraId="3CBD6CB4" w14:textId="77777777" w:rsidR="005016E0" w:rsidRDefault="00917030" w:rsidP="005016E0">
      <w:pPr>
        <w:spacing w:line="276" w:lineRule="auto"/>
        <w:jc w:val="both"/>
        <w:rPr>
          <w:b/>
        </w:rPr>
      </w:pPr>
      <w:r w:rsidRPr="00917030">
        <w:rPr>
          <w:b/>
        </w:rPr>
        <w:t xml:space="preserve">Nalaz 10: Uvođenje novih alata i procedura značajno je poboljšalo operativni okvir sistema upravljanja nepravilnostima, međutim, postignuti napredak se ne odražava u broju prijavljenih slučajeva. </w:t>
      </w:r>
    </w:p>
    <w:p w14:paraId="014665BC" w14:textId="77777777" w:rsidR="005016E0" w:rsidRDefault="00917030" w:rsidP="005016E0">
      <w:pPr>
        <w:spacing w:line="276" w:lineRule="auto"/>
        <w:jc w:val="both"/>
        <w:rPr>
          <w:rFonts w:cstheme="minorHAnsi"/>
        </w:rPr>
      </w:pPr>
      <w:r w:rsidRPr="00917030">
        <w:rPr>
          <w:rFonts w:cstheme="minorHAnsi"/>
        </w:rPr>
        <w:t xml:space="preserve">Uprkos koracima naprijed na operativnom unapređenju, rezultati povezani sa Strategijom tek treba da budu postignuti, budući da je broj nepravilnosti koje je prijavila Struktura za prijavu nepravilnosti i dalje iznenađujuće nizak. Treba istaći da je u 2020. godini prijavljeno pet (5) nepravilnosti, u 2021. godini </w:t>
      </w:r>
      <w:r w:rsidR="00774F82">
        <w:rPr>
          <w:rFonts w:cstheme="minorHAnsi"/>
          <w:lang w:val="sr-Latn-RS"/>
        </w:rPr>
        <w:t xml:space="preserve">- </w:t>
      </w:r>
      <w:r w:rsidRPr="00917030">
        <w:rPr>
          <w:rFonts w:cstheme="minorHAnsi"/>
        </w:rPr>
        <w:t xml:space="preserve">dvije (2) nepravilnosti, u 2022. </w:t>
      </w:r>
      <w:r w:rsidR="00774F82" w:rsidRPr="00917030">
        <w:rPr>
          <w:rFonts w:cstheme="minorHAnsi"/>
        </w:rPr>
        <w:t>G</w:t>
      </w:r>
      <w:r w:rsidRPr="00917030">
        <w:rPr>
          <w:rFonts w:cstheme="minorHAnsi"/>
        </w:rPr>
        <w:t>odini</w:t>
      </w:r>
      <w:r w:rsidR="00774F82">
        <w:rPr>
          <w:rFonts w:cstheme="minorHAnsi"/>
          <w:lang w:val="sr-Latn-RS"/>
        </w:rPr>
        <w:t>-pet</w:t>
      </w:r>
      <w:r w:rsidRPr="00917030">
        <w:rPr>
          <w:rFonts w:cstheme="minorHAnsi"/>
        </w:rPr>
        <w:t xml:space="preserve"> (5) i nula (0) slučajeva prevar</w:t>
      </w:r>
      <w:r w:rsidR="00774F82">
        <w:rPr>
          <w:rFonts w:cstheme="minorHAnsi"/>
          <w:lang w:val="sr-Latn-RS"/>
        </w:rPr>
        <w:t>a</w:t>
      </w:r>
      <w:r w:rsidRPr="00917030">
        <w:rPr>
          <w:rFonts w:cstheme="minorHAnsi"/>
        </w:rPr>
        <w:t xml:space="preserve"> tokom cijelog perioda implementacije Strategije. </w:t>
      </w:r>
    </w:p>
    <w:p w14:paraId="6046D2D5" w14:textId="77777777" w:rsidR="005016E0" w:rsidRDefault="00917030" w:rsidP="005016E0">
      <w:pPr>
        <w:spacing w:line="276" w:lineRule="auto"/>
        <w:jc w:val="both"/>
        <w:rPr>
          <w:rFonts w:cstheme="minorHAnsi"/>
        </w:rPr>
      </w:pPr>
      <w:r w:rsidRPr="00917030">
        <w:rPr>
          <w:rFonts w:cstheme="minorHAnsi"/>
        </w:rPr>
        <w:t>Tokom intervjua sa ključnim zainteresovanim stranama, tim za evaluaciju je identifikovao slučajeve u kojima ispitanici</w:t>
      </w:r>
      <w:r w:rsidR="00774F82">
        <w:rPr>
          <w:rFonts w:cstheme="minorHAnsi"/>
          <w:lang w:val="sr-Latn-RS"/>
        </w:rPr>
        <w:t xml:space="preserve">ma </w:t>
      </w:r>
      <w:r w:rsidRPr="00917030">
        <w:rPr>
          <w:rFonts w:cstheme="minorHAnsi"/>
        </w:rPr>
        <w:t>ni</w:t>
      </w:r>
      <w:r w:rsidR="00774F82">
        <w:rPr>
          <w:rFonts w:cstheme="minorHAnsi"/>
          <w:lang w:val="sr-Latn-RS"/>
        </w:rPr>
        <w:t>je</w:t>
      </w:r>
      <w:r w:rsidRPr="00917030">
        <w:rPr>
          <w:rFonts w:cstheme="minorHAnsi"/>
        </w:rPr>
        <w:t xml:space="preserve"> uv</w:t>
      </w:r>
      <w:r w:rsidR="00774F82">
        <w:rPr>
          <w:rFonts w:cstheme="minorHAnsi"/>
          <w:lang w:val="sr-Latn-RS"/>
        </w:rPr>
        <w:t>ij</w:t>
      </w:r>
      <w:r w:rsidRPr="00917030">
        <w:rPr>
          <w:rFonts w:cstheme="minorHAnsi"/>
        </w:rPr>
        <w:t>ek bil</w:t>
      </w:r>
      <w:r w:rsidR="00774F82">
        <w:rPr>
          <w:rFonts w:cstheme="minorHAnsi"/>
          <w:lang w:val="sr-Latn-RS"/>
        </w:rPr>
        <w:t>a</w:t>
      </w:r>
      <w:r w:rsidRPr="00917030">
        <w:rPr>
          <w:rFonts w:cstheme="minorHAnsi"/>
        </w:rPr>
        <w:t xml:space="preserve"> jasna razlika između prevare i nepravilnosti, a takođe se činilo da postoji niska sv</w:t>
      </w:r>
      <w:r w:rsidR="00774F82">
        <w:rPr>
          <w:rFonts w:cstheme="minorHAnsi"/>
          <w:lang w:val="sr-Latn-RS"/>
        </w:rPr>
        <w:t>ij</w:t>
      </w:r>
      <w:r w:rsidRPr="00917030">
        <w:rPr>
          <w:rFonts w:cstheme="minorHAnsi"/>
        </w:rPr>
        <w:t xml:space="preserve">est o širokom spektru uticaja prevarnih aktivnosti, što, </w:t>
      </w:r>
      <w:r w:rsidR="00774F82">
        <w:rPr>
          <w:rFonts w:cstheme="minorHAnsi"/>
          <w:lang w:val="sr-Latn-RS"/>
        </w:rPr>
        <w:t xml:space="preserve">bi </w:t>
      </w:r>
      <w:r w:rsidR="00774F82">
        <w:rPr>
          <w:rFonts w:cstheme="minorHAnsi"/>
          <w:lang w:val="sr-Latn-RS"/>
        </w:rPr>
        <w:lastRenderedPageBreak/>
        <w:t xml:space="preserve">se, </w:t>
      </w:r>
      <w:r w:rsidRPr="00917030">
        <w:rPr>
          <w:rFonts w:cstheme="minorHAnsi"/>
        </w:rPr>
        <w:t xml:space="preserve">prema </w:t>
      </w:r>
      <w:r w:rsidR="00774F82">
        <w:rPr>
          <w:rFonts w:cstheme="minorHAnsi"/>
          <w:lang w:val="sr-Latn-RS"/>
        </w:rPr>
        <w:t>mišljenju</w:t>
      </w:r>
      <w:r w:rsidRPr="00917030">
        <w:rPr>
          <w:rFonts w:cstheme="minorHAnsi"/>
        </w:rPr>
        <w:t xml:space="preserve"> tima za evaluaciju</w:t>
      </w:r>
      <w:r w:rsidR="00774F82">
        <w:rPr>
          <w:rFonts w:cstheme="minorHAnsi"/>
          <w:lang w:val="sr-Latn-RS"/>
        </w:rPr>
        <w:t>,</w:t>
      </w:r>
      <w:r w:rsidRPr="00917030">
        <w:rPr>
          <w:rFonts w:cstheme="minorHAnsi"/>
        </w:rPr>
        <w:t xml:space="preserve"> mog</w:t>
      </w:r>
      <w:r w:rsidR="00774F82">
        <w:rPr>
          <w:rFonts w:cstheme="minorHAnsi"/>
          <w:lang w:val="sr-Latn-RS"/>
        </w:rPr>
        <w:t>lo</w:t>
      </w:r>
      <w:r w:rsidRPr="00917030">
        <w:rPr>
          <w:rFonts w:cstheme="minorHAnsi"/>
        </w:rPr>
        <w:t xml:space="preserve"> povezati sa kvalitetom i kvantitetom prijavljivanja nepravilnosti. </w:t>
      </w:r>
    </w:p>
    <w:p w14:paraId="2E87A79F" w14:textId="77777777" w:rsidR="005016E0" w:rsidRDefault="00917030" w:rsidP="005016E0">
      <w:pPr>
        <w:spacing w:line="276" w:lineRule="auto"/>
        <w:jc w:val="both"/>
        <w:rPr>
          <w:rFonts w:cstheme="minorHAnsi"/>
        </w:rPr>
      </w:pPr>
      <w:r w:rsidRPr="00917030">
        <w:rPr>
          <w:rFonts w:cstheme="minorHAnsi"/>
        </w:rPr>
        <w:t xml:space="preserve">Dio razgovora sa predstavnicima </w:t>
      </w:r>
      <w:r w:rsidR="00774F82">
        <w:rPr>
          <w:rFonts w:cstheme="minorHAnsi"/>
          <w:lang w:val="sr-Latn-RS"/>
        </w:rPr>
        <w:t>instituci</w:t>
      </w:r>
      <w:r w:rsidRPr="00917030">
        <w:rPr>
          <w:rFonts w:cstheme="minorHAnsi"/>
        </w:rPr>
        <w:t xml:space="preserve">ja za upravljanje IPA-om, a posebno sa učesnicima koji su </w:t>
      </w:r>
      <w:r w:rsidR="00223BB4">
        <w:rPr>
          <w:rFonts w:cstheme="minorHAnsi"/>
          <w:lang w:val="sr-Latn-RS"/>
        </w:rPr>
        <w:t>imenovani</w:t>
      </w:r>
      <w:r w:rsidRPr="00917030">
        <w:rPr>
          <w:rFonts w:cstheme="minorHAnsi"/>
        </w:rPr>
        <w:t xml:space="preserve"> kao službenici za nepravilnosti, bio je posvećen istraživanju malog broja prijava nepravilnosti i nultog broja prijava prevara. U nekim prilikama, prilikom razmjene mišljenja i primjera potencijalnih nepravilnosti i slučajeva prevare, prevarne aktivnosti su pogrešno smatrane </w:t>
      </w:r>
      <w:r w:rsidR="00223BB4">
        <w:rPr>
          <w:rFonts w:cstheme="minorHAnsi"/>
          <w:lang w:val="sr-Latn-RS"/>
        </w:rPr>
        <w:t>slučajevima</w:t>
      </w:r>
      <w:r w:rsidRPr="00917030">
        <w:rPr>
          <w:rFonts w:cstheme="minorHAnsi"/>
        </w:rPr>
        <w:t xml:space="preserve"> nepravilnosti.</w:t>
      </w:r>
    </w:p>
    <w:p w14:paraId="76328269" w14:textId="18131134" w:rsidR="00917030" w:rsidRPr="00917030" w:rsidRDefault="00917030" w:rsidP="005016E0">
      <w:pPr>
        <w:spacing w:line="276" w:lineRule="auto"/>
        <w:jc w:val="both"/>
        <w:rPr>
          <w:b/>
        </w:rPr>
      </w:pPr>
      <w:r w:rsidRPr="00917030">
        <w:rPr>
          <w:rFonts w:cstheme="minorHAnsi"/>
        </w:rPr>
        <w:t xml:space="preserve"> Istovremeno, kao što je ranije istaknuto u analizi 5. nalaza, mnogi ključni akteri prepoznaju Strategiju kao umjereno važnu za njihove institucije i prvenstveno važnu za AFCOS </w:t>
      </w:r>
      <w:r w:rsidR="00223BB4">
        <w:rPr>
          <w:rFonts w:cstheme="minorHAnsi"/>
          <w:lang w:val="sr-Latn-RS"/>
        </w:rPr>
        <w:t>kancelariju</w:t>
      </w:r>
      <w:r w:rsidRPr="00917030">
        <w:rPr>
          <w:rFonts w:cstheme="minorHAnsi"/>
        </w:rPr>
        <w:t xml:space="preserve">. Ova zapažanja, zajedno s činjenicom da je veliki broj zaposlenih u upravljačkoj strukturi IPA-e nedavno imenovan ili premješten, pokazatelji su da bi se daljnje inicijative za podizanje svijesti o prevarama mogle pokazati izuzetno korisnim u uspostavljanju jake kulture borbe protiv prevara unutar AFCOS sistema, što bi zauzvrat moglo doprinijeti povećanju broja otkrivenih i prijavljenih nepravilnosti i slučajeva prevara. Osim toga, očekuje se da će dublja međuinstitucionalna saradnja između </w:t>
      </w:r>
      <w:r w:rsidR="00223BB4">
        <w:rPr>
          <w:rFonts w:cstheme="minorHAnsi"/>
          <w:lang w:val="sr-Latn-RS"/>
        </w:rPr>
        <w:t>institucija</w:t>
      </w:r>
      <w:r w:rsidRPr="00917030">
        <w:rPr>
          <w:rFonts w:cstheme="minorHAnsi"/>
        </w:rPr>
        <w:t xml:space="preserve"> za upravljanje IPA-om i članova AFCOS</w:t>
      </w:r>
      <w:r w:rsidR="00223BB4">
        <w:rPr>
          <w:rFonts w:cstheme="minorHAnsi"/>
          <w:lang w:val="sr-Latn-RS"/>
        </w:rPr>
        <w:t xml:space="preserve"> mreže</w:t>
      </w:r>
      <w:r w:rsidRPr="00917030">
        <w:rPr>
          <w:rFonts w:cstheme="minorHAnsi"/>
        </w:rPr>
        <w:t xml:space="preserve"> produbiti razumijevanje </w:t>
      </w:r>
      <w:r w:rsidR="00223BB4">
        <w:rPr>
          <w:rFonts w:cstheme="minorHAnsi"/>
          <w:lang w:val="sr-Latn-RS"/>
        </w:rPr>
        <w:t>samih IPA institucija</w:t>
      </w:r>
      <w:r w:rsidRPr="00917030">
        <w:rPr>
          <w:rFonts w:cstheme="minorHAnsi"/>
        </w:rPr>
        <w:t xml:space="preserve"> o pravnim pitanjima i praktičnim aspektima prakse otkrivanja, krivičnog gonjenja i sankcionisanja, što bi moglo povećati nivo profesionalnog povjerenja, što takođe dovodi do većeg broja prijavljenih nepravilnosti i slučajeva prevare.</w:t>
      </w:r>
    </w:p>
    <w:p w14:paraId="2AFF27F7" w14:textId="77777777" w:rsidR="00917030" w:rsidRDefault="00917030" w:rsidP="00F2318F">
      <w:pPr>
        <w:pStyle w:val="Heading3"/>
        <w:jc w:val="both"/>
        <w:rPr>
          <w:b/>
          <w:lang w:val="en-US"/>
        </w:rPr>
      </w:pPr>
    </w:p>
    <w:bookmarkEnd w:id="32"/>
    <w:p w14:paraId="4541CC7D" w14:textId="77777777" w:rsidR="000A49BC" w:rsidRDefault="00A85DBD" w:rsidP="00F2318F">
      <w:pPr>
        <w:spacing w:after="240" w:line="276" w:lineRule="auto"/>
        <w:jc w:val="both"/>
        <w:rPr>
          <w:rFonts w:asciiTheme="majorHAnsi" w:eastAsiaTheme="majorEastAsia" w:hAnsiTheme="majorHAnsi" w:cstheme="majorBidi"/>
          <w:b/>
          <w:color w:val="1F3763" w:themeColor="accent1" w:themeShade="7F"/>
          <w:sz w:val="24"/>
          <w:szCs w:val="24"/>
        </w:rPr>
      </w:pPr>
      <w:r w:rsidRPr="00A85DBD">
        <w:rPr>
          <w:rFonts w:asciiTheme="majorHAnsi" w:eastAsiaTheme="majorEastAsia" w:hAnsiTheme="majorHAnsi" w:cstheme="majorBidi"/>
          <w:b/>
          <w:color w:val="1F3763" w:themeColor="accent1" w:themeShade="7F"/>
          <w:sz w:val="24"/>
          <w:szCs w:val="24"/>
        </w:rPr>
        <w:t xml:space="preserve">Nalaz 11: Uveden je sistemski pristup u izvođenju obuka. Međutim, treba ojačati saradnju između Kancelarije AFCOS i Uprave za kadrove Crne Gore (HRMA). </w:t>
      </w:r>
    </w:p>
    <w:p w14:paraId="2F3FD126" w14:textId="77777777" w:rsidR="005016E0" w:rsidRDefault="00A85DBD" w:rsidP="00F2318F">
      <w:pPr>
        <w:spacing w:after="240" w:line="276" w:lineRule="auto"/>
        <w:jc w:val="both"/>
        <w:rPr>
          <w:rFonts w:eastAsiaTheme="majorEastAsia" w:cstheme="minorHAnsi"/>
        </w:rPr>
      </w:pPr>
      <w:r w:rsidRPr="000A49BC">
        <w:rPr>
          <w:rFonts w:eastAsiaTheme="majorEastAsia" w:cstheme="minorHAnsi"/>
        </w:rPr>
        <w:t>Paralelno sa aktivnostima obuke predviđenim Strategijom, Uprava za kadrove (ULK) u Crnoj Gori je u svoje godišnje plan</w:t>
      </w:r>
      <w:r w:rsidR="00B547E3">
        <w:rPr>
          <w:rFonts w:eastAsiaTheme="majorEastAsia" w:cstheme="minorHAnsi"/>
          <w:lang w:val="sr-Latn-RS"/>
        </w:rPr>
        <w:t xml:space="preserve">ove </w:t>
      </w:r>
      <w:r w:rsidRPr="000A49BC">
        <w:rPr>
          <w:rFonts w:eastAsiaTheme="majorEastAsia" w:cstheme="minorHAnsi"/>
        </w:rPr>
        <w:t>obuk</w:t>
      </w:r>
      <w:r w:rsidR="00B547E3">
        <w:rPr>
          <w:rFonts w:eastAsiaTheme="majorEastAsia" w:cstheme="minorHAnsi"/>
          <w:lang w:val="sr-Latn-RS"/>
        </w:rPr>
        <w:t>a</w:t>
      </w:r>
      <w:r w:rsidRPr="000A49BC">
        <w:rPr>
          <w:rFonts w:eastAsiaTheme="majorEastAsia" w:cstheme="minorHAnsi"/>
        </w:rPr>
        <w:t xml:space="preserve"> ugradila komponente koje se odnose i na zaštitu finansijskih interesa EU kroz sprečavanje nepravilnosti i prevara u kontekstu pretpristupne pomoći, zajedno sa sistematskim seminarima o etici i integritetu u javnom sektoru. Prema podacima Uprave za kadrove, u periodu implementacije Strategije održano je dvadeset devet (29) seminara o pitanjima integriteta i etike, sa ukupno petsto osamnaest (518) polaznika iz javnog sektora. Štaviše, tokom identifikacije potreba za obukom za godišnje planiranje programa obuke za 2022. godinu, pedeset pet (55) službenika je izrazilo interesovanje za pohađanje programa obuke „Zaštita finansijskih interesa EU kroz sprečavanje nepravilnosti i prevara u kontekst pretpristupne pomoći”. Iako AFCOS</w:t>
      </w:r>
      <w:r w:rsidR="00B547E3" w:rsidRPr="000A49BC">
        <w:rPr>
          <w:rFonts w:eastAsiaTheme="majorEastAsia" w:cstheme="minorHAnsi"/>
        </w:rPr>
        <w:t xml:space="preserve"> </w:t>
      </w:r>
      <w:r w:rsidR="00B547E3">
        <w:rPr>
          <w:rFonts w:eastAsiaTheme="majorEastAsia" w:cstheme="minorHAnsi"/>
          <w:lang w:val="sr-Latn-RS"/>
        </w:rPr>
        <w:t>kancelarija</w:t>
      </w:r>
      <w:r w:rsidRPr="000A49BC">
        <w:rPr>
          <w:rFonts w:eastAsiaTheme="majorEastAsia" w:cstheme="minorHAnsi"/>
        </w:rPr>
        <w:t xml:space="preserve"> posjeduje značajnu tematsku ekspertizu u navedenoj oblasti, nije učestvova</w:t>
      </w:r>
      <w:r w:rsidR="00B547E3">
        <w:rPr>
          <w:rFonts w:eastAsiaTheme="majorEastAsia" w:cstheme="minorHAnsi"/>
          <w:lang w:val="sr-Latn-RS"/>
        </w:rPr>
        <w:t>la</w:t>
      </w:r>
      <w:r w:rsidRPr="000A49BC">
        <w:rPr>
          <w:rFonts w:eastAsiaTheme="majorEastAsia" w:cstheme="minorHAnsi"/>
        </w:rPr>
        <w:t xml:space="preserve"> u osmišljavanju i realizaciji obuke koju je organizovala Uprava za kadrove. </w:t>
      </w:r>
    </w:p>
    <w:p w14:paraId="525FF7FD" w14:textId="77777777" w:rsidR="005016E0" w:rsidRDefault="00A85DBD" w:rsidP="00F2318F">
      <w:pPr>
        <w:spacing w:after="240" w:line="276" w:lineRule="auto"/>
        <w:jc w:val="both"/>
        <w:rPr>
          <w:rFonts w:eastAsiaTheme="majorEastAsia" w:cstheme="minorHAnsi"/>
        </w:rPr>
      </w:pPr>
      <w:r w:rsidRPr="000A49BC">
        <w:rPr>
          <w:rFonts w:eastAsiaTheme="majorEastAsia" w:cstheme="minorHAnsi"/>
        </w:rPr>
        <w:t xml:space="preserve">Bez obzira na napredak postignut ka usvajanju sistemskog pristupa obuci, postojanje paralelnih šema/programa koje sprovode različite institucije u oblasti borbe protiv prevara i upravljanja nepravilnostima bez prethodne konsultacije među njima naglašava nivo </w:t>
      </w:r>
      <w:r w:rsidR="009A4157">
        <w:rPr>
          <w:rFonts w:eastAsiaTheme="majorEastAsia" w:cstheme="minorHAnsi"/>
          <w:lang w:val="sr-Latn-RS"/>
        </w:rPr>
        <w:t>podjela</w:t>
      </w:r>
      <w:r w:rsidRPr="000A49BC">
        <w:rPr>
          <w:rFonts w:eastAsiaTheme="majorEastAsia" w:cstheme="minorHAnsi"/>
        </w:rPr>
        <w:t>, i potrebno je promovi</w:t>
      </w:r>
      <w:r w:rsidR="009A4157">
        <w:rPr>
          <w:rFonts w:eastAsiaTheme="majorEastAsia" w:cstheme="minorHAnsi"/>
          <w:lang w:val="sr-Latn-RS"/>
        </w:rPr>
        <w:t>s</w:t>
      </w:r>
      <w:r w:rsidRPr="000A49BC">
        <w:rPr>
          <w:rFonts w:eastAsiaTheme="majorEastAsia" w:cstheme="minorHAnsi"/>
        </w:rPr>
        <w:t>ati sinergiju između AFCOS</w:t>
      </w:r>
      <w:r w:rsidR="009A4157">
        <w:rPr>
          <w:rFonts w:eastAsiaTheme="majorEastAsia" w:cstheme="minorHAnsi"/>
          <w:lang w:val="sr-Latn-RS"/>
        </w:rPr>
        <w:t xml:space="preserve"> kancelarije</w:t>
      </w:r>
      <w:r w:rsidRPr="000A49BC">
        <w:rPr>
          <w:rFonts w:eastAsiaTheme="majorEastAsia" w:cstheme="minorHAnsi"/>
        </w:rPr>
        <w:t xml:space="preserve"> i Uprave za kadrove kako bi se izbjeglo dupliranje napora. </w:t>
      </w:r>
    </w:p>
    <w:p w14:paraId="278013FE" w14:textId="3E475A4C" w:rsidR="000A49BC" w:rsidRPr="000A49BC" w:rsidRDefault="00A85DBD" w:rsidP="00F2318F">
      <w:pPr>
        <w:spacing w:after="240" w:line="276" w:lineRule="auto"/>
        <w:jc w:val="both"/>
        <w:rPr>
          <w:rFonts w:eastAsiaTheme="majorEastAsia" w:cstheme="minorHAnsi"/>
        </w:rPr>
      </w:pPr>
      <w:r w:rsidRPr="000A49BC">
        <w:rPr>
          <w:rFonts w:eastAsiaTheme="majorEastAsia" w:cstheme="minorHAnsi"/>
        </w:rPr>
        <w:t>Evaluac</w:t>
      </w:r>
      <w:r w:rsidR="009A4157">
        <w:rPr>
          <w:rFonts w:eastAsiaTheme="majorEastAsia" w:cstheme="minorHAnsi"/>
          <w:lang w:val="sr-Latn-RS"/>
        </w:rPr>
        <w:t>ioni</w:t>
      </w:r>
      <w:r w:rsidRPr="000A49BC">
        <w:rPr>
          <w:rFonts w:eastAsiaTheme="majorEastAsia" w:cstheme="minorHAnsi"/>
        </w:rPr>
        <w:t xml:space="preserve">i tim smatra da jačanje saradnje između dvije institucije u planiranju, osmišljavanju i </w:t>
      </w:r>
      <w:r w:rsidR="009A4157">
        <w:rPr>
          <w:rFonts w:eastAsiaTheme="majorEastAsia" w:cstheme="minorHAnsi"/>
          <w:lang w:val="sr-Latn-RS"/>
        </w:rPr>
        <w:t>s</w:t>
      </w:r>
      <w:r w:rsidRPr="000A49BC">
        <w:rPr>
          <w:rFonts w:eastAsiaTheme="majorEastAsia" w:cstheme="minorHAnsi"/>
        </w:rPr>
        <w:t>provođenju aktivnosti obuk</w:t>
      </w:r>
      <w:r w:rsidR="00A738B6">
        <w:rPr>
          <w:rFonts w:eastAsiaTheme="majorEastAsia" w:cstheme="minorHAnsi"/>
          <w:lang w:val="sr-Latn-RS"/>
        </w:rPr>
        <w:t>a</w:t>
      </w:r>
      <w:r w:rsidRPr="000A49BC">
        <w:rPr>
          <w:rFonts w:eastAsiaTheme="majorEastAsia" w:cstheme="minorHAnsi"/>
        </w:rPr>
        <w:t xml:space="preserve"> iz oblasti upravljanja nepravilnostima i borbe protiv prevara </w:t>
      </w:r>
      <w:r w:rsidRPr="000A49BC">
        <w:rPr>
          <w:rFonts w:eastAsiaTheme="majorEastAsia" w:cstheme="minorHAnsi"/>
        </w:rPr>
        <w:lastRenderedPageBreak/>
        <w:t xml:space="preserve">treba da bude prioritet u narednom periodu. Kombinacija operativne ekspertize AFCOS </w:t>
      </w:r>
      <w:r w:rsidR="00A738B6">
        <w:rPr>
          <w:rFonts w:eastAsiaTheme="majorEastAsia" w:cstheme="minorHAnsi"/>
          <w:lang w:val="sr-Latn-RS"/>
        </w:rPr>
        <w:t>kancelarije</w:t>
      </w:r>
      <w:r w:rsidRPr="000A49BC">
        <w:rPr>
          <w:rFonts w:eastAsiaTheme="majorEastAsia" w:cstheme="minorHAnsi"/>
        </w:rPr>
        <w:t xml:space="preserve"> uz horizontalnu nadležnost Uprave za kadrove u oblasti obuk</w:t>
      </w:r>
      <w:r w:rsidR="00A738B6">
        <w:rPr>
          <w:rFonts w:eastAsiaTheme="majorEastAsia" w:cstheme="minorHAnsi"/>
          <w:lang w:val="sr-Latn-RS"/>
        </w:rPr>
        <w:t>a</w:t>
      </w:r>
      <w:r w:rsidRPr="000A49BC">
        <w:rPr>
          <w:rFonts w:eastAsiaTheme="majorEastAsia" w:cstheme="minorHAnsi"/>
        </w:rPr>
        <w:t xml:space="preserve"> ima potencijal da stvori višestruke efekte prelivanja u oblastima jačanja administrativnih kapaciteta AFCOS sistema, povećanja vidljivosti AFCOS mreže i podizanje svijesti javnog sektora o važnosti zaštite finansijskih interesa EU. Prvi korak za premošćavanje postojećeg jaza i jačanje međuinstitucionalne sinergije bilo bi uspostavljanje redovnog kanala komunikacije između dvije institucije i </w:t>
      </w:r>
      <w:r w:rsidR="00A738B6">
        <w:rPr>
          <w:rFonts w:eastAsiaTheme="majorEastAsia" w:cstheme="minorHAnsi"/>
          <w:lang w:val="sr-Latn-RS"/>
        </w:rPr>
        <w:t>s</w:t>
      </w:r>
      <w:r w:rsidRPr="000A49BC">
        <w:rPr>
          <w:rFonts w:eastAsiaTheme="majorEastAsia" w:cstheme="minorHAnsi"/>
        </w:rPr>
        <w:t>ertifici</w:t>
      </w:r>
      <w:r w:rsidR="00A738B6">
        <w:rPr>
          <w:rFonts w:eastAsiaTheme="majorEastAsia" w:cstheme="minorHAnsi"/>
          <w:lang w:val="sr-Latn-RS"/>
        </w:rPr>
        <w:t>kova</w:t>
      </w:r>
      <w:r w:rsidRPr="000A49BC">
        <w:rPr>
          <w:rFonts w:eastAsiaTheme="majorEastAsia" w:cstheme="minorHAnsi"/>
        </w:rPr>
        <w:t>nje osoblja AFCOS</w:t>
      </w:r>
      <w:r w:rsidR="00A738B6">
        <w:rPr>
          <w:rFonts w:eastAsiaTheme="majorEastAsia" w:cstheme="minorHAnsi"/>
          <w:lang w:val="sr-Latn-RS"/>
        </w:rPr>
        <w:t xml:space="preserve"> kancelarije</w:t>
      </w:r>
      <w:r w:rsidRPr="000A49BC">
        <w:rPr>
          <w:rFonts w:eastAsiaTheme="majorEastAsia" w:cstheme="minorHAnsi"/>
        </w:rPr>
        <w:t xml:space="preserve"> kao stručnjaka i trenera za borbu protiv prevara i nepravilnosti.</w:t>
      </w:r>
    </w:p>
    <w:p w14:paraId="179E33D5" w14:textId="788CE01C" w:rsidR="000A49BC" w:rsidRDefault="00A85DBD" w:rsidP="000A49BC">
      <w:pPr>
        <w:spacing w:after="240" w:line="276" w:lineRule="auto"/>
        <w:jc w:val="both"/>
        <w:rPr>
          <w:rFonts w:asciiTheme="majorHAnsi" w:eastAsiaTheme="majorEastAsia" w:hAnsiTheme="majorHAnsi" w:cstheme="majorBidi"/>
          <w:b/>
          <w:color w:val="1F3763" w:themeColor="accent1" w:themeShade="7F"/>
          <w:sz w:val="24"/>
          <w:szCs w:val="24"/>
        </w:rPr>
      </w:pPr>
      <w:r w:rsidRPr="00A85DBD">
        <w:rPr>
          <w:rFonts w:asciiTheme="majorHAnsi" w:eastAsiaTheme="majorEastAsia" w:hAnsiTheme="majorHAnsi" w:cstheme="majorBidi"/>
          <w:b/>
          <w:color w:val="1F3763" w:themeColor="accent1" w:themeShade="7F"/>
          <w:sz w:val="24"/>
          <w:szCs w:val="24"/>
        </w:rPr>
        <w:t xml:space="preserve"> </w:t>
      </w:r>
      <w:r w:rsidR="000A49BC" w:rsidRPr="000A49BC">
        <w:rPr>
          <w:rFonts w:asciiTheme="majorHAnsi" w:eastAsiaTheme="majorEastAsia" w:hAnsiTheme="majorHAnsi" w:cstheme="majorBidi"/>
          <w:b/>
          <w:color w:val="1F3763" w:themeColor="accent1" w:themeShade="7F"/>
          <w:sz w:val="24"/>
          <w:szCs w:val="24"/>
        </w:rPr>
        <w:t xml:space="preserve">Nalaz 12: Politička nestabilnost u kombinaciji sa velikom fluktuacijom zaposlenih u crnogorskoj javnoj upravi značajno je narušila dosljednu implementaciju Strategije, istovremeno ometajući njene potencijalne pozitivne </w:t>
      </w:r>
      <w:r w:rsidR="00A738B6">
        <w:rPr>
          <w:rFonts w:asciiTheme="majorHAnsi" w:eastAsiaTheme="majorEastAsia" w:hAnsiTheme="majorHAnsi" w:cstheme="majorBidi"/>
          <w:b/>
          <w:color w:val="1F3763" w:themeColor="accent1" w:themeShade="7F"/>
          <w:sz w:val="24"/>
          <w:szCs w:val="24"/>
          <w:lang w:val="sr-Latn-RS"/>
        </w:rPr>
        <w:t>„</w:t>
      </w:r>
      <w:r w:rsidR="000A49BC" w:rsidRPr="000A49BC">
        <w:rPr>
          <w:rFonts w:asciiTheme="majorHAnsi" w:eastAsiaTheme="majorEastAsia" w:hAnsiTheme="majorHAnsi" w:cstheme="majorBidi"/>
          <w:b/>
          <w:color w:val="1F3763" w:themeColor="accent1" w:themeShade="7F"/>
          <w:sz w:val="24"/>
          <w:szCs w:val="24"/>
        </w:rPr>
        <w:t>efekte prelivanja</w:t>
      </w:r>
      <w:r w:rsidR="00A738B6">
        <w:rPr>
          <w:rFonts w:asciiTheme="majorHAnsi" w:eastAsiaTheme="majorEastAsia" w:hAnsiTheme="majorHAnsi" w:cstheme="majorBidi"/>
          <w:b/>
          <w:color w:val="1F3763" w:themeColor="accent1" w:themeShade="7F"/>
          <w:sz w:val="24"/>
          <w:szCs w:val="24"/>
          <w:lang w:val="sr-Latn-RS"/>
        </w:rPr>
        <w:t>“</w:t>
      </w:r>
      <w:r w:rsidR="000A49BC" w:rsidRPr="000A49BC">
        <w:rPr>
          <w:rFonts w:asciiTheme="majorHAnsi" w:eastAsiaTheme="majorEastAsia" w:hAnsiTheme="majorHAnsi" w:cstheme="majorBidi"/>
          <w:b/>
          <w:color w:val="1F3763" w:themeColor="accent1" w:themeShade="7F"/>
          <w:sz w:val="24"/>
          <w:szCs w:val="24"/>
        </w:rPr>
        <w:t xml:space="preserve">. </w:t>
      </w:r>
    </w:p>
    <w:p w14:paraId="58179CB4" w14:textId="77777777" w:rsidR="005016E0" w:rsidRDefault="000A49BC" w:rsidP="000A49BC">
      <w:pPr>
        <w:spacing w:after="240" w:line="276" w:lineRule="auto"/>
        <w:jc w:val="both"/>
        <w:rPr>
          <w:rFonts w:eastAsiaTheme="majorEastAsia" w:cstheme="minorHAnsi"/>
          <w:sz w:val="24"/>
          <w:szCs w:val="24"/>
        </w:rPr>
      </w:pPr>
      <w:r w:rsidRPr="000A49BC">
        <w:rPr>
          <w:rFonts w:eastAsiaTheme="majorEastAsia" w:cstheme="minorHAnsi"/>
          <w:sz w:val="24"/>
          <w:szCs w:val="24"/>
        </w:rPr>
        <w:t xml:space="preserve">Postojeća politička klima u zemlji sa čestim promjenama vlasti u posljednjih nekoliko godina i kasnija kašnjenja u zakonodavnim i administrativnim reformama identifikovana su kao značajan nedostatak u efektivnom i efikasnom sprovođenju određenih aktivnosti Strategije, uz istovremeno ometanje njene ukupne dodane vrednosti i pozitivnih efekata prelivanja. </w:t>
      </w:r>
    </w:p>
    <w:p w14:paraId="5D7DF8A6" w14:textId="77777777" w:rsidR="005016E0" w:rsidRDefault="000A49BC" w:rsidP="000A49BC">
      <w:pPr>
        <w:spacing w:after="240" w:line="276" w:lineRule="auto"/>
        <w:jc w:val="both"/>
        <w:rPr>
          <w:rFonts w:eastAsiaTheme="majorEastAsia" w:cstheme="minorHAnsi"/>
          <w:sz w:val="24"/>
          <w:szCs w:val="24"/>
        </w:rPr>
      </w:pPr>
      <w:r w:rsidRPr="000A49BC">
        <w:rPr>
          <w:rFonts w:eastAsiaTheme="majorEastAsia" w:cstheme="minorHAnsi"/>
          <w:sz w:val="24"/>
          <w:szCs w:val="24"/>
        </w:rPr>
        <w:t xml:space="preserve">Politička scena u Crnoj Gori bila je turbulentna tokom čitavog </w:t>
      </w:r>
      <w:r w:rsidR="00A738B6">
        <w:rPr>
          <w:rFonts w:eastAsiaTheme="majorEastAsia" w:cstheme="minorHAnsi"/>
          <w:sz w:val="24"/>
          <w:szCs w:val="24"/>
          <w:lang w:val="sr-Latn-RS"/>
        </w:rPr>
        <w:t xml:space="preserve">perioda </w:t>
      </w:r>
      <w:r w:rsidRPr="000A49BC">
        <w:rPr>
          <w:rFonts w:eastAsiaTheme="majorEastAsia" w:cstheme="minorHAnsi"/>
          <w:sz w:val="24"/>
          <w:szCs w:val="24"/>
        </w:rPr>
        <w:t xml:space="preserve">trajanja Strategije. Samo u 2022. godini, intenzitet političke nestabilnosti i trvenja odrazio se padom dvije vlade, pri čemu je posljednja nastavila svoj rad u tehničkom mandatu do predsjedničkih izbora u zemlji u martu 2023. i parlamentarnih izbora u junu 2023. godine. </w:t>
      </w:r>
    </w:p>
    <w:p w14:paraId="03BB6C17" w14:textId="77777777" w:rsidR="005016E0" w:rsidRDefault="000A49BC" w:rsidP="000A49BC">
      <w:pPr>
        <w:spacing w:after="240" w:line="276" w:lineRule="auto"/>
        <w:jc w:val="both"/>
        <w:rPr>
          <w:rFonts w:eastAsiaTheme="majorEastAsia" w:cstheme="minorHAnsi"/>
          <w:sz w:val="24"/>
          <w:szCs w:val="24"/>
        </w:rPr>
      </w:pPr>
      <w:r w:rsidRPr="000A49BC">
        <w:rPr>
          <w:rFonts w:eastAsiaTheme="majorEastAsia" w:cstheme="minorHAnsi"/>
          <w:sz w:val="24"/>
          <w:szCs w:val="24"/>
        </w:rPr>
        <w:t xml:space="preserve">Nedostatak snažne i strukturirane političke podrške može značajno uticati na stepen posvećenosti i sposobnosti da se efikasno osmisle i implementiraju strateške reforme i političke inicijative. Ovo je posebno došlo do izražaja u vezi sa aktivnošću 1.1 Strategije 2019 – 2022. i nemogućnošću da se pristupi usvajanju pravnog osnova za funkcionisanje AFCOS sistema i zaštitu finansijskih interesa EU u Crnoj Gori, kroz blagovremenu izmjenu Zakona o budžetu i fiskalnoj odgovornosti u periodu važenja Strategije. </w:t>
      </w:r>
    </w:p>
    <w:p w14:paraId="33C2B8B4" w14:textId="77777777" w:rsidR="005016E0" w:rsidRDefault="000A49BC" w:rsidP="000A49BC">
      <w:pPr>
        <w:spacing w:after="240" w:line="276" w:lineRule="auto"/>
        <w:jc w:val="both"/>
        <w:rPr>
          <w:rFonts w:eastAsiaTheme="majorEastAsia" w:cstheme="minorHAnsi"/>
          <w:sz w:val="24"/>
          <w:szCs w:val="24"/>
        </w:rPr>
      </w:pPr>
      <w:r w:rsidRPr="000A49BC">
        <w:rPr>
          <w:rFonts w:eastAsiaTheme="majorEastAsia" w:cstheme="minorHAnsi"/>
          <w:sz w:val="24"/>
          <w:szCs w:val="24"/>
        </w:rPr>
        <w:t xml:space="preserve">Istovremeno, čini se da je postojeće stanje imalo još jednu nuspojavu, koja je takođe ometala uspješnu implementaciju Strategije, </w:t>
      </w:r>
      <w:r w:rsidR="00A738B6">
        <w:rPr>
          <w:rFonts w:eastAsiaTheme="majorEastAsia" w:cstheme="minorHAnsi"/>
          <w:sz w:val="24"/>
          <w:szCs w:val="24"/>
          <w:lang w:val="sr-Latn-RS"/>
        </w:rPr>
        <w:t xml:space="preserve">a </w:t>
      </w:r>
      <w:r w:rsidRPr="000A49BC">
        <w:rPr>
          <w:rFonts w:eastAsiaTheme="majorEastAsia" w:cstheme="minorHAnsi"/>
          <w:sz w:val="24"/>
          <w:szCs w:val="24"/>
        </w:rPr>
        <w:t>vezan</w:t>
      </w:r>
      <w:r w:rsidR="00A738B6">
        <w:rPr>
          <w:rFonts w:eastAsiaTheme="majorEastAsia" w:cstheme="minorHAnsi"/>
          <w:sz w:val="24"/>
          <w:szCs w:val="24"/>
          <w:lang w:val="sr-Latn-RS"/>
        </w:rPr>
        <w:t>a je</w:t>
      </w:r>
      <w:r w:rsidRPr="000A49BC">
        <w:rPr>
          <w:rFonts w:eastAsiaTheme="majorEastAsia" w:cstheme="minorHAnsi"/>
          <w:sz w:val="24"/>
          <w:szCs w:val="24"/>
        </w:rPr>
        <w:t xml:space="preserve"> za upravljanje ljudskim resursima. Tokom intervjua je istaknuto da su promjene u političkom rukovodstvu vrlo često praćene promjenama u najvišem i srednjem rukovodstvu javne uprave. Ove stalne promjene destabilizuju i utiču na institucionalni kontinuitet i kapacitet izgradnje institucionalnog znanja unutar AFCOS sistema, negativno utičući na operativne performanse. </w:t>
      </w:r>
    </w:p>
    <w:p w14:paraId="0DCC671B" w14:textId="482E5013" w:rsidR="00470ABE" w:rsidRPr="000A49BC" w:rsidRDefault="000A49BC" w:rsidP="000A49BC">
      <w:pPr>
        <w:spacing w:after="240" w:line="276" w:lineRule="auto"/>
        <w:jc w:val="both"/>
        <w:rPr>
          <w:rFonts w:cstheme="minorHAnsi"/>
          <w:lang w:val="en-US"/>
        </w:rPr>
      </w:pPr>
      <w:r w:rsidRPr="000A49BC">
        <w:rPr>
          <w:rFonts w:eastAsiaTheme="majorEastAsia" w:cstheme="minorHAnsi"/>
          <w:sz w:val="24"/>
          <w:szCs w:val="24"/>
        </w:rPr>
        <w:t xml:space="preserve">Pored toga, visoka stopa interne mobilnosti uočena u crnogorskoj javnoj upravi, a posebno u </w:t>
      </w:r>
      <w:r w:rsidR="00A738B6">
        <w:rPr>
          <w:rFonts w:eastAsiaTheme="majorEastAsia" w:cstheme="minorHAnsi"/>
          <w:sz w:val="24"/>
          <w:szCs w:val="24"/>
          <w:lang w:val="sr-Latn-RS"/>
        </w:rPr>
        <w:t>institucijama</w:t>
      </w:r>
      <w:r w:rsidRPr="000A49BC">
        <w:rPr>
          <w:rFonts w:eastAsiaTheme="majorEastAsia" w:cstheme="minorHAnsi"/>
          <w:sz w:val="24"/>
          <w:szCs w:val="24"/>
        </w:rPr>
        <w:t xml:space="preserve"> za upravljanje IPA-om, predstavlja još jedan uslov koji </w:t>
      </w:r>
      <w:r w:rsidRPr="000A49BC">
        <w:rPr>
          <w:rFonts w:eastAsiaTheme="majorEastAsia" w:cstheme="minorHAnsi"/>
          <w:sz w:val="24"/>
          <w:szCs w:val="24"/>
        </w:rPr>
        <w:lastRenderedPageBreak/>
        <w:t xml:space="preserve">onemogućuje uspostavljanje operativne stabilnosti i institucionalnog kontinuiteta. To je postalo izuzetno evidentno tokom intervjua, posebno sa predstavnicima IPA </w:t>
      </w:r>
      <w:r w:rsidR="00F35B4A">
        <w:rPr>
          <w:rFonts w:eastAsiaTheme="majorEastAsia" w:cstheme="minorHAnsi"/>
          <w:sz w:val="24"/>
          <w:szCs w:val="24"/>
          <w:lang w:val="sr-Latn-RS"/>
        </w:rPr>
        <w:t>institucija</w:t>
      </w:r>
      <w:r w:rsidRPr="000A49BC">
        <w:rPr>
          <w:rFonts w:eastAsiaTheme="majorEastAsia" w:cstheme="minorHAnsi"/>
          <w:sz w:val="24"/>
          <w:szCs w:val="24"/>
        </w:rPr>
        <w:t>, koji su nedavno imenovani ili premješteni na svoju sadašnju funkciju, uključujući u većini slučajeva službenike za nepravilnosti koji su učestvovali. Kombinacija velikog broja novopridošlih koji sistematski ulaze u IPA strukturu i ostaju na istoj poziciji u prosjeku od 2 do 5 godina u prosjeku, uz česte promjene u višoj hijerarhiji, ograničava ubiranje koristi u izgradnji institucionalnog znanja, operativnih kapaciteta i održivu efikasnost.</w:t>
      </w:r>
    </w:p>
    <w:p w14:paraId="721A4E0C" w14:textId="4E8919BE" w:rsidR="00923E48" w:rsidRDefault="00923E48" w:rsidP="00923E48">
      <w:pPr>
        <w:spacing w:line="276" w:lineRule="auto"/>
        <w:jc w:val="both"/>
        <w:rPr>
          <w:rFonts w:asciiTheme="majorHAnsi" w:eastAsiaTheme="majorEastAsia" w:hAnsiTheme="majorHAnsi" w:cstheme="majorBidi"/>
          <w:b/>
          <w:color w:val="1F3763" w:themeColor="accent1" w:themeShade="7F"/>
          <w:sz w:val="24"/>
          <w:szCs w:val="24"/>
        </w:rPr>
      </w:pPr>
      <w:r w:rsidRPr="00923E48">
        <w:rPr>
          <w:rFonts w:asciiTheme="majorHAnsi" w:eastAsiaTheme="majorEastAsia" w:hAnsiTheme="majorHAnsi" w:cstheme="majorBidi"/>
          <w:b/>
          <w:color w:val="1F3763" w:themeColor="accent1" w:themeShade="7F"/>
          <w:sz w:val="24"/>
          <w:szCs w:val="24"/>
        </w:rPr>
        <w:t>Nalaz 13: Kontinuirana marljivost i posvećenost AFCOS</w:t>
      </w:r>
      <w:r w:rsidR="00F35B4A">
        <w:rPr>
          <w:rFonts w:asciiTheme="majorHAnsi" w:eastAsiaTheme="majorEastAsia" w:hAnsiTheme="majorHAnsi" w:cstheme="majorBidi"/>
          <w:b/>
          <w:color w:val="1F3763" w:themeColor="accent1" w:themeShade="7F"/>
          <w:sz w:val="24"/>
          <w:szCs w:val="24"/>
          <w:lang w:val="sr-Latn-RS"/>
        </w:rPr>
        <w:t xml:space="preserve"> kancelarije</w:t>
      </w:r>
      <w:r w:rsidRPr="00923E48">
        <w:rPr>
          <w:rFonts w:asciiTheme="majorHAnsi" w:eastAsiaTheme="majorEastAsia" w:hAnsiTheme="majorHAnsi" w:cstheme="majorBidi"/>
          <w:b/>
          <w:color w:val="1F3763" w:themeColor="accent1" w:themeShade="7F"/>
          <w:sz w:val="24"/>
          <w:szCs w:val="24"/>
        </w:rPr>
        <w:t xml:space="preserve"> istaknuti su kao odlučujući faktor koji omogućava realizaciju aktivnosti i nakon završetka perioda implementacije. </w:t>
      </w:r>
    </w:p>
    <w:p w14:paraId="0C6C4CB5" w14:textId="77777777" w:rsidR="005016E0" w:rsidRDefault="00923E48" w:rsidP="00053470">
      <w:pPr>
        <w:spacing w:line="276" w:lineRule="auto"/>
        <w:jc w:val="both"/>
        <w:rPr>
          <w:rFonts w:eastAsiaTheme="majorEastAsia" w:cstheme="minorHAnsi"/>
        </w:rPr>
      </w:pPr>
      <w:r w:rsidRPr="00053470">
        <w:rPr>
          <w:rFonts w:eastAsiaTheme="majorEastAsia" w:cstheme="minorHAnsi"/>
        </w:rPr>
        <w:t xml:space="preserve">Kancelarija AFCOS-a je tokom implementacije Strategije, a potom i nakon toga, pokazala visok nivo posvećenosti, pri čemu su njenu rezoluciju prepoznali svi ključni akteri. Za vrijeme trajanja Strategije, </w:t>
      </w:r>
      <w:r w:rsidR="00F35B4A">
        <w:rPr>
          <w:rFonts w:eastAsiaTheme="majorEastAsia" w:cstheme="minorHAnsi"/>
          <w:lang w:val="sr-Latn-RS"/>
        </w:rPr>
        <w:t>službenici</w:t>
      </w:r>
      <w:r w:rsidRPr="00053470">
        <w:rPr>
          <w:rFonts w:eastAsiaTheme="majorEastAsia" w:cstheme="minorHAnsi"/>
        </w:rPr>
        <w:t xml:space="preserve"> AFCOS</w:t>
      </w:r>
      <w:r w:rsidR="00F35B4A">
        <w:rPr>
          <w:rFonts w:eastAsiaTheme="majorEastAsia" w:cstheme="minorHAnsi"/>
          <w:lang w:val="sr-Latn-RS"/>
        </w:rPr>
        <w:t xml:space="preserve"> kancelarije</w:t>
      </w:r>
      <w:r w:rsidRPr="00053470">
        <w:rPr>
          <w:rFonts w:eastAsiaTheme="majorEastAsia" w:cstheme="minorHAnsi"/>
        </w:rPr>
        <w:t xml:space="preserve"> ostal</w:t>
      </w:r>
      <w:r w:rsidR="00F35B4A">
        <w:rPr>
          <w:rFonts w:eastAsiaTheme="majorEastAsia" w:cstheme="minorHAnsi"/>
          <w:lang w:val="sr-Latn-RS"/>
        </w:rPr>
        <w:t>i su</w:t>
      </w:r>
      <w:r w:rsidRPr="00053470">
        <w:rPr>
          <w:rFonts w:eastAsiaTheme="majorEastAsia" w:cstheme="minorHAnsi"/>
        </w:rPr>
        <w:t xml:space="preserve"> rigorozn</w:t>
      </w:r>
      <w:r w:rsidR="00F35B4A">
        <w:rPr>
          <w:rFonts w:eastAsiaTheme="majorEastAsia" w:cstheme="minorHAnsi"/>
          <w:lang w:val="sr-Latn-RS"/>
        </w:rPr>
        <w:t>i</w:t>
      </w:r>
      <w:r w:rsidRPr="00053470">
        <w:rPr>
          <w:rFonts w:eastAsiaTheme="majorEastAsia" w:cstheme="minorHAnsi"/>
        </w:rPr>
        <w:t xml:space="preserve"> i </w:t>
      </w:r>
      <w:r w:rsidR="00F35B4A">
        <w:rPr>
          <w:rFonts w:eastAsiaTheme="majorEastAsia" w:cstheme="minorHAnsi"/>
          <w:lang w:val="sr-Latn-RS"/>
        </w:rPr>
        <w:t>u</w:t>
      </w:r>
      <w:r w:rsidRPr="00053470">
        <w:rPr>
          <w:rFonts w:eastAsiaTheme="majorEastAsia" w:cstheme="minorHAnsi"/>
        </w:rPr>
        <w:t>porn</w:t>
      </w:r>
      <w:r w:rsidR="00F35B4A">
        <w:rPr>
          <w:rFonts w:eastAsiaTheme="majorEastAsia" w:cstheme="minorHAnsi"/>
          <w:lang w:val="sr-Latn-RS"/>
        </w:rPr>
        <w:t>i</w:t>
      </w:r>
      <w:r w:rsidRPr="00053470">
        <w:rPr>
          <w:rFonts w:eastAsiaTheme="majorEastAsia" w:cstheme="minorHAnsi"/>
        </w:rPr>
        <w:t xml:space="preserve"> u svojim naporima da </w:t>
      </w:r>
      <w:r w:rsidR="00F35B4A">
        <w:rPr>
          <w:rFonts w:eastAsiaTheme="majorEastAsia" w:cstheme="minorHAnsi"/>
          <w:lang w:val="sr-Latn-RS"/>
        </w:rPr>
        <w:t>s</w:t>
      </w:r>
      <w:r w:rsidRPr="00053470">
        <w:rPr>
          <w:rFonts w:eastAsiaTheme="majorEastAsia" w:cstheme="minorHAnsi"/>
        </w:rPr>
        <w:t>proved</w:t>
      </w:r>
      <w:r w:rsidR="00F35B4A">
        <w:rPr>
          <w:rFonts w:eastAsiaTheme="majorEastAsia" w:cstheme="minorHAnsi"/>
          <w:lang w:val="sr-Latn-RS"/>
        </w:rPr>
        <w:t>u</w:t>
      </w:r>
      <w:r w:rsidRPr="00053470">
        <w:rPr>
          <w:rFonts w:eastAsiaTheme="majorEastAsia" w:cstheme="minorHAnsi"/>
        </w:rPr>
        <w:t xml:space="preserve"> cjelokupne aktivnosti Strategije, uprkos poteškoćama koje su nastale bilo zbog neočekivanih okolnosti kao što je pandemija, bilo zbog slabosti i nedostataka proisteklih iz </w:t>
      </w:r>
      <w:r w:rsidR="00F35B4A">
        <w:rPr>
          <w:rFonts w:eastAsiaTheme="majorEastAsia" w:cstheme="minorHAnsi"/>
          <w:lang w:val="sr-Latn-RS"/>
        </w:rPr>
        <w:t>spoljn</w:t>
      </w:r>
      <w:r w:rsidRPr="00053470">
        <w:rPr>
          <w:rFonts w:eastAsiaTheme="majorEastAsia" w:cstheme="minorHAnsi"/>
        </w:rPr>
        <w:t xml:space="preserve">og okruženja. </w:t>
      </w:r>
    </w:p>
    <w:p w14:paraId="440F0BC0" w14:textId="50349606" w:rsidR="00053470" w:rsidRDefault="00923E48" w:rsidP="00053470">
      <w:pPr>
        <w:spacing w:line="276" w:lineRule="auto"/>
        <w:jc w:val="both"/>
        <w:rPr>
          <w:rFonts w:eastAsiaTheme="majorEastAsia" w:cstheme="minorHAnsi"/>
        </w:rPr>
      </w:pPr>
      <w:r w:rsidRPr="00053470">
        <w:rPr>
          <w:rFonts w:eastAsiaTheme="majorEastAsia" w:cstheme="minorHAnsi"/>
        </w:rPr>
        <w:t>Tokom intervjua zabilježi</w:t>
      </w:r>
      <w:r w:rsidR="00F35B4A">
        <w:rPr>
          <w:rFonts w:eastAsiaTheme="majorEastAsia" w:cstheme="minorHAnsi"/>
          <w:lang w:val="sr-Latn-RS"/>
        </w:rPr>
        <w:t>n</w:t>
      </w:r>
      <w:r w:rsidRPr="00053470">
        <w:rPr>
          <w:rFonts w:eastAsiaTheme="majorEastAsia" w:cstheme="minorHAnsi"/>
        </w:rPr>
        <w:t xml:space="preserve"> je visok stepen zadovoljstva </w:t>
      </w:r>
      <w:r w:rsidR="00F35B4A">
        <w:rPr>
          <w:rFonts w:eastAsiaTheme="majorEastAsia" w:cstheme="minorHAnsi"/>
          <w:lang w:val="sr-Latn-RS"/>
        </w:rPr>
        <w:t xml:space="preserve">saradnje </w:t>
      </w:r>
      <w:r w:rsidRPr="00053470">
        <w:rPr>
          <w:rFonts w:eastAsiaTheme="majorEastAsia" w:cstheme="minorHAnsi"/>
        </w:rPr>
        <w:t>svih ključnih aktera koji su učestvovali u intervjuima</w:t>
      </w:r>
      <w:r w:rsidR="00F35B4A">
        <w:rPr>
          <w:rFonts w:eastAsiaTheme="majorEastAsia" w:cstheme="minorHAnsi"/>
          <w:lang w:val="sr-Latn-RS"/>
        </w:rPr>
        <w:t>, sa AFCOS kancelarijom</w:t>
      </w:r>
      <w:r w:rsidRPr="00053470">
        <w:rPr>
          <w:rFonts w:eastAsiaTheme="majorEastAsia" w:cstheme="minorHAnsi"/>
        </w:rPr>
        <w:t xml:space="preserve">, što je potvrđeno i podacima prikupljenim iz </w:t>
      </w:r>
      <w:r w:rsidR="00053470" w:rsidRPr="00053470">
        <w:rPr>
          <w:rFonts w:eastAsiaTheme="majorEastAsia" w:cstheme="minorHAnsi"/>
          <w:lang w:val="sr-Latn-RS"/>
        </w:rPr>
        <w:t>p</w:t>
      </w:r>
      <w:r w:rsidRPr="00053470">
        <w:rPr>
          <w:rFonts w:eastAsiaTheme="majorEastAsia" w:cstheme="minorHAnsi"/>
        </w:rPr>
        <w:t xml:space="preserve">opunjenih upitnika, </w:t>
      </w:r>
      <w:r w:rsidR="00F35B4A">
        <w:rPr>
          <w:rFonts w:eastAsiaTheme="majorEastAsia" w:cstheme="minorHAnsi"/>
          <w:lang w:val="sr-Latn-RS"/>
        </w:rPr>
        <w:t xml:space="preserve">a </w:t>
      </w:r>
      <w:r w:rsidRPr="00053470">
        <w:rPr>
          <w:rFonts w:eastAsiaTheme="majorEastAsia" w:cstheme="minorHAnsi"/>
        </w:rPr>
        <w:t>što se može vidjeti na sljedećem grafikonu:</w:t>
      </w:r>
    </w:p>
    <w:p w14:paraId="1F0198D4" w14:textId="46765105" w:rsidR="00B03E52" w:rsidRDefault="00B03E52" w:rsidP="00053470">
      <w:pPr>
        <w:spacing w:line="276" w:lineRule="auto"/>
        <w:jc w:val="both"/>
        <w:rPr>
          <w:lang w:val="en-US"/>
        </w:rPr>
      </w:pPr>
      <w:r w:rsidRPr="00053470">
        <w:rPr>
          <w:rFonts w:cstheme="minorHAnsi"/>
          <w:noProof/>
        </w:rPr>
        <w:drawing>
          <wp:inline distT="0" distB="0" distL="0" distR="0" wp14:anchorId="31C50B4D" wp14:editId="20C0455A">
            <wp:extent cx="4340423" cy="2695699"/>
            <wp:effectExtent l="0" t="0" r="3175" b="0"/>
            <wp:docPr id="1465139756" name="Chart 1">
              <a:extLst xmlns:a="http://schemas.openxmlformats.org/drawingml/2006/main">
                <a:ext uri="{FF2B5EF4-FFF2-40B4-BE49-F238E27FC236}">
                  <a16:creationId xmlns:a16="http://schemas.microsoft.com/office/drawing/2014/main" id="{35FCB162-E524-B7C0-B060-C26B9FB7B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A66039" w14:textId="77777777" w:rsidR="00897B52" w:rsidRDefault="00053470" w:rsidP="00897B52">
      <w:pPr>
        <w:spacing w:line="276" w:lineRule="auto"/>
        <w:jc w:val="both"/>
        <w:rPr>
          <w:b/>
        </w:rPr>
      </w:pPr>
      <w:r w:rsidRPr="00053470">
        <w:t xml:space="preserve">Takođe treba istaći da je i nakon završetka Strategije i tokom </w:t>
      </w:r>
      <w:r w:rsidR="00F35B4A">
        <w:rPr>
          <w:lang w:val="sr-Latn-RS"/>
        </w:rPr>
        <w:t>s</w:t>
      </w:r>
      <w:r w:rsidRPr="00053470">
        <w:t xml:space="preserve">provođenja evaluacije, AFCOS </w:t>
      </w:r>
      <w:r w:rsidR="00F35B4A">
        <w:rPr>
          <w:lang w:val="sr-Latn-RS"/>
        </w:rPr>
        <w:t xml:space="preserve">kancelarija </w:t>
      </w:r>
      <w:r w:rsidRPr="00053470">
        <w:t>nastavi</w:t>
      </w:r>
      <w:r w:rsidR="00F35B4A">
        <w:rPr>
          <w:lang w:val="sr-Latn-RS"/>
        </w:rPr>
        <w:t>la</w:t>
      </w:r>
      <w:r w:rsidRPr="00053470">
        <w:t xml:space="preserve"> sa svim naporima da zaključi aktivnosti koje nisu završene. Kao rezultat toga, donesena je izmjena Zakona o budžetu i fiskalnoj odgovornosti u prvom kvartalu 2023. godine, doneta Uredba kojom se uređuje institucionalni okvir za funkcionisanje sistema za borbu protiv prevara i nepravilnosti u Crnoj Gori</w:t>
      </w:r>
      <w:r w:rsidR="00F35B4A">
        <w:rPr>
          <w:lang w:val="sr-Latn-RS"/>
        </w:rPr>
        <w:t xml:space="preserve"> (u okviru sveobuhvatne Uredbe o IPA III)</w:t>
      </w:r>
      <w:r w:rsidRPr="00053470">
        <w:t xml:space="preserve">, drugi protokol o saradnji je potpisan sa Ministarstvom unutrašnjih poslova, a obuke koje nisu realizovane, realizuju se kroz Twining Light projekat „Unapređenje kapaciteta organa AFCOS </w:t>
      </w:r>
      <w:r w:rsidRPr="00053470">
        <w:lastRenderedPageBreak/>
        <w:t xml:space="preserve">sistema u oblasti upravljanja nepravilnostima“. </w:t>
      </w:r>
      <w:r w:rsidRPr="00897B52">
        <w:rPr>
          <w:b/>
        </w:rPr>
        <w:t xml:space="preserve">Dakle, većina mjera i aktivnosti Strategije je u ovom trenutku završena, protežući se do stope </w:t>
      </w:r>
      <w:r w:rsidR="00F35B4A" w:rsidRPr="00897B52">
        <w:rPr>
          <w:b/>
          <w:lang w:val="sr-Latn-RS"/>
        </w:rPr>
        <w:t>za</w:t>
      </w:r>
      <w:r w:rsidRPr="00897B52">
        <w:rPr>
          <w:b/>
        </w:rPr>
        <w:t xml:space="preserve">vršenosti od 90%, </w:t>
      </w:r>
      <w:r w:rsidR="00F35B4A" w:rsidRPr="00897B52">
        <w:rPr>
          <w:b/>
          <w:lang w:val="sr-Latn-RS"/>
        </w:rPr>
        <w:t xml:space="preserve">na taj način </w:t>
      </w:r>
      <w:r w:rsidRPr="00897B52">
        <w:rPr>
          <w:b/>
        </w:rPr>
        <w:t>postavljajući čvrste temelje za budućnost.</w:t>
      </w:r>
    </w:p>
    <w:p w14:paraId="0BF28D02" w14:textId="77777777" w:rsidR="00897B52" w:rsidRDefault="00897B52" w:rsidP="00897B52">
      <w:pPr>
        <w:spacing w:line="276" w:lineRule="auto"/>
        <w:jc w:val="both"/>
        <w:rPr>
          <w:b/>
          <w:lang w:val="en-US"/>
        </w:rPr>
      </w:pPr>
    </w:p>
    <w:p w14:paraId="1EDF3D6C" w14:textId="0DC64FDD" w:rsidR="002E4BC5" w:rsidRDefault="002E4BC5" w:rsidP="00897B52">
      <w:pPr>
        <w:spacing w:line="276" w:lineRule="auto"/>
        <w:jc w:val="both"/>
        <w:rPr>
          <w:b/>
          <w:lang w:val="en-US"/>
        </w:rPr>
      </w:pPr>
      <w:r w:rsidRPr="00AC2D64">
        <w:rPr>
          <w:b/>
          <w:lang w:val="en-US"/>
        </w:rPr>
        <w:t>4.</w:t>
      </w:r>
      <w:r w:rsidRPr="009459D0">
        <w:rPr>
          <w:b/>
          <w:lang w:val="en-US"/>
        </w:rPr>
        <w:t>3</w:t>
      </w:r>
      <w:r w:rsidRPr="00AC2D64">
        <w:rPr>
          <w:b/>
          <w:lang w:val="en-US"/>
        </w:rPr>
        <w:t xml:space="preserve"> </w:t>
      </w:r>
      <w:r w:rsidR="00EE5854">
        <w:rPr>
          <w:b/>
          <w:lang w:val="en-US"/>
        </w:rPr>
        <w:t xml:space="preserve">EU </w:t>
      </w:r>
      <w:r w:rsidR="00347DB0">
        <w:rPr>
          <w:b/>
          <w:lang w:val="en-US"/>
        </w:rPr>
        <w:t>dodata vrijednost</w:t>
      </w:r>
    </w:p>
    <w:p w14:paraId="4CB4E290" w14:textId="2BE1043A" w:rsidR="003C6EBA" w:rsidRPr="00E44ECA" w:rsidRDefault="003C6EBA" w:rsidP="00D25CB4">
      <w:pPr>
        <w:spacing w:line="276" w:lineRule="auto"/>
        <w:jc w:val="both"/>
        <w:rPr>
          <w:rFonts w:asciiTheme="majorHAnsi" w:eastAsiaTheme="majorEastAsia" w:hAnsiTheme="majorHAnsi" w:cstheme="majorBidi"/>
          <w:sz w:val="24"/>
          <w:szCs w:val="24"/>
        </w:rPr>
      </w:pPr>
      <w:r w:rsidRPr="00E44ECA">
        <w:rPr>
          <w:rFonts w:asciiTheme="majorHAnsi" w:eastAsiaTheme="majorEastAsia" w:hAnsiTheme="majorHAnsi" w:cstheme="majorBidi"/>
          <w:sz w:val="24"/>
          <w:szCs w:val="24"/>
        </w:rPr>
        <w:t>S obzirom na strateški cilj zemlje da postane država članica EU, nalazi evaluacije su predstavljeni i analizirani kroz prizmu strateške doda</w:t>
      </w:r>
      <w:r w:rsidR="00347DB0" w:rsidRPr="00E44ECA">
        <w:rPr>
          <w:rFonts w:asciiTheme="majorHAnsi" w:eastAsiaTheme="majorEastAsia" w:hAnsiTheme="majorHAnsi" w:cstheme="majorBidi"/>
          <w:sz w:val="24"/>
          <w:szCs w:val="24"/>
          <w:lang w:val="sr-Latn-RS"/>
        </w:rPr>
        <w:t>t</w:t>
      </w:r>
      <w:r w:rsidRPr="00E44ECA">
        <w:rPr>
          <w:rFonts w:asciiTheme="majorHAnsi" w:eastAsiaTheme="majorEastAsia" w:hAnsiTheme="majorHAnsi" w:cstheme="majorBidi"/>
          <w:sz w:val="24"/>
          <w:szCs w:val="24"/>
        </w:rPr>
        <w:t xml:space="preserve">e vrijednosti za podršku pristupanju EU, kao i njen doprinos razvoju neophodnih uslova za efikasnu zaštitu </w:t>
      </w:r>
      <w:r w:rsidR="00347DB0" w:rsidRPr="00E44ECA">
        <w:rPr>
          <w:rFonts w:asciiTheme="majorHAnsi" w:eastAsiaTheme="majorEastAsia" w:hAnsiTheme="majorHAnsi" w:cstheme="majorBidi"/>
          <w:sz w:val="24"/>
          <w:szCs w:val="24"/>
          <w:lang w:val="sr-Latn-RS"/>
        </w:rPr>
        <w:t>EU</w:t>
      </w:r>
      <w:r w:rsidRPr="00E44ECA">
        <w:rPr>
          <w:rFonts w:asciiTheme="majorHAnsi" w:eastAsiaTheme="majorEastAsia" w:hAnsiTheme="majorHAnsi" w:cstheme="majorBidi"/>
          <w:sz w:val="24"/>
          <w:szCs w:val="24"/>
        </w:rPr>
        <w:t xml:space="preserve"> finansijskih interesa u Crnoj Gori. </w:t>
      </w:r>
    </w:p>
    <w:p w14:paraId="74219BDA" w14:textId="77777777" w:rsidR="003C6EBA" w:rsidRPr="003C6EBA" w:rsidRDefault="003C6EBA" w:rsidP="00D25CB4">
      <w:pPr>
        <w:spacing w:line="276" w:lineRule="auto"/>
        <w:jc w:val="both"/>
        <w:rPr>
          <w:rFonts w:asciiTheme="majorHAnsi" w:eastAsiaTheme="majorEastAsia" w:hAnsiTheme="majorHAnsi" w:cstheme="majorBidi"/>
          <w:b/>
          <w:color w:val="1F3763" w:themeColor="accent1" w:themeShade="7F"/>
          <w:sz w:val="24"/>
          <w:szCs w:val="24"/>
        </w:rPr>
      </w:pPr>
      <w:r w:rsidRPr="003C6EBA">
        <w:rPr>
          <w:rFonts w:asciiTheme="majorHAnsi" w:eastAsiaTheme="majorEastAsia" w:hAnsiTheme="majorHAnsi" w:cstheme="majorBidi"/>
          <w:b/>
          <w:color w:val="1F3763" w:themeColor="accent1" w:themeShade="7F"/>
          <w:sz w:val="24"/>
          <w:szCs w:val="24"/>
        </w:rPr>
        <w:t xml:space="preserve">Nalaz 14: Strategija je osmišljena uzimajući u obzir nacionalne prioritete u pravcu pristupanja EU i dala je značajan doprinos u postavljanju čvrstog temelja za zaštitu finansijskih interesa EU u Crnoj Gori. </w:t>
      </w:r>
    </w:p>
    <w:p w14:paraId="020140F5" w14:textId="77777777" w:rsidR="00897B52" w:rsidRDefault="003C6EBA" w:rsidP="00D25CB4">
      <w:pPr>
        <w:spacing w:line="276" w:lineRule="auto"/>
        <w:jc w:val="both"/>
        <w:rPr>
          <w:rFonts w:asciiTheme="majorHAnsi" w:eastAsiaTheme="majorEastAsia" w:hAnsiTheme="majorHAnsi" w:cstheme="majorBidi"/>
          <w:sz w:val="24"/>
          <w:szCs w:val="24"/>
        </w:rPr>
      </w:pPr>
      <w:r w:rsidRPr="00E44ECA">
        <w:rPr>
          <w:rFonts w:asciiTheme="majorHAnsi" w:eastAsiaTheme="majorEastAsia" w:hAnsiTheme="majorHAnsi" w:cstheme="majorBidi"/>
          <w:sz w:val="24"/>
          <w:szCs w:val="24"/>
        </w:rPr>
        <w:t>Osnovna svrha Strategije bila je osigurati visok kvalitet efikasne zaštite finansijskih interesa EU, u istoj mjeri kao i zaštita vlastitih resursa, kroz koordini</w:t>
      </w:r>
      <w:r w:rsidR="00F34116">
        <w:rPr>
          <w:rFonts w:asciiTheme="majorHAnsi" w:eastAsiaTheme="majorEastAsia" w:hAnsiTheme="majorHAnsi" w:cstheme="majorBidi"/>
          <w:sz w:val="24"/>
          <w:szCs w:val="24"/>
          <w:lang w:val="sr-Latn-RS"/>
        </w:rPr>
        <w:t>rano</w:t>
      </w:r>
      <w:r w:rsidRPr="00E44ECA">
        <w:rPr>
          <w:rFonts w:asciiTheme="majorHAnsi" w:eastAsiaTheme="majorEastAsia" w:hAnsiTheme="majorHAnsi" w:cstheme="majorBidi"/>
          <w:sz w:val="24"/>
          <w:szCs w:val="24"/>
        </w:rPr>
        <w:t xml:space="preserve"> </w:t>
      </w:r>
      <w:r w:rsidR="00F34116">
        <w:rPr>
          <w:rFonts w:asciiTheme="majorHAnsi" w:eastAsiaTheme="majorEastAsia" w:hAnsiTheme="majorHAnsi" w:cstheme="majorBidi"/>
          <w:sz w:val="24"/>
          <w:szCs w:val="24"/>
          <w:lang w:val="sr-Latn-RS"/>
        </w:rPr>
        <w:t>sprovođenje</w:t>
      </w:r>
      <w:r w:rsidRPr="00E44ECA">
        <w:rPr>
          <w:rFonts w:asciiTheme="majorHAnsi" w:eastAsiaTheme="majorEastAsia" w:hAnsiTheme="majorHAnsi" w:cstheme="majorBidi"/>
          <w:sz w:val="24"/>
          <w:szCs w:val="24"/>
        </w:rPr>
        <w:t xml:space="preserve"> aktivnosti na uspostavljanju snažnog relevantnog normativnog, institucionalnog i operativnog okvira. Evaluacija je pokazala da je logika intervencije Strategije zaista zasnovana na razumijevanju i principu da efikasna zaštita finansijskih interesa EU, kao dio šireg kompendijuma nacionalnih strateških prioriteta u okviru reformske agende na putu pridruživanja EU zahtijeva i a) </w:t>
      </w:r>
      <w:r w:rsidR="00F34116">
        <w:rPr>
          <w:rFonts w:asciiTheme="majorHAnsi" w:eastAsiaTheme="majorEastAsia" w:hAnsiTheme="majorHAnsi" w:cstheme="majorBidi"/>
          <w:sz w:val="24"/>
          <w:szCs w:val="24"/>
          <w:lang w:val="sr-Latn-RS"/>
        </w:rPr>
        <w:t>adekvatni</w:t>
      </w:r>
      <w:r w:rsidRPr="00E44ECA">
        <w:rPr>
          <w:rFonts w:asciiTheme="majorHAnsi" w:eastAsiaTheme="majorEastAsia" w:hAnsiTheme="majorHAnsi" w:cstheme="majorBidi"/>
          <w:sz w:val="24"/>
          <w:szCs w:val="24"/>
        </w:rPr>
        <w:t xml:space="preserve"> pravni i regulatorni okvir zajedno sa b) skup</w:t>
      </w:r>
      <w:r w:rsidR="00F34116">
        <w:rPr>
          <w:rFonts w:asciiTheme="majorHAnsi" w:eastAsiaTheme="majorEastAsia" w:hAnsiTheme="majorHAnsi" w:cstheme="majorBidi"/>
          <w:sz w:val="24"/>
          <w:szCs w:val="24"/>
          <w:lang w:val="sr-Latn-RS"/>
        </w:rPr>
        <w:t>om</w:t>
      </w:r>
      <w:r w:rsidRPr="00E44ECA">
        <w:rPr>
          <w:rFonts w:asciiTheme="majorHAnsi" w:eastAsiaTheme="majorEastAsia" w:hAnsiTheme="majorHAnsi" w:cstheme="majorBidi"/>
          <w:sz w:val="24"/>
          <w:szCs w:val="24"/>
        </w:rPr>
        <w:t xml:space="preserve"> </w:t>
      </w:r>
      <w:r w:rsidR="00F34116">
        <w:rPr>
          <w:rFonts w:asciiTheme="majorHAnsi" w:eastAsiaTheme="majorEastAsia" w:hAnsiTheme="majorHAnsi" w:cstheme="majorBidi"/>
          <w:sz w:val="24"/>
          <w:szCs w:val="24"/>
          <w:lang w:val="sr-Latn-RS"/>
        </w:rPr>
        <w:t>aktivnosti</w:t>
      </w:r>
      <w:r w:rsidRPr="00E44ECA">
        <w:rPr>
          <w:rFonts w:asciiTheme="majorHAnsi" w:eastAsiaTheme="majorEastAsia" w:hAnsiTheme="majorHAnsi" w:cstheme="majorBidi"/>
          <w:sz w:val="24"/>
          <w:szCs w:val="24"/>
        </w:rPr>
        <w:t xml:space="preserve"> koje se odnose na povećanje operativne efektivnosti i administrativnih kapaciteta. Nadalje, istaknuto je da je Strategija obuhvatila svaku fazu ciklusa borbe protiv prevara i uključila sve glavne prioritetne oblasti identifikovane u Smjernicama EU o nacionalnim strategijama borbe protiv prevara, odnosno prevenciju, otkrivanje, upravljanje, izvještavanje, uključujući naknadni oporavak sredst</w:t>
      </w:r>
      <w:r w:rsidR="00F34116">
        <w:rPr>
          <w:rFonts w:asciiTheme="majorHAnsi" w:eastAsiaTheme="majorEastAsia" w:hAnsiTheme="majorHAnsi" w:cstheme="majorBidi"/>
          <w:sz w:val="24"/>
          <w:szCs w:val="24"/>
          <w:lang w:val="sr-Latn-RS"/>
        </w:rPr>
        <w:t>a</w:t>
      </w:r>
      <w:r w:rsidRPr="00E44ECA">
        <w:rPr>
          <w:rFonts w:asciiTheme="majorHAnsi" w:eastAsiaTheme="majorEastAsia" w:hAnsiTheme="majorHAnsi" w:cstheme="majorBidi"/>
          <w:sz w:val="24"/>
          <w:szCs w:val="24"/>
        </w:rPr>
        <w:t>va i sankcije i koordinacija politike. U okviru ovog okvira, relativno su definisana tri (3) operativna cilja i identifikovano je dvadeset (20) aktivnosti, klasifikovanih u sledeće četiri ključne tematske oblasti i) jačanje pravnog i institucionalnog okvira, ii) promovisanje međuinstitucionalne saradnje, iii) unapr</w:t>
      </w:r>
      <w:r w:rsidR="00F34116">
        <w:rPr>
          <w:rFonts w:asciiTheme="majorHAnsi" w:eastAsiaTheme="majorEastAsia" w:hAnsiTheme="majorHAnsi" w:cstheme="majorBidi"/>
          <w:sz w:val="24"/>
          <w:szCs w:val="24"/>
          <w:lang w:val="sr-Latn-RS"/>
        </w:rPr>
        <w:t>ij</w:t>
      </w:r>
      <w:r w:rsidRPr="00E44ECA">
        <w:rPr>
          <w:rFonts w:asciiTheme="majorHAnsi" w:eastAsiaTheme="majorEastAsia" w:hAnsiTheme="majorHAnsi" w:cstheme="majorBidi"/>
          <w:sz w:val="24"/>
          <w:szCs w:val="24"/>
        </w:rPr>
        <w:t>eđenje proces</w:t>
      </w:r>
      <w:r w:rsidR="00F34116">
        <w:rPr>
          <w:rFonts w:asciiTheme="majorHAnsi" w:eastAsiaTheme="majorEastAsia" w:hAnsiTheme="majorHAnsi" w:cstheme="majorBidi"/>
          <w:sz w:val="24"/>
          <w:szCs w:val="24"/>
          <w:lang w:val="sr-Latn-RS"/>
        </w:rPr>
        <w:t>a</w:t>
      </w:r>
      <w:r w:rsidRPr="00E44ECA">
        <w:rPr>
          <w:rFonts w:asciiTheme="majorHAnsi" w:eastAsiaTheme="majorEastAsia" w:hAnsiTheme="majorHAnsi" w:cstheme="majorBidi"/>
          <w:sz w:val="24"/>
          <w:szCs w:val="24"/>
        </w:rPr>
        <w:t xml:space="preserve"> i razvoj operativnih alata i iv) izgradnju kapaciteta kroz obuku. </w:t>
      </w:r>
    </w:p>
    <w:p w14:paraId="0FBC915D" w14:textId="77777777" w:rsidR="00897B52" w:rsidRDefault="003C6EBA" w:rsidP="00D25CB4">
      <w:pPr>
        <w:spacing w:line="276" w:lineRule="auto"/>
        <w:jc w:val="both"/>
        <w:rPr>
          <w:rFonts w:asciiTheme="majorHAnsi" w:eastAsiaTheme="majorEastAsia" w:hAnsiTheme="majorHAnsi" w:cstheme="majorBidi"/>
          <w:sz w:val="24"/>
          <w:szCs w:val="24"/>
        </w:rPr>
      </w:pPr>
      <w:r w:rsidRPr="00E44ECA">
        <w:rPr>
          <w:rFonts w:asciiTheme="majorHAnsi" w:eastAsiaTheme="majorEastAsia" w:hAnsiTheme="majorHAnsi" w:cstheme="majorBidi"/>
          <w:sz w:val="24"/>
          <w:szCs w:val="24"/>
        </w:rPr>
        <w:t>Tokom perioda trajanja Strategije, uspješno je implementiran niz isprepletenih aktivnosti s ciljem jačanja institucionalnih kapaciteta unutar strukture upravljanja IPA-om, a ostvareni su i opipljivi rezultati u vezi sa inicijativama za izgradnju kapaciteta i obukom. Zahvaljujući kontinuiranoj snažnoj posvećenosti AFCOS</w:t>
      </w:r>
      <w:r w:rsidR="00F34116" w:rsidRPr="00F34116">
        <w:rPr>
          <w:rFonts w:asciiTheme="majorHAnsi" w:eastAsiaTheme="majorEastAsia" w:hAnsiTheme="majorHAnsi" w:cstheme="majorBidi"/>
          <w:sz w:val="24"/>
          <w:szCs w:val="24"/>
        </w:rPr>
        <w:t xml:space="preserve"> </w:t>
      </w:r>
      <w:r w:rsidR="00F34116" w:rsidRPr="00E44ECA">
        <w:rPr>
          <w:rFonts w:asciiTheme="majorHAnsi" w:eastAsiaTheme="majorEastAsia" w:hAnsiTheme="majorHAnsi" w:cstheme="majorBidi"/>
          <w:sz w:val="24"/>
          <w:szCs w:val="24"/>
        </w:rPr>
        <w:t>Kancelarije</w:t>
      </w:r>
      <w:r w:rsidRPr="00E44ECA">
        <w:rPr>
          <w:rFonts w:asciiTheme="majorHAnsi" w:eastAsiaTheme="majorEastAsia" w:hAnsiTheme="majorHAnsi" w:cstheme="majorBidi"/>
          <w:sz w:val="24"/>
          <w:szCs w:val="24"/>
        </w:rPr>
        <w:t xml:space="preserve">, nakon okončanja Strategije, ostvareno je usvajanje zakonodavnih inicijativa za uspostavljanje potpuno funkcionalnog AFCOS sistema i dodatno intenzivirani napori za unapređenje međuinstitucionalne saradnje. Dostavljeni rezultati služe kao dokaz napretka ostvarenog u ključnim tematskim oblastima institucionalnog/pravnog okvira, međuinstitucionalne saradnje, operativne efikasnosti strukture za prijavljivanje nepravilnosti i poboljšanih administrativnih kapaciteta nadležnih aktera, čineći Crnu </w:t>
      </w:r>
      <w:r w:rsidRPr="00E44ECA">
        <w:rPr>
          <w:rFonts w:asciiTheme="majorHAnsi" w:eastAsiaTheme="majorEastAsia" w:hAnsiTheme="majorHAnsi" w:cstheme="majorBidi"/>
          <w:sz w:val="24"/>
          <w:szCs w:val="24"/>
        </w:rPr>
        <w:lastRenderedPageBreak/>
        <w:t xml:space="preserve">Goru korak bliže ka pridruživanju EU, kroz dodavanje institucionalnih i operativnih blokova u procesu ispunjavanja zahtjeva EU, u okviru Poglavlja 32. Predpristupnog okvirnog sporazuma. </w:t>
      </w:r>
    </w:p>
    <w:p w14:paraId="590A1F8B" w14:textId="0525A1CB" w:rsidR="00D25CB4" w:rsidRPr="00E44ECA" w:rsidRDefault="003C6EBA" w:rsidP="00D25CB4">
      <w:pPr>
        <w:spacing w:line="276" w:lineRule="auto"/>
        <w:jc w:val="both"/>
        <w:rPr>
          <w:b/>
          <w:lang w:val="en-US"/>
        </w:rPr>
      </w:pPr>
      <w:r w:rsidRPr="00E44ECA">
        <w:rPr>
          <w:rFonts w:asciiTheme="majorHAnsi" w:eastAsiaTheme="majorEastAsia" w:hAnsiTheme="majorHAnsi" w:cstheme="majorBidi"/>
          <w:sz w:val="24"/>
          <w:szCs w:val="24"/>
        </w:rPr>
        <w:t>Takođe, dodatno se ističe značaj Strategije, kroz njeno dosljedno uvažavanje u godišnjim izvještajima Evropske komisije za sistematsko praćenje napretka ukupnih reformi koje se sprovode u Crnoj Gori ka pridruživanju EU. Tačnije, u svakom godišnjem izvještaju navode se:</w:t>
      </w:r>
    </w:p>
    <w:tbl>
      <w:tblPr>
        <w:tblW w:w="8505" w:type="dxa"/>
        <w:tblInd w:w="-10" w:type="dxa"/>
        <w:tblLook w:val="04A0" w:firstRow="1" w:lastRow="0" w:firstColumn="1" w:lastColumn="0" w:noHBand="0" w:noVBand="1"/>
      </w:tblPr>
      <w:tblGrid>
        <w:gridCol w:w="2940"/>
        <w:gridCol w:w="5565"/>
      </w:tblGrid>
      <w:tr w:rsidR="008D5DD8" w:rsidRPr="00634FBC" w14:paraId="0D4D5BC9" w14:textId="77777777" w:rsidTr="009320D2">
        <w:trPr>
          <w:trHeight w:val="1337"/>
        </w:trPr>
        <w:tc>
          <w:tcPr>
            <w:tcW w:w="2940" w:type="dxa"/>
            <w:tcBorders>
              <w:top w:val="single" w:sz="8" w:space="0" w:color="auto"/>
              <w:left w:val="single" w:sz="8" w:space="0" w:color="auto"/>
              <w:bottom w:val="single" w:sz="4" w:space="0" w:color="auto"/>
              <w:right w:val="single" w:sz="4" w:space="0" w:color="auto"/>
            </w:tcBorders>
            <w:shd w:val="clear" w:color="auto" w:fill="FBE4D5" w:themeFill="accent2" w:themeFillTint="33"/>
            <w:vAlign w:val="center"/>
            <w:hideMark/>
          </w:tcPr>
          <w:p w14:paraId="451F416A" w14:textId="08D9365B" w:rsidR="008D5DD8" w:rsidRPr="00634FBC" w:rsidRDefault="008D5DD8" w:rsidP="008D5DD8">
            <w:pPr>
              <w:spacing w:line="276" w:lineRule="auto"/>
              <w:jc w:val="both"/>
              <w:rPr>
                <w:sz w:val="20"/>
                <w:lang w:val="en-US"/>
              </w:rPr>
            </w:pPr>
            <w:r w:rsidRPr="00634FBC">
              <w:rPr>
                <w:b/>
                <w:bCs/>
                <w:sz w:val="20"/>
                <w:lang w:val="en-US"/>
              </w:rPr>
              <w:t>2019</w:t>
            </w:r>
            <w:r w:rsidRPr="00634FBC">
              <w:rPr>
                <w:sz w:val="20"/>
                <w:lang w:val="en-US"/>
              </w:rPr>
              <w:t xml:space="preserve"> </w:t>
            </w:r>
            <w:r>
              <w:rPr>
                <w:sz w:val="20"/>
                <w:lang w:val="en-US"/>
              </w:rPr>
              <w:t>Izvještaj EK o napretku CG</w:t>
            </w:r>
            <w:r w:rsidRPr="00634FBC">
              <w:rPr>
                <w:sz w:val="20"/>
                <w:vertAlign w:val="superscript"/>
                <w:lang w:val="en-US"/>
              </w:rPr>
              <w:footnoteReference w:id="6"/>
            </w:r>
          </w:p>
        </w:tc>
        <w:tc>
          <w:tcPr>
            <w:tcW w:w="5565" w:type="dxa"/>
            <w:tcBorders>
              <w:top w:val="single" w:sz="8" w:space="0" w:color="auto"/>
              <w:left w:val="nil"/>
              <w:bottom w:val="single" w:sz="4" w:space="0" w:color="auto"/>
              <w:right w:val="single" w:sz="8" w:space="0" w:color="auto"/>
            </w:tcBorders>
            <w:shd w:val="clear" w:color="auto" w:fill="auto"/>
            <w:hideMark/>
          </w:tcPr>
          <w:p w14:paraId="5B1D4783" w14:textId="02216679" w:rsidR="008D5DD8" w:rsidRPr="00634FBC" w:rsidRDefault="008D5DD8" w:rsidP="008D5DD8">
            <w:pPr>
              <w:spacing w:line="276" w:lineRule="auto"/>
              <w:jc w:val="both"/>
              <w:rPr>
                <w:i/>
                <w:iCs/>
                <w:sz w:val="20"/>
                <w:lang w:val="en-US"/>
              </w:rPr>
            </w:pPr>
            <w:r w:rsidRPr="00EB02A8">
              <w:t>„Treba usvojiti nacionalnu strategiju za borbu protiv prevara 2019-2022 kako bi se pružila strateška osnova za poboljšanje kapaciteta nacionalne službe za koordinaciju borbe protiv prevara (AFCOS) i cjelokupnog funkcionisanja AFCOS mreže.”</w:t>
            </w:r>
          </w:p>
        </w:tc>
      </w:tr>
      <w:tr w:rsidR="008D5DD8" w:rsidRPr="00634FBC" w14:paraId="5854D5B0" w14:textId="77777777" w:rsidTr="009320D2">
        <w:trPr>
          <w:trHeight w:val="1692"/>
        </w:trPr>
        <w:tc>
          <w:tcPr>
            <w:tcW w:w="2940" w:type="dxa"/>
            <w:tcBorders>
              <w:top w:val="nil"/>
              <w:left w:val="single" w:sz="8" w:space="0" w:color="auto"/>
              <w:bottom w:val="single" w:sz="4" w:space="0" w:color="auto"/>
              <w:right w:val="single" w:sz="4" w:space="0" w:color="auto"/>
            </w:tcBorders>
            <w:shd w:val="clear" w:color="auto" w:fill="FBE4D5" w:themeFill="accent2" w:themeFillTint="33"/>
            <w:vAlign w:val="center"/>
            <w:hideMark/>
          </w:tcPr>
          <w:p w14:paraId="6BC6F6C6" w14:textId="5C13DA92" w:rsidR="008D5DD8" w:rsidRPr="00634FBC" w:rsidRDefault="008D5DD8" w:rsidP="008D5DD8">
            <w:pPr>
              <w:spacing w:line="276" w:lineRule="auto"/>
              <w:jc w:val="both"/>
              <w:rPr>
                <w:sz w:val="20"/>
                <w:lang w:val="en-US"/>
              </w:rPr>
            </w:pPr>
            <w:r w:rsidRPr="00634FBC">
              <w:rPr>
                <w:b/>
                <w:bCs/>
                <w:sz w:val="20"/>
                <w:lang w:val="en-US"/>
              </w:rPr>
              <w:t>2020</w:t>
            </w:r>
            <w:r w:rsidRPr="00634FBC">
              <w:rPr>
                <w:sz w:val="20"/>
                <w:lang w:val="en-US"/>
              </w:rPr>
              <w:t xml:space="preserve"> </w:t>
            </w:r>
            <w:r w:rsidRPr="00EB502D">
              <w:rPr>
                <w:sz w:val="20"/>
                <w:lang w:val="en-US"/>
              </w:rPr>
              <w:t>Izvještaj EK o napretku CG</w:t>
            </w:r>
            <w:r w:rsidRPr="00EB502D">
              <w:rPr>
                <w:sz w:val="20"/>
                <w:vertAlign w:val="superscript"/>
                <w:lang w:val="en-US"/>
              </w:rPr>
              <w:t xml:space="preserve"> </w:t>
            </w:r>
            <w:r w:rsidRPr="00634FBC">
              <w:rPr>
                <w:sz w:val="20"/>
                <w:vertAlign w:val="superscript"/>
                <w:lang w:val="en-US"/>
              </w:rPr>
              <w:footnoteReference w:id="7"/>
            </w:r>
          </w:p>
        </w:tc>
        <w:tc>
          <w:tcPr>
            <w:tcW w:w="5565" w:type="dxa"/>
            <w:tcBorders>
              <w:top w:val="nil"/>
              <w:left w:val="nil"/>
              <w:bottom w:val="single" w:sz="4" w:space="0" w:color="auto"/>
              <w:right w:val="single" w:sz="8" w:space="0" w:color="auto"/>
            </w:tcBorders>
            <w:shd w:val="clear" w:color="auto" w:fill="auto"/>
            <w:hideMark/>
          </w:tcPr>
          <w:p w14:paraId="4AF5F214" w14:textId="4C6D9CAE" w:rsidR="008D5DD8" w:rsidRPr="00634FBC" w:rsidRDefault="008D5DD8" w:rsidP="008D5DD8">
            <w:pPr>
              <w:spacing w:line="276" w:lineRule="auto"/>
              <w:jc w:val="both"/>
              <w:rPr>
                <w:i/>
                <w:iCs/>
                <w:sz w:val="20"/>
                <w:lang w:val="en-US"/>
              </w:rPr>
            </w:pPr>
            <w:r w:rsidRPr="00EB02A8">
              <w:t>„Nacionalna strategija za borbu protiv prevara 2019-2022 usvojena je u maju 2019</w:t>
            </w:r>
            <w:r w:rsidR="00030833">
              <w:rPr>
                <w:lang w:val="sr-Latn-RS"/>
              </w:rPr>
              <w:t>“</w:t>
            </w:r>
            <w:r w:rsidRPr="00EB02A8">
              <w:t>.</w:t>
            </w:r>
          </w:p>
        </w:tc>
      </w:tr>
      <w:tr w:rsidR="008D5DD8" w:rsidRPr="00634FBC" w14:paraId="0D70D56B" w14:textId="77777777" w:rsidTr="009320D2">
        <w:trPr>
          <w:trHeight w:val="1546"/>
        </w:trPr>
        <w:tc>
          <w:tcPr>
            <w:tcW w:w="2940" w:type="dxa"/>
            <w:tcBorders>
              <w:top w:val="nil"/>
              <w:left w:val="single" w:sz="8" w:space="0" w:color="auto"/>
              <w:bottom w:val="single" w:sz="4" w:space="0" w:color="auto"/>
              <w:right w:val="single" w:sz="4" w:space="0" w:color="auto"/>
            </w:tcBorders>
            <w:shd w:val="clear" w:color="auto" w:fill="FBE4D5" w:themeFill="accent2" w:themeFillTint="33"/>
            <w:vAlign w:val="center"/>
            <w:hideMark/>
          </w:tcPr>
          <w:p w14:paraId="49969468" w14:textId="6F51353A" w:rsidR="008D5DD8" w:rsidRPr="00634FBC" w:rsidRDefault="008D5DD8" w:rsidP="008D5DD8">
            <w:pPr>
              <w:spacing w:line="276" w:lineRule="auto"/>
              <w:jc w:val="both"/>
              <w:rPr>
                <w:sz w:val="20"/>
                <w:lang w:val="en-US"/>
              </w:rPr>
            </w:pPr>
            <w:r w:rsidRPr="00634FBC">
              <w:rPr>
                <w:b/>
                <w:bCs/>
                <w:sz w:val="20"/>
                <w:lang w:val="en-US"/>
              </w:rPr>
              <w:t>2021</w:t>
            </w:r>
            <w:r w:rsidRPr="00634FBC">
              <w:rPr>
                <w:sz w:val="20"/>
                <w:lang w:val="en-US"/>
              </w:rPr>
              <w:t xml:space="preserve"> </w:t>
            </w:r>
            <w:r w:rsidRPr="00EB502D">
              <w:rPr>
                <w:sz w:val="20"/>
                <w:lang w:val="en-US"/>
              </w:rPr>
              <w:t>Izvještaj EK o napretku CG</w:t>
            </w:r>
            <w:r w:rsidRPr="00EB502D">
              <w:rPr>
                <w:sz w:val="20"/>
                <w:vertAlign w:val="superscript"/>
                <w:lang w:val="en-US"/>
              </w:rPr>
              <w:t xml:space="preserve"> </w:t>
            </w:r>
            <w:r w:rsidRPr="00634FBC">
              <w:rPr>
                <w:sz w:val="20"/>
                <w:vertAlign w:val="superscript"/>
                <w:lang w:val="en-US"/>
              </w:rPr>
              <w:footnoteReference w:id="8"/>
            </w:r>
          </w:p>
        </w:tc>
        <w:tc>
          <w:tcPr>
            <w:tcW w:w="5565" w:type="dxa"/>
            <w:tcBorders>
              <w:top w:val="nil"/>
              <w:left w:val="nil"/>
              <w:bottom w:val="single" w:sz="4" w:space="0" w:color="auto"/>
              <w:right w:val="single" w:sz="8" w:space="0" w:color="auto"/>
            </w:tcBorders>
            <w:shd w:val="clear" w:color="auto" w:fill="auto"/>
            <w:hideMark/>
          </w:tcPr>
          <w:p w14:paraId="30C840F5" w14:textId="06B3D980" w:rsidR="008D5DD8" w:rsidRPr="00634FBC" w:rsidRDefault="00141E95" w:rsidP="008D5DD8">
            <w:pPr>
              <w:spacing w:line="276" w:lineRule="auto"/>
              <w:jc w:val="both"/>
              <w:rPr>
                <w:i/>
                <w:iCs/>
                <w:sz w:val="20"/>
                <w:lang w:val="en-US"/>
              </w:rPr>
            </w:pPr>
            <w:r>
              <w:rPr>
                <w:lang w:val="sr-Latn-RS"/>
              </w:rPr>
              <w:t>„</w:t>
            </w:r>
            <w:r w:rsidR="008D5DD8" w:rsidRPr="00EB02A8">
              <w:t>Strategija pruža osnovu za unapređenje kapaciteta nacionalne službe za koordinaciju borbe protiv prevara (AFCOS) i funkcionisanja AFCOS mreže.”</w:t>
            </w:r>
          </w:p>
        </w:tc>
      </w:tr>
      <w:tr w:rsidR="008D5DD8" w:rsidRPr="00634FBC" w14:paraId="47C12C30" w14:textId="77777777" w:rsidTr="009320D2">
        <w:trPr>
          <w:trHeight w:val="973"/>
        </w:trPr>
        <w:tc>
          <w:tcPr>
            <w:tcW w:w="2940" w:type="dxa"/>
            <w:tcBorders>
              <w:top w:val="nil"/>
              <w:left w:val="single" w:sz="8" w:space="0" w:color="auto"/>
              <w:bottom w:val="single" w:sz="8" w:space="0" w:color="auto"/>
              <w:right w:val="single" w:sz="4" w:space="0" w:color="auto"/>
            </w:tcBorders>
            <w:shd w:val="clear" w:color="auto" w:fill="FBE4D5" w:themeFill="accent2" w:themeFillTint="33"/>
            <w:vAlign w:val="center"/>
            <w:hideMark/>
          </w:tcPr>
          <w:p w14:paraId="3CB81841" w14:textId="2AD49760" w:rsidR="008D5DD8" w:rsidRPr="00634FBC" w:rsidRDefault="008D5DD8" w:rsidP="008D5DD8">
            <w:pPr>
              <w:spacing w:line="276" w:lineRule="auto"/>
              <w:jc w:val="both"/>
              <w:rPr>
                <w:sz w:val="20"/>
                <w:lang w:val="en-US"/>
              </w:rPr>
            </w:pPr>
            <w:r w:rsidRPr="00634FBC">
              <w:rPr>
                <w:b/>
                <w:bCs/>
                <w:sz w:val="20"/>
                <w:lang w:val="en-US"/>
              </w:rPr>
              <w:t>2022</w:t>
            </w:r>
            <w:r w:rsidRPr="00634FBC">
              <w:rPr>
                <w:sz w:val="20"/>
                <w:lang w:val="en-US"/>
              </w:rPr>
              <w:t xml:space="preserve"> </w:t>
            </w:r>
            <w:r w:rsidRPr="00EB502D">
              <w:rPr>
                <w:sz w:val="20"/>
                <w:lang w:val="en-US"/>
              </w:rPr>
              <w:t>Izvještaj EK o napretku CG</w:t>
            </w:r>
            <w:r w:rsidRPr="00EB502D">
              <w:rPr>
                <w:sz w:val="20"/>
                <w:vertAlign w:val="superscript"/>
                <w:lang w:val="en-US"/>
              </w:rPr>
              <w:t xml:space="preserve"> </w:t>
            </w:r>
            <w:r w:rsidRPr="00634FBC">
              <w:rPr>
                <w:sz w:val="20"/>
                <w:vertAlign w:val="superscript"/>
                <w:lang w:val="en-US"/>
              </w:rPr>
              <w:footnoteReference w:id="9"/>
            </w:r>
          </w:p>
        </w:tc>
        <w:tc>
          <w:tcPr>
            <w:tcW w:w="5565" w:type="dxa"/>
            <w:tcBorders>
              <w:top w:val="nil"/>
              <w:left w:val="nil"/>
              <w:bottom w:val="single" w:sz="8" w:space="0" w:color="auto"/>
              <w:right w:val="single" w:sz="8" w:space="0" w:color="auto"/>
            </w:tcBorders>
            <w:shd w:val="clear" w:color="auto" w:fill="auto"/>
            <w:noWrap/>
            <w:hideMark/>
          </w:tcPr>
          <w:p w14:paraId="7D8739CB" w14:textId="08505C78" w:rsidR="008D5DD8" w:rsidRPr="00634FBC" w:rsidRDefault="008D5DD8" w:rsidP="008D5DD8">
            <w:pPr>
              <w:spacing w:line="276" w:lineRule="auto"/>
              <w:jc w:val="both"/>
              <w:rPr>
                <w:i/>
                <w:sz w:val="20"/>
                <w:lang w:val="en-US"/>
              </w:rPr>
            </w:pPr>
            <w:r w:rsidRPr="00EB02A8">
              <w:t>“Nacionalna služba za koordinaciju borbe protiv prevara (AFCOS) osigurava implementaciju nacionalne strategije za borbu protiv prevara 2019-2022, koja pruža osnovu za unapređenje kapaciteta nacionalne službe za koordinaciju borbe protiv prevara i funkcionisanje AFCOS mreže.”</w:t>
            </w:r>
          </w:p>
        </w:tc>
      </w:tr>
    </w:tbl>
    <w:p w14:paraId="17121672" w14:textId="77777777" w:rsidR="00526F04" w:rsidRDefault="00526F04" w:rsidP="003C6EBA">
      <w:pPr>
        <w:jc w:val="both"/>
      </w:pPr>
    </w:p>
    <w:p w14:paraId="29586CCE" w14:textId="77777777" w:rsidR="00897B52" w:rsidRDefault="003C6EBA" w:rsidP="003C6EBA">
      <w:pPr>
        <w:jc w:val="both"/>
      </w:pPr>
      <w:r w:rsidRPr="003C6EBA">
        <w:lastRenderedPageBreak/>
        <w:t xml:space="preserve">Štaviše, evaluacija je pokazala da </w:t>
      </w:r>
      <w:r w:rsidR="00F34116" w:rsidRPr="003C6EBA">
        <w:t xml:space="preserve">se </w:t>
      </w:r>
      <w:r w:rsidRPr="003C6EBA">
        <w:t>čini da ključni akteri dijele slično uvjerenje, kao što se pokazalo tokom intervjua koji su održani i kvalitativne analize odgovora datih u upitnicima. Tačnije, učesnici prepoznaju doprinos Strategije u unapređenju nivoa nacionalne saradnje u oblasti upravljanja nepravilnostima kao nacionalni cilj, posebno imajući u vidu proc</w:t>
      </w:r>
      <w:r w:rsidR="00F34116">
        <w:rPr>
          <w:lang w:val="sr-Latn-RS"/>
        </w:rPr>
        <w:t>j</w:t>
      </w:r>
      <w:r w:rsidRPr="003C6EBA">
        <w:t>enu potreba član</w:t>
      </w:r>
      <w:r w:rsidR="00F34116">
        <w:rPr>
          <w:lang w:val="sr-Latn-RS"/>
        </w:rPr>
        <w:t>ova</w:t>
      </w:r>
      <w:r w:rsidRPr="003C6EBA">
        <w:t xml:space="preserve"> AFCOS sistema</w:t>
      </w:r>
      <w:r w:rsidR="00F34116">
        <w:rPr>
          <w:lang w:val="sr-Latn-RS"/>
        </w:rPr>
        <w:t>,</w:t>
      </w:r>
      <w:r w:rsidRPr="003C6EBA">
        <w:t xml:space="preserve"> koja je sprovedena u fazi </w:t>
      </w:r>
      <w:r w:rsidR="00F34116">
        <w:rPr>
          <w:lang w:val="sr-Latn-RS"/>
        </w:rPr>
        <w:t>programiranja</w:t>
      </w:r>
      <w:r w:rsidRPr="003C6EBA">
        <w:t>. Prepoznat je i doprinos Strategije u intenziviranju napora u različitim prioritetnim oblastima prevencije, otkrivanja i krivičnog gonjenja, uz naglašenu činjenicu da je članstvo u EU nacionalni prioritet Crne Gore.</w:t>
      </w:r>
    </w:p>
    <w:p w14:paraId="1011AE17" w14:textId="4052EE75" w:rsidR="0067303F" w:rsidRDefault="003C6EBA" w:rsidP="003C6EBA">
      <w:pPr>
        <w:jc w:val="both"/>
        <w:rPr>
          <w:lang w:val="en-US"/>
        </w:rPr>
        <w:sectPr w:rsidR="0067303F" w:rsidSect="00AF1D3F">
          <w:pgSz w:w="11906" w:h="16838"/>
          <w:pgMar w:top="1440" w:right="1800" w:bottom="1440" w:left="1800" w:header="708" w:footer="708" w:gutter="0"/>
          <w:cols w:space="708"/>
          <w:docGrid w:linePitch="360"/>
        </w:sectPr>
      </w:pPr>
      <w:r w:rsidRPr="003C6EBA">
        <w:t xml:space="preserve">Uprkos doprinosu Strategije procesu stvaranja odgovarajućih uslova za efikasnu zaštitu finansijskih interesa EU, ima prostora za unapređenje, posebno u oblasti otkrivanja i prijavljivanja nepravilnosti i slučajeva prevara kroz dalje intenziviranje i </w:t>
      </w:r>
      <w:r w:rsidR="00F34116">
        <w:rPr>
          <w:lang w:val="sr-Latn-RS"/>
        </w:rPr>
        <w:t>s</w:t>
      </w:r>
      <w:r w:rsidRPr="003C6EBA">
        <w:t>provođenje obuk</w:t>
      </w:r>
      <w:r w:rsidR="00F34116">
        <w:rPr>
          <w:lang w:val="sr-Latn-RS"/>
        </w:rPr>
        <w:t>a</w:t>
      </w:r>
      <w:r w:rsidRPr="003C6EBA">
        <w:t xml:space="preserve"> po m</w:t>
      </w:r>
      <w:r w:rsidR="00F34116">
        <w:rPr>
          <w:lang w:val="sr-Latn-RS"/>
        </w:rPr>
        <w:t>j</w:t>
      </w:r>
      <w:r w:rsidRPr="003C6EBA">
        <w:t xml:space="preserve">eri, planiranja i </w:t>
      </w:r>
      <w:r w:rsidR="00F34116">
        <w:rPr>
          <w:lang w:val="sr-Latn-RS"/>
        </w:rPr>
        <w:t>s</w:t>
      </w:r>
      <w:r w:rsidRPr="003C6EBA">
        <w:t>provođenj</w:t>
      </w:r>
      <w:r w:rsidR="00F34116">
        <w:rPr>
          <w:lang w:val="sr-Latn-RS"/>
        </w:rPr>
        <w:t>a</w:t>
      </w:r>
      <w:r w:rsidRPr="003C6EBA">
        <w:t xml:space="preserve"> inicijativa za podizanje svijesti i stavljanje posebnog naglaska na </w:t>
      </w:r>
      <w:r w:rsidR="00F34116">
        <w:rPr>
          <w:lang w:val="sr-Latn-RS"/>
        </w:rPr>
        <w:t>s</w:t>
      </w:r>
      <w:r w:rsidRPr="003C6EBA">
        <w:t>provođenje procjene rizika od prevar</w:t>
      </w:r>
      <w:r w:rsidR="00F34116">
        <w:rPr>
          <w:lang w:val="sr-Latn-RS"/>
        </w:rPr>
        <w:t>a</w:t>
      </w:r>
      <w:r w:rsidRPr="003C6EBA">
        <w:t xml:space="preserve"> prije izrade sljedeće strategije.</w:t>
      </w:r>
    </w:p>
    <w:p w14:paraId="4ABB9A4C" w14:textId="4E52C0C1" w:rsidR="00904DA4" w:rsidRPr="00470ABE" w:rsidRDefault="00904DA4" w:rsidP="00634FBC">
      <w:pPr>
        <w:pStyle w:val="Heading1"/>
        <w:spacing w:after="240"/>
        <w:rPr>
          <w:b/>
          <w:lang w:val="en-US"/>
        </w:rPr>
      </w:pPr>
      <w:bookmarkStart w:id="33" w:name="_Toc136505865"/>
      <w:r w:rsidRPr="00470ABE">
        <w:rPr>
          <w:b/>
          <w:lang w:val="en-US"/>
        </w:rPr>
        <w:lastRenderedPageBreak/>
        <w:t xml:space="preserve">5. </w:t>
      </w:r>
      <w:r w:rsidR="00E817FE">
        <w:rPr>
          <w:b/>
          <w:lang w:val="en-US"/>
        </w:rPr>
        <w:t>Zaključci</w:t>
      </w:r>
      <w:bookmarkEnd w:id="33"/>
    </w:p>
    <w:p w14:paraId="42D90CC8" w14:textId="77777777" w:rsidR="00897B52" w:rsidRDefault="00BF6302" w:rsidP="003C6EBA">
      <w:pPr>
        <w:spacing w:line="276" w:lineRule="auto"/>
        <w:jc w:val="both"/>
      </w:pPr>
      <w:r>
        <w:rPr>
          <w:lang w:val="sr-Latn-RS"/>
        </w:rPr>
        <w:t>N</w:t>
      </w:r>
      <w:r w:rsidR="003C6EBA" w:rsidRPr="003C6EBA">
        <w:t xml:space="preserve">a </w:t>
      </w:r>
      <w:r w:rsidR="005C556B">
        <w:rPr>
          <w:lang w:val="sr-Latn-RS"/>
        </w:rPr>
        <w:t>osnovu</w:t>
      </w:r>
      <w:r w:rsidR="003C6EBA" w:rsidRPr="003C6EBA">
        <w:t xml:space="preserve"> lekcija </w:t>
      </w:r>
      <w:r>
        <w:rPr>
          <w:lang w:val="sr-Latn-RS"/>
        </w:rPr>
        <w:t xml:space="preserve">iz prethodne Strategije </w:t>
      </w:r>
      <w:r w:rsidRPr="003C6EBA">
        <w:t>implement</w:t>
      </w:r>
      <w:r>
        <w:rPr>
          <w:lang w:val="sr-Latn-RS"/>
        </w:rPr>
        <w:t>irane</w:t>
      </w:r>
      <w:r w:rsidRPr="003C6EBA">
        <w:t xml:space="preserve"> </w:t>
      </w:r>
      <w:r w:rsidR="003C6EBA" w:rsidRPr="003C6EBA">
        <w:t xml:space="preserve">tokom perioda od 2015. do 2017. </w:t>
      </w:r>
      <w:r w:rsidR="00BA7527">
        <w:rPr>
          <w:lang w:val="sr-Latn-RS"/>
        </w:rPr>
        <w:t>g</w:t>
      </w:r>
      <w:r w:rsidR="003C6EBA" w:rsidRPr="003C6EBA">
        <w:t>odine</w:t>
      </w:r>
      <w:r>
        <w:rPr>
          <w:lang w:val="sr-Latn-RS"/>
        </w:rPr>
        <w:t xml:space="preserve">, </w:t>
      </w:r>
      <w:r w:rsidR="003C6EBA" w:rsidRPr="003C6EBA">
        <w:t xml:space="preserve"> </w:t>
      </w:r>
      <w:r w:rsidRPr="003C6EBA">
        <w:t xml:space="preserve">Crna Gora </w:t>
      </w:r>
      <w:r>
        <w:rPr>
          <w:lang w:val="sr-Latn-RS"/>
        </w:rPr>
        <w:t xml:space="preserve">je </w:t>
      </w:r>
      <w:r w:rsidR="003C6EBA" w:rsidRPr="003C6EBA">
        <w:t>osmi</w:t>
      </w:r>
      <w:r>
        <w:rPr>
          <w:lang w:val="sr-Latn-RS"/>
        </w:rPr>
        <w:t>slila,</w:t>
      </w:r>
      <w:r w:rsidRPr="003C6EBA">
        <w:t xml:space="preserve"> izgradila</w:t>
      </w:r>
      <w:r w:rsidR="00BA7527">
        <w:rPr>
          <w:lang w:val="sr-Latn-RS"/>
        </w:rPr>
        <w:t>,</w:t>
      </w:r>
      <w:r w:rsidRPr="003C6EBA">
        <w:t xml:space="preserve"> </w:t>
      </w:r>
      <w:r w:rsidR="00BA7527" w:rsidRPr="003C6EBA">
        <w:t>u saradnji sa spoljnim ekspertima</w:t>
      </w:r>
      <w:r w:rsidR="00BA7527">
        <w:rPr>
          <w:lang w:val="sr-Latn-RS"/>
        </w:rPr>
        <w:t xml:space="preserve">, </w:t>
      </w:r>
      <w:r w:rsidRPr="003C6EBA">
        <w:t>i nakon toga implementirala</w:t>
      </w:r>
      <w:r>
        <w:rPr>
          <w:lang w:val="sr-Latn-RS"/>
        </w:rPr>
        <w:t xml:space="preserve">, </w:t>
      </w:r>
      <w:r w:rsidR="003C6EBA" w:rsidRPr="003C6EBA">
        <w:t>sveobuhvatnu Strategiju za borbu protiv prevara i upravljanja nepravilnostima za zaštitu finansijskih interesa EU, u kontekstu pretpristupn</w:t>
      </w:r>
      <w:r>
        <w:rPr>
          <w:lang w:val="sr-Latn-RS"/>
        </w:rPr>
        <w:t>ih</w:t>
      </w:r>
      <w:r w:rsidR="003C6EBA" w:rsidRPr="003C6EBA">
        <w:t xml:space="preserve"> pregovor</w:t>
      </w:r>
      <w:r>
        <w:rPr>
          <w:lang w:val="sr-Latn-RS"/>
        </w:rPr>
        <w:t>a,</w:t>
      </w:r>
      <w:r w:rsidR="003C6EBA" w:rsidRPr="003C6EBA">
        <w:t xml:space="preserve"> i</w:t>
      </w:r>
      <w:r w:rsidR="005C556B">
        <w:rPr>
          <w:lang w:val="sr-Latn-RS"/>
        </w:rPr>
        <w:t xml:space="preserve"> </w:t>
      </w:r>
      <w:r w:rsidR="003C6EBA" w:rsidRPr="003C6EBA">
        <w:t xml:space="preserve">u skladu sa odredbama Poglavlja 32. </w:t>
      </w:r>
    </w:p>
    <w:p w14:paraId="0279D750" w14:textId="77777777" w:rsidR="00897B52" w:rsidRDefault="003C6EBA" w:rsidP="003C6EBA">
      <w:pPr>
        <w:spacing w:line="276" w:lineRule="auto"/>
        <w:jc w:val="both"/>
      </w:pPr>
      <w:r w:rsidRPr="003C6EBA">
        <w:t xml:space="preserve">Kako bi se postigao cilj uspostavljanja snažnog pravnog okvira u ovim oblastima između 2019. i 2022. godine, obezbijediće se podrška međuinstitucionalnoj saradnji i jačanju operativnih sposobnosti nacionalnih učesnika. </w:t>
      </w:r>
    </w:p>
    <w:p w14:paraId="47DF751A" w14:textId="77777777" w:rsidR="000B6511" w:rsidRDefault="00BA7527" w:rsidP="003C6EBA">
      <w:pPr>
        <w:spacing w:line="276" w:lineRule="auto"/>
        <w:jc w:val="both"/>
      </w:pPr>
      <w:r>
        <w:rPr>
          <w:lang w:val="sr-Latn-RS"/>
        </w:rPr>
        <w:t>Strategija</w:t>
      </w:r>
      <w:r w:rsidR="003C6EBA" w:rsidRPr="003C6EBA">
        <w:t xml:space="preserve"> je formira</w:t>
      </w:r>
      <w:r>
        <w:rPr>
          <w:lang w:val="sr-Latn-RS"/>
        </w:rPr>
        <w:t>la</w:t>
      </w:r>
      <w:r w:rsidR="003C6EBA" w:rsidRPr="003C6EBA">
        <w:t xml:space="preserve"> okvir politike izrađen u skladu sa Smjernicama EU sa jasnim ciljevima i ciljevima praćenim sveobuhvatnim sistemom upravljanja. Zasnovan na strukturnom/sistemskom pristupu, ovaj ambiciozni dokument pokrio je svaki aspekt ciklusa borbe protiv prevara i doprin</w:t>
      </w:r>
      <w:r>
        <w:rPr>
          <w:lang w:val="sr-Latn-RS"/>
        </w:rPr>
        <w:t>i</w:t>
      </w:r>
      <w:r w:rsidR="003C6EBA" w:rsidRPr="003C6EBA">
        <w:t>o prim</w:t>
      </w:r>
      <w:r>
        <w:rPr>
          <w:lang w:val="sr-Latn-RS"/>
        </w:rPr>
        <w:t>j</w:t>
      </w:r>
      <w:r w:rsidR="003C6EBA" w:rsidRPr="003C6EBA">
        <w:t>eni predviđene teorije prom</w:t>
      </w:r>
      <w:r>
        <w:rPr>
          <w:lang w:val="sr-Latn-RS"/>
        </w:rPr>
        <w:t>j</w:t>
      </w:r>
      <w:r w:rsidR="003C6EBA" w:rsidRPr="003C6EBA">
        <w:t xml:space="preserve">ene, kroz uvođenje sistematskog procesa strateškog planiranja. </w:t>
      </w:r>
    </w:p>
    <w:p w14:paraId="1EE247A0" w14:textId="77777777" w:rsidR="000B6511" w:rsidRDefault="003C6EBA" w:rsidP="003C6EBA">
      <w:pPr>
        <w:spacing w:line="276" w:lineRule="auto"/>
        <w:jc w:val="both"/>
      </w:pPr>
      <w:r w:rsidRPr="003C6EBA">
        <w:t xml:space="preserve">U tom pravcu, snažna posvećenost AFCOS </w:t>
      </w:r>
      <w:r w:rsidR="00BA7527">
        <w:rPr>
          <w:lang w:val="sr-Latn-RS"/>
        </w:rPr>
        <w:t>k</w:t>
      </w:r>
      <w:r w:rsidR="00BA7527" w:rsidRPr="003C6EBA">
        <w:t xml:space="preserve">ancelarije </w:t>
      </w:r>
      <w:r w:rsidRPr="003C6EBA">
        <w:t xml:space="preserve">tokom vremenskog perioda </w:t>
      </w:r>
      <w:r w:rsidR="00BA7527">
        <w:rPr>
          <w:lang w:val="sr-Latn-RS"/>
        </w:rPr>
        <w:t>trajanja S</w:t>
      </w:r>
      <w:r w:rsidRPr="003C6EBA">
        <w:t xml:space="preserve">trategije bila je odlučujući faktor. </w:t>
      </w:r>
      <w:r w:rsidR="00BA7527">
        <w:rPr>
          <w:lang w:val="sr-Latn-RS"/>
        </w:rPr>
        <w:t>Kancelarija</w:t>
      </w:r>
      <w:r w:rsidRPr="003C6EBA">
        <w:t xml:space="preserve"> </w:t>
      </w:r>
      <w:r w:rsidR="00BA7527">
        <w:rPr>
          <w:lang w:val="sr-Latn-RS"/>
        </w:rPr>
        <w:t xml:space="preserve">AFCOS </w:t>
      </w:r>
      <w:r w:rsidRPr="003C6EBA">
        <w:t xml:space="preserve">je uvjerljivo odgovorila na novonastale prijetnje iz vanjskog okruženja kao što je pandemija COVID-19 (ne uvijek bez odlaganja), preuzela je vlasništvo nad procesom i dosljedno izvršavala zahtjevne zadatke koordinacije, implementacije i izvještavanja. Štaviše, uspjela je mobilizirati fondove EU za podršku implementaciji relevantnih mjera i aktivnosti. </w:t>
      </w:r>
    </w:p>
    <w:p w14:paraId="7243894C" w14:textId="629C3D23" w:rsidR="009D361F" w:rsidRDefault="003C6EBA" w:rsidP="003C6EBA">
      <w:pPr>
        <w:spacing w:line="276" w:lineRule="auto"/>
        <w:jc w:val="both"/>
      </w:pPr>
      <w:r w:rsidRPr="003C6EBA">
        <w:t>Međutim, političke turbulencije su potkopale usvajanje ključnih zakonodavnih inicijativa kako je prvobitno bilo predviđeno. Nepostojanje konkretnog regulatornog okvira predstavljalo je veliki zastoj i za dalje promovisanje među</w:t>
      </w:r>
      <w:r w:rsidR="00BA7527">
        <w:rPr>
          <w:lang w:val="sr-Latn-RS"/>
        </w:rPr>
        <w:t>institucionalne</w:t>
      </w:r>
      <w:r w:rsidRPr="003C6EBA">
        <w:t xml:space="preserve"> saradnje stvarajući nejasnoće oko uloge i nadležnosti AFCOS kancelarije u okviru AFCOS sistema. Štaviše, ograničena vidljivost, nizak nivo angažmana ključnih aktera, zajedno sa značajno diferenciranim percepcijama o važnosti Strategije i ključnih koncepata oko nje, dodatno naglašeni velikom fluktuacijom </w:t>
      </w:r>
      <w:r w:rsidR="00BA7527">
        <w:rPr>
          <w:lang w:val="sr-Latn-RS"/>
        </w:rPr>
        <w:t>službenika</w:t>
      </w:r>
      <w:r w:rsidRPr="003C6EBA">
        <w:t>, nisu omogućili potpunu operacionalizaciju AFCOS sistema u Crn</w:t>
      </w:r>
      <w:r w:rsidR="00BA7527">
        <w:rPr>
          <w:lang w:val="sr-Latn-RS"/>
        </w:rPr>
        <w:t>oj</w:t>
      </w:r>
      <w:r w:rsidRPr="003C6EBA">
        <w:t xml:space="preserve"> Gor</w:t>
      </w:r>
      <w:r w:rsidR="00BA7527">
        <w:rPr>
          <w:lang w:val="sr-Latn-RS"/>
        </w:rPr>
        <w:t>i</w:t>
      </w:r>
      <w:r w:rsidRPr="003C6EBA">
        <w:t xml:space="preserve">. Broj prijavljenih nepravilnosti i dalje je izuzetno nizak, dok OLAF-u nije prijavljen nijedan slučaj prevare bez obzira na uvođenje standardiziranih procedura i novih digitalnih alata. U tom pravcu, procjena je identifikovala sljedeće oblasti/pitanja kao teme koje je potrebno dalje razraditi i unaprijediti u okviru Strategije 2024 – 2027: </w:t>
      </w:r>
    </w:p>
    <w:p w14:paraId="0F1B2BC2" w14:textId="6BEE9D2C" w:rsidR="003C6EBA" w:rsidRPr="009D361F" w:rsidRDefault="003C6EBA" w:rsidP="009D361F">
      <w:pPr>
        <w:pStyle w:val="ListParagraph"/>
        <w:numPr>
          <w:ilvl w:val="0"/>
          <w:numId w:val="5"/>
        </w:numPr>
        <w:spacing w:line="276" w:lineRule="auto"/>
        <w:jc w:val="both"/>
        <w:rPr>
          <w:lang w:val="en-US"/>
        </w:rPr>
      </w:pPr>
      <w:r w:rsidRPr="003C6EBA">
        <w:t xml:space="preserve">Potrebna je jača politička podrška za usvajanje preostalih regulatornih inicijativa </w:t>
      </w:r>
      <w:r w:rsidR="00A41F77">
        <w:t>neophod</w:t>
      </w:r>
      <w:r w:rsidRPr="003C6EBA">
        <w:t>nih za uspostavljanje čvrst</w:t>
      </w:r>
      <w:r w:rsidR="009D361F">
        <w:t>e</w:t>
      </w:r>
      <w:r w:rsidRPr="003C6EBA">
        <w:t xml:space="preserve"> </w:t>
      </w:r>
      <w:r w:rsidR="009D361F">
        <w:t>osnove</w:t>
      </w:r>
      <w:r w:rsidRPr="003C6EBA">
        <w:t xml:space="preserve"> za AFCOS </w:t>
      </w:r>
      <w:r w:rsidR="009D361F">
        <w:t>kancelariju</w:t>
      </w:r>
      <w:r w:rsidRPr="003C6EBA">
        <w:t xml:space="preserve"> i promovi</w:t>
      </w:r>
      <w:r w:rsidR="009D361F">
        <w:t>s</w:t>
      </w:r>
      <w:r w:rsidRPr="003C6EBA">
        <w:t>anje nje</w:t>
      </w:r>
      <w:r w:rsidR="009D361F">
        <w:t>n</w:t>
      </w:r>
      <w:r w:rsidRPr="003C6EBA">
        <w:t xml:space="preserve">e uloge kao ključnog mehanizma za koordinaciju borbe protiv prevara i kao sastavnog dijela IPA strukture. </w:t>
      </w:r>
    </w:p>
    <w:p w14:paraId="61F30BB4" w14:textId="4F48A900" w:rsidR="003C6EBA" w:rsidRPr="003C6EBA" w:rsidRDefault="003C6EBA" w:rsidP="00DB1F9B">
      <w:pPr>
        <w:pStyle w:val="ListParagraph"/>
        <w:numPr>
          <w:ilvl w:val="0"/>
          <w:numId w:val="5"/>
        </w:numPr>
        <w:spacing w:line="276" w:lineRule="auto"/>
        <w:jc w:val="both"/>
        <w:rPr>
          <w:lang w:val="en-US"/>
        </w:rPr>
      </w:pPr>
      <w:r w:rsidRPr="003C6EBA">
        <w:t xml:space="preserve"> Ojačati učešće zainteresovanih strana u svakoj fazi ciklusa </w:t>
      </w:r>
      <w:r w:rsidR="009D361F">
        <w:rPr>
          <w:lang w:val="sr-Latn-RS"/>
        </w:rPr>
        <w:t>izrade strateškog dokumenta</w:t>
      </w:r>
      <w:r w:rsidRPr="003C6EBA">
        <w:t xml:space="preserve"> (konsultacije, </w:t>
      </w:r>
      <w:r w:rsidR="009D361F">
        <w:rPr>
          <w:lang w:val="sr-Latn-RS"/>
        </w:rPr>
        <w:t>izrada</w:t>
      </w:r>
      <w:r w:rsidRPr="003C6EBA">
        <w:t xml:space="preserve">, implementacija, evaluacija). </w:t>
      </w:r>
    </w:p>
    <w:p w14:paraId="33CB8369" w14:textId="77777777" w:rsidR="003C6EBA" w:rsidRPr="003C6EBA" w:rsidRDefault="003C6EBA" w:rsidP="00DB1F9B">
      <w:pPr>
        <w:pStyle w:val="ListParagraph"/>
        <w:numPr>
          <w:ilvl w:val="0"/>
          <w:numId w:val="5"/>
        </w:numPr>
        <w:spacing w:line="276" w:lineRule="auto"/>
        <w:jc w:val="both"/>
        <w:rPr>
          <w:lang w:val="en-US"/>
        </w:rPr>
      </w:pPr>
      <w:r w:rsidRPr="003C6EBA">
        <w:t xml:space="preserve"> Osmisliti i implementirati sveobuhvatnu komunikacijsku kampanju kao dio sljedeće strategije kako bi se povećala vidljivost i stvorilo zajedničko razumijevanje o njenoj važnosti.</w:t>
      </w:r>
    </w:p>
    <w:p w14:paraId="044299FA" w14:textId="02F9679D" w:rsidR="003C6EBA" w:rsidRPr="003C6EBA" w:rsidRDefault="003C6EBA" w:rsidP="00DB1F9B">
      <w:pPr>
        <w:pStyle w:val="ListParagraph"/>
        <w:numPr>
          <w:ilvl w:val="0"/>
          <w:numId w:val="5"/>
        </w:numPr>
        <w:spacing w:line="276" w:lineRule="auto"/>
        <w:jc w:val="both"/>
        <w:rPr>
          <w:lang w:val="en-US"/>
        </w:rPr>
      </w:pPr>
      <w:r w:rsidRPr="003C6EBA">
        <w:lastRenderedPageBreak/>
        <w:t xml:space="preserve">Uvesti sistem indikatora za mjerenje </w:t>
      </w:r>
      <w:r w:rsidR="0053769D">
        <w:t>učinak</w:t>
      </w:r>
      <w:r w:rsidRPr="003C6EBA">
        <w:t xml:space="preserve">a i rezultata (po aktivnosti i operativnim ciljevima </w:t>
      </w:r>
      <w:r w:rsidR="0053769D">
        <w:t>naizmjenično</w:t>
      </w:r>
      <w:r w:rsidRPr="003C6EBA">
        <w:t xml:space="preserve">) i </w:t>
      </w:r>
      <w:r w:rsidR="0053769D">
        <w:t>opredijeliti sredstva</w:t>
      </w:r>
      <w:r w:rsidRPr="003C6EBA">
        <w:t xml:space="preserve"> budžetiranja tokom</w:t>
      </w:r>
      <w:r w:rsidR="0053769D">
        <w:t xml:space="preserve"> izrade</w:t>
      </w:r>
      <w:r>
        <w:t>.</w:t>
      </w:r>
    </w:p>
    <w:p w14:paraId="224FF3AA" w14:textId="48869A5B" w:rsidR="003C6EBA" w:rsidRPr="003C6EBA" w:rsidRDefault="003C6EBA" w:rsidP="00DB1F9B">
      <w:pPr>
        <w:pStyle w:val="ListParagraph"/>
        <w:numPr>
          <w:ilvl w:val="0"/>
          <w:numId w:val="5"/>
        </w:numPr>
        <w:spacing w:line="276" w:lineRule="auto"/>
        <w:jc w:val="both"/>
        <w:rPr>
          <w:lang w:val="en-US"/>
        </w:rPr>
      </w:pPr>
      <w:r w:rsidRPr="003C6EBA">
        <w:t xml:space="preserve">Promovisati sinergiju među nadležnim institucijama na nacionalnom nivou kako bi se </w:t>
      </w:r>
      <w:r w:rsidR="001564A9">
        <w:t>definisa</w:t>
      </w:r>
      <w:r w:rsidRPr="003C6EBA">
        <w:t>o prilagođeniji pristup potrebama ključnih ciljnih grupa u oblasti obuke za borbu protiv prevara i izb</w:t>
      </w:r>
      <w:r w:rsidR="009320D2">
        <w:t>j</w:t>
      </w:r>
      <w:r w:rsidRPr="003C6EBA">
        <w:t>eglo dupliranje</w:t>
      </w:r>
      <w:r w:rsidR="001564A9">
        <w:t xml:space="preserve"> poslova</w:t>
      </w:r>
      <w:r w:rsidRPr="003C6EBA">
        <w:t>.</w:t>
      </w:r>
    </w:p>
    <w:p w14:paraId="4F3BB02F" w14:textId="3F22A5A8" w:rsidR="003C6EBA" w:rsidRPr="007C69A7" w:rsidRDefault="003C6EBA" w:rsidP="007C69A7">
      <w:pPr>
        <w:pStyle w:val="ListParagraph"/>
        <w:numPr>
          <w:ilvl w:val="0"/>
          <w:numId w:val="5"/>
        </w:numPr>
        <w:spacing w:line="276" w:lineRule="auto"/>
        <w:jc w:val="both"/>
        <w:rPr>
          <w:lang w:val="en-US"/>
        </w:rPr>
      </w:pPr>
      <w:r w:rsidRPr="003C6EBA">
        <w:t>Razviti standardni obrazac (projektni plan) kako bi se jasno defini</w:t>
      </w:r>
      <w:r w:rsidR="007C69A7">
        <w:t>s</w:t>
      </w:r>
      <w:r w:rsidRPr="003C6EBA">
        <w:t xml:space="preserve">ao obim, očekivani rezultati i </w:t>
      </w:r>
      <w:r w:rsidR="007C69A7">
        <w:t>ishodi</w:t>
      </w:r>
      <w:r w:rsidRPr="003C6EBA">
        <w:t xml:space="preserve"> svake predviđene aktivnosti i dodijelile uloge i odgovornosti stranama uključenim u njihovu implementaciju. </w:t>
      </w:r>
    </w:p>
    <w:p w14:paraId="7ABE95CF" w14:textId="4D240391" w:rsidR="003C6EBA" w:rsidRDefault="003C6EBA" w:rsidP="00E63F8E">
      <w:pPr>
        <w:spacing w:line="276" w:lineRule="auto"/>
        <w:jc w:val="both"/>
      </w:pPr>
      <w:r w:rsidRPr="003C6EBA">
        <w:t xml:space="preserve">Ipak, i pored činjenice da se implementacija suočila sa značajnim izazovima, Crna Gora je izvukla značajne koristi od implementacije Strategije i uspjela da postavi ključne elemente za uspostavljanje modernog okvira za upravljanje nepravilnostima i borbu protiv prevara na nacionalnom nivou. Strategija 2019-2022 pokazuje zadovoljavajuću stopu implementacije (70% predviđenih aktivnosti je završeno do kraja 2022.) što je omogućilo zemlji da uvede niz intervencija i pruži opipljive rezultate u pogledu operativnog stuba AFCOS sistema, uveo je sistemski (ali još uvijek fragmentiran) pristup u izvođenju obuka i otvorio put za institucionalizaciju međuinstitucionalne saradnje kroz bilateralne sporazume. Među njima, ažurirane </w:t>
      </w:r>
      <w:r w:rsidR="001256B1">
        <w:rPr>
          <w:lang w:val="sr-Latn-RS"/>
        </w:rPr>
        <w:t>S</w:t>
      </w:r>
      <w:r w:rsidRPr="003C6EBA">
        <w:t xml:space="preserve">mjernice o upravljanju nepravilnostima, izmjena i dopuna Priručnika o procedurama za </w:t>
      </w:r>
      <w:r w:rsidR="001256B1">
        <w:rPr>
          <w:lang w:val="sr-Latn-RS"/>
        </w:rPr>
        <w:t>institucije</w:t>
      </w:r>
      <w:r w:rsidRPr="003C6EBA">
        <w:t xml:space="preserve"> </w:t>
      </w:r>
      <w:r w:rsidR="001256B1">
        <w:rPr>
          <w:lang w:val="sr-Latn-RS"/>
        </w:rPr>
        <w:t>koje se bave</w:t>
      </w:r>
      <w:r w:rsidRPr="003C6EBA">
        <w:t xml:space="preserve"> upravljanj</w:t>
      </w:r>
      <w:r w:rsidR="001256B1">
        <w:rPr>
          <w:lang w:val="sr-Latn-RS"/>
        </w:rPr>
        <w:t>em</w:t>
      </w:r>
      <w:r w:rsidRPr="003C6EBA">
        <w:t xml:space="preserve"> IPA-om, pristup IMS-u za prijavljivanje nepravilnosti i </w:t>
      </w:r>
      <w:r w:rsidR="001256B1">
        <w:rPr>
          <w:lang w:val="sr-Latn-RS"/>
        </w:rPr>
        <w:t>same</w:t>
      </w:r>
      <w:r w:rsidRPr="003C6EBA">
        <w:t xml:space="preserve"> obuke bile su one koje su imale najveću dodanu vrijednost. </w:t>
      </w:r>
    </w:p>
    <w:p w14:paraId="28E25273" w14:textId="3FE2CC26" w:rsidR="003C6EBA" w:rsidRDefault="003C6EBA" w:rsidP="00E63F8E">
      <w:pPr>
        <w:spacing w:line="276" w:lineRule="auto"/>
        <w:jc w:val="both"/>
        <w:rPr>
          <w:lang w:val="en-US"/>
        </w:rPr>
      </w:pPr>
      <w:r w:rsidRPr="003C6EBA">
        <w:t>Očekuje se da će solidna osnova postavljena tokom perioda implementacije 2019-2022 značajno doprinijeti procesu planiranja i implementacije nove Strategije za period 2024-2027.</w:t>
      </w:r>
    </w:p>
    <w:p w14:paraId="48CBB4D3" w14:textId="77777777" w:rsidR="003C6EBA" w:rsidRPr="000944D1" w:rsidRDefault="003C6EBA" w:rsidP="00E63F8E">
      <w:pPr>
        <w:spacing w:line="276" w:lineRule="auto"/>
        <w:jc w:val="both"/>
        <w:rPr>
          <w:lang w:val="en-US"/>
        </w:rPr>
      </w:pPr>
    </w:p>
    <w:p w14:paraId="4D53D2A7" w14:textId="6BE95B35" w:rsidR="00EA0181" w:rsidRDefault="00A91EEA" w:rsidP="00EA0181">
      <w:pPr>
        <w:shd w:val="clear" w:color="auto" w:fill="D9E2F3" w:themeFill="accent1" w:themeFillTint="33"/>
        <w:spacing w:line="360" w:lineRule="auto"/>
        <w:jc w:val="both"/>
        <w:rPr>
          <w:lang w:val="en-US"/>
        </w:rPr>
      </w:pPr>
      <w:r>
        <w:rPr>
          <w:lang w:val="en-US"/>
        </w:rPr>
        <w:t>Da sumiramo</w:t>
      </w:r>
      <w:r w:rsidR="00EA0181">
        <w:rPr>
          <w:lang w:val="en-US"/>
        </w:rPr>
        <w:t>:</w:t>
      </w:r>
    </w:p>
    <w:p w14:paraId="6AC3B7C3" w14:textId="77777777" w:rsidR="00A91EEA" w:rsidRPr="00A91EEA" w:rsidRDefault="00A91EEA" w:rsidP="00DB1F9B">
      <w:pPr>
        <w:pStyle w:val="ListParagraph"/>
        <w:numPr>
          <w:ilvl w:val="0"/>
          <w:numId w:val="7"/>
        </w:numPr>
        <w:shd w:val="clear" w:color="auto" w:fill="D9E2F3" w:themeFill="accent1" w:themeFillTint="33"/>
        <w:spacing w:line="360" w:lineRule="auto"/>
        <w:jc w:val="both"/>
        <w:rPr>
          <w:lang w:val="en-US"/>
        </w:rPr>
      </w:pPr>
      <w:r w:rsidRPr="00A91EEA">
        <w:t xml:space="preserve"> Zasnovano na sistemskom pristupu, Strategija 2019 – 2022 obuhvatila je svaki aspekt ciklusa borbe protiv prevara, sa ciljem uspostavljanja čvrstog pravnog okvira, promovisanja međuinstitucionalne saradnje i jačanja operativnih kapaciteta u okviru crnogorskog AFCOS sistema. </w:t>
      </w:r>
    </w:p>
    <w:p w14:paraId="7CDEF4F9" w14:textId="68F05BE0" w:rsidR="00A91EEA" w:rsidRPr="00A91EEA" w:rsidRDefault="00A91EEA" w:rsidP="00DB1F9B">
      <w:pPr>
        <w:pStyle w:val="ListParagraph"/>
        <w:numPr>
          <w:ilvl w:val="0"/>
          <w:numId w:val="7"/>
        </w:numPr>
        <w:shd w:val="clear" w:color="auto" w:fill="D9E2F3" w:themeFill="accent1" w:themeFillTint="33"/>
        <w:spacing w:line="360" w:lineRule="auto"/>
        <w:jc w:val="both"/>
        <w:rPr>
          <w:lang w:val="en-US"/>
        </w:rPr>
      </w:pPr>
      <w:r w:rsidRPr="00A91EEA">
        <w:t>AFCOS kancelarija je pokazala snažnu posvećenost, preuzela vlasništvo nad procesom i dosljedno ispunjavala zahtjevne zadatke koordinacije, implementacije i izvještavanja tokom perioda trajanja Strategije.</w:t>
      </w:r>
    </w:p>
    <w:p w14:paraId="7469EB06" w14:textId="55AE2985" w:rsidR="00A91EEA" w:rsidRPr="00A91EEA" w:rsidRDefault="00A91EEA" w:rsidP="00DB1F9B">
      <w:pPr>
        <w:pStyle w:val="ListParagraph"/>
        <w:numPr>
          <w:ilvl w:val="0"/>
          <w:numId w:val="7"/>
        </w:numPr>
        <w:shd w:val="clear" w:color="auto" w:fill="D9E2F3" w:themeFill="accent1" w:themeFillTint="33"/>
        <w:spacing w:line="360" w:lineRule="auto"/>
        <w:jc w:val="both"/>
        <w:rPr>
          <w:lang w:val="en-US"/>
        </w:rPr>
      </w:pPr>
      <w:r w:rsidRPr="00A91EEA">
        <w:t xml:space="preserve"> Tokom implementacije Strategije, političke turbulencije su ugrozile usvajanje ključnih zakonodavnih inicijativa, što je zauzvrat narušilo promociju među</w:t>
      </w:r>
      <w:r w:rsidR="00A41F77">
        <w:rPr>
          <w:lang w:val="sr-Latn-RS"/>
        </w:rPr>
        <w:t>institucionalne</w:t>
      </w:r>
      <w:r w:rsidRPr="00A91EEA">
        <w:t xml:space="preserve"> saradnje, dok  ograničena vidljivost, uz nizak nivo angažmana ključnih aktera, dodatno</w:t>
      </w:r>
      <w:r w:rsidR="009F034F">
        <w:rPr>
          <w:lang w:val="sr-Latn-RS"/>
        </w:rPr>
        <w:t xml:space="preserve"> pojačana odlivom</w:t>
      </w:r>
      <w:r w:rsidRPr="00A91EEA">
        <w:t xml:space="preserve"> visok</w:t>
      </w:r>
      <w:r w:rsidR="009F034F">
        <w:rPr>
          <w:lang w:val="sr-Latn-RS"/>
        </w:rPr>
        <w:t>o-rukovodnog</w:t>
      </w:r>
      <w:r w:rsidRPr="00A91EEA">
        <w:t xml:space="preserve"> kadr</w:t>
      </w:r>
      <w:r w:rsidR="009F034F">
        <w:rPr>
          <w:lang w:val="sr-Latn-RS"/>
        </w:rPr>
        <w:t xml:space="preserve">a, </w:t>
      </w:r>
      <w:r w:rsidRPr="00A91EEA">
        <w:t>nije omogući</w:t>
      </w:r>
      <w:r w:rsidR="009F034F">
        <w:rPr>
          <w:lang w:val="sr-Latn-RS"/>
        </w:rPr>
        <w:t>la</w:t>
      </w:r>
      <w:r w:rsidRPr="00A91EEA">
        <w:t xml:space="preserve"> potpunu operacionalizaciju AFCOS sistema u Crnoj Gori. </w:t>
      </w:r>
    </w:p>
    <w:p w14:paraId="7BED4EA1" w14:textId="77777777" w:rsidR="00A91EEA" w:rsidRPr="00A91EEA" w:rsidRDefault="00A91EEA" w:rsidP="00DB1F9B">
      <w:pPr>
        <w:pStyle w:val="ListParagraph"/>
        <w:numPr>
          <w:ilvl w:val="0"/>
          <w:numId w:val="7"/>
        </w:numPr>
        <w:shd w:val="clear" w:color="auto" w:fill="D9E2F3" w:themeFill="accent1" w:themeFillTint="33"/>
        <w:spacing w:line="360" w:lineRule="auto"/>
        <w:jc w:val="both"/>
        <w:rPr>
          <w:lang w:val="en-US"/>
        </w:rPr>
      </w:pPr>
      <w:r w:rsidRPr="00A91EEA">
        <w:t xml:space="preserve"> Uprkos značajnim izazovima sa kojima se suočava, Crna Gora je ostvarila značajne koristi od implementacije Strategije i uspjela da postavi ključne elemente za uspostavljanje modernog okvira za upravljanje nepravilnostima i borbu protiv </w:t>
      </w:r>
      <w:r w:rsidRPr="00A91EEA">
        <w:lastRenderedPageBreak/>
        <w:t xml:space="preserve">prevara. Postignuta je zadovoljavajuća stopa implementacije Strategije i ostvareni su opipljivi rezultati posebno u pogledu operativnog stuba AFCOS sistema. </w:t>
      </w:r>
    </w:p>
    <w:p w14:paraId="0DF04BAB" w14:textId="0BAA5986" w:rsidR="00591154" w:rsidRDefault="00A91EEA" w:rsidP="00DB1F9B">
      <w:pPr>
        <w:pStyle w:val="ListParagraph"/>
        <w:numPr>
          <w:ilvl w:val="0"/>
          <w:numId w:val="7"/>
        </w:numPr>
        <w:shd w:val="clear" w:color="auto" w:fill="D9E2F3" w:themeFill="accent1" w:themeFillTint="33"/>
        <w:spacing w:line="360" w:lineRule="auto"/>
        <w:jc w:val="both"/>
        <w:rPr>
          <w:lang w:val="en-US"/>
        </w:rPr>
        <w:sectPr w:rsidR="00591154" w:rsidSect="00AF1D3F">
          <w:pgSz w:w="11906" w:h="16838"/>
          <w:pgMar w:top="1440" w:right="1800" w:bottom="1440" w:left="1800" w:header="708" w:footer="708" w:gutter="0"/>
          <w:cols w:space="708"/>
          <w:docGrid w:linePitch="360"/>
        </w:sectPr>
      </w:pPr>
      <w:r w:rsidRPr="00A91EEA">
        <w:t xml:space="preserve">Iako ima prostora za poboljšanje i potrebne su dalje inicijative, postavljena je čvrsta osnova i očekuje se da će značajno doprinijeti procesu planiranja i implementacije nove Strategije za </w:t>
      </w:r>
      <w:r w:rsidR="009F034F">
        <w:rPr>
          <w:lang w:val="sr-Latn-RS"/>
        </w:rPr>
        <w:t xml:space="preserve">period </w:t>
      </w:r>
      <w:r w:rsidRPr="00A91EEA">
        <w:t>2024 – 2</w:t>
      </w:r>
      <w:r w:rsidR="000B6511">
        <w:rPr>
          <w:lang w:val="sr-Latn-RS"/>
        </w:rPr>
        <w:t>027</w:t>
      </w:r>
    </w:p>
    <w:p w14:paraId="0CDEA294" w14:textId="77777777" w:rsidR="00CB5396" w:rsidRDefault="00CB5396" w:rsidP="008E7BBB">
      <w:pPr>
        <w:spacing w:line="276" w:lineRule="auto"/>
        <w:jc w:val="both"/>
        <w:rPr>
          <w:rFonts w:asciiTheme="majorHAnsi" w:eastAsiaTheme="majorEastAsia" w:hAnsiTheme="majorHAnsi" w:cstheme="majorBidi"/>
          <w:b/>
          <w:color w:val="2F5496" w:themeColor="accent1" w:themeShade="BF"/>
          <w:sz w:val="32"/>
          <w:szCs w:val="32"/>
        </w:rPr>
      </w:pPr>
      <w:r w:rsidRPr="00CB5396">
        <w:rPr>
          <w:rFonts w:asciiTheme="majorHAnsi" w:eastAsiaTheme="majorEastAsia" w:hAnsiTheme="majorHAnsi" w:cstheme="majorBidi"/>
          <w:b/>
          <w:color w:val="2F5496" w:themeColor="accent1" w:themeShade="BF"/>
          <w:sz w:val="32"/>
          <w:szCs w:val="32"/>
        </w:rPr>
        <w:lastRenderedPageBreak/>
        <w:t>6. Preporuke za novu Strategiju 2024 – 2027</w:t>
      </w:r>
    </w:p>
    <w:p w14:paraId="23A4D4A8" w14:textId="77777777" w:rsidR="009320D2" w:rsidRDefault="0014551F" w:rsidP="008E7BBB">
      <w:pPr>
        <w:spacing w:line="276" w:lineRule="auto"/>
        <w:jc w:val="both"/>
      </w:pPr>
      <w:r w:rsidRPr="008E7BBB">
        <w:t xml:space="preserve">Uzimajući u obzir nalaze evaluacije, izvedene zaključke, uz praktična razmatranja, tim za evaluaciju preporučuje sljedeće za izradu, planiranje i implementaciju nove crnogorske Nacionalne strategije za borbu protiv prevara za </w:t>
      </w:r>
      <w:r w:rsidR="009320D2">
        <w:rPr>
          <w:lang w:val="sr-Latn-RS"/>
        </w:rPr>
        <w:t xml:space="preserve">period </w:t>
      </w:r>
      <w:r w:rsidRPr="008E7BBB">
        <w:t xml:space="preserve">2024 – 2027. godinu: </w:t>
      </w:r>
    </w:p>
    <w:p w14:paraId="631FA11B" w14:textId="6DB708BB" w:rsidR="008E7BBB" w:rsidRPr="009320D2" w:rsidRDefault="0014551F" w:rsidP="009320D2">
      <w:pPr>
        <w:pStyle w:val="ListParagraph"/>
        <w:numPr>
          <w:ilvl w:val="0"/>
          <w:numId w:val="6"/>
        </w:numPr>
        <w:spacing w:line="276" w:lineRule="auto"/>
        <w:jc w:val="both"/>
        <w:rPr>
          <w:lang w:val="en"/>
        </w:rPr>
      </w:pPr>
      <w:r w:rsidRPr="008E7BBB">
        <w:t xml:space="preserve">Smjernice za razvoj nacionalnih strategija za borbu protiv prevara i praktične korake ka izradi Nacionalne strategije za borbu protiv prevara koje je razvio OLAF treba konsultovati za izradu nove strategije. Iako smjernice i radni dokument nisu obavezni za države članice ili zemlje pristupnice, oni odražavaju dobru praksu i rezultat su zajedničkog radnog procesa koji uključuje stručnjake iz država članica, OLAF-a i </w:t>
      </w:r>
      <w:r w:rsidR="009320D2" w:rsidRPr="009320D2">
        <w:rPr>
          <w:lang w:val="sr-Latn-RS"/>
        </w:rPr>
        <w:t>Evropske k</w:t>
      </w:r>
      <w:r w:rsidRPr="008E7BBB">
        <w:t xml:space="preserve">omisije </w:t>
      </w:r>
      <w:r w:rsidR="009320D2" w:rsidRPr="009320D2">
        <w:rPr>
          <w:lang w:val="sr-Latn-RS"/>
        </w:rPr>
        <w:t xml:space="preserve">iz </w:t>
      </w:r>
      <w:r w:rsidRPr="008E7BBB">
        <w:t xml:space="preserve"> službi odgovornih za e</w:t>
      </w:r>
      <w:r w:rsidR="009320D2" w:rsidRPr="009320D2">
        <w:rPr>
          <w:lang w:val="sr-Latn-RS"/>
        </w:rPr>
        <w:t>v</w:t>
      </w:r>
      <w:r w:rsidRPr="008E7BBB">
        <w:t>ropske strukturne i Investicion</w:t>
      </w:r>
      <w:r w:rsidR="009320D2" w:rsidRPr="009320D2">
        <w:rPr>
          <w:lang w:val="sr-Latn-RS"/>
        </w:rPr>
        <w:t>e</w:t>
      </w:r>
      <w:r w:rsidRPr="008E7BBB">
        <w:t xml:space="preserve"> fondov</w:t>
      </w:r>
      <w:r w:rsidR="009320D2" w:rsidRPr="009320D2">
        <w:rPr>
          <w:lang w:val="sr-Latn-RS"/>
        </w:rPr>
        <w:t>e</w:t>
      </w:r>
      <w:r w:rsidRPr="008E7BBB">
        <w:t xml:space="preserve"> (ESIF). Naglasak treba staviti na pripremn</w:t>
      </w:r>
      <w:r w:rsidR="009320D2" w:rsidRPr="009320D2">
        <w:rPr>
          <w:lang w:val="sr-Latn-RS"/>
        </w:rPr>
        <w:t>u</w:t>
      </w:r>
      <w:r w:rsidRPr="008E7BBB">
        <w:t xml:space="preserve"> faz</w:t>
      </w:r>
      <w:r w:rsidR="009320D2" w:rsidRPr="009320D2">
        <w:rPr>
          <w:lang w:val="sr-Latn-RS"/>
        </w:rPr>
        <w:t>u</w:t>
      </w:r>
      <w:r w:rsidRPr="008E7BBB">
        <w:t>, tokom kojih se vrši mapiranje trenutne situacije u zemlji u vezi sa postojećim mjerama protiv prevara s obzirom na sve faze ciklusa borbe protiv prevara, zajedno sa sveobuhvatnom procjenom rizika od prevara</w:t>
      </w:r>
      <w:r w:rsidR="009320D2" w:rsidRPr="009320D2">
        <w:rPr>
          <w:lang w:val="sr-Latn-RS"/>
        </w:rPr>
        <w:t>,</w:t>
      </w:r>
      <w:r w:rsidRPr="008E7BBB">
        <w:t xml:space="preserve"> sa ciljem da se osigura osnova za izgradnju čvrste strategije.</w:t>
      </w:r>
    </w:p>
    <w:p w14:paraId="21D6F2B5" w14:textId="77777777" w:rsidR="009320D2" w:rsidRPr="009320D2" w:rsidRDefault="009320D2" w:rsidP="009320D2">
      <w:pPr>
        <w:pStyle w:val="ListParagraph"/>
        <w:spacing w:line="276" w:lineRule="auto"/>
        <w:ind w:left="785"/>
        <w:jc w:val="both"/>
        <w:rPr>
          <w:lang w:val="en"/>
        </w:rPr>
      </w:pPr>
    </w:p>
    <w:p w14:paraId="480EC06A" w14:textId="6F62FC18" w:rsidR="008E7BBB" w:rsidRPr="009320D2" w:rsidRDefault="0014551F" w:rsidP="00DB1F9B">
      <w:pPr>
        <w:pStyle w:val="ListParagraph"/>
        <w:numPr>
          <w:ilvl w:val="0"/>
          <w:numId w:val="6"/>
        </w:numPr>
        <w:spacing w:line="276" w:lineRule="auto"/>
        <w:jc w:val="both"/>
        <w:rPr>
          <w:lang w:val="en"/>
        </w:rPr>
      </w:pPr>
      <w:r w:rsidRPr="0014551F">
        <w:t xml:space="preserve"> Osmišljavanje i implementacija Strategije imaće značajnu korist od usvajanja jasnije i konkretnije teorije promjene. Teorija promjene predstavlja prezentaciju kako i zašto će složeni proces promjene uspjeti da pruži očekivane rezultate, pod određenim okolnostima. Temeljne komponente teorije promjene su neophodni resursi i inputi, željeni ishodi, analiza ključnih </w:t>
      </w:r>
      <w:r w:rsidR="009320D2">
        <w:rPr>
          <w:lang w:val="sr-Latn-RS"/>
        </w:rPr>
        <w:t>učesnik</w:t>
      </w:r>
      <w:r w:rsidRPr="0014551F">
        <w:t xml:space="preserve">a, aktivnosti koje će dovesti do ishoda, uzročno-posljedični </w:t>
      </w:r>
      <w:r w:rsidR="009320D2">
        <w:rPr>
          <w:lang w:val="sr-Latn-RS"/>
        </w:rPr>
        <w:t>odnosi</w:t>
      </w:r>
      <w:r w:rsidRPr="0014551F">
        <w:t xml:space="preserve"> između ishoda i aktivnosti, indikatori i temeljno obrazloženje. Formulisanje i usvajanje teorije promjene za naredni period omogućiće više specifičnosti u vezi sa ciljevima, mjerama i aktivnostima, adekvatnim resursima i omogućavajućim uslovima prilikom izrade </w:t>
      </w:r>
      <w:r w:rsidR="009320D2">
        <w:rPr>
          <w:lang w:val="sr-Latn-RS"/>
        </w:rPr>
        <w:t xml:space="preserve">nove </w:t>
      </w:r>
      <w:r w:rsidRPr="0014551F">
        <w:t xml:space="preserve">Strategije, kao i jasan okvir za provjeru prekretnica i održavanje kursa tokom praćenja i implementacije. </w:t>
      </w:r>
    </w:p>
    <w:p w14:paraId="436E0FF1" w14:textId="77777777" w:rsidR="009320D2" w:rsidRPr="008E7BBB" w:rsidRDefault="009320D2" w:rsidP="009320D2">
      <w:pPr>
        <w:pStyle w:val="ListParagraph"/>
        <w:spacing w:line="276" w:lineRule="auto"/>
        <w:ind w:left="785"/>
        <w:jc w:val="both"/>
        <w:rPr>
          <w:lang w:val="en"/>
        </w:rPr>
      </w:pPr>
    </w:p>
    <w:p w14:paraId="5A604190" w14:textId="4E29DE7F" w:rsidR="00F51132" w:rsidRPr="009320D2" w:rsidRDefault="0014551F" w:rsidP="00DB1F9B">
      <w:pPr>
        <w:pStyle w:val="ListParagraph"/>
        <w:numPr>
          <w:ilvl w:val="0"/>
          <w:numId w:val="6"/>
        </w:numPr>
        <w:spacing w:line="276" w:lineRule="auto"/>
        <w:jc w:val="both"/>
        <w:rPr>
          <w:lang w:val="en"/>
        </w:rPr>
      </w:pPr>
      <w:r w:rsidRPr="0014551F">
        <w:t>Kontinuitet u strateškoj orijentaciji takođe treba da bude prioritet nadgradnjom na ono što je već postignuto i prikupljanjem naučenih lekcija. Tokom procesa dizajniranja i identifikacije potencijalnih aktivnosti za novu strategiju, posebnu pažnju treba posvetiti inicijalno uključivanju svih aktivnosti koje nisu završene ili su djelimično sprovedene tokom perioda 2019 – 2022. Nadalje, nova Strategija mora se nadovezati na ono što je već postignuto, kroz definisanje neophodnih narednih koraka u svakoj identifikovanoj prioritetnoj oblasti, uz istovremeno rješavanje postojećih i potencijalnih budućih izazova i maksimalno iskorištavanje dostupnih mogućnosti.</w:t>
      </w:r>
    </w:p>
    <w:p w14:paraId="374998B0" w14:textId="77777777" w:rsidR="009320D2" w:rsidRPr="00F51132" w:rsidRDefault="009320D2" w:rsidP="009320D2">
      <w:pPr>
        <w:pStyle w:val="ListParagraph"/>
        <w:spacing w:line="276" w:lineRule="auto"/>
        <w:ind w:left="785"/>
        <w:jc w:val="both"/>
        <w:rPr>
          <w:lang w:val="en"/>
        </w:rPr>
      </w:pPr>
    </w:p>
    <w:p w14:paraId="0B28906D" w14:textId="77777777" w:rsidR="00B66741" w:rsidRPr="00B66741" w:rsidRDefault="00F24AA9" w:rsidP="00DB1F9B">
      <w:pPr>
        <w:pStyle w:val="ListParagraph"/>
        <w:numPr>
          <w:ilvl w:val="0"/>
          <w:numId w:val="6"/>
        </w:numPr>
        <w:spacing w:after="0" w:line="276" w:lineRule="auto"/>
        <w:jc w:val="both"/>
        <w:rPr>
          <w:lang w:val="en"/>
        </w:rPr>
      </w:pPr>
      <w:r w:rsidRPr="00F24AA9">
        <w:t xml:space="preserve">Adekvatan i sveobuhvatan skup “SMART” indikatora rezultata i ishoda mora biti komponenta nove Strategije. Uspostavljanje adekvatnog i sveobuhvatnog skupa indikatora rezultata i ishoda je neophodan preduslov za pravilan dizajn, implementaciju, praćenje i evaluaciju Strategije. U tom cilju date su korisne smjernice u okviru Metodologije za razvoj politike, izradu i praćenje strateških planskih dokumenata koju </w:t>
      </w:r>
      <w:r w:rsidR="00B66741">
        <w:rPr>
          <w:lang w:val="sr-Latn-RS"/>
        </w:rPr>
        <w:t>je donio</w:t>
      </w:r>
      <w:r w:rsidRPr="00F24AA9">
        <w:t xml:space="preserve"> Generalni sekretarijat Vlade Crne Gore. Dokumentovanje rezultata sastoji se od </w:t>
      </w:r>
      <w:r w:rsidR="00B66741">
        <w:rPr>
          <w:lang w:val="sr-Latn-RS"/>
        </w:rPr>
        <w:t>mjerenja</w:t>
      </w:r>
      <w:r w:rsidRPr="00F24AA9">
        <w:t xml:space="preserve"> šta je tačno isporučeno kroz implementaciju aktivnosti, dok rezultati predstavljaju očekivani rezultat, obično u vidu prom</w:t>
      </w:r>
      <w:r w:rsidR="00B66741">
        <w:rPr>
          <w:lang w:val="sr-Latn-RS"/>
        </w:rPr>
        <w:t>j</w:t>
      </w:r>
      <w:r w:rsidRPr="00F24AA9">
        <w:t xml:space="preserve">ene koja se dogodila </w:t>
      </w:r>
      <w:r w:rsidRPr="00F24AA9">
        <w:lastRenderedPageBreak/>
        <w:t xml:space="preserve">i koja je direktno povezana sa sprovedenom aktivnošću. Indikatori rezultata su povezani sa sprovedenim aktivnostima, a indikatori ishoda su u korelaciji sa ciljevima Strategije. Bez obzira na konačan set indikatora koji je uspostavljen, svi odabrani indikatori moraju biti SMART: </w:t>
      </w:r>
      <w:r w:rsidR="00B66741">
        <w:rPr>
          <w:lang w:val="sr-Latn-RS"/>
        </w:rPr>
        <w:t xml:space="preserve"> </w:t>
      </w:r>
    </w:p>
    <w:p w14:paraId="6A2599DB" w14:textId="56FA1383" w:rsidR="00B66741" w:rsidRDefault="00F24AA9" w:rsidP="00B66741">
      <w:pPr>
        <w:pStyle w:val="ListParagraph"/>
        <w:numPr>
          <w:ilvl w:val="0"/>
          <w:numId w:val="25"/>
        </w:numPr>
        <w:spacing w:after="0" w:line="276" w:lineRule="auto"/>
        <w:jc w:val="both"/>
      </w:pPr>
      <w:r w:rsidRPr="00F24AA9">
        <w:t xml:space="preserve">Specifičan, </w:t>
      </w:r>
    </w:p>
    <w:p w14:paraId="045B460A" w14:textId="52CB7935" w:rsidR="00B66741" w:rsidRDefault="00F24AA9" w:rsidP="00B66741">
      <w:pPr>
        <w:pStyle w:val="ListParagraph"/>
        <w:numPr>
          <w:ilvl w:val="0"/>
          <w:numId w:val="25"/>
        </w:numPr>
        <w:spacing w:after="0" w:line="276" w:lineRule="auto"/>
        <w:jc w:val="both"/>
      </w:pPr>
      <w:r w:rsidRPr="00F24AA9">
        <w:t xml:space="preserve">mjerljivo, </w:t>
      </w:r>
    </w:p>
    <w:p w14:paraId="11FE4E0A" w14:textId="62F5C051" w:rsidR="00B66741" w:rsidRDefault="00F24AA9" w:rsidP="00B66741">
      <w:pPr>
        <w:pStyle w:val="ListParagraph"/>
        <w:numPr>
          <w:ilvl w:val="0"/>
          <w:numId w:val="25"/>
        </w:numPr>
        <w:spacing w:after="0" w:line="276" w:lineRule="auto"/>
        <w:jc w:val="both"/>
      </w:pPr>
      <w:r w:rsidRPr="00F24AA9">
        <w:t>Ostvarljivo,</w:t>
      </w:r>
    </w:p>
    <w:p w14:paraId="1CBC4C78" w14:textId="0C555565" w:rsidR="00B66741" w:rsidRDefault="00F24AA9" w:rsidP="00B66741">
      <w:pPr>
        <w:pStyle w:val="ListParagraph"/>
        <w:numPr>
          <w:ilvl w:val="0"/>
          <w:numId w:val="25"/>
        </w:numPr>
        <w:spacing w:after="0" w:line="276" w:lineRule="auto"/>
        <w:jc w:val="both"/>
      </w:pPr>
      <w:r w:rsidRPr="00F24AA9">
        <w:t xml:space="preserve">Relevantne i </w:t>
      </w:r>
    </w:p>
    <w:p w14:paraId="6CD01FC7" w14:textId="7947477F" w:rsidR="009320D2" w:rsidRPr="009320D2" w:rsidRDefault="00F24AA9" w:rsidP="00B66741">
      <w:pPr>
        <w:pStyle w:val="ListParagraph"/>
        <w:numPr>
          <w:ilvl w:val="0"/>
          <w:numId w:val="25"/>
        </w:numPr>
        <w:spacing w:after="0" w:line="276" w:lineRule="auto"/>
        <w:jc w:val="both"/>
        <w:rPr>
          <w:lang w:val="en"/>
        </w:rPr>
      </w:pPr>
      <w:r w:rsidRPr="00F24AA9">
        <w:t xml:space="preserve">Vremenski ograničeni. Što se tiče indikatora ishoda, posebna pažnja se mora posvetiti identifikaciji i osiguranju adekvatnih i dostupnih izvora podataka, koji mogu biti ili postojeći skupovi podataka, npr. Zavod za statistiku Crne Gore, NAO AMD Godišnji izvještaji o </w:t>
      </w:r>
      <w:r w:rsidR="00B66741">
        <w:rPr>
          <w:lang w:val="sr-Latn-RS"/>
        </w:rPr>
        <w:t>napretku</w:t>
      </w:r>
      <w:r w:rsidRPr="00F24AA9">
        <w:t>, itd. i/ili planirane intervencije u tu svrhu, kao što su istraživanja, kako bi se tačno definisale osnovne i krajnje vrijednosti.</w:t>
      </w:r>
    </w:p>
    <w:p w14:paraId="5FD3CB6A" w14:textId="1D7356A8" w:rsidR="00F24AA9" w:rsidRPr="00F24AA9" w:rsidRDefault="00F24AA9" w:rsidP="009320D2">
      <w:pPr>
        <w:pStyle w:val="ListParagraph"/>
        <w:spacing w:after="0" w:line="276" w:lineRule="auto"/>
        <w:ind w:left="785"/>
        <w:jc w:val="both"/>
        <w:rPr>
          <w:lang w:val="en"/>
        </w:rPr>
      </w:pPr>
      <w:r w:rsidRPr="00F24AA9">
        <w:t xml:space="preserve"> </w:t>
      </w:r>
    </w:p>
    <w:p w14:paraId="7CEF68A0" w14:textId="51706419" w:rsidR="00F24AA9" w:rsidRPr="009320D2" w:rsidRDefault="00F24AA9" w:rsidP="00DB1F9B">
      <w:pPr>
        <w:pStyle w:val="ListParagraph"/>
        <w:numPr>
          <w:ilvl w:val="0"/>
          <w:numId w:val="6"/>
        </w:numPr>
        <w:spacing w:after="0" w:line="276" w:lineRule="auto"/>
        <w:jc w:val="both"/>
        <w:rPr>
          <w:lang w:val="en"/>
        </w:rPr>
      </w:pPr>
      <w:r w:rsidRPr="00F24AA9">
        <w:t xml:space="preserve">Usvajanje mjera za jačanje međuinstitucionalne saradnje u svakoj fazi ciklusa Strategije (konsultacije, </w:t>
      </w:r>
      <w:r w:rsidR="00B66741">
        <w:rPr>
          <w:lang w:val="sr-Latn-RS"/>
        </w:rPr>
        <w:t>izrada</w:t>
      </w:r>
      <w:r w:rsidRPr="00F24AA9">
        <w:t>, implementacija, praćenje, evaluacija) kao ključni element uspjeha. Evaluacija je pokazala da postoji mnogo prostora za unapređenje u oblasti međuinstitucionalne saradnje, kako kroz promovisanje i usvajanje efikasnih formalnih i neformalnih mehanizama i praksi saradnje. Usvajanje m</w:t>
      </w:r>
      <w:r w:rsidR="00B66741">
        <w:rPr>
          <w:lang w:val="sr-Latn-RS"/>
        </w:rPr>
        <w:t>j</w:t>
      </w:r>
      <w:r w:rsidRPr="00F24AA9">
        <w:t xml:space="preserve">era kao što su identifikacija potreba zainteresovanih strana tokom procesa kreiranja i načina na koji se one mogu zadovoljiti kroz implementaciju Strategije, kako u okviru aktivnosti tako i potencijalnih oblika i oblasti saradnje, njihovo uključivanje u sve faze Strategije opisivanjem mogućih oblika djelovanja sa njihovog kraja, uspostavljanje formalnih i neformalnih kanala komunikacije, uz aktivno korištenje njihovih povratnih informacija, moglo bi ojačati nivo angažmana, posvećenosti i participacije tokom čitavog toka Strategije. </w:t>
      </w:r>
    </w:p>
    <w:p w14:paraId="0B6D832A" w14:textId="77777777" w:rsidR="009320D2" w:rsidRPr="00F24AA9" w:rsidRDefault="009320D2" w:rsidP="009320D2">
      <w:pPr>
        <w:pStyle w:val="ListParagraph"/>
        <w:spacing w:after="0" w:line="276" w:lineRule="auto"/>
        <w:ind w:left="785"/>
        <w:jc w:val="both"/>
        <w:rPr>
          <w:lang w:val="en"/>
        </w:rPr>
      </w:pPr>
    </w:p>
    <w:p w14:paraId="1944A1D4" w14:textId="6C024D0F" w:rsidR="00CB5396" w:rsidRPr="009320D2" w:rsidRDefault="00F24AA9" w:rsidP="00DB1F9B">
      <w:pPr>
        <w:pStyle w:val="ListParagraph"/>
        <w:numPr>
          <w:ilvl w:val="0"/>
          <w:numId w:val="6"/>
        </w:numPr>
        <w:spacing w:after="0" w:line="276" w:lineRule="auto"/>
        <w:jc w:val="both"/>
        <w:rPr>
          <w:lang w:val="en"/>
        </w:rPr>
      </w:pPr>
      <w:r w:rsidRPr="00F24AA9">
        <w:t>Promovisanje sinergije sa institucijama i usvajanje najboljih praksi na nacionalnom nivou. Tokom intervjua identifikovane su dobre prakse koje prate članovi AFCOS sistema (npr. baner na sajtu crnogorske Agencije za sprečavanje korupcije</w:t>
      </w:r>
      <w:r w:rsidR="009320D2">
        <w:rPr>
          <w:lang w:val="sr-Latn-RS"/>
        </w:rPr>
        <w:t>, na temu</w:t>
      </w:r>
      <w:r w:rsidRPr="00F24AA9">
        <w:t xml:space="preserve"> </w:t>
      </w:r>
      <w:r w:rsidR="009320D2">
        <w:rPr>
          <w:lang w:val="sr-Latn-RS"/>
        </w:rPr>
        <w:t>„</w:t>
      </w:r>
      <w:r w:rsidRPr="00F24AA9">
        <w:t>prijavu korupcij</w:t>
      </w:r>
      <w:r w:rsidR="009320D2">
        <w:rPr>
          <w:lang w:val="sr-Latn-RS"/>
        </w:rPr>
        <w:t>u“</w:t>
      </w:r>
      <w:r w:rsidRPr="00F24AA9">
        <w:t>), koje bi se mogle dalje istražiti i možda usvojiti u okviru nove Strategije, dok istovremeno neguje efektivna partnerstva. Pored toga, još jedan nalaz evaluacije je da postoji prostor za unapređenje saradnje u oblasti obuke, odnosno sa crnogorsk</w:t>
      </w:r>
      <w:r w:rsidR="009320D2">
        <w:rPr>
          <w:lang w:val="sr-Latn-RS"/>
        </w:rPr>
        <w:t>o</w:t>
      </w:r>
      <w:r w:rsidRPr="00F24AA9">
        <w:t>m Uprav</w:t>
      </w:r>
      <w:r w:rsidR="009320D2">
        <w:rPr>
          <w:lang w:val="sr-Latn-RS"/>
        </w:rPr>
        <w:t>om</w:t>
      </w:r>
      <w:r w:rsidRPr="00F24AA9">
        <w:t xml:space="preserve"> za kadrove, kako bi se promovisao prilagođeniji pristup potrebama ključnih ciljnih grupa u oblasti borbe protiv prevara, izbjegavanje dupliciranja</w:t>
      </w:r>
      <w:r w:rsidR="00B66741">
        <w:rPr>
          <w:lang w:val="sr-Latn-RS"/>
        </w:rPr>
        <w:t xml:space="preserve"> obuka </w:t>
      </w:r>
      <w:r w:rsidRPr="00F24AA9">
        <w:t>i jačanje sinergije, uzimajući u obzir relevantne nalaze evaluacije.</w:t>
      </w:r>
    </w:p>
    <w:p w14:paraId="52B83BFE" w14:textId="77777777" w:rsidR="009320D2" w:rsidRPr="00CB5396" w:rsidRDefault="009320D2" w:rsidP="009320D2">
      <w:pPr>
        <w:pStyle w:val="ListParagraph"/>
        <w:spacing w:after="0" w:line="276" w:lineRule="auto"/>
        <w:ind w:left="785"/>
        <w:jc w:val="both"/>
        <w:rPr>
          <w:lang w:val="en"/>
        </w:rPr>
      </w:pPr>
    </w:p>
    <w:p w14:paraId="380FAF54" w14:textId="76F91C52" w:rsidR="00CB5396" w:rsidRPr="009320D2" w:rsidRDefault="00F24AA9" w:rsidP="00DB1F9B">
      <w:pPr>
        <w:pStyle w:val="ListParagraph"/>
        <w:numPr>
          <w:ilvl w:val="0"/>
          <w:numId w:val="6"/>
        </w:numPr>
        <w:spacing w:after="0" w:line="276" w:lineRule="auto"/>
        <w:jc w:val="both"/>
        <w:rPr>
          <w:lang w:val="en"/>
        </w:rPr>
      </w:pPr>
      <w:r w:rsidRPr="00CB5396">
        <w:t xml:space="preserve"> Implementirati aktivnosti za podsticanje vidljivosti AFCOS</w:t>
      </w:r>
      <w:r w:rsidR="009320D2">
        <w:t xml:space="preserve"> kancelarije</w:t>
      </w:r>
      <w:r w:rsidRPr="00CB5396">
        <w:t xml:space="preserve"> i promovi</w:t>
      </w:r>
      <w:r w:rsidR="009320D2">
        <w:t>s</w:t>
      </w:r>
      <w:r w:rsidRPr="00CB5396">
        <w:t>ati stvaranje zajedničkog razumijevanja o važnosti Nacionalne strategije za borbu protiv prevara</w:t>
      </w:r>
      <w:r w:rsidR="009320D2">
        <w:t>.</w:t>
      </w:r>
      <w:r w:rsidRPr="00CB5396">
        <w:t xml:space="preserve"> Nalazi i zaključci evaluacije ukazuju na slabu vidljivost i svijest kada je riječ o ulozi AFCOS </w:t>
      </w:r>
      <w:r w:rsidR="009320D2">
        <w:t>kancelarije</w:t>
      </w:r>
      <w:r w:rsidRPr="00CB5396">
        <w:t xml:space="preserve"> i </w:t>
      </w:r>
      <w:r w:rsidR="009320D2">
        <w:t xml:space="preserve">njene </w:t>
      </w:r>
      <w:r w:rsidRPr="00CB5396">
        <w:t>odgovornosti, zajedno sa sveobuhvatnim doprinosom Strategije u zaštiti najboljih interesa zemlje u okviru procesa pristupanja EU. U tom cilju, visoko se preporučuje osmišljavanje i implementacija sveobuhvatne komunikacijske strategije i kampanje kao dijela sljedeće strategije, kako unutar javne uprave, tako i u pogledu svijesti javnosti o prevarama. U okviru ovog okvira, trebalo bi uvesti odredbe za formalno učešće AFCOS</w:t>
      </w:r>
      <w:r w:rsidR="009320D2">
        <w:t xml:space="preserve"> kancelarije</w:t>
      </w:r>
      <w:r w:rsidRPr="00CB5396">
        <w:t xml:space="preserve"> na godišnjem sastanku Nadzornog odbora za IPA III, kako bi se poboljšala </w:t>
      </w:r>
      <w:r w:rsidR="009320D2">
        <w:t>njena</w:t>
      </w:r>
      <w:r w:rsidR="009320D2" w:rsidRPr="00CB5396">
        <w:t xml:space="preserve"> </w:t>
      </w:r>
      <w:r w:rsidRPr="00CB5396">
        <w:t xml:space="preserve">vidljivost kao nacionalnog stručnjaka za </w:t>
      </w:r>
      <w:r w:rsidRPr="00CB5396">
        <w:lastRenderedPageBreak/>
        <w:t xml:space="preserve">koordinaciju protiv prevara i uspostavio godišnji mehanizam za izvještavanje na visokom nivou o glavnim dešavanjima u vezi sa upravljanjem nepravilnostima tokom programskog perioda IPA III. </w:t>
      </w:r>
    </w:p>
    <w:p w14:paraId="097B53F1" w14:textId="77777777" w:rsidR="009320D2" w:rsidRPr="00CB5396" w:rsidRDefault="009320D2" w:rsidP="009320D2">
      <w:pPr>
        <w:pStyle w:val="ListParagraph"/>
        <w:spacing w:after="0" w:line="276" w:lineRule="auto"/>
        <w:ind w:left="785"/>
        <w:jc w:val="both"/>
        <w:rPr>
          <w:lang w:val="en"/>
        </w:rPr>
      </w:pPr>
    </w:p>
    <w:p w14:paraId="64674120" w14:textId="18571782" w:rsidR="00CB5396" w:rsidRPr="009320D2" w:rsidRDefault="00F24AA9" w:rsidP="00DB1F9B">
      <w:pPr>
        <w:pStyle w:val="ListParagraph"/>
        <w:numPr>
          <w:ilvl w:val="0"/>
          <w:numId w:val="6"/>
        </w:numPr>
        <w:spacing w:after="0" w:line="276" w:lineRule="auto"/>
        <w:jc w:val="both"/>
        <w:rPr>
          <w:lang w:val="en"/>
        </w:rPr>
      </w:pPr>
      <w:r w:rsidRPr="00CB5396">
        <w:t>Investira</w:t>
      </w:r>
      <w:r w:rsidR="009320D2">
        <w:t>nj</w:t>
      </w:r>
      <w:r w:rsidRPr="00CB5396">
        <w:t>e u izgradnju kapaciteta ljudskih resursa IPA upravljačke strukture. Velika fluktuacija kadrova u IPA sistemu identifikovana je kao glavno usko grlo sa ozbiljnim reperkusijama na kontinuitet rada IPA sistema u Crnoj Gori. Uvođenje specifičnih mjera za povećanje kako privlačenja tako i zadržavanja kvalifikovanog osoblja smatra se neophodnim za efikasnu zaštitu fondova EU na srednji i dugi rok.</w:t>
      </w:r>
    </w:p>
    <w:p w14:paraId="278EAED6" w14:textId="77777777" w:rsidR="009320D2" w:rsidRPr="00CB5396" w:rsidRDefault="009320D2" w:rsidP="009320D2">
      <w:pPr>
        <w:pStyle w:val="ListParagraph"/>
        <w:spacing w:after="0" w:line="276" w:lineRule="auto"/>
        <w:ind w:left="785"/>
        <w:jc w:val="both"/>
        <w:rPr>
          <w:lang w:val="en"/>
        </w:rPr>
      </w:pPr>
    </w:p>
    <w:p w14:paraId="163EA2F0" w14:textId="0B26E928" w:rsidR="004A50FD" w:rsidRPr="00BB74AB" w:rsidRDefault="00F24AA9" w:rsidP="009320D2">
      <w:pPr>
        <w:pStyle w:val="ListParagraph"/>
        <w:numPr>
          <w:ilvl w:val="0"/>
          <w:numId w:val="6"/>
        </w:numPr>
        <w:spacing w:after="0" w:line="276" w:lineRule="auto"/>
        <w:jc w:val="both"/>
        <w:rPr>
          <w:lang w:val="en-US"/>
        </w:rPr>
      </w:pPr>
      <w:r w:rsidRPr="00CB5396">
        <w:t xml:space="preserve"> Razvoj standardizovanih obrazaca (standardizovanog dokumenta) sa jasnim definicijama obima, očekivanim </w:t>
      </w:r>
      <w:r w:rsidR="009320D2">
        <w:t>ishodi</w:t>
      </w:r>
      <w:r w:rsidRPr="00CB5396">
        <w:t>ma i rezultatima svake predviđene aktivnosti</w:t>
      </w:r>
      <w:r w:rsidR="009320D2">
        <w:t>, jasno</w:t>
      </w:r>
      <w:r w:rsidRPr="00CB5396">
        <w:t xml:space="preserve"> dod</w:t>
      </w:r>
      <w:r w:rsidR="009320D2">
        <w:t>j</w:t>
      </w:r>
      <w:r w:rsidRPr="00CB5396">
        <w:t>eljivanje uloga i odgovornosti uključenim stranama, je još jedna m</w:t>
      </w:r>
      <w:r w:rsidR="009320D2">
        <w:t>j</w:t>
      </w:r>
      <w:r w:rsidRPr="00CB5396">
        <w:t>era koja bi doprin</w:t>
      </w:r>
      <w:r w:rsidR="009320D2">
        <w:t>ij</w:t>
      </w:r>
      <w:r w:rsidRPr="00CB5396">
        <w:t xml:space="preserve">ela specifičnosti </w:t>
      </w:r>
      <w:r w:rsidR="009320D2">
        <w:t>a</w:t>
      </w:r>
      <w:r w:rsidRPr="00CB5396">
        <w:t>ktivnosti</w:t>
      </w:r>
      <w:r w:rsidR="009320D2">
        <w:t>ma</w:t>
      </w:r>
      <w:r w:rsidRPr="00CB5396">
        <w:t xml:space="preserve"> strategije, a istovremeno olakša</w:t>
      </w:r>
      <w:r w:rsidR="009320D2">
        <w:t>la</w:t>
      </w:r>
      <w:r w:rsidRPr="00CB5396">
        <w:t xml:space="preserve"> implementaciju i proces praćenja.</w:t>
      </w:r>
      <w:r w:rsidR="00FE77D5">
        <w:t xml:space="preserve">                      </w:t>
      </w:r>
    </w:p>
    <w:sectPr w:rsidR="004A50FD" w:rsidRPr="00BB74AB" w:rsidSect="00BB74AB">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BE11" w16cex:dateUtc="2023-04-23T11:24:00Z"/>
  <w16cex:commentExtensible w16cex:durableId="27EFBFF3" w16cex:dateUtc="2023-04-23T1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E224" w14:textId="77777777" w:rsidR="0076024C" w:rsidRDefault="0076024C" w:rsidP="00FA2978">
      <w:pPr>
        <w:spacing w:after="0" w:line="240" w:lineRule="auto"/>
      </w:pPr>
      <w:r>
        <w:separator/>
      </w:r>
    </w:p>
  </w:endnote>
  <w:endnote w:type="continuationSeparator" w:id="0">
    <w:p w14:paraId="701D68AC" w14:textId="77777777" w:rsidR="0076024C" w:rsidRDefault="0076024C" w:rsidP="00FA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49384"/>
      <w:docPartObj>
        <w:docPartGallery w:val="Page Numbers (Bottom of Page)"/>
        <w:docPartUnique/>
      </w:docPartObj>
    </w:sdtPr>
    <w:sdtContent>
      <w:p w14:paraId="61CBC043" w14:textId="4DA8ADE0" w:rsidR="0057053C" w:rsidRDefault="0057053C">
        <w:pPr>
          <w:pStyle w:val="Footer"/>
          <w:jc w:val="center"/>
        </w:pPr>
        <w:r>
          <w:fldChar w:fldCharType="begin"/>
        </w:r>
        <w:r>
          <w:instrText>PAGE   \* MERGEFORMAT</w:instrText>
        </w:r>
        <w:r>
          <w:fldChar w:fldCharType="separate"/>
        </w:r>
        <w:r>
          <w:t>2</w:t>
        </w:r>
        <w:r>
          <w:fldChar w:fldCharType="end"/>
        </w:r>
      </w:p>
    </w:sdtContent>
  </w:sdt>
  <w:p w14:paraId="039CBB55" w14:textId="77777777" w:rsidR="0057053C" w:rsidRDefault="0057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159243"/>
      <w:docPartObj>
        <w:docPartGallery w:val="Page Numbers (Bottom of Page)"/>
        <w:docPartUnique/>
      </w:docPartObj>
    </w:sdtPr>
    <w:sdtEndPr>
      <w:rPr>
        <w:noProof/>
      </w:rPr>
    </w:sdtEndPr>
    <w:sdtContent>
      <w:p w14:paraId="118EA129" w14:textId="77777777" w:rsidR="0057053C" w:rsidRDefault="00570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96D93" w14:textId="77777777" w:rsidR="0057053C" w:rsidRDefault="0057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DC06" w14:textId="77777777" w:rsidR="0076024C" w:rsidRDefault="0076024C" w:rsidP="00FA2978">
      <w:pPr>
        <w:spacing w:after="0" w:line="240" w:lineRule="auto"/>
      </w:pPr>
      <w:r>
        <w:separator/>
      </w:r>
    </w:p>
  </w:footnote>
  <w:footnote w:type="continuationSeparator" w:id="0">
    <w:p w14:paraId="5E53097A" w14:textId="77777777" w:rsidR="0076024C" w:rsidRDefault="0076024C" w:rsidP="00FA2978">
      <w:pPr>
        <w:spacing w:after="0" w:line="240" w:lineRule="auto"/>
      </w:pPr>
      <w:r>
        <w:continuationSeparator/>
      </w:r>
    </w:p>
  </w:footnote>
  <w:footnote w:id="1">
    <w:p w14:paraId="3B9623BE" w14:textId="77777777" w:rsidR="0057053C" w:rsidRPr="00AE0164" w:rsidRDefault="0057053C" w:rsidP="0034174B">
      <w:pPr>
        <w:pStyle w:val="FootnoteText"/>
        <w:spacing w:after="0"/>
        <w:rPr>
          <w:lang w:val="en-US"/>
        </w:rPr>
      </w:pPr>
      <w:r>
        <w:rPr>
          <w:rStyle w:val="FootnoteReference"/>
        </w:rPr>
        <w:footnoteRef/>
      </w:r>
      <w:r>
        <w:t xml:space="preserve"> </w:t>
      </w:r>
      <w:r w:rsidRPr="00AE0164">
        <w:rPr>
          <w:lang w:val="en-US"/>
        </w:rPr>
        <w:t>Declaration of the Eu-Western Balkans Summit, Thessaloniki, June 21, 2003</w:t>
      </w:r>
    </w:p>
    <w:p w14:paraId="4367DEE0" w14:textId="1D836E6E" w:rsidR="0057053C" w:rsidRPr="00AE0164" w:rsidRDefault="0057053C" w:rsidP="0034174B">
      <w:pPr>
        <w:pStyle w:val="FootnoteText"/>
        <w:spacing w:after="0"/>
        <w:rPr>
          <w:lang w:val="sr-Latn-RS"/>
        </w:rPr>
      </w:pPr>
    </w:p>
  </w:footnote>
  <w:footnote w:id="2">
    <w:p w14:paraId="1D013EEF" w14:textId="77777777" w:rsidR="0057053C" w:rsidRPr="0034174B" w:rsidRDefault="0057053C" w:rsidP="0034174B">
      <w:pPr>
        <w:pStyle w:val="FootnoteText"/>
        <w:spacing w:after="0"/>
        <w:rPr>
          <w:lang w:val="en-US"/>
        </w:rPr>
      </w:pPr>
      <w:r>
        <w:rPr>
          <w:rStyle w:val="FootnoteReference"/>
        </w:rPr>
        <w:footnoteRef/>
      </w:r>
      <w:r>
        <w:t xml:space="preserve"> </w:t>
      </w:r>
      <w:r w:rsidRPr="0034174B">
        <w:rPr>
          <w:lang w:val="en-US"/>
        </w:rPr>
        <w:t>COMMISSION REGULATION (EC) No 718/2007 of 12 June 2007 implementing Council Regulation (EC) No 1085/2006 establishing an instrument for pre-accession assistance (IPA I);</w:t>
      </w:r>
      <w:r w:rsidRPr="0034174B">
        <w:rPr>
          <w:lang w:val="sr-Latn-RS"/>
        </w:rPr>
        <w:t xml:space="preserve"> </w:t>
      </w:r>
      <w:r w:rsidRPr="0034174B">
        <w:rPr>
          <w:lang w:val="en-US"/>
        </w:rPr>
        <w:t>Commission Implementing Regulation (EU) No 447/2014 of 2 May 2014 on the specific rules for implementing Regulation (EU) No 231/2014 of the European Parliament and of the Council establishing an Instrument for Pre-accession assistance (IPA II)</w:t>
      </w:r>
    </w:p>
    <w:p w14:paraId="45AFBD0A" w14:textId="097728FA" w:rsidR="0057053C" w:rsidRPr="00682B8A" w:rsidRDefault="0057053C" w:rsidP="0034174B">
      <w:pPr>
        <w:pStyle w:val="FootnoteText"/>
        <w:spacing w:after="0"/>
        <w:rPr>
          <w:lang w:val="sr-Latn-RS"/>
        </w:rPr>
      </w:pPr>
    </w:p>
  </w:footnote>
  <w:footnote w:id="3">
    <w:p w14:paraId="0856DAA4" w14:textId="26C00B56" w:rsidR="0057053C" w:rsidRPr="0034174B" w:rsidRDefault="0057053C" w:rsidP="0034174B">
      <w:pPr>
        <w:pStyle w:val="FootnoteText"/>
        <w:spacing w:after="0"/>
        <w:rPr>
          <w:lang w:val="en-US"/>
        </w:rPr>
      </w:pPr>
      <w:r>
        <w:rPr>
          <w:rStyle w:val="FootnoteReference"/>
        </w:rPr>
        <w:footnoteRef/>
      </w:r>
      <w:bookmarkStart w:id="18" w:name="_Hlk134430105"/>
      <w:r>
        <w:rPr>
          <w:lang w:val="en-US"/>
        </w:rPr>
        <w:t xml:space="preserve">Official </w:t>
      </w:r>
      <w:r w:rsidRPr="0034174B">
        <w:rPr>
          <w:lang w:val="en-US"/>
        </w:rPr>
        <w:t>Gazette No. 33/11; Government Gazette No. 50/15, 39/16 and 33/18</w:t>
      </w:r>
      <w:bookmarkEnd w:id="18"/>
    </w:p>
    <w:p w14:paraId="46083669" w14:textId="07DB098B" w:rsidR="0057053C" w:rsidRPr="0034174B" w:rsidRDefault="0057053C" w:rsidP="0034174B">
      <w:pPr>
        <w:pStyle w:val="FootnoteText"/>
        <w:spacing w:after="0"/>
        <w:rPr>
          <w:lang w:val="sr-Latn-RS"/>
        </w:rPr>
      </w:pPr>
    </w:p>
  </w:footnote>
  <w:footnote w:id="4">
    <w:p w14:paraId="70586F5C" w14:textId="5BAF8E23" w:rsidR="0057053C" w:rsidRPr="0034174B" w:rsidRDefault="0057053C" w:rsidP="0034174B">
      <w:pPr>
        <w:pStyle w:val="FootnoteText"/>
        <w:spacing w:after="0"/>
        <w:rPr>
          <w:lang w:val="en-US"/>
        </w:rPr>
      </w:pPr>
      <w:r>
        <w:rPr>
          <w:rStyle w:val="FootnoteReference"/>
        </w:rPr>
        <w:footnoteRef/>
      </w:r>
      <w:r>
        <w:t xml:space="preserve"> </w:t>
      </w:r>
      <w:r>
        <w:rPr>
          <w:lang w:val="en-US"/>
        </w:rPr>
        <w:t>Official</w:t>
      </w:r>
      <w:r w:rsidRPr="0034174B">
        <w:rPr>
          <w:lang w:val="en-US"/>
        </w:rPr>
        <w:t xml:space="preserve"> Gazette No. 04/18</w:t>
      </w:r>
    </w:p>
    <w:p w14:paraId="56750431" w14:textId="4456943B" w:rsidR="0057053C" w:rsidRPr="0034174B" w:rsidRDefault="0057053C" w:rsidP="0034174B">
      <w:pPr>
        <w:pStyle w:val="FootnoteText"/>
        <w:spacing w:after="0"/>
        <w:rPr>
          <w:lang w:val="sr-Latn-RS"/>
        </w:rPr>
      </w:pPr>
    </w:p>
  </w:footnote>
  <w:footnote w:id="5">
    <w:p w14:paraId="2E3009E2" w14:textId="72DAB577" w:rsidR="0057053C" w:rsidRPr="0034174B" w:rsidRDefault="0057053C" w:rsidP="0034174B">
      <w:pPr>
        <w:pStyle w:val="FootnoteText"/>
        <w:spacing w:after="0"/>
        <w:rPr>
          <w:lang w:val="sr-Latn-RS"/>
        </w:rPr>
      </w:pPr>
      <w:r>
        <w:rPr>
          <w:rStyle w:val="FootnoteReference"/>
        </w:rPr>
        <w:footnoteRef/>
      </w:r>
      <w:r>
        <w:t xml:space="preserve"> </w:t>
      </w:r>
      <w:r w:rsidRPr="0034174B">
        <w:rPr>
          <w:lang w:val="en-US"/>
        </w:rPr>
        <w:t xml:space="preserve">Official Gazette No. </w:t>
      </w:r>
      <w:r>
        <w:rPr>
          <w:lang w:val="en-US"/>
        </w:rPr>
        <w:t>60</w:t>
      </w:r>
      <w:r w:rsidRPr="0034174B">
        <w:rPr>
          <w:lang w:val="en-US"/>
        </w:rPr>
        <w:t>/1</w:t>
      </w:r>
      <w:r>
        <w:rPr>
          <w:lang w:val="en-US"/>
        </w:rPr>
        <w:t>3</w:t>
      </w:r>
    </w:p>
  </w:footnote>
  <w:footnote w:id="6">
    <w:p w14:paraId="335CBE23" w14:textId="77777777" w:rsidR="0057053C" w:rsidRDefault="0057053C" w:rsidP="008D5DD8">
      <w:pPr>
        <w:pStyle w:val="FootnoteText"/>
        <w:spacing w:line="276" w:lineRule="auto"/>
        <w:rPr>
          <w:lang w:val="en-US"/>
        </w:rPr>
      </w:pPr>
      <w:r>
        <w:rPr>
          <w:rStyle w:val="FootnoteReference"/>
        </w:rPr>
        <w:footnoteRef/>
      </w:r>
      <w:r w:rsidRPr="00C9333E">
        <w:rPr>
          <w:lang w:val="en-US"/>
        </w:rPr>
        <w:t xml:space="preserve"> COMMISSION STAFF WORKING DOCUMENT</w:t>
      </w:r>
      <w:r>
        <w:rPr>
          <w:lang w:val="en-US"/>
        </w:rPr>
        <w:t xml:space="preserve">, </w:t>
      </w:r>
      <w:r w:rsidRPr="00C9333E">
        <w:rPr>
          <w:lang w:val="en-US"/>
        </w:rPr>
        <w:t>Montenegro 2019 Report</w:t>
      </w:r>
      <w:r>
        <w:rPr>
          <w:lang w:val="en-US"/>
        </w:rPr>
        <w:t xml:space="preserve"> (29.5.2019)</w:t>
      </w:r>
    </w:p>
    <w:p w14:paraId="07F720A8" w14:textId="77777777" w:rsidR="0057053C" w:rsidRPr="00C9333E" w:rsidRDefault="0057053C" w:rsidP="008D5DD8">
      <w:pPr>
        <w:pStyle w:val="FootnoteText"/>
        <w:spacing w:line="276" w:lineRule="auto"/>
        <w:rPr>
          <w:szCs w:val="18"/>
          <w:lang w:val="en-US"/>
        </w:rPr>
      </w:pPr>
      <w:hyperlink r:id="rId1" w:history="1">
        <w:r w:rsidRPr="00C9333E">
          <w:rPr>
            <w:rStyle w:val="Hyperlink"/>
            <w:szCs w:val="18"/>
            <w:lang w:val="en-US"/>
          </w:rPr>
          <w:t>file:///C:/Users/ttsisou/Desktop/MONTENEGRO/EVALUATION/EC%20Annual%20Reports/Montenegro%20Report%202019.pdf</w:t>
        </w:r>
      </w:hyperlink>
      <w:r w:rsidRPr="00C9333E">
        <w:rPr>
          <w:szCs w:val="18"/>
          <w:lang w:val="en-US"/>
        </w:rPr>
        <w:t xml:space="preserve"> </w:t>
      </w:r>
    </w:p>
  </w:footnote>
  <w:footnote w:id="7">
    <w:p w14:paraId="2EAC7BA3" w14:textId="77777777" w:rsidR="0057053C" w:rsidRDefault="0057053C" w:rsidP="008D5DD8">
      <w:pPr>
        <w:pStyle w:val="FootnoteText"/>
        <w:spacing w:line="276" w:lineRule="auto"/>
        <w:rPr>
          <w:lang w:val="en-US"/>
        </w:rPr>
      </w:pPr>
      <w:r>
        <w:rPr>
          <w:rStyle w:val="FootnoteReference"/>
        </w:rPr>
        <w:footnoteRef/>
      </w:r>
      <w:r w:rsidRPr="00C9333E">
        <w:rPr>
          <w:lang w:val="en-US"/>
        </w:rPr>
        <w:t xml:space="preserve"> COMMISSION STAFF WORKING DOCUMENT</w:t>
      </w:r>
      <w:r>
        <w:rPr>
          <w:lang w:val="en-US"/>
        </w:rPr>
        <w:t xml:space="preserve">, </w:t>
      </w:r>
      <w:r w:rsidRPr="00C9333E">
        <w:rPr>
          <w:lang w:val="en-US"/>
        </w:rPr>
        <w:t>Montenegro 20</w:t>
      </w:r>
      <w:r>
        <w:rPr>
          <w:lang w:val="en-US"/>
        </w:rPr>
        <w:t>20</w:t>
      </w:r>
      <w:r w:rsidRPr="00C9333E">
        <w:rPr>
          <w:lang w:val="en-US"/>
        </w:rPr>
        <w:t xml:space="preserve"> Report</w:t>
      </w:r>
      <w:r>
        <w:rPr>
          <w:lang w:val="en-US"/>
        </w:rPr>
        <w:t xml:space="preserve"> (6.10.2020)</w:t>
      </w:r>
    </w:p>
    <w:p w14:paraId="2A0FF54E" w14:textId="77777777" w:rsidR="0057053C" w:rsidRPr="00C9333E" w:rsidRDefault="0057053C" w:rsidP="008D5DD8">
      <w:pPr>
        <w:pStyle w:val="FootnoteText"/>
        <w:spacing w:line="276" w:lineRule="auto"/>
        <w:rPr>
          <w:szCs w:val="18"/>
          <w:lang w:val="en-US"/>
        </w:rPr>
      </w:pPr>
      <w:hyperlink r:id="rId2" w:history="1">
        <w:r w:rsidRPr="00C9333E">
          <w:rPr>
            <w:rStyle w:val="Hyperlink"/>
            <w:szCs w:val="18"/>
            <w:lang w:val="en-US"/>
          </w:rPr>
          <w:t>file:///C:/Users/ttsisou/Desktop/MONTENEGRO/EVALUATION/EC%20Annual%20Reports/Montenegro%20Report%202020.pdf</w:t>
        </w:r>
      </w:hyperlink>
      <w:r w:rsidRPr="00C9333E">
        <w:rPr>
          <w:szCs w:val="18"/>
          <w:lang w:val="en-US"/>
        </w:rPr>
        <w:t xml:space="preserve"> </w:t>
      </w:r>
    </w:p>
  </w:footnote>
  <w:footnote w:id="8">
    <w:p w14:paraId="41428A0D" w14:textId="77777777" w:rsidR="0057053C" w:rsidRDefault="0057053C" w:rsidP="008D5DD8">
      <w:pPr>
        <w:pStyle w:val="FootnoteText"/>
        <w:spacing w:line="276" w:lineRule="auto"/>
        <w:rPr>
          <w:lang w:val="en-US"/>
        </w:rPr>
      </w:pPr>
      <w:r>
        <w:rPr>
          <w:rStyle w:val="FootnoteReference"/>
        </w:rPr>
        <w:footnoteRef/>
      </w:r>
      <w:r w:rsidRPr="00391C54">
        <w:rPr>
          <w:lang w:val="en-US"/>
        </w:rPr>
        <w:t xml:space="preserve"> </w:t>
      </w:r>
      <w:r w:rsidRPr="00C9333E">
        <w:rPr>
          <w:lang w:val="en-US"/>
        </w:rPr>
        <w:t>COMMISSION STAFF WORKING DOCUMENT</w:t>
      </w:r>
      <w:r>
        <w:rPr>
          <w:lang w:val="en-US"/>
        </w:rPr>
        <w:t xml:space="preserve">, </w:t>
      </w:r>
      <w:r w:rsidRPr="00C9333E">
        <w:rPr>
          <w:lang w:val="en-US"/>
        </w:rPr>
        <w:t>Montenegro 20</w:t>
      </w:r>
      <w:r>
        <w:rPr>
          <w:lang w:val="en-US"/>
        </w:rPr>
        <w:t>21</w:t>
      </w:r>
      <w:r w:rsidRPr="00C9333E">
        <w:rPr>
          <w:lang w:val="en-US"/>
        </w:rPr>
        <w:t xml:space="preserve"> Report</w:t>
      </w:r>
      <w:r>
        <w:rPr>
          <w:lang w:val="en-US"/>
        </w:rPr>
        <w:t xml:space="preserve"> (19.10.2021)</w:t>
      </w:r>
    </w:p>
    <w:p w14:paraId="30B6F0F6" w14:textId="77777777" w:rsidR="0057053C" w:rsidRPr="00391C54" w:rsidRDefault="0057053C" w:rsidP="008D5DD8">
      <w:pPr>
        <w:pStyle w:val="FootnoteText"/>
        <w:spacing w:line="276" w:lineRule="auto"/>
        <w:jc w:val="both"/>
        <w:rPr>
          <w:szCs w:val="18"/>
          <w:lang w:val="en-US"/>
        </w:rPr>
      </w:pPr>
      <w:hyperlink r:id="rId3" w:history="1">
        <w:r w:rsidRPr="00391C54">
          <w:rPr>
            <w:rStyle w:val="Hyperlink"/>
            <w:szCs w:val="18"/>
            <w:lang w:val="en-US"/>
          </w:rPr>
          <w:t>https://neighbourhood-enlargement.ec.europa.eu/system/files/2021-10/Montenegro%202021%20report.PDF</w:t>
        </w:r>
      </w:hyperlink>
      <w:r w:rsidRPr="00391C54">
        <w:rPr>
          <w:szCs w:val="18"/>
          <w:lang w:val="en-US"/>
        </w:rPr>
        <w:t xml:space="preserve"> </w:t>
      </w:r>
    </w:p>
  </w:footnote>
  <w:footnote w:id="9">
    <w:p w14:paraId="7546D7D8" w14:textId="77777777" w:rsidR="0057053C" w:rsidRDefault="0057053C" w:rsidP="008D5DD8">
      <w:pPr>
        <w:pStyle w:val="FootnoteText"/>
        <w:spacing w:line="276" w:lineRule="auto"/>
        <w:rPr>
          <w:lang w:val="en-US"/>
        </w:rPr>
      </w:pPr>
      <w:r>
        <w:rPr>
          <w:rStyle w:val="FootnoteReference"/>
        </w:rPr>
        <w:footnoteRef/>
      </w:r>
      <w:r w:rsidRPr="00391C54">
        <w:rPr>
          <w:lang w:val="en-US"/>
        </w:rPr>
        <w:t xml:space="preserve"> </w:t>
      </w:r>
      <w:r w:rsidRPr="00C9333E">
        <w:rPr>
          <w:lang w:val="en-US"/>
        </w:rPr>
        <w:t>COMMISSION STAFF WORKING DOCUMENT</w:t>
      </w:r>
      <w:r>
        <w:rPr>
          <w:lang w:val="en-US"/>
        </w:rPr>
        <w:t xml:space="preserve">, </w:t>
      </w:r>
      <w:r w:rsidRPr="00C9333E">
        <w:rPr>
          <w:lang w:val="en-US"/>
        </w:rPr>
        <w:t>Montenegro 20</w:t>
      </w:r>
      <w:r>
        <w:rPr>
          <w:lang w:val="en-US"/>
        </w:rPr>
        <w:t>22</w:t>
      </w:r>
      <w:r w:rsidRPr="00C9333E">
        <w:rPr>
          <w:lang w:val="en-US"/>
        </w:rPr>
        <w:t xml:space="preserve"> Report</w:t>
      </w:r>
      <w:r>
        <w:rPr>
          <w:lang w:val="en-US"/>
        </w:rPr>
        <w:t xml:space="preserve"> (12.10.2022)</w:t>
      </w:r>
    </w:p>
    <w:p w14:paraId="39D36870" w14:textId="77777777" w:rsidR="0057053C" w:rsidRPr="00391C54" w:rsidRDefault="0057053C" w:rsidP="008D5DD8">
      <w:pPr>
        <w:pStyle w:val="FootnoteText"/>
        <w:spacing w:line="276" w:lineRule="auto"/>
        <w:jc w:val="both"/>
        <w:rPr>
          <w:szCs w:val="18"/>
          <w:lang w:val="en-US"/>
        </w:rPr>
      </w:pPr>
      <w:hyperlink r:id="rId4" w:history="1">
        <w:r w:rsidRPr="0031135B">
          <w:rPr>
            <w:rStyle w:val="Hyperlink"/>
            <w:szCs w:val="18"/>
            <w:lang w:val="en-US"/>
          </w:rPr>
          <w:t>https://neighbourhood-enlargement.ec.europa.eu/system/files/2022-10/Montenegro%20Report%202022.pdf</w:t>
        </w:r>
      </w:hyperlink>
      <w:r>
        <w:rPr>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3B1"/>
    <w:multiLevelType w:val="hybridMultilevel"/>
    <w:tmpl w:val="0496606C"/>
    <w:lvl w:ilvl="0" w:tplc="451A725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1DB594F"/>
    <w:multiLevelType w:val="hybridMultilevel"/>
    <w:tmpl w:val="FD404BDA"/>
    <w:lvl w:ilvl="0" w:tplc="E3AE251C">
      <w:start w:val="1"/>
      <w:numFmt w:val="bullet"/>
      <w:lvlText w:val="-"/>
      <w:lvlJc w:val="left"/>
      <w:pPr>
        <w:ind w:left="720" w:hanging="360"/>
      </w:pPr>
      <w:rPr>
        <w:rFonts w:ascii="Arial" w:eastAsia="Times New Roman" w:hAnsi="Arial" w:cs="Times New Roman"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6DB3E30"/>
    <w:multiLevelType w:val="hybridMultilevel"/>
    <w:tmpl w:val="09CC3B9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CF372B0"/>
    <w:multiLevelType w:val="hybridMultilevel"/>
    <w:tmpl w:val="1B3C4CA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8E0CC0"/>
    <w:multiLevelType w:val="hybridMultilevel"/>
    <w:tmpl w:val="8FCAD5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DD1B94"/>
    <w:multiLevelType w:val="hybridMultilevel"/>
    <w:tmpl w:val="B2389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F347F"/>
    <w:multiLevelType w:val="hybridMultilevel"/>
    <w:tmpl w:val="CE0050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31AF"/>
    <w:multiLevelType w:val="hybridMultilevel"/>
    <w:tmpl w:val="ED64AE2C"/>
    <w:lvl w:ilvl="0" w:tplc="42426858">
      <w:start w:val="1"/>
      <w:numFmt w:val="decimal"/>
      <w:lvlText w:val="%1."/>
      <w:lvlJc w:val="left"/>
      <w:pPr>
        <w:ind w:left="785"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BA39E9"/>
    <w:multiLevelType w:val="hybridMultilevel"/>
    <w:tmpl w:val="3188A744"/>
    <w:lvl w:ilvl="0" w:tplc="E3AE251C">
      <w:start w:val="1"/>
      <w:numFmt w:val="bullet"/>
      <w:lvlText w:val="-"/>
      <w:lvlJc w:val="left"/>
      <w:pPr>
        <w:ind w:left="780" w:hanging="360"/>
      </w:pPr>
      <w:rPr>
        <w:rFonts w:ascii="Arial" w:eastAsia="Times New Roman" w:hAnsi="Arial" w:cs="Times New Roman" w:hint="default"/>
        <w:b/>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9" w15:restartNumberingAfterBreak="0">
    <w:nsid w:val="23F6580A"/>
    <w:multiLevelType w:val="hybridMultilevel"/>
    <w:tmpl w:val="A12EE0D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262E7DC9"/>
    <w:multiLevelType w:val="hybridMultilevel"/>
    <w:tmpl w:val="D95C5A40"/>
    <w:lvl w:ilvl="0" w:tplc="BC2C7C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621541"/>
    <w:multiLevelType w:val="hybridMultilevel"/>
    <w:tmpl w:val="12C8F09C"/>
    <w:lvl w:ilvl="0" w:tplc="2C1A000B">
      <w:start w:val="1"/>
      <w:numFmt w:val="bullet"/>
      <w:lvlText w:val=""/>
      <w:lvlJc w:val="left"/>
      <w:pPr>
        <w:ind w:left="765" w:hanging="360"/>
      </w:pPr>
      <w:rPr>
        <w:rFonts w:ascii="Wingdings" w:hAnsi="Wingdings" w:hint="default"/>
      </w:rPr>
    </w:lvl>
    <w:lvl w:ilvl="1" w:tplc="2C1A0003" w:tentative="1">
      <w:start w:val="1"/>
      <w:numFmt w:val="bullet"/>
      <w:lvlText w:val="o"/>
      <w:lvlJc w:val="left"/>
      <w:pPr>
        <w:ind w:left="1485" w:hanging="360"/>
      </w:pPr>
      <w:rPr>
        <w:rFonts w:ascii="Courier New" w:hAnsi="Courier New" w:cs="Courier New" w:hint="default"/>
      </w:rPr>
    </w:lvl>
    <w:lvl w:ilvl="2" w:tplc="2C1A0005" w:tentative="1">
      <w:start w:val="1"/>
      <w:numFmt w:val="bullet"/>
      <w:lvlText w:val=""/>
      <w:lvlJc w:val="left"/>
      <w:pPr>
        <w:ind w:left="2205" w:hanging="360"/>
      </w:pPr>
      <w:rPr>
        <w:rFonts w:ascii="Wingdings" w:hAnsi="Wingdings" w:hint="default"/>
      </w:rPr>
    </w:lvl>
    <w:lvl w:ilvl="3" w:tplc="2C1A0001" w:tentative="1">
      <w:start w:val="1"/>
      <w:numFmt w:val="bullet"/>
      <w:lvlText w:val=""/>
      <w:lvlJc w:val="left"/>
      <w:pPr>
        <w:ind w:left="2925" w:hanging="360"/>
      </w:pPr>
      <w:rPr>
        <w:rFonts w:ascii="Symbol" w:hAnsi="Symbol" w:hint="default"/>
      </w:rPr>
    </w:lvl>
    <w:lvl w:ilvl="4" w:tplc="2C1A0003" w:tentative="1">
      <w:start w:val="1"/>
      <w:numFmt w:val="bullet"/>
      <w:lvlText w:val="o"/>
      <w:lvlJc w:val="left"/>
      <w:pPr>
        <w:ind w:left="3645" w:hanging="360"/>
      </w:pPr>
      <w:rPr>
        <w:rFonts w:ascii="Courier New" w:hAnsi="Courier New" w:cs="Courier New" w:hint="default"/>
      </w:rPr>
    </w:lvl>
    <w:lvl w:ilvl="5" w:tplc="2C1A0005" w:tentative="1">
      <w:start w:val="1"/>
      <w:numFmt w:val="bullet"/>
      <w:lvlText w:val=""/>
      <w:lvlJc w:val="left"/>
      <w:pPr>
        <w:ind w:left="4365" w:hanging="360"/>
      </w:pPr>
      <w:rPr>
        <w:rFonts w:ascii="Wingdings" w:hAnsi="Wingdings" w:hint="default"/>
      </w:rPr>
    </w:lvl>
    <w:lvl w:ilvl="6" w:tplc="2C1A0001" w:tentative="1">
      <w:start w:val="1"/>
      <w:numFmt w:val="bullet"/>
      <w:lvlText w:val=""/>
      <w:lvlJc w:val="left"/>
      <w:pPr>
        <w:ind w:left="5085" w:hanging="360"/>
      </w:pPr>
      <w:rPr>
        <w:rFonts w:ascii="Symbol" w:hAnsi="Symbol" w:hint="default"/>
      </w:rPr>
    </w:lvl>
    <w:lvl w:ilvl="7" w:tplc="2C1A0003" w:tentative="1">
      <w:start w:val="1"/>
      <w:numFmt w:val="bullet"/>
      <w:lvlText w:val="o"/>
      <w:lvlJc w:val="left"/>
      <w:pPr>
        <w:ind w:left="5805" w:hanging="360"/>
      </w:pPr>
      <w:rPr>
        <w:rFonts w:ascii="Courier New" w:hAnsi="Courier New" w:cs="Courier New" w:hint="default"/>
      </w:rPr>
    </w:lvl>
    <w:lvl w:ilvl="8" w:tplc="2C1A0005" w:tentative="1">
      <w:start w:val="1"/>
      <w:numFmt w:val="bullet"/>
      <w:lvlText w:val=""/>
      <w:lvlJc w:val="left"/>
      <w:pPr>
        <w:ind w:left="6525" w:hanging="360"/>
      </w:pPr>
      <w:rPr>
        <w:rFonts w:ascii="Wingdings" w:hAnsi="Wingdings" w:hint="default"/>
      </w:rPr>
    </w:lvl>
  </w:abstractNum>
  <w:abstractNum w:abstractNumId="12" w15:restartNumberingAfterBreak="0">
    <w:nsid w:val="295C5F62"/>
    <w:multiLevelType w:val="hybridMultilevel"/>
    <w:tmpl w:val="AFB071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217572"/>
    <w:multiLevelType w:val="hybridMultilevel"/>
    <w:tmpl w:val="BF36271E"/>
    <w:lvl w:ilvl="0" w:tplc="4AD2B19E">
      <w:start w:val="1"/>
      <w:numFmt w:val="bullet"/>
      <w:lvlText w:val=""/>
      <w:lvlJc w:val="left"/>
      <w:pPr>
        <w:ind w:left="720" w:hanging="360"/>
      </w:pPr>
      <w:rPr>
        <w:rFonts w:ascii="Wingdings" w:hAnsi="Wingdings" w:hint="default"/>
        <w:color w:val="ED7D31" w:themeColor="accent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50B13A7"/>
    <w:multiLevelType w:val="hybridMultilevel"/>
    <w:tmpl w:val="41AAA0A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8CC2368"/>
    <w:multiLevelType w:val="hybridMultilevel"/>
    <w:tmpl w:val="2BFCC140"/>
    <w:lvl w:ilvl="0" w:tplc="E3AE251C">
      <w:start w:val="1"/>
      <w:numFmt w:val="bullet"/>
      <w:lvlText w:val="-"/>
      <w:lvlJc w:val="left"/>
      <w:pPr>
        <w:ind w:left="720" w:hanging="360"/>
      </w:pPr>
      <w:rPr>
        <w:rFonts w:ascii="Arial" w:eastAsia="Times New Roman" w:hAnsi="Arial" w:cs="Times New Roman" w:hint="default"/>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B2E085D"/>
    <w:multiLevelType w:val="hybridMultilevel"/>
    <w:tmpl w:val="2EF82C7E"/>
    <w:lvl w:ilvl="0" w:tplc="2C1A000B">
      <w:start w:val="1"/>
      <w:numFmt w:val="bullet"/>
      <w:lvlText w:val=""/>
      <w:lvlJc w:val="left"/>
      <w:pPr>
        <w:ind w:left="765" w:hanging="360"/>
      </w:pPr>
      <w:rPr>
        <w:rFonts w:ascii="Wingdings" w:hAnsi="Wingdings" w:hint="default"/>
      </w:rPr>
    </w:lvl>
    <w:lvl w:ilvl="1" w:tplc="2C1A0003" w:tentative="1">
      <w:start w:val="1"/>
      <w:numFmt w:val="bullet"/>
      <w:lvlText w:val="o"/>
      <w:lvlJc w:val="left"/>
      <w:pPr>
        <w:ind w:left="1485" w:hanging="360"/>
      </w:pPr>
      <w:rPr>
        <w:rFonts w:ascii="Courier New" w:hAnsi="Courier New" w:cs="Courier New" w:hint="default"/>
      </w:rPr>
    </w:lvl>
    <w:lvl w:ilvl="2" w:tplc="2C1A0005" w:tentative="1">
      <w:start w:val="1"/>
      <w:numFmt w:val="bullet"/>
      <w:lvlText w:val=""/>
      <w:lvlJc w:val="left"/>
      <w:pPr>
        <w:ind w:left="2205" w:hanging="360"/>
      </w:pPr>
      <w:rPr>
        <w:rFonts w:ascii="Wingdings" w:hAnsi="Wingdings" w:hint="default"/>
      </w:rPr>
    </w:lvl>
    <w:lvl w:ilvl="3" w:tplc="2C1A0001" w:tentative="1">
      <w:start w:val="1"/>
      <w:numFmt w:val="bullet"/>
      <w:lvlText w:val=""/>
      <w:lvlJc w:val="left"/>
      <w:pPr>
        <w:ind w:left="2925" w:hanging="360"/>
      </w:pPr>
      <w:rPr>
        <w:rFonts w:ascii="Symbol" w:hAnsi="Symbol" w:hint="default"/>
      </w:rPr>
    </w:lvl>
    <w:lvl w:ilvl="4" w:tplc="2C1A0003" w:tentative="1">
      <w:start w:val="1"/>
      <w:numFmt w:val="bullet"/>
      <w:lvlText w:val="o"/>
      <w:lvlJc w:val="left"/>
      <w:pPr>
        <w:ind w:left="3645" w:hanging="360"/>
      </w:pPr>
      <w:rPr>
        <w:rFonts w:ascii="Courier New" w:hAnsi="Courier New" w:cs="Courier New" w:hint="default"/>
      </w:rPr>
    </w:lvl>
    <w:lvl w:ilvl="5" w:tplc="2C1A0005" w:tentative="1">
      <w:start w:val="1"/>
      <w:numFmt w:val="bullet"/>
      <w:lvlText w:val=""/>
      <w:lvlJc w:val="left"/>
      <w:pPr>
        <w:ind w:left="4365" w:hanging="360"/>
      </w:pPr>
      <w:rPr>
        <w:rFonts w:ascii="Wingdings" w:hAnsi="Wingdings" w:hint="default"/>
      </w:rPr>
    </w:lvl>
    <w:lvl w:ilvl="6" w:tplc="2C1A0001" w:tentative="1">
      <w:start w:val="1"/>
      <w:numFmt w:val="bullet"/>
      <w:lvlText w:val=""/>
      <w:lvlJc w:val="left"/>
      <w:pPr>
        <w:ind w:left="5085" w:hanging="360"/>
      </w:pPr>
      <w:rPr>
        <w:rFonts w:ascii="Symbol" w:hAnsi="Symbol" w:hint="default"/>
      </w:rPr>
    </w:lvl>
    <w:lvl w:ilvl="7" w:tplc="2C1A0003" w:tentative="1">
      <w:start w:val="1"/>
      <w:numFmt w:val="bullet"/>
      <w:lvlText w:val="o"/>
      <w:lvlJc w:val="left"/>
      <w:pPr>
        <w:ind w:left="5805" w:hanging="360"/>
      </w:pPr>
      <w:rPr>
        <w:rFonts w:ascii="Courier New" w:hAnsi="Courier New" w:cs="Courier New" w:hint="default"/>
      </w:rPr>
    </w:lvl>
    <w:lvl w:ilvl="8" w:tplc="2C1A0005" w:tentative="1">
      <w:start w:val="1"/>
      <w:numFmt w:val="bullet"/>
      <w:lvlText w:val=""/>
      <w:lvlJc w:val="left"/>
      <w:pPr>
        <w:ind w:left="6525" w:hanging="360"/>
      </w:pPr>
      <w:rPr>
        <w:rFonts w:ascii="Wingdings" w:hAnsi="Wingdings" w:hint="default"/>
      </w:rPr>
    </w:lvl>
  </w:abstractNum>
  <w:abstractNum w:abstractNumId="17" w15:restartNumberingAfterBreak="0">
    <w:nsid w:val="3E6209A4"/>
    <w:multiLevelType w:val="hybridMultilevel"/>
    <w:tmpl w:val="2F74FD2C"/>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445C2F24"/>
    <w:multiLevelType w:val="hybridMultilevel"/>
    <w:tmpl w:val="DDAA6682"/>
    <w:lvl w:ilvl="0" w:tplc="0408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4E7248"/>
    <w:multiLevelType w:val="hybridMultilevel"/>
    <w:tmpl w:val="05C6BFC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8E70D27"/>
    <w:multiLevelType w:val="hybridMultilevel"/>
    <w:tmpl w:val="7DCEA74C"/>
    <w:lvl w:ilvl="0" w:tplc="2C1A0001">
      <w:start w:val="1"/>
      <w:numFmt w:val="bullet"/>
      <w:lvlText w:val=""/>
      <w:lvlJc w:val="left"/>
      <w:pPr>
        <w:ind w:left="1505" w:hanging="360"/>
      </w:pPr>
      <w:rPr>
        <w:rFonts w:ascii="Symbol" w:hAnsi="Symbol" w:hint="default"/>
      </w:rPr>
    </w:lvl>
    <w:lvl w:ilvl="1" w:tplc="2C1A0003" w:tentative="1">
      <w:start w:val="1"/>
      <w:numFmt w:val="bullet"/>
      <w:lvlText w:val="o"/>
      <w:lvlJc w:val="left"/>
      <w:pPr>
        <w:ind w:left="2225" w:hanging="360"/>
      </w:pPr>
      <w:rPr>
        <w:rFonts w:ascii="Courier New" w:hAnsi="Courier New" w:cs="Courier New" w:hint="default"/>
      </w:rPr>
    </w:lvl>
    <w:lvl w:ilvl="2" w:tplc="2C1A0005" w:tentative="1">
      <w:start w:val="1"/>
      <w:numFmt w:val="bullet"/>
      <w:lvlText w:val=""/>
      <w:lvlJc w:val="left"/>
      <w:pPr>
        <w:ind w:left="2945" w:hanging="360"/>
      </w:pPr>
      <w:rPr>
        <w:rFonts w:ascii="Wingdings" w:hAnsi="Wingdings" w:hint="default"/>
      </w:rPr>
    </w:lvl>
    <w:lvl w:ilvl="3" w:tplc="2C1A0001" w:tentative="1">
      <w:start w:val="1"/>
      <w:numFmt w:val="bullet"/>
      <w:lvlText w:val=""/>
      <w:lvlJc w:val="left"/>
      <w:pPr>
        <w:ind w:left="3665" w:hanging="360"/>
      </w:pPr>
      <w:rPr>
        <w:rFonts w:ascii="Symbol" w:hAnsi="Symbol" w:hint="default"/>
      </w:rPr>
    </w:lvl>
    <w:lvl w:ilvl="4" w:tplc="2C1A0003" w:tentative="1">
      <w:start w:val="1"/>
      <w:numFmt w:val="bullet"/>
      <w:lvlText w:val="o"/>
      <w:lvlJc w:val="left"/>
      <w:pPr>
        <w:ind w:left="4385" w:hanging="360"/>
      </w:pPr>
      <w:rPr>
        <w:rFonts w:ascii="Courier New" w:hAnsi="Courier New" w:cs="Courier New" w:hint="default"/>
      </w:rPr>
    </w:lvl>
    <w:lvl w:ilvl="5" w:tplc="2C1A0005" w:tentative="1">
      <w:start w:val="1"/>
      <w:numFmt w:val="bullet"/>
      <w:lvlText w:val=""/>
      <w:lvlJc w:val="left"/>
      <w:pPr>
        <w:ind w:left="5105" w:hanging="360"/>
      </w:pPr>
      <w:rPr>
        <w:rFonts w:ascii="Wingdings" w:hAnsi="Wingdings" w:hint="default"/>
      </w:rPr>
    </w:lvl>
    <w:lvl w:ilvl="6" w:tplc="2C1A0001" w:tentative="1">
      <w:start w:val="1"/>
      <w:numFmt w:val="bullet"/>
      <w:lvlText w:val=""/>
      <w:lvlJc w:val="left"/>
      <w:pPr>
        <w:ind w:left="5825" w:hanging="360"/>
      </w:pPr>
      <w:rPr>
        <w:rFonts w:ascii="Symbol" w:hAnsi="Symbol" w:hint="default"/>
      </w:rPr>
    </w:lvl>
    <w:lvl w:ilvl="7" w:tplc="2C1A0003" w:tentative="1">
      <w:start w:val="1"/>
      <w:numFmt w:val="bullet"/>
      <w:lvlText w:val="o"/>
      <w:lvlJc w:val="left"/>
      <w:pPr>
        <w:ind w:left="6545" w:hanging="360"/>
      </w:pPr>
      <w:rPr>
        <w:rFonts w:ascii="Courier New" w:hAnsi="Courier New" w:cs="Courier New" w:hint="default"/>
      </w:rPr>
    </w:lvl>
    <w:lvl w:ilvl="8" w:tplc="2C1A0005" w:tentative="1">
      <w:start w:val="1"/>
      <w:numFmt w:val="bullet"/>
      <w:lvlText w:val=""/>
      <w:lvlJc w:val="left"/>
      <w:pPr>
        <w:ind w:left="7265" w:hanging="360"/>
      </w:pPr>
      <w:rPr>
        <w:rFonts w:ascii="Wingdings" w:hAnsi="Wingdings" w:hint="default"/>
      </w:rPr>
    </w:lvl>
  </w:abstractNum>
  <w:abstractNum w:abstractNumId="21" w15:restartNumberingAfterBreak="0">
    <w:nsid w:val="51CC3DC0"/>
    <w:multiLevelType w:val="hybridMultilevel"/>
    <w:tmpl w:val="43CAEE22"/>
    <w:lvl w:ilvl="0" w:tplc="2C1A000F">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22" w15:restartNumberingAfterBreak="0">
    <w:nsid w:val="53466937"/>
    <w:multiLevelType w:val="hybridMultilevel"/>
    <w:tmpl w:val="1CD0D6B4"/>
    <w:lvl w:ilvl="0" w:tplc="4AD2B19E">
      <w:start w:val="1"/>
      <w:numFmt w:val="bullet"/>
      <w:lvlText w:val=""/>
      <w:lvlJc w:val="left"/>
      <w:pPr>
        <w:ind w:left="720" w:hanging="360"/>
      </w:pPr>
      <w:rPr>
        <w:rFonts w:ascii="Wingdings" w:hAnsi="Wingdings" w:hint="default"/>
        <w:color w:val="ED7D31" w:themeColor="accent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E956DE"/>
    <w:multiLevelType w:val="hybridMultilevel"/>
    <w:tmpl w:val="89588C08"/>
    <w:lvl w:ilvl="0" w:tplc="E3AE251C">
      <w:start w:val="1"/>
      <w:numFmt w:val="bullet"/>
      <w:lvlText w:val="-"/>
      <w:lvlJc w:val="left"/>
      <w:pPr>
        <w:ind w:left="578" w:hanging="360"/>
      </w:pPr>
      <w:rPr>
        <w:rFonts w:ascii="Arial" w:eastAsia="Times New Roman" w:hAnsi="Arial" w:cs="Times New Roman" w:hint="default"/>
        <w:b/>
      </w:rPr>
    </w:lvl>
    <w:lvl w:ilvl="1" w:tplc="A5A40EDA">
      <w:start w:val="2"/>
      <w:numFmt w:val="bullet"/>
      <w:lvlText w:val="-"/>
      <w:lvlJc w:val="left"/>
      <w:pPr>
        <w:ind w:left="1440" w:hanging="360"/>
      </w:pPr>
      <w:rPr>
        <w:rFonts w:ascii="Calibri" w:eastAsiaTheme="minorHAnsi" w:hAnsi="Calibri" w:cs="Calibri"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563C0EFE"/>
    <w:multiLevelType w:val="hybridMultilevel"/>
    <w:tmpl w:val="D142661C"/>
    <w:lvl w:ilvl="0" w:tplc="2C1A000D">
      <w:start w:val="1"/>
      <w:numFmt w:val="bullet"/>
      <w:lvlText w:val=""/>
      <w:lvlJc w:val="left"/>
      <w:pPr>
        <w:ind w:left="780" w:hanging="360"/>
      </w:pPr>
      <w:rPr>
        <w:rFonts w:ascii="Wingdings" w:hAnsi="Wingdings"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25" w15:restartNumberingAfterBreak="0">
    <w:nsid w:val="56D443D9"/>
    <w:multiLevelType w:val="hybridMultilevel"/>
    <w:tmpl w:val="4142E98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5A860C37"/>
    <w:multiLevelType w:val="hybridMultilevel"/>
    <w:tmpl w:val="5D562F2E"/>
    <w:lvl w:ilvl="0" w:tplc="2C1A000B">
      <w:start w:val="1"/>
      <w:numFmt w:val="bullet"/>
      <w:lvlText w:val=""/>
      <w:lvlJc w:val="left"/>
      <w:pPr>
        <w:ind w:left="765" w:hanging="360"/>
      </w:pPr>
      <w:rPr>
        <w:rFonts w:ascii="Wingdings" w:hAnsi="Wingdings" w:hint="default"/>
      </w:rPr>
    </w:lvl>
    <w:lvl w:ilvl="1" w:tplc="2C1A0003" w:tentative="1">
      <w:start w:val="1"/>
      <w:numFmt w:val="bullet"/>
      <w:lvlText w:val="o"/>
      <w:lvlJc w:val="left"/>
      <w:pPr>
        <w:ind w:left="1485" w:hanging="360"/>
      </w:pPr>
      <w:rPr>
        <w:rFonts w:ascii="Courier New" w:hAnsi="Courier New" w:cs="Courier New" w:hint="default"/>
      </w:rPr>
    </w:lvl>
    <w:lvl w:ilvl="2" w:tplc="2C1A0005" w:tentative="1">
      <w:start w:val="1"/>
      <w:numFmt w:val="bullet"/>
      <w:lvlText w:val=""/>
      <w:lvlJc w:val="left"/>
      <w:pPr>
        <w:ind w:left="2205" w:hanging="360"/>
      </w:pPr>
      <w:rPr>
        <w:rFonts w:ascii="Wingdings" w:hAnsi="Wingdings" w:hint="default"/>
      </w:rPr>
    </w:lvl>
    <w:lvl w:ilvl="3" w:tplc="2C1A0001" w:tentative="1">
      <w:start w:val="1"/>
      <w:numFmt w:val="bullet"/>
      <w:lvlText w:val=""/>
      <w:lvlJc w:val="left"/>
      <w:pPr>
        <w:ind w:left="2925" w:hanging="360"/>
      </w:pPr>
      <w:rPr>
        <w:rFonts w:ascii="Symbol" w:hAnsi="Symbol" w:hint="default"/>
      </w:rPr>
    </w:lvl>
    <w:lvl w:ilvl="4" w:tplc="2C1A0003" w:tentative="1">
      <w:start w:val="1"/>
      <w:numFmt w:val="bullet"/>
      <w:lvlText w:val="o"/>
      <w:lvlJc w:val="left"/>
      <w:pPr>
        <w:ind w:left="3645" w:hanging="360"/>
      </w:pPr>
      <w:rPr>
        <w:rFonts w:ascii="Courier New" w:hAnsi="Courier New" w:cs="Courier New" w:hint="default"/>
      </w:rPr>
    </w:lvl>
    <w:lvl w:ilvl="5" w:tplc="2C1A0005" w:tentative="1">
      <w:start w:val="1"/>
      <w:numFmt w:val="bullet"/>
      <w:lvlText w:val=""/>
      <w:lvlJc w:val="left"/>
      <w:pPr>
        <w:ind w:left="4365" w:hanging="360"/>
      </w:pPr>
      <w:rPr>
        <w:rFonts w:ascii="Wingdings" w:hAnsi="Wingdings" w:hint="default"/>
      </w:rPr>
    </w:lvl>
    <w:lvl w:ilvl="6" w:tplc="2C1A0001" w:tentative="1">
      <w:start w:val="1"/>
      <w:numFmt w:val="bullet"/>
      <w:lvlText w:val=""/>
      <w:lvlJc w:val="left"/>
      <w:pPr>
        <w:ind w:left="5085" w:hanging="360"/>
      </w:pPr>
      <w:rPr>
        <w:rFonts w:ascii="Symbol" w:hAnsi="Symbol" w:hint="default"/>
      </w:rPr>
    </w:lvl>
    <w:lvl w:ilvl="7" w:tplc="2C1A0003" w:tentative="1">
      <w:start w:val="1"/>
      <w:numFmt w:val="bullet"/>
      <w:lvlText w:val="o"/>
      <w:lvlJc w:val="left"/>
      <w:pPr>
        <w:ind w:left="5805" w:hanging="360"/>
      </w:pPr>
      <w:rPr>
        <w:rFonts w:ascii="Courier New" w:hAnsi="Courier New" w:cs="Courier New" w:hint="default"/>
      </w:rPr>
    </w:lvl>
    <w:lvl w:ilvl="8" w:tplc="2C1A0005" w:tentative="1">
      <w:start w:val="1"/>
      <w:numFmt w:val="bullet"/>
      <w:lvlText w:val=""/>
      <w:lvlJc w:val="left"/>
      <w:pPr>
        <w:ind w:left="6525" w:hanging="360"/>
      </w:pPr>
      <w:rPr>
        <w:rFonts w:ascii="Wingdings" w:hAnsi="Wingdings" w:hint="default"/>
      </w:rPr>
    </w:lvl>
  </w:abstractNum>
  <w:abstractNum w:abstractNumId="27" w15:restartNumberingAfterBreak="0">
    <w:nsid w:val="640971C1"/>
    <w:multiLevelType w:val="hybridMultilevel"/>
    <w:tmpl w:val="7E9EF93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67CE19B8"/>
    <w:multiLevelType w:val="hybridMultilevel"/>
    <w:tmpl w:val="F06288DE"/>
    <w:lvl w:ilvl="0" w:tplc="08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7C300D"/>
    <w:multiLevelType w:val="hybridMultilevel"/>
    <w:tmpl w:val="FA926456"/>
    <w:lvl w:ilvl="0" w:tplc="08090001">
      <w:start w:val="1"/>
      <w:numFmt w:val="bullet"/>
      <w:lvlText w:val=""/>
      <w:lvlJc w:val="left"/>
      <w:pPr>
        <w:ind w:left="720" w:hanging="360"/>
      </w:pPr>
      <w:rPr>
        <w:rFonts w:ascii="Symbol" w:hAnsi="Symbol" w:hint="default"/>
      </w:rPr>
    </w:lvl>
    <w:lvl w:ilvl="1" w:tplc="B314B522">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826F6"/>
    <w:multiLevelType w:val="hybridMultilevel"/>
    <w:tmpl w:val="B23899C6"/>
    <w:lvl w:ilvl="0" w:tplc="0408000F">
      <w:start w:val="1"/>
      <w:numFmt w:val="decimal"/>
      <w:lvlText w:val="%1."/>
      <w:lvlJc w:val="left"/>
      <w:pPr>
        <w:ind w:left="532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D4F90"/>
    <w:multiLevelType w:val="hybridMultilevel"/>
    <w:tmpl w:val="0E3ED6B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
  </w:num>
  <w:num w:numId="4">
    <w:abstractNumId w:val="18"/>
  </w:num>
  <w:num w:numId="5">
    <w:abstractNumId w:val="4"/>
  </w:num>
  <w:num w:numId="6">
    <w:abstractNumId w:val="7"/>
  </w:num>
  <w:num w:numId="7">
    <w:abstractNumId w:val="22"/>
  </w:num>
  <w:num w:numId="8">
    <w:abstractNumId w:val="30"/>
  </w:num>
  <w:num w:numId="9">
    <w:abstractNumId w:val="5"/>
  </w:num>
  <w:num w:numId="10">
    <w:abstractNumId w:val="29"/>
  </w:num>
  <w:num w:numId="11">
    <w:abstractNumId w:val="6"/>
  </w:num>
  <w:num w:numId="12">
    <w:abstractNumId w:val="10"/>
  </w:num>
  <w:num w:numId="13">
    <w:abstractNumId w:val="12"/>
  </w:num>
  <w:num w:numId="14">
    <w:abstractNumId w:val="28"/>
  </w:num>
  <w:num w:numId="15">
    <w:abstractNumId w:val="17"/>
  </w:num>
  <w:num w:numId="16">
    <w:abstractNumId w:val="14"/>
  </w:num>
  <w:num w:numId="17">
    <w:abstractNumId w:val="16"/>
  </w:num>
  <w:num w:numId="18">
    <w:abstractNumId w:val="11"/>
  </w:num>
  <w:num w:numId="19">
    <w:abstractNumId w:val="26"/>
  </w:num>
  <w:num w:numId="20">
    <w:abstractNumId w:val="19"/>
  </w:num>
  <w:num w:numId="21">
    <w:abstractNumId w:val="0"/>
  </w:num>
  <w:num w:numId="22">
    <w:abstractNumId w:val="21"/>
  </w:num>
  <w:num w:numId="23">
    <w:abstractNumId w:val="9"/>
  </w:num>
  <w:num w:numId="24">
    <w:abstractNumId w:val="20"/>
  </w:num>
  <w:num w:numId="25">
    <w:abstractNumId w:val="13"/>
  </w:num>
  <w:num w:numId="26">
    <w:abstractNumId w:val="27"/>
  </w:num>
  <w:num w:numId="27">
    <w:abstractNumId w:val="23"/>
  </w:num>
  <w:num w:numId="28">
    <w:abstractNumId w:val="15"/>
  </w:num>
  <w:num w:numId="29">
    <w:abstractNumId w:val="8"/>
  </w:num>
  <w:num w:numId="30">
    <w:abstractNumId w:val="24"/>
  </w:num>
  <w:num w:numId="31">
    <w:abstractNumId w:val="25"/>
  </w:num>
  <w:num w:numId="3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78"/>
    <w:rsid w:val="0000063D"/>
    <w:rsid w:val="000016AE"/>
    <w:rsid w:val="00005C98"/>
    <w:rsid w:val="000066BC"/>
    <w:rsid w:val="000067AD"/>
    <w:rsid w:val="0000728E"/>
    <w:rsid w:val="00007BD5"/>
    <w:rsid w:val="000102C7"/>
    <w:rsid w:val="00010652"/>
    <w:rsid w:val="00011259"/>
    <w:rsid w:val="00013269"/>
    <w:rsid w:val="00014D74"/>
    <w:rsid w:val="00014F27"/>
    <w:rsid w:val="00017593"/>
    <w:rsid w:val="00017A9E"/>
    <w:rsid w:val="00017BF4"/>
    <w:rsid w:val="00017C53"/>
    <w:rsid w:val="00020A41"/>
    <w:rsid w:val="00022DFE"/>
    <w:rsid w:val="0002321D"/>
    <w:rsid w:val="000237A7"/>
    <w:rsid w:val="00023B4F"/>
    <w:rsid w:val="00024005"/>
    <w:rsid w:val="0002479E"/>
    <w:rsid w:val="00026E04"/>
    <w:rsid w:val="00027B51"/>
    <w:rsid w:val="00030833"/>
    <w:rsid w:val="00031665"/>
    <w:rsid w:val="00032840"/>
    <w:rsid w:val="000328CA"/>
    <w:rsid w:val="0003412F"/>
    <w:rsid w:val="000343D2"/>
    <w:rsid w:val="00034F8E"/>
    <w:rsid w:val="00037B73"/>
    <w:rsid w:val="00040589"/>
    <w:rsid w:val="000445FA"/>
    <w:rsid w:val="00044D31"/>
    <w:rsid w:val="00046BA7"/>
    <w:rsid w:val="00053470"/>
    <w:rsid w:val="00054ACE"/>
    <w:rsid w:val="00054E27"/>
    <w:rsid w:val="0005672F"/>
    <w:rsid w:val="00057AFF"/>
    <w:rsid w:val="00061BDA"/>
    <w:rsid w:val="00062B5E"/>
    <w:rsid w:val="00062DD1"/>
    <w:rsid w:val="00063602"/>
    <w:rsid w:val="000637DA"/>
    <w:rsid w:val="000639A6"/>
    <w:rsid w:val="00064E35"/>
    <w:rsid w:val="00066DEF"/>
    <w:rsid w:val="00071840"/>
    <w:rsid w:val="00071BF7"/>
    <w:rsid w:val="000720A4"/>
    <w:rsid w:val="00072347"/>
    <w:rsid w:val="00072797"/>
    <w:rsid w:val="00075E53"/>
    <w:rsid w:val="000761D2"/>
    <w:rsid w:val="0007626F"/>
    <w:rsid w:val="00076977"/>
    <w:rsid w:val="00080D12"/>
    <w:rsid w:val="00081120"/>
    <w:rsid w:val="00081374"/>
    <w:rsid w:val="00083FCC"/>
    <w:rsid w:val="0008605E"/>
    <w:rsid w:val="00096903"/>
    <w:rsid w:val="000A0610"/>
    <w:rsid w:val="000A178D"/>
    <w:rsid w:val="000A17E2"/>
    <w:rsid w:val="000A23E0"/>
    <w:rsid w:val="000A49BC"/>
    <w:rsid w:val="000A603D"/>
    <w:rsid w:val="000A6F31"/>
    <w:rsid w:val="000A76DF"/>
    <w:rsid w:val="000A7EB9"/>
    <w:rsid w:val="000B11FD"/>
    <w:rsid w:val="000B2893"/>
    <w:rsid w:val="000B3E57"/>
    <w:rsid w:val="000B52B5"/>
    <w:rsid w:val="000B575A"/>
    <w:rsid w:val="000B5D5F"/>
    <w:rsid w:val="000B6511"/>
    <w:rsid w:val="000B66E3"/>
    <w:rsid w:val="000B78C2"/>
    <w:rsid w:val="000C23CE"/>
    <w:rsid w:val="000C31B6"/>
    <w:rsid w:val="000C3F50"/>
    <w:rsid w:val="000C4B7F"/>
    <w:rsid w:val="000C4DE3"/>
    <w:rsid w:val="000C6328"/>
    <w:rsid w:val="000C6537"/>
    <w:rsid w:val="000C65F3"/>
    <w:rsid w:val="000C6B32"/>
    <w:rsid w:val="000C7DD8"/>
    <w:rsid w:val="000D3687"/>
    <w:rsid w:val="000D376A"/>
    <w:rsid w:val="000D4E5B"/>
    <w:rsid w:val="000D7C0C"/>
    <w:rsid w:val="000E0AA7"/>
    <w:rsid w:val="000E0AC2"/>
    <w:rsid w:val="000E24E3"/>
    <w:rsid w:val="000E4A55"/>
    <w:rsid w:val="000E4DFA"/>
    <w:rsid w:val="000E50DF"/>
    <w:rsid w:val="000E6A52"/>
    <w:rsid w:val="000E6E76"/>
    <w:rsid w:val="000E7AFC"/>
    <w:rsid w:val="000F010D"/>
    <w:rsid w:val="000F38D6"/>
    <w:rsid w:val="000F4FA0"/>
    <w:rsid w:val="000F74B7"/>
    <w:rsid w:val="000F7E31"/>
    <w:rsid w:val="00103DD9"/>
    <w:rsid w:val="00104134"/>
    <w:rsid w:val="00111604"/>
    <w:rsid w:val="001116A5"/>
    <w:rsid w:val="00111AF9"/>
    <w:rsid w:val="00111D16"/>
    <w:rsid w:val="001125B9"/>
    <w:rsid w:val="00115C3F"/>
    <w:rsid w:val="00115CC2"/>
    <w:rsid w:val="00115DEE"/>
    <w:rsid w:val="001178D3"/>
    <w:rsid w:val="00120CF8"/>
    <w:rsid w:val="00120D97"/>
    <w:rsid w:val="00122765"/>
    <w:rsid w:val="00123ECC"/>
    <w:rsid w:val="001244DA"/>
    <w:rsid w:val="00124893"/>
    <w:rsid w:val="001256B1"/>
    <w:rsid w:val="00126949"/>
    <w:rsid w:val="0012793F"/>
    <w:rsid w:val="00130E04"/>
    <w:rsid w:val="00133565"/>
    <w:rsid w:val="001354EB"/>
    <w:rsid w:val="00135C3E"/>
    <w:rsid w:val="001368F9"/>
    <w:rsid w:val="00137C21"/>
    <w:rsid w:val="00137E53"/>
    <w:rsid w:val="00141B27"/>
    <w:rsid w:val="00141E95"/>
    <w:rsid w:val="00143F04"/>
    <w:rsid w:val="0014551F"/>
    <w:rsid w:val="00151111"/>
    <w:rsid w:val="00151A65"/>
    <w:rsid w:val="0015270E"/>
    <w:rsid w:val="0015435D"/>
    <w:rsid w:val="001564A9"/>
    <w:rsid w:val="00157746"/>
    <w:rsid w:val="001602D9"/>
    <w:rsid w:val="001608DF"/>
    <w:rsid w:val="0016141C"/>
    <w:rsid w:val="00162481"/>
    <w:rsid w:val="00162EC5"/>
    <w:rsid w:val="001632DA"/>
    <w:rsid w:val="00165D20"/>
    <w:rsid w:val="00166714"/>
    <w:rsid w:val="0017062C"/>
    <w:rsid w:val="00170F2A"/>
    <w:rsid w:val="0017135C"/>
    <w:rsid w:val="00172B71"/>
    <w:rsid w:val="001730B1"/>
    <w:rsid w:val="00174F8D"/>
    <w:rsid w:val="00175118"/>
    <w:rsid w:val="00177088"/>
    <w:rsid w:val="001772B1"/>
    <w:rsid w:val="001779E0"/>
    <w:rsid w:val="001811FE"/>
    <w:rsid w:val="00182F23"/>
    <w:rsid w:val="001844BA"/>
    <w:rsid w:val="00185652"/>
    <w:rsid w:val="0018612A"/>
    <w:rsid w:val="001902BD"/>
    <w:rsid w:val="0019167B"/>
    <w:rsid w:val="0019397F"/>
    <w:rsid w:val="00195E29"/>
    <w:rsid w:val="00195EA0"/>
    <w:rsid w:val="00196ACD"/>
    <w:rsid w:val="001A20E2"/>
    <w:rsid w:val="001A293C"/>
    <w:rsid w:val="001A7B47"/>
    <w:rsid w:val="001B0004"/>
    <w:rsid w:val="001B3DDC"/>
    <w:rsid w:val="001B66D1"/>
    <w:rsid w:val="001B6FA9"/>
    <w:rsid w:val="001C459E"/>
    <w:rsid w:val="001C6919"/>
    <w:rsid w:val="001C7268"/>
    <w:rsid w:val="001C7F40"/>
    <w:rsid w:val="001D0E32"/>
    <w:rsid w:val="001D1401"/>
    <w:rsid w:val="001D187F"/>
    <w:rsid w:val="001D3479"/>
    <w:rsid w:val="001D3E9B"/>
    <w:rsid w:val="001D5C5E"/>
    <w:rsid w:val="001D67CA"/>
    <w:rsid w:val="001D7145"/>
    <w:rsid w:val="001E00D4"/>
    <w:rsid w:val="001E0D9E"/>
    <w:rsid w:val="001E1110"/>
    <w:rsid w:val="001E1299"/>
    <w:rsid w:val="001F04B4"/>
    <w:rsid w:val="001F27D4"/>
    <w:rsid w:val="001F7D13"/>
    <w:rsid w:val="0020275F"/>
    <w:rsid w:val="002057F7"/>
    <w:rsid w:val="00205C00"/>
    <w:rsid w:val="00205D5E"/>
    <w:rsid w:val="0020692E"/>
    <w:rsid w:val="00207688"/>
    <w:rsid w:val="002119DE"/>
    <w:rsid w:val="00212D53"/>
    <w:rsid w:val="00215408"/>
    <w:rsid w:val="002170BF"/>
    <w:rsid w:val="002171AB"/>
    <w:rsid w:val="00217702"/>
    <w:rsid w:val="00220752"/>
    <w:rsid w:val="00221666"/>
    <w:rsid w:val="00222621"/>
    <w:rsid w:val="00223BB4"/>
    <w:rsid w:val="0022409C"/>
    <w:rsid w:val="00224729"/>
    <w:rsid w:val="002256E8"/>
    <w:rsid w:val="00225A03"/>
    <w:rsid w:val="00225EC0"/>
    <w:rsid w:val="00226471"/>
    <w:rsid w:val="002308A1"/>
    <w:rsid w:val="00234501"/>
    <w:rsid w:val="00234729"/>
    <w:rsid w:val="0024104B"/>
    <w:rsid w:val="00245747"/>
    <w:rsid w:val="00246E16"/>
    <w:rsid w:val="00251430"/>
    <w:rsid w:val="00252037"/>
    <w:rsid w:val="002522CC"/>
    <w:rsid w:val="00252B78"/>
    <w:rsid w:val="0025378F"/>
    <w:rsid w:val="00254A26"/>
    <w:rsid w:val="00254B34"/>
    <w:rsid w:val="00254EEC"/>
    <w:rsid w:val="0025604D"/>
    <w:rsid w:val="002571C1"/>
    <w:rsid w:val="00257204"/>
    <w:rsid w:val="0026091C"/>
    <w:rsid w:val="00262F1C"/>
    <w:rsid w:val="002630A3"/>
    <w:rsid w:val="002639A3"/>
    <w:rsid w:val="00265289"/>
    <w:rsid w:val="002655FC"/>
    <w:rsid w:val="002663DB"/>
    <w:rsid w:val="002675EB"/>
    <w:rsid w:val="00270F68"/>
    <w:rsid w:val="00276D25"/>
    <w:rsid w:val="0028061E"/>
    <w:rsid w:val="002839CE"/>
    <w:rsid w:val="00283BFD"/>
    <w:rsid w:val="002849B2"/>
    <w:rsid w:val="002849D7"/>
    <w:rsid w:val="002878EF"/>
    <w:rsid w:val="00290F18"/>
    <w:rsid w:val="00291C31"/>
    <w:rsid w:val="00293B03"/>
    <w:rsid w:val="00295C73"/>
    <w:rsid w:val="002967A6"/>
    <w:rsid w:val="002979AB"/>
    <w:rsid w:val="00297E0F"/>
    <w:rsid w:val="002A0BD2"/>
    <w:rsid w:val="002A46B5"/>
    <w:rsid w:val="002A7EE6"/>
    <w:rsid w:val="002B166D"/>
    <w:rsid w:val="002B2E00"/>
    <w:rsid w:val="002B3F32"/>
    <w:rsid w:val="002B6BA4"/>
    <w:rsid w:val="002C2B69"/>
    <w:rsid w:val="002C4147"/>
    <w:rsid w:val="002C5DA0"/>
    <w:rsid w:val="002C756D"/>
    <w:rsid w:val="002D0E61"/>
    <w:rsid w:val="002D29E4"/>
    <w:rsid w:val="002D4021"/>
    <w:rsid w:val="002D5EEE"/>
    <w:rsid w:val="002D7231"/>
    <w:rsid w:val="002D7A3D"/>
    <w:rsid w:val="002E01F9"/>
    <w:rsid w:val="002E267E"/>
    <w:rsid w:val="002E2E89"/>
    <w:rsid w:val="002E4502"/>
    <w:rsid w:val="002E4BC5"/>
    <w:rsid w:val="002E792B"/>
    <w:rsid w:val="002F09EB"/>
    <w:rsid w:val="002F0A9B"/>
    <w:rsid w:val="002F0BB6"/>
    <w:rsid w:val="002F22E4"/>
    <w:rsid w:val="002F2E69"/>
    <w:rsid w:val="002F3A0A"/>
    <w:rsid w:val="002F3B53"/>
    <w:rsid w:val="002F60BB"/>
    <w:rsid w:val="002F6356"/>
    <w:rsid w:val="002F7F41"/>
    <w:rsid w:val="00300A11"/>
    <w:rsid w:val="00301207"/>
    <w:rsid w:val="00301FC2"/>
    <w:rsid w:val="003031B0"/>
    <w:rsid w:val="00307446"/>
    <w:rsid w:val="003108C7"/>
    <w:rsid w:val="00311D18"/>
    <w:rsid w:val="0031373D"/>
    <w:rsid w:val="00313887"/>
    <w:rsid w:val="00313E98"/>
    <w:rsid w:val="00314D23"/>
    <w:rsid w:val="0031602D"/>
    <w:rsid w:val="0031627D"/>
    <w:rsid w:val="003166F4"/>
    <w:rsid w:val="0031721B"/>
    <w:rsid w:val="00317AFD"/>
    <w:rsid w:val="0032188B"/>
    <w:rsid w:val="00322128"/>
    <w:rsid w:val="00323E68"/>
    <w:rsid w:val="00326126"/>
    <w:rsid w:val="003267C0"/>
    <w:rsid w:val="00327289"/>
    <w:rsid w:val="003302AD"/>
    <w:rsid w:val="003318BC"/>
    <w:rsid w:val="003347A0"/>
    <w:rsid w:val="00334C85"/>
    <w:rsid w:val="003360D5"/>
    <w:rsid w:val="00337E0F"/>
    <w:rsid w:val="0034174B"/>
    <w:rsid w:val="00341E52"/>
    <w:rsid w:val="0034519E"/>
    <w:rsid w:val="00346C9D"/>
    <w:rsid w:val="00347DB0"/>
    <w:rsid w:val="00354EF7"/>
    <w:rsid w:val="0035753F"/>
    <w:rsid w:val="00357F34"/>
    <w:rsid w:val="003615ED"/>
    <w:rsid w:val="00362182"/>
    <w:rsid w:val="00363066"/>
    <w:rsid w:val="00363CE4"/>
    <w:rsid w:val="003657A6"/>
    <w:rsid w:val="0036580D"/>
    <w:rsid w:val="00365DBB"/>
    <w:rsid w:val="00366643"/>
    <w:rsid w:val="003678C7"/>
    <w:rsid w:val="00367E5E"/>
    <w:rsid w:val="003712FF"/>
    <w:rsid w:val="0037193F"/>
    <w:rsid w:val="003771C0"/>
    <w:rsid w:val="0038333A"/>
    <w:rsid w:val="00383A62"/>
    <w:rsid w:val="003849F3"/>
    <w:rsid w:val="00384C4D"/>
    <w:rsid w:val="003857A8"/>
    <w:rsid w:val="00386CAD"/>
    <w:rsid w:val="00391D2D"/>
    <w:rsid w:val="00391F8E"/>
    <w:rsid w:val="0039555B"/>
    <w:rsid w:val="00395883"/>
    <w:rsid w:val="00396BD9"/>
    <w:rsid w:val="00397FC3"/>
    <w:rsid w:val="00397FFD"/>
    <w:rsid w:val="003A11CF"/>
    <w:rsid w:val="003A184D"/>
    <w:rsid w:val="003A1E66"/>
    <w:rsid w:val="003A26D5"/>
    <w:rsid w:val="003A32F4"/>
    <w:rsid w:val="003A4505"/>
    <w:rsid w:val="003A7090"/>
    <w:rsid w:val="003B06E6"/>
    <w:rsid w:val="003B1825"/>
    <w:rsid w:val="003B2D06"/>
    <w:rsid w:val="003B4157"/>
    <w:rsid w:val="003B6157"/>
    <w:rsid w:val="003B7857"/>
    <w:rsid w:val="003C092F"/>
    <w:rsid w:val="003C2102"/>
    <w:rsid w:val="003C2E2F"/>
    <w:rsid w:val="003C52DB"/>
    <w:rsid w:val="003C541B"/>
    <w:rsid w:val="003C6EBA"/>
    <w:rsid w:val="003D09FD"/>
    <w:rsid w:val="003D41DB"/>
    <w:rsid w:val="003D57BA"/>
    <w:rsid w:val="003D7305"/>
    <w:rsid w:val="003E4478"/>
    <w:rsid w:val="003E4F25"/>
    <w:rsid w:val="003F01AD"/>
    <w:rsid w:val="003F0BCF"/>
    <w:rsid w:val="003F3153"/>
    <w:rsid w:val="003F3516"/>
    <w:rsid w:val="003F5BC3"/>
    <w:rsid w:val="003F73CF"/>
    <w:rsid w:val="003F7795"/>
    <w:rsid w:val="00401BDA"/>
    <w:rsid w:val="00406BB7"/>
    <w:rsid w:val="004110A7"/>
    <w:rsid w:val="00411CA3"/>
    <w:rsid w:val="00411FE9"/>
    <w:rsid w:val="00412EF1"/>
    <w:rsid w:val="00415E28"/>
    <w:rsid w:val="00421858"/>
    <w:rsid w:val="004226FF"/>
    <w:rsid w:val="00423936"/>
    <w:rsid w:val="004314B9"/>
    <w:rsid w:val="00437412"/>
    <w:rsid w:val="00443E16"/>
    <w:rsid w:val="004443BF"/>
    <w:rsid w:val="004466F0"/>
    <w:rsid w:val="004540A0"/>
    <w:rsid w:val="00455466"/>
    <w:rsid w:val="0045656A"/>
    <w:rsid w:val="0045778A"/>
    <w:rsid w:val="004635F2"/>
    <w:rsid w:val="00466201"/>
    <w:rsid w:val="00470ABE"/>
    <w:rsid w:val="00472366"/>
    <w:rsid w:val="00472C3F"/>
    <w:rsid w:val="004775BA"/>
    <w:rsid w:val="00477E03"/>
    <w:rsid w:val="00490349"/>
    <w:rsid w:val="00492BE5"/>
    <w:rsid w:val="00493528"/>
    <w:rsid w:val="00494A39"/>
    <w:rsid w:val="00495673"/>
    <w:rsid w:val="00495F56"/>
    <w:rsid w:val="0049638D"/>
    <w:rsid w:val="00496E3D"/>
    <w:rsid w:val="0049742D"/>
    <w:rsid w:val="0049754E"/>
    <w:rsid w:val="004A21E4"/>
    <w:rsid w:val="004A50FD"/>
    <w:rsid w:val="004B35CF"/>
    <w:rsid w:val="004B384D"/>
    <w:rsid w:val="004B3960"/>
    <w:rsid w:val="004B51EF"/>
    <w:rsid w:val="004B5FDE"/>
    <w:rsid w:val="004B62FD"/>
    <w:rsid w:val="004B6451"/>
    <w:rsid w:val="004B7AC8"/>
    <w:rsid w:val="004C102E"/>
    <w:rsid w:val="004C23F2"/>
    <w:rsid w:val="004C3BE7"/>
    <w:rsid w:val="004C3C18"/>
    <w:rsid w:val="004D0335"/>
    <w:rsid w:val="004D489D"/>
    <w:rsid w:val="004D64BB"/>
    <w:rsid w:val="004D6E5E"/>
    <w:rsid w:val="004E0051"/>
    <w:rsid w:val="004E055F"/>
    <w:rsid w:val="004E0917"/>
    <w:rsid w:val="004E1E3D"/>
    <w:rsid w:val="004E287E"/>
    <w:rsid w:val="004E60F7"/>
    <w:rsid w:val="004F0AB7"/>
    <w:rsid w:val="004F16FC"/>
    <w:rsid w:val="004F180E"/>
    <w:rsid w:val="004F4C5E"/>
    <w:rsid w:val="004F7E61"/>
    <w:rsid w:val="00500740"/>
    <w:rsid w:val="005016E0"/>
    <w:rsid w:val="0050642A"/>
    <w:rsid w:val="00507C7D"/>
    <w:rsid w:val="00516C58"/>
    <w:rsid w:val="005178D9"/>
    <w:rsid w:val="00523BA0"/>
    <w:rsid w:val="00525D83"/>
    <w:rsid w:val="005261A9"/>
    <w:rsid w:val="0052620C"/>
    <w:rsid w:val="0052647F"/>
    <w:rsid w:val="00526F04"/>
    <w:rsid w:val="00527887"/>
    <w:rsid w:val="005305F2"/>
    <w:rsid w:val="00530B95"/>
    <w:rsid w:val="005313AE"/>
    <w:rsid w:val="00532B4C"/>
    <w:rsid w:val="00533418"/>
    <w:rsid w:val="00534D30"/>
    <w:rsid w:val="00535D59"/>
    <w:rsid w:val="00537102"/>
    <w:rsid w:val="0053769D"/>
    <w:rsid w:val="00537945"/>
    <w:rsid w:val="00537EF4"/>
    <w:rsid w:val="005435C1"/>
    <w:rsid w:val="0054397E"/>
    <w:rsid w:val="00545C29"/>
    <w:rsid w:val="00546D7A"/>
    <w:rsid w:val="005501EE"/>
    <w:rsid w:val="00550F48"/>
    <w:rsid w:val="0055625F"/>
    <w:rsid w:val="0055792B"/>
    <w:rsid w:val="0056062E"/>
    <w:rsid w:val="005649E8"/>
    <w:rsid w:val="0056509E"/>
    <w:rsid w:val="00565535"/>
    <w:rsid w:val="00565727"/>
    <w:rsid w:val="00566315"/>
    <w:rsid w:val="0056792E"/>
    <w:rsid w:val="00567C50"/>
    <w:rsid w:val="0057053C"/>
    <w:rsid w:val="00571CC6"/>
    <w:rsid w:val="005816D4"/>
    <w:rsid w:val="00581E56"/>
    <w:rsid w:val="00584C11"/>
    <w:rsid w:val="005856CC"/>
    <w:rsid w:val="005857F2"/>
    <w:rsid w:val="00586250"/>
    <w:rsid w:val="00590DF1"/>
    <w:rsid w:val="00591154"/>
    <w:rsid w:val="00591674"/>
    <w:rsid w:val="00591AD1"/>
    <w:rsid w:val="00592935"/>
    <w:rsid w:val="00594F4C"/>
    <w:rsid w:val="00596F75"/>
    <w:rsid w:val="00597E4A"/>
    <w:rsid w:val="005A4A9D"/>
    <w:rsid w:val="005A577E"/>
    <w:rsid w:val="005A59F5"/>
    <w:rsid w:val="005A5D6B"/>
    <w:rsid w:val="005B1595"/>
    <w:rsid w:val="005B1B84"/>
    <w:rsid w:val="005B2524"/>
    <w:rsid w:val="005B2BD1"/>
    <w:rsid w:val="005B4F93"/>
    <w:rsid w:val="005B5C07"/>
    <w:rsid w:val="005B5C74"/>
    <w:rsid w:val="005C0069"/>
    <w:rsid w:val="005C110F"/>
    <w:rsid w:val="005C556B"/>
    <w:rsid w:val="005C6D53"/>
    <w:rsid w:val="005D1460"/>
    <w:rsid w:val="005D2C2D"/>
    <w:rsid w:val="005D3393"/>
    <w:rsid w:val="005D3A16"/>
    <w:rsid w:val="005D3EDE"/>
    <w:rsid w:val="005D6A32"/>
    <w:rsid w:val="005E000C"/>
    <w:rsid w:val="005E297E"/>
    <w:rsid w:val="005E3441"/>
    <w:rsid w:val="005E6A44"/>
    <w:rsid w:val="005F2763"/>
    <w:rsid w:val="005F31F8"/>
    <w:rsid w:val="005F39BF"/>
    <w:rsid w:val="005F797D"/>
    <w:rsid w:val="0060182D"/>
    <w:rsid w:val="00601B57"/>
    <w:rsid w:val="00601F44"/>
    <w:rsid w:val="00604039"/>
    <w:rsid w:val="00606D6D"/>
    <w:rsid w:val="00606F78"/>
    <w:rsid w:val="00611AF0"/>
    <w:rsid w:val="00611F8E"/>
    <w:rsid w:val="00613C22"/>
    <w:rsid w:val="0061606A"/>
    <w:rsid w:val="006164D2"/>
    <w:rsid w:val="00617753"/>
    <w:rsid w:val="006201CC"/>
    <w:rsid w:val="00620780"/>
    <w:rsid w:val="00622094"/>
    <w:rsid w:val="0062584B"/>
    <w:rsid w:val="00626D23"/>
    <w:rsid w:val="00630880"/>
    <w:rsid w:val="0063105B"/>
    <w:rsid w:val="006319B0"/>
    <w:rsid w:val="0063207A"/>
    <w:rsid w:val="00632622"/>
    <w:rsid w:val="00632CC7"/>
    <w:rsid w:val="00633324"/>
    <w:rsid w:val="00634FBC"/>
    <w:rsid w:val="00636935"/>
    <w:rsid w:val="00640CF5"/>
    <w:rsid w:val="006410F2"/>
    <w:rsid w:val="006445BE"/>
    <w:rsid w:val="00657327"/>
    <w:rsid w:val="00661F1D"/>
    <w:rsid w:val="00664BE0"/>
    <w:rsid w:val="00666AA6"/>
    <w:rsid w:val="00667DC4"/>
    <w:rsid w:val="00667E8C"/>
    <w:rsid w:val="00670941"/>
    <w:rsid w:val="00672316"/>
    <w:rsid w:val="0067303F"/>
    <w:rsid w:val="006754B3"/>
    <w:rsid w:val="00676974"/>
    <w:rsid w:val="00676C58"/>
    <w:rsid w:val="00677F19"/>
    <w:rsid w:val="00680DCA"/>
    <w:rsid w:val="00681B5D"/>
    <w:rsid w:val="00682B8A"/>
    <w:rsid w:val="00683DB0"/>
    <w:rsid w:val="00686588"/>
    <w:rsid w:val="0068720E"/>
    <w:rsid w:val="00687487"/>
    <w:rsid w:val="00690834"/>
    <w:rsid w:val="00691776"/>
    <w:rsid w:val="00691F72"/>
    <w:rsid w:val="0069248B"/>
    <w:rsid w:val="00694817"/>
    <w:rsid w:val="006948EA"/>
    <w:rsid w:val="006A3195"/>
    <w:rsid w:val="006A5FD6"/>
    <w:rsid w:val="006A7E09"/>
    <w:rsid w:val="006B244C"/>
    <w:rsid w:val="006B44AE"/>
    <w:rsid w:val="006B44D3"/>
    <w:rsid w:val="006B7441"/>
    <w:rsid w:val="006B7D28"/>
    <w:rsid w:val="006C2A25"/>
    <w:rsid w:val="006C2A67"/>
    <w:rsid w:val="006C421E"/>
    <w:rsid w:val="006D0CD3"/>
    <w:rsid w:val="006D3D19"/>
    <w:rsid w:val="006D502C"/>
    <w:rsid w:val="006D5865"/>
    <w:rsid w:val="006D69DA"/>
    <w:rsid w:val="006D6D79"/>
    <w:rsid w:val="006D7215"/>
    <w:rsid w:val="006D7A0A"/>
    <w:rsid w:val="006E2B8A"/>
    <w:rsid w:val="006E3CF7"/>
    <w:rsid w:val="006E544F"/>
    <w:rsid w:val="006E710F"/>
    <w:rsid w:val="006E7AB1"/>
    <w:rsid w:val="006F2757"/>
    <w:rsid w:val="006F51F6"/>
    <w:rsid w:val="007019EE"/>
    <w:rsid w:val="00701BB2"/>
    <w:rsid w:val="0070311E"/>
    <w:rsid w:val="00705015"/>
    <w:rsid w:val="00705EAC"/>
    <w:rsid w:val="0071414D"/>
    <w:rsid w:val="00714161"/>
    <w:rsid w:val="00716629"/>
    <w:rsid w:val="007167EC"/>
    <w:rsid w:val="00722A5D"/>
    <w:rsid w:val="00724038"/>
    <w:rsid w:val="0072558B"/>
    <w:rsid w:val="00731ACA"/>
    <w:rsid w:val="0073203B"/>
    <w:rsid w:val="007341A2"/>
    <w:rsid w:val="007347E7"/>
    <w:rsid w:val="007361FA"/>
    <w:rsid w:val="007409F1"/>
    <w:rsid w:val="00740CAE"/>
    <w:rsid w:val="007453F1"/>
    <w:rsid w:val="00746DA2"/>
    <w:rsid w:val="00750176"/>
    <w:rsid w:val="00750355"/>
    <w:rsid w:val="0075573C"/>
    <w:rsid w:val="00755FBD"/>
    <w:rsid w:val="007569D7"/>
    <w:rsid w:val="0075703B"/>
    <w:rsid w:val="0076024C"/>
    <w:rsid w:val="00760D59"/>
    <w:rsid w:val="00764150"/>
    <w:rsid w:val="00766A18"/>
    <w:rsid w:val="00772D94"/>
    <w:rsid w:val="0077344B"/>
    <w:rsid w:val="00773471"/>
    <w:rsid w:val="00773855"/>
    <w:rsid w:val="00774A47"/>
    <w:rsid w:val="00774DBD"/>
    <w:rsid w:val="00774F82"/>
    <w:rsid w:val="00775A91"/>
    <w:rsid w:val="007801AC"/>
    <w:rsid w:val="007801E2"/>
    <w:rsid w:val="007805E6"/>
    <w:rsid w:val="0078219F"/>
    <w:rsid w:val="00783022"/>
    <w:rsid w:val="007859E2"/>
    <w:rsid w:val="0078670C"/>
    <w:rsid w:val="007905E0"/>
    <w:rsid w:val="00791900"/>
    <w:rsid w:val="00792819"/>
    <w:rsid w:val="00794E09"/>
    <w:rsid w:val="0079540E"/>
    <w:rsid w:val="00797F1A"/>
    <w:rsid w:val="007A10D0"/>
    <w:rsid w:val="007A37F9"/>
    <w:rsid w:val="007A63BF"/>
    <w:rsid w:val="007A6CBE"/>
    <w:rsid w:val="007A7714"/>
    <w:rsid w:val="007B0065"/>
    <w:rsid w:val="007B1DE3"/>
    <w:rsid w:val="007C0352"/>
    <w:rsid w:val="007C09F6"/>
    <w:rsid w:val="007C1090"/>
    <w:rsid w:val="007C24BA"/>
    <w:rsid w:val="007C2CE2"/>
    <w:rsid w:val="007C3C48"/>
    <w:rsid w:val="007C5789"/>
    <w:rsid w:val="007C6260"/>
    <w:rsid w:val="007C634A"/>
    <w:rsid w:val="007C69A7"/>
    <w:rsid w:val="007C7130"/>
    <w:rsid w:val="007C7F3D"/>
    <w:rsid w:val="007D0A5A"/>
    <w:rsid w:val="007D276B"/>
    <w:rsid w:val="007D5026"/>
    <w:rsid w:val="007D7EF9"/>
    <w:rsid w:val="007E0229"/>
    <w:rsid w:val="007E3657"/>
    <w:rsid w:val="007F07DD"/>
    <w:rsid w:val="007F0899"/>
    <w:rsid w:val="007F3087"/>
    <w:rsid w:val="0080310C"/>
    <w:rsid w:val="0080516A"/>
    <w:rsid w:val="00805AFF"/>
    <w:rsid w:val="0080610E"/>
    <w:rsid w:val="0080751F"/>
    <w:rsid w:val="00810837"/>
    <w:rsid w:val="00810D3C"/>
    <w:rsid w:val="00812A72"/>
    <w:rsid w:val="008150CF"/>
    <w:rsid w:val="00816D0B"/>
    <w:rsid w:val="00817CDB"/>
    <w:rsid w:val="008211CA"/>
    <w:rsid w:val="00821DFC"/>
    <w:rsid w:val="00823EC8"/>
    <w:rsid w:val="0082612D"/>
    <w:rsid w:val="00826448"/>
    <w:rsid w:val="00826D24"/>
    <w:rsid w:val="00830681"/>
    <w:rsid w:val="00831196"/>
    <w:rsid w:val="00832BB2"/>
    <w:rsid w:val="00833D1B"/>
    <w:rsid w:val="00835D52"/>
    <w:rsid w:val="00837380"/>
    <w:rsid w:val="00837AC0"/>
    <w:rsid w:val="00842174"/>
    <w:rsid w:val="00844B89"/>
    <w:rsid w:val="0084552F"/>
    <w:rsid w:val="00845F24"/>
    <w:rsid w:val="00845FF2"/>
    <w:rsid w:val="00846212"/>
    <w:rsid w:val="008466CC"/>
    <w:rsid w:val="00846F66"/>
    <w:rsid w:val="0084747F"/>
    <w:rsid w:val="008501CC"/>
    <w:rsid w:val="00850F85"/>
    <w:rsid w:val="0085126F"/>
    <w:rsid w:val="00852178"/>
    <w:rsid w:val="008535EE"/>
    <w:rsid w:val="0085565C"/>
    <w:rsid w:val="00856CE2"/>
    <w:rsid w:val="008604DB"/>
    <w:rsid w:val="00864793"/>
    <w:rsid w:val="00864DDA"/>
    <w:rsid w:val="00864F12"/>
    <w:rsid w:val="008679C1"/>
    <w:rsid w:val="008713B3"/>
    <w:rsid w:val="0087307C"/>
    <w:rsid w:val="00873F2E"/>
    <w:rsid w:val="00874AE1"/>
    <w:rsid w:val="00874EE0"/>
    <w:rsid w:val="008769A7"/>
    <w:rsid w:val="0087760B"/>
    <w:rsid w:val="00877BC6"/>
    <w:rsid w:val="00880554"/>
    <w:rsid w:val="00880A3D"/>
    <w:rsid w:val="00883471"/>
    <w:rsid w:val="008901CD"/>
    <w:rsid w:val="00890BD8"/>
    <w:rsid w:val="00891FDF"/>
    <w:rsid w:val="008939E2"/>
    <w:rsid w:val="00895D93"/>
    <w:rsid w:val="0089684A"/>
    <w:rsid w:val="00897B52"/>
    <w:rsid w:val="008A403D"/>
    <w:rsid w:val="008B0178"/>
    <w:rsid w:val="008B454B"/>
    <w:rsid w:val="008B6B95"/>
    <w:rsid w:val="008B6D4C"/>
    <w:rsid w:val="008C10CD"/>
    <w:rsid w:val="008C13E4"/>
    <w:rsid w:val="008C31E6"/>
    <w:rsid w:val="008D0B07"/>
    <w:rsid w:val="008D0FEB"/>
    <w:rsid w:val="008D5DD8"/>
    <w:rsid w:val="008D7D47"/>
    <w:rsid w:val="008E0DFA"/>
    <w:rsid w:val="008E213F"/>
    <w:rsid w:val="008E32B8"/>
    <w:rsid w:val="008E3A8C"/>
    <w:rsid w:val="008E7BBB"/>
    <w:rsid w:val="008F031D"/>
    <w:rsid w:val="008F1858"/>
    <w:rsid w:val="008F2489"/>
    <w:rsid w:val="008F26D0"/>
    <w:rsid w:val="008F443C"/>
    <w:rsid w:val="008F67F5"/>
    <w:rsid w:val="00902909"/>
    <w:rsid w:val="00904DA4"/>
    <w:rsid w:val="009068BA"/>
    <w:rsid w:val="009123A9"/>
    <w:rsid w:val="009133EF"/>
    <w:rsid w:val="00916E6B"/>
    <w:rsid w:val="00917030"/>
    <w:rsid w:val="00917D78"/>
    <w:rsid w:val="00923E48"/>
    <w:rsid w:val="00924C20"/>
    <w:rsid w:val="00925BEF"/>
    <w:rsid w:val="00926481"/>
    <w:rsid w:val="009320D2"/>
    <w:rsid w:val="00933AD3"/>
    <w:rsid w:val="00934998"/>
    <w:rsid w:val="009369DD"/>
    <w:rsid w:val="00936A72"/>
    <w:rsid w:val="00942257"/>
    <w:rsid w:val="009427C1"/>
    <w:rsid w:val="009449B6"/>
    <w:rsid w:val="009459D0"/>
    <w:rsid w:val="00946BB0"/>
    <w:rsid w:val="00951CBF"/>
    <w:rsid w:val="0095248A"/>
    <w:rsid w:val="0095282A"/>
    <w:rsid w:val="009540F9"/>
    <w:rsid w:val="009555ED"/>
    <w:rsid w:val="00955D7B"/>
    <w:rsid w:val="00957DEE"/>
    <w:rsid w:val="00961BF4"/>
    <w:rsid w:val="009635B4"/>
    <w:rsid w:val="00963C4F"/>
    <w:rsid w:val="00965F07"/>
    <w:rsid w:val="00967F66"/>
    <w:rsid w:val="009701ED"/>
    <w:rsid w:val="00970C93"/>
    <w:rsid w:val="00972475"/>
    <w:rsid w:val="00973FED"/>
    <w:rsid w:val="00974666"/>
    <w:rsid w:val="009755FC"/>
    <w:rsid w:val="00975CDE"/>
    <w:rsid w:val="00975D17"/>
    <w:rsid w:val="00976266"/>
    <w:rsid w:val="009770A7"/>
    <w:rsid w:val="00980BBC"/>
    <w:rsid w:val="0098181F"/>
    <w:rsid w:val="009825E6"/>
    <w:rsid w:val="00982E5A"/>
    <w:rsid w:val="00986836"/>
    <w:rsid w:val="00986F67"/>
    <w:rsid w:val="00987507"/>
    <w:rsid w:val="00991A12"/>
    <w:rsid w:val="00993023"/>
    <w:rsid w:val="00993E7E"/>
    <w:rsid w:val="0099471E"/>
    <w:rsid w:val="009952E2"/>
    <w:rsid w:val="00995D5A"/>
    <w:rsid w:val="00997485"/>
    <w:rsid w:val="009A052E"/>
    <w:rsid w:val="009A14B9"/>
    <w:rsid w:val="009A4157"/>
    <w:rsid w:val="009A68EA"/>
    <w:rsid w:val="009A6F98"/>
    <w:rsid w:val="009B01D1"/>
    <w:rsid w:val="009B1D8C"/>
    <w:rsid w:val="009B2157"/>
    <w:rsid w:val="009B349A"/>
    <w:rsid w:val="009C0A40"/>
    <w:rsid w:val="009C0B38"/>
    <w:rsid w:val="009C26B6"/>
    <w:rsid w:val="009C2AD0"/>
    <w:rsid w:val="009D361F"/>
    <w:rsid w:val="009D4FCC"/>
    <w:rsid w:val="009D66F6"/>
    <w:rsid w:val="009E2591"/>
    <w:rsid w:val="009E4590"/>
    <w:rsid w:val="009E6C72"/>
    <w:rsid w:val="009F034F"/>
    <w:rsid w:val="009F054A"/>
    <w:rsid w:val="009F06D2"/>
    <w:rsid w:val="009F2610"/>
    <w:rsid w:val="009F2ACE"/>
    <w:rsid w:val="009F56D7"/>
    <w:rsid w:val="00A01E65"/>
    <w:rsid w:val="00A02B6E"/>
    <w:rsid w:val="00A03062"/>
    <w:rsid w:val="00A0399E"/>
    <w:rsid w:val="00A04C78"/>
    <w:rsid w:val="00A078FC"/>
    <w:rsid w:val="00A1290E"/>
    <w:rsid w:val="00A12C44"/>
    <w:rsid w:val="00A13BF1"/>
    <w:rsid w:val="00A14D7A"/>
    <w:rsid w:val="00A177FC"/>
    <w:rsid w:val="00A17844"/>
    <w:rsid w:val="00A207B2"/>
    <w:rsid w:val="00A20F90"/>
    <w:rsid w:val="00A21F90"/>
    <w:rsid w:val="00A22CBF"/>
    <w:rsid w:val="00A244E5"/>
    <w:rsid w:val="00A255F3"/>
    <w:rsid w:val="00A25DF7"/>
    <w:rsid w:val="00A266C0"/>
    <w:rsid w:val="00A3282C"/>
    <w:rsid w:val="00A3287C"/>
    <w:rsid w:val="00A366AB"/>
    <w:rsid w:val="00A41056"/>
    <w:rsid w:val="00A41470"/>
    <w:rsid w:val="00A41D7D"/>
    <w:rsid w:val="00A41F77"/>
    <w:rsid w:val="00A42CEF"/>
    <w:rsid w:val="00A43297"/>
    <w:rsid w:val="00A458D3"/>
    <w:rsid w:val="00A47339"/>
    <w:rsid w:val="00A52011"/>
    <w:rsid w:val="00A53879"/>
    <w:rsid w:val="00A538DD"/>
    <w:rsid w:val="00A55D07"/>
    <w:rsid w:val="00A560CD"/>
    <w:rsid w:val="00A601F0"/>
    <w:rsid w:val="00A61CAC"/>
    <w:rsid w:val="00A62AB4"/>
    <w:rsid w:val="00A6309F"/>
    <w:rsid w:val="00A63600"/>
    <w:rsid w:val="00A64AB3"/>
    <w:rsid w:val="00A655C8"/>
    <w:rsid w:val="00A67D1B"/>
    <w:rsid w:val="00A67ED0"/>
    <w:rsid w:val="00A706A9"/>
    <w:rsid w:val="00A70D15"/>
    <w:rsid w:val="00A72F66"/>
    <w:rsid w:val="00A738B6"/>
    <w:rsid w:val="00A73A57"/>
    <w:rsid w:val="00A74C20"/>
    <w:rsid w:val="00A75598"/>
    <w:rsid w:val="00A7598D"/>
    <w:rsid w:val="00A76A2A"/>
    <w:rsid w:val="00A82158"/>
    <w:rsid w:val="00A83CAC"/>
    <w:rsid w:val="00A84008"/>
    <w:rsid w:val="00A85C28"/>
    <w:rsid w:val="00A85DBD"/>
    <w:rsid w:val="00A86DB9"/>
    <w:rsid w:val="00A90971"/>
    <w:rsid w:val="00A91EEA"/>
    <w:rsid w:val="00A91F12"/>
    <w:rsid w:val="00A93776"/>
    <w:rsid w:val="00A96427"/>
    <w:rsid w:val="00A96AF3"/>
    <w:rsid w:val="00A97A00"/>
    <w:rsid w:val="00AA067E"/>
    <w:rsid w:val="00AA452B"/>
    <w:rsid w:val="00AA4F4D"/>
    <w:rsid w:val="00AA6366"/>
    <w:rsid w:val="00AA671B"/>
    <w:rsid w:val="00AB0560"/>
    <w:rsid w:val="00AB1E9E"/>
    <w:rsid w:val="00AB28AA"/>
    <w:rsid w:val="00AB3B68"/>
    <w:rsid w:val="00AB4629"/>
    <w:rsid w:val="00AB48D8"/>
    <w:rsid w:val="00AB61D3"/>
    <w:rsid w:val="00AB6F33"/>
    <w:rsid w:val="00AC018C"/>
    <w:rsid w:val="00AC13A8"/>
    <w:rsid w:val="00AC17B9"/>
    <w:rsid w:val="00AC2D64"/>
    <w:rsid w:val="00AC338D"/>
    <w:rsid w:val="00AC345A"/>
    <w:rsid w:val="00AD19A6"/>
    <w:rsid w:val="00AD4B00"/>
    <w:rsid w:val="00AE0164"/>
    <w:rsid w:val="00AE394C"/>
    <w:rsid w:val="00AE48DA"/>
    <w:rsid w:val="00AE537F"/>
    <w:rsid w:val="00AF01D7"/>
    <w:rsid w:val="00AF0A1B"/>
    <w:rsid w:val="00AF1604"/>
    <w:rsid w:val="00AF1D3F"/>
    <w:rsid w:val="00AF4723"/>
    <w:rsid w:val="00AF4BC7"/>
    <w:rsid w:val="00AF5E6E"/>
    <w:rsid w:val="00AF7A00"/>
    <w:rsid w:val="00B00B21"/>
    <w:rsid w:val="00B00DF0"/>
    <w:rsid w:val="00B03449"/>
    <w:rsid w:val="00B03E52"/>
    <w:rsid w:val="00B06792"/>
    <w:rsid w:val="00B07D63"/>
    <w:rsid w:val="00B112DB"/>
    <w:rsid w:val="00B127FE"/>
    <w:rsid w:val="00B14979"/>
    <w:rsid w:val="00B15355"/>
    <w:rsid w:val="00B15865"/>
    <w:rsid w:val="00B16C21"/>
    <w:rsid w:val="00B17AC3"/>
    <w:rsid w:val="00B17FD9"/>
    <w:rsid w:val="00B22D4D"/>
    <w:rsid w:val="00B23E18"/>
    <w:rsid w:val="00B2417A"/>
    <w:rsid w:val="00B2573C"/>
    <w:rsid w:val="00B25A43"/>
    <w:rsid w:val="00B26313"/>
    <w:rsid w:val="00B27D05"/>
    <w:rsid w:val="00B33213"/>
    <w:rsid w:val="00B33245"/>
    <w:rsid w:val="00B33C22"/>
    <w:rsid w:val="00B41E46"/>
    <w:rsid w:val="00B50AD8"/>
    <w:rsid w:val="00B51A49"/>
    <w:rsid w:val="00B52840"/>
    <w:rsid w:val="00B547E3"/>
    <w:rsid w:val="00B548D9"/>
    <w:rsid w:val="00B54A71"/>
    <w:rsid w:val="00B55C81"/>
    <w:rsid w:val="00B561AB"/>
    <w:rsid w:val="00B57725"/>
    <w:rsid w:val="00B60B04"/>
    <w:rsid w:val="00B6463D"/>
    <w:rsid w:val="00B65869"/>
    <w:rsid w:val="00B65D5E"/>
    <w:rsid w:val="00B66741"/>
    <w:rsid w:val="00B72EEE"/>
    <w:rsid w:val="00B73730"/>
    <w:rsid w:val="00B73D47"/>
    <w:rsid w:val="00B74269"/>
    <w:rsid w:val="00B75F72"/>
    <w:rsid w:val="00B81558"/>
    <w:rsid w:val="00B81885"/>
    <w:rsid w:val="00B876E6"/>
    <w:rsid w:val="00B87C9C"/>
    <w:rsid w:val="00B9231C"/>
    <w:rsid w:val="00B92A09"/>
    <w:rsid w:val="00B937F7"/>
    <w:rsid w:val="00B93C45"/>
    <w:rsid w:val="00B9488F"/>
    <w:rsid w:val="00B95297"/>
    <w:rsid w:val="00B95FBB"/>
    <w:rsid w:val="00B97C06"/>
    <w:rsid w:val="00B97CD8"/>
    <w:rsid w:val="00BA0476"/>
    <w:rsid w:val="00BA18E1"/>
    <w:rsid w:val="00BA23EB"/>
    <w:rsid w:val="00BA295D"/>
    <w:rsid w:val="00BA7527"/>
    <w:rsid w:val="00BB4800"/>
    <w:rsid w:val="00BB4BC0"/>
    <w:rsid w:val="00BB5D99"/>
    <w:rsid w:val="00BB6B23"/>
    <w:rsid w:val="00BB74AB"/>
    <w:rsid w:val="00BB7CA1"/>
    <w:rsid w:val="00BC21EC"/>
    <w:rsid w:val="00BC25F8"/>
    <w:rsid w:val="00BC2F64"/>
    <w:rsid w:val="00BC3FEC"/>
    <w:rsid w:val="00BC4B9D"/>
    <w:rsid w:val="00BC4C71"/>
    <w:rsid w:val="00BC60B4"/>
    <w:rsid w:val="00BD0138"/>
    <w:rsid w:val="00BD0596"/>
    <w:rsid w:val="00BD098E"/>
    <w:rsid w:val="00BD20FC"/>
    <w:rsid w:val="00BD219C"/>
    <w:rsid w:val="00BD25E0"/>
    <w:rsid w:val="00BD27FF"/>
    <w:rsid w:val="00BD2A5C"/>
    <w:rsid w:val="00BD336A"/>
    <w:rsid w:val="00BD4696"/>
    <w:rsid w:val="00BD74EF"/>
    <w:rsid w:val="00BD79B7"/>
    <w:rsid w:val="00BE2942"/>
    <w:rsid w:val="00BE44C9"/>
    <w:rsid w:val="00BE706D"/>
    <w:rsid w:val="00BF04CA"/>
    <w:rsid w:val="00BF0972"/>
    <w:rsid w:val="00BF162C"/>
    <w:rsid w:val="00BF1C23"/>
    <w:rsid w:val="00BF6302"/>
    <w:rsid w:val="00BF6CBB"/>
    <w:rsid w:val="00BF76EA"/>
    <w:rsid w:val="00C00B83"/>
    <w:rsid w:val="00C01780"/>
    <w:rsid w:val="00C0412B"/>
    <w:rsid w:val="00C0595C"/>
    <w:rsid w:val="00C065DA"/>
    <w:rsid w:val="00C0750B"/>
    <w:rsid w:val="00C1211F"/>
    <w:rsid w:val="00C151F7"/>
    <w:rsid w:val="00C163CF"/>
    <w:rsid w:val="00C20D81"/>
    <w:rsid w:val="00C270AC"/>
    <w:rsid w:val="00C27629"/>
    <w:rsid w:val="00C32964"/>
    <w:rsid w:val="00C3339E"/>
    <w:rsid w:val="00C35382"/>
    <w:rsid w:val="00C37AB6"/>
    <w:rsid w:val="00C4361D"/>
    <w:rsid w:val="00C4531D"/>
    <w:rsid w:val="00C45F86"/>
    <w:rsid w:val="00C47213"/>
    <w:rsid w:val="00C4770F"/>
    <w:rsid w:val="00C47DA5"/>
    <w:rsid w:val="00C53CF1"/>
    <w:rsid w:val="00C56790"/>
    <w:rsid w:val="00C56C0D"/>
    <w:rsid w:val="00C62BF2"/>
    <w:rsid w:val="00C631F1"/>
    <w:rsid w:val="00C64294"/>
    <w:rsid w:val="00C71AA6"/>
    <w:rsid w:val="00C7398B"/>
    <w:rsid w:val="00C76A86"/>
    <w:rsid w:val="00C812C5"/>
    <w:rsid w:val="00C81BC6"/>
    <w:rsid w:val="00C82947"/>
    <w:rsid w:val="00C840F0"/>
    <w:rsid w:val="00C86B52"/>
    <w:rsid w:val="00C875F0"/>
    <w:rsid w:val="00C90501"/>
    <w:rsid w:val="00C91D3D"/>
    <w:rsid w:val="00C921EC"/>
    <w:rsid w:val="00CA2170"/>
    <w:rsid w:val="00CA26B5"/>
    <w:rsid w:val="00CA2E64"/>
    <w:rsid w:val="00CA7E1B"/>
    <w:rsid w:val="00CB0716"/>
    <w:rsid w:val="00CB1117"/>
    <w:rsid w:val="00CB20FD"/>
    <w:rsid w:val="00CB32B6"/>
    <w:rsid w:val="00CB393E"/>
    <w:rsid w:val="00CB3A72"/>
    <w:rsid w:val="00CB3DE5"/>
    <w:rsid w:val="00CB5396"/>
    <w:rsid w:val="00CB5CE4"/>
    <w:rsid w:val="00CB5EBA"/>
    <w:rsid w:val="00CB7609"/>
    <w:rsid w:val="00CB7A80"/>
    <w:rsid w:val="00CC0918"/>
    <w:rsid w:val="00CC1862"/>
    <w:rsid w:val="00CC1CE7"/>
    <w:rsid w:val="00CC3701"/>
    <w:rsid w:val="00CC3767"/>
    <w:rsid w:val="00CC7461"/>
    <w:rsid w:val="00CD05CA"/>
    <w:rsid w:val="00CD1F51"/>
    <w:rsid w:val="00CD2D38"/>
    <w:rsid w:val="00CD3CFE"/>
    <w:rsid w:val="00CD6561"/>
    <w:rsid w:val="00CD7309"/>
    <w:rsid w:val="00CE1D6E"/>
    <w:rsid w:val="00CE3846"/>
    <w:rsid w:val="00CE48E4"/>
    <w:rsid w:val="00CE4F73"/>
    <w:rsid w:val="00CF0180"/>
    <w:rsid w:val="00CF172E"/>
    <w:rsid w:val="00CF2949"/>
    <w:rsid w:val="00CF2B6C"/>
    <w:rsid w:val="00CF2E55"/>
    <w:rsid w:val="00CF4248"/>
    <w:rsid w:val="00CF4C44"/>
    <w:rsid w:val="00D01562"/>
    <w:rsid w:val="00D02AEF"/>
    <w:rsid w:val="00D03076"/>
    <w:rsid w:val="00D032E4"/>
    <w:rsid w:val="00D03759"/>
    <w:rsid w:val="00D03E83"/>
    <w:rsid w:val="00D06647"/>
    <w:rsid w:val="00D10B4B"/>
    <w:rsid w:val="00D11F35"/>
    <w:rsid w:val="00D12BE5"/>
    <w:rsid w:val="00D1369D"/>
    <w:rsid w:val="00D14B88"/>
    <w:rsid w:val="00D1613A"/>
    <w:rsid w:val="00D170D3"/>
    <w:rsid w:val="00D221F4"/>
    <w:rsid w:val="00D223A7"/>
    <w:rsid w:val="00D2254E"/>
    <w:rsid w:val="00D2286A"/>
    <w:rsid w:val="00D230FD"/>
    <w:rsid w:val="00D25CB4"/>
    <w:rsid w:val="00D260AB"/>
    <w:rsid w:val="00D274BE"/>
    <w:rsid w:val="00D276AF"/>
    <w:rsid w:val="00D30F56"/>
    <w:rsid w:val="00D33CFA"/>
    <w:rsid w:val="00D3472A"/>
    <w:rsid w:val="00D35559"/>
    <w:rsid w:val="00D35B6B"/>
    <w:rsid w:val="00D36201"/>
    <w:rsid w:val="00D40CEE"/>
    <w:rsid w:val="00D42953"/>
    <w:rsid w:val="00D42F35"/>
    <w:rsid w:val="00D43A8A"/>
    <w:rsid w:val="00D44347"/>
    <w:rsid w:val="00D44AFC"/>
    <w:rsid w:val="00D475E0"/>
    <w:rsid w:val="00D50A7D"/>
    <w:rsid w:val="00D5106D"/>
    <w:rsid w:val="00D523D2"/>
    <w:rsid w:val="00D53477"/>
    <w:rsid w:val="00D534B2"/>
    <w:rsid w:val="00D53590"/>
    <w:rsid w:val="00D54D75"/>
    <w:rsid w:val="00D56180"/>
    <w:rsid w:val="00D60888"/>
    <w:rsid w:val="00D61E0F"/>
    <w:rsid w:val="00D65C58"/>
    <w:rsid w:val="00D65FDE"/>
    <w:rsid w:val="00D67679"/>
    <w:rsid w:val="00D67DBA"/>
    <w:rsid w:val="00D705BB"/>
    <w:rsid w:val="00D74C45"/>
    <w:rsid w:val="00D759D1"/>
    <w:rsid w:val="00D75C3A"/>
    <w:rsid w:val="00D80119"/>
    <w:rsid w:val="00D84DC1"/>
    <w:rsid w:val="00D8677B"/>
    <w:rsid w:val="00D86FBA"/>
    <w:rsid w:val="00D92630"/>
    <w:rsid w:val="00D93A0F"/>
    <w:rsid w:val="00D93F96"/>
    <w:rsid w:val="00D95E98"/>
    <w:rsid w:val="00D96682"/>
    <w:rsid w:val="00D96D44"/>
    <w:rsid w:val="00D979DF"/>
    <w:rsid w:val="00D97BD8"/>
    <w:rsid w:val="00DA0F37"/>
    <w:rsid w:val="00DA14D8"/>
    <w:rsid w:val="00DA20A7"/>
    <w:rsid w:val="00DA4164"/>
    <w:rsid w:val="00DA6398"/>
    <w:rsid w:val="00DA754D"/>
    <w:rsid w:val="00DB0011"/>
    <w:rsid w:val="00DB1F9B"/>
    <w:rsid w:val="00DB2127"/>
    <w:rsid w:val="00DB2176"/>
    <w:rsid w:val="00DB53F0"/>
    <w:rsid w:val="00DB7C3F"/>
    <w:rsid w:val="00DB7FD2"/>
    <w:rsid w:val="00DC00BC"/>
    <w:rsid w:val="00DC10F3"/>
    <w:rsid w:val="00DC3122"/>
    <w:rsid w:val="00DC3D39"/>
    <w:rsid w:val="00DD36F2"/>
    <w:rsid w:val="00DD4E1D"/>
    <w:rsid w:val="00DD7F1F"/>
    <w:rsid w:val="00DE341D"/>
    <w:rsid w:val="00DE34FE"/>
    <w:rsid w:val="00DE56F6"/>
    <w:rsid w:val="00DE6001"/>
    <w:rsid w:val="00DE6F64"/>
    <w:rsid w:val="00DF0AF4"/>
    <w:rsid w:val="00DF22ED"/>
    <w:rsid w:val="00DF52B0"/>
    <w:rsid w:val="00DF618B"/>
    <w:rsid w:val="00E00644"/>
    <w:rsid w:val="00E00E8E"/>
    <w:rsid w:val="00E01921"/>
    <w:rsid w:val="00E040F7"/>
    <w:rsid w:val="00E06B2B"/>
    <w:rsid w:val="00E073E5"/>
    <w:rsid w:val="00E07463"/>
    <w:rsid w:val="00E07D6A"/>
    <w:rsid w:val="00E12A59"/>
    <w:rsid w:val="00E12AF4"/>
    <w:rsid w:val="00E149F8"/>
    <w:rsid w:val="00E16835"/>
    <w:rsid w:val="00E2018B"/>
    <w:rsid w:val="00E206E1"/>
    <w:rsid w:val="00E20AA1"/>
    <w:rsid w:val="00E210AB"/>
    <w:rsid w:val="00E2146A"/>
    <w:rsid w:val="00E2423A"/>
    <w:rsid w:val="00E25F17"/>
    <w:rsid w:val="00E26645"/>
    <w:rsid w:val="00E27364"/>
    <w:rsid w:val="00E274A6"/>
    <w:rsid w:val="00E30953"/>
    <w:rsid w:val="00E309FA"/>
    <w:rsid w:val="00E3271B"/>
    <w:rsid w:val="00E37168"/>
    <w:rsid w:val="00E37C6A"/>
    <w:rsid w:val="00E427EA"/>
    <w:rsid w:val="00E42C7C"/>
    <w:rsid w:val="00E44ECA"/>
    <w:rsid w:val="00E46D38"/>
    <w:rsid w:val="00E500B9"/>
    <w:rsid w:val="00E52F61"/>
    <w:rsid w:val="00E53381"/>
    <w:rsid w:val="00E562E8"/>
    <w:rsid w:val="00E60E4B"/>
    <w:rsid w:val="00E63F8E"/>
    <w:rsid w:val="00E64FED"/>
    <w:rsid w:val="00E65B6C"/>
    <w:rsid w:val="00E66E25"/>
    <w:rsid w:val="00E70535"/>
    <w:rsid w:val="00E72074"/>
    <w:rsid w:val="00E724CC"/>
    <w:rsid w:val="00E74893"/>
    <w:rsid w:val="00E769E2"/>
    <w:rsid w:val="00E817FE"/>
    <w:rsid w:val="00E820EC"/>
    <w:rsid w:val="00E827E6"/>
    <w:rsid w:val="00E83B18"/>
    <w:rsid w:val="00E85C02"/>
    <w:rsid w:val="00E86502"/>
    <w:rsid w:val="00E86D1D"/>
    <w:rsid w:val="00E91DF3"/>
    <w:rsid w:val="00E93474"/>
    <w:rsid w:val="00E9357D"/>
    <w:rsid w:val="00E953BC"/>
    <w:rsid w:val="00E9542E"/>
    <w:rsid w:val="00E969AC"/>
    <w:rsid w:val="00E97DBD"/>
    <w:rsid w:val="00EA0181"/>
    <w:rsid w:val="00EA487B"/>
    <w:rsid w:val="00EA4C02"/>
    <w:rsid w:val="00EA4C6C"/>
    <w:rsid w:val="00EA5AFE"/>
    <w:rsid w:val="00EA65E8"/>
    <w:rsid w:val="00EA6BF6"/>
    <w:rsid w:val="00EA7675"/>
    <w:rsid w:val="00EA782B"/>
    <w:rsid w:val="00EB298A"/>
    <w:rsid w:val="00EB2FDA"/>
    <w:rsid w:val="00EB44CB"/>
    <w:rsid w:val="00EB502D"/>
    <w:rsid w:val="00EC0121"/>
    <w:rsid w:val="00EC19D5"/>
    <w:rsid w:val="00EC2056"/>
    <w:rsid w:val="00EC54AC"/>
    <w:rsid w:val="00ED189B"/>
    <w:rsid w:val="00ED32A5"/>
    <w:rsid w:val="00ED370B"/>
    <w:rsid w:val="00ED62A3"/>
    <w:rsid w:val="00ED6796"/>
    <w:rsid w:val="00ED68E0"/>
    <w:rsid w:val="00EE1A39"/>
    <w:rsid w:val="00EE2C03"/>
    <w:rsid w:val="00EE2F4C"/>
    <w:rsid w:val="00EE3F91"/>
    <w:rsid w:val="00EE5854"/>
    <w:rsid w:val="00EE68B6"/>
    <w:rsid w:val="00EE7090"/>
    <w:rsid w:val="00EE70FF"/>
    <w:rsid w:val="00EE7AD7"/>
    <w:rsid w:val="00EF08CF"/>
    <w:rsid w:val="00EF17B5"/>
    <w:rsid w:val="00EF1A65"/>
    <w:rsid w:val="00EF1FAC"/>
    <w:rsid w:val="00EF603F"/>
    <w:rsid w:val="00EF746C"/>
    <w:rsid w:val="00F0079D"/>
    <w:rsid w:val="00F10E51"/>
    <w:rsid w:val="00F20B12"/>
    <w:rsid w:val="00F2116D"/>
    <w:rsid w:val="00F2318F"/>
    <w:rsid w:val="00F24AA9"/>
    <w:rsid w:val="00F2620B"/>
    <w:rsid w:val="00F27DB7"/>
    <w:rsid w:val="00F27F1E"/>
    <w:rsid w:val="00F31018"/>
    <w:rsid w:val="00F31088"/>
    <w:rsid w:val="00F3137F"/>
    <w:rsid w:val="00F31810"/>
    <w:rsid w:val="00F34116"/>
    <w:rsid w:val="00F35B4A"/>
    <w:rsid w:val="00F360E0"/>
    <w:rsid w:val="00F364BB"/>
    <w:rsid w:val="00F37D7B"/>
    <w:rsid w:val="00F47636"/>
    <w:rsid w:val="00F5061B"/>
    <w:rsid w:val="00F5068B"/>
    <w:rsid w:val="00F51132"/>
    <w:rsid w:val="00F52507"/>
    <w:rsid w:val="00F536CB"/>
    <w:rsid w:val="00F538D6"/>
    <w:rsid w:val="00F53C49"/>
    <w:rsid w:val="00F57132"/>
    <w:rsid w:val="00F57FB8"/>
    <w:rsid w:val="00F6144A"/>
    <w:rsid w:val="00F62CF6"/>
    <w:rsid w:val="00F649E8"/>
    <w:rsid w:val="00F656B4"/>
    <w:rsid w:val="00F65917"/>
    <w:rsid w:val="00F66366"/>
    <w:rsid w:val="00F67410"/>
    <w:rsid w:val="00F7182C"/>
    <w:rsid w:val="00F73325"/>
    <w:rsid w:val="00F73AD7"/>
    <w:rsid w:val="00F77867"/>
    <w:rsid w:val="00F87FA0"/>
    <w:rsid w:val="00F9065F"/>
    <w:rsid w:val="00F9195D"/>
    <w:rsid w:val="00F91B72"/>
    <w:rsid w:val="00F94EF1"/>
    <w:rsid w:val="00F95212"/>
    <w:rsid w:val="00F9534B"/>
    <w:rsid w:val="00FA133B"/>
    <w:rsid w:val="00FA18DD"/>
    <w:rsid w:val="00FA2978"/>
    <w:rsid w:val="00FA6386"/>
    <w:rsid w:val="00FA66A8"/>
    <w:rsid w:val="00FA6887"/>
    <w:rsid w:val="00FA6B4E"/>
    <w:rsid w:val="00FA7BD1"/>
    <w:rsid w:val="00FB6185"/>
    <w:rsid w:val="00FB6F55"/>
    <w:rsid w:val="00FC1D8A"/>
    <w:rsid w:val="00FC34FA"/>
    <w:rsid w:val="00FC5768"/>
    <w:rsid w:val="00FC70C7"/>
    <w:rsid w:val="00FD21BC"/>
    <w:rsid w:val="00FD2957"/>
    <w:rsid w:val="00FD3DE6"/>
    <w:rsid w:val="00FD7485"/>
    <w:rsid w:val="00FE0138"/>
    <w:rsid w:val="00FE0271"/>
    <w:rsid w:val="00FE17CF"/>
    <w:rsid w:val="00FE2ADC"/>
    <w:rsid w:val="00FE5594"/>
    <w:rsid w:val="00FE6354"/>
    <w:rsid w:val="00FE6501"/>
    <w:rsid w:val="00FE77D5"/>
    <w:rsid w:val="00FF0813"/>
    <w:rsid w:val="00FF154D"/>
    <w:rsid w:val="00FF17EF"/>
    <w:rsid w:val="00FF2653"/>
    <w:rsid w:val="00FF2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BECD"/>
  <w15:chartTrackingRefBased/>
  <w15:docId w15:val="{001594C8-83F4-450E-A6CC-1CDBE4DE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5E"/>
  </w:style>
  <w:style w:type="paragraph" w:styleId="Heading1">
    <w:name w:val="heading 1"/>
    <w:basedOn w:val="Normal"/>
    <w:next w:val="Normal"/>
    <w:link w:val="Heading1Char"/>
    <w:uiPriority w:val="9"/>
    <w:qFormat/>
    <w:rsid w:val="004D6E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E5E"/>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D6E5E"/>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4D6E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D6E5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D6E5E"/>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unhideWhenUsed/>
    <w:qFormat/>
    <w:rsid w:val="004D6E5E"/>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unhideWhenUsed/>
    <w:qFormat/>
    <w:rsid w:val="004D6E5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4D6E5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E5E"/>
    <w:rPr>
      <w:rFonts w:asciiTheme="majorHAnsi" w:eastAsiaTheme="majorEastAsia" w:hAnsiTheme="majorHAnsi" w:cstheme="majorBidi"/>
      <w:color w:val="2F5496" w:themeColor="accent1" w:themeShade="BF"/>
      <w:sz w:val="32"/>
      <w:szCs w:val="32"/>
    </w:rPr>
  </w:style>
  <w:style w:type="character" w:customStyle="1" w:styleId="FootnoteTextChar">
    <w:name w:val="Footnote Text Char"/>
    <w:aliases w:val="Point 3 Char Char,Footnote text Char,ESPON Footnote Text Char,Schriftart: 9 pt Char,Schriftart: 10 pt Char,Schriftart: 8 pt Char,Κείμενο υποσημείωσης-KATERINA Char,Char Char Char1,Char Char Char Char,Fußnotentextf Char,Fußnote Char1"/>
    <w:basedOn w:val="DefaultParagraphFont"/>
    <w:link w:val="FootnoteText"/>
    <w:uiPriority w:val="99"/>
    <w:semiHidden/>
    <w:locked/>
    <w:rsid w:val="00FA2978"/>
    <w:rPr>
      <w:rFonts w:ascii="Calibri" w:eastAsia="Times New Roman" w:hAnsi="Calibri" w:cs="Times New Roman"/>
      <w:sz w:val="18"/>
      <w:szCs w:val="20"/>
    </w:rPr>
  </w:style>
  <w:style w:type="paragraph" w:styleId="FootnoteText">
    <w:name w:val="footnote text"/>
    <w:aliases w:val="Point 3 Char,Footnote text,ESPON Footnote Text,Schriftart: 9 pt,Schriftart: 10 pt,Schriftart: 8 pt,Κείμενο υποσημείωσης-KATERINA,Char Char,Char Char Char,Fußnotentextf,Fußnote,Char Char Char Char Char,n"/>
    <w:basedOn w:val="Normal"/>
    <w:link w:val="FootnoteTextChar"/>
    <w:uiPriority w:val="99"/>
    <w:semiHidden/>
    <w:unhideWhenUsed/>
    <w:rsid w:val="00FA2978"/>
    <w:pPr>
      <w:overflowPunct w:val="0"/>
      <w:autoSpaceDE w:val="0"/>
      <w:autoSpaceDN w:val="0"/>
      <w:adjustRightInd w:val="0"/>
      <w:spacing w:after="120" w:line="240" w:lineRule="auto"/>
    </w:pPr>
    <w:rPr>
      <w:rFonts w:ascii="Calibri" w:eastAsia="Times New Roman" w:hAnsi="Calibri" w:cs="Times New Roman"/>
      <w:sz w:val="18"/>
      <w:szCs w:val="20"/>
    </w:rPr>
  </w:style>
  <w:style w:type="character" w:customStyle="1" w:styleId="Char">
    <w:name w:val="Κείμενο υποσημείωσης Char"/>
    <w:aliases w:val="Fußnote Char"/>
    <w:basedOn w:val="DefaultParagraphFont"/>
    <w:semiHidden/>
    <w:rsid w:val="00FA2978"/>
    <w:rPr>
      <w:sz w:val="20"/>
      <w:szCs w:val="20"/>
    </w:r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locked/>
    <w:rsid w:val="00FA2978"/>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FA2978"/>
    <w:pPr>
      <w:ind w:left="720"/>
      <w:contextualSpacing/>
    </w:pPr>
  </w:style>
  <w:style w:type="character" w:styleId="FootnoteReference">
    <w:name w:val="footnote reference"/>
    <w:aliases w:val="BVI fnr,Footnote symbol"/>
    <w:basedOn w:val="DefaultParagraphFont"/>
    <w:uiPriority w:val="99"/>
    <w:semiHidden/>
    <w:unhideWhenUsed/>
    <w:rsid w:val="00FA2978"/>
    <w:rPr>
      <w:vertAlign w:val="superscript"/>
    </w:rPr>
  </w:style>
  <w:style w:type="table" w:styleId="TableGrid">
    <w:name w:val="Table Grid"/>
    <w:basedOn w:val="TableNormal"/>
    <w:uiPriority w:val="39"/>
    <w:rsid w:val="00FA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57862808ydpd21b42e2msonormal">
    <w:name w:val="yiv1657862808ydpd21b42e2msonormal"/>
    <w:basedOn w:val="Normal"/>
    <w:rsid w:val="00FA29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4D6E5E"/>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D6E5E"/>
    <w:rPr>
      <w:rFonts w:asciiTheme="majorHAnsi" w:eastAsiaTheme="majorEastAsia" w:hAnsiTheme="majorHAnsi" w:cstheme="majorBidi"/>
      <w:color w:val="1F3864" w:themeColor="accent1" w:themeShade="80"/>
      <w:sz w:val="24"/>
      <w:szCs w:val="24"/>
    </w:rPr>
  </w:style>
  <w:style w:type="table" w:styleId="GridTable1Light-Accent1">
    <w:name w:val="Grid Table 1 Light Accent 1"/>
    <w:basedOn w:val="TableNormal"/>
    <w:uiPriority w:val="46"/>
    <w:rsid w:val="00205D5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BD20FC"/>
    <w:pPr>
      <w:autoSpaceDE w:val="0"/>
      <w:autoSpaceDN w:val="0"/>
      <w:adjustRightInd w:val="0"/>
      <w:spacing w:after="0" w:line="240" w:lineRule="auto"/>
    </w:pPr>
    <w:rPr>
      <w:rFonts w:ascii="Calibri" w:hAnsi="Calibri" w:cs="Calibri"/>
      <w:color w:val="000000"/>
      <w:sz w:val="24"/>
      <w:szCs w:val="24"/>
      <w:lang w:val="en-GB"/>
    </w:rPr>
  </w:style>
  <w:style w:type="table" w:styleId="TableGridLight">
    <w:name w:val="Grid Table Light"/>
    <w:basedOn w:val="TableNormal"/>
    <w:uiPriority w:val="40"/>
    <w:rsid w:val="00DF618B"/>
    <w:pPr>
      <w:spacing w:after="0" w:line="240" w:lineRule="auto"/>
    </w:pPr>
    <w:rPr>
      <w:lang w:val="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27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4BE"/>
  </w:style>
  <w:style w:type="paragraph" w:styleId="Footer">
    <w:name w:val="footer"/>
    <w:basedOn w:val="Normal"/>
    <w:link w:val="FooterChar"/>
    <w:uiPriority w:val="99"/>
    <w:unhideWhenUsed/>
    <w:rsid w:val="00D27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4BE"/>
  </w:style>
  <w:style w:type="table" w:customStyle="1" w:styleId="TableNormal1">
    <w:name w:val="Table Normal1"/>
    <w:uiPriority w:val="2"/>
    <w:semiHidden/>
    <w:unhideWhenUsed/>
    <w:qFormat/>
    <w:rsid w:val="001C7F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1C7F40"/>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Heading6Char">
    <w:name w:val="Heading 6 Char"/>
    <w:basedOn w:val="DefaultParagraphFont"/>
    <w:link w:val="Heading6"/>
    <w:uiPriority w:val="9"/>
    <w:rsid w:val="004D6E5E"/>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rsid w:val="004D6E5E"/>
    <w:rPr>
      <w:rFonts w:asciiTheme="majorHAnsi" w:eastAsiaTheme="majorEastAsia" w:hAnsiTheme="majorHAnsi" w:cstheme="majorBidi"/>
      <w:i/>
      <w:iCs/>
      <w:color w:val="1F3864" w:themeColor="accent1" w:themeShade="80"/>
    </w:rPr>
  </w:style>
  <w:style w:type="character" w:customStyle="1" w:styleId="Heading4Char">
    <w:name w:val="Heading 4 Char"/>
    <w:basedOn w:val="DefaultParagraphFont"/>
    <w:link w:val="Heading4"/>
    <w:uiPriority w:val="9"/>
    <w:rsid w:val="004D6E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D6E5E"/>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rsid w:val="004D6E5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4D6E5E"/>
    <w:rPr>
      <w:rFonts w:asciiTheme="majorHAnsi" w:eastAsiaTheme="majorEastAsia" w:hAnsiTheme="majorHAnsi" w:cstheme="majorBidi"/>
      <w:i/>
      <w:iCs/>
      <w:color w:val="262626" w:themeColor="text1" w:themeTint="D9"/>
      <w:sz w:val="21"/>
      <w:szCs w:val="21"/>
    </w:rPr>
  </w:style>
  <w:style w:type="paragraph" w:styleId="TOC1">
    <w:name w:val="toc 1"/>
    <w:basedOn w:val="Normal"/>
    <w:uiPriority w:val="39"/>
    <w:rsid w:val="00466201"/>
    <w:pPr>
      <w:widowControl w:val="0"/>
      <w:autoSpaceDE w:val="0"/>
      <w:autoSpaceDN w:val="0"/>
      <w:spacing w:before="179" w:after="0" w:line="240" w:lineRule="auto"/>
      <w:ind w:left="400" w:hanging="284"/>
    </w:pPr>
    <w:rPr>
      <w:rFonts w:ascii="Trebuchet MS" w:eastAsia="Trebuchet MS" w:hAnsi="Trebuchet MS" w:cs="Trebuchet MS"/>
      <w:lang w:val="en-US"/>
    </w:rPr>
  </w:style>
  <w:style w:type="paragraph" w:styleId="TOC2">
    <w:name w:val="toc 2"/>
    <w:basedOn w:val="Normal"/>
    <w:uiPriority w:val="39"/>
    <w:rsid w:val="00466201"/>
    <w:pPr>
      <w:widowControl w:val="0"/>
      <w:autoSpaceDE w:val="0"/>
      <w:autoSpaceDN w:val="0"/>
      <w:spacing w:before="5" w:after="0" w:line="240" w:lineRule="auto"/>
      <w:ind w:left="400"/>
    </w:pPr>
    <w:rPr>
      <w:rFonts w:ascii="Trebuchet MS" w:eastAsia="Trebuchet MS" w:hAnsi="Trebuchet MS" w:cs="Trebuchet MS"/>
      <w:lang w:val="en-US"/>
    </w:rPr>
  </w:style>
  <w:style w:type="paragraph" w:styleId="TOC3">
    <w:name w:val="toc 3"/>
    <w:basedOn w:val="Normal"/>
    <w:uiPriority w:val="39"/>
    <w:rsid w:val="00466201"/>
    <w:pPr>
      <w:widowControl w:val="0"/>
      <w:autoSpaceDE w:val="0"/>
      <w:autoSpaceDN w:val="0"/>
      <w:spacing w:before="143" w:after="0" w:line="240" w:lineRule="auto"/>
      <w:ind w:left="797" w:hanging="398"/>
    </w:pPr>
    <w:rPr>
      <w:rFonts w:ascii="Trebuchet MS" w:eastAsia="Trebuchet MS" w:hAnsi="Trebuchet MS" w:cs="Trebuchet MS"/>
      <w:b/>
      <w:bCs/>
      <w:sz w:val="20"/>
      <w:szCs w:val="20"/>
      <w:lang w:val="en-US"/>
    </w:rPr>
  </w:style>
  <w:style w:type="paragraph" w:styleId="TOC4">
    <w:name w:val="toc 4"/>
    <w:basedOn w:val="Normal"/>
    <w:uiPriority w:val="1"/>
    <w:rsid w:val="00466201"/>
    <w:pPr>
      <w:widowControl w:val="0"/>
      <w:autoSpaceDE w:val="0"/>
      <w:autoSpaceDN w:val="0"/>
      <w:spacing w:before="141" w:after="0" w:line="240" w:lineRule="auto"/>
      <w:ind w:left="797" w:hanging="398"/>
    </w:pPr>
    <w:rPr>
      <w:rFonts w:ascii="Trebuchet MS" w:eastAsia="Trebuchet MS" w:hAnsi="Trebuchet MS" w:cs="Trebuchet MS"/>
      <w:sz w:val="20"/>
      <w:szCs w:val="20"/>
      <w:lang w:val="en-US"/>
    </w:rPr>
  </w:style>
  <w:style w:type="paragraph" w:styleId="TOC5">
    <w:name w:val="toc 5"/>
    <w:basedOn w:val="Normal"/>
    <w:uiPriority w:val="1"/>
    <w:rsid w:val="00466201"/>
    <w:pPr>
      <w:widowControl w:val="0"/>
      <w:autoSpaceDE w:val="0"/>
      <w:autoSpaceDN w:val="0"/>
      <w:spacing w:before="76" w:after="0" w:line="240" w:lineRule="auto"/>
      <w:ind w:left="1364" w:hanging="568"/>
    </w:pPr>
    <w:rPr>
      <w:rFonts w:ascii="Trebuchet MS" w:eastAsia="Trebuchet MS" w:hAnsi="Trebuchet MS" w:cs="Trebuchet MS"/>
      <w:sz w:val="19"/>
      <w:szCs w:val="19"/>
      <w:lang w:val="en-US"/>
    </w:rPr>
  </w:style>
  <w:style w:type="paragraph" w:styleId="TOC6">
    <w:name w:val="toc 6"/>
    <w:basedOn w:val="Normal"/>
    <w:uiPriority w:val="1"/>
    <w:rsid w:val="00466201"/>
    <w:pPr>
      <w:widowControl w:val="0"/>
      <w:autoSpaceDE w:val="0"/>
      <w:autoSpaceDN w:val="0"/>
      <w:spacing w:before="19" w:after="0" w:line="240" w:lineRule="auto"/>
      <w:ind w:left="1364"/>
    </w:pPr>
    <w:rPr>
      <w:rFonts w:ascii="Trebuchet MS" w:eastAsia="Trebuchet MS" w:hAnsi="Trebuchet MS" w:cs="Trebuchet MS"/>
      <w:sz w:val="19"/>
      <w:szCs w:val="19"/>
      <w:lang w:val="en-US"/>
    </w:rPr>
  </w:style>
  <w:style w:type="paragraph" w:styleId="BodyText">
    <w:name w:val="Body Text"/>
    <w:basedOn w:val="Normal"/>
    <w:link w:val="BodyTextChar"/>
    <w:uiPriority w:val="1"/>
    <w:rsid w:val="00466201"/>
    <w:pPr>
      <w:widowControl w:val="0"/>
      <w:autoSpaceDE w:val="0"/>
      <w:autoSpaceDN w:val="0"/>
      <w:spacing w:after="0" w:line="240" w:lineRule="auto"/>
    </w:pPr>
    <w:rPr>
      <w:rFonts w:ascii="Trebuchet MS" w:eastAsia="Trebuchet MS" w:hAnsi="Trebuchet MS" w:cs="Trebuchet MS"/>
      <w:sz w:val="18"/>
      <w:szCs w:val="18"/>
      <w:lang w:val="en-US"/>
    </w:rPr>
  </w:style>
  <w:style w:type="character" w:customStyle="1" w:styleId="BodyTextChar">
    <w:name w:val="Body Text Char"/>
    <w:basedOn w:val="DefaultParagraphFont"/>
    <w:link w:val="BodyText"/>
    <w:uiPriority w:val="1"/>
    <w:rsid w:val="00466201"/>
    <w:rPr>
      <w:rFonts w:ascii="Trebuchet MS" w:eastAsia="Trebuchet MS" w:hAnsi="Trebuchet MS" w:cs="Trebuchet MS"/>
      <w:sz w:val="18"/>
      <w:szCs w:val="18"/>
      <w:lang w:val="en-US"/>
    </w:rPr>
  </w:style>
  <w:style w:type="character" w:customStyle="1" w:styleId="cf01">
    <w:name w:val="cf01"/>
    <w:basedOn w:val="DefaultParagraphFont"/>
    <w:rsid w:val="000F38D6"/>
    <w:rPr>
      <w:rFonts w:ascii="Segoe UI" w:hAnsi="Segoe UI" w:cs="Segoe UI" w:hint="default"/>
      <w:sz w:val="18"/>
      <w:szCs w:val="18"/>
    </w:rPr>
  </w:style>
  <w:style w:type="paragraph" w:styleId="NormalWeb">
    <w:name w:val="Normal (Web)"/>
    <w:basedOn w:val="Normal"/>
    <w:uiPriority w:val="99"/>
    <w:semiHidden/>
    <w:unhideWhenUsed/>
    <w:rsid w:val="00D40C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40CEE"/>
    <w:rPr>
      <w:color w:val="0000FF"/>
      <w:u w:val="single"/>
    </w:rPr>
  </w:style>
  <w:style w:type="character" w:styleId="Strong">
    <w:name w:val="Strong"/>
    <w:basedOn w:val="DefaultParagraphFont"/>
    <w:uiPriority w:val="22"/>
    <w:qFormat/>
    <w:rsid w:val="004D6E5E"/>
    <w:rPr>
      <w:b/>
      <w:bCs/>
      <w:color w:val="auto"/>
    </w:rPr>
  </w:style>
  <w:style w:type="character" w:styleId="CommentReference">
    <w:name w:val="annotation reference"/>
    <w:basedOn w:val="DefaultParagraphFont"/>
    <w:uiPriority w:val="99"/>
    <w:semiHidden/>
    <w:unhideWhenUsed/>
    <w:rsid w:val="00386CAD"/>
    <w:rPr>
      <w:sz w:val="16"/>
      <w:szCs w:val="16"/>
    </w:rPr>
  </w:style>
  <w:style w:type="paragraph" w:styleId="CommentText">
    <w:name w:val="annotation text"/>
    <w:basedOn w:val="Normal"/>
    <w:link w:val="CommentTextChar"/>
    <w:uiPriority w:val="99"/>
    <w:unhideWhenUsed/>
    <w:rsid w:val="00386CAD"/>
    <w:pPr>
      <w:spacing w:line="240" w:lineRule="auto"/>
    </w:pPr>
    <w:rPr>
      <w:sz w:val="20"/>
      <w:szCs w:val="20"/>
    </w:rPr>
  </w:style>
  <w:style w:type="character" w:customStyle="1" w:styleId="CommentTextChar">
    <w:name w:val="Comment Text Char"/>
    <w:basedOn w:val="DefaultParagraphFont"/>
    <w:link w:val="CommentText"/>
    <w:uiPriority w:val="99"/>
    <w:rsid w:val="00386CAD"/>
    <w:rPr>
      <w:sz w:val="20"/>
      <w:szCs w:val="20"/>
    </w:rPr>
  </w:style>
  <w:style w:type="paragraph" w:styleId="CommentSubject">
    <w:name w:val="annotation subject"/>
    <w:basedOn w:val="CommentText"/>
    <w:next w:val="CommentText"/>
    <w:link w:val="CommentSubjectChar"/>
    <w:uiPriority w:val="99"/>
    <w:semiHidden/>
    <w:unhideWhenUsed/>
    <w:rsid w:val="00386CAD"/>
    <w:rPr>
      <w:b/>
      <w:bCs/>
    </w:rPr>
  </w:style>
  <w:style w:type="character" w:customStyle="1" w:styleId="CommentSubjectChar">
    <w:name w:val="Comment Subject Char"/>
    <w:basedOn w:val="CommentTextChar"/>
    <w:link w:val="CommentSubject"/>
    <w:uiPriority w:val="99"/>
    <w:semiHidden/>
    <w:rsid w:val="00386CAD"/>
    <w:rPr>
      <w:b/>
      <w:bCs/>
      <w:sz w:val="20"/>
      <w:szCs w:val="20"/>
    </w:rPr>
  </w:style>
  <w:style w:type="paragraph" w:styleId="BalloonText">
    <w:name w:val="Balloon Text"/>
    <w:basedOn w:val="Normal"/>
    <w:link w:val="BalloonTextChar"/>
    <w:uiPriority w:val="99"/>
    <w:semiHidden/>
    <w:unhideWhenUsed/>
    <w:rsid w:val="00526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7F"/>
    <w:rPr>
      <w:rFonts w:ascii="Segoe UI" w:hAnsi="Segoe UI" w:cs="Segoe UI"/>
      <w:sz w:val="18"/>
      <w:szCs w:val="18"/>
    </w:rPr>
  </w:style>
  <w:style w:type="paragraph" w:styleId="Revision">
    <w:name w:val="Revision"/>
    <w:hidden/>
    <w:uiPriority w:val="99"/>
    <w:semiHidden/>
    <w:rsid w:val="00FA66A8"/>
    <w:pPr>
      <w:spacing w:after="0" w:line="240" w:lineRule="auto"/>
    </w:pPr>
  </w:style>
  <w:style w:type="paragraph" w:styleId="Caption">
    <w:name w:val="caption"/>
    <w:basedOn w:val="Normal"/>
    <w:next w:val="Normal"/>
    <w:uiPriority w:val="35"/>
    <w:unhideWhenUsed/>
    <w:qFormat/>
    <w:rsid w:val="004D6E5E"/>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74893"/>
    <w:rPr>
      <w:color w:val="605E5C"/>
      <w:shd w:val="clear" w:color="auto" w:fill="E1DFDD"/>
    </w:rPr>
  </w:style>
  <w:style w:type="paragraph" w:styleId="TOCHeading">
    <w:name w:val="TOC Heading"/>
    <w:basedOn w:val="Heading1"/>
    <w:next w:val="Normal"/>
    <w:uiPriority w:val="39"/>
    <w:unhideWhenUsed/>
    <w:qFormat/>
    <w:rsid w:val="004D6E5E"/>
    <w:pPr>
      <w:outlineLvl w:val="9"/>
    </w:pPr>
  </w:style>
  <w:style w:type="character" w:styleId="Emphasis">
    <w:name w:val="Emphasis"/>
    <w:basedOn w:val="DefaultParagraphFont"/>
    <w:uiPriority w:val="20"/>
    <w:qFormat/>
    <w:rsid w:val="004D6E5E"/>
    <w:rPr>
      <w:i/>
      <w:iCs/>
      <w:color w:val="auto"/>
    </w:rPr>
  </w:style>
  <w:style w:type="character" w:customStyle="1" w:styleId="rynqvb">
    <w:name w:val="rynqvb"/>
    <w:basedOn w:val="DefaultParagraphFont"/>
    <w:rsid w:val="00874EE0"/>
  </w:style>
  <w:style w:type="paragraph" w:styleId="Title">
    <w:name w:val="Title"/>
    <w:basedOn w:val="Normal"/>
    <w:next w:val="Normal"/>
    <w:link w:val="TitleChar"/>
    <w:uiPriority w:val="10"/>
    <w:qFormat/>
    <w:rsid w:val="004D6E5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D6E5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D6E5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D6E5E"/>
    <w:rPr>
      <w:color w:val="5A5A5A" w:themeColor="text1" w:themeTint="A5"/>
      <w:spacing w:val="15"/>
    </w:rPr>
  </w:style>
  <w:style w:type="paragraph" w:styleId="NoSpacing">
    <w:name w:val="No Spacing"/>
    <w:uiPriority w:val="1"/>
    <w:qFormat/>
    <w:rsid w:val="004D6E5E"/>
    <w:pPr>
      <w:spacing w:after="0" w:line="240" w:lineRule="auto"/>
    </w:pPr>
  </w:style>
  <w:style w:type="paragraph" w:styleId="Quote">
    <w:name w:val="Quote"/>
    <w:basedOn w:val="Normal"/>
    <w:next w:val="Normal"/>
    <w:link w:val="QuoteChar"/>
    <w:uiPriority w:val="29"/>
    <w:qFormat/>
    <w:rsid w:val="004D6E5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D6E5E"/>
    <w:rPr>
      <w:i/>
      <w:iCs/>
      <w:color w:val="404040" w:themeColor="text1" w:themeTint="BF"/>
    </w:rPr>
  </w:style>
  <w:style w:type="paragraph" w:styleId="IntenseQuote">
    <w:name w:val="Intense Quote"/>
    <w:basedOn w:val="Normal"/>
    <w:next w:val="Normal"/>
    <w:link w:val="IntenseQuoteChar"/>
    <w:uiPriority w:val="30"/>
    <w:qFormat/>
    <w:rsid w:val="004D6E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6E5E"/>
    <w:rPr>
      <w:i/>
      <w:iCs/>
      <w:color w:val="4472C4" w:themeColor="accent1"/>
    </w:rPr>
  </w:style>
  <w:style w:type="character" w:styleId="SubtleEmphasis">
    <w:name w:val="Subtle Emphasis"/>
    <w:basedOn w:val="DefaultParagraphFont"/>
    <w:uiPriority w:val="19"/>
    <w:qFormat/>
    <w:rsid w:val="004D6E5E"/>
    <w:rPr>
      <w:i/>
      <w:iCs/>
      <w:color w:val="404040" w:themeColor="text1" w:themeTint="BF"/>
    </w:rPr>
  </w:style>
  <w:style w:type="character" w:styleId="IntenseEmphasis">
    <w:name w:val="Intense Emphasis"/>
    <w:basedOn w:val="DefaultParagraphFont"/>
    <w:uiPriority w:val="21"/>
    <w:qFormat/>
    <w:rsid w:val="004D6E5E"/>
    <w:rPr>
      <w:i/>
      <w:iCs/>
      <w:color w:val="4472C4" w:themeColor="accent1"/>
    </w:rPr>
  </w:style>
  <w:style w:type="character" w:styleId="SubtleReference">
    <w:name w:val="Subtle Reference"/>
    <w:basedOn w:val="DefaultParagraphFont"/>
    <w:uiPriority w:val="31"/>
    <w:qFormat/>
    <w:rsid w:val="004D6E5E"/>
    <w:rPr>
      <w:smallCaps/>
      <w:color w:val="404040" w:themeColor="text1" w:themeTint="BF"/>
    </w:rPr>
  </w:style>
  <w:style w:type="character" w:styleId="IntenseReference">
    <w:name w:val="Intense Reference"/>
    <w:basedOn w:val="DefaultParagraphFont"/>
    <w:uiPriority w:val="32"/>
    <w:qFormat/>
    <w:rsid w:val="004D6E5E"/>
    <w:rPr>
      <w:b/>
      <w:bCs/>
      <w:smallCaps/>
      <w:color w:val="4472C4" w:themeColor="accent1"/>
      <w:spacing w:val="5"/>
    </w:rPr>
  </w:style>
  <w:style w:type="character" w:styleId="BookTitle">
    <w:name w:val="Book Title"/>
    <w:basedOn w:val="DefaultParagraphFont"/>
    <w:uiPriority w:val="33"/>
    <w:qFormat/>
    <w:rsid w:val="004D6E5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8586">
      <w:bodyDiv w:val="1"/>
      <w:marLeft w:val="0"/>
      <w:marRight w:val="0"/>
      <w:marTop w:val="0"/>
      <w:marBottom w:val="0"/>
      <w:divBdr>
        <w:top w:val="none" w:sz="0" w:space="0" w:color="auto"/>
        <w:left w:val="none" w:sz="0" w:space="0" w:color="auto"/>
        <w:bottom w:val="none" w:sz="0" w:space="0" w:color="auto"/>
        <w:right w:val="none" w:sz="0" w:space="0" w:color="auto"/>
      </w:divBdr>
    </w:div>
    <w:div w:id="354960986">
      <w:bodyDiv w:val="1"/>
      <w:marLeft w:val="0"/>
      <w:marRight w:val="0"/>
      <w:marTop w:val="0"/>
      <w:marBottom w:val="0"/>
      <w:divBdr>
        <w:top w:val="none" w:sz="0" w:space="0" w:color="auto"/>
        <w:left w:val="none" w:sz="0" w:space="0" w:color="auto"/>
        <w:bottom w:val="none" w:sz="0" w:space="0" w:color="auto"/>
        <w:right w:val="none" w:sz="0" w:space="0" w:color="auto"/>
      </w:divBdr>
    </w:div>
    <w:div w:id="573013185">
      <w:bodyDiv w:val="1"/>
      <w:marLeft w:val="0"/>
      <w:marRight w:val="0"/>
      <w:marTop w:val="0"/>
      <w:marBottom w:val="0"/>
      <w:divBdr>
        <w:top w:val="none" w:sz="0" w:space="0" w:color="auto"/>
        <w:left w:val="none" w:sz="0" w:space="0" w:color="auto"/>
        <w:bottom w:val="none" w:sz="0" w:space="0" w:color="auto"/>
        <w:right w:val="none" w:sz="0" w:space="0" w:color="auto"/>
      </w:divBdr>
    </w:div>
    <w:div w:id="595794680">
      <w:bodyDiv w:val="1"/>
      <w:marLeft w:val="0"/>
      <w:marRight w:val="0"/>
      <w:marTop w:val="0"/>
      <w:marBottom w:val="0"/>
      <w:divBdr>
        <w:top w:val="none" w:sz="0" w:space="0" w:color="auto"/>
        <w:left w:val="none" w:sz="0" w:space="0" w:color="auto"/>
        <w:bottom w:val="none" w:sz="0" w:space="0" w:color="auto"/>
        <w:right w:val="none" w:sz="0" w:space="0" w:color="auto"/>
      </w:divBdr>
    </w:div>
    <w:div w:id="609510949">
      <w:bodyDiv w:val="1"/>
      <w:marLeft w:val="0"/>
      <w:marRight w:val="0"/>
      <w:marTop w:val="0"/>
      <w:marBottom w:val="0"/>
      <w:divBdr>
        <w:top w:val="none" w:sz="0" w:space="0" w:color="auto"/>
        <w:left w:val="none" w:sz="0" w:space="0" w:color="auto"/>
        <w:bottom w:val="none" w:sz="0" w:space="0" w:color="auto"/>
        <w:right w:val="none" w:sz="0" w:space="0" w:color="auto"/>
      </w:divBdr>
    </w:div>
    <w:div w:id="695035935">
      <w:bodyDiv w:val="1"/>
      <w:marLeft w:val="0"/>
      <w:marRight w:val="0"/>
      <w:marTop w:val="0"/>
      <w:marBottom w:val="0"/>
      <w:divBdr>
        <w:top w:val="none" w:sz="0" w:space="0" w:color="auto"/>
        <w:left w:val="none" w:sz="0" w:space="0" w:color="auto"/>
        <w:bottom w:val="none" w:sz="0" w:space="0" w:color="auto"/>
        <w:right w:val="none" w:sz="0" w:space="0" w:color="auto"/>
      </w:divBdr>
    </w:div>
    <w:div w:id="738094627">
      <w:bodyDiv w:val="1"/>
      <w:marLeft w:val="0"/>
      <w:marRight w:val="0"/>
      <w:marTop w:val="0"/>
      <w:marBottom w:val="0"/>
      <w:divBdr>
        <w:top w:val="none" w:sz="0" w:space="0" w:color="auto"/>
        <w:left w:val="none" w:sz="0" w:space="0" w:color="auto"/>
        <w:bottom w:val="none" w:sz="0" w:space="0" w:color="auto"/>
        <w:right w:val="none" w:sz="0" w:space="0" w:color="auto"/>
      </w:divBdr>
      <w:divsChild>
        <w:div w:id="1210724057">
          <w:marLeft w:val="0"/>
          <w:marRight w:val="0"/>
          <w:marTop w:val="0"/>
          <w:marBottom w:val="0"/>
          <w:divBdr>
            <w:top w:val="none" w:sz="0" w:space="0" w:color="auto"/>
            <w:left w:val="none" w:sz="0" w:space="0" w:color="auto"/>
            <w:bottom w:val="none" w:sz="0" w:space="0" w:color="auto"/>
            <w:right w:val="none" w:sz="0" w:space="0" w:color="auto"/>
          </w:divBdr>
        </w:div>
      </w:divsChild>
    </w:div>
    <w:div w:id="854225386">
      <w:bodyDiv w:val="1"/>
      <w:marLeft w:val="0"/>
      <w:marRight w:val="0"/>
      <w:marTop w:val="0"/>
      <w:marBottom w:val="0"/>
      <w:divBdr>
        <w:top w:val="none" w:sz="0" w:space="0" w:color="auto"/>
        <w:left w:val="none" w:sz="0" w:space="0" w:color="auto"/>
        <w:bottom w:val="none" w:sz="0" w:space="0" w:color="auto"/>
        <w:right w:val="none" w:sz="0" w:space="0" w:color="auto"/>
      </w:divBdr>
    </w:div>
    <w:div w:id="1060792065">
      <w:bodyDiv w:val="1"/>
      <w:marLeft w:val="0"/>
      <w:marRight w:val="0"/>
      <w:marTop w:val="0"/>
      <w:marBottom w:val="0"/>
      <w:divBdr>
        <w:top w:val="none" w:sz="0" w:space="0" w:color="auto"/>
        <w:left w:val="none" w:sz="0" w:space="0" w:color="auto"/>
        <w:bottom w:val="none" w:sz="0" w:space="0" w:color="auto"/>
        <w:right w:val="none" w:sz="0" w:space="0" w:color="auto"/>
      </w:divBdr>
    </w:div>
    <w:div w:id="1078405916">
      <w:bodyDiv w:val="1"/>
      <w:marLeft w:val="0"/>
      <w:marRight w:val="0"/>
      <w:marTop w:val="0"/>
      <w:marBottom w:val="0"/>
      <w:divBdr>
        <w:top w:val="none" w:sz="0" w:space="0" w:color="auto"/>
        <w:left w:val="none" w:sz="0" w:space="0" w:color="auto"/>
        <w:bottom w:val="none" w:sz="0" w:space="0" w:color="auto"/>
        <w:right w:val="none" w:sz="0" w:space="0" w:color="auto"/>
      </w:divBdr>
    </w:div>
    <w:div w:id="1108503649">
      <w:bodyDiv w:val="1"/>
      <w:marLeft w:val="0"/>
      <w:marRight w:val="0"/>
      <w:marTop w:val="0"/>
      <w:marBottom w:val="0"/>
      <w:divBdr>
        <w:top w:val="none" w:sz="0" w:space="0" w:color="auto"/>
        <w:left w:val="none" w:sz="0" w:space="0" w:color="auto"/>
        <w:bottom w:val="none" w:sz="0" w:space="0" w:color="auto"/>
        <w:right w:val="none" w:sz="0" w:space="0" w:color="auto"/>
      </w:divBdr>
    </w:div>
    <w:div w:id="1170952738">
      <w:bodyDiv w:val="1"/>
      <w:marLeft w:val="0"/>
      <w:marRight w:val="0"/>
      <w:marTop w:val="0"/>
      <w:marBottom w:val="0"/>
      <w:divBdr>
        <w:top w:val="none" w:sz="0" w:space="0" w:color="auto"/>
        <w:left w:val="none" w:sz="0" w:space="0" w:color="auto"/>
        <w:bottom w:val="none" w:sz="0" w:space="0" w:color="auto"/>
        <w:right w:val="none" w:sz="0" w:space="0" w:color="auto"/>
      </w:divBdr>
    </w:div>
    <w:div w:id="1312103847">
      <w:bodyDiv w:val="1"/>
      <w:marLeft w:val="0"/>
      <w:marRight w:val="0"/>
      <w:marTop w:val="0"/>
      <w:marBottom w:val="0"/>
      <w:divBdr>
        <w:top w:val="none" w:sz="0" w:space="0" w:color="auto"/>
        <w:left w:val="none" w:sz="0" w:space="0" w:color="auto"/>
        <w:bottom w:val="none" w:sz="0" w:space="0" w:color="auto"/>
        <w:right w:val="none" w:sz="0" w:space="0" w:color="auto"/>
      </w:divBdr>
    </w:div>
    <w:div w:id="1365717581">
      <w:bodyDiv w:val="1"/>
      <w:marLeft w:val="0"/>
      <w:marRight w:val="0"/>
      <w:marTop w:val="0"/>
      <w:marBottom w:val="0"/>
      <w:divBdr>
        <w:top w:val="none" w:sz="0" w:space="0" w:color="auto"/>
        <w:left w:val="none" w:sz="0" w:space="0" w:color="auto"/>
        <w:bottom w:val="none" w:sz="0" w:space="0" w:color="auto"/>
        <w:right w:val="none" w:sz="0" w:space="0" w:color="auto"/>
      </w:divBdr>
    </w:div>
    <w:div w:id="1446578372">
      <w:bodyDiv w:val="1"/>
      <w:marLeft w:val="0"/>
      <w:marRight w:val="0"/>
      <w:marTop w:val="0"/>
      <w:marBottom w:val="0"/>
      <w:divBdr>
        <w:top w:val="none" w:sz="0" w:space="0" w:color="auto"/>
        <w:left w:val="none" w:sz="0" w:space="0" w:color="auto"/>
        <w:bottom w:val="none" w:sz="0" w:space="0" w:color="auto"/>
        <w:right w:val="none" w:sz="0" w:space="0" w:color="auto"/>
      </w:divBdr>
    </w:div>
    <w:div w:id="1518692014">
      <w:bodyDiv w:val="1"/>
      <w:marLeft w:val="0"/>
      <w:marRight w:val="0"/>
      <w:marTop w:val="0"/>
      <w:marBottom w:val="0"/>
      <w:divBdr>
        <w:top w:val="none" w:sz="0" w:space="0" w:color="auto"/>
        <w:left w:val="none" w:sz="0" w:space="0" w:color="auto"/>
        <w:bottom w:val="none" w:sz="0" w:space="0" w:color="auto"/>
        <w:right w:val="none" w:sz="0" w:space="0" w:color="auto"/>
      </w:divBdr>
    </w:div>
    <w:div w:id="1790467710">
      <w:bodyDiv w:val="1"/>
      <w:marLeft w:val="0"/>
      <w:marRight w:val="0"/>
      <w:marTop w:val="0"/>
      <w:marBottom w:val="0"/>
      <w:divBdr>
        <w:top w:val="none" w:sz="0" w:space="0" w:color="auto"/>
        <w:left w:val="none" w:sz="0" w:space="0" w:color="auto"/>
        <w:bottom w:val="none" w:sz="0" w:space="0" w:color="auto"/>
        <w:right w:val="none" w:sz="0" w:space="0" w:color="auto"/>
      </w:divBdr>
    </w:div>
    <w:div w:id="1839274028">
      <w:bodyDiv w:val="1"/>
      <w:marLeft w:val="0"/>
      <w:marRight w:val="0"/>
      <w:marTop w:val="0"/>
      <w:marBottom w:val="0"/>
      <w:divBdr>
        <w:top w:val="none" w:sz="0" w:space="0" w:color="auto"/>
        <w:left w:val="none" w:sz="0" w:space="0" w:color="auto"/>
        <w:bottom w:val="none" w:sz="0" w:space="0" w:color="auto"/>
        <w:right w:val="none" w:sz="0" w:space="0" w:color="auto"/>
      </w:divBdr>
    </w:div>
    <w:div w:id="1862938727">
      <w:bodyDiv w:val="1"/>
      <w:marLeft w:val="0"/>
      <w:marRight w:val="0"/>
      <w:marTop w:val="0"/>
      <w:marBottom w:val="0"/>
      <w:divBdr>
        <w:top w:val="none" w:sz="0" w:space="0" w:color="auto"/>
        <w:left w:val="none" w:sz="0" w:space="0" w:color="auto"/>
        <w:bottom w:val="none" w:sz="0" w:space="0" w:color="auto"/>
        <w:right w:val="none" w:sz="0" w:space="0" w:color="auto"/>
      </w:divBdr>
    </w:div>
    <w:div w:id="2035956098">
      <w:bodyDiv w:val="1"/>
      <w:marLeft w:val="0"/>
      <w:marRight w:val="0"/>
      <w:marTop w:val="0"/>
      <w:marBottom w:val="0"/>
      <w:divBdr>
        <w:top w:val="none" w:sz="0" w:space="0" w:color="auto"/>
        <w:left w:val="none" w:sz="0" w:space="0" w:color="auto"/>
        <w:bottom w:val="none" w:sz="0" w:space="0" w:color="auto"/>
        <w:right w:val="none" w:sz="0" w:space="0" w:color="auto"/>
      </w:divBdr>
    </w:div>
    <w:div w:id="2113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tm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neighbourhood-enlargement.ec.europa.eu/system/files/2021-10/Montenegro%202021%20report.PDF" TargetMode="External"/><Relationship Id="rId2" Type="http://schemas.openxmlformats.org/officeDocument/2006/relationships/hyperlink" Target="file:///C:/Users/ttsisou/Desktop/MONTENEGRO/EVALUATION/EC%20Annual%20Reports/Montenegro%20Report%202020.pdf" TargetMode="External"/><Relationship Id="rId1" Type="http://schemas.openxmlformats.org/officeDocument/2006/relationships/hyperlink" Target="file:///C:/Users/ttsisou/Desktop/MONTENEGRO/EVALUATION/EC%20Annual%20Reports/Montenegro%20Report%202019.pdf" TargetMode="External"/><Relationship Id="rId4" Type="http://schemas.openxmlformats.org/officeDocument/2006/relationships/hyperlink" Target="https://neighbourhood-enlargement.ec.europa.eu/system/files/2022-10/Montenegro%20Report%20202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[Γράφημα στο Microsoft Word]Relevance!PivotTable2</c:name>
    <c:fmtId val="-1"/>
  </c:pivotSource>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Degree of satisfaction from the Strategy's correlation to the needs of the stakeholders</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r-Latn-RS"/>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flat" cmpd="sng" algn="ctr">
            <a:noFill/>
            <a:miter lim="800000"/>
          </a:ln>
          <a:effectLst>
            <a:outerShdw blurRad="57150" dist="19050" dir="5400000" algn="ctr" rotWithShape="0">
              <a:srgbClr val="000000">
                <a:alpha val="63000"/>
              </a:srgbClr>
            </a:outerShdw>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flat" cmpd="sng" algn="ctr">
            <a:noFill/>
            <a:miter lim="800000"/>
          </a:ln>
          <a:effectLst>
            <a:outerShdw blurRad="57150" dist="19050" dir="5400000" algn="ctr" rotWithShape="0">
              <a:srgbClr val="000000">
                <a:alpha val="63000"/>
              </a:srgbClr>
            </a:outerShdw>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flat" cmpd="sng" algn="ctr">
            <a:noFill/>
            <a:miter lim="800000"/>
          </a:ln>
          <a:effectLst>
            <a:outerShdw blurRad="57150" dist="19050" dir="5400000" algn="ctr" rotWithShape="0">
              <a:srgbClr val="000000">
                <a:alpha val="63000"/>
              </a:srgbClr>
            </a:outerShdw>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Relevance!$B$3</c:f>
              <c:strCache>
                <c:ptCount val="1"/>
                <c:pt idx="0">
                  <c:v>Άθροισμα</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Relevance!$A$4:$A$8</c:f>
              <c:strCache>
                <c:ptCount val="4"/>
                <c:pt idx="0">
                  <c:v>ENOUGH</c:v>
                </c:pt>
                <c:pt idx="1">
                  <c:v>VERY</c:v>
                </c:pt>
                <c:pt idx="2">
                  <c:v>FULLY</c:v>
                </c:pt>
                <c:pt idx="3">
                  <c:v>PARTLY</c:v>
                </c:pt>
              </c:strCache>
            </c:strRef>
          </c:cat>
          <c:val>
            <c:numRef>
              <c:f>Relevance!$B$4:$B$8</c:f>
              <c:numCache>
                <c:formatCode>0%</c:formatCode>
                <c:ptCount val="4"/>
                <c:pt idx="0">
                  <c:v>0.33333333333333331</c:v>
                </c:pt>
                <c:pt idx="1">
                  <c:v>0.33333333333333331</c:v>
                </c:pt>
                <c:pt idx="2">
                  <c:v>0.25</c:v>
                </c:pt>
                <c:pt idx="3">
                  <c:v>8.3333333333333329E-2</c:v>
                </c:pt>
              </c:numCache>
            </c:numRef>
          </c:val>
          <c:extLst>
            <c:ext xmlns:c16="http://schemas.microsoft.com/office/drawing/2014/chart" uri="{C3380CC4-5D6E-409C-BE32-E72D297353CC}">
              <c16:uniqueId val="{00000000-5A09-44A6-B870-BE62280FD9C0}"/>
            </c:ext>
          </c:extLst>
        </c:ser>
        <c:dLbls>
          <c:showLegendKey val="0"/>
          <c:showVal val="0"/>
          <c:showCatName val="0"/>
          <c:showSerName val="0"/>
          <c:showPercent val="0"/>
          <c:showBubbleSize val="0"/>
        </c:dLbls>
        <c:gapWidth val="182"/>
        <c:overlap val="-50"/>
        <c:axId val="1412550240"/>
        <c:axId val="1116721744"/>
      </c:barChart>
      <c:valAx>
        <c:axId val="1116721744"/>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r-Latn-RS"/>
          </a:p>
        </c:txPr>
        <c:crossAx val="1412550240"/>
        <c:crosses val="autoZero"/>
        <c:crossBetween val="between"/>
      </c:valAx>
      <c:catAx>
        <c:axId val="141255024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r-Latn-RS"/>
          </a:p>
        </c:txPr>
        <c:crossAx val="111672174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n-US" sz="1200"/>
              <a:t>strategy's IMPLEMENTATION</a:t>
            </a:r>
            <a:r>
              <a:rPr lang="en-US" sz="1200" baseline="0"/>
              <a:t> RATE - ACTIVITIES </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3"/>
          <c:order val="3"/>
          <c:tx>
            <c:strRef>
              <c:f>'[Data analysed_07-04-2023.xlsx]Activities_impl rate'!$A$7</c:f>
              <c:strCache>
                <c:ptCount val="1"/>
                <c:pt idx="0">
                  <c:v>Grand 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85C-42F0-941C-08C41D6A3A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85C-42F0-941C-08C41D6A3A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85C-42F0-941C-08C41D6A3AF4}"/>
              </c:ext>
            </c:extLst>
          </c:dPt>
          <c:dLbls>
            <c:dLbl>
              <c:idx val="0"/>
              <c:layout>
                <c:manualLayout>
                  <c:x val="-2.3273415121403716E-2"/>
                  <c:y val="0.16412381918730623"/>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5C-42F0-941C-08C41D6A3AF4}"/>
                </c:ext>
              </c:extLst>
            </c:dLbl>
            <c:dLbl>
              <c:idx val="1"/>
              <c:layout>
                <c:manualLayout>
                  <c:x val="1.8066527930901762E-3"/>
                  <c:y val="0.27943015081785527"/>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spc="0" baseline="0">
                      <a:solidFill>
                        <a:schemeClr val="accent2"/>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layout>
                    <c:manualLayout>
                      <c:w val="0.21777000097210067"/>
                      <c:h val="0.15988511681941397"/>
                    </c:manualLayout>
                  </c15:layout>
                </c:ext>
                <c:ext xmlns:c16="http://schemas.microsoft.com/office/drawing/2014/chart" uri="{C3380CC4-5D6E-409C-BE32-E72D297353CC}">
                  <c16:uniqueId val="{00000003-985C-42F0-941C-08C41D6A3AF4}"/>
                </c:ext>
              </c:extLst>
            </c:dLbl>
            <c:dLbl>
              <c:idx val="2"/>
              <c:layout>
                <c:manualLayout>
                  <c:x val="-0.14473602150186901"/>
                  <c:y val="3.0247126676883904E-3"/>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3"/>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5C-42F0-941C-08C41D6A3AF4}"/>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accent4"/>
                    </a:solidFill>
                    <a:latin typeface="+mn-lt"/>
                    <a:ea typeface="+mn-ea"/>
                    <a:cs typeface="+mn-cs"/>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analysed_07-04-2023.xlsx]Activities_impl rate'!$B$3:$D$3</c:f>
              <c:strCache>
                <c:ptCount val="3"/>
                <c:pt idx="0">
                  <c:v>Activities completed</c:v>
                </c:pt>
                <c:pt idx="1">
                  <c:v>Activities partially implemeted</c:v>
                </c:pt>
                <c:pt idx="2">
                  <c:v>Activities not implemented</c:v>
                </c:pt>
              </c:strCache>
            </c:strRef>
          </c:cat>
          <c:val>
            <c:numRef>
              <c:f>'[Data analysed_07-04-2023.xlsx]Activities_impl rate'!$B$7:$D$7</c:f>
              <c:numCache>
                <c:formatCode>General</c:formatCode>
                <c:ptCount val="3"/>
                <c:pt idx="0">
                  <c:v>14</c:v>
                </c:pt>
                <c:pt idx="1">
                  <c:v>2</c:v>
                </c:pt>
                <c:pt idx="2">
                  <c:v>4</c:v>
                </c:pt>
              </c:numCache>
            </c:numRef>
          </c:val>
          <c:extLst>
            <c:ext xmlns:c16="http://schemas.microsoft.com/office/drawing/2014/chart" uri="{C3380CC4-5D6E-409C-BE32-E72D297353CC}">
              <c16:uniqueId val="{00000006-985C-42F0-941C-08C41D6A3AF4}"/>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'[Data analysed_07-04-2023.xlsx]Activities_impl rate'!$A$4</c15:sqref>
                        </c15:formulaRef>
                      </c:ext>
                    </c:extLst>
                    <c:strCache>
                      <c:ptCount val="1"/>
                      <c:pt idx="0">
                        <c:v>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985C-42F0-941C-08C41D6A3A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985C-42F0-941C-08C41D6A3A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985C-42F0-941C-08C41D6A3A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8-985C-42F0-941C-08C41D6A3A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A-985C-42F0-941C-08C41D6A3AF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C-985C-42F0-941C-08C41D6A3AF4}"/>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'[Data analysed_07-04-2023.xlsx]Activities_impl rate'!$B$3:$D$3</c15:sqref>
                        </c15:formulaRef>
                      </c:ext>
                    </c:extLst>
                    <c:strCache>
                      <c:ptCount val="3"/>
                      <c:pt idx="0">
                        <c:v>Activities completed</c:v>
                      </c:pt>
                      <c:pt idx="1">
                        <c:v>Activities partially implemeted</c:v>
                      </c:pt>
                      <c:pt idx="2">
                        <c:v>Activities not implemented</c:v>
                      </c:pt>
                    </c:strCache>
                  </c:strRef>
                </c:cat>
                <c:val>
                  <c:numRef>
                    <c:extLst>
                      <c:ext uri="{02D57815-91ED-43cb-92C2-25804820EDAC}">
                        <c15:formulaRef>
                          <c15:sqref>'[Data analysed_07-04-2023.xlsx]Activities_impl rate'!$B$4:$D$4</c15:sqref>
                        </c15:formulaRef>
                      </c:ext>
                    </c:extLst>
                    <c:numCache>
                      <c:formatCode>General</c:formatCode>
                      <c:ptCount val="3"/>
                      <c:pt idx="0">
                        <c:v>2</c:v>
                      </c:pt>
                      <c:pt idx="1">
                        <c:v>1</c:v>
                      </c:pt>
                      <c:pt idx="2">
                        <c:v>2</c:v>
                      </c:pt>
                    </c:numCache>
                  </c:numRef>
                </c:val>
                <c:extLst>
                  <c:ext xmlns:c16="http://schemas.microsoft.com/office/drawing/2014/chart" uri="{C3380CC4-5D6E-409C-BE32-E72D297353CC}">
                    <c16:uniqueId val="{0000000D-985C-42F0-941C-08C41D6A3AF4}"/>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'[Data analysed_07-04-2023.xlsx]Activities_impl rate'!$A$5</c15:sqref>
                        </c15:formulaRef>
                      </c:ext>
                    </c:extLst>
                    <c:strCache>
                      <c:ptCount val="1"/>
                      <c:pt idx="0">
                        <c:v>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0F-985C-42F0-941C-08C41D6A3A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1-985C-42F0-941C-08C41D6A3A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3-985C-42F0-941C-08C41D6A3A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0F-985C-42F0-941C-08C41D6A3A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1-985C-42F0-941C-08C41D6A3AF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3-985C-42F0-941C-08C41D6A3AF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'[Data analysed_07-04-2023.xlsx]Activities_impl rate'!$B$3:$D$3</c15:sqref>
                        </c15:formulaRef>
                      </c:ext>
                    </c:extLst>
                    <c:strCache>
                      <c:ptCount val="3"/>
                      <c:pt idx="0">
                        <c:v>Activities completed</c:v>
                      </c:pt>
                      <c:pt idx="1">
                        <c:v>Activities partially implemeted</c:v>
                      </c:pt>
                      <c:pt idx="2">
                        <c:v>Activities not implemented</c:v>
                      </c:pt>
                    </c:strCache>
                  </c:strRef>
                </c:cat>
                <c:val>
                  <c:numRef>
                    <c:extLst xmlns:c15="http://schemas.microsoft.com/office/drawing/2012/chart">
                      <c:ext xmlns:c15="http://schemas.microsoft.com/office/drawing/2012/chart" uri="{02D57815-91ED-43cb-92C2-25804820EDAC}">
                        <c15:formulaRef>
                          <c15:sqref>'[Data analysed_07-04-2023.xlsx]Activities_impl rate'!$B$5:$D$5</c15:sqref>
                        </c15:formulaRef>
                      </c:ext>
                    </c:extLst>
                    <c:numCache>
                      <c:formatCode>General</c:formatCode>
                      <c:ptCount val="3"/>
                      <c:pt idx="0">
                        <c:v>9</c:v>
                      </c:pt>
                      <c:pt idx="1">
                        <c:v>0</c:v>
                      </c:pt>
                      <c:pt idx="2">
                        <c:v>2</c:v>
                      </c:pt>
                    </c:numCache>
                  </c:numRef>
                </c:val>
                <c:extLst xmlns:c15="http://schemas.microsoft.com/office/drawing/2012/chart">
                  <c:ext xmlns:c16="http://schemas.microsoft.com/office/drawing/2014/chart" uri="{C3380CC4-5D6E-409C-BE32-E72D297353CC}">
                    <c16:uniqueId val="{00000014-985C-42F0-941C-08C41D6A3AF4}"/>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'[Data analysed_07-04-2023.xlsx]Activities_impl rate'!$A$6</c15:sqref>
                        </c15:formulaRef>
                      </c:ext>
                    </c:extLst>
                    <c:strCache>
                      <c:ptCount val="1"/>
                      <c:pt idx="0">
                        <c:v>3</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6-985C-42F0-941C-08C41D6A3A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8-985C-42F0-941C-08C41D6A3A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A-985C-42F0-941C-08C41D6A3A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6-985C-42F0-941C-08C41D6A3A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8-985C-42F0-941C-08C41D6A3AF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A-985C-42F0-941C-08C41D6A3AF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'[Data analysed_07-04-2023.xlsx]Activities_impl rate'!$B$3:$D$3</c15:sqref>
                        </c15:formulaRef>
                      </c:ext>
                    </c:extLst>
                    <c:strCache>
                      <c:ptCount val="3"/>
                      <c:pt idx="0">
                        <c:v>Activities completed</c:v>
                      </c:pt>
                      <c:pt idx="1">
                        <c:v>Activities partially implemeted</c:v>
                      </c:pt>
                      <c:pt idx="2">
                        <c:v>Activities not implemented</c:v>
                      </c:pt>
                    </c:strCache>
                  </c:strRef>
                </c:cat>
                <c:val>
                  <c:numRef>
                    <c:extLst xmlns:c15="http://schemas.microsoft.com/office/drawing/2012/chart">
                      <c:ext xmlns:c15="http://schemas.microsoft.com/office/drawing/2012/chart" uri="{02D57815-91ED-43cb-92C2-25804820EDAC}">
                        <c15:formulaRef>
                          <c15:sqref>'[Data analysed_07-04-2023.xlsx]Activities_impl rate'!$B$6:$D$6</c15:sqref>
                        </c15:formulaRef>
                      </c:ext>
                    </c:extLst>
                    <c:numCache>
                      <c:formatCode>General</c:formatCode>
                      <c:ptCount val="3"/>
                      <c:pt idx="0">
                        <c:v>3</c:v>
                      </c:pt>
                      <c:pt idx="1">
                        <c:v>1</c:v>
                      </c:pt>
                      <c:pt idx="2">
                        <c:v>0</c:v>
                      </c:pt>
                    </c:numCache>
                  </c:numRef>
                </c:val>
                <c:extLst xmlns:c15="http://schemas.microsoft.com/office/drawing/2012/chart">
                  <c:ext xmlns:c16="http://schemas.microsoft.com/office/drawing/2014/chart" uri="{C3380CC4-5D6E-409C-BE32-E72D297353CC}">
                    <c16:uniqueId val="{0000001B-985C-42F0-941C-08C41D6A3AF4}"/>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1" i="0" u="none" strike="noStrike" kern="1200" cap="none" baseline="0">
                <a:solidFill>
                  <a:schemeClr val="tx1">
                    <a:lumMod val="65000"/>
                    <a:lumOff val="35000"/>
                  </a:schemeClr>
                </a:solidFill>
                <a:latin typeface="+mn-lt"/>
                <a:ea typeface="+mn-ea"/>
                <a:cs typeface="+mn-cs"/>
              </a:defRPr>
            </a:pPr>
            <a:r>
              <a:rPr lang="en-US" sz="1100" cap="none"/>
              <a:t>Operational Objective 1 - </a:t>
            </a:r>
          </a:p>
          <a:p>
            <a:pPr algn="ctr">
              <a:defRPr sz="1100" cap="none"/>
            </a:pPr>
            <a:r>
              <a:rPr lang="en-US" sz="1100" cap="none"/>
              <a:t>Establishing an adequate legal framework &amp; </a:t>
            </a:r>
          </a:p>
          <a:p>
            <a:pPr algn="ctr">
              <a:defRPr sz="1100" cap="none"/>
            </a:pPr>
            <a:r>
              <a:rPr lang="en-US" sz="1100" cap="none"/>
              <a:t>inter - institutional</a:t>
            </a:r>
            <a:r>
              <a:rPr lang="en-US" sz="1100" cap="none" baseline="0"/>
              <a:t> cooperation</a:t>
            </a:r>
            <a:endParaRPr lang="en-US" sz="1100" cap="none"/>
          </a:p>
        </c:rich>
      </c:tx>
      <c:overlay val="0"/>
      <c:spPr>
        <a:noFill/>
        <a:ln>
          <a:noFill/>
        </a:ln>
        <a:effectLst/>
      </c:spPr>
      <c:txPr>
        <a:bodyPr rot="0" spcFirstLastPara="1" vertOverflow="ellipsis" vert="horz" wrap="square" anchor="ctr" anchorCtr="1"/>
        <a:lstStyle/>
        <a:p>
          <a:pPr algn="ctr">
            <a:defRPr sz="1100" b="1" i="0" u="none" strike="noStrike" kern="1200" cap="none"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'Implementation rate'!$A$4</c:f>
              <c:strCache>
                <c:ptCount val="1"/>
                <c:pt idx="0">
                  <c:v>Operational Objective 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9E4-4717-B102-2B4B855137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9E4-4717-B102-2B4B855137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9E4-4717-B102-2B4B855137B0}"/>
              </c:ext>
            </c:extLst>
          </c:dPt>
          <c:dLbls>
            <c:dLbl>
              <c:idx val="0"/>
              <c:layout>
                <c:manualLayout>
                  <c:x val="0.10726192201768373"/>
                  <c:y val="-0.16782407407407407"/>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3F4174AD-ABBA-4DC6-8975-4FAB4E2B5AD9}" type="CATEGORYNAME">
                      <a:rPr lang="en-US" sz="800"/>
                      <a:pPr>
                        <a:defRPr sz="800"/>
                      </a:pPr>
                      <a:t>[CATEGORY NAME]</a:t>
                    </a:fld>
                    <a:r>
                      <a:rPr lang="en-US" sz="800" baseline="0"/>
                      <a:t>: 33%</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E4-4717-B102-2B4B855137B0}"/>
                </c:ext>
              </c:extLst>
            </c:dLbl>
            <c:dLbl>
              <c:idx val="1"/>
              <c:layout>
                <c:manualLayout>
                  <c:x val="0.1652413393245398"/>
                  <c:y val="-2.8935185185185078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1517DD0B-E0C9-4875-BD63-EBACC9BAD5D6}" type="CATEGORYNAME">
                      <a:rPr lang="en-US" sz="800">
                        <a:solidFill>
                          <a:schemeClr val="accent2"/>
                        </a:solidFill>
                      </a:rPr>
                      <a:pPr>
                        <a:defRPr sz="800">
                          <a:solidFill>
                            <a:schemeClr val="accent1"/>
                          </a:solidFill>
                        </a:defRPr>
                      </a:pPr>
                      <a:t>[CATEGORY NAME]</a:t>
                    </a:fld>
                    <a:r>
                      <a:rPr lang="en-US" sz="800" baseline="0">
                        <a:solidFill>
                          <a:schemeClr val="accent2"/>
                        </a:solidFill>
                      </a:rPr>
                      <a:t>: </a:t>
                    </a:r>
                    <a:fld id="{2E61D7D2-A9D3-4638-911E-0A913071CB01}" type="VALUE">
                      <a:rPr lang="en-US" sz="800" baseline="0">
                        <a:solidFill>
                          <a:schemeClr val="accent2"/>
                        </a:solidFill>
                      </a:rPr>
                      <a:pPr>
                        <a:defRPr sz="800">
                          <a:solidFill>
                            <a:schemeClr val="accent1"/>
                          </a:solidFill>
                        </a:defRPr>
                      </a:pPr>
                      <a:t>[VALUE]</a:t>
                    </a:fld>
                    <a:r>
                      <a:rPr lang="en-US" sz="800" baseline="0">
                        <a:solidFill>
                          <a:schemeClr val="accent2"/>
                        </a:solidFill>
                      </a:rPr>
                      <a:t>7%</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E4-4717-B102-2B4B855137B0}"/>
                </c:ext>
              </c:extLst>
            </c:dLbl>
            <c:dLbl>
              <c:idx val="2"/>
              <c:layout>
                <c:manualLayout>
                  <c:x val="-7.2474271633570078E-2"/>
                  <c:y val="-5.7870370370370367E-3"/>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82F1EAC6-4A12-4591-B090-FEFFB17C4852}" type="CATEGORYNAME">
                      <a:rPr lang="en-US" sz="800">
                        <a:solidFill>
                          <a:schemeClr val="bg2">
                            <a:lumMod val="50000"/>
                          </a:schemeClr>
                        </a:solidFill>
                      </a:rPr>
                      <a:pPr>
                        <a:defRPr sz="800">
                          <a:solidFill>
                            <a:schemeClr val="accent1"/>
                          </a:solidFill>
                        </a:defRPr>
                      </a:pPr>
                      <a:t>[CATEGORY NAME]</a:t>
                    </a:fld>
                    <a:r>
                      <a:rPr lang="en-US" sz="800" baseline="0">
                        <a:solidFill>
                          <a:schemeClr val="bg2">
                            <a:lumMod val="50000"/>
                          </a:schemeClr>
                        </a:solidFill>
                      </a:rPr>
                      <a:t>;</a:t>
                    </a:r>
                    <a:r>
                      <a:rPr lang="en-US" sz="800" baseline="0"/>
                      <a:t>  </a:t>
                    </a:r>
                    <a:r>
                      <a:rPr lang="en-US" sz="800" baseline="0">
                        <a:solidFill>
                          <a:srgbClr val="FF0000"/>
                        </a:solidFill>
                      </a:rPr>
                      <a:t>(</a:t>
                    </a:r>
                    <a:fld id="{A3C85A9B-9D93-4A24-BE8A-823861A96A7C}" type="PERCENTAGE">
                      <a:rPr lang="en-US" sz="800" b="1" baseline="0">
                        <a:solidFill>
                          <a:srgbClr val="FF0000"/>
                        </a:solidFill>
                      </a:rPr>
                      <a:pPr>
                        <a:defRPr sz="800">
                          <a:solidFill>
                            <a:schemeClr val="accent1"/>
                          </a:solidFill>
                        </a:defRPr>
                      </a:pPr>
                      <a:t>[PERCENTAGE]</a:t>
                    </a:fld>
                    <a:r>
                      <a:rPr lang="en-US" sz="800" b="1" baseline="0">
                        <a:solidFill>
                          <a:srgbClr val="FF0000"/>
                        </a:solidFill>
                      </a:rPr>
                      <a:t>)</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E4-4717-B102-2B4B855137B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'Implementation rate'!$B$3:$D$3</c:f>
              <c:strCache>
                <c:ptCount val="3"/>
                <c:pt idx="0">
                  <c:v>Completed</c:v>
                </c:pt>
                <c:pt idx="1">
                  <c:v>Partially implemented</c:v>
                </c:pt>
                <c:pt idx="2">
                  <c:v>Not implemented</c:v>
                </c:pt>
              </c:strCache>
            </c:strRef>
          </c:cat>
          <c:val>
            <c:numRef>
              <c:f>'Implementation rate'!$B$4:$D$4</c:f>
              <c:numCache>
                <c:formatCode>General</c:formatCode>
                <c:ptCount val="3"/>
                <c:pt idx="0">
                  <c:v>2</c:v>
                </c:pt>
                <c:pt idx="1">
                  <c:v>1</c:v>
                </c:pt>
                <c:pt idx="2">
                  <c:v>3</c:v>
                </c:pt>
              </c:numCache>
            </c:numRef>
          </c:val>
          <c:extLst>
            <c:ext xmlns:c16="http://schemas.microsoft.com/office/drawing/2014/chart" uri="{C3380CC4-5D6E-409C-BE32-E72D297353CC}">
              <c16:uniqueId val="{00000006-B9E4-4717-B102-2B4B855137B0}"/>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'Implementation rate'!$A$5</c15:sqref>
                        </c15:formulaRef>
                      </c:ext>
                    </c:extLst>
                    <c:strCache>
                      <c:ptCount val="1"/>
                      <c:pt idx="0">
                        <c:v>Operational Objective 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B9E4-4717-B102-2B4B855137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B9E4-4717-B102-2B4B855137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B9E4-4717-B102-2B4B855137B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8-B9E4-4717-B102-2B4B855137B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A-B9E4-4717-B102-2B4B855137B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C-B9E4-4717-B102-2B4B855137B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'Implementation rate'!$B$3:$D$3</c15:sqref>
                        </c15:formulaRef>
                      </c:ext>
                    </c:extLst>
                    <c:strCache>
                      <c:ptCount val="3"/>
                      <c:pt idx="0">
                        <c:v>Completed</c:v>
                      </c:pt>
                      <c:pt idx="1">
                        <c:v>Partially implemented</c:v>
                      </c:pt>
                      <c:pt idx="2">
                        <c:v>Not implemented</c:v>
                      </c:pt>
                    </c:strCache>
                  </c:strRef>
                </c:cat>
                <c:val>
                  <c:numRef>
                    <c:extLst>
                      <c:ext uri="{02D57815-91ED-43cb-92C2-25804820EDAC}">
                        <c15:formulaRef>
                          <c15:sqref>'Implementation rate'!$B$5:$D$5</c15:sqref>
                        </c15:formulaRef>
                      </c:ext>
                    </c:extLst>
                    <c:numCache>
                      <c:formatCode>General</c:formatCode>
                      <c:ptCount val="3"/>
                      <c:pt idx="0">
                        <c:v>9</c:v>
                      </c:pt>
                      <c:pt idx="2">
                        <c:v>2</c:v>
                      </c:pt>
                    </c:numCache>
                  </c:numRef>
                </c:val>
                <c:extLst>
                  <c:ext xmlns:c16="http://schemas.microsoft.com/office/drawing/2014/chart" uri="{C3380CC4-5D6E-409C-BE32-E72D297353CC}">
                    <c16:uniqueId val="{0000000D-B9E4-4717-B102-2B4B855137B0}"/>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'Implementation rate'!$A$6</c15:sqref>
                        </c15:formulaRef>
                      </c:ext>
                    </c:extLst>
                    <c:strCache>
                      <c:ptCount val="1"/>
                      <c:pt idx="0">
                        <c:v>Operational Objective 3</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0F-B9E4-4717-B102-2B4B855137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1-B9E4-4717-B102-2B4B855137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3-B9E4-4717-B102-2B4B855137B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0F-B9E4-4717-B102-2B4B855137B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1-B9E4-4717-B102-2B4B855137B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xmlns:c15="http://schemas.microsoft.com/office/drawing/2012/chart">
                      <c:ext xmlns:c16="http://schemas.microsoft.com/office/drawing/2014/chart" uri="{C3380CC4-5D6E-409C-BE32-E72D297353CC}">
                        <c16:uniqueId val="{00000013-B9E4-4717-B102-2B4B855137B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'Implementation rate'!$B$3:$D$3</c15:sqref>
                        </c15:formulaRef>
                      </c:ext>
                    </c:extLst>
                    <c:strCache>
                      <c:ptCount val="3"/>
                      <c:pt idx="0">
                        <c:v>Completed</c:v>
                      </c:pt>
                      <c:pt idx="1">
                        <c:v>Partially implemented</c:v>
                      </c:pt>
                      <c:pt idx="2">
                        <c:v>Not implemented</c:v>
                      </c:pt>
                    </c:strCache>
                  </c:strRef>
                </c:cat>
                <c:val>
                  <c:numRef>
                    <c:extLst xmlns:c15="http://schemas.microsoft.com/office/drawing/2012/chart">
                      <c:ext xmlns:c15="http://schemas.microsoft.com/office/drawing/2012/chart" uri="{02D57815-91ED-43cb-92C2-25804820EDAC}">
                        <c15:formulaRef>
                          <c15:sqref>'Implementation rate'!$B$6:$D$6</c15:sqref>
                        </c15:formulaRef>
                      </c:ext>
                    </c:extLst>
                    <c:numCache>
                      <c:formatCode>General</c:formatCode>
                      <c:ptCount val="3"/>
                      <c:pt idx="0">
                        <c:v>3</c:v>
                      </c:pt>
                      <c:pt idx="1">
                        <c:v>1</c:v>
                      </c:pt>
                    </c:numCache>
                  </c:numRef>
                </c:val>
                <c:extLst xmlns:c15="http://schemas.microsoft.com/office/drawing/2012/chart">
                  <c:ext xmlns:c16="http://schemas.microsoft.com/office/drawing/2014/chart" uri="{C3380CC4-5D6E-409C-BE32-E72D297353CC}">
                    <c16:uniqueId val="{00000014-B9E4-4717-B102-2B4B855137B0}"/>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baseline="0">
                <a:solidFill>
                  <a:schemeClr val="tx1">
                    <a:lumMod val="65000"/>
                    <a:lumOff val="35000"/>
                  </a:schemeClr>
                </a:solidFill>
                <a:latin typeface="+mn-lt"/>
                <a:ea typeface="+mn-ea"/>
                <a:cs typeface="+mn-cs"/>
              </a:defRPr>
            </a:pPr>
            <a:r>
              <a:rPr lang="en-US" sz="1100" cap="none"/>
              <a:t>Operational Objective 3 - Capacity building  within</a:t>
            </a:r>
            <a:r>
              <a:rPr lang="en-US" sz="1100" cap="none" baseline="0"/>
              <a:t> the AFCOS system</a:t>
            </a:r>
            <a:endParaRPr lang="en-US" sz="1100" cap="none"/>
          </a:p>
        </c:rich>
      </c:tx>
      <c:overlay val="0"/>
      <c:spPr>
        <a:noFill/>
        <a:ln>
          <a:noFill/>
        </a:ln>
        <a:effectLst/>
      </c:spPr>
      <c:txPr>
        <a:bodyPr rot="0" spcFirstLastPara="1" vertOverflow="ellipsis" vert="horz" wrap="square" anchor="ctr" anchorCtr="1"/>
        <a:lstStyle/>
        <a:p>
          <a:pPr>
            <a:defRPr sz="1100" b="1" i="0" u="none" strike="noStrike" kern="1200" cap="none"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2"/>
          <c:order val="2"/>
          <c:tx>
            <c:strRef>
              <c:f>'[Data analysed_07-04-2023.xlsx]Implementation rate'!$A$6</c:f>
              <c:strCache>
                <c:ptCount val="1"/>
                <c:pt idx="0">
                  <c:v>Operational Objective 3</c:v>
                </c:pt>
              </c:strCache>
              <c:extLst xmlns:c15="http://schemas.microsoft.com/office/drawing/2012/chart"/>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13F-4C6E-9847-E7FBF3E8421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13F-4C6E-9847-E7FBF3E8421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13F-4C6E-9847-E7FBF3E84213}"/>
              </c:ext>
            </c:extLst>
          </c:dPt>
          <c:dLbls>
            <c:dLbl>
              <c:idx val="0"/>
              <c:layout>
                <c:manualLayout>
                  <c:x val="8.9711241940005709E-2"/>
                  <c:y val="7.1213366201040809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31EDD367-397D-47B1-9B80-88C1097CA6C3}" type="CATEGORYNAME">
                      <a:rPr lang="en-US"/>
                      <a:pPr>
                        <a:defRPr sz="800"/>
                      </a:pPr>
                      <a:t>[CATEGORY NAME]</a:t>
                    </a:fld>
                    <a:r>
                      <a:rPr lang="en-US"/>
                      <a:t>; </a:t>
                    </a:r>
                    <a:fld id="{247F3DA7-C7D8-4252-99F8-FF21C5A48C8C}" type="PERCENTAGE">
                      <a:rPr lang="en-US"/>
                      <a:pPr>
                        <a:defRPr sz="800"/>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13F-4C6E-9847-E7FBF3E84213}"/>
                </c:ext>
              </c:extLst>
            </c:dLbl>
            <c:dLbl>
              <c:idx val="1"/>
              <c:layout>
                <c:manualLayout>
                  <c:x val="-0.112139052425007"/>
                  <c:y val="-7.1213366201040809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F3AA4DEF-48C9-4B60-82FD-BE7BC9D971B4}" type="CATEGORYNAME">
                      <a:rPr lang="en-US"/>
                      <a:pPr>
                        <a:defRPr sz="800">
                          <a:solidFill>
                            <a:schemeClr val="accent1"/>
                          </a:solidFill>
                        </a:defRPr>
                      </a:pPr>
                      <a:t>[CATEGORY NAME]</a:t>
                    </a:fld>
                    <a:r>
                      <a:rPr lang="en-US"/>
                      <a:t>; </a:t>
                    </a:r>
                    <a:fld id="{3FAAE0DF-B000-4970-A205-F6A7F78315E7}" type="PERCENTAGE">
                      <a:rPr lang="en-US"/>
                      <a:pPr>
                        <a:defRPr sz="800">
                          <a:solidFill>
                            <a:schemeClr val="accent1"/>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13F-4C6E-9847-E7FBF3E84213}"/>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5-013F-4C6E-9847-E7FBF3E8421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analysed_07-04-2023.xlsx]Implementation rate'!$B$3:$D$3</c:f>
              <c:strCache>
                <c:ptCount val="3"/>
                <c:pt idx="0">
                  <c:v>Completed</c:v>
                </c:pt>
                <c:pt idx="1">
                  <c:v>Partially implemented</c:v>
                </c:pt>
                <c:pt idx="2">
                  <c:v>Not implemented</c:v>
                </c:pt>
              </c:strCache>
              <c:extLst xmlns:c15="http://schemas.microsoft.com/office/drawing/2012/chart"/>
            </c:strRef>
          </c:cat>
          <c:val>
            <c:numRef>
              <c:f>'[Data analysed_07-04-2023.xlsx]Implementation rate'!$B$6:$D$6</c:f>
              <c:numCache>
                <c:formatCode>General</c:formatCode>
                <c:ptCount val="3"/>
                <c:pt idx="0">
                  <c:v>3</c:v>
                </c:pt>
                <c:pt idx="1">
                  <c:v>1</c:v>
                </c:pt>
              </c:numCache>
              <c:extLst xmlns:c15="http://schemas.microsoft.com/office/drawing/2012/chart"/>
            </c:numRef>
          </c:val>
          <c:extLst>
            <c:ext xmlns:c16="http://schemas.microsoft.com/office/drawing/2014/chart" uri="{C3380CC4-5D6E-409C-BE32-E72D297353CC}">
              <c16:uniqueId val="{00000006-013F-4C6E-9847-E7FBF3E84213}"/>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'[Data analysed_07-04-2023.xlsx]Implementation rate'!$A$4</c15:sqref>
                        </c15:formulaRef>
                      </c:ext>
                    </c:extLst>
                    <c:strCache>
                      <c:ptCount val="1"/>
                      <c:pt idx="0">
                        <c:v>Operational Objective 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013F-4C6E-9847-E7FBF3E8421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013F-4C6E-9847-E7FBF3E8421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013F-4C6E-9847-E7FBF3E8421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8-013F-4C6E-9847-E7FBF3E8421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A-013F-4C6E-9847-E7FBF3E8421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C-013F-4C6E-9847-E7FBF3E84213}"/>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'[Data analysed_07-04-2023.xlsx]Implementation rate'!$B$3:$D$3</c15:sqref>
                        </c15:formulaRef>
                      </c:ext>
                    </c:extLst>
                    <c:strCache>
                      <c:ptCount val="3"/>
                      <c:pt idx="0">
                        <c:v>Completed</c:v>
                      </c:pt>
                      <c:pt idx="1">
                        <c:v>Partially implemented</c:v>
                      </c:pt>
                      <c:pt idx="2">
                        <c:v>Not implemented</c:v>
                      </c:pt>
                    </c:strCache>
                  </c:strRef>
                </c:cat>
                <c:val>
                  <c:numRef>
                    <c:extLst>
                      <c:ext uri="{02D57815-91ED-43cb-92C2-25804820EDAC}">
                        <c15:formulaRef>
                          <c15:sqref>'[Data analysed_07-04-2023.xlsx]Implementation rate'!$B$4:$D$4</c15:sqref>
                        </c15:formulaRef>
                      </c:ext>
                    </c:extLst>
                    <c:numCache>
                      <c:formatCode>General</c:formatCode>
                      <c:ptCount val="3"/>
                      <c:pt idx="0">
                        <c:v>2</c:v>
                      </c:pt>
                      <c:pt idx="1">
                        <c:v>1</c:v>
                      </c:pt>
                      <c:pt idx="2">
                        <c:v>3</c:v>
                      </c:pt>
                    </c:numCache>
                  </c:numRef>
                </c:val>
                <c:extLst>
                  <c:ext xmlns:c16="http://schemas.microsoft.com/office/drawing/2014/chart" uri="{C3380CC4-5D6E-409C-BE32-E72D297353CC}">
                    <c16:uniqueId val="{0000000D-013F-4C6E-9847-E7FBF3E84213}"/>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'[Data analysed_07-04-2023.xlsx]Implementation rate'!$A$5</c15:sqref>
                        </c15:formulaRef>
                      </c:ext>
                    </c:extLst>
                    <c:strCache>
                      <c:ptCount val="1"/>
                      <c:pt idx="0">
                        <c:v>Operational Objective 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0F-013F-4C6E-9847-E7FBF3E8421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1-013F-4C6E-9847-E7FBF3E8421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5="http://schemas.microsoft.com/office/drawing/2012/chart">
                    <c:ext xmlns:c16="http://schemas.microsoft.com/office/drawing/2014/chart" uri="{C3380CC4-5D6E-409C-BE32-E72D297353CC}">
                      <c16:uniqueId val="{00000013-013F-4C6E-9847-E7FBF3E8421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0F-013F-4C6E-9847-E7FBF3E8421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1-013F-4C6E-9847-E7FBF3E8421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1"/>
                    <c:showCatName val="0"/>
                    <c:showSerName val="0"/>
                    <c:showPercent val="0"/>
                    <c:showBubbleSize val="0"/>
                    <c:extLst xmlns:c15="http://schemas.microsoft.com/office/drawing/2012/chart">
                      <c:ext xmlns:c16="http://schemas.microsoft.com/office/drawing/2014/chart" uri="{C3380CC4-5D6E-409C-BE32-E72D297353CC}">
                        <c16:uniqueId val="{00000013-013F-4C6E-9847-E7FBF3E84213}"/>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'[Data analysed_07-04-2023.xlsx]Implementation rate'!$B$3:$D$3</c15:sqref>
                        </c15:formulaRef>
                      </c:ext>
                    </c:extLst>
                    <c:strCache>
                      <c:ptCount val="3"/>
                      <c:pt idx="0">
                        <c:v>Completed</c:v>
                      </c:pt>
                      <c:pt idx="1">
                        <c:v>Partially implemented</c:v>
                      </c:pt>
                      <c:pt idx="2">
                        <c:v>Not implemented</c:v>
                      </c:pt>
                    </c:strCache>
                  </c:strRef>
                </c:cat>
                <c:val>
                  <c:numRef>
                    <c:extLst xmlns:c15="http://schemas.microsoft.com/office/drawing/2012/chart">
                      <c:ext xmlns:c15="http://schemas.microsoft.com/office/drawing/2012/chart" uri="{02D57815-91ED-43cb-92C2-25804820EDAC}">
                        <c15:formulaRef>
                          <c15:sqref>'[Data analysed_07-04-2023.xlsx]Implementation rate'!$B$5:$D$5</c15:sqref>
                        </c15:formulaRef>
                      </c:ext>
                    </c:extLst>
                    <c:numCache>
                      <c:formatCode>General</c:formatCode>
                      <c:ptCount val="3"/>
                      <c:pt idx="0">
                        <c:v>9</c:v>
                      </c:pt>
                      <c:pt idx="2">
                        <c:v>2</c:v>
                      </c:pt>
                    </c:numCache>
                  </c:numRef>
                </c:val>
                <c:extLst xmlns:c15="http://schemas.microsoft.com/office/drawing/2012/chart">
                  <c:ext xmlns:c16="http://schemas.microsoft.com/office/drawing/2014/chart" uri="{C3380CC4-5D6E-409C-BE32-E72D297353CC}">
                    <c16:uniqueId val="{00000014-013F-4C6E-9847-E7FBF3E84213}"/>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[Questionnaires data.xlsx]Cooperation with AFCOS Office!PivotTable4</c:name>
    <c:fmtId val="-1"/>
  </c:pivotSource>
  <c:chart>
    <c:title>
      <c:tx>
        <c:rich>
          <a:bodyPr rot="0" spcFirstLastPara="1" vertOverflow="ellipsis" vert="horz" wrap="square" anchor="ctr" anchorCtr="1"/>
          <a:lstStyle/>
          <a:p>
            <a:pPr>
              <a:defRPr sz="105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50"/>
              <a:t>Satisfaction level from the cooperation with the AFCOS Office</a:t>
            </a:r>
          </a:p>
        </c:rich>
      </c:tx>
      <c:overlay val="0"/>
      <c:spPr>
        <a:noFill/>
        <a:ln>
          <a:noFill/>
        </a:ln>
        <a:effectLst/>
      </c:spPr>
      <c:txPr>
        <a:bodyPr rot="0" spcFirstLastPara="1" vertOverflow="ellipsis" vert="horz" wrap="square" anchor="ctr" anchorCtr="1"/>
        <a:lstStyle/>
        <a:p>
          <a:pPr>
            <a:defRPr sz="105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'Cooperation with AFCOS Office'!$B$3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'Cooperation with AFCOS Office'!$A$4:$A$9</c:f>
              <c:strCache>
                <c:ptCount val="5"/>
                <c:pt idx="0">
                  <c:v>FULLY</c:v>
                </c:pt>
                <c:pt idx="1">
                  <c:v>VERY</c:v>
                </c:pt>
                <c:pt idx="2">
                  <c:v>ENOUGH</c:v>
                </c:pt>
                <c:pt idx="3">
                  <c:v>N/A</c:v>
                </c:pt>
                <c:pt idx="4">
                  <c:v>PARTLY</c:v>
                </c:pt>
              </c:strCache>
            </c:strRef>
          </c:cat>
          <c:val>
            <c:numRef>
              <c:f>'Cooperation with AFCOS Office'!$B$4:$B$9</c:f>
              <c:numCache>
                <c:formatCode>0%</c:formatCode>
                <c:ptCount val="5"/>
                <c:pt idx="0">
                  <c:v>0.5</c:v>
                </c:pt>
                <c:pt idx="1">
                  <c:v>0.16666666666666666</c:v>
                </c:pt>
                <c:pt idx="2">
                  <c:v>0.16666666666666666</c:v>
                </c:pt>
                <c:pt idx="3">
                  <c:v>8.3333333333333329E-2</c:v>
                </c:pt>
                <c:pt idx="4">
                  <c:v>8.3333333333333329E-2</c:v>
                </c:pt>
              </c:numCache>
            </c:numRef>
          </c:val>
          <c:extLst>
            <c:ext xmlns:c16="http://schemas.microsoft.com/office/drawing/2014/chart" uri="{C3380CC4-5D6E-409C-BE32-E72D297353CC}">
              <c16:uniqueId val="{00000000-05EB-4C06-B79E-8C2456D40627}"/>
            </c:ext>
          </c:extLst>
        </c:ser>
        <c:dLbls>
          <c:showLegendKey val="0"/>
          <c:showVal val="0"/>
          <c:showCatName val="0"/>
          <c:showSerName val="0"/>
          <c:showPercent val="0"/>
          <c:showBubbleSize val="0"/>
        </c:dLbls>
        <c:gapWidth val="100"/>
        <c:overlap val="-24"/>
        <c:axId val="1390099824"/>
        <c:axId val="1067550576"/>
      </c:barChart>
      <c:catAx>
        <c:axId val="13900998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700" b="1" i="0" u="none" strike="noStrike" kern="1200" baseline="0">
                <a:solidFill>
                  <a:schemeClr val="lt1">
                    <a:lumMod val="85000"/>
                  </a:schemeClr>
                </a:solidFill>
                <a:latin typeface="+mn-lt"/>
                <a:ea typeface="+mn-ea"/>
                <a:cs typeface="+mn-cs"/>
              </a:defRPr>
            </a:pPr>
            <a:endParaRPr lang="sr-Latn-RS"/>
          </a:p>
        </c:txPr>
        <c:crossAx val="1067550576"/>
        <c:crosses val="autoZero"/>
        <c:auto val="1"/>
        <c:lblAlgn val="ctr"/>
        <c:lblOffset val="100"/>
        <c:noMultiLvlLbl val="0"/>
      </c:catAx>
      <c:valAx>
        <c:axId val="106755057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lt1">
                    <a:lumMod val="85000"/>
                  </a:schemeClr>
                </a:solidFill>
                <a:latin typeface="+mn-lt"/>
                <a:ea typeface="+mn-ea"/>
                <a:cs typeface="+mn-cs"/>
              </a:defRPr>
            </a:pPr>
            <a:endParaRPr lang="sr-Latn-RS"/>
          </a:p>
        </c:txPr>
        <c:crossAx val="1390099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1D45-D9B7-40D9-88F9-0EBE0EC8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44</Pages>
  <Words>14774</Words>
  <Characters>84212</Characters>
  <Application>Microsoft Office Word</Application>
  <DocSecurity>0</DocSecurity>
  <Lines>701</Lines>
  <Paragraphs>197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mfysekidpi@yahoo.com</dc:creator>
  <cp:keywords/>
  <dc:description/>
  <cp:lastModifiedBy>Natasa Kovacevic</cp:lastModifiedBy>
  <cp:revision>267</cp:revision>
  <cp:lastPrinted>2023-05-02T12:21:00Z</cp:lastPrinted>
  <dcterms:created xsi:type="dcterms:W3CDTF">2023-05-09T08:30:00Z</dcterms:created>
  <dcterms:modified xsi:type="dcterms:W3CDTF">2023-06-01T08:39:00Z</dcterms:modified>
</cp:coreProperties>
</file>