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70B8">
      <w:pPr>
        <w:pStyle w:val="1tekst"/>
      </w:pPr>
      <w:bookmarkStart w:id="0" w:name="_GoBack"/>
      <w:bookmarkEnd w:id="0"/>
      <w:r>
        <w:t>Na osnovu člana 12 stav 3 Uredbe o Vladi Crne Gore ("Službeni list CG", br. 80/08, 14/17 i 28/18), Vlada Crne Gore, na sjednici od 22. aprila 2021. godine, donijela je</w:t>
      </w:r>
    </w:p>
    <w:p w:rsidR="00000000" w:rsidRDefault="00A670B8">
      <w:pPr>
        <w:pStyle w:val="2zakon"/>
      </w:pPr>
      <w:r>
        <w:t xml:space="preserve">Odluku o obrazovanju Komisije za praćenje postupanja nadležnih organa u istragama </w:t>
      </w:r>
      <w:r>
        <w:t>slučajeva prijetnji i nasilja nad novinarima, ubistava novinara i napada na imovinu medija</w:t>
      </w:r>
    </w:p>
    <w:p w:rsidR="00000000" w:rsidRDefault="00A670B8">
      <w:pPr>
        <w:pStyle w:val="3mesto"/>
      </w:pPr>
      <w:r>
        <w:t>Odluka je objavljena u "Službenom listu CG", br. 53/2021 od 27.5.2021. godine, a stupila je na snagu 4.6.2021.</w:t>
      </w:r>
    </w:p>
    <w:p w:rsidR="00000000" w:rsidRDefault="00A670B8">
      <w:pPr>
        <w:pStyle w:val="4clan"/>
      </w:pPr>
      <w:r>
        <w:t>Član 1</w:t>
      </w:r>
    </w:p>
    <w:p w:rsidR="00000000" w:rsidRDefault="00A670B8">
      <w:pPr>
        <w:pStyle w:val="1tekst"/>
      </w:pPr>
      <w:r>
        <w:t>Obrazuje se Komisija za praćenje postupanja nad</w:t>
      </w:r>
      <w:r>
        <w:t>ležnih organa u istragama slučajeva prijetnji i nasilja nad novinarima, ubistava novinara i napada na imovinu medija (u daljem tekstu: Komisija).</w:t>
      </w:r>
    </w:p>
    <w:p w:rsidR="00000000" w:rsidRDefault="00A670B8">
      <w:pPr>
        <w:pStyle w:val="4clan"/>
      </w:pPr>
      <w:r>
        <w:t>Član 2</w:t>
      </w:r>
    </w:p>
    <w:p w:rsidR="00000000" w:rsidRDefault="00A670B8">
      <w:pPr>
        <w:pStyle w:val="1tekst"/>
      </w:pPr>
      <w:r>
        <w:t>Komisiju čine:</w:t>
      </w:r>
    </w:p>
    <w:p w:rsidR="00000000" w:rsidRDefault="00A670B8">
      <w:pPr>
        <w:pStyle w:val="1tekst"/>
      </w:pPr>
      <w:r>
        <w:t>- predsjednik Mihailo Jovović, programski direktor nezavisnog dnevnika "Vijesti”; i</w:t>
      </w:r>
    </w:p>
    <w:p w:rsidR="00000000" w:rsidRDefault="00A670B8">
      <w:pPr>
        <w:pStyle w:val="1tekst"/>
      </w:pPr>
      <w:r>
        <w:t>- čl</w:t>
      </w:r>
      <w:r>
        <w:t>anovi/ice:</w:t>
      </w:r>
    </w:p>
    <w:p w:rsidR="00000000" w:rsidRDefault="00A670B8">
      <w:pPr>
        <w:pStyle w:val="1tekst"/>
      </w:pPr>
      <w:r>
        <w:t>1) Zoran Miljanić, državni sekretar Ministarstva unutrašnjih poslova,</w:t>
      </w:r>
    </w:p>
    <w:p w:rsidR="00000000" w:rsidRDefault="00A670B8">
      <w:pPr>
        <w:pStyle w:val="1tekst"/>
      </w:pPr>
      <w:r>
        <w:t>2) Dragoljub Duško Vuković, novinar,</w:t>
      </w:r>
    </w:p>
    <w:p w:rsidR="00000000" w:rsidRDefault="00A670B8">
      <w:pPr>
        <w:pStyle w:val="1tekst"/>
      </w:pPr>
      <w:r>
        <w:t>3) Dalibor Tomović, advokat, predstavnik nevladinih organizacija,</w:t>
      </w:r>
    </w:p>
    <w:p w:rsidR="00000000" w:rsidRDefault="00A670B8">
      <w:pPr>
        <w:pStyle w:val="1tekst"/>
      </w:pPr>
      <w:r>
        <w:t>4) Dražen Živković, glavni urednik "Prve televizije”,</w:t>
      </w:r>
    </w:p>
    <w:p w:rsidR="00000000" w:rsidRDefault="00A670B8">
      <w:pPr>
        <w:pStyle w:val="1tekst"/>
      </w:pPr>
      <w:r>
        <w:t>5) Sead Sadiković,</w:t>
      </w:r>
      <w:r>
        <w:t xml:space="preserve"> novinar, predstavnik "Društva profesionalnih novinara Crne Gore”,</w:t>
      </w:r>
    </w:p>
    <w:p w:rsidR="00000000" w:rsidRDefault="00A670B8">
      <w:pPr>
        <w:pStyle w:val="1tekst"/>
      </w:pPr>
      <w:r>
        <w:t>6) Ranko Vujović, izvršni sekretar Medijskog savjeta za samoregulaciju,</w:t>
      </w:r>
    </w:p>
    <w:p w:rsidR="00000000" w:rsidRDefault="00A670B8">
      <w:pPr>
        <w:pStyle w:val="1tekst"/>
      </w:pPr>
      <w:r>
        <w:t>7) Nebojša Asanović, advokat, predstavnik dnevnog lista "Dan”,</w:t>
      </w:r>
    </w:p>
    <w:p w:rsidR="00000000" w:rsidRDefault="00A670B8">
      <w:pPr>
        <w:pStyle w:val="1tekst"/>
      </w:pPr>
      <w:r>
        <w:t>8) Predrag Nikolić, Sindikat medija Crne Gore,</w:t>
      </w:r>
    </w:p>
    <w:p w:rsidR="00000000" w:rsidRDefault="00A670B8">
      <w:pPr>
        <w:pStyle w:val="1tekst"/>
      </w:pPr>
      <w:r>
        <w:t>9) Kata</w:t>
      </w:r>
      <w:r>
        <w:t>rina Vujović, Agencija za nacionalnu bezbjednost,</w:t>
      </w:r>
    </w:p>
    <w:p w:rsidR="00000000" w:rsidRDefault="00A670B8">
      <w:pPr>
        <w:pStyle w:val="1tekst"/>
      </w:pPr>
      <w:r>
        <w:t>10) Jelena Đaletić, Vrhovno državno tužilaštvo,</w:t>
      </w:r>
    </w:p>
    <w:p w:rsidR="00000000" w:rsidRDefault="00A670B8">
      <w:pPr>
        <w:pStyle w:val="1tekst"/>
      </w:pPr>
      <w:r>
        <w:t>11) Miroslav Turković, Više državno tužilaštvo,</w:t>
      </w:r>
    </w:p>
    <w:p w:rsidR="00000000" w:rsidRDefault="00A670B8">
      <w:pPr>
        <w:pStyle w:val="1tekst"/>
      </w:pPr>
      <w:r>
        <w:t>12) Biljana Knežević, Uprava policije.</w:t>
      </w:r>
    </w:p>
    <w:p w:rsidR="00000000" w:rsidRDefault="00A670B8">
      <w:pPr>
        <w:pStyle w:val="1tekst"/>
      </w:pPr>
      <w:r>
        <w:t>Mandat Komisije je dvije godine i može biti produžen za još dvije godin</w:t>
      </w:r>
      <w:r>
        <w:t>e, ako Vlada Crne Gore ocijeni to potrebnim.</w:t>
      </w:r>
    </w:p>
    <w:p w:rsidR="00000000" w:rsidRDefault="00A670B8">
      <w:pPr>
        <w:pStyle w:val="4clan"/>
      </w:pPr>
      <w:r>
        <w:t>Član 3</w:t>
      </w:r>
    </w:p>
    <w:p w:rsidR="00000000" w:rsidRDefault="00A670B8">
      <w:pPr>
        <w:pStyle w:val="1tekst"/>
      </w:pPr>
      <w:r>
        <w:lastRenderedPageBreak/>
        <w:t>Zadaci Komisije su da:</w:t>
      </w:r>
    </w:p>
    <w:p w:rsidR="00000000" w:rsidRDefault="00A670B8">
      <w:pPr>
        <w:pStyle w:val="1tekst"/>
      </w:pPr>
      <w:r>
        <w:t>1) utvrdi plan i dinamiku prikupljanja činjenica i utvrđivanja drugih okolnosti koje su u vezi sa istragama iz člana 1 ove odluke i da u tu svrhu ostvari saradnju sa organima nadlež</w:t>
      </w:r>
      <w:r>
        <w:t>nim za vođenje tih istraga;</w:t>
      </w:r>
    </w:p>
    <w:p w:rsidR="00000000" w:rsidRDefault="00A670B8">
      <w:pPr>
        <w:pStyle w:val="1tekst"/>
      </w:pPr>
      <w:r>
        <w:t>2) na osnovu dobijenih informacija i sagledanih okolnosti u vezi sa vođenim istragama, sačini pregled dosadašnjeg toka vođenih istraga;</w:t>
      </w:r>
    </w:p>
    <w:p w:rsidR="00000000" w:rsidRDefault="00A670B8">
      <w:pPr>
        <w:pStyle w:val="1tekst"/>
      </w:pPr>
      <w:r>
        <w:t>3) pripremi mišljenje o djelotvornom načinu na koji bi se vođenje istrage moglo unaprijediti</w:t>
      </w:r>
      <w:r>
        <w:t xml:space="preserve"> i da u tu svrhu predloži konkretne mjere koje bi trebalo preduzeti.</w:t>
      </w:r>
    </w:p>
    <w:p w:rsidR="00000000" w:rsidRDefault="00A670B8">
      <w:pPr>
        <w:pStyle w:val="4clan"/>
      </w:pPr>
      <w:r>
        <w:t>Član 4</w:t>
      </w:r>
    </w:p>
    <w:p w:rsidR="00000000" w:rsidRDefault="00A670B8">
      <w:pPr>
        <w:pStyle w:val="1tekst"/>
      </w:pPr>
      <w:r>
        <w:t>Komisija može, radi efikasnijeg i djelotvornijeg ostvarivanja zadataka, obrazovati stalne ili povremene radne grupe iz svog sastava.</w:t>
      </w:r>
    </w:p>
    <w:p w:rsidR="00000000" w:rsidRDefault="00A670B8">
      <w:pPr>
        <w:pStyle w:val="1tekst"/>
      </w:pPr>
      <w:r>
        <w:t xml:space="preserve">Predsjednik Komisije može angažovati, kao </w:t>
      </w:r>
      <w:r>
        <w:t>konsultante, stručnjake i predstavnike međunarodnih organizacija iz oblasti koje su u vezi sa zadacima Komisije.</w:t>
      </w:r>
    </w:p>
    <w:p w:rsidR="00000000" w:rsidRDefault="00A670B8">
      <w:pPr>
        <w:pStyle w:val="4clan"/>
      </w:pPr>
      <w:r>
        <w:t>Član 5</w:t>
      </w:r>
    </w:p>
    <w:p w:rsidR="00000000" w:rsidRDefault="00A670B8">
      <w:pPr>
        <w:pStyle w:val="1tekst"/>
      </w:pPr>
      <w:r>
        <w:t>Komisija donosi poslovnik o radu kojim se uređuje organizacija i način rada Komisije, kao i druga pitanja od značaja za rad i ostvarivan</w:t>
      </w:r>
      <w:r>
        <w:t>je zadataka Komisije.</w:t>
      </w:r>
    </w:p>
    <w:p w:rsidR="00000000" w:rsidRDefault="00A670B8">
      <w:pPr>
        <w:pStyle w:val="1tekst"/>
      </w:pPr>
      <w:r>
        <w:t>Poslovnik iz stava 1 ovog člana donosi se većinom glasova prisutnih članova Komisije.</w:t>
      </w:r>
    </w:p>
    <w:p w:rsidR="00000000" w:rsidRDefault="00A670B8">
      <w:pPr>
        <w:pStyle w:val="4clan"/>
      </w:pPr>
      <w:r>
        <w:t>Član 6</w:t>
      </w:r>
    </w:p>
    <w:p w:rsidR="00000000" w:rsidRDefault="00A670B8">
      <w:pPr>
        <w:pStyle w:val="1tekst"/>
      </w:pPr>
      <w:r>
        <w:t>Komisija je dužna da o svom radu Vladi Crne Gore podnosi izvještaj svaka četiri mjeseca.</w:t>
      </w:r>
    </w:p>
    <w:p w:rsidR="00000000" w:rsidRDefault="00A670B8">
      <w:pPr>
        <w:pStyle w:val="4clan"/>
      </w:pPr>
      <w:r>
        <w:t>Član 7</w:t>
      </w:r>
    </w:p>
    <w:p w:rsidR="00000000" w:rsidRDefault="00A670B8">
      <w:pPr>
        <w:pStyle w:val="1tekst"/>
      </w:pPr>
      <w:r>
        <w:t>Predsjednik, članovi/ice Komisije i lica koja</w:t>
      </w:r>
      <w:r>
        <w:t xml:space="preserve"> učestvuju u njenom radu dužni su da sa podacima iz materijala koji se koriste ili nastanu u radu Komisije postupaju u skladu sa zakonom kojim se uređuje zaštita podataka o ličnosti i zakonom kojim se uređuje tajnost podataka.</w:t>
      </w:r>
    </w:p>
    <w:p w:rsidR="00000000" w:rsidRDefault="00A670B8">
      <w:pPr>
        <w:pStyle w:val="4clan"/>
      </w:pPr>
      <w:r>
        <w:t>Član 8</w:t>
      </w:r>
    </w:p>
    <w:p w:rsidR="00000000" w:rsidRDefault="00A670B8">
      <w:pPr>
        <w:pStyle w:val="1tekst"/>
      </w:pPr>
      <w:r>
        <w:t>Administrativno-tehnič</w:t>
      </w:r>
      <w:r>
        <w:t>ke poslove za potrebe Komisije vrši Ministarstvo unutrašnjih poslova, preko sekretara koga određuje ministar unutrašnjih poslova.</w:t>
      </w:r>
    </w:p>
    <w:p w:rsidR="00000000" w:rsidRDefault="00A670B8">
      <w:pPr>
        <w:pStyle w:val="4clan"/>
      </w:pPr>
      <w:r>
        <w:t>Član 9</w:t>
      </w:r>
    </w:p>
    <w:p w:rsidR="00000000" w:rsidRDefault="00A670B8">
      <w:pPr>
        <w:pStyle w:val="1tekst"/>
      </w:pPr>
      <w:r>
        <w:t>Poslovnik iz člana 5 ove odluke donijeće se u roku od 30 dana od dana stupanja na snagu ove odluke.</w:t>
      </w:r>
    </w:p>
    <w:p w:rsidR="00000000" w:rsidRDefault="00A670B8">
      <w:pPr>
        <w:pStyle w:val="4clan"/>
      </w:pPr>
      <w:r>
        <w:lastRenderedPageBreak/>
        <w:t>Član 10</w:t>
      </w:r>
    </w:p>
    <w:p w:rsidR="00000000" w:rsidRDefault="00A670B8">
      <w:pPr>
        <w:pStyle w:val="1tekst"/>
      </w:pPr>
      <w:r>
        <w:t>Danom stupa</w:t>
      </w:r>
      <w:r>
        <w:t>nja na snagu ove odluke prestaje da važi Odluka o obrazovanju Komisije za praćenje postupanja nadležnih organa u istragama slučajeva prijetnji i nasilja nad novinarima, ubistava novinara i napada na imovinu medija ("Službeni list CG", br. 88/20, 18/21 i 30</w:t>
      </w:r>
      <w:r>
        <w:t>/21).</w:t>
      </w:r>
    </w:p>
    <w:p w:rsidR="00000000" w:rsidRDefault="00A670B8">
      <w:pPr>
        <w:pStyle w:val="4clan"/>
      </w:pPr>
      <w:r>
        <w:t>Član 11</w:t>
      </w:r>
    </w:p>
    <w:p w:rsidR="00000000" w:rsidRDefault="00A670B8">
      <w:pPr>
        <w:pStyle w:val="1tekst"/>
      </w:pPr>
      <w:r>
        <w:t>Ova odluka stupa na snagu osmog dana od dana objavljivanja u "Službenom listu Crne Gore".</w:t>
      </w:r>
    </w:p>
    <w:p w:rsidR="00000000" w:rsidRDefault="00A670B8">
      <w:pPr>
        <w:pStyle w:val="1tekst"/>
      </w:pPr>
      <w:r>
        <w:t>Broj: 04-2102</w:t>
      </w:r>
    </w:p>
    <w:p w:rsidR="00000000" w:rsidRDefault="00A670B8">
      <w:pPr>
        <w:pStyle w:val="1tekst"/>
      </w:pPr>
      <w:r>
        <w:t>Podgorica, 22. aprila 2021. godine</w:t>
      </w:r>
    </w:p>
    <w:p w:rsidR="00000000" w:rsidRDefault="00A670B8">
      <w:pPr>
        <w:pStyle w:val="1tekst"/>
        <w:jc w:val="center"/>
      </w:pPr>
      <w:r>
        <w:rPr>
          <w:b/>
          <w:bCs/>
        </w:rPr>
        <w:t>Vlada Crne Gore</w:t>
      </w:r>
    </w:p>
    <w:p w:rsidR="00000000" w:rsidRDefault="00A670B8">
      <w:pPr>
        <w:pStyle w:val="1tekst"/>
        <w:jc w:val="right"/>
      </w:pPr>
      <w:r>
        <w:t>Predsjednik,</w:t>
      </w:r>
    </w:p>
    <w:p w:rsidR="00A670B8" w:rsidRDefault="00A670B8">
      <w:pPr>
        <w:pStyle w:val="1tekst"/>
        <w:jc w:val="right"/>
      </w:pPr>
      <w:r>
        <w:t xml:space="preserve">prof. dr </w:t>
      </w:r>
      <w:r>
        <w:rPr>
          <w:b/>
          <w:bCs/>
        </w:rPr>
        <w:t>Zdravko Krivokapić</w:t>
      </w:r>
      <w:r>
        <w:t>, s.r.</w:t>
      </w:r>
    </w:p>
    <w:sectPr w:rsidR="00A67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47B4"/>
    <w:rsid w:val="009947B4"/>
    <w:rsid w:val="00A6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EC43EC99-2E3C-46F7-9DAB-8C5A973E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1tekst">
    <w:name w:val="_1tekst"/>
    <w:basedOn w:val="Normal"/>
    <w:pPr>
      <w:ind w:left="150" w:right="150" w:firstLine="240"/>
      <w:jc w:val="both"/>
    </w:pPr>
    <w:rPr>
      <w:rFonts w:ascii="Tahoma" w:hAnsi="Tahoma" w:cs="Tahoma"/>
      <w:sz w:val="23"/>
      <w:szCs w:val="23"/>
    </w:rPr>
  </w:style>
  <w:style w:type="paragraph" w:customStyle="1" w:styleId="osnovnitekst">
    <w:name w:val="osnovnitekst"/>
    <w:basedOn w:val="Normal"/>
    <w:pPr>
      <w:spacing w:before="100" w:beforeAutospacing="1" w:after="100" w:afterAutospacing="1"/>
      <w:ind w:left="240" w:right="240"/>
    </w:pPr>
    <w:rPr>
      <w:rFonts w:ascii="Tahoma" w:hAnsi="Tahoma" w:cs="Tahoma"/>
      <w:b/>
      <w:bCs/>
      <w:color w:val="FF0000"/>
      <w:sz w:val="36"/>
      <w:szCs w:val="36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rFonts w:ascii="Tahoma" w:hAnsi="Tahoma" w:cs="Tahoma"/>
      <w:sz w:val="27"/>
      <w:szCs w:val="27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rFonts w:ascii="Tahoma" w:hAnsi="Tahoma" w:cs="Tahoma"/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8080"/>
      <w:sz w:val="36"/>
      <w:szCs w:val="36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rFonts w:ascii="Tahoma" w:hAnsi="Tahoma" w:cs="Tahoma"/>
      <w:color w:val="0033CC"/>
      <w:sz w:val="42"/>
      <w:szCs w:val="42"/>
    </w:rPr>
  </w:style>
  <w:style w:type="paragraph" w:customStyle="1" w:styleId="6naslov">
    <w:name w:val="_6naslov"/>
    <w:basedOn w:val="Normal"/>
    <w:pPr>
      <w:spacing w:before="60" w:after="30"/>
      <w:jc w:val="center"/>
    </w:pPr>
    <w:rPr>
      <w:rFonts w:ascii="Tahoma" w:hAnsi="Tahoma" w:cs="Tahoma"/>
      <w:sz w:val="32"/>
      <w:szCs w:val="32"/>
    </w:rPr>
  </w:style>
  <w:style w:type="paragraph" w:customStyle="1" w:styleId="5nadnaslov">
    <w:name w:val="_5nadnaslov"/>
    <w:basedOn w:val="Normal"/>
    <w:pPr>
      <w:spacing w:before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7podnas">
    <w:name w:val="_7podnas"/>
    <w:basedOn w:val="Normal"/>
    <w:pPr>
      <w:spacing w:before="60"/>
      <w:jc w:val="center"/>
    </w:pPr>
    <w:rPr>
      <w:rFonts w:ascii="Tahoma" w:hAnsi="Tahoma" w:cs="Tahoma"/>
      <w:b/>
      <w:bCs/>
      <w:sz w:val="27"/>
      <w:szCs w:val="27"/>
    </w:rPr>
  </w:style>
  <w:style w:type="paragraph" w:customStyle="1" w:styleId="8podpodnas">
    <w:name w:val="_8podpodnas"/>
    <w:basedOn w:val="Normal"/>
    <w:pPr>
      <w:spacing w:before="240" w:after="240"/>
      <w:jc w:val="center"/>
    </w:pPr>
    <w:rPr>
      <w:rFonts w:ascii="Tahoma" w:hAnsi="Tahoma" w:cs="Tahoma"/>
      <w:i/>
      <w:iCs/>
      <w:sz w:val="27"/>
      <w:szCs w:val="27"/>
    </w:rPr>
  </w:style>
  <w:style w:type="paragraph" w:customStyle="1" w:styleId="odeljak">
    <w:name w:val="odeljak"/>
    <w:basedOn w:val="Normal"/>
    <w:pPr>
      <w:spacing w:before="240" w:after="240"/>
      <w:jc w:val="center"/>
    </w:pPr>
    <w:rPr>
      <w:rFonts w:ascii="Tahoma" w:hAnsi="Tahoma" w:cs="Tahoma"/>
    </w:rPr>
  </w:style>
  <w:style w:type="paragraph" w:customStyle="1" w:styleId="3mesto">
    <w:name w:val="_3mesto"/>
    <w:basedOn w:val="Normal"/>
    <w:pPr>
      <w:spacing w:before="100" w:beforeAutospacing="1" w:after="100" w:afterAutospacing="1"/>
      <w:ind w:left="375" w:right="375"/>
      <w:jc w:val="center"/>
    </w:pPr>
    <w:rPr>
      <w:rFonts w:ascii="Tahoma" w:hAnsi="Tahoma" w:cs="Tahoma"/>
    </w:rPr>
  </w:style>
  <w:style w:type="paragraph" w:customStyle="1" w:styleId="4clan">
    <w:name w:val="_4clan"/>
    <w:basedOn w:val="Normal"/>
    <w:pPr>
      <w:spacing w:before="240" w:after="240"/>
      <w:jc w:val="center"/>
    </w:pPr>
    <w:rPr>
      <w:rFonts w:ascii="Tahoma" w:hAnsi="Tahoma" w:cs="Tahoma"/>
      <w:b/>
      <w:bCs/>
    </w:rPr>
  </w:style>
  <w:style w:type="paragraph" w:customStyle="1" w:styleId="medjclan">
    <w:name w:val="medjclan"/>
    <w:basedOn w:val="Normal"/>
    <w:pPr>
      <w:spacing w:before="240" w:after="240"/>
      <w:jc w:val="center"/>
    </w:pPr>
    <w:rPr>
      <w:rFonts w:ascii="Tahoma" w:hAnsi="Tahoma" w:cs="Tahoma"/>
      <w:b/>
      <w:bCs/>
      <w:sz w:val="29"/>
      <w:szCs w:val="29"/>
    </w:rPr>
  </w:style>
  <w:style w:type="paragraph" w:customStyle="1" w:styleId="medjtekst">
    <w:name w:val="medjtekst"/>
    <w:basedOn w:val="Normal"/>
    <w:pPr>
      <w:ind w:left="525" w:right="525" w:firstLine="240"/>
      <w:jc w:val="both"/>
    </w:pPr>
    <w:rPr>
      <w:rFonts w:ascii="Tahoma" w:hAnsi="Tahoma" w:cs="Tahoma"/>
      <w:sz w:val="27"/>
      <w:szCs w:val="27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rFonts w:ascii="Tahoma" w:hAnsi="Tahoma" w:cs="Tahoma"/>
      <w:b/>
      <w:bCs/>
      <w:i/>
      <w:iCs/>
      <w:sz w:val="36"/>
      <w:szCs w:val="36"/>
    </w:rPr>
  </w:style>
  <w:style w:type="paragraph" w:customStyle="1" w:styleId="deo">
    <w:name w:val="deo"/>
    <w:basedOn w:val="Normal"/>
    <w:pPr>
      <w:spacing w:before="240" w:after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vidi">
    <w:name w:val="vidi"/>
    <w:basedOn w:val="Normal"/>
    <w:pPr>
      <w:ind w:right="1650"/>
    </w:pPr>
    <w:rPr>
      <w:rFonts w:ascii="Tahoma" w:hAnsi="Tahoma" w:cs="Tahoma"/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Pr>
      <w:rFonts w:ascii="Tahoma" w:hAnsi="Tahoma" w:cs="Tahoma"/>
      <w:b/>
      <w:bCs/>
      <w:color w:val="800000"/>
      <w:sz w:val="20"/>
      <w:szCs w:val="20"/>
    </w:rPr>
  </w:style>
  <w:style w:type="paragraph" w:customStyle="1" w:styleId="nodis">
    <w:name w:val="nodis"/>
    <w:basedOn w:val="Normal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pPr>
      <w:ind w:left="375" w:right="375"/>
    </w:pPr>
    <w:rPr>
      <w:rFonts w:ascii="Tahoma" w:hAnsi="Tahoma" w:cs="Tahoma"/>
      <w:sz w:val="20"/>
      <w:szCs w:val="20"/>
    </w:rPr>
  </w:style>
  <w:style w:type="paragraph" w:customStyle="1" w:styleId="vlb">
    <w:name w:val="vlb"/>
    <w:basedOn w:val="Normal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pPr>
      <w:shd w:val="clear" w:color="auto" w:fill="FFFFFF"/>
      <w:spacing w:before="75"/>
      <w:ind w:right="225"/>
    </w:pPr>
    <w:rPr>
      <w:b/>
      <w:bCs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obrazovanju Komisije za praćenje postupanja nadležnih organa u istragama slučajeva prijetnji i nasilja nad novinarima, ubistava novinara i napada na imovinu medija</vt:lpstr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obrazovanju Komisije za praćenje postupanja nadležnih organa u istragama slučajeva prijetnji i nasilja nad novinarima, ubistava novinara i napada na imovinu medija</dc:title>
  <dc:subject/>
  <dc:creator>Marija Soc</dc:creator>
  <cp:keywords/>
  <dc:description/>
  <cp:lastModifiedBy>Marija Soc</cp:lastModifiedBy>
  <cp:revision>2</cp:revision>
  <dcterms:created xsi:type="dcterms:W3CDTF">2022-09-07T07:11:00Z</dcterms:created>
  <dcterms:modified xsi:type="dcterms:W3CDTF">2022-09-07T07:11:00Z</dcterms:modified>
</cp:coreProperties>
</file>