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036EC6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DDDA3" wp14:editId="107C9D65">
                <wp:simplePos x="0" y="0"/>
                <wp:positionH relativeFrom="column">
                  <wp:posOffset>1924050</wp:posOffset>
                </wp:positionH>
                <wp:positionV relativeFrom="paragraph">
                  <wp:posOffset>9525</wp:posOffset>
                </wp:positionV>
                <wp:extent cx="4000500" cy="12763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A9171D" w:rsidRDefault="00A9171D" w:rsidP="00A9171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A9171D" w:rsidRDefault="00A9171D" w:rsidP="00A9171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                                                          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DDD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1.5pt;margin-top:.75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AfhQ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" stroked="f">
                <v:textbox>
                  <w:txbxContent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A9171D" w:rsidRDefault="00A9171D" w:rsidP="00A9171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A9171D" w:rsidRDefault="00A9171D" w:rsidP="00A9171D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24"/>
                          <w:szCs w:val="24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                                                 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171D">
        <w:rPr>
          <w:noProof/>
        </w:rPr>
        <w:drawing>
          <wp:anchor distT="0" distB="0" distL="114300" distR="114300" simplePos="0" relativeHeight="251657216" behindDoc="0" locked="0" layoutInCell="1" allowOverlap="1" wp14:anchorId="2A452FFF" wp14:editId="3B4F141E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71D"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B05599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mjesec </w:t>
      </w:r>
      <w:r w:rsidR="00B05599">
        <w:rPr>
          <w:rFonts w:ascii="Arial" w:hAnsi="Arial" w:cs="Arial"/>
          <w:sz w:val="21"/>
          <w:szCs w:val="21"/>
        </w:rPr>
        <w:t>M A</w:t>
      </w:r>
      <w:r w:rsidR="00D00F3A">
        <w:rPr>
          <w:rFonts w:ascii="Arial" w:hAnsi="Arial" w:cs="Arial"/>
          <w:sz w:val="21"/>
          <w:szCs w:val="21"/>
        </w:rPr>
        <w:t xml:space="preserve"> R</w:t>
      </w:r>
      <w:r w:rsidR="00B05599">
        <w:rPr>
          <w:rFonts w:ascii="Arial" w:hAnsi="Arial" w:cs="Arial"/>
          <w:sz w:val="21"/>
          <w:szCs w:val="21"/>
        </w:rPr>
        <w:t xml:space="preserve"> T 2024</w:t>
      </w:r>
    </w:p>
    <w:p w:rsidR="00D00F3A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p w:rsidR="00D00F3A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p w:rsidR="00D00F3A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p w:rsidR="00D00F3A" w:rsidRPr="00D00F3A" w:rsidRDefault="00D00F3A" w:rsidP="00D00F3A">
      <w:pPr>
        <w:tabs>
          <w:tab w:val="left" w:pos="709"/>
        </w:tabs>
        <w:jc w:val="both"/>
        <w:rPr>
          <w:rFonts w:ascii="Arial" w:hAnsi="Arial" w:cs="Arial"/>
          <w:b/>
          <w:bCs/>
          <w:lang w:val="sl-SI"/>
        </w:rPr>
      </w:pPr>
      <w:r w:rsidRPr="00D00F3A">
        <w:rPr>
          <w:rFonts w:ascii="Arial" w:hAnsi="Arial" w:cs="Arial"/>
          <w:b/>
          <w:bCs/>
          <w:lang w:val="sl-SI"/>
        </w:rPr>
        <w:t>■ Kontrole – provjere</w:t>
      </w:r>
    </w:p>
    <w:p w:rsidR="005C2C16" w:rsidRPr="003E1DE6" w:rsidRDefault="005C2C16" w:rsidP="005C2C16">
      <w:pPr>
        <w:shd w:val="clear" w:color="auto" w:fill="FFFFFF"/>
        <w:ind w:firstLine="720"/>
        <w:jc w:val="both"/>
        <w:rPr>
          <w:rFonts w:ascii="Arial" w:hAnsi="Arial" w:cs="Arial"/>
        </w:rPr>
      </w:pPr>
    </w:p>
    <w:p w:rsidR="005C2C16" w:rsidRPr="003E1DE6" w:rsidRDefault="005C2C16" w:rsidP="005C2C16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3E1DE6">
        <w:rPr>
          <w:rFonts w:ascii="Arial" w:hAnsi="Arial" w:cs="Arial"/>
        </w:rPr>
        <w:t xml:space="preserve">Službenici Odjeljenja za unutrašnju kontrolu </w:t>
      </w:r>
      <w:r>
        <w:rPr>
          <w:rFonts w:ascii="Arial" w:hAnsi="Arial" w:cs="Arial"/>
        </w:rPr>
        <w:t>policije su tokom marta</w:t>
      </w:r>
      <w:r w:rsidRPr="003E1DE6">
        <w:rPr>
          <w:rFonts w:ascii="Arial" w:hAnsi="Arial" w:cs="Arial"/>
        </w:rPr>
        <w:t xml:space="preserve"> 2024.godine izvršili </w:t>
      </w:r>
      <w:r>
        <w:rPr>
          <w:rFonts w:ascii="Arial" w:hAnsi="Arial" w:cs="Arial"/>
        </w:rPr>
        <w:t>jednu kontrolu – provjeru</w:t>
      </w:r>
      <w:r w:rsidRPr="003E1DE6">
        <w:rPr>
          <w:rFonts w:ascii="Arial" w:hAnsi="Arial" w:cs="Arial"/>
        </w:rPr>
        <w:t xml:space="preserve"> zakonitosti postupanja policijskih službenika na osnovu operativnih i drugih saznanja o mogućim nezakonitostima i nepravilnostima u radu i postupanju policijskih službenika.</w:t>
      </w:r>
    </w:p>
    <w:p w:rsidR="005C2C16" w:rsidRPr="003E1DE6" w:rsidRDefault="005C2C16" w:rsidP="005C2C16">
      <w:pPr>
        <w:ind w:right="-57" w:firstLine="720"/>
        <w:jc w:val="both"/>
        <w:rPr>
          <w:rFonts w:ascii="Arial" w:hAnsi="Arial" w:cs="Arial"/>
          <w:iCs/>
        </w:rPr>
      </w:pPr>
      <w:r w:rsidRPr="003E1DE6">
        <w:rPr>
          <w:rFonts w:ascii="Arial" w:hAnsi="Arial" w:cs="Arial"/>
          <w:iCs/>
        </w:rPr>
        <w:t xml:space="preserve">● </w:t>
      </w:r>
      <w:r>
        <w:rPr>
          <w:rFonts w:ascii="Arial" w:hAnsi="Arial" w:cs="Arial"/>
          <w:iCs/>
        </w:rPr>
        <w:t>U postupku unutrašnje kontrole nijesu se nesporno mogle utvrditi činjenice i dokazi koji bi ukazivali na neprofesionalno i nezakonito postupanje policijskih službenika u slučajevima kojisu navedeni u anonimnom dopisu, ali je i konstatovano da su od strane neposrednog rukovodioca organizacione jedinice preduzete zakonske mjere na utvrđivanju etičnosti postupanja policijskog službenika u jednom od navedenih slučajeva navedenih u  anonimnom dopisu.</w:t>
      </w:r>
    </w:p>
    <w:p w:rsidR="00D00F3A" w:rsidRPr="005C2C16" w:rsidRDefault="00D00F3A" w:rsidP="00D00F3A">
      <w:pPr>
        <w:ind w:right="-57" w:firstLine="720"/>
        <w:jc w:val="both"/>
        <w:rPr>
          <w:rFonts w:ascii="Arial" w:hAnsi="Arial" w:cs="Arial"/>
          <w:color w:val="000000" w:themeColor="text1"/>
        </w:rPr>
      </w:pPr>
    </w:p>
    <w:p w:rsidR="005C2C16" w:rsidRPr="003E1DE6" w:rsidRDefault="00473F39" w:rsidP="005C2C16">
      <w:pPr>
        <w:shd w:val="clear" w:color="auto" w:fill="FFFFFF"/>
        <w:rPr>
          <w:rFonts w:ascii="Arial" w:hAnsi="Arial" w:cs="Arial"/>
          <w:b/>
          <w:bCs/>
        </w:rPr>
      </w:pPr>
      <w:r w:rsidRPr="00B05599">
        <w:rPr>
          <w:rFonts w:ascii="Arial" w:hAnsi="Arial" w:cs="Arial"/>
          <w:b/>
          <w:bCs/>
          <w:lang w:val="sl-SI"/>
        </w:rPr>
        <w:t>■</w:t>
      </w:r>
      <w:r w:rsidR="005C2C16" w:rsidRPr="005C2C16">
        <w:rPr>
          <w:rFonts w:ascii="Arial" w:hAnsi="Arial" w:cs="Arial"/>
          <w:b/>
          <w:bCs/>
        </w:rPr>
        <w:t xml:space="preserve"> </w:t>
      </w:r>
      <w:r w:rsidR="005C2C16" w:rsidRPr="003E1DE6">
        <w:rPr>
          <w:rFonts w:ascii="Arial" w:hAnsi="Arial" w:cs="Arial"/>
          <w:b/>
          <w:bCs/>
        </w:rPr>
        <w:t xml:space="preserve">Pritužbe – žalbe građana </w:t>
      </w:r>
    </w:p>
    <w:p w:rsidR="005C2C16" w:rsidRPr="003E1DE6" w:rsidRDefault="005C2C16" w:rsidP="005C2C16">
      <w:pPr>
        <w:ind w:firstLine="720"/>
        <w:jc w:val="both"/>
        <w:rPr>
          <w:rFonts w:ascii="Arial" w:hAnsi="Arial" w:cs="Arial"/>
        </w:rPr>
      </w:pPr>
      <w:r w:rsidRPr="003E1DE6">
        <w:rPr>
          <w:rFonts w:ascii="Arial" w:hAnsi="Arial" w:cs="Arial"/>
        </w:rPr>
        <w:t>Službenici Odjeljenja za unutrašnju kon</w:t>
      </w:r>
      <w:r>
        <w:rPr>
          <w:rFonts w:ascii="Arial" w:hAnsi="Arial" w:cs="Arial"/>
        </w:rPr>
        <w:t>trolu policije su tokom marta</w:t>
      </w:r>
      <w:r w:rsidR="00D05E53">
        <w:rPr>
          <w:rFonts w:ascii="Arial" w:hAnsi="Arial" w:cs="Arial"/>
        </w:rPr>
        <w:t xml:space="preserve"> </w:t>
      </w:r>
      <w:r w:rsidRPr="003E1DE6">
        <w:rPr>
          <w:rFonts w:ascii="Arial" w:hAnsi="Arial" w:cs="Arial"/>
        </w:rPr>
        <w:t>2024.godine, izvršili kontrolu zakonitosti postupanja policijskih službenika na osnovu sedam pritužbi na postupanje policijskih službenika.</w:t>
      </w:r>
    </w:p>
    <w:p w:rsidR="005C2C16" w:rsidRPr="003E1DE6" w:rsidRDefault="005C2C16" w:rsidP="005C2C16">
      <w:pPr>
        <w:ind w:right="-108" w:firstLine="720"/>
        <w:jc w:val="both"/>
        <w:rPr>
          <w:rFonts w:ascii="Arial" w:hAnsi="Arial" w:cs="Arial"/>
          <w:color w:val="000000" w:themeColor="text1"/>
        </w:rPr>
      </w:pPr>
      <w:r w:rsidRPr="003E1DE6">
        <w:rPr>
          <w:rFonts w:ascii="Arial" w:hAnsi="Arial" w:cs="Arial"/>
        </w:rPr>
        <w:t xml:space="preserve">Pritužbe su se sadržinski odnosile na </w:t>
      </w:r>
      <w:r w:rsidRPr="003E1DE6">
        <w:rPr>
          <w:rFonts w:ascii="Arial" w:hAnsi="Arial" w:cs="Arial"/>
          <w:color w:val="000000" w:themeColor="text1"/>
        </w:rPr>
        <w:t>način vršenja policijskih poslova i primjene policijskih ovlašćenja.</w:t>
      </w:r>
    </w:p>
    <w:p w:rsidR="005C2C16" w:rsidRPr="00F11298" w:rsidRDefault="005C2C16" w:rsidP="00D05E53">
      <w:pPr>
        <w:jc w:val="both"/>
        <w:rPr>
          <w:rFonts w:ascii="Arial" w:hAnsi="Arial" w:cs="Arial"/>
          <w:color w:val="000000" w:themeColor="text1"/>
        </w:rPr>
      </w:pPr>
      <w:r w:rsidRPr="003E1DE6">
        <w:rPr>
          <w:rFonts w:ascii="Arial" w:hAnsi="Arial" w:cs="Arial"/>
        </w:rPr>
        <w:t>►</w:t>
      </w:r>
      <w:r w:rsidRPr="00F11298">
        <w:rPr>
          <w:rFonts w:ascii="Arial" w:hAnsi="Arial" w:cs="Arial"/>
          <w:bCs/>
          <w:color w:val="000000"/>
        </w:rPr>
        <w:t>Na osnovu činjenica i dokaza utvrđenih u postupku unutrašnje kontrole u tri slučaja pritužbi konstatovani su izvjesni propusti u radu policijskih službenika usljed čega je Odjeljenje za unutrašnju kontrolu</w:t>
      </w:r>
      <w:r>
        <w:rPr>
          <w:rFonts w:ascii="Arial" w:hAnsi="Arial" w:cs="Arial"/>
          <w:bCs/>
          <w:color w:val="000000"/>
        </w:rPr>
        <w:t xml:space="preserve"> policije</w:t>
      </w:r>
      <w:r w:rsidRPr="00F11298">
        <w:rPr>
          <w:rFonts w:ascii="Arial" w:hAnsi="Arial" w:cs="Arial"/>
          <w:bCs/>
          <w:color w:val="000000"/>
        </w:rPr>
        <w:t>:</w:t>
      </w:r>
    </w:p>
    <w:p w:rsidR="005C2C16" w:rsidRPr="00F11298" w:rsidRDefault="005C2C16" w:rsidP="005C2C16">
      <w:pPr>
        <w:pStyle w:val="ListParagraph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C2C16" w:rsidRPr="009E7B14" w:rsidRDefault="005C2C16" w:rsidP="005C2C16">
      <w:pPr>
        <w:pStyle w:val="ListParagraph"/>
        <w:keepNext/>
        <w:numPr>
          <w:ilvl w:val="0"/>
          <w:numId w:val="2"/>
        </w:numPr>
        <w:ind w:right="-57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F11298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 u jednom slučaju,</w:t>
      </w:r>
      <w:r w:rsidR="00D05E5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11298">
        <w:rPr>
          <w:rFonts w:ascii="Arial" w:hAnsi="Arial" w:cs="Arial"/>
          <w:color w:val="000000" w:themeColor="text1"/>
          <w:sz w:val="22"/>
          <w:szCs w:val="22"/>
        </w:rPr>
        <w:t>Izvještaj sa spisima predmetasačinjenim u postupk</w:t>
      </w:r>
      <w:r>
        <w:rPr>
          <w:rFonts w:ascii="Arial" w:hAnsi="Arial" w:cs="Arial"/>
          <w:color w:val="000000" w:themeColor="text1"/>
          <w:sz w:val="22"/>
          <w:szCs w:val="22"/>
        </w:rPr>
        <w:t>u unutrašnje kontrole dostavilo</w:t>
      </w:r>
      <w:r w:rsidRPr="00F11298">
        <w:rPr>
          <w:rFonts w:ascii="Arial" w:hAnsi="Arial" w:cs="Arial"/>
          <w:color w:val="000000" w:themeColor="text1"/>
          <w:sz w:val="22"/>
          <w:szCs w:val="22"/>
        </w:rPr>
        <w:t xml:space="preserve"> direktoru Uprave policije na dalju nadležnost jer je konstatovano  da postoji osnovana sumnja da je policijski službenik Odjeljenja bezbjednosti Rožaje  počinio težu povredu službene dužnosti iz člana 173 stav 1 tačka 24 Zakona o unutrašnjim poslovima (nesačinjavanje ili neblagovremeno ili nepotpuno sačinjavanje službenog dokumenta o preduzimanju službene radnje ili p</w:t>
      </w:r>
      <w:r>
        <w:rPr>
          <w:rFonts w:ascii="Arial" w:hAnsi="Arial" w:cs="Arial"/>
          <w:color w:val="000000" w:themeColor="text1"/>
          <w:sz w:val="22"/>
          <w:szCs w:val="22"/>
        </w:rPr>
        <w:t>rimjeni policisjkog ovlašćenja);</w:t>
      </w:r>
    </w:p>
    <w:p w:rsidR="005C2C16" w:rsidRPr="009E7B14" w:rsidRDefault="005C2C16" w:rsidP="005C2C16">
      <w:pPr>
        <w:pStyle w:val="ListParagraph"/>
        <w:keepNext/>
        <w:numPr>
          <w:ilvl w:val="0"/>
          <w:numId w:val="2"/>
        </w:numPr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9E7B14">
        <w:rPr>
          <w:rFonts w:ascii="Arial" w:hAnsi="Arial" w:cs="Arial"/>
          <w:color w:val="000000" w:themeColor="text1"/>
          <w:sz w:val="22"/>
          <w:szCs w:val="22"/>
        </w:rPr>
        <w:t>u jednom slučaju Izvještaj sa spisima sačinjenim u postupk</w:t>
      </w:r>
      <w:r>
        <w:rPr>
          <w:rFonts w:ascii="Arial" w:hAnsi="Arial" w:cs="Arial"/>
          <w:color w:val="000000" w:themeColor="text1"/>
          <w:sz w:val="22"/>
          <w:szCs w:val="22"/>
        </w:rPr>
        <w:t>u unutrašnje kontrole dostavilo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 xml:space="preserve"> je Etičkom odboru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Ministarstva unutrašnjih poslova 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 xml:space="preserve">na ocjenu etičnosti postupanja policijskog službenika Stanice granične policije Bijelo Polje 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</w:p>
    <w:p w:rsidR="005C2C16" w:rsidRPr="009E7B14" w:rsidRDefault="005C2C16" w:rsidP="005C2C16">
      <w:pPr>
        <w:pStyle w:val="ListParagraph"/>
        <w:keepNext/>
        <w:numPr>
          <w:ilvl w:val="0"/>
          <w:numId w:val="2"/>
        </w:numPr>
        <w:ind w:right="-57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9E7B14">
        <w:rPr>
          <w:rFonts w:ascii="Arial" w:hAnsi="Arial" w:cs="Arial"/>
          <w:color w:val="000000" w:themeColor="text1"/>
          <w:sz w:val="22"/>
          <w:szCs w:val="22"/>
        </w:rPr>
        <w:t>u</w:t>
      </w:r>
      <w:r w:rsidRPr="005940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>jednom</w:t>
      </w:r>
      <w:r w:rsidRPr="005940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>slu</w:t>
      </w:r>
      <w:r w:rsidRPr="0059402C">
        <w:rPr>
          <w:rFonts w:ascii="Arial" w:hAnsi="Arial" w:cs="Arial"/>
          <w:color w:val="000000" w:themeColor="text1"/>
          <w:sz w:val="22"/>
          <w:szCs w:val="22"/>
        </w:rPr>
        <w:t>č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>aju</w:t>
      </w:r>
      <w:r w:rsidRPr="005940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je</w:t>
      </w:r>
      <w:r w:rsidRPr="005940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 xml:space="preserve">na osnovu činjenica i dokaza utvrđenih u postupku unutrašnje kontrole </w:t>
      </w:r>
      <w:r>
        <w:rPr>
          <w:rFonts w:ascii="Arial" w:hAnsi="Arial" w:cs="Arial"/>
          <w:color w:val="000000" w:themeColor="text1"/>
          <w:sz w:val="22"/>
          <w:szCs w:val="22"/>
        </w:rPr>
        <w:t>utvrđeno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 xml:space="preserve"> da su od strane neposrednog rukovodioca organizacione jedinice u kojoj je raspoređen policijski službeni</w:t>
      </w:r>
      <w:r>
        <w:rPr>
          <w:rFonts w:ascii="Arial" w:hAnsi="Arial" w:cs="Arial"/>
          <w:color w:val="000000" w:themeColor="text1"/>
          <w:sz w:val="22"/>
          <w:szCs w:val="22"/>
        </w:rPr>
        <w:t>k, već preduzete zakonske mjere kada su,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 xml:space="preserve"> po nalogu Osnovnog d</w:t>
      </w:r>
      <w:r>
        <w:rPr>
          <w:rFonts w:ascii="Arial" w:hAnsi="Arial" w:cs="Arial"/>
          <w:color w:val="000000" w:themeColor="text1"/>
          <w:sz w:val="22"/>
          <w:szCs w:val="22"/>
        </w:rPr>
        <w:t>ržavnog tužioca u Bijelom Polju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 xml:space="preserve"> zbog krivičnog djela Ugrož</w:t>
      </w:r>
      <w:r>
        <w:rPr>
          <w:rFonts w:ascii="Arial" w:hAnsi="Arial" w:cs="Arial"/>
          <w:color w:val="000000" w:themeColor="text1"/>
          <w:sz w:val="22"/>
          <w:szCs w:val="22"/>
        </w:rPr>
        <w:t>avanje sigurnosti, od polici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>j</w:t>
      </w:r>
      <w:r>
        <w:rPr>
          <w:rFonts w:ascii="Arial" w:hAnsi="Arial" w:cs="Arial"/>
          <w:color w:val="000000" w:themeColor="text1"/>
          <w:sz w:val="22"/>
          <w:szCs w:val="22"/>
        </w:rPr>
        <w:t>skog službenika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 xml:space="preserve"> privremeno oduzet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 xml:space="preserve"> službeno naoružanje i oprema, dok je Izvještaj sa spisima sačinjenim u postupku unutrašnje kontrole dostavlje</w:t>
      </w:r>
      <w:r>
        <w:rPr>
          <w:rFonts w:ascii="Arial" w:hAnsi="Arial" w:cs="Arial"/>
          <w:color w:val="000000" w:themeColor="text1"/>
          <w:sz w:val="22"/>
          <w:szCs w:val="22"/>
        </w:rPr>
        <w:t>n Etičkom odboru Ministarstva unutrašnjih poslova</w:t>
      </w:r>
      <w:r w:rsidRPr="009E7B14">
        <w:rPr>
          <w:rFonts w:ascii="Arial" w:hAnsi="Arial" w:cs="Arial"/>
          <w:color w:val="000000" w:themeColor="text1"/>
          <w:sz w:val="22"/>
          <w:szCs w:val="22"/>
        </w:rPr>
        <w:t>, na ocjenu etičnosti postupanja policijskog službenika Stanice granične policije Bijelo Polje I.</w:t>
      </w:r>
    </w:p>
    <w:p w:rsidR="005C2C16" w:rsidRPr="0059402C" w:rsidRDefault="005C2C16" w:rsidP="005C2C16">
      <w:pPr>
        <w:pStyle w:val="ListParagraph"/>
        <w:keepNext/>
        <w:ind w:left="1080" w:right="-57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</w:p>
    <w:p w:rsidR="005C2C16" w:rsidRPr="0059402C" w:rsidRDefault="005C2C16" w:rsidP="005C2C16">
      <w:pPr>
        <w:spacing w:after="160" w:line="25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U</w:t>
      </w:r>
      <w:r w:rsidRPr="0059402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preostala</w:t>
      </w:r>
      <w:r w:rsidRPr="0059402C">
        <w:rPr>
          <w:rFonts w:ascii="Arial" w:hAnsi="Arial" w:cs="Arial"/>
          <w:bCs/>
          <w:color w:val="000000"/>
        </w:rPr>
        <w:t xml:space="preserve"> č</w:t>
      </w:r>
      <w:r>
        <w:rPr>
          <w:rFonts w:ascii="Arial" w:hAnsi="Arial" w:cs="Arial"/>
          <w:bCs/>
          <w:color w:val="000000"/>
        </w:rPr>
        <w:t>etiri</w:t>
      </w:r>
      <w:r w:rsidRPr="0059402C">
        <w:rPr>
          <w:rFonts w:ascii="Arial" w:hAnsi="Arial" w:cs="Arial"/>
          <w:bCs/>
          <w:color w:val="000000"/>
        </w:rPr>
        <w:t xml:space="preserve"> </w:t>
      </w:r>
      <w:r w:rsidRPr="008A7955">
        <w:rPr>
          <w:rFonts w:ascii="Arial" w:hAnsi="Arial" w:cs="Arial"/>
          <w:bCs/>
          <w:color w:val="000000"/>
        </w:rPr>
        <w:t>slu</w:t>
      </w:r>
      <w:r w:rsidRPr="0059402C">
        <w:rPr>
          <w:rFonts w:ascii="Arial" w:hAnsi="Arial" w:cs="Arial"/>
          <w:bCs/>
          <w:color w:val="000000"/>
        </w:rPr>
        <w:t>č</w:t>
      </w:r>
      <w:r w:rsidRPr="008A7955">
        <w:rPr>
          <w:rFonts w:ascii="Arial" w:hAnsi="Arial" w:cs="Arial"/>
          <w:bCs/>
          <w:color w:val="000000"/>
        </w:rPr>
        <w:t>aja</w:t>
      </w:r>
      <w:r w:rsidRPr="0059402C">
        <w:rPr>
          <w:rFonts w:ascii="Arial" w:hAnsi="Arial" w:cs="Arial"/>
          <w:bCs/>
          <w:color w:val="000000"/>
        </w:rPr>
        <w:t xml:space="preserve"> </w:t>
      </w:r>
      <w:r w:rsidRPr="008A7955">
        <w:rPr>
          <w:rFonts w:ascii="Arial" w:hAnsi="Arial" w:cs="Arial"/>
          <w:bCs/>
          <w:color w:val="000000"/>
        </w:rPr>
        <w:t>nijesu</w:t>
      </w:r>
      <w:r w:rsidRPr="0059402C">
        <w:rPr>
          <w:rFonts w:ascii="Arial" w:hAnsi="Arial" w:cs="Arial"/>
          <w:bCs/>
          <w:color w:val="000000"/>
        </w:rPr>
        <w:t xml:space="preserve"> </w:t>
      </w:r>
      <w:r w:rsidRPr="008A7955">
        <w:rPr>
          <w:rFonts w:ascii="Arial" w:hAnsi="Arial" w:cs="Arial"/>
          <w:bCs/>
          <w:color w:val="000000"/>
        </w:rPr>
        <w:t>utvr</w:t>
      </w:r>
      <w:r w:rsidRPr="0059402C">
        <w:rPr>
          <w:rFonts w:ascii="Arial" w:hAnsi="Arial" w:cs="Arial"/>
          <w:bCs/>
          <w:color w:val="000000"/>
        </w:rPr>
        <w:t>đ</w:t>
      </w:r>
      <w:r w:rsidRPr="008A7955">
        <w:rPr>
          <w:rFonts w:ascii="Arial" w:hAnsi="Arial" w:cs="Arial"/>
          <w:bCs/>
          <w:color w:val="000000"/>
        </w:rPr>
        <w:t>ene</w:t>
      </w:r>
      <w:r w:rsidRPr="0059402C">
        <w:rPr>
          <w:rFonts w:ascii="Arial" w:hAnsi="Arial" w:cs="Arial"/>
          <w:bCs/>
          <w:color w:val="000000"/>
        </w:rPr>
        <w:t xml:space="preserve"> č</w:t>
      </w:r>
      <w:r w:rsidRPr="008A7955">
        <w:rPr>
          <w:rFonts w:ascii="Arial" w:hAnsi="Arial" w:cs="Arial"/>
          <w:bCs/>
          <w:color w:val="000000"/>
        </w:rPr>
        <w:t>injenice</w:t>
      </w:r>
      <w:r w:rsidRPr="0059402C">
        <w:rPr>
          <w:rFonts w:ascii="Arial" w:hAnsi="Arial" w:cs="Arial"/>
          <w:bCs/>
          <w:color w:val="000000"/>
        </w:rPr>
        <w:t xml:space="preserve"> </w:t>
      </w:r>
      <w:r w:rsidRPr="008A7955">
        <w:rPr>
          <w:rFonts w:ascii="Arial" w:hAnsi="Arial" w:cs="Arial"/>
          <w:bCs/>
          <w:color w:val="000000"/>
        </w:rPr>
        <w:t>i</w:t>
      </w:r>
      <w:r w:rsidRPr="0059402C">
        <w:rPr>
          <w:rFonts w:ascii="Arial" w:hAnsi="Arial" w:cs="Arial"/>
          <w:bCs/>
          <w:color w:val="000000"/>
        </w:rPr>
        <w:t xml:space="preserve"> </w:t>
      </w:r>
      <w:r w:rsidRPr="008A7955">
        <w:rPr>
          <w:rFonts w:ascii="Arial" w:hAnsi="Arial" w:cs="Arial"/>
          <w:bCs/>
          <w:color w:val="000000"/>
        </w:rPr>
        <w:t>dokazi</w:t>
      </w:r>
      <w:r w:rsidRPr="0059402C">
        <w:rPr>
          <w:rFonts w:ascii="Arial" w:hAnsi="Arial" w:cs="Arial"/>
          <w:bCs/>
          <w:color w:val="000000"/>
        </w:rPr>
        <w:t xml:space="preserve"> </w:t>
      </w:r>
      <w:r w:rsidRPr="008A7955">
        <w:rPr>
          <w:rFonts w:ascii="Arial" w:hAnsi="Arial" w:cs="Arial"/>
        </w:rPr>
        <w:t>koji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bi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ukazivali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na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postojanje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elemenata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disiplinske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ili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druge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odgovornosti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u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preduzimanju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slu</w:t>
      </w:r>
      <w:r w:rsidRPr="0059402C">
        <w:rPr>
          <w:rFonts w:ascii="Arial" w:hAnsi="Arial" w:cs="Arial"/>
        </w:rPr>
        <w:t>ž</w:t>
      </w:r>
      <w:r w:rsidRPr="008A7955">
        <w:rPr>
          <w:rFonts w:ascii="Arial" w:hAnsi="Arial" w:cs="Arial"/>
        </w:rPr>
        <w:t>benih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radnji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od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strane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policijskih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slu</w:t>
      </w:r>
      <w:r w:rsidRPr="0059402C">
        <w:rPr>
          <w:rFonts w:ascii="Arial" w:hAnsi="Arial" w:cs="Arial"/>
        </w:rPr>
        <w:t>ž</w:t>
      </w:r>
      <w:r w:rsidRPr="008A7955">
        <w:rPr>
          <w:rFonts w:ascii="Arial" w:hAnsi="Arial" w:cs="Arial"/>
        </w:rPr>
        <w:t>benika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u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predmetnim</w:t>
      </w:r>
      <w:r w:rsidRPr="0059402C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slu</w:t>
      </w:r>
      <w:r w:rsidRPr="0059402C">
        <w:rPr>
          <w:rFonts w:ascii="Arial" w:hAnsi="Arial" w:cs="Arial"/>
        </w:rPr>
        <w:t>č</w:t>
      </w:r>
      <w:r w:rsidRPr="008A7955">
        <w:rPr>
          <w:rFonts w:ascii="Arial" w:hAnsi="Arial" w:cs="Arial"/>
        </w:rPr>
        <w:t>ajevima</w:t>
      </w:r>
      <w:r w:rsidRPr="0059402C">
        <w:rPr>
          <w:rFonts w:ascii="Arial" w:hAnsi="Arial" w:cs="Arial"/>
        </w:rPr>
        <w:t>.</w:t>
      </w:r>
    </w:p>
    <w:p w:rsidR="005C2C16" w:rsidRPr="0059402C" w:rsidRDefault="005C2C16" w:rsidP="005C2C16">
      <w:pPr>
        <w:ind w:right="-57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</w:t>
      </w:r>
      <w:r w:rsidRPr="0059402C">
        <w:rPr>
          <w:rFonts w:ascii="Arial" w:hAnsi="Arial" w:cs="Arial"/>
        </w:rPr>
        <w:t>đ</w:t>
      </w:r>
      <w:r>
        <w:rPr>
          <w:rFonts w:ascii="Arial" w:hAnsi="Arial" w:cs="Arial"/>
        </w:rPr>
        <w:t>utim</w:t>
      </w:r>
      <w:r w:rsidRPr="005940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jednom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slu</w:t>
      </w:r>
      <w:r w:rsidRPr="0059402C">
        <w:rPr>
          <w:rFonts w:ascii="Arial" w:hAnsi="Arial" w:cs="Arial"/>
        </w:rPr>
        <w:t>č</w:t>
      </w:r>
      <w:r>
        <w:rPr>
          <w:rFonts w:ascii="Arial" w:hAnsi="Arial" w:cs="Arial"/>
        </w:rPr>
        <w:t>aju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pritu</w:t>
      </w:r>
      <w:r w:rsidRPr="0059402C">
        <w:rPr>
          <w:rFonts w:ascii="Arial" w:hAnsi="Arial" w:cs="Arial"/>
        </w:rPr>
        <w:t>ž</w:t>
      </w:r>
      <w:r>
        <w:rPr>
          <w:rFonts w:ascii="Arial" w:hAnsi="Arial" w:cs="Arial"/>
        </w:rPr>
        <w:t>be</w:t>
      </w:r>
      <w:r w:rsidRPr="005940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pored</w:t>
      </w:r>
      <w:r w:rsidRPr="0059402C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injenice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postupku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unutra</w:t>
      </w:r>
      <w:r w:rsidRPr="0059402C">
        <w:rPr>
          <w:rFonts w:ascii="Arial" w:hAnsi="Arial" w:cs="Arial"/>
        </w:rPr>
        <w:t>š</w:t>
      </w:r>
      <w:r>
        <w:rPr>
          <w:rFonts w:ascii="Arial" w:hAnsi="Arial" w:cs="Arial"/>
        </w:rPr>
        <w:t>nje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kontrole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nijesu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mogle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utvrditi</w:t>
      </w:r>
      <w:r w:rsidRPr="0059402C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injenice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dokazi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eventualnom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nezakonitom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postupanju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policijskog</w:t>
      </w:r>
      <w:r w:rsidRPr="0059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slu</w:t>
      </w:r>
      <w:r w:rsidRPr="0059402C">
        <w:rPr>
          <w:rFonts w:ascii="Arial" w:hAnsi="Arial" w:cs="Arial"/>
        </w:rPr>
        <w:t>ž</w:t>
      </w:r>
      <w:r>
        <w:rPr>
          <w:rFonts w:ascii="Arial" w:hAnsi="Arial" w:cs="Arial"/>
        </w:rPr>
        <w:t>benika</w:t>
      </w:r>
      <w:r w:rsidRPr="0059402C">
        <w:rPr>
          <w:rFonts w:ascii="Arial" w:hAnsi="Arial" w:cs="Arial"/>
        </w:rPr>
        <w:t xml:space="preserve">  - </w:t>
      </w:r>
      <w:r w:rsidRPr="00A07D47">
        <w:rPr>
          <w:rFonts w:ascii="Arial" w:hAnsi="Arial" w:cs="Arial"/>
          <w:color w:val="000000" w:themeColor="text1"/>
        </w:rPr>
        <w:t>Izvještaj sa spisima predmeta dostavljen je ODT – u Podgorici, na dalji postupak i odlučivanje da li u radnjama i postupanju policijskog službenika ima elemenata KD  Zloupotreba službe</w:t>
      </w:r>
      <w:r>
        <w:rPr>
          <w:rFonts w:ascii="Arial" w:hAnsi="Arial" w:cs="Arial"/>
          <w:color w:val="000000" w:themeColor="text1"/>
        </w:rPr>
        <w:t>n</w:t>
      </w:r>
      <w:r w:rsidRPr="00A07D47">
        <w:rPr>
          <w:rFonts w:ascii="Arial" w:hAnsi="Arial" w:cs="Arial"/>
          <w:color w:val="000000" w:themeColor="text1"/>
        </w:rPr>
        <w:t>og položaja iz  člana 416 KZ CG</w:t>
      </w:r>
      <w:r>
        <w:rPr>
          <w:rFonts w:ascii="Arial" w:hAnsi="Arial" w:cs="Arial"/>
          <w:color w:val="000000" w:themeColor="text1"/>
        </w:rPr>
        <w:t>.</w:t>
      </w:r>
    </w:p>
    <w:p w:rsidR="005C2C16" w:rsidRPr="0059402C" w:rsidRDefault="005C2C16" w:rsidP="005C2C16">
      <w:pPr>
        <w:jc w:val="both"/>
        <w:rPr>
          <w:rFonts w:ascii="Arial" w:hAnsi="Arial" w:cs="Arial"/>
          <w:iCs/>
        </w:rPr>
      </w:pPr>
      <w:r w:rsidRPr="0059402C">
        <w:rPr>
          <w:rFonts w:ascii="Arial" w:hAnsi="Arial" w:cs="Arial"/>
          <w:iCs/>
        </w:rPr>
        <w:tab/>
      </w:r>
    </w:p>
    <w:p w:rsidR="005C2C16" w:rsidRPr="0059402C" w:rsidRDefault="005C2C16" w:rsidP="005C2C16">
      <w:pPr>
        <w:jc w:val="both"/>
        <w:rPr>
          <w:rFonts w:ascii="Arial" w:hAnsi="Arial" w:cs="Arial"/>
          <w:iCs/>
        </w:rPr>
      </w:pPr>
    </w:p>
    <w:p w:rsidR="00473F39" w:rsidRPr="005C2C16" w:rsidRDefault="00473F39" w:rsidP="005C2C16">
      <w:pPr>
        <w:shd w:val="clear" w:color="auto" w:fill="FFFFFF"/>
        <w:rPr>
          <w:rFonts w:ascii="Arial" w:hAnsi="Arial" w:cs="Arial"/>
          <w:iCs/>
        </w:rPr>
      </w:pPr>
    </w:p>
    <w:sectPr w:rsidR="00473F39" w:rsidRPr="005C2C16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1D"/>
    <w:rsid w:val="00036EC6"/>
    <w:rsid w:val="000C5B7C"/>
    <w:rsid w:val="000E28A9"/>
    <w:rsid w:val="00180EDA"/>
    <w:rsid w:val="00310D26"/>
    <w:rsid w:val="00402B16"/>
    <w:rsid w:val="00473F39"/>
    <w:rsid w:val="004C4FE8"/>
    <w:rsid w:val="005C2C16"/>
    <w:rsid w:val="00665D39"/>
    <w:rsid w:val="00A9171D"/>
    <w:rsid w:val="00B05599"/>
    <w:rsid w:val="00D00F3A"/>
    <w:rsid w:val="00D05E53"/>
    <w:rsid w:val="00E074DA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063334D-E8BD-4C9C-8853-A19BD2DC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</cp:lastModifiedBy>
  <cp:revision>3</cp:revision>
  <dcterms:created xsi:type="dcterms:W3CDTF">2024-07-16T09:37:00Z</dcterms:created>
  <dcterms:modified xsi:type="dcterms:W3CDTF">2024-07-16T09:41:00Z</dcterms:modified>
</cp:coreProperties>
</file>