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0B" w:rsidRPr="00DC4AD1" w:rsidRDefault="007B41C4" w:rsidP="00D61692">
      <w:pPr>
        <w:spacing w:after="0" w:line="240" w:lineRule="auto"/>
        <w:jc w:val="center"/>
        <w:rPr>
          <w:rFonts w:ascii="Cambria" w:hAnsi="Cambria" w:cs="Cambria"/>
          <w:b/>
          <w:bCs/>
          <w:noProof/>
          <w:sz w:val="28"/>
          <w:szCs w:val="28"/>
        </w:rPr>
      </w:pPr>
      <w:r w:rsidRPr="00DC4AD1">
        <w:rPr>
          <w:rFonts w:ascii="Cambria" w:hAnsi="Cambria" w:cs="Cambria"/>
          <w:noProof/>
          <w:lang w:val="sr-Latn-CS" w:eastAsia="sr-Latn-CS"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0B" w:rsidRPr="00DC4AD1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DC4AD1">
        <w:rPr>
          <w:b/>
          <w:bCs/>
          <w:noProof/>
          <w:sz w:val="28"/>
          <w:szCs w:val="28"/>
        </w:rPr>
        <w:t>CRNA GORA</w:t>
      </w:r>
    </w:p>
    <w:p w:rsidR="0082570B" w:rsidRPr="00DC4AD1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DC4AD1">
        <w:rPr>
          <w:b/>
          <w:bCs/>
          <w:noProof/>
          <w:sz w:val="28"/>
          <w:szCs w:val="28"/>
        </w:rPr>
        <w:t>MINISTARSTVO FINANSIJA</w:t>
      </w:r>
    </w:p>
    <w:p w:rsidR="0082570B" w:rsidRPr="00DC4AD1" w:rsidRDefault="00DC4AD1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DC4AD1">
        <w:rPr>
          <w:b/>
          <w:bCs/>
          <w:noProof/>
          <w:sz w:val="28"/>
          <w:szCs w:val="28"/>
        </w:rPr>
        <w:t>Direktorat</w:t>
      </w:r>
      <w:r w:rsidR="0082570B" w:rsidRPr="00DC4AD1">
        <w:rPr>
          <w:b/>
          <w:bCs/>
          <w:noProof/>
          <w:sz w:val="28"/>
          <w:szCs w:val="28"/>
        </w:rPr>
        <w:t xml:space="preserve"> za ekonomsku politiku i razvoj</w:t>
      </w:r>
    </w:p>
    <w:p w:rsidR="0082570B" w:rsidRPr="00DC4AD1" w:rsidRDefault="0082570B" w:rsidP="00D61692">
      <w:pPr>
        <w:rPr>
          <w:rFonts w:cs="Calibri"/>
          <w:noProof/>
        </w:rPr>
      </w:pPr>
    </w:p>
    <w:p w:rsidR="0082570B" w:rsidRPr="00DC4AD1" w:rsidRDefault="0082570B" w:rsidP="00D61692">
      <w:pPr>
        <w:jc w:val="center"/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DC4AD1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DC4AD1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DC4AD1" w:rsidRDefault="0082570B" w:rsidP="0002564B">
      <w:pPr>
        <w:spacing w:line="240" w:lineRule="auto"/>
        <w:jc w:val="center"/>
        <w:outlineLvl w:val="0"/>
        <w:rPr>
          <w:rFonts w:cs="Calibri"/>
          <w:b/>
          <w:bCs/>
          <w:iCs/>
          <w:noProof/>
          <w:sz w:val="52"/>
          <w:szCs w:val="52"/>
        </w:rPr>
      </w:pPr>
      <w:r w:rsidRPr="00DC4AD1">
        <w:rPr>
          <w:rFonts w:cs="Calibri"/>
          <w:b/>
          <w:bCs/>
          <w:iCs/>
          <w:noProof/>
          <w:sz w:val="52"/>
          <w:szCs w:val="52"/>
        </w:rPr>
        <w:t>MJESEČNI MAKROEKONOMSKI INDIKATORI</w:t>
      </w:r>
    </w:p>
    <w:p w:rsidR="0082570B" w:rsidRPr="00DC4AD1" w:rsidRDefault="0058776D" w:rsidP="0002564B">
      <w:pPr>
        <w:spacing w:line="240" w:lineRule="auto"/>
        <w:jc w:val="center"/>
        <w:outlineLvl w:val="0"/>
        <w:rPr>
          <w:rFonts w:cs="Calibri"/>
          <w:b/>
          <w:bCs/>
          <w:noProof/>
          <w:sz w:val="32"/>
          <w:szCs w:val="32"/>
        </w:rPr>
      </w:pPr>
      <w:r>
        <w:rPr>
          <w:rFonts w:cs="Calibri"/>
          <w:b/>
          <w:bCs/>
          <w:noProof/>
          <w:sz w:val="32"/>
          <w:szCs w:val="32"/>
        </w:rPr>
        <w:t>Novembar</w:t>
      </w:r>
      <w:r w:rsidR="007D0106">
        <w:rPr>
          <w:rFonts w:cs="Calibri"/>
          <w:b/>
          <w:bCs/>
          <w:noProof/>
          <w:sz w:val="32"/>
          <w:szCs w:val="32"/>
        </w:rPr>
        <w:t xml:space="preserve"> </w:t>
      </w:r>
      <w:r w:rsidR="0082570B" w:rsidRPr="00DC4AD1">
        <w:rPr>
          <w:rFonts w:cs="Calibri"/>
          <w:b/>
          <w:bCs/>
          <w:noProof/>
          <w:sz w:val="32"/>
          <w:szCs w:val="32"/>
        </w:rPr>
        <w:t>2013.</w:t>
      </w:r>
    </w:p>
    <w:p w:rsidR="0082570B" w:rsidRPr="00DC4AD1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Pr="00DC4AD1" w:rsidRDefault="00A423C3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  <w:r>
        <w:rPr>
          <w:rFonts w:cs="Calibri"/>
          <w:b/>
          <w:bCs/>
          <w:noProof/>
          <w:sz w:val="28"/>
          <w:szCs w:val="28"/>
          <w:lang w:val="sr-Latn-CS" w:eastAsia="sr-Latn-C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2516065</wp:posOffset>
            </wp:positionH>
            <wp:positionV relativeFrom="paragraph">
              <wp:posOffset>38051</wp:posOffset>
            </wp:positionV>
            <wp:extent cx="5474384" cy="5022166"/>
            <wp:effectExtent l="19050" t="0" r="0" b="0"/>
            <wp:wrapNone/>
            <wp:docPr id="7" name="Picture 5" descr="http://www.mtaconsulting.com/uploads/images/Arrow%20up%20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taconsulting.com/uploads/images/Arrow%20up%20v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384" cy="5022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70B" w:rsidRPr="00DC4AD1" w:rsidRDefault="00762622" w:rsidP="00D20CDA">
      <w:pPr>
        <w:spacing w:after="0" w:line="240" w:lineRule="auto"/>
        <w:rPr>
          <w:rFonts w:cs="Calibri"/>
          <w:bCs/>
          <w:noProof/>
          <w:sz w:val="28"/>
          <w:szCs w:val="28"/>
        </w:rPr>
      </w:pPr>
      <w:r w:rsidRPr="00762622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-11pt;margin-top:363pt;width:234.35pt;height:338pt;rotation:-360;z-index:-251657728;mso-position-horizontal-relative:margin;mso-position-vertical-relative:margin" wrapcoords="1315 -107 900 -53 -138 587 -138 20747 277 21227 277 21333 1038 21653 1246 21653 20285 21653 20423 21653 21392 21227 21738 20480 21738 1440 21669 587 20769 0 20285 -107 1315 -107" o:allowincell="f" adj="1739" fillcolor="#943634" strokecolor="#c00000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466A02" w:rsidRDefault="00466A02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3A5C77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466A02" w:rsidRPr="009508FA" w:rsidRDefault="00466A02" w:rsidP="00BF0C5D">
                  <w:pPr>
                    <w:pStyle w:val="NoSpacing"/>
                    <w:numPr>
                      <w:ilvl w:val="0"/>
                      <w:numId w:val="15"/>
                    </w:numPr>
                    <w:ind w:left="709" w:hanging="567"/>
                    <w:rPr>
                      <w:b/>
                      <w:bCs/>
                      <w:color w:val="000000"/>
                      <w:sz w:val="48"/>
                      <w:szCs w:val="40"/>
                      <w:lang w:val="pl-PL"/>
                    </w:rPr>
                  </w:pPr>
                  <w:r w:rsidRPr="009508FA">
                    <w:rPr>
                      <w:sz w:val="24"/>
                      <w:szCs w:val="20"/>
                    </w:rPr>
                    <w:t>Građevinska aktivnost u III kvartalu bilježi rast po svim pokazateljima</w:t>
                  </w:r>
                </w:p>
                <w:p w:rsidR="00466A02" w:rsidRPr="00BF0C5D" w:rsidRDefault="00466A02" w:rsidP="009508FA">
                  <w:pPr>
                    <w:pStyle w:val="NoSpacing"/>
                    <w:ind w:left="709"/>
                    <w:rPr>
                      <w:b/>
                      <w:bCs/>
                      <w:color w:val="000000"/>
                      <w:sz w:val="44"/>
                      <w:szCs w:val="40"/>
                      <w:lang w:val="pl-PL"/>
                    </w:rPr>
                  </w:pPr>
                </w:p>
                <w:p w:rsidR="00466A02" w:rsidRPr="009508FA" w:rsidRDefault="00466A02" w:rsidP="00BF0C5D">
                  <w:pPr>
                    <w:pStyle w:val="NoSpacing"/>
                    <w:numPr>
                      <w:ilvl w:val="0"/>
                      <w:numId w:val="15"/>
                    </w:numPr>
                    <w:ind w:left="709" w:hanging="567"/>
                    <w:rPr>
                      <w:sz w:val="24"/>
                      <w:szCs w:val="20"/>
                    </w:rPr>
                  </w:pPr>
                  <w:r w:rsidRPr="009508FA">
                    <w:rPr>
                      <w:sz w:val="24"/>
                      <w:szCs w:val="20"/>
                    </w:rPr>
                    <w:t>Pad cijena u oktobru uslovio je mjesečnu deflaciju i</w:t>
                  </w:r>
                  <w:r>
                    <w:rPr>
                      <w:sz w:val="24"/>
                      <w:szCs w:val="20"/>
                    </w:rPr>
                    <w:t xml:space="preserve"> pad godišnje stope inflacije</w:t>
                  </w:r>
                </w:p>
                <w:p w:rsidR="00466A02" w:rsidRDefault="00466A02" w:rsidP="009508FA">
                  <w:pPr>
                    <w:pStyle w:val="ListParagraph"/>
                    <w:rPr>
                      <w:szCs w:val="20"/>
                    </w:rPr>
                  </w:pPr>
                </w:p>
                <w:p w:rsidR="00466A02" w:rsidRPr="00363C84" w:rsidRDefault="00466A02" w:rsidP="00BF0C5D">
                  <w:pPr>
                    <w:pStyle w:val="NoSpacing"/>
                    <w:numPr>
                      <w:ilvl w:val="0"/>
                      <w:numId w:val="15"/>
                    </w:numPr>
                    <w:ind w:left="709" w:hanging="567"/>
                    <w:rPr>
                      <w:sz w:val="24"/>
                      <w:szCs w:val="20"/>
                    </w:rPr>
                  </w:pPr>
                  <w:r w:rsidRPr="00363C84">
                    <w:rPr>
                      <w:sz w:val="24"/>
                      <w:szCs w:val="20"/>
                    </w:rPr>
                    <w:t>Broj novoprijavljenih lica za zaposlenje  u oktobru  je iznosio 4.367 i najveći je mjesečni porast ostvaren u</w:t>
                  </w:r>
                  <w:r>
                    <w:rPr>
                      <w:sz w:val="24"/>
                      <w:szCs w:val="20"/>
                    </w:rPr>
                    <w:t xml:space="preserve"> posljednje</w:t>
                  </w:r>
                  <w:r w:rsidRPr="00363C84">
                    <w:rPr>
                      <w:sz w:val="24"/>
                      <w:szCs w:val="20"/>
                    </w:rPr>
                    <w:t xml:space="preserve"> vrijeme</w:t>
                  </w:r>
                </w:p>
                <w:p w:rsidR="00466A02" w:rsidRPr="00363C84" w:rsidRDefault="00466A02" w:rsidP="009508FA">
                  <w:pPr>
                    <w:pStyle w:val="ListParagraph"/>
                    <w:rPr>
                      <w:szCs w:val="20"/>
                    </w:rPr>
                  </w:pPr>
                </w:p>
                <w:p w:rsidR="00466A02" w:rsidRPr="00363C84" w:rsidRDefault="00466A02" w:rsidP="00BF0C5D">
                  <w:pPr>
                    <w:pStyle w:val="NoSpacing"/>
                    <w:numPr>
                      <w:ilvl w:val="0"/>
                      <w:numId w:val="15"/>
                    </w:numPr>
                    <w:ind w:left="709" w:hanging="567"/>
                    <w:rPr>
                      <w:sz w:val="24"/>
                      <w:szCs w:val="20"/>
                    </w:rPr>
                  </w:pPr>
                  <w:r w:rsidRPr="00363C84">
                    <w:rPr>
                      <w:sz w:val="24"/>
                      <w:szCs w:val="20"/>
                    </w:rPr>
                    <w:t>Izvorni prihodi budžeta Crne Gore u oktobru 2013. godine bili su veći  za 18,2% u odnosu na oktobar 2012. godine, kao i u odnosu na plan za 11,8%</w:t>
                  </w:r>
                </w:p>
                <w:p w:rsidR="00466A02" w:rsidRPr="00363C84" w:rsidRDefault="00466A02" w:rsidP="00BF0C5D">
                  <w:pPr>
                    <w:pStyle w:val="NoSpacing"/>
                    <w:ind w:left="360"/>
                    <w:rPr>
                      <w:bCs/>
                      <w:color w:val="000000"/>
                      <w:sz w:val="44"/>
                      <w:szCs w:val="40"/>
                      <w:lang w:val="pl-PL"/>
                    </w:rPr>
                  </w:pPr>
                </w:p>
                <w:p w:rsidR="00466A02" w:rsidRPr="00F8300B" w:rsidRDefault="00466A02" w:rsidP="0058776D">
                  <w:pPr>
                    <w:pStyle w:val="NoSpacing"/>
                    <w:ind w:left="720"/>
                    <w:rPr>
                      <w:b/>
                      <w:bCs/>
                      <w:color w:val="000000"/>
                      <w:sz w:val="28"/>
                      <w:szCs w:val="40"/>
                      <w:lang w:val="pl-PL"/>
                    </w:rPr>
                  </w:pPr>
                </w:p>
              </w:txbxContent>
            </v:textbox>
            <w10:wrap type="tight" anchorx="margin" anchory="margin"/>
          </v:shape>
        </w:pict>
      </w:r>
    </w:p>
    <w:p w:rsidR="0082570B" w:rsidRPr="00DC4AD1" w:rsidRDefault="0082570B" w:rsidP="00D20CDA">
      <w:pPr>
        <w:spacing w:after="0" w:line="240" w:lineRule="auto"/>
        <w:rPr>
          <w:rFonts w:cs="Calibri"/>
          <w:bCs/>
          <w:iCs/>
          <w:noProof/>
          <w:sz w:val="26"/>
          <w:szCs w:val="26"/>
        </w:rPr>
      </w:pPr>
    </w:p>
    <w:p w:rsidR="0082570B" w:rsidRPr="00DC4AD1" w:rsidRDefault="0082570B" w:rsidP="00D61692">
      <w:pPr>
        <w:pStyle w:val="NoSpacing"/>
        <w:rPr>
          <w:bCs/>
          <w:iCs/>
          <w:noProof/>
          <w:sz w:val="26"/>
          <w:szCs w:val="26"/>
        </w:rPr>
      </w:pPr>
    </w:p>
    <w:p w:rsidR="0082570B" w:rsidRPr="00DC4AD1" w:rsidRDefault="0082570B" w:rsidP="00694445">
      <w:pPr>
        <w:pStyle w:val="NoSpacing"/>
        <w:rPr>
          <w:bCs/>
          <w:noProof/>
          <w:sz w:val="28"/>
          <w:szCs w:val="20"/>
        </w:rPr>
      </w:pPr>
    </w:p>
    <w:p w:rsidR="0082570B" w:rsidRPr="00DC4AD1" w:rsidRDefault="0082570B" w:rsidP="003324D9">
      <w:pPr>
        <w:pStyle w:val="NoSpacing"/>
        <w:rPr>
          <w:noProof/>
          <w:sz w:val="32"/>
        </w:rPr>
      </w:pPr>
    </w:p>
    <w:p w:rsidR="0082570B" w:rsidRPr="00DC4AD1" w:rsidRDefault="0082570B" w:rsidP="003324D9">
      <w:pPr>
        <w:pStyle w:val="NoSpacing"/>
        <w:rPr>
          <w:noProof/>
          <w:sz w:val="32"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b/>
          <w:bCs/>
          <w:noProof/>
          <w:color w:val="000000"/>
          <w:sz w:val="16"/>
          <w:szCs w:val="16"/>
        </w:rPr>
      </w:pPr>
    </w:p>
    <w:p w:rsidR="0082570B" w:rsidRPr="00DC4AD1" w:rsidRDefault="0082570B" w:rsidP="003324D9">
      <w:pPr>
        <w:pStyle w:val="NoSpacing"/>
        <w:rPr>
          <w:b/>
          <w:bCs/>
          <w:noProof/>
          <w:color w:val="000000"/>
          <w:sz w:val="16"/>
          <w:szCs w:val="16"/>
        </w:rPr>
      </w:pPr>
    </w:p>
    <w:p w:rsidR="0082570B" w:rsidRDefault="0082570B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  <w:r w:rsidRPr="00DC4AD1">
        <w:rPr>
          <w:b/>
          <w:bCs/>
          <w:noProof/>
          <w:color w:val="000000"/>
          <w:sz w:val="16"/>
          <w:szCs w:val="16"/>
        </w:rPr>
        <w:t xml:space="preserve">Autori priloga: </w:t>
      </w:r>
      <w:r w:rsidR="00423EE9">
        <w:rPr>
          <w:bCs/>
          <w:noProof/>
          <w:color w:val="000000"/>
          <w:sz w:val="16"/>
          <w:szCs w:val="16"/>
        </w:rPr>
        <w:t>Radovan Živković</w:t>
      </w:r>
      <w:r w:rsidR="002A2CED" w:rsidRPr="00DC4AD1">
        <w:rPr>
          <w:bCs/>
          <w:noProof/>
          <w:color w:val="000000"/>
          <w:sz w:val="16"/>
          <w:szCs w:val="16"/>
        </w:rPr>
        <w:t>, Radojka Martinović</w:t>
      </w:r>
      <w:r w:rsidR="00423EE9">
        <w:rPr>
          <w:bCs/>
          <w:noProof/>
          <w:color w:val="000000"/>
          <w:sz w:val="16"/>
          <w:szCs w:val="16"/>
        </w:rPr>
        <w:t xml:space="preserve">, Olja Tomanović, </w:t>
      </w:r>
      <w:r w:rsidR="00074D69">
        <w:rPr>
          <w:bCs/>
          <w:noProof/>
          <w:color w:val="000000"/>
          <w:sz w:val="16"/>
          <w:szCs w:val="16"/>
        </w:rPr>
        <w:t xml:space="preserve"> </w:t>
      </w:r>
      <w:r w:rsidR="00423EE9">
        <w:rPr>
          <w:bCs/>
          <w:noProof/>
          <w:color w:val="000000"/>
          <w:sz w:val="16"/>
          <w:szCs w:val="16"/>
        </w:rPr>
        <w:t>Stanko Jeknić</w:t>
      </w:r>
      <w:r w:rsidR="002A2CED" w:rsidRPr="00DC4AD1">
        <w:rPr>
          <w:bCs/>
          <w:noProof/>
          <w:color w:val="000000"/>
          <w:sz w:val="16"/>
          <w:szCs w:val="16"/>
        </w:rPr>
        <w:t>,</w:t>
      </w:r>
      <w:r w:rsidR="00423EE9">
        <w:rPr>
          <w:bCs/>
          <w:noProof/>
          <w:color w:val="000000"/>
          <w:sz w:val="16"/>
          <w:szCs w:val="16"/>
        </w:rPr>
        <w:t xml:space="preserve"> </w:t>
      </w:r>
      <w:r w:rsidR="00C646AC">
        <w:rPr>
          <w:bCs/>
          <w:noProof/>
          <w:color w:val="000000"/>
          <w:sz w:val="16"/>
          <w:szCs w:val="16"/>
        </w:rPr>
        <w:t xml:space="preserve"> Ivana Rašović</w:t>
      </w:r>
      <w:r w:rsidR="004B5F63">
        <w:rPr>
          <w:bCs/>
          <w:noProof/>
          <w:color w:val="000000"/>
          <w:sz w:val="16"/>
          <w:szCs w:val="16"/>
        </w:rPr>
        <w:t>, Marija Novosel</w:t>
      </w:r>
      <w:r w:rsidR="00A423C3">
        <w:rPr>
          <w:bCs/>
          <w:noProof/>
          <w:color w:val="000000"/>
          <w:sz w:val="16"/>
          <w:szCs w:val="16"/>
        </w:rPr>
        <w:t>,</w:t>
      </w:r>
      <w:r w:rsidR="002A2CED" w:rsidRPr="00DC4AD1">
        <w:rPr>
          <w:bCs/>
          <w:noProof/>
          <w:color w:val="000000"/>
          <w:sz w:val="16"/>
          <w:szCs w:val="16"/>
        </w:rPr>
        <w:t xml:space="preserve"> Zdenka</w:t>
      </w:r>
      <w:r w:rsidR="00F03604">
        <w:rPr>
          <w:bCs/>
          <w:noProof/>
          <w:color w:val="000000"/>
          <w:sz w:val="16"/>
          <w:szCs w:val="16"/>
        </w:rPr>
        <w:t xml:space="preserve"> </w:t>
      </w:r>
      <w:r w:rsidR="002A2CED" w:rsidRPr="00DC4AD1">
        <w:rPr>
          <w:bCs/>
          <w:noProof/>
          <w:color w:val="000000"/>
          <w:sz w:val="16"/>
          <w:szCs w:val="16"/>
        </w:rPr>
        <w:t>Dabović</w:t>
      </w:r>
      <w:r w:rsidR="00A67F78">
        <w:rPr>
          <w:bCs/>
          <w:noProof/>
          <w:color w:val="000000"/>
          <w:sz w:val="16"/>
          <w:szCs w:val="16"/>
        </w:rPr>
        <w:t xml:space="preserve">, Milanka Jovanović </w:t>
      </w:r>
    </w:p>
    <w:p w:rsidR="00A67F78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A67F78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A67F78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A67F78" w:rsidRPr="00DC4AD1" w:rsidRDefault="00A67F78" w:rsidP="00A423C3">
      <w:pPr>
        <w:pStyle w:val="NoSpacing"/>
        <w:outlineLvl w:val="0"/>
        <w:rPr>
          <w:noProof/>
        </w:rPr>
      </w:pPr>
    </w:p>
    <w:tbl>
      <w:tblPr>
        <w:tblpPr w:leftFromText="180" w:rightFromText="180" w:vertAnchor="text" w:tblpY="1"/>
        <w:tblOverlap w:val="never"/>
        <w:tblW w:w="10818" w:type="dxa"/>
        <w:tblBorders>
          <w:top w:val="thinThickSmallGap" w:sz="18" w:space="0" w:color="auto"/>
          <w:bottom w:val="thinThickSmallGap" w:sz="18" w:space="0" w:color="auto"/>
          <w:insideH w:val="thinThickSmallGap" w:sz="18" w:space="0" w:color="auto"/>
        </w:tblBorders>
        <w:tblLayout w:type="fixed"/>
        <w:tblLook w:val="00A0"/>
      </w:tblPr>
      <w:tblGrid>
        <w:gridCol w:w="7054"/>
        <w:gridCol w:w="3674"/>
        <w:gridCol w:w="90"/>
      </w:tblGrid>
      <w:tr w:rsidR="0082570B" w:rsidRPr="00DC4AD1" w:rsidTr="00DD2925">
        <w:trPr>
          <w:gridAfter w:val="1"/>
          <w:wAfter w:w="90" w:type="dxa"/>
        </w:trPr>
        <w:tc>
          <w:tcPr>
            <w:tcW w:w="7054" w:type="dxa"/>
            <w:tcBorders>
              <w:bottom w:val="single" w:sz="4" w:space="0" w:color="auto"/>
            </w:tcBorders>
          </w:tcPr>
          <w:p w:rsidR="0082570B" w:rsidRPr="005065E6" w:rsidRDefault="005065E6" w:rsidP="003A5C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/>
                <w:noProof/>
                <w:color w:val="000000"/>
                <w:sz w:val="20"/>
                <w:szCs w:val="20"/>
                <w:lang w:eastAsia="en-US"/>
              </w:rPr>
            </w:pPr>
            <w:r w:rsidRPr="005065E6">
              <w:rPr>
                <w:rFonts w:eastAsia="Times New Roman"/>
                <w:b/>
                <w:noProof/>
                <w:color w:val="000000"/>
                <w:sz w:val="20"/>
                <w:szCs w:val="20"/>
                <w:lang w:eastAsia="en-US"/>
              </w:rPr>
              <w:lastRenderedPageBreak/>
              <w:t>Međunarodno okruženje</w:t>
            </w:r>
          </w:p>
        </w:tc>
        <w:tc>
          <w:tcPr>
            <w:tcW w:w="3674" w:type="dxa"/>
            <w:vMerge w:val="restart"/>
            <w:tcBorders>
              <w:bottom w:val="nil"/>
            </w:tcBorders>
            <w:vAlign w:val="center"/>
          </w:tcPr>
          <w:p w:rsidR="0082570B" w:rsidRPr="00A4133A" w:rsidRDefault="00F67463" w:rsidP="00773C65">
            <w:pPr>
              <w:spacing w:after="0" w:line="240" w:lineRule="auto"/>
              <w:jc w:val="center"/>
              <w:rPr>
                <w:rFonts w:cs="Calibri"/>
                <w:noProof/>
                <w:color w:val="000000"/>
                <w:sz w:val="20"/>
                <w:szCs w:val="20"/>
              </w:rPr>
            </w:pPr>
            <w:r w:rsidRPr="00F67463">
              <w:rPr>
                <w:rFonts w:cs="Calibri"/>
                <w:noProof/>
                <w:color w:val="000000"/>
                <w:sz w:val="20"/>
                <w:szCs w:val="20"/>
                <w:lang w:val="sr-Latn-CS" w:eastAsia="sr-Latn-CS"/>
              </w:rPr>
              <w:drawing>
                <wp:inline distT="0" distB="0" distL="0" distR="0">
                  <wp:extent cx="2124000" cy="2052000"/>
                  <wp:effectExtent l="0" t="0" r="0" b="0"/>
                  <wp:docPr id="3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82570B" w:rsidRPr="00DC4AD1" w:rsidTr="00754D46">
        <w:trPr>
          <w:gridAfter w:val="1"/>
          <w:wAfter w:w="90" w:type="dxa"/>
          <w:trHeight w:hRule="exact" w:val="3226"/>
        </w:trPr>
        <w:tc>
          <w:tcPr>
            <w:tcW w:w="7054" w:type="dxa"/>
            <w:tcBorders>
              <w:top w:val="single" w:sz="4" w:space="0" w:color="auto"/>
            </w:tcBorders>
          </w:tcPr>
          <w:p w:rsidR="00754D46" w:rsidRPr="00622F10" w:rsidRDefault="00E660EE" w:rsidP="00886302">
            <w:pPr>
              <w:pStyle w:val="Default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Projekcije o rastu ekonomija EU i Eurozone u 2014</w:t>
            </w:r>
            <w:r w:rsidR="0087527E">
              <w:rPr>
                <w:noProof/>
                <w:sz w:val="20"/>
                <w:szCs w:val="20"/>
              </w:rPr>
              <w:t>. koje predviđaju blagi rast u budućem periodu imaju svoju potvrdu u</w:t>
            </w:r>
            <w:r w:rsidR="00172816">
              <w:rPr>
                <w:noProof/>
                <w:sz w:val="20"/>
                <w:szCs w:val="20"/>
              </w:rPr>
              <w:t xml:space="preserve"> ekonomskim i biznis sentiment </w:t>
            </w:r>
            <w:r w:rsidR="0087527E">
              <w:rPr>
                <w:noProof/>
                <w:sz w:val="20"/>
                <w:szCs w:val="20"/>
              </w:rPr>
              <w:t xml:space="preserve"> indikatorima</w:t>
            </w:r>
            <w:r w:rsidR="00172816">
              <w:rPr>
                <w:noProof/>
                <w:sz w:val="20"/>
                <w:szCs w:val="20"/>
              </w:rPr>
              <w:t xml:space="preserve">.  </w:t>
            </w:r>
            <w:r w:rsidR="00172816" w:rsidRPr="00A4133A">
              <w:rPr>
                <w:b/>
                <w:noProof/>
                <w:sz w:val="20"/>
                <w:szCs w:val="20"/>
              </w:rPr>
              <w:t>Ekonomski sentiment</w:t>
            </w:r>
            <w:r w:rsidR="00886302">
              <w:rPr>
                <w:noProof/>
                <w:sz w:val="20"/>
                <w:szCs w:val="20"/>
              </w:rPr>
              <w:t xml:space="preserve"> E</w:t>
            </w:r>
            <w:r w:rsidR="00172816">
              <w:rPr>
                <w:noProof/>
                <w:sz w:val="20"/>
                <w:szCs w:val="20"/>
              </w:rPr>
              <w:t xml:space="preserve">urozone je u oktobru </w:t>
            </w:r>
            <w:r w:rsidR="00886302">
              <w:rPr>
                <w:noProof/>
                <w:sz w:val="20"/>
                <w:szCs w:val="20"/>
              </w:rPr>
              <w:t>2013. godine porastao za 0,9 u E</w:t>
            </w:r>
            <w:r w:rsidR="00172816">
              <w:rPr>
                <w:noProof/>
                <w:sz w:val="20"/>
                <w:szCs w:val="20"/>
              </w:rPr>
              <w:t>urozoni (na 97,8) i 1,1 u EU (na 101,8). To je nastavak trenda poboljšanja sentimenta koji je počeo od maja 2013. godine. Povećanje ESI je posljedica povećanja povjerenja u industriji i u manjoj mjeri među potrošačima. Negativni sentiment (očekiv</w:t>
            </w:r>
            <w:r w:rsidR="00886302">
              <w:rPr>
                <w:noProof/>
                <w:sz w:val="20"/>
                <w:szCs w:val="20"/>
              </w:rPr>
              <w:t xml:space="preserve">anja) zabilježen je u sektorima </w:t>
            </w:r>
            <w:r w:rsidR="00172816">
              <w:rPr>
                <w:noProof/>
                <w:sz w:val="20"/>
                <w:szCs w:val="20"/>
              </w:rPr>
              <w:t>usluga, maloprodaje i građevinarstva.  Ekonomski</w:t>
            </w:r>
            <w:r w:rsidR="00172816" w:rsidRPr="00172816">
              <w:rPr>
                <w:noProof/>
                <w:sz w:val="20"/>
                <w:szCs w:val="20"/>
              </w:rPr>
              <w:t xml:space="preserve"> sentiment </w:t>
            </w:r>
            <w:r w:rsidR="00172816">
              <w:rPr>
                <w:noProof/>
                <w:sz w:val="20"/>
                <w:szCs w:val="20"/>
              </w:rPr>
              <w:t>poboljšan je</w:t>
            </w:r>
            <w:r w:rsidR="00172816" w:rsidRPr="00172816">
              <w:rPr>
                <w:noProof/>
                <w:sz w:val="20"/>
                <w:szCs w:val="20"/>
              </w:rPr>
              <w:t xml:space="preserve"> u tri od pet najvećih </w:t>
            </w:r>
            <w:r w:rsidR="00172816">
              <w:rPr>
                <w:noProof/>
                <w:sz w:val="20"/>
                <w:szCs w:val="20"/>
              </w:rPr>
              <w:t>ekonomija</w:t>
            </w:r>
            <w:r w:rsidR="00172816" w:rsidRPr="00172816">
              <w:rPr>
                <w:noProof/>
                <w:sz w:val="20"/>
                <w:szCs w:val="20"/>
              </w:rPr>
              <w:t xml:space="preserve"> eurozone,  </w:t>
            </w:r>
            <w:r w:rsidR="00172816">
              <w:rPr>
                <w:noProof/>
                <w:sz w:val="20"/>
                <w:szCs w:val="20"/>
              </w:rPr>
              <w:t>Holandiji</w:t>
            </w:r>
            <w:r w:rsidR="00172816" w:rsidRPr="00172816">
              <w:rPr>
                <w:noProof/>
                <w:sz w:val="20"/>
                <w:szCs w:val="20"/>
              </w:rPr>
              <w:t xml:space="preserve"> (3,3)</w:t>
            </w:r>
            <w:r w:rsidR="00172816">
              <w:rPr>
                <w:noProof/>
                <w:sz w:val="20"/>
                <w:szCs w:val="20"/>
              </w:rPr>
              <w:t>, Francuskoj</w:t>
            </w:r>
            <w:r w:rsidR="00172816" w:rsidRPr="00172816">
              <w:rPr>
                <w:noProof/>
                <w:sz w:val="20"/>
                <w:szCs w:val="20"/>
              </w:rPr>
              <w:t xml:space="preserve"> (2,6) i Njemačkoj (0,8), dok je </w:t>
            </w:r>
            <w:r w:rsidR="00172816">
              <w:rPr>
                <w:noProof/>
                <w:sz w:val="20"/>
                <w:szCs w:val="20"/>
              </w:rPr>
              <w:t>pogoršan</w:t>
            </w:r>
            <w:r w:rsidR="00172816" w:rsidRPr="00172816">
              <w:rPr>
                <w:noProof/>
                <w:sz w:val="20"/>
                <w:szCs w:val="20"/>
              </w:rPr>
              <w:t xml:space="preserve"> </w:t>
            </w:r>
            <w:r w:rsidR="00172816">
              <w:rPr>
                <w:noProof/>
                <w:sz w:val="20"/>
                <w:szCs w:val="20"/>
              </w:rPr>
              <w:t>u Španiji</w:t>
            </w:r>
            <w:r w:rsidR="00172816" w:rsidRPr="00172816">
              <w:rPr>
                <w:noProof/>
                <w:sz w:val="20"/>
                <w:szCs w:val="20"/>
              </w:rPr>
              <w:t xml:space="preserve"> (-2,2) </w:t>
            </w:r>
            <w:r w:rsidR="00172816">
              <w:rPr>
                <w:noProof/>
                <w:sz w:val="20"/>
                <w:szCs w:val="20"/>
              </w:rPr>
              <w:t>i Italiji</w:t>
            </w:r>
            <w:r w:rsidR="00172816" w:rsidRPr="00172816">
              <w:rPr>
                <w:noProof/>
                <w:sz w:val="20"/>
                <w:szCs w:val="20"/>
              </w:rPr>
              <w:t xml:space="preserve"> (-2,0).</w:t>
            </w:r>
            <w:r w:rsidR="00172816">
              <w:rPr>
                <w:noProof/>
                <w:sz w:val="20"/>
                <w:szCs w:val="20"/>
              </w:rPr>
              <w:t xml:space="preserve"> </w:t>
            </w:r>
            <w:r w:rsidR="00A4133A" w:rsidRPr="00A4133A">
              <w:rPr>
                <w:noProof/>
                <w:sz w:val="20"/>
                <w:szCs w:val="20"/>
              </w:rPr>
              <w:t xml:space="preserve"> Pad inflacije u Eurozoni u oktobru 2013. na 0,7 procenata godišnjeg rasta, pojačao je brige zbog deflatornih pritisaka što je dovelo do smanjivanje osnovne kamatne stope sa 0,50 na 0,25 procenata (stope po kojoj banke </w:t>
            </w:r>
            <w:r w:rsidR="00A4133A">
              <w:rPr>
                <w:noProof/>
                <w:sz w:val="20"/>
                <w:szCs w:val="20"/>
              </w:rPr>
              <w:t>deponuju sredstva</w:t>
            </w:r>
            <w:r w:rsidR="00A4133A" w:rsidRPr="00A4133A">
              <w:rPr>
                <w:noProof/>
                <w:sz w:val="20"/>
                <w:szCs w:val="20"/>
              </w:rPr>
              <w:t xml:space="preserve"> kod Evropske centralne banke).</w:t>
            </w:r>
          </w:p>
        </w:tc>
        <w:tc>
          <w:tcPr>
            <w:tcW w:w="3674" w:type="dxa"/>
            <w:vMerge/>
            <w:tcBorders>
              <w:top w:val="nil"/>
            </w:tcBorders>
            <w:vAlign w:val="center"/>
          </w:tcPr>
          <w:p w:rsidR="0082570B" w:rsidRPr="00A4133A" w:rsidRDefault="0082570B" w:rsidP="003A5C77">
            <w:pPr>
              <w:spacing w:after="0" w:line="240" w:lineRule="auto"/>
              <w:ind w:left="34" w:hanging="34"/>
              <w:rPr>
                <w:rFonts w:cs="Calibri"/>
                <w:noProof/>
                <w:color w:val="000000"/>
                <w:sz w:val="20"/>
                <w:szCs w:val="20"/>
              </w:rPr>
            </w:pPr>
          </w:p>
        </w:tc>
      </w:tr>
      <w:tr w:rsidR="0082570B" w:rsidRPr="00DC4AD1" w:rsidTr="006705D4">
        <w:trPr>
          <w:gridAfter w:val="1"/>
          <w:wAfter w:w="90" w:type="dxa"/>
          <w:trHeight w:val="215"/>
        </w:trPr>
        <w:tc>
          <w:tcPr>
            <w:tcW w:w="7054" w:type="dxa"/>
            <w:tcBorders>
              <w:bottom w:val="single" w:sz="4" w:space="0" w:color="auto"/>
            </w:tcBorders>
          </w:tcPr>
          <w:p w:rsidR="0082570B" w:rsidRPr="00DC4AD1" w:rsidRDefault="00C31D0E" w:rsidP="00C31D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CaptionChar"/>
                <w:noProof/>
              </w:rPr>
            </w:pPr>
            <w:r>
              <w:rPr>
                <w:rStyle w:val="CaptionChar"/>
                <w:noProof/>
              </w:rPr>
              <w:t>Realni sektor</w:t>
            </w:r>
          </w:p>
        </w:tc>
        <w:tc>
          <w:tcPr>
            <w:tcW w:w="3674" w:type="dxa"/>
            <w:vMerge w:val="restart"/>
            <w:vAlign w:val="center"/>
          </w:tcPr>
          <w:p w:rsidR="0082570B" w:rsidRPr="00DC4AD1" w:rsidRDefault="0020648A" w:rsidP="00C31D0E">
            <w:pPr>
              <w:spacing w:after="0" w:line="240" w:lineRule="auto"/>
              <w:ind w:left="-250"/>
              <w:jc w:val="center"/>
              <w:rPr>
                <w:noProof/>
              </w:rPr>
            </w:pPr>
            <w:r w:rsidRPr="0020648A">
              <w:rPr>
                <w:noProof/>
                <w:lang w:val="sr-Latn-CS" w:eastAsia="sr-Latn-CS"/>
              </w:rPr>
              <w:drawing>
                <wp:inline distT="0" distB="0" distL="0" distR="0">
                  <wp:extent cx="2232000" cy="2232000"/>
                  <wp:effectExtent l="0" t="0" r="0" b="0"/>
                  <wp:docPr id="4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7D0106" w:rsidRPr="00DC4AD1" w:rsidTr="00124730">
        <w:trPr>
          <w:gridAfter w:val="1"/>
          <w:wAfter w:w="90" w:type="dxa"/>
          <w:trHeight w:hRule="exact" w:val="3572"/>
        </w:trPr>
        <w:tc>
          <w:tcPr>
            <w:tcW w:w="7054" w:type="dxa"/>
            <w:tcBorders>
              <w:top w:val="single" w:sz="4" w:space="0" w:color="auto"/>
            </w:tcBorders>
          </w:tcPr>
          <w:p w:rsidR="00C31D0E" w:rsidRPr="0008138F" w:rsidRDefault="00C31D0E" w:rsidP="00C31D0E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8138F">
              <w:rPr>
                <w:rFonts w:cs="Calibri"/>
                <w:b/>
                <w:sz w:val="20"/>
                <w:szCs w:val="20"/>
              </w:rPr>
              <w:t xml:space="preserve">Povoljni vremenski uslovi uticali su na visok rast turističkog prometa u oktobru 2013.godine. </w:t>
            </w:r>
            <w:r w:rsidR="00632692">
              <w:rPr>
                <w:rFonts w:cs="Calibri"/>
                <w:sz w:val="20"/>
                <w:szCs w:val="20"/>
              </w:rPr>
              <w:t>Prema podacima MONSTAT</w:t>
            </w:r>
            <w:r w:rsidRPr="0008138F">
              <w:rPr>
                <w:rFonts w:cs="Calibri"/>
                <w:sz w:val="20"/>
                <w:szCs w:val="20"/>
              </w:rPr>
              <w:t>-a, Crnu Goru je u oktobru posjetilo 21,2% više turista i ostvareno 30,3% više noćenja nego u oktobru 2012.godine. Na rast prometa uticao je povećani broj dolazaka (23,3%) i noćenja (33,4%) stranih turista. Godišnji</w:t>
            </w:r>
            <w:r w:rsidRPr="0008138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08138F">
              <w:rPr>
                <w:rFonts w:cs="Calibri"/>
                <w:sz w:val="20"/>
                <w:szCs w:val="20"/>
              </w:rPr>
              <w:t>rast</w:t>
            </w:r>
            <w:r w:rsidRPr="0008138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08138F">
              <w:rPr>
                <w:rFonts w:cs="Calibri"/>
                <w:sz w:val="20"/>
                <w:szCs w:val="20"/>
              </w:rPr>
              <w:t>industrijske proizvodnje</w:t>
            </w:r>
            <w:r w:rsidRPr="0008138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08138F">
              <w:rPr>
                <w:rFonts w:cs="Calibri"/>
                <w:sz w:val="20"/>
                <w:szCs w:val="20"/>
              </w:rPr>
              <w:t>u oktobru 2013 godine,</w:t>
            </w:r>
            <w:r w:rsidRPr="0008138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08138F">
              <w:rPr>
                <w:rFonts w:cs="Calibri"/>
                <w:sz w:val="20"/>
                <w:szCs w:val="20"/>
              </w:rPr>
              <w:t>u odnosu na isti mjesec 2012 godine, iznosio je 10,5%, što je rezultat rasta u sektorima “prerađivačka industrija”(22,7%) i “snabdijevanje električnom energijom,gasom i parom”(3,3%), dok je proizvodnja u sektoru</w:t>
            </w:r>
            <w:r w:rsidR="00632692">
              <w:rPr>
                <w:rFonts w:cs="Calibri"/>
                <w:sz w:val="20"/>
                <w:szCs w:val="20"/>
              </w:rPr>
              <w:t xml:space="preserve"> </w:t>
            </w:r>
            <w:r w:rsidRPr="0008138F">
              <w:rPr>
                <w:rFonts w:cs="Calibri"/>
                <w:sz w:val="20"/>
                <w:szCs w:val="20"/>
              </w:rPr>
              <w:t xml:space="preserve">”vađenje rude i kamena “ zabilježila pad od 22,8%. Promet u trgovini na malo u oktobru 2013.godine (tekuće cijene) veći je za 16,0% u odnosu na isti mjesec prošle godine, što je rezultat rasta prometa u nespecijalizovanim prodavnicama (36,2%). </w:t>
            </w:r>
            <w:r w:rsidRPr="0008138F">
              <w:rPr>
                <w:sz w:val="20"/>
                <w:szCs w:val="20"/>
              </w:rPr>
              <w:t>Građevinska aktivnost u III kvartalu bilježi rast po svim pokazateljima. Vrijednost izvršenih građevinskih radova viša je za 3,8%, izvršeni efektivni časovi rada za 29,8%, vrijednost novih ugovora na zgradama za 339,5%, dok je vrijednost  ugovora na ostalim gradjevinama porasla za 180,0%.</w:t>
            </w:r>
          </w:p>
          <w:p w:rsidR="007D0106" w:rsidRPr="0008138F" w:rsidRDefault="007D0106" w:rsidP="00C31D0E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674" w:type="dxa"/>
            <w:vMerge/>
            <w:vAlign w:val="center"/>
          </w:tcPr>
          <w:p w:rsidR="007D0106" w:rsidRPr="00DC4AD1" w:rsidRDefault="007D0106" w:rsidP="00C31D0E">
            <w:pPr>
              <w:spacing w:after="119" w:line="240" w:lineRule="auto"/>
              <w:jc w:val="center"/>
              <w:rPr>
                <w:noProof/>
              </w:rPr>
            </w:pPr>
          </w:p>
        </w:tc>
      </w:tr>
      <w:tr w:rsidR="007D0106" w:rsidRPr="00DC4AD1" w:rsidTr="006705D4">
        <w:trPr>
          <w:gridAfter w:val="1"/>
          <w:wAfter w:w="90" w:type="dxa"/>
          <w:trHeight w:val="215"/>
        </w:trPr>
        <w:tc>
          <w:tcPr>
            <w:tcW w:w="7054" w:type="dxa"/>
            <w:tcBorders>
              <w:bottom w:val="single" w:sz="4" w:space="0" w:color="auto"/>
            </w:tcBorders>
          </w:tcPr>
          <w:p w:rsidR="007D0106" w:rsidRPr="00192506" w:rsidRDefault="006752C1" w:rsidP="007D0106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  <w:t>C</w:t>
            </w:r>
            <w:r w:rsidR="003524FD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  <w:t>ijene</w:t>
            </w:r>
          </w:p>
        </w:tc>
        <w:tc>
          <w:tcPr>
            <w:tcW w:w="3674" w:type="dxa"/>
            <w:vMerge w:val="restart"/>
            <w:vAlign w:val="center"/>
          </w:tcPr>
          <w:p w:rsidR="007D0106" w:rsidRPr="00192506" w:rsidRDefault="00192506" w:rsidP="006705D4">
            <w:pPr>
              <w:spacing w:after="0" w:line="240" w:lineRule="auto"/>
              <w:ind w:left="-250"/>
              <w:jc w:val="center"/>
              <w:rPr>
                <w:b/>
                <w:noProof/>
                <w:sz w:val="20"/>
                <w:szCs w:val="20"/>
              </w:rPr>
            </w:pPr>
            <w:r w:rsidRPr="00192506">
              <w:rPr>
                <w:b/>
                <w:noProof/>
                <w:sz w:val="20"/>
                <w:szCs w:val="20"/>
                <w:lang w:val="sr-Latn-CS" w:eastAsia="sr-Latn-C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-3983990</wp:posOffset>
                  </wp:positionH>
                  <wp:positionV relativeFrom="margin">
                    <wp:posOffset>-1574800</wp:posOffset>
                  </wp:positionV>
                  <wp:extent cx="2333625" cy="2057400"/>
                  <wp:effectExtent l="0" t="0" r="0" b="0"/>
                  <wp:wrapSquare wrapText="bothSides"/>
                  <wp:docPr id="5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anchor>
              </w:drawing>
            </w:r>
          </w:p>
        </w:tc>
      </w:tr>
      <w:tr w:rsidR="007D0106" w:rsidRPr="00DC4AD1" w:rsidTr="005818A8">
        <w:trPr>
          <w:gridAfter w:val="1"/>
          <w:wAfter w:w="90" w:type="dxa"/>
          <w:trHeight w:hRule="exact" w:val="3368"/>
        </w:trPr>
        <w:tc>
          <w:tcPr>
            <w:tcW w:w="7054" w:type="dxa"/>
            <w:tcBorders>
              <w:top w:val="single" w:sz="4" w:space="0" w:color="auto"/>
              <w:bottom w:val="thinThickSmallGap" w:sz="18" w:space="0" w:color="auto"/>
            </w:tcBorders>
          </w:tcPr>
          <w:p w:rsidR="00124730" w:rsidRPr="00124730" w:rsidRDefault="00192506" w:rsidP="000B19D0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92506">
              <w:rPr>
                <w:rFonts w:cs="Arial-ItalicMT"/>
                <w:b/>
                <w:iCs/>
                <w:sz w:val="20"/>
                <w:szCs w:val="20"/>
              </w:rPr>
              <w:t xml:space="preserve">Pad cijena u oktobru uslovio </w:t>
            </w:r>
            <w:r w:rsidR="00CE1254">
              <w:rPr>
                <w:rFonts w:cs="Arial-ItalicMT"/>
                <w:b/>
                <w:iCs/>
                <w:sz w:val="20"/>
                <w:szCs w:val="20"/>
              </w:rPr>
              <w:t xml:space="preserve">je </w:t>
            </w:r>
            <w:r w:rsidRPr="00192506">
              <w:rPr>
                <w:rFonts w:cs="Arial-ItalicMT"/>
                <w:b/>
                <w:iCs/>
                <w:sz w:val="20"/>
                <w:szCs w:val="20"/>
              </w:rPr>
              <w:t xml:space="preserve">mjesečnu deflaciju i pad godišnje stope inflacije.  </w:t>
            </w:r>
            <w:r w:rsidRPr="00192506">
              <w:rPr>
                <w:rFonts w:asciiTheme="minorHAnsi" w:hAnsiTheme="minorHAnsi" w:cs="Calibri"/>
                <w:sz w:val="20"/>
                <w:szCs w:val="20"/>
              </w:rPr>
              <w:t>Godišnja stopa inflacije, mjerena indeksom potrošačkih cijena, u oktobru 2013</w:t>
            </w:r>
            <w:r w:rsidR="00FD2C51">
              <w:rPr>
                <w:rFonts w:asciiTheme="minorHAnsi" w:hAnsiTheme="minorHAnsi" w:cs="Calibri"/>
                <w:sz w:val="20"/>
                <w:szCs w:val="20"/>
              </w:rPr>
              <w:t>.</w:t>
            </w:r>
            <w:r w:rsidRPr="00192506">
              <w:rPr>
                <w:rFonts w:asciiTheme="minorHAnsi" w:hAnsiTheme="minorHAnsi" w:cs="Calibri"/>
                <w:sz w:val="20"/>
                <w:szCs w:val="20"/>
              </w:rPr>
              <w:t xml:space="preserve"> godine iznosila je 0,5%, dok je u odnosu na septembar izmjerena deflacija od 0,2%. Najveći uticaj na ove stope imale su cijene hrane koje su  porasle za 0,3% u odnosu na oktobar 2012.</w:t>
            </w:r>
            <w:r w:rsidR="00FD2C5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192506">
              <w:rPr>
                <w:rFonts w:asciiTheme="minorHAnsi" w:hAnsiTheme="minorHAnsi" w:cs="Calibri"/>
                <w:sz w:val="20"/>
                <w:szCs w:val="20"/>
              </w:rPr>
              <w:t>godine i pale za 0,9% u odnosu na septembar tekuće godine. Najveći godišnji rast zabilježen je u grupama „</w:t>
            </w:r>
            <w:r w:rsidR="000B48EE">
              <w:rPr>
                <w:rFonts w:asciiTheme="minorHAnsi" w:hAnsiTheme="minorHAnsi" w:cs="Calibri"/>
                <w:sz w:val="20"/>
                <w:szCs w:val="20"/>
              </w:rPr>
              <w:t>alkoholna pića i duvan</w:t>
            </w:r>
            <w:r w:rsidR="004B1ECF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0B48EE">
              <w:rPr>
                <w:rFonts w:asciiTheme="minorHAnsi" w:hAnsiTheme="minorHAnsi" w:cs="Calibri"/>
                <w:sz w:val="20"/>
                <w:szCs w:val="20"/>
              </w:rPr>
              <w:t>“(7,7%)</w:t>
            </w:r>
            <w:r w:rsidRPr="00192506">
              <w:rPr>
                <w:rFonts w:asciiTheme="minorHAnsi" w:hAnsiTheme="minorHAnsi" w:cs="Calibri"/>
                <w:sz w:val="20"/>
                <w:szCs w:val="20"/>
              </w:rPr>
              <w:t>, „ostali proizvo</w:t>
            </w:r>
            <w:r w:rsidR="000B48EE">
              <w:rPr>
                <w:rFonts w:asciiTheme="minorHAnsi" w:hAnsiTheme="minorHAnsi" w:cs="Calibri"/>
                <w:sz w:val="20"/>
                <w:szCs w:val="20"/>
              </w:rPr>
              <w:t>di i usluge“ (4,6%)</w:t>
            </w:r>
            <w:r w:rsidRPr="00192506">
              <w:rPr>
                <w:rFonts w:asciiTheme="minorHAnsi" w:hAnsiTheme="minorHAnsi" w:cs="Calibri"/>
                <w:sz w:val="20"/>
                <w:szCs w:val="20"/>
              </w:rPr>
              <w:t xml:space="preserve"> i „stanovanje ,voda ,struja i ga</w:t>
            </w:r>
            <w:r w:rsidR="00B52271">
              <w:rPr>
                <w:rFonts w:asciiTheme="minorHAnsi" w:hAnsiTheme="minorHAnsi" w:cs="Calibri"/>
                <w:sz w:val="20"/>
                <w:szCs w:val="20"/>
              </w:rPr>
              <w:t>s“</w:t>
            </w:r>
            <w:r w:rsidR="000B48EE">
              <w:rPr>
                <w:rFonts w:asciiTheme="minorHAnsi" w:hAnsiTheme="minorHAnsi" w:cs="Calibri"/>
                <w:sz w:val="20"/>
                <w:szCs w:val="20"/>
              </w:rPr>
              <w:t xml:space="preserve"> (1,9%)</w:t>
            </w:r>
            <w:r w:rsidRPr="00192506">
              <w:rPr>
                <w:rFonts w:asciiTheme="minorHAnsi" w:hAnsiTheme="minorHAnsi" w:cs="Calibri"/>
                <w:sz w:val="20"/>
                <w:szCs w:val="20"/>
              </w:rPr>
              <w:t>, dok je najveći pad zabilje</w:t>
            </w:r>
            <w:r w:rsidR="000B48EE">
              <w:rPr>
                <w:rFonts w:asciiTheme="minorHAnsi" w:hAnsiTheme="minorHAnsi" w:cs="Calibri"/>
                <w:sz w:val="20"/>
                <w:szCs w:val="20"/>
              </w:rPr>
              <w:t>žen u grupama““prevoz“ (-3,4%)</w:t>
            </w:r>
            <w:r w:rsidRPr="00192506">
              <w:rPr>
                <w:rFonts w:asciiTheme="minorHAnsi" w:hAnsiTheme="minorHAnsi" w:cs="Calibri"/>
                <w:sz w:val="20"/>
                <w:szCs w:val="20"/>
              </w:rPr>
              <w:t>,</w:t>
            </w:r>
            <w:r w:rsidR="000B48EE">
              <w:rPr>
                <w:rFonts w:asciiTheme="minorHAnsi" w:hAnsiTheme="minorHAnsi" w:cs="Calibri"/>
                <w:sz w:val="20"/>
                <w:szCs w:val="20"/>
              </w:rPr>
              <w:t xml:space="preserve"> „rekreacija i kultura“(-2,6%)</w:t>
            </w:r>
            <w:r w:rsidRPr="00192506">
              <w:rPr>
                <w:rFonts w:asciiTheme="minorHAnsi" w:hAnsiTheme="minorHAnsi" w:cs="Calibri"/>
                <w:sz w:val="20"/>
                <w:szCs w:val="20"/>
              </w:rPr>
              <w:t xml:space="preserve"> i „hote</w:t>
            </w:r>
            <w:r w:rsidR="000B48EE">
              <w:rPr>
                <w:rFonts w:asciiTheme="minorHAnsi" w:hAnsiTheme="minorHAnsi" w:cs="Calibri"/>
                <w:sz w:val="20"/>
                <w:szCs w:val="20"/>
              </w:rPr>
              <w:t>li i restorani</w:t>
            </w:r>
            <w:r w:rsidR="004B1ECF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0B48EE">
              <w:rPr>
                <w:rFonts w:asciiTheme="minorHAnsi" w:hAnsiTheme="minorHAnsi" w:cs="Calibri"/>
                <w:sz w:val="20"/>
                <w:szCs w:val="20"/>
              </w:rPr>
              <w:t>“(-0,7%)</w:t>
            </w:r>
            <w:r w:rsidRPr="00192506">
              <w:rPr>
                <w:rFonts w:asciiTheme="minorHAnsi" w:hAnsiTheme="minorHAnsi" w:cs="Calibri"/>
                <w:sz w:val="20"/>
                <w:szCs w:val="20"/>
              </w:rPr>
              <w:t xml:space="preserve">. Godišnja stopa inflacije, mjerena harmonizovanim indeksom potrošačkih cijena, u oktobru je iznosila 0,3%, što je pad od 1,4 p.p u odnosu na prethodni mjesec. </w:t>
            </w:r>
            <w:r w:rsidRPr="00192506">
              <w:rPr>
                <w:rFonts w:asciiTheme="minorHAnsi" w:hAnsiTheme="minorHAnsi" w:cs="Arial-ItalicMT"/>
                <w:iCs/>
                <w:sz w:val="20"/>
                <w:szCs w:val="20"/>
              </w:rPr>
              <w:t>Proizvođačke cijene u oktobru  2013</w:t>
            </w:r>
            <w:r w:rsidR="004B1ECF">
              <w:rPr>
                <w:rFonts w:asciiTheme="minorHAnsi" w:hAnsiTheme="minorHAnsi" w:cs="Arial-ItalicMT"/>
                <w:iCs/>
                <w:sz w:val="20"/>
                <w:szCs w:val="20"/>
              </w:rPr>
              <w:t>.</w:t>
            </w:r>
            <w:r w:rsidRPr="00192506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godine bilježe godišnji pad od 0,9%, što je prvenstveno rezultat  pada cijena u  prerađivačkoj industriji od 1,0% ( prehrambeni proizvodi -0,9%;</w:t>
            </w:r>
            <w:r w:rsidR="004B1ECF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192506">
              <w:rPr>
                <w:rFonts w:asciiTheme="minorHAnsi" w:hAnsiTheme="minorHAnsi" w:cs="Arial-ItalicMT"/>
                <w:iCs/>
                <w:sz w:val="20"/>
                <w:szCs w:val="20"/>
              </w:rPr>
              <w:t>piće -4,7%).</w:t>
            </w:r>
          </w:p>
        </w:tc>
        <w:tc>
          <w:tcPr>
            <w:tcW w:w="3674" w:type="dxa"/>
            <w:vMerge/>
            <w:tcBorders>
              <w:bottom w:val="thinThickSmallGap" w:sz="18" w:space="0" w:color="auto"/>
            </w:tcBorders>
            <w:vAlign w:val="center"/>
          </w:tcPr>
          <w:p w:rsidR="007D0106" w:rsidRPr="00192506" w:rsidRDefault="007D0106" w:rsidP="007D0106">
            <w:pPr>
              <w:pStyle w:val="NoSpacing"/>
              <w:jc w:val="both"/>
              <w:rPr>
                <w:noProof/>
                <w:sz w:val="20"/>
                <w:szCs w:val="20"/>
              </w:rPr>
            </w:pPr>
          </w:p>
        </w:tc>
      </w:tr>
      <w:tr w:rsidR="00422784" w:rsidRPr="00DC4AD1" w:rsidTr="002A1639">
        <w:trPr>
          <w:gridAfter w:val="1"/>
          <w:wAfter w:w="90" w:type="dxa"/>
          <w:trHeight w:hRule="exact" w:val="4111"/>
        </w:trPr>
        <w:tc>
          <w:tcPr>
            <w:tcW w:w="7054" w:type="dxa"/>
            <w:tcBorders>
              <w:top w:val="single" w:sz="4" w:space="0" w:color="auto"/>
              <w:bottom w:val="thinThickSmallGap" w:sz="18" w:space="0" w:color="auto"/>
            </w:tcBorders>
          </w:tcPr>
          <w:p w:rsidR="002A1639" w:rsidRPr="00466A02" w:rsidRDefault="002A1639" w:rsidP="002A16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466A02">
              <w:rPr>
                <w:rFonts w:eastAsia="Times New Roman" w:cs="Times New Roman"/>
                <w:sz w:val="20"/>
                <w:szCs w:val="20"/>
                <w:lang w:eastAsia="en-US"/>
              </w:rPr>
              <w:t>Zaposlenost i zarade</w:t>
            </w:r>
          </w:p>
          <w:p w:rsidR="00422784" w:rsidRDefault="00422784" w:rsidP="002A1639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RPr="00466A02">
              <w:rPr>
                <w:sz w:val="20"/>
                <w:szCs w:val="20"/>
              </w:rPr>
              <w:t xml:space="preserve">Tržište rada karakteriše porast zaposlenosti, ali i porast nezaposlenosti. </w:t>
            </w:r>
            <w:r>
              <w:rPr>
                <w:sz w:val="20"/>
                <w:szCs w:val="20"/>
              </w:rPr>
              <w:t xml:space="preserve">U oktobru 2013. broj zaposlenih je iznosio 169.044, a nezaposlenih 33.271. U periodu januar-oktobar 2013. u odnosu na isti period 2012. broj zaposlenih se povećao 3,6%, a nezaposlenih 5,6%. </w:t>
            </w:r>
            <w:r w:rsidR="00E139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Stopa nezaposlenosti je povećana sa 12,7% u 2012. na 14,3% u 2013. </w:t>
            </w:r>
            <w:r w:rsidRPr="001030CC">
              <w:rPr>
                <w:sz w:val="20"/>
                <w:szCs w:val="20"/>
              </w:rPr>
              <w:t>Karakteristično je da je u oktobru broj novoprijavljenih lica za zaposlenje iznosio 4.367.</w:t>
            </w:r>
            <w:r w:rsidR="001030CC">
              <w:rPr>
                <w:sz w:val="20"/>
                <w:szCs w:val="20"/>
              </w:rPr>
              <w:t xml:space="preserve"> </w:t>
            </w:r>
            <w:r w:rsidR="001030CC" w:rsidRPr="001030CC">
              <w:rPr>
                <w:sz w:val="20"/>
                <w:szCs w:val="20"/>
              </w:rPr>
              <w:t>Navedeno povećanje posljedica je završetka ljetnje turističke sezone, ali i završetka devetomjesečnog Programa stručnog osposobljavanja visokoškolaca.</w:t>
            </w:r>
            <w:r w:rsidRPr="00466A02">
              <w:rPr>
                <w:sz w:val="20"/>
                <w:szCs w:val="20"/>
              </w:rPr>
              <w:t xml:space="preserve"> </w:t>
            </w:r>
            <w:r w:rsidRPr="00BB30FF">
              <w:rPr>
                <w:sz w:val="20"/>
                <w:szCs w:val="20"/>
              </w:rPr>
              <w:t>I dalje je povećan broj lica koja prvi put traže zaposlenje (29,2%  više  na godišnjem nivou), a u okviru njih isključivo visokoškolaca</w:t>
            </w:r>
            <w:r w:rsidR="0048470D">
              <w:rPr>
                <w:sz w:val="20"/>
                <w:szCs w:val="20"/>
              </w:rPr>
              <w:t xml:space="preserve"> </w:t>
            </w:r>
            <w:r w:rsidRPr="00BB30FF">
              <w:rPr>
                <w:sz w:val="20"/>
                <w:szCs w:val="20"/>
              </w:rPr>
              <w:t>(više</w:t>
            </w:r>
            <w:r w:rsidR="0048470D">
              <w:rPr>
                <w:sz w:val="20"/>
                <w:szCs w:val="20"/>
              </w:rPr>
              <w:t xml:space="preserve"> </w:t>
            </w:r>
            <w:r w:rsidRPr="00BB30FF">
              <w:rPr>
                <w:sz w:val="20"/>
                <w:szCs w:val="20"/>
              </w:rPr>
              <w:t>91,2%</w:t>
            </w:r>
            <w:r w:rsidRPr="00466A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 Broj slobodnih radnih mjesta u oktobru 2013. je značajno niži (60,3%), nego u oktobru 2012., naročito za visokoškolce (86,3% manje). U oktobru je</w:t>
            </w:r>
            <w:r w:rsidR="00466A02">
              <w:rPr>
                <w:sz w:val="20"/>
                <w:szCs w:val="20"/>
              </w:rPr>
              <w:t xml:space="preserve">  izdato </w:t>
            </w:r>
            <w:r>
              <w:rPr>
                <w:sz w:val="20"/>
                <w:szCs w:val="20"/>
              </w:rPr>
              <w:t xml:space="preserve"> 1.490 radnih dozvola strancima</w:t>
            </w:r>
            <w:r w:rsidRPr="00466A0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Prosječna zarada u oktobru 2013. je iznosila 721€, koliko i u prethodna dva mjeseca, a smanjena je za čitav period za 0,4%. </w:t>
            </w:r>
            <w:r w:rsidR="002A1639">
              <w:rPr>
                <w:sz w:val="20"/>
                <w:szCs w:val="20"/>
              </w:rPr>
              <w:t>Prosječna neto zarada u oktobru je iznosila 475€, a za čitav period je smanjena 1,8%, a realno 3,3%.</w:t>
            </w:r>
          </w:p>
          <w:p w:rsidR="00422784" w:rsidRPr="00466A02" w:rsidRDefault="00422784" w:rsidP="00422784">
            <w:pPr>
              <w:pStyle w:val="NormalWeb"/>
              <w:spacing w:after="0"/>
              <w:ind w:left="360"/>
              <w:jc w:val="both"/>
              <w:rPr>
                <w:rFonts w:ascii="Calibri" w:hAnsi="Calibri"/>
                <w:sz w:val="20"/>
                <w:szCs w:val="20"/>
                <w:lang w:val="en-US" w:eastAsia="en-US"/>
              </w:rPr>
            </w:pPr>
          </w:p>
          <w:p w:rsidR="00422784" w:rsidRPr="00466A02" w:rsidRDefault="00422784" w:rsidP="00422784">
            <w:pPr>
              <w:pStyle w:val="NormalWeb"/>
              <w:spacing w:after="0"/>
              <w:ind w:left="360"/>
              <w:jc w:val="both"/>
              <w:rPr>
                <w:rFonts w:ascii="Calibri" w:hAnsi="Calibri"/>
                <w:sz w:val="20"/>
                <w:szCs w:val="20"/>
                <w:lang w:val="en-US" w:eastAsia="en-US"/>
              </w:rPr>
            </w:pPr>
          </w:p>
          <w:p w:rsidR="00422784" w:rsidRPr="00466A02" w:rsidRDefault="00422784" w:rsidP="00422784">
            <w:pPr>
              <w:pStyle w:val="NormalWeb"/>
              <w:spacing w:after="0"/>
              <w:ind w:left="360"/>
              <w:jc w:val="both"/>
              <w:rPr>
                <w:rFonts w:ascii="Calibri" w:hAnsi="Calibri"/>
                <w:sz w:val="20"/>
                <w:szCs w:val="20"/>
                <w:lang w:val="en-US" w:eastAsia="en-US"/>
              </w:rPr>
            </w:pPr>
          </w:p>
          <w:p w:rsidR="00422784" w:rsidRPr="00466A02" w:rsidRDefault="00422784" w:rsidP="00422784">
            <w:pPr>
              <w:pStyle w:val="NormalWeb"/>
              <w:spacing w:after="0"/>
              <w:ind w:left="360"/>
              <w:jc w:val="both"/>
              <w:rPr>
                <w:rFonts w:ascii="Calibri" w:hAnsi="Calibri"/>
                <w:sz w:val="20"/>
                <w:szCs w:val="20"/>
                <w:lang w:val="en-US" w:eastAsia="en-US"/>
              </w:rPr>
            </w:pPr>
          </w:p>
        </w:tc>
        <w:tc>
          <w:tcPr>
            <w:tcW w:w="3674" w:type="dxa"/>
            <w:tcBorders>
              <w:bottom w:val="thinThickSmallGap" w:sz="18" w:space="0" w:color="auto"/>
            </w:tcBorders>
            <w:vAlign w:val="center"/>
          </w:tcPr>
          <w:p w:rsidR="00422784" w:rsidRPr="00192506" w:rsidRDefault="00AE2FC9" w:rsidP="002A1639">
            <w:pPr>
              <w:pStyle w:val="NoSpacing"/>
              <w:jc w:val="center"/>
              <w:rPr>
                <w:noProof/>
                <w:sz w:val="20"/>
                <w:szCs w:val="20"/>
              </w:rPr>
            </w:pPr>
            <w:r w:rsidRPr="00AE2FC9">
              <w:rPr>
                <w:noProof/>
                <w:sz w:val="20"/>
                <w:szCs w:val="20"/>
                <w:lang w:val="sr-Latn-CS" w:eastAsia="sr-Latn-CS"/>
              </w:rPr>
              <w:drawing>
                <wp:inline distT="0" distB="0" distL="0" distR="0">
                  <wp:extent cx="2124000" cy="2016000"/>
                  <wp:effectExtent l="0" t="0" r="0" b="0"/>
                  <wp:docPr id="6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2A1639" w:rsidRPr="00DC4AD1" w:rsidTr="002A1639">
        <w:trPr>
          <w:trHeight w:hRule="exact" w:val="4193"/>
        </w:trPr>
        <w:tc>
          <w:tcPr>
            <w:tcW w:w="7054" w:type="dxa"/>
            <w:tcBorders>
              <w:bottom w:val="thinThickSmallGap" w:sz="18" w:space="0" w:color="auto"/>
            </w:tcBorders>
          </w:tcPr>
          <w:p w:rsidR="002A1639" w:rsidRPr="002A1639" w:rsidRDefault="002A1639" w:rsidP="002A1639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</w:pPr>
            <w:r w:rsidRPr="002A1639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  <w:lastRenderedPageBreak/>
              <w:t>Javne finansije</w:t>
            </w:r>
          </w:p>
          <w:p w:rsidR="002A1639" w:rsidRPr="007E4431" w:rsidRDefault="00762622" w:rsidP="002A1639">
            <w:pPr>
              <w:pStyle w:val="ListParagraph"/>
              <w:spacing w:after="0" w:line="240" w:lineRule="auto"/>
              <w:ind w:left="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sr-Latn-CS" w:eastAsia="sr-Latn-C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-3.65pt;margin-top:.45pt;width:343.15pt;height:0;z-index:251658240" o:connectortype="straight" strokeweight=".5pt"/>
              </w:pict>
            </w:r>
            <w:r w:rsidR="002A1639">
              <w:rPr>
                <w:b/>
                <w:noProof/>
                <w:sz w:val="20"/>
                <w:szCs w:val="20"/>
              </w:rPr>
              <w:t xml:space="preserve">Izvorni </w:t>
            </w:r>
            <w:r w:rsidR="002A1639" w:rsidRPr="00827E62">
              <w:rPr>
                <w:b/>
                <w:noProof/>
                <w:sz w:val="20"/>
                <w:szCs w:val="20"/>
              </w:rPr>
              <w:t>pri</w:t>
            </w:r>
            <w:r w:rsidR="002A1639">
              <w:rPr>
                <w:b/>
                <w:noProof/>
                <w:sz w:val="20"/>
                <w:szCs w:val="20"/>
              </w:rPr>
              <w:t>hodi budžeta Crne Gore u oktobru</w:t>
            </w:r>
            <w:r w:rsidR="002A1639" w:rsidRPr="00827E62">
              <w:rPr>
                <w:b/>
                <w:noProof/>
                <w:sz w:val="20"/>
                <w:szCs w:val="20"/>
              </w:rPr>
              <w:t xml:space="preserve"> 2013. g</w:t>
            </w:r>
            <w:r w:rsidR="002A1639">
              <w:rPr>
                <w:b/>
                <w:noProof/>
                <w:sz w:val="20"/>
                <w:szCs w:val="20"/>
              </w:rPr>
              <w:t>odine iznosili su 117,3 mil. € i  veći su za 18,2</w:t>
            </w:r>
            <w:r w:rsidR="002A1639" w:rsidRPr="00827E62">
              <w:rPr>
                <w:b/>
                <w:noProof/>
                <w:sz w:val="20"/>
                <w:szCs w:val="20"/>
              </w:rPr>
              <w:t>%</w:t>
            </w:r>
            <w:r w:rsidR="002A1639">
              <w:rPr>
                <w:b/>
                <w:noProof/>
                <w:sz w:val="20"/>
                <w:szCs w:val="20"/>
              </w:rPr>
              <w:t xml:space="preserve"> </w:t>
            </w:r>
            <w:r w:rsidR="002A1639" w:rsidRPr="00827E62">
              <w:rPr>
                <w:b/>
                <w:noProof/>
                <w:sz w:val="20"/>
                <w:szCs w:val="20"/>
              </w:rPr>
              <w:t xml:space="preserve">u </w:t>
            </w:r>
            <w:r w:rsidR="002A1639">
              <w:rPr>
                <w:b/>
                <w:noProof/>
                <w:sz w:val="20"/>
                <w:szCs w:val="20"/>
              </w:rPr>
              <w:t>odnosu na oktobar 2012. godine</w:t>
            </w:r>
            <w:r w:rsidR="002A1639" w:rsidRPr="00827E62">
              <w:rPr>
                <w:b/>
                <w:noProof/>
                <w:sz w:val="20"/>
                <w:szCs w:val="20"/>
              </w:rPr>
              <w:t xml:space="preserve">, </w:t>
            </w:r>
            <w:r w:rsidR="002A1639">
              <w:rPr>
                <w:b/>
                <w:noProof/>
                <w:sz w:val="20"/>
                <w:szCs w:val="20"/>
              </w:rPr>
              <w:t xml:space="preserve">kao </w:t>
            </w:r>
            <w:r w:rsidR="002A1639" w:rsidRPr="00827E62">
              <w:rPr>
                <w:b/>
                <w:noProof/>
                <w:sz w:val="20"/>
                <w:szCs w:val="20"/>
              </w:rPr>
              <w:t xml:space="preserve">i </w:t>
            </w:r>
            <w:r w:rsidR="002A1639">
              <w:rPr>
                <w:b/>
                <w:noProof/>
                <w:sz w:val="20"/>
                <w:szCs w:val="20"/>
              </w:rPr>
              <w:t>u odnosu na plan za 11,8</w:t>
            </w:r>
            <w:r w:rsidR="002A1639" w:rsidRPr="00827E62">
              <w:rPr>
                <w:b/>
                <w:noProof/>
                <w:sz w:val="20"/>
                <w:szCs w:val="20"/>
              </w:rPr>
              <w:t xml:space="preserve">%. </w:t>
            </w:r>
            <w:r w:rsidR="002A1639">
              <w:rPr>
                <w:b/>
                <w:noProof/>
                <w:sz w:val="20"/>
                <w:szCs w:val="20"/>
              </w:rPr>
              <w:t xml:space="preserve"> </w:t>
            </w:r>
            <w:r w:rsidR="002A1639" w:rsidRPr="001A2F7A">
              <w:rPr>
                <w:noProof/>
                <w:sz w:val="20"/>
                <w:szCs w:val="20"/>
              </w:rPr>
              <w:t>U periodu januar</w:t>
            </w:r>
            <w:r w:rsidR="002A1639">
              <w:rPr>
                <w:noProof/>
                <w:sz w:val="20"/>
                <w:szCs w:val="20"/>
              </w:rPr>
              <w:t>-oktobar 2013.g. ostvaren je rast naplate prihoda od 9,7% u odnosu na isti period 2012.g.</w:t>
            </w:r>
            <w:r w:rsidR="002A1639" w:rsidRPr="00827E62">
              <w:rPr>
                <w:noProof/>
                <w:sz w:val="20"/>
                <w:szCs w:val="20"/>
              </w:rPr>
              <w:t xml:space="preserve"> što je posljedica sprovođenja mje</w:t>
            </w:r>
            <w:r w:rsidR="002A1639">
              <w:rPr>
                <w:noProof/>
                <w:sz w:val="20"/>
                <w:szCs w:val="20"/>
              </w:rPr>
              <w:t xml:space="preserve">ra na suzbijanju sive ekonomije i povećanja gornje </w:t>
            </w:r>
            <w:r w:rsidR="002A1639" w:rsidRPr="00827E62">
              <w:rPr>
                <w:noProof/>
                <w:sz w:val="20"/>
                <w:szCs w:val="20"/>
              </w:rPr>
              <w:t>st</w:t>
            </w:r>
            <w:r w:rsidR="002A1639">
              <w:rPr>
                <w:noProof/>
                <w:sz w:val="20"/>
                <w:szCs w:val="20"/>
              </w:rPr>
              <w:t xml:space="preserve">ope PDV-a na 19%. Naplata PDV-a u oktobru 2013.g. </w:t>
            </w:r>
            <w:r w:rsidR="002A1639" w:rsidRPr="00827E62">
              <w:rPr>
                <w:noProof/>
                <w:sz w:val="20"/>
                <w:szCs w:val="20"/>
              </w:rPr>
              <w:t xml:space="preserve"> bila</w:t>
            </w:r>
            <w:r w:rsidR="002A1639">
              <w:rPr>
                <w:noProof/>
                <w:sz w:val="20"/>
                <w:szCs w:val="20"/>
              </w:rPr>
              <w:t xml:space="preserve">  je</w:t>
            </w:r>
            <w:r w:rsidR="002A1639" w:rsidRPr="00827E62">
              <w:rPr>
                <w:noProof/>
                <w:sz w:val="20"/>
                <w:szCs w:val="20"/>
              </w:rPr>
              <w:t xml:space="preserve"> veća </w:t>
            </w:r>
            <w:r w:rsidR="002A1639">
              <w:rPr>
                <w:noProof/>
                <w:sz w:val="20"/>
                <w:szCs w:val="20"/>
              </w:rPr>
              <w:t xml:space="preserve"> u odnosu  na plan za 6 % i 11% u odnosu na oktobar 2012. godine.</w:t>
            </w:r>
          </w:p>
          <w:p w:rsidR="002A1639" w:rsidRPr="00827E62" w:rsidRDefault="002A1639" w:rsidP="002A1639">
            <w:pP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 w:rsidRPr="00827E62">
              <w:rPr>
                <w:b/>
                <w:noProof/>
                <w:sz w:val="20"/>
                <w:szCs w:val="20"/>
              </w:rPr>
              <w:t>Izdaci budžeta</w:t>
            </w:r>
            <w:r w:rsidRPr="00827E62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 u oktobru 2013.g. iznosili su 97,2 mil. € i manji</w:t>
            </w:r>
            <w:r w:rsidRPr="00827E62">
              <w:rPr>
                <w:noProof/>
                <w:sz w:val="20"/>
                <w:szCs w:val="20"/>
              </w:rPr>
              <w:t xml:space="preserve"> su u odnosu na isti </w:t>
            </w:r>
            <w:r>
              <w:rPr>
                <w:noProof/>
                <w:sz w:val="20"/>
                <w:szCs w:val="20"/>
              </w:rPr>
              <w:t>mjesec prošle godine  za 6,6 %</w:t>
            </w:r>
            <w:r w:rsidRPr="00827E62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 i u odnosu na plan</w:t>
            </w:r>
            <w:r w:rsidRPr="00827E62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za  7,4 % </w:t>
            </w:r>
            <w:r w:rsidRPr="00827E62">
              <w:rPr>
                <w:noProof/>
                <w:sz w:val="20"/>
                <w:szCs w:val="20"/>
              </w:rPr>
              <w:t xml:space="preserve">. </w:t>
            </w:r>
          </w:p>
          <w:p w:rsidR="002A1639" w:rsidRPr="00827E62" w:rsidRDefault="002A1639" w:rsidP="002A1639">
            <w:pP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Suficit</w:t>
            </w:r>
            <w:r w:rsidRPr="00827E62">
              <w:rPr>
                <w:b/>
                <w:noProof/>
                <w:sz w:val="20"/>
                <w:szCs w:val="20"/>
              </w:rPr>
              <w:t xml:space="preserve"> budžeta</w:t>
            </w:r>
            <w:r>
              <w:rPr>
                <w:noProof/>
                <w:sz w:val="20"/>
                <w:szCs w:val="20"/>
              </w:rPr>
              <w:t xml:space="preserve"> u oktobru</w:t>
            </w:r>
            <w:r w:rsidRPr="00827E62">
              <w:rPr>
                <w:noProof/>
                <w:sz w:val="20"/>
                <w:szCs w:val="20"/>
              </w:rPr>
              <w:t xml:space="preserve"> 2013. </w:t>
            </w:r>
            <w:r>
              <w:rPr>
                <w:noProof/>
                <w:sz w:val="20"/>
                <w:szCs w:val="20"/>
              </w:rPr>
              <w:t>godine iznosio je 20,0 mil. €</w:t>
            </w:r>
            <w:r w:rsidRPr="00827E62">
              <w:rPr>
                <w:noProof/>
                <w:sz w:val="20"/>
                <w:szCs w:val="20"/>
              </w:rPr>
              <w:t xml:space="preserve">. Kumulativni deficit budžeta </w:t>
            </w:r>
            <w:r>
              <w:rPr>
                <w:noProof/>
                <w:sz w:val="20"/>
                <w:szCs w:val="20"/>
              </w:rPr>
              <w:t>za deset</w:t>
            </w:r>
            <w:r w:rsidRPr="00827E62">
              <w:rPr>
                <w:noProof/>
                <w:sz w:val="20"/>
                <w:szCs w:val="20"/>
              </w:rPr>
              <w:t xml:space="preserve"> mjesec</w:t>
            </w:r>
            <w:r>
              <w:rPr>
                <w:noProof/>
                <w:sz w:val="20"/>
                <w:szCs w:val="20"/>
              </w:rPr>
              <w:t>i 2013. godine iznosio je 115,5 mil. € i manj</w:t>
            </w:r>
            <w:r w:rsidRPr="00827E62">
              <w:rPr>
                <w:noProof/>
                <w:sz w:val="20"/>
                <w:szCs w:val="20"/>
              </w:rPr>
              <w:t>i je od deficita u istom periodu</w:t>
            </w:r>
            <w:r>
              <w:rPr>
                <w:noProof/>
                <w:sz w:val="20"/>
                <w:szCs w:val="20"/>
              </w:rPr>
              <w:t xml:space="preserve"> prošle godine za</w:t>
            </w:r>
            <w:r w:rsidRPr="005374B6">
              <w:rPr>
                <w:noProof/>
                <w:color w:val="FF0000"/>
                <w:sz w:val="20"/>
                <w:szCs w:val="20"/>
              </w:rPr>
              <w:t xml:space="preserve">  </w:t>
            </w:r>
            <w:r w:rsidRPr="0044714A">
              <w:rPr>
                <w:noProof/>
                <w:sz w:val="20"/>
                <w:szCs w:val="20"/>
              </w:rPr>
              <w:t>21,5 mil. €.</w:t>
            </w:r>
          </w:p>
          <w:p w:rsidR="002A1639" w:rsidRDefault="002A1639" w:rsidP="0048470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27E62">
              <w:rPr>
                <w:b/>
                <w:noProof/>
                <w:sz w:val="20"/>
                <w:szCs w:val="20"/>
              </w:rPr>
              <w:t>Državni dug</w:t>
            </w:r>
            <w:r>
              <w:rPr>
                <w:noProof/>
                <w:sz w:val="20"/>
                <w:szCs w:val="20"/>
              </w:rPr>
              <w:t xml:space="preserve"> na kraju oktobra 2013.godine iznosio je </w:t>
            </w:r>
            <w:r w:rsidRPr="00797103">
              <w:rPr>
                <w:bCs/>
                <w:sz w:val="18"/>
                <w:szCs w:val="18"/>
              </w:rPr>
              <w:t>1832,00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827E62">
              <w:rPr>
                <w:noProof/>
                <w:sz w:val="20"/>
                <w:szCs w:val="20"/>
              </w:rPr>
              <w:t>mil.</w:t>
            </w:r>
            <w:r>
              <w:rPr>
                <w:noProof/>
                <w:sz w:val="20"/>
                <w:szCs w:val="20"/>
              </w:rPr>
              <w:t>€ ili 55,3</w:t>
            </w:r>
            <w:r w:rsidRPr="00827E62">
              <w:rPr>
                <w:noProof/>
                <w:sz w:val="20"/>
                <w:szCs w:val="20"/>
              </w:rPr>
              <w:t xml:space="preserve">% procijenjenog BDP-a i povećan je </w:t>
            </w:r>
            <w:r w:rsidRPr="00797103">
              <w:rPr>
                <w:noProof/>
                <w:sz w:val="20"/>
                <w:szCs w:val="20"/>
              </w:rPr>
              <w:t>0,04 p.p.</w:t>
            </w:r>
            <w:r w:rsidRPr="00827E62">
              <w:rPr>
                <w:noProof/>
                <w:sz w:val="20"/>
                <w:szCs w:val="20"/>
              </w:rPr>
              <w:t xml:space="preserve"> u odnosu na prethodni mjesec.</w:t>
            </w:r>
            <w:r>
              <w:rPr>
                <w:noProof/>
                <w:sz w:val="20"/>
                <w:szCs w:val="20"/>
              </w:rPr>
              <w:t xml:space="preserve"> Unutrašnji dug iznosio je </w:t>
            </w:r>
            <w:r w:rsidRPr="005374B6">
              <w:rPr>
                <w:noProof/>
                <w:sz w:val="20"/>
                <w:szCs w:val="20"/>
              </w:rPr>
              <w:t>471,7</w:t>
            </w:r>
            <w:r w:rsidRPr="00827E62">
              <w:rPr>
                <w:noProof/>
                <w:sz w:val="20"/>
                <w:szCs w:val="20"/>
              </w:rPr>
              <w:t>mil. €, a</w:t>
            </w:r>
            <w:r>
              <w:rPr>
                <w:noProof/>
                <w:sz w:val="20"/>
                <w:szCs w:val="20"/>
              </w:rPr>
              <w:t xml:space="preserve"> dug prema nerezidentima </w:t>
            </w:r>
            <w:r w:rsidRPr="005374B6">
              <w:rPr>
                <w:rFonts w:ascii="Arial" w:hAnsi="Arial" w:cs="Arial"/>
                <w:sz w:val="18"/>
                <w:szCs w:val="18"/>
              </w:rPr>
              <w:t>1.360,3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827E62">
              <w:rPr>
                <w:noProof/>
                <w:sz w:val="20"/>
                <w:szCs w:val="20"/>
              </w:rPr>
              <w:t xml:space="preserve">mil.€  </w:t>
            </w:r>
          </w:p>
        </w:tc>
        <w:tc>
          <w:tcPr>
            <w:tcW w:w="376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2A1639" w:rsidRPr="00E57610" w:rsidRDefault="002A1639" w:rsidP="00A66BEC">
            <w:pPr>
              <w:jc w:val="center"/>
              <w:rPr>
                <w:noProof/>
                <w:sz w:val="17"/>
                <w:szCs w:val="17"/>
                <w:lang w:val="sr-Latn-CS" w:eastAsia="sr-Latn-CS"/>
              </w:rPr>
            </w:pPr>
            <w:r w:rsidRPr="002A1639">
              <w:rPr>
                <w:noProof/>
                <w:sz w:val="17"/>
                <w:szCs w:val="17"/>
                <w:lang w:val="sr-Latn-CS" w:eastAsia="sr-Latn-CS"/>
              </w:rPr>
              <w:drawing>
                <wp:inline distT="0" distB="0" distL="0" distR="0">
                  <wp:extent cx="2223818" cy="2475781"/>
                  <wp:effectExtent l="0" t="0" r="0" b="0"/>
                  <wp:docPr id="19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2A1639" w:rsidRPr="00DC4AD1" w:rsidTr="005065E6">
        <w:trPr>
          <w:trHeight w:hRule="exact" w:val="4739"/>
        </w:trPr>
        <w:tc>
          <w:tcPr>
            <w:tcW w:w="7054" w:type="dxa"/>
            <w:tcBorders>
              <w:bottom w:val="thinThickSmallGap" w:sz="18" w:space="0" w:color="auto"/>
            </w:tcBorders>
          </w:tcPr>
          <w:p w:rsidR="002A1639" w:rsidRPr="002A1639" w:rsidRDefault="002A1639" w:rsidP="002A1639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</w:pPr>
            <w:r w:rsidRPr="002A1639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  <w:t>Monetarni sektor</w:t>
            </w:r>
          </w:p>
          <w:p w:rsidR="00363C84" w:rsidRDefault="00363C84" w:rsidP="002A1639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b/>
                <w:noProof/>
                <w:sz w:val="20"/>
                <w:szCs w:val="20"/>
              </w:rPr>
            </w:pPr>
          </w:p>
          <w:p w:rsidR="002A1639" w:rsidRDefault="002A1639" w:rsidP="002A1639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 w:rsidRPr="005818A8">
              <w:rPr>
                <w:b/>
                <w:noProof/>
                <w:sz w:val="20"/>
                <w:szCs w:val="20"/>
              </w:rPr>
              <w:t>Oktobarska kretanja bilježe rast bilansne sume banaka i kapitala, dok su krediti i depoziti ostvarili pad na mjesečnom nivou</w:t>
            </w:r>
            <w:r w:rsidRPr="008E77D5">
              <w:rPr>
                <w:noProof/>
                <w:sz w:val="20"/>
                <w:szCs w:val="20"/>
              </w:rPr>
              <w:t>. Bilansna suma banaka je povećana za 184,4 mil.€ ili 6,6%, a kapital za 132,3 mil.€ ili 45,8% u odnosu na kraj prethodne godine.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8E77D5">
              <w:rPr>
                <w:noProof/>
                <w:sz w:val="20"/>
                <w:szCs w:val="20"/>
              </w:rPr>
              <w:t>Ukupni depoziti su u oktobru iznosili 2.104,3</w:t>
            </w:r>
            <w:r w:rsidR="0048470D">
              <w:rPr>
                <w:noProof/>
                <w:sz w:val="20"/>
                <w:szCs w:val="20"/>
              </w:rPr>
              <w:t xml:space="preserve"> </w:t>
            </w:r>
            <w:r w:rsidRPr="008E77D5">
              <w:rPr>
                <w:noProof/>
                <w:sz w:val="20"/>
                <w:szCs w:val="20"/>
              </w:rPr>
              <w:t>mil.€ i smanjeni su za 3,2% u odnosu na prethodni mjesec, dok su na godišnjem nivou povećani za 7,0%.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8E77D5">
              <w:rPr>
                <w:noProof/>
                <w:sz w:val="20"/>
                <w:szCs w:val="20"/>
              </w:rPr>
              <w:t xml:space="preserve"> Ukupni krediti i ostala potraživanja  sa iznosom od 2.474,5 mil.€ su ostvarili pad od 2,4% u odnosu na prethodni mjesec, dok su na godišnjem nivou povećani za 4,8%. Novoodobreni krediti su za deset mjeseci iznosili 623,0 mil. €, što je za 9,4% više u odnosu na isti period prethodne godine. </w:t>
            </w:r>
            <w:r>
              <w:rPr>
                <w:noProof/>
                <w:sz w:val="20"/>
                <w:szCs w:val="20"/>
              </w:rPr>
              <w:t>U</w:t>
            </w:r>
            <w:r w:rsidRPr="008E77D5">
              <w:rPr>
                <w:noProof/>
                <w:sz w:val="20"/>
                <w:szCs w:val="20"/>
              </w:rPr>
              <w:t>sled izraženog problema nelikvidnosti realnog sektora, kreditna politika banaka je i dalje restriktivna, uz visoke kamatne stope. Od ukupno evidentiranih 54.482 pravnih lica i preduzetnika, u oktobru je bilo u blokadi 12.561 izvršna dužnika ili 23,1 %, što u odnosu na stanje iz prethodnog mjeseca predstavlja povećanje od 0,9%. Na godišnjem nivou to predstavlja povećanje od 5,0%.   U vr</w:t>
            </w:r>
            <w:r w:rsidR="00FB6971">
              <w:rPr>
                <w:noProof/>
                <w:sz w:val="20"/>
                <w:szCs w:val="20"/>
              </w:rPr>
              <w:t>ij</w:t>
            </w:r>
            <w:r w:rsidRPr="008E77D5">
              <w:rPr>
                <w:noProof/>
                <w:sz w:val="20"/>
                <w:szCs w:val="20"/>
              </w:rPr>
              <w:t>ednosnom smislu,</w:t>
            </w:r>
            <w:r w:rsidR="003655B6">
              <w:rPr>
                <w:noProof/>
                <w:sz w:val="20"/>
                <w:szCs w:val="20"/>
              </w:rPr>
              <w:t xml:space="preserve"> </w:t>
            </w:r>
            <w:r w:rsidRPr="008E77D5">
              <w:rPr>
                <w:noProof/>
                <w:sz w:val="20"/>
                <w:szCs w:val="20"/>
              </w:rPr>
              <w:t>ukupan iznos duga po osnovu koga je izvršeno blokiranje računa, je bio 432,9 mil.€ i povećan je za 2,84% u odnosu na prethodni mjesec,</w:t>
            </w:r>
            <w:r w:rsidR="003655B6">
              <w:rPr>
                <w:noProof/>
                <w:sz w:val="20"/>
                <w:szCs w:val="20"/>
              </w:rPr>
              <w:t xml:space="preserve"> </w:t>
            </w:r>
            <w:r w:rsidRPr="008E77D5">
              <w:rPr>
                <w:noProof/>
                <w:sz w:val="20"/>
                <w:szCs w:val="20"/>
              </w:rPr>
              <w:t xml:space="preserve">dok je na godišnjem nivou ostvaren rast od 8,6%.  </w:t>
            </w:r>
          </w:p>
          <w:p w:rsidR="002A1639" w:rsidRDefault="002A1639" w:rsidP="00893A0A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6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2A1639" w:rsidRPr="00E57610" w:rsidRDefault="002A1639" w:rsidP="00A66BEC">
            <w:pPr>
              <w:jc w:val="center"/>
              <w:rPr>
                <w:noProof/>
                <w:sz w:val="17"/>
                <w:szCs w:val="17"/>
                <w:lang w:val="sr-Latn-CS" w:eastAsia="sr-Latn-CS"/>
              </w:rPr>
            </w:pPr>
            <w:r w:rsidRPr="002A1639">
              <w:rPr>
                <w:noProof/>
                <w:sz w:val="17"/>
                <w:szCs w:val="17"/>
                <w:lang w:val="sr-Latn-CS" w:eastAsia="sr-Latn-CS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margin">
                    <wp:posOffset>372110</wp:posOffset>
                  </wp:positionH>
                  <wp:positionV relativeFrom="paragraph">
                    <wp:posOffset>-93980</wp:posOffset>
                  </wp:positionV>
                  <wp:extent cx="2343150" cy="1943100"/>
                  <wp:effectExtent l="0" t="0" r="0" b="0"/>
                  <wp:wrapSquare wrapText="bothSides"/>
                  <wp:docPr id="18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anchor>
              </w:drawing>
            </w:r>
          </w:p>
        </w:tc>
      </w:tr>
      <w:tr w:rsidR="00D5378F" w:rsidRPr="00DC4AD1" w:rsidTr="005065E6">
        <w:trPr>
          <w:trHeight w:hRule="exact" w:val="4739"/>
        </w:trPr>
        <w:tc>
          <w:tcPr>
            <w:tcW w:w="7054" w:type="dxa"/>
            <w:tcBorders>
              <w:bottom w:val="thinThickSmallGap" w:sz="18" w:space="0" w:color="auto"/>
            </w:tcBorders>
          </w:tcPr>
          <w:p w:rsidR="005065E6" w:rsidRDefault="00893A0A" w:rsidP="00893A0A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7. Spoljnotrgovinska razmjena i investicije</w:t>
            </w:r>
          </w:p>
          <w:p w:rsidR="00893A0A" w:rsidRPr="00EC326B" w:rsidRDefault="001030CC" w:rsidP="005065E6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sr-Latn-CS"/>
              </w:rPr>
            </w:pPr>
            <w:r>
              <w:rPr>
                <w:rFonts w:cstheme="minorHAnsi"/>
                <w:b/>
                <w:sz w:val="20"/>
                <w:szCs w:val="20"/>
              </w:rPr>
              <w:t>Smanjenje</w:t>
            </w:r>
            <w:r w:rsidR="00893A0A" w:rsidRPr="00EC326B">
              <w:rPr>
                <w:rFonts w:cstheme="minorHAnsi"/>
                <w:b/>
                <w:sz w:val="20"/>
                <w:szCs w:val="20"/>
              </w:rPr>
              <w:t xml:space="preserve"> spoljnotrgovinskog  deficita  za deset  mjeseci  2013.  rezultat je poboljšanja energetskog salda</w:t>
            </w:r>
            <w:r w:rsidR="0051201B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893A0A" w:rsidRPr="00EC326B">
              <w:rPr>
                <w:rFonts w:cstheme="minorHAnsi"/>
                <w:b/>
                <w:sz w:val="20"/>
                <w:szCs w:val="20"/>
              </w:rPr>
              <w:t>Robni  deficit</w:t>
            </w:r>
            <w:r w:rsidR="00893A0A" w:rsidRPr="00EC326B">
              <w:rPr>
                <w:rFonts w:cstheme="minorHAnsi"/>
                <w:sz w:val="20"/>
                <w:szCs w:val="20"/>
              </w:rPr>
              <w:t xml:space="preserve">  </w:t>
            </w:r>
            <w:r w:rsidR="00893A0A" w:rsidRPr="00893A0A">
              <w:rPr>
                <w:rFonts w:cstheme="minorHAnsi"/>
                <w:sz w:val="20"/>
                <w:szCs w:val="20"/>
              </w:rPr>
              <w:t>na</w:t>
            </w:r>
            <w:r w:rsidR="00893A0A" w:rsidRPr="00EC326B">
              <w:rPr>
                <w:rFonts w:cstheme="minorHAnsi"/>
                <w:sz w:val="20"/>
                <w:szCs w:val="20"/>
              </w:rPr>
              <w:t xml:space="preserve">  godišnjem nivou  je  bio niži </w:t>
            </w:r>
            <w:r w:rsidR="005065E6">
              <w:rPr>
                <w:rFonts w:cstheme="minorHAnsi"/>
                <w:sz w:val="20"/>
                <w:szCs w:val="20"/>
              </w:rPr>
              <w:t>za 4,8% i iznosio 1.183,5 mil.€</w:t>
            </w:r>
            <w:r w:rsidR="00893A0A" w:rsidRPr="00EC326B">
              <w:rPr>
                <w:rFonts w:cstheme="minorHAnsi"/>
                <w:sz w:val="20"/>
                <w:szCs w:val="20"/>
              </w:rPr>
              <w:t xml:space="preserve"> usljed povećanje izvoza roba za 2,5% i istovremenog  smanjenja  uvoza za 3,4%. </w:t>
            </w:r>
            <w:r w:rsidR="00893A0A" w:rsidRPr="00EC326B">
              <w:rPr>
                <w:rFonts w:cstheme="minorHAnsi"/>
                <w:b/>
                <w:sz w:val="20"/>
                <w:szCs w:val="20"/>
              </w:rPr>
              <w:t>Ukupna robna  ra</w:t>
            </w:r>
            <w:r w:rsidR="00893A0A" w:rsidRPr="00EC326B">
              <w:rPr>
                <w:rFonts w:cstheme="minorHAnsi"/>
                <w:b/>
                <w:sz w:val="20"/>
                <w:szCs w:val="20"/>
                <w:lang w:val="sr-Latn-CS"/>
              </w:rPr>
              <w:t>zmjena</w:t>
            </w:r>
            <w:r w:rsidR="00893A0A" w:rsidRPr="00EC326B">
              <w:rPr>
                <w:rFonts w:cstheme="minorHAnsi"/>
                <w:sz w:val="20"/>
                <w:szCs w:val="20"/>
                <w:lang w:val="sr-Latn-CS"/>
              </w:rPr>
              <w:t xml:space="preserve"> iznosila je 1.802,6 mil.€ i bila za 2,4% manja, od čega je </w:t>
            </w:r>
            <w:r w:rsidR="00893A0A" w:rsidRPr="00EC326B">
              <w:rPr>
                <w:rFonts w:cstheme="minorHAnsi"/>
                <w:b/>
                <w:sz w:val="20"/>
                <w:szCs w:val="20"/>
                <w:lang w:val="sr-Latn-CS"/>
              </w:rPr>
              <w:t>izvoz v</w:t>
            </w:r>
            <w:r w:rsidR="00893A0A" w:rsidRPr="00EC326B">
              <w:rPr>
                <w:rFonts w:cstheme="minorHAnsi"/>
                <w:sz w:val="20"/>
                <w:szCs w:val="20"/>
                <w:lang w:val="sr-Latn-CS"/>
              </w:rPr>
              <w:t xml:space="preserve">rijedio 309,5 mil.€, a </w:t>
            </w:r>
            <w:r w:rsidR="00893A0A" w:rsidRPr="00EC326B">
              <w:rPr>
                <w:rFonts w:cstheme="minorHAnsi"/>
                <w:b/>
                <w:sz w:val="20"/>
                <w:szCs w:val="20"/>
                <w:lang w:val="sr-Latn-CS"/>
              </w:rPr>
              <w:t>uvoz</w:t>
            </w:r>
            <w:r w:rsidR="00893A0A" w:rsidRPr="00EC326B">
              <w:rPr>
                <w:rFonts w:cstheme="minorHAnsi"/>
                <w:sz w:val="20"/>
                <w:szCs w:val="20"/>
                <w:lang w:val="sr-Latn-CS"/>
              </w:rPr>
              <w:t xml:space="preserve"> 1.493,0 mil.€.</w:t>
            </w:r>
            <w:r w:rsidR="00893A0A" w:rsidRPr="00EC326B">
              <w:rPr>
                <w:rFonts w:cstheme="minorHAnsi"/>
                <w:sz w:val="20"/>
                <w:szCs w:val="20"/>
              </w:rPr>
              <w:t xml:space="preserve">  P</w:t>
            </w:r>
            <w:r w:rsidR="00893A0A" w:rsidRPr="00EC326B">
              <w:rPr>
                <w:sz w:val="20"/>
                <w:szCs w:val="20"/>
              </w:rPr>
              <w:t xml:space="preserve">okrivenost  uvoza izvozom roba iznosila je 20,7% i povećana  je za 1,2p.p  u odnosu na isti period 2012.  Izvoz je zabilježio rast usljed povećanja izvoza električne energije za tri puta, uprkos </w:t>
            </w:r>
            <w:r w:rsidR="005065E6">
              <w:rPr>
                <w:sz w:val="20"/>
                <w:szCs w:val="20"/>
              </w:rPr>
              <w:t>jakom</w:t>
            </w:r>
            <w:r w:rsidR="00893A0A" w:rsidRPr="00EC326B">
              <w:rPr>
                <w:sz w:val="20"/>
                <w:szCs w:val="20"/>
              </w:rPr>
              <w:t xml:space="preserve"> padu izvoza aluminijuma (godišnji pad od 41,0%). Osnovni  razlozi pada uvoza  jesu  smanjenje  uvoza električne energije za 52,0%  i nafte i naftnih derivat</w:t>
            </w:r>
            <w:r w:rsidR="00893A0A">
              <w:rPr>
                <w:sz w:val="20"/>
                <w:szCs w:val="20"/>
              </w:rPr>
              <w:t>a</w:t>
            </w:r>
            <w:r w:rsidR="00893A0A" w:rsidRPr="00EC326B">
              <w:rPr>
                <w:sz w:val="20"/>
                <w:szCs w:val="20"/>
              </w:rPr>
              <w:t xml:space="preserve"> za 14,0%. Problemi  u KAP-u i dobri vremenski uslovi rezultirali su značajan</w:t>
            </w:r>
            <w:r w:rsidR="005065E6">
              <w:rPr>
                <w:sz w:val="20"/>
                <w:szCs w:val="20"/>
              </w:rPr>
              <w:t>im</w:t>
            </w:r>
            <w:r w:rsidR="00893A0A" w:rsidRPr="00EC326B">
              <w:rPr>
                <w:sz w:val="20"/>
                <w:szCs w:val="20"/>
              </w:rPr>
              <w:t xml:space="preserve">  rast</w:t>
            </w:r>
            <w:r w:rsidR="005065E6">
              <w:rPr>
                <w:sz w:val="20"/>
                <w:szCs w:val="20"/>
              </w:rPr>
              <w:t>om izvoza  uz</w:t>
            </w:r>
            <w:r w:rsidR="00893A0A" w:rsidRPr="00EC326B">
              <w:rPr>
                <w:sz w:val="20"/>
                <w:szCs w:val="20"/>
              </w:rPr>
              <w:t xml:space="preserve"> </w:t>
            </w:r>
            <w:r w:rsidR="00893A0A">
              <w:rPr>
                <w:sz w:val="20"/>
                <w:szCs w:val="20"/>
              </w:rPr>
              <w:t>istovremeni</w:t>
            </w:r>
            <w:r w:rsidR="00893A0A" w:rsidRPr="00EC326B">
              <w:rPr>
                <w:sz w:val="20"/>
                <w:szCs w:val="20"/>
              </w:rPr>
              <w:t xml:space="preserve"> pad uvoza električne energije.</w:t>
            </w:r>
            <w:r w:rsidR="00893A0A">
              <w:rPr>
                <w:sz w:val="20"/>
                <w:szCs w:val="20"/>
              </w:rPr>
              <w:t xml:space="preserve"> </w:t>
            </w:r>
          </w:p>
          <w:p w:rsidR="00893A0A" w:rsidRPr="00EC326B" w:rsidRDefault="00893A0A" w:rsidP="005065E6">
            <w:pPr>
              <w:pBdr>
                <w:top w:val="single" w:sz="4" w:space="1" w:color="auto"/>
              </w:pBdr>
              <w:shd w:val="clear" w:color="auto" w:fill="FFFFFF"/>
              <w:spacing w:after="120" w:line="240" w:lineRule="auto"/>
              <w:jc w:val="both"/>
              <w:rPr>
                <w:sz w:val="20"/>
                <w:szCs w:val="20"/>
              </w:rPr>
            </w:pPr>
            <w:r w:rsidRPr="00EC326B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  <w:r w:rsidRPr="00EC326B">
              <w:rPr>
                <w:sz w:val="20"/>
                <w:szCs w:val="20"/>
              </w:rPr>
              <w:t>Neto priliv SD</w:t>
            </w:r>
            <w:r w:rsidR="003655B6">
              <w:rPr>
                <w:sz w:val="20"/>
                <w:szCs w:val="20"/>
              </w:rPr>
              <w:t>I</w:t>
            </w:r>
            <w:r w:rsidRPr="00EC326B">
              <w:rPr>
                <w:sz w:val="20"/>
                <w:szCs w:val="20"/>
              </w:rPr>
              <w:t xml:space="preserve"> u periodu januar – septembar 2013. iznosio je 275,6 mil.€, što je za 14,8% manje u poređenju sa 2012. Najveći neto priliv SDI</w:t>
            </w:r>
            <w:r w:rsidR="005065E6">
              <w:rPr>
                <w:sz w:val="20"/>
                <w:szCs w:val="20"/>
              </w:rPr>
              <w:t xml:space="preserve"> </w:t>
            </w:r>
            <w:r w:rsidRPr="00EC326B">
              <w:rPr>
                <w:sz w:val="20"/>
                <w:szCs w:val="20"/>
              </w:rPr>
              <w:t>ostvaren je u septembru u iznosu od 57,3 mil.€. Ukupan priliv SDI za devet mjeseci  iznosio je  351,0 mil.€, u čemu  vlasnička ulaganja  učestvuju sa 53,0% (investicije u preduzeća i banke 12,2% i investicije po osnovu ulaganja u nekretnine 40,8%),  interkompanijski dug  44,3%, i ostalo 2,7% ukupnog priliva.  Ukupan odliv SDI za devet mjeseci  iznosio je 75,4 mil.€, što je za 19,3% manje u odnosu na 2012.</w:t>
            </w:r>
          </w:p>
          <w:p w:rsidR="00CD1F78" w:rsidRPr="00DC4AD1" w:rsidRDefault="00CD1F78" w:rsidP="00CD1F78">
            <w:pPr>
              <w:pStyle w:val="NoSpacing"/>
              <w:jc w:val="both"/>
              <w:rPr>
                <w:rFonts w:cs="Arial"/>
                <w:noProof/>
              </w:rPr>
            </w:pPr>
          </w:p>
        </w:tc>
        <w:tc>
          <w:tcPr>
            <w:tcW w:w="376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D5378F" w:rsidRPr="00DC4AD1" w:rsidRDefault="00E57610" w:rsidP="00A66BEC">
            <w:pPr>
              <w:jc w:val="center"/>
              <w:rPr>
                <w:noProof/>
                <w:sz w:val="17"/>
                <w:szCs w:val="17"/>
              </w:rPr>
            </w:pPr>
            <w:r w:rsidRPr="00E57610">
              <w:rPr>
                <w:noProof/>
                <w:sz w:val="17"/>
                <w:szCs w:val="17"/>
                <w:lang w:val="sr-Latn-CS" w:eastAsia="sr-Latn-CS"/>
              </w:rPr>
              <w:drawing>
                <wp:inline distT="0" distB="0" distL="0" distR="0">
                  <wp:extent cx="2406650" cy="2063750"/>
                  <wp:effectExtent l="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:rsidR="0082570B" w:rsidRPr="00DC4AD1" w:rsidRDefault="0082570B" w:rsidP="00D51C00">
      <w:pPr>
        <w:rPr>
          <w:noProof/>
        </w:rPr>
        <w:sectPr w:rsidR="0082570B" w:rsidRPr="00DC4AD1" w:rsidSect="008D4618">
          <w:pgSz w:w="11907" w:h="16839" w:code="9"/>
          <w:pgMar w:top="720" w:right="720" w:bottom="567" w:left="720" w:header="720" w:footer="720" w:gutter="0"/>
          <w:cols w:space="720"/>
          <w:rtlGutter/>
          <w:docGrid w:linePitch="360"/>
        </w:sectPr>
      </w:pPr>
    </w:p>
    <w:p w:rsidR="0082570B" w:rsidRPr="00DC4AD1" w:rsidRDefault="0082570B" w:rsidP="0002564B">
      <w:pPr>
        <w:jc w:val="center"/>
        <w:outlineLvl w:val="0"/>
        <w:rPr>
          <w:noProof/>
          <w:sz w:val="17"/>
          <w:szCs w:val="16"/>
        </w:rPr>
      </w:pPr>
      <w:r w:rsidRPr="00DC4AD1">
        <w:rPr>
          <w:noProof/>
          <w:sz w:val="17"/>
          <w:szCs w:val="16"/>
        </w:rPr>
        <w:lastRenderedPageBreak/>
        <w:t xml:space="preserve">Tabela 1: </w:t>
      </w:r>
      <w:r w:rsidRPr="00DC4AD1">
        <w:rPr>
          <w:b/>
          <w:bCs/>
          <w:noProof/>
          <w:sz w:val="17"/>
          <w:szCs w:val="16"/>
        </w:rPr>
        <w:t>MAKROEKONOMSKI INDIKATORI</w:t>
      </w:r>
      <w:r w:rsidRPr="00DC4AD1">
        <w:rPr>
          <w:noProof/>
          <w:sz w:val="17"/>
          <w:szCs w:val="16"/>
        </w:rPr>
        <w:t xml:space="preserve"> – </w:t>
      </w:r>
      <w:r w:rsidR="0058776D">
        <w:rPr>
          <w:noProof/>
          <w:sz w:val="17"/>
          <w:szCs w:val="16"/>
        </w:rPr>
        <w:t>Oktobar</w:t>
      </w:r>
      <w:r w:rsidRPr="00DC4AD1">
        <w:rPr>
          <w:noProof/>
          <w:sz w:val="17"/>
          <w:szCs w:val="16"/>
        </w:rPr>
        <w:t xml:space="preserve"> 201</w:t>
      </w:r>
      <w:r w:rsidR="00191F90" w:rsidRPr="00DC4AD1">
        <w:rPr>
          <w:noProof/>
          <w:sz w:val="17"/>
          <w:szCs w:val="16"/>
        </w:rPr>
        <w:t>3</w:t>
      </w:r>
      <w:r w:rsidRPr="00DC4AD1">
        <w:rPr>
          <w:noProof/>
          <w:sz w:val="17"/>
          <w:szCs w:val="16"/>
        </w:rPr>
        <w:t>.</w:t>
      </w:r>
    </w:p>
    <w:p w:rsidR="0082570B" w:rsidRPr="00DC4AD1" w:rsidRDefault="0082570B" w:rsidP="0002564B">
      <w:pPr>
        <w:spacing w:after="0" w:line="240" w:lineRule="auto"/>
        <w:outlineLvl w:val="0"/>
        <w:rPr>
          <w:b/>
          <w:i/>
          <w:noProof/>
          <w:sz w:val="16"/>
          <w:szCs w:val="16"/>
        </w:rPr>
      </w:pPr>
      <w:bookmarkStart w:id="0" w:name="_GoBack"/>
      <w:bookmarkEnd w:id="0"/>
      <w:r w:rsidRPr="00DC4AD1">
        <w:rPr>
          <w:b/>
          <w:i/>
          <w:noProof/>
          <w:sz w:val="16"/>
          <w:szCs w:val="16"/>
        </w:rPr>
        <w:t xml:space="preserve">Izvor: </w:t>
      </w:r>
      <w:r w:rsidR="00D64FD3">
        <w:rPr>
          <w:b/>
          <w:i/>
          <w:noProof/>
          <w:sz w:val="16"/>
          <w:szCs w:val="16"/>
        </w:rPr>
        <w:t>MONSTAT</w:t>
      </w:r>
      <w:r w:rsidRPr="00DC4AD1">
        <w:rPr>
          <w:b/>
          <w:i/>
          <w:noProof/>
          <w:sz w:val="16"/>
          <w:szCs w:val="16"/>
        </w:rPr>
        <w:t>, Centralna Banka, Zavod za zapošljavanje Crne Gore</w:t>
      </w:r>
    </w:p>
    <w:p w:rsidR="0082570B" w:rsidRPr="00DC4AD1" w:rsidRDefault="0082570B" w:rsidP="00303D85">
      <w:pPr>
        <w:spacing w:after="0"/>
        <w:ind w:firstLine="142"/>
        <w:rPr>
          <w:i/>
          <w:iCs/>
          <w:noProof/>
          <w:sz w:val="12"/>
          <w:szCs w:val="12"/>
        </w:rPr>
      </w:pPr>
      <w:r w:rsidRPr="00DC4AD1">
        <w:rPr>
          <w:i/>
          <w:iCs/>
          <w:noProof/>
          <w:sz w:val="12"/>
          <w:szCs w:val="12"/>
        </w:rPr>
        <w:t>Svi indikatori su prikazani kao godišnje stope rasta (stopa promjene indikatora u posmatranom mjesecu u odnosu na isti mjesec prethodne godine u %) ukoliko nije drugačije naznačeno u nazivu</w:t>
      </w:r>
    </w:p>
    <w:p w:rsidR="004F4CFC" w:rsidRDefault="0082570B" w:rsidP="00875C4F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  <w:r w:rsidRPr="00DC4AD1">
        <w:rPr>
          <w:i/>
          <w:iCs/>
          <w:noProof/>
          <w:sz w:val="12"/>
          <w:szCs w:val="12"/>
        </w:rPr>
        <w:t>M-n-M označava mjesečnu promjenu (stopa promjene indikatora u posmatranom mjesecu u odnosu na prethodni mjesec u %)</w:t>
      </w:r>
    </w:p>
    <w:p w:rsidR="002A1639" w:rsidRPr="00F40003" w:rsidRDefault="002A1639" w:rsidP="002A1639">
      <w:pPr>
        <w:pStyle w:val="Caption"/>
        <w:keepNext/>
        <w:rPr>
          <w:sz w:val="16"/>
        </w:rPr>
      </w:pPr>
      <w:r w:rsidRPr="00F40003">
        <w:rPr>
          <w:sz w:val="16"/>
        </w:rPr>
        <w:t xml:space="preserve">Tabela </w:t>
      </w:r>
      <w:r w:rsidR="00762622" w:rsidRPr="00F40003">
        <w:rPr>
          <w:sz w:val="16"/>
        </w:rPr>
        <w:fldChar w:fldCharType="begin"/>
      </w:r>
      <w:r w:rsidRPr="00F40003">
        <w:rPr>
          <w:sz w:val="16"/>
        </w:rPr>
        <w:instrText xml:space="preserve"> SEQ Tabela \* ARABIC </w:instrText>
      </w:r>
      <w:r w:rsidR="00762622" w:rsidRPr="00F40003">
        <w:rPr>
          <w:sz w:val="16"/>
        </w:rPr>
        <w:fldChar w:fldCharType="separate"/>
      </w:r>
      <w:r w:rsidR="00F40003" w:rsidRPr="00F40003">
        <w:rPr>
          <w:noProof/>
          <w:sz w:val="16"/>
        </w:rPr>
        <w:t>1</w:t>
      </w:r>
      <w:r w:rsidR="00762622" w:rsidRPr="00F40003">
        <w:rPr>
          <w:sz w:val="16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76"/>
        <w:gridCol w:w="659"/>
        <w:gridCol w:w="659"/>
        <w:gridCol w:w="659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873"/>
        <w:gridCol w:w="873"/>
        <w:gridCol w:w="870"/>
      </w:tblGrid>
      <w:tr w:rsidR="002A1639" w:rsidRPr="002A1639" w:rsidTr="002A1639">
        <w:trPr>
          <w:divId w:val="1575310302"/>
          <w:trHeight w:val="403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Indikatori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XII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2013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III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IV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VI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VII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VIII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IX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X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M-n-M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okt 2013 / okt 2012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jan - okt 2013 / jan - okt 2012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REALNI SEKTOR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Industrijska proizvodnja (stopa rasta)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-24,40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-6,00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17,00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1,70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-3,00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10,40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14,20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22,40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19,00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5,10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10,50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10,5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9,0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Prerađivačka industrija (stopa rasta)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-40,50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-28,10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-20,30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-36,40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-32,80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-34,40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-28,20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-11,50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-11,10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11,70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4,70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6,50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22,70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-15,9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22,7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-12,3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Noćenja u turizmu (stopa rasta)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2,60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1,80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-8,30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4,20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-1,40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7,30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4,50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-3,60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4,30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5,60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30,30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-85,7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30,3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2,8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Promet u maloprodaji (stopa rasta)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3,50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12,10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8,20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6,60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7,80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8,60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10,30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11,50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14,40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11,50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-11,4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16,0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10,9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Vrijednost radova u gradjevinarstvu (stopa rasta)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-28,2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5,7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-1,0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potrošačkih cijena (stopa rasta)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5,1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-0,2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2,6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Harmonizovani indeks potrošačkih cijena (stopa rasta)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4,9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-0,5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n/p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proizvodjačkih cijena (stopa rasta)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4,6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4,1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-2,0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-0,4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-0,9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-0,1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-0,9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2,1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I ZARADE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(broj, kraj perioda)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168.701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168.589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167.484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167.370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167.379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167.738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170.302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174.369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179.861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178.815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176.588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171.440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169.044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3,6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Broj nezaposlenih (broj, kraj perioda)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29.540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30.718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31.232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31.890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32.648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32.986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32.624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31.363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30.337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30.102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30.947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30.919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33.271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12,6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5,6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(%)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12,7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13,2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13,5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13,7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14,1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14,2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14,1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13,5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13,0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13,0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14,0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15,0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14,3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-4,7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12,6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7,4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(ARS) (%)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20,6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21,5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19,3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Oglašena radna mjesta (broj)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2.005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2.766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972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515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583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1.182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2.826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1.719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1.430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853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1.495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1.618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796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-50,8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-60,3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-37,9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bruto zarada (u €)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717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713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741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731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734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724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728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712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721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721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721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-0,4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neto zarada (u €)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478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497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490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485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476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477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481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469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475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475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475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-0,1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-1,8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MONETARNI SEKTOR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krediti (kumulativ, mil. €)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2.361,5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2.338,1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2.342,0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2.482,8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2.507,6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2.490,7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2.466,7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2.477,6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2.457,5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2.505,8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2.538,3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2.536,2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2.474,5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-2,4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 xml:space="preserve">Ukupni krediti (stopa rasta)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-2,5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-2,5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-0,7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6,3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6,4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4,6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-2,4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Nekvalitetni krediti (kumulativ, mil €)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330,4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329,4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327,8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457,1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455,7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465,3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480,8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492,9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441,3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447,0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441,9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441,3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438,6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-0,6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Udio nekvalitetnih kredita u ukupnim kreditima (u %)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14,0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14,1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14,0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18,4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18,2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18,7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19,5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19,9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18,0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17,8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17,4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17,4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17,7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(kumulativ, mil €)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1.965,5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1.982,9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1.980,7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1.969,8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1.990,1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1.999,3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1.951,5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1.974,4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2.009,7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2.075,0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2.144,3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2.173,0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2.104,3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-3,2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(stopa rasta)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8,3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6,3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6,4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8,6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-3,2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privredi (kumulativ, u mil €)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923,6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936,6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930,4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1.013,2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1.019,0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1.026,5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1.029,1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1.027,9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990,5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970,2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947,6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948,9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951,1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domaćinstvima (kumulativ, u mil €)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821,6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818,1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809,2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857,4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861,1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865,8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872,5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875,1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880,9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882,5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880,6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886,9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886,8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Depoziti privrede (kumulativ, u mil €)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549,5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546,4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526,5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507,8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518,7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525,4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489,8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509,8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539,3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576,2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612,3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630,3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572,8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-9,1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Lična štednja (kumulativ, u mil €)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1.114,7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1.134,7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1.146,8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1.150,4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1.158,7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1.165,0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1.165,1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1.162,4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1.164,7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1.192,9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1.218,1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1.222,9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1.218,1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-0,4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kredite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9,50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9,49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9,47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9,44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9,45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9,44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9,44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9,44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9,43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9,38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9,33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9,33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9,33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-0,17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depozite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3,24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3,24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3,15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3,16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3,14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3,12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3,06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2,99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2,93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2,83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2,67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2,67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-0,57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EKSTERNI SEKTOR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Izvoz roba (u mil. €)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26,5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32,4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32,4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28,0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31,3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29,9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36,9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39,4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30,4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31,7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28,4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28,9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24,5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-15,3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-7,4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2,5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Uvoz roba (u mil. €)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158,6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136,6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139,5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110,2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113,9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138,7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162,4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152,3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170,4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172,6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164,8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146,5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161,2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10,1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-3,3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Spoljnotrgovinski bilans (u mil €)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-132,2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-104,3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-107,0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-82,2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-82,7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-108,8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-125,4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-112,9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-140,0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-140,8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-136,4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-117,5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-136,7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16,3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-4,8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Strane direktne investicije (mil.€)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20,9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77,3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40,1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6,6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19,5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39,5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17,1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29,5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38,8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32,5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29,6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57,3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93,2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-38,2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-16,2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MEĐUNARODNO OKRUŽENJE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Brent crude oil (USD/barel)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108,5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108,2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111,3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116,8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110,4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111,1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100,0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100,4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103,0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107,7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115,7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107,9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105,9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-2,4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-3,2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Aluminijum (USD/T)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1.974,3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1.948,8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2.086,8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2.037,6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2.053,6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1.911,3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1.861,0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1.832,6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1.814,5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1.769,6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1.816,2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1.761,3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1.814,6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3,0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-8,1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-7,7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Euribor (12 mjeseci)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0,69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0,62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0,57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0,54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0,62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0,55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0,54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0,51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0,48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0,53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0,53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0,55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0,54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-0,01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-0,15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-0,75</w:t>
            </w:r>
          </w:p>
        </w:tc>
      </w:tr>
      <w:tr w:rsidR="002A1639" w:rsidRPr="002A1639" w:rsidTr="00F40003">
        <w:trPr>
          <w:divId w:val="1575310302"/>
          <w:trHeight w:hRule="exact" w:val="198"/>
        </w:trPr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 u Eurozoni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2,0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1,4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1,6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1,6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1,1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0,7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-0,4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639" w:rsidRPr="002A1639" w:rsidRDefault="002A1639" w:rsidP="002A1639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2A1639">
              <w:rPr>
                <w:rFonts w:cs="Calibri"/>
                <w:sz w:val="16"/>
                <w:szCs w:val="16"/>
                <w:lang w:val="sr-Latn-CS" w:eastAsia="sr-Latn-CS"/>
              </w:rPr>
              <w:t>-1,1</w:t>
            </w:r>
          </w:p>
        </w:tc>
      </w:tr>
    </w:tbl>
    <w:p w:rsidR="002A1639" w:rsidRPr="00DC4AD1" w:rsidRDefault="002A1639" w:rsidP="00875C4F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03497A" w:rsidRPr="00DC4AD1" w:rsidRDefault="00475BE2" w:rsidP="00875C4F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  <w:r w:rsidRPr="00DC4AD1">
        <w:rPr>
          <w:i/>
          <w:iCs/>
          <w:noProof/>
          <w:sz w:val="12"/>
          <w:szCs w:val="12"/>
        </w:rPr>
        <w:t xml:space="preserve"> </w:t>
      </w:r>
    </w:p>
    <w:p w:rsidR="0082570B" w:rsidRDefault="0003497A" w:rsidP="00875C4F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  <w:r w:rsidRPr="00DC4AD1">
        <w:rPr>
          <w:i/>
          <w:iCs/>
          <w:noProof/>
          <w:sz w:val="12"/>
          <w:szCs w:val="12"/>
        </w:rPr>
        <w:t xml:space="preserve"> </w:t>
      </w:r>
      <w:r w:rsidR="0082570B" w:rsidRPr="00DC4AD1">
        <w:rPr>
          <w:i/>
          <w:iCs/>
          <w:noProof/>
          <w:sz w:val="12"/>
          <w:szCs w:val="12"/>
        </w:rPr>
        <w:br w:type="page"/>
      </w:r>
    </w:p>
    <w:p w:rsidR="00784DAE" w:rsidRDefault="00784DAE" w:rsidP="00875C4F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784DAE" w:rsidRDefault="00784DAE" w:rsidP="00875C4F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784DAE" w:rsidRDefault="00784DAE" w:rsidP="00784DAE">
      <w:pPr>
        <w:spacing w:after="0" w:line="240" w:lineRule="auto"/>
        <w:ind w:firstLine="142"/>
        <w:jc w:val="center"/>
        <w:rPr>
          <w:i/>
          <w:iCs/>
          <w:noProof/>
          <w:sz w:val="12"/>
          <w:szCs w:val="12"/>
        </w:rPr>
      </w:pPr>
    </w:p>
    <w:p w:rsidR="00784DAE" w:rsidRPr="00DC4AD1" w:rsidRDefault="00784DAE" w:rsidP="00784DAE">
      <w:pPr>
        <w:spacing w:after="0" w:line="240" w:lineRule="auto"/>
        <w:ind w:firstLine="142"/>
        <w:jc w:val="center"/>
        <w:rPr>
          <w:i/>
          <w:iCs/>
          <w:noProof/>
          <w:sz w:val="12"/>
          <w:szCs w:val="12"/>
        </w:rPr>
      </w:pPr>
      <w:r w:rsidRPr="00DC4AD1">
        <w:rPr>
          <w:noProof/>
          <w:sz w:val="17"/>
          <w:szCs w:val="16"/>
        </w:rPr>
        <w:t xml:space="preserve">Tabela 2: </w:t>
      </w:r>
      <w:r w:rsidRPr="00DC4AD1">
        <w:rPr>
          <w:b/>
          <w:bCs/>
          <w:noProof/>
          <w:sz w:val="17"/>
          <w:szCs w:val="16"/>
        </w:rPr>
        <w:t>BUDŽET CRNE GORE</w:t>
      </w:r>
      <w:r w:rsidRPr="00DC4AD1">
        <w:rPr>
          <w:noProof/>
          <w:sz w:val="17"/>
          <w:szCs w:val="16"/>
        </w:rPr>
        <w:t xml:space="preserve"> –</w:t>
      </w:r>
      <w:r w:rsidR="0058776D">
        <w:rPr>
          <w:noProof/>
          <w:sz w:val="17"/>
          <w:szCs w:val="16"/>
        </w:rPr>
        <w:t>Oktobar</w:t>
      </w:r>
      <w:r>
        <w:rPr>
          <w:noProof/>
          <w:sz w:val="17"/>
          <w:szCs w:val="16"/>
        </w:rPr>
        <w:t xml:space="preserve"> </w:t>
      </w:r>
      <w:r w:rsidRPr="00DC4AD1">
        <w:rPr>
          <w:noProof/>
          <w:sz w:val="17"/>
          <w:szCs w:val="16"/>
        </w:rPr>
        <w:t xml:space="preserve"> 2013.</w:t>
      </w:r>
    </w:p>
    <w:p w:rsidR="0082570B" w:rsidRPr="00DC4AD1" w:rsidRDefault="0082570B" w:rsidP="003A1150">
      <w:pPr>
        <w:spacing w:after="0" w:line="240" w:lineRule="auto"/>
        <w:jc w:val="both"/>
        <w:rPr>
          <w:i/>
          <w:iCs/>
          <w:noProof/>
          <w:sz w:val="12"/>
          <w:szCs w:val="12"/>
        </w:rPr>
      </w:pPr>
    </w:p>
    <w:p w:rsidR="00F40003" w:rsidRPr="00F40003" w:rsidRDefault="00F40003" w:rsidP="00F40003">
      <w:pPr>
        <w:pStyle w:val="Caption"/>
        <w:keepNext/>
        <w:rPr>
          <w:sz w:val="16"/>
        </w:rPr>
      </w:pPr>
      <w:r w:rsidRPr="00F40003">
        <w:rPr>
          <w:sz w:val="16"/>
        </w:rPr>
        <w:t xml:space="preserve">Tabela </w:t>
      </w:r>
      <w:r w:rsidR="00762622" w:rsidRPr="00F40003">
        <w:rPr>
          <w:sz w:val="16"/>
        </w:rPr>
        <w:fldChar w:fldCharType="begin"/>
      </w:r>
      <w:r w:rsidRPr="00F40003">
        <w:rPr>
          <w:sz w:val="16"/>
        </w:rPr>
        <w:instrText xml:space="preserve"> SEQ Tabela \* ARABIC </w:instrText>
      </w:r>
      <w:r w:rsidR="00762622" w:rsidRPr="00F40003">
        <w:rPr>
          <w:sz w:val="16"/>
        </w:rPr>
        <w:fldChar w:fldCharType="separate"/>
      </w:r>
      <w:r w:rsidRPr="00F40003">
        <w:rPr>
          <w:noProof/>
          <w:sz w:val="16"/>
        </w:rPr>
        <w:t>2</w:t>
      </w:r>
      <w:r w:rsidR="00762622" w:rsidRPr="00F40003">
        <w:rPr>
          <w:sz w:val="16"/>
        </w:rPr>
        <w:fldChar w:fldCharType="end"/>
      </w:r>
    </w:p>
    <w:tbl>
      <w:tblPr>
        <w:tblW w:w="16101" w:type="dxa"/>
        <w:tblInd w:w="108" w:type="dxa"/>
        <w:tblLook w:val="04A0"/>
      </w:tblPr>
      <w:tblGrid>
        <w:gridCol w:w="1937"/>
        <w:gridCol w:w="578"/>
        <w:gridCol w:w="578"/>
        <w:gridCol w:w="578"/>
        <w:gridCol w:w="579"/>
        <w:gridCol w:w="579"/>
        <w:gridCol w:w="578"/>
        <w:gridCol w:w="578"/>
        <w:gridCol w:w="578"/>
        <w:gridCol w:w="579"/>
        <w:gridCol w:w="578"/>
        <w:gridCol w:w="578"/>
        <w:gridCol w:w="578"/>
        <w:gridCol w:w="579"/>
        <w:gridCol w:w="614"/>
        <w:gridCol w:w="578"/>
        <w:gridCol w:w="579"/>
        <w:gridCol w:w="644"/>
        <w:gridCol w:w="644"/>
        <w:gridCol w:w="644"/>
        <w:gridCol w:w="579"/>
        <w:gridCol w:w="701"/>
        <w:gridCol w:w="829"/>
        <w:gridCol w:w="834"/>
      </w:tblGrid>
      <w:tr w:rsidR="00F40003" w:rsidRPr="00A4192E" w:rsidTr="00F40003">
        <w:trPr>
          <w:trHeight w:val="43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03" w:rsidRPr="00A4192E" w:rsidRDefault="00F40003" w:rsidP="00F40003">
            <w:pPr>
              <w:spacing w:after="0" w:line="240" w:lineRule="auto"/>
              <w:rPr>
                <w:rFonts w:cs="Calibri"/>
                <w:color w:val="000000"/>
                <w:sz w:val="13"/>
                <w:szCs w:val="13"/>
              </w:rPr>
            </w:pPr>
          </w:p>
        </w:tc>
        <w:tc>
          <w:tcPr>
            <w:tcW w:w="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2012</w:t>
            </w:r>
          </w:p>
        </w:tc>
        <w:tc>
          <w:tcPr>
            <w:tcW w:w="6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2013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2013 plan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Analitika-oktobar</w:t>
            </w:r>
          </w:p>
        </w:tc>
      </w:tr>
      <w:tr w:rsidR="00F40003" w:rsidRPr="00A4192E" w:rsidTr="00F40003">
        <w:trPr>
          <w:trHeight w:val="84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i/>
                <w:iCs/>
                <w:sz w:val="13"/>
                <w:szCs w:val="13"/>
              </w:rPr>
              <w:t>BUDŽET CRNE GORE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IV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V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VI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VII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VIII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IX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XI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XII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I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II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III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IV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V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VI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VII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VIII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IX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X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okt 2013/okt 2012 (%)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jan-okt 2013/jan-okt 2012 (%)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okt 2013/okt 2013 plan (%)</w:t>
            </w:r>
          </w:p>
        </w:tc>
      </w:tr>
      <w:tr w:rsidR="00F40003" w:rsidRPr="00A4192E" w:rsidTr="00F40003">
        <w:trPr>
          <w:trHeight w:val="33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03" w:rsidRPr="00A4192E" w:rsidRDefault="00F40003" w:rsidP="00F40003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A4192E">
              <w:rPr>
                <w:rFonts w:cs="Calibri"/>
                <w:b/>
                <w:bCs/>
                <w:sz w:val="14"/>
                <w:szCs w:val="14"/>
              </w:rPr>
              <w:t>IZVORNI PRIHODI, od čega: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98,76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86,82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95,94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130,90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108,52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95,84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99,23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85,31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126,94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54,76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75,68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88,30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103,95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94,00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color w:val="000000"/>
                <w:sz w:val="13"/>
                <w:szCs w:val="13"/>
              </w:rPr>
              <w:t>99,56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color w:val="000000"/>
                <w:sz w:val="13"/>
                <w:szCs w:val="13"/>
              </w:rPr>
              <w:t>122,02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color w:val="000000"/>
                <w:sz w:val="13"/>
                <w:szCs w:val="13"/>
              </w:rPr>
              <w:t>125,05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color w:val="000000"/>
                <w:sz w:val="13"/>
                <w:szCs w:val="13"/>
              </w:rPr>
              <w:t>116,34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color w:val="000000"/>
                <w:sz w:val="13"/>
                <w:szCs w:val="13"/>
              </w:rPr>
              <w:t>117,28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104,87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18,20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9,70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11,84</w:t>
            </w:r>
          </w:p>
        </w:tc>
      </w:tr>
      <w:tr w:rsidR="00F40003" w:rsidRPr="00A4192E" w:rsidTr="00F40003">
        <w:trPr>
          <w:trHeight w:val="33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003" w:rsidRPr="00A4192E" w:rsidRDefault="00F40003" w:rsidP="00F4000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sz w:val="13"/>
                <w:szCs w:val="13"/>
              </w:rPr>
              <w:t>Porezi i doprinosi na  zarade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39,30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34,83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32,63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41,77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48,37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32,88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42,82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35,50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60,40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14,21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34,57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35,60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34,16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36,35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39,09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40,63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44,81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47,38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54,03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45,25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26,16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9,24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19,39</w:t>
            </w:r>
          </w:p>
        </w:tc>
      </w:tr>
      <w:tr w:rsidR="00F40003" w:rsidRPr="00A4192E" w:rsidTr="00F40003">
        <w:trPr>
          <w:trHeight w:val="315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003" w:rsidRPr="00A4192E" w:rsidRDefault="00F40003" w:rsidP="00F4000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sz w:val="13"/>
                <w:szCs w:val="13"/>
              </w:rPr>
              <w:t>Porez na dobit pravnih lica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13,49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3,05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3,80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28,54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2,31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3,27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1,54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0,79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1,82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0,50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1,06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5,09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14,80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3,06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3,64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3,87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2,84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2,33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1,29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1,87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-16,34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-37,35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-31,11</w:t>
            </w:r>
          </w:p>
        </w:tc>
      </w:tr>
      <w:tr w:rsidR="00F40003" w:rsidRPr="00A4192E" w:rsidTr="00F40003">
        <w:trPr>
          <w:trHeight w:val="30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03" w:rsidRPr="00A4192E" w:rsidRDefault="00F40003" w:rsidP="00F4000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sz w:val="13"/>
                <w:szCs w:val="13"/>
              </w:rPr>
              <w:t>Porez na dodatu vrijednost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27,71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30,99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37,82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37,35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32,21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33,59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33,88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29,08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25,78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24,86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24,75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29,49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33,76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34,16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35,87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47,18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47,07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40,69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37,65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35,52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11,12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18,56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6,01</w:t>
            </w:r>
          </w:p>
        </w:tc>
      </w:tr>
      <w:tr w:rsidR="00F40003" w:rsidRPr="00A4192E" w:rsidTr="00F40003">
        <w:trPr>
          <w:trHeight w:val="30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03" w:rsidRPr="00A4192E" w:rsidRDefault="00F40003" w:rsidP="00F4000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sz w:val="13"/>
                <w:szCs w:val="13"/>
              </w:rPr>
              <w:t>Akcize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9,98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10,09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14,77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13,19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17,42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19,43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11,83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12,45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17,89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9,26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8,99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10,36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12,32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12,03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13,03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16,43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20,98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17,25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14,55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13,49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22,97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11,32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7,83</w:t>
            </w:r>
          </w:p>
        </w:tc>
      </w:tr>
      <w:tr w:rsidR="00F40003" w:rsidRPr="00A4192E" w:rsidTr="00F40003">
        <w:trPr>
          <w:trHeight w:val="315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03" w:rsidRPr="00A4192E" w:rsidRDefault="00F40003" w:rsidP="00F4000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sz w:val="13"/>
                <w:szCs w:val="13"/>
              </w:rPr>
              <w:t>Porez na medj trgovinu i transak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3,38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3,25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2,15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2,36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2,41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1,99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2,27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1,69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1,86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1,10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1,31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1,86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2,09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1,99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2,00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2,46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2,21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2,04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2,04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2,43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-10,12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-24,86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-16,30</w:t>
            </w:r>
          </w:p>
        </w:tc>
      </w:tr>
      <w:tr w:rsidR="00F40003" w:rsidRPr="00A4192E" w:rsidTr="00F40003">
        <w:trPr>
          <w:trHeight w:val="330"/>
        </w:trPr>
        <w:tc>
          <w:tcPr>
            <w:tcW w:w="193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A4192E">
              <w:rPr>
                <w:rFonts w:cs="Calibri"/>
                <w:b/>
                <w:bCs/>
                <w:sz w:val="14"/>
                <w:szCs w:val="14"/>
              </w:rPr>
              <w:t>IZDACI BUDŽETA, od čega :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150,15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102,81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99,77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104,38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97,82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117,75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104,11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100,59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170,25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80,79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94,64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103,84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119,84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95,54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99,88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160,33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141,27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119,05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97,23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105,00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-6,61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6,37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-7,40</w:t>
            </w:r>
          </w:p>
        </w:tc>
      </w:tr>
      <w:tr w:rsidR="00F40003" w:rsidRPr="00A4192E" w:rsidTr="00F40003">
        <w:trPr>
          <w:trHeight w:val="39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sz w:val="13"/>
                <w:szCs w:val="13"/>
              </w:rPr>
              <w:t>Bruto zarade i doprinosi na teret posl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30,97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31,35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30,53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30,64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31,06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31,12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30,26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29,27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30,77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30,59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49,66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-2,04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-1,81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-38,42</w:t>
            </w:r>
          </w:p>
        </w:tc>
      </w:tr>
      <w:tr w:rsidR="00F40003" w:rsidRPr="00A4192E" w:rsidTr="00F40003">
        <w:trPr>
          <w:trHeight w:val="405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003" w:rsidRPr="00A4192E" w:rsidRDefault="00F40003" w:rsidP="00F4000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sz w:val="13"/>
                <w:szCs w:val="13"/>
              </w:rPr>
              <w:t>Rashodi za materijal i usluge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20,77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13,85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9,92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15,93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10,26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12,76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12,90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12,12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21,24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3,53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6,33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8,06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6,99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5,58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6,09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7,14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6,44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6,99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8,31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7,02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-35,63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-44,08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18,34</w:t>
            </w:r>
          </w:p>
        </w:tc>
      </w:tr>
      <w:tr w:rsidR="00F40003" w:rsidRPr="00A4192E" w:rsidTr="00F40003">
        <w:trPr>
          <w:trHeight w:val="30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003" w:rsidRPr="00A4192E" w:rsidRDefault="00F40003" w:rsidP="00F4000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sz w:val="13"/>
                <w:szCs w:val="13"/>
              </w:rPr>
              <w:t>Kamate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14,21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2,10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4,94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1,30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2,67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18,25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0,59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0,87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3,77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0,55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1,76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2,14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25,31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1,13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3,50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5,74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2,10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18,77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0,80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5,87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35,06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18,35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-86,41</w:t>
            </w:r>
          </w:p>
        </w:tc>
      </w:tr>
      <w:tr w:rsidR="00F40003" w:rsidRPr="00A4192E" w:rsidTr="00F40003">
        <w:trPr>
          <w:trHeight w:val="30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003" w:rsidRPr="00A4192E" w:rsidRDefault="00F40003" w:rsidP="00F4000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sz w:val="13"/>
                <w:szCs w:val="13"/>
              </w:rPr>
              <w:t>Transferi za socijalnu zaštitu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43,78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40,87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39,07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40,98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39,99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40,35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40,56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40,34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42,46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38,15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42,30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40,50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40,45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39,92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39,87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39,78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39,18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40,14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39,79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41,49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-1,89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0,31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-4,10</w:t>
            </w:r>
          </w:p>
        </w:tc>
      </w:tr>
      <w:tr w:rsidR="00F40003" w:rsidRPr="00A4192E" w:rsidTr="00F40003">
        <w:trPr>
          <w:trHeight w:val="36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sz w:val="13"/>
                <w:szCs w:val="13"/>
              </w:rPr>
              <w:t>Transferi instit, pojed i NVO sektoru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4,07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2,47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2,43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2,32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2,06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2,68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2,97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2,03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6,24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4,77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7,18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8,95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5,88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7,42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7,06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5,86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9,04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8,25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7,30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7,62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145,39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208,53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-4,19</w:t>
            </w:r>
          </w:p>
        </w:tc>
      </w:tr>
      <w:tr w:rsidR="00F40003" w:rsidRPr="00A4192E" w:rsidTr="00F40003">
        <w:trPr>
          <w:trHeight w:val="315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003" w:rsidRPr="00A4192E" w:rsidRDefault="00F40003" w:rsidP="00F4000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sz w:val="13"/>
                <w:szCs w:val="13"/>
              </w:rPr>
              <w:t>Kapitalni izdaci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4,69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5,87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4,48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6,51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8,25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5,01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6,22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6,54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16,78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0,30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2,12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4,94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4,90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4,93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5,21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4,93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5,50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5,91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4,60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0,89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-26,05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-11,20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417,66</w:t>
            </w:r>
          </w:p>
        </w:tc>
      </w:tr>
      <w:tr w:rsidR="00F40003" w:rsidRPr="00A4192E" w:rsidTr="00F40003">
        <w:trPr>
          <w:trHeight w:val="330"/>
        </w:trPr>
        <w:tc>
          <w:tcPr>
            <w:tcW w:w="193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A4192E">
              <w:rPr>
                <w:rFonts w:cs="Calibri"/>
                <w:b/>
                <w:bCs/>
                <w:sz w:val="14"/>
                <w:szCs w:val="14"/>
              </w:rPr>
              <w:t>Suficit / Deficit budžeta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-51,39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-15,99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-3,83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26,52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10,70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-21,91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-4,89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-15,27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-43,31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-26,03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-18,96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-15,54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-15,89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-1,54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color w:val="000000"/>
                <w:sz w:val="13"/>
                <w:szCs w:val="13"/>
              </w:rPr>
              <w:t>-0,32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color w:val="000000"/>
                <w:sz w:val="13"/>
                <w:szCs w:val="13"/>
              </w:rPr>
              <w:t>-38,31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-16,22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-2,71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20,05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-0,13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-510,17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-15,70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-16024,65</w:t>
            </w:r>
          </w:p>
        </w:tc>
      </w:tr>
      <w:tr w:rsidR="00F40003" w:rsidRPr="00A4192E" w:rsidTr="00F40003">
        <w:trPr>
          <w:trHeight w:val="33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003" w:rsidRPr="00A4192E" w:rsidRDefault="00F40003" w:rsidP="00F4000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sz w:val="13"/>
                <w:szCs w:val="13"/>
              </w:rPr>
              <w:t>Primarni deficit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-37,18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-13,89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1,11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27,82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13,37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-3,66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-4,30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-14,40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-39,55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-25,48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-17,20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-13,40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9,42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-0,42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3,19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-32,57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-14,12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16,06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20,85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5,74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-585,06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-36,67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263,15</w:t>
            </w:r>
          </w:p>
        </w:tc>
      </w:tr>
      <w:tr w:rsidR="00F40003" w:rsidRPr="00A4192E" w:rsidTr="00F40003">
        <w:trPr>
          <w:trHeight w:val="33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003" w:rsidRPr="00A4192E" w:rsidRDefault="00F40003" w:rsidP="00F4000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sz w:val="13"/>
                <w:szCs w:val="13"/>
              </w:rPr>
              <w:t>Otplata dugova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10,92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10,53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18,30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12,53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20,38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11,78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3,93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3,41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12,53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16,06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7,38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7,93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7,18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5,57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18,47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34,60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16,98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24,39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14,01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7,10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256,17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27,67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97,26</w:t>
            </w:r>
          </w:p>
        </w:tc>
      </w:tr>
      <w:tr w:rsidR="00F40003" w:rsidRPr="00A4192E" w:rsidTr="00F40003">
        <w:trPr>
          <w:trHeight w:val="330"/>
        </w:trPr>
        <w:tc>
          <w:tcPr>
            <w:tcW w:w="193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rPr>
                <w:rFonts w:cs="Calibri"/>
                <w:b/>
                <w:bCs/>
                <w:sz w:val="13"/>
                <w:szCs w:val="13"/>
              </w:rPr>
            </w:pPr>
            <w:r w:rsidRPr="00A4192E">
              <w:rPr>
                <w:rFonts w:cs="Calibri"/>
                <w:b/>
                <w:bCs/>
                <w:sz w:val="13"/>
                <w:szCs w:val="13"/>
              </w:rPr>
              <w:t>Državni dug (stanje duga)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1638,6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1634,5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1629,6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1718,8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1703,2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1707,2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1709,4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1700,2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1699,5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1726,6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1732,7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1755,7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1764,2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1767,1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1760,9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1810,4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1844,90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1846,50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1832,00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7,17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9,52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 </w:t>
            </w:r>
          </w:p>
        </w:tc>
      </w:tr>
      <w:tr w:rsidR="00F40003" w:rsidRPr="00A4192E" w:rsidTr="00F40003">
        <w:trPr>
          <w:trHeight w:val="330"/>
        </w:trPr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sz w:val="13"/>
                <w:szCs w:val="13"/>
              </w:rPr>
              <w:t>Domaći dug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432,6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424,1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424,1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411,2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395,4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399,6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401,3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393,1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404,5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394,0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396,7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420,3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431,7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436,0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442,7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442,8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433,80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480,90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471,70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17,54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4,45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 </w:t>
            </w:r>
          </w:p>
        </w:tc>
      </w:tr>
      <w:tr w:rsidR="00F40003" w:rsidRPr="00A4192E" w:rsidTr="00F40003">
        <w:trPr>
          <w:trHeight w:val="31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sz w:val="13"/>
                <w:szCs w:val="13"/>
              </w:rPr>
              <w:t>Inostrani dug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1206,0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1210,4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1205,5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1307,6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1307,8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1307,6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1308,1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1307,1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1295,0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1332,6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1336,0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1335,4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1332,5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1331,1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1318,2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1367,6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F40003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1411,10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03" w:rsidRPr="00A4192E" w:rsidRDefault="00F40003" w:rsidP="00BF0C5D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1365,60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BF0C5D">
            <w:pPr>
              <w:spacing w:after="0" w:line="240" w:lineRule="auto"/>
              <w:jc w:val="center"/>
              <w:rPr>
                <w:rFonts w:cs="Calibri"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color w:val="000000"/>
                <w:sz w:val="13"/>
                <w:szCs w:val="13"/>
              </w:rPr>
              <w:t>1360,30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03" w:rsidRPr="00A4192E" w:rsidRDefault="00F40003" w:rsidP="00BF0C5D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A4192E">
              <w:rPr>
                <w:rFonts w:cs="Calibri"/>
                <w:sz w:val="13"/>
                <w:szCs w:val="13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BF0C5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3,99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BF0C5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11,27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003" w:rsidRPr="00A4192E" w:rsidRDefault="00F40003" w:rsidP="00BF0C5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A4192E">
              <w:rPr>
                <w:rFonts w:cs="Calibri"/>
                <w:i/>
                <w:iCs/>
                <w:color w:val="000000"/>
                <w:sz w:val="13"/>
                <w:szCs w:val="13"/>
              </w:rPr>
              <w:t> </w:t>
            </w:r>
          </w:p>
        </w:tc>
      </w:tr>
    </w:tbl>
    <w:p w:rsidR="0082570B" w:rsidRPr="00DC4AD1" w:rsidRDefault="00A419CE" w:rsidP="00A419CE">
      <w:pPr>
        <w:tabs>
          <w:tab w:val="left" w:pos="4230"/>
          <w:tab w:val="center" w:pos="8079"/>
        </w:tabs>
        <w:outlineLvl w:val="0"/>
        <w:rPr>
          <w:noProof/>
          <w:sz w:val="17"/>
          <w:szCs w:val="16"/>
        </w:rPr>
      </w:pPr>
      <w:r w:rsidRPr="00DC4AD1">
        <w:rPr>
          <w:noProof/>
          <w:sz w:val="17"/>
          <w:szCs w:val="16"/>
        </w:rPr>
        <w:tab/>
      </w:r>
      <w:r w:rsidRPr="00DC4AD1">
        <w:rPr>
          <w:noProof/>
          <w:sz w:val="17"/>
          <w:szCs w:val="16"/>
        </w:rPr>
        <w:tab/>
      </w:r>
    </w:p>
    <w:p w:rsidR="0082570B" w:rsidRDefault="0082570B" w:rsidP="00F40003">
      <w:pPr>
        <w:outlineLvl w:val="0"/>
        <w:rPr>
          <w:b/>
          <w:i/>
          <w:noProof/>
          <w:sz w:val="16"/>
          <w:szCs w:val="16"/>
        </w:rPr>
      </w:pPr>
      <w:r w:rsidRPr="00442E20">
        <w:rPr>
          <w:b/>
          <w:i/>
          <w:noProof/>
          <w:sz w:val="16"/>
          <w:szCs w:val="16"/>
        </w:rPr>
        <w:t>Izvor: Ministarstvo finansija</w:t>
      </w:r>
      <w:r w:rsidR="00D15C59" w:rsidRPr="00442E20">
        <w:rPr>
          <w:b/>
          <w:i/>
          <w:noProof/>
          <w:sz w:val="16"/>
          <w:szCs w:val="16"/>
        </w:rPr>
        <w:t xml:space="preserve"> </w:t>
      </w:r>
      <w:r w:rsidRPr="00442E20">
        <w:rPr>
          <w:b/>
          <w:i/>
          <w:noProof/>
          <w:sz w:val="16"/>
          <w:szCs w:val="16"/>
        </w:rPr>
        <w:t>Crne Gore</w:t>
      </w:r>
    </w:p>
    <w:p w:rsidR="00F40003" w:rsidRPr="00DC4AD1" w:rsidRDefault="00F40003" w:rsidP="00F40003">
      <w:pPr>
        <w:outlineLvl w:val="0"/>
        <w:rPr>
          <w:rFonts w:cs="Calibri"/>
          <w:bCs/>
          <w:noProof/>
          <w:sz w:val="14"/>
          <w:szCs w:val="14"/>
        </w:rPr>
      </w:pPr>
    </w:p>
    <w:p w:rsidR="0082570B" w:rsidRPr="00DC4AD1" w:rsidRDefault="0082570B" w:rsidP="005025EC">
      <w:pPr>
        <w:ind w:left="-142"/>
        <w:jc w:val="both"/>
        <w:rPr>
          <w:noProof/>
          <w:sz w:val="14"/>
          <w:szCs w:val="14"/>
        </w:rPr>
      </w:pPr>
      <w:r w:rsidRPr="00DC4AD1">
        <w:rPr>
          <w:rFonts w:cs="Calibri"/>
          <w:bCs/>
          <w:noProof/>
          <w:sz w:val="14"/>
          <w:szCs w:val="14"/>
        </w:rPr>
        <w:t>.</w:t>
      </w:r>
    </w:p>
    <w:sectPr w:rsidR="0082570B" w:rsidRPr="00DC4AD1" w:rsidSect="005025EC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396" w:rsidRDefault="001B0396" w:rsidP="00965FCD">
      <w:pPr>
        <w:spacing w:after="0" w:line="240" w:lineRule="auto"/>
      </w:pPr>
      <w:r>
        <w:separator/>
      </w:r>
    </w:p>
  </w:endnote>
  <w:endnote w:type="continuationSeparator" w:id="0">
    <w:p w:rsidR="001B0396" w:rsidRDefault="001B0396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396" w:rsidRDefault="001B0396" w:rsidP="00965FCD">
      <w:pPr>
        <w:spacing w:after="0" w:line="240" w:lineRule="auto"/>
      </w:pPr>
      <w:r>
        <w:separator/>
      </w:r>
    </w:p>
  </w:footnote>
  <w:footnote w:type="continuationSeparator" w:id="0">
    <w:p w:rsidR="001B0396" w:rsidRDefault="001B0396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5D1E"/>
    <w:multiLevelType w:val="hybridMultilevel"/>
    <w:tmpl w:val="D1FE9B4C"/>
    <w:lvl w:ilvl="0" w:tplc="3CB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E6489D"/>
    <w:multiLevelType w:val="hybridMultilevel"/>
    <w:tmpl w:val="FE768EF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C0A8D"/>
    <w:multiLevelType w:val="hybridMultilevel"/>
    <w:tmpl w:val="0A4EB8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097970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D66417E"/>
    <w:multiLevelType w:val="hybridMultilevel"/>
    <w:tmpl w:val="62A251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12"/>
  </w:num>
  <w:num w:numId="11">
    <w:abstractNumId w:val="1"/>
  </w:num>
  <w:num w:numId="12">
    <w:abstractNumId w:val="11"/>
  </w:num>
  <w:num w:numId="13">
    <w:abstractNumId w:val="9"/>
  </w:num>
  <w:num w:numId="14">
    <w:abstractNumId w:val="5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/>
  <w:rsids>
    <w:rsidRoot w:val="00D61692"/>
    <w:rsid w:val="000000CB"/>
    <w:rsid w:val="000009E1"/>
    <w:rsid w:val="000010A3"/>
    <w:rsid w:val="00003D78"/>
    <w:rsid w:val="00004B56"/>
    <w:rsid w:val="000147A0"/>
    <w:rsid w:val="00014AAB"/>
    <w:rsid w:val="00014D0B"/>
    <w:rsid w:val="00014E6A"/>
    <w:rsid w:val="0001692A"/>
    <w:rsid w:val="00017070"/>
    <w:rsid w:val="00021033"/>
    <w:rsid w:val="000224B4"/>
    <w:rsid w:val="00022789"/>
    <w:rsid w:val="00024DC9"/>
    <w:rsid w:val="0002564B"/>
    <w:rsid w:val="000263A4"/>
    <w:rsid w:val="00031722"/>
    <w:rsid w:val="000341DE"/>
    <w:rsid w:val="00034923"/>
    <w:rsid w:val="0003497A"/>
    <w:rsid w:val="00034D42"/>
    <w:rsid w:val="00034F07"/>
    <w:rsid w:val="0003544A"/>
    <w:rsid w:val="000369E1"/>
    <w:rsid w:val="00037B58"/>
    <w:rsid w:val="0004205C"/>
    <w:rsid w:val="000421A3"/>
    <w:rsid w:val="00043DED"/>
    <w:rsid w:val="000449CD"/>
    <w:rsid w:val="00044CB0"/>
    <w:rsid w:val="00045654"/>
    <w:rsid w:val="00045D59"/>
    <w:rsid w:val="00046C9E"/>
    <w:rsid w:val="00050EAB"/>
    <w:rsid w:val="00052DC4"/>
    <w:rsid w:val="00054068"/>
    <w:rsid w:val="00055E5C"/>
    <w:rsid w:val="00055F78"/>
    <w:rsid w:val="00056750"/>
    <w:rsid w:val="00056E43"/>
    <w:rsid w:val="000572EC"/>
    <w:rsid w:val="000601A4"/>
    <w:rsid w:val="00061391"/>
    <w:rsid w:val="000645F3"/>
    <w:rsid w:val="00067726"/>
    <w:rsid w:val="00070965"/>
    <w:rsid w:val="000734AF"/>
    <w:rsid w:val="00073786"/>
    <w:rsid w:val="00074378"/>
    <w:rsid w:val="000747AC"/>
    <w:rsid w:val="00074C3E"/>
    <w:rsid w:val="00074D69"/>
    <w:rsid w:val="0007530C"/>
    <w:rsid w:val="00080AEE"/>
    <w:rsid w:val="000812E2"/>
    <w:rsid w:val="0008138F"/>
    <w:rsid w:val="00082D87"/>
    <w:rsid w:val="00085B67"/>
    <w:rsid w:val="00090FDD"/>
    <w:rsid w:val="00091154"/>
    <w:rsid w:val="000915D3"/>
    <w:rsid w:val="000917D8"/>
    <w:rsid w:val="000925F7"/>
    <w:rsid w:val="00094311"/>
    <w:rsid w:val="000945C9"/>
    <w:rsid w:val="0009505C"/>
    <w:rsid w:val="0009548F"/>
    <w:rsid w:val="000956EB"/>
    <w:rsid w:val="00097E38"/>
    <w:rsid w:val="000A1159"/>
    <w:rsid w:val="000A2350"/>
    <w:rsid w:val="000A2F52"/>
    <w:rsid w:val="000A43CE"/>
    <w:rsid w:val="000A47FF"/>
    <w:rsid w:val="000A4E37"/>
    <w:rsid w:val="000A787A"/>
    <w:rsid w:val="000B19D0"/>
    <w:rsid w:val="000B1DD7"/>
    <w:rsid w:val="000B45AB"/>
    <w:rsid w:val="000B48EE"/>
    <w:rsid w:val="000B502D"/>
    <w:rsid w:val="000B54A3"/>
    <w:rsid w:val="000B67B1"/>
    <w:rsid w:val="000B69BF"/>
    <w:rsid w:val="000B788B"/>
    <w:rsid w:val="000B7AE2"/>
    <w:rsid w:val="000C06C5"/>
    <w:rsid w:val="000C0B0A"/>
    <w:rsid w:val="000C108E"/>
    <w:rsid w:val="000C1965"/>
    <w:rsid w:val="000C36DB"/>
    <w:rsid w:val="000C5764"/>
    <w:rsid w:val="000C6818"/>
    <w:rsid w:val="000D0368"/>
    <w:rsid w:val="000D0374"/>
    <w:rsid w:val="000D09EB"/>
    <w:rsid w:val="000D52CF"/>
    <w:rsid w:val="000D588E"/>
    <w:rsid w:val="000D5D48"/>
    <w:rsid w:val="000D5ED7"/>
    <w:rsid w:val="000D6DF1"/>
    <w:rsid w:val="000D765B"/>
    <w:rsid w:val="000E13EB"/>
    <w:rsid w:val="000E2251"/>
    <w:rsid w:val="000E2351"/>
    <w:rsid w:val="000E3987"/>
    <w:rsid w:val="000E6096"/>
    <w:rsid w:val="000E77A4"/>
    <w:rsid w:val="000E7E9D"/>
    <w:rsid w:val="000F1AA9"/>
    <w:rsid w:val="000F4D73"/>
    <w:rsid w:val="000F5B09"/>
    <w:rsid w:val="000F6577"/>
    <w:rsid w:val="000F6C6B"/>
    <w:rsid w:val="000F756E"/>
    <w:rsid w:val="00100371"/>
    <w:rsid w:val="001030CC"/>
    <w:rsid w:val="0010339D"/>
    <w:rsid w:val="00106446"/>
    <w:rsid w:val="00107128"/>
    <w:rsid w:val="00107647"/>
    <w:rsid w:val="00107A07"/>
    <w:rsid w:val="00112853"/>
    <w:rsid w:val="00112E23"/>
    <w:rsid w:val="00114109"/>
    <w:rsid w:val="00114378"/>
    <w:rsid w:val="00115519"/>
    <w:rsid w:val="00115C83"/>
    <w:rsid w:val="00116365"/>
    <w:rsid w:val="001164A1"/>
    <w:rsid w:val="00116A8F"/>
    <w:rsid w:val="00117AB0"/>
    <w:rsid w:val="00120A3A"/>
    <w:rsid w:val="00123CBD"/>
    <w:rsid w:val="00124730"/>
    <w:rsid w:val="00131185"/>
    <w:rsid w:val="001326B7"/>
    <w:rsid w:val="00134816"/>
    <w:rsid w:val="00134A21"/>
    <w:rsid w:val="00134C6C"/>
    <w:rsid w:val="00136E70"/>
    <w:rsid w:val="00141FDD"/>
    <w:rsid w:val="00143FCB"/>
    <w:rsid w:val="00144C86"/>
    <w:rsid w:val="0014607D"/>
    <w:rsid w:val="00147278"/>
    <w:rsid w:val="00150707"/>
    <w:rsid w:val="00152E4F"/>
    <w:rsid w:val="001530CE"/>
    <w:rsid w:val="0015322D"/>
    <w:rsid w:val="00154145"/>
    <w:rsid w:val="0015515C"/>
    <w:rsid w:val="00156E33"/>
    <w:rsid w:val="00157601"/>
    <w:rsid w:val="00160183"/>
    <w:rsid w:val="001610BD"/>
    <w:rsid w:val="001613FC"/>
    <w:rsid w:val="001627A3"/>
    <w:rsid w:val="00163041"/>
    <w:rsid w:val="001644C7"/>
    <w:rsid w:val="00165DE6"/>
    <w:rsid w:val="001678F1"/>
    <w:rsid w:val="00170C82"/>
    <w:rsid w:val="00170CCE"/>
    <w:rsid w:val="00172816"/>
    <w:rsid w:val="00172D59"/>
    <w:rsid w:val="001730BE"/>
    <w:rsid w:val="00174836"/>
    <w:rsid w:val="0017540F"/>
    <w:rsid w:val="00181309"/>
    <w:rsid w:val="0018289E"/>
    <w:rsid w:val="0018592D"/>
    <w:rsid w:val="0018626E"/>
    <w:rsid w:val="00186BEF"/>
    <w:rsid w:val="00186F09"/>
    <w:rsid w:val="0018794A"/>
    <w:rsid w:val="00187C66"/>
    <w:rsid w:val="00190285"/>
    <w:rsid w:val="00191F90"/>
    <w:rsid w:val="00192506"/>
    <w:rsid w:val="00192F1E"/>
    <w:rsid w:val="001942BA"/>
    <w:rsid w:val="001971A8"/>
    <w:rsid w:val="001A2829"/>
    <w:rsid w:val="001A2F7A"/>
    <w:rsid w:val="001A392F"/>
    <w:rsid w:val="001A594D"/>
    <w:rsid w:val="001A5B99"/>
    <w:rsid w:val="001A65F4"/>
    <w:rsid w:val="001A7319"/>
    <w:rsid w:val="001B0396"/>
    <w:rsid w:val="001B3267"/>
    <w:rsid w:val="001B3BE3"/>
    <w:rsid w:val="001B4CB9"/>
    <w:rsid w:val="001B4F99"/>
    <w:rsid w:val="001C1F7E"/>
    <w:rsid w:val="001C22CB"/>
    <w:rsid w:val="001C23DD"/>
    <w:rsid w:val="001C264C"/>
    <w:rsid w:val="001C2751"/>
    <w:rsid w:val="001C51EC"/>
    <w:rsid w:val="001C5CE9"/>
    <w:rsid w:val="001C6698"/>
    <w:rsid w:val="001C6750"/>
    <w:rsid w:val="001C70BA"/>
    <w:rsid w:val="001D0226"/>
    <w:rsid w:val="001D0A32"/>
    <w:rsid w:val="001D37FD"/>
    <w:rsid w:val="001D4E81"/>
    <w:rsid w:val="001E2403"/>
    <w:rsid w:val="001E29D1"/>
    <w:rsid w:val="001E2BC7"/>
    <w:rsid w:val="001E33FE"/>
    <w:rsid w:val="001E4EAE"/>
    <w:rsid w:val="001E5BE3"/>
    <w:rsid w:val="001F1378"/>
    <w:rsid w:val="001F19CC"/>
    <w:rsid w:val="001F27F8"/>
    <w:rsid w:val="001F2B57"/>
    <w:rsid w:val="001F4C02"/>
    <w:rsid w:val="001F69DD"/>
    <w:rsid w:val="001F7445"/>
    <w:rsid w:val="001F7C33"/>
    <w:rsid w:val="001F7C4B"/>
    <w:rsid w:val="002000E5"/>
    <w:rsid w:val="00200A3F"/>
    <w:rsid w:val="0020246C"/>
    <w:rsid w:val="00203447"/>
    <w:rsid w:val="00205D15"/>
    <w:rsid w:val="00206062"/>
    <w:rsid w:val="0020648A"/>
    <w:rsid w:val="00207613"/>
    <w:rsid w:val="00207B53"/>
    <w:rsid w:val="0021042E"/>
    <w:rsid w:val="00212126"/>
    <w:rsid w:val="00212633"/>
    <w:rsid w:val="002128D8"/>
    <w:rsid w:val="00212CDE"/>
    <w:rsid w:val="002135A2"/>
    <w:rsid w:val="0021614C"/>
    <w:rsid w:val="00220834"/>
    <w:rsid w:val="002210E9"/>
    <w:rsid w:val="00222175"/>
    <w:rsid w:val="00223E45"/>
    <w:rsid w:val="002251C3"/>
    <w:rsid w:val="00225F74"/>
    <w:rsid w:val="002263B3"/>
    <w:rsid w:val="0022695C"/>
    <w:rsid w:val="00227682"/>
    <w:rsid w:val="00227D75"/>
    <w:rsid w:val="00230FA2"/>
    <w:rsid w:val="00231268"/>
    <w:rsid w:val="00232A05"/>
    <w:rsid w:val="0023443E"/>
    <w:rsid w:val="00234902"/>
    <w:rsid w:val="00236B99"/>
    <w:rsid w:val="00237066"/>
    <w:rsid w:val="00237CC5"/>
    <w:rsid w:val="00240136"/>
    <w:rsid w:val="002402CA"/>
    <w:rsid w:val="00240CF4"/>
    <w:rsid w:val="002417C5"/>
    <w:rsid w:val="002427AE"/>
    <w:rsid w:val="00243419"/>
    <w:rsid w:val="00245A6C"/>
    <w:rsid w:val="00245B04"/>
    <w:rsid w:val="002503CE"/>
    <w:rsid w:val="0025102C"/>
    <w:rsid w:val="0025137D"/>
    <w:rsid w:val="00252FF6"/>
    <w:rsid w:val="00253ECF"/>
    <w:rsid w:val="00253F71"/>
    <w:rsid w:val="00256550"/>
    <w:rsid w:val="0025757E"/>
    <w:rsid w:val="00257D9D"/>
    <w:rsid w:val="00257EFB"/>
    <w:rsid w:val="00260976"/>
    <w:rsid w:val="00260EF0"/>
    <w:rsid w:val="00265023"/>
    <w:rsid w:val="002650CF"/>
    <w:rsid w:val="00265406"/>
    <w:rsid w:val="00265A3D"/>
    <w:rsid w:val="002668AA"/>
    <w:rsid w:val="00270FD9"/>
    <w:rsid w:val="002717A8"/>
    <w:rsid w:val="002723A7"/>
    <w:rsid w:val="002723D9"/>
    <w:rsid w:val="00274EBC"/>
    <w:rsid w:val="00275609"/>
    <w:rsid w:val="00282488"/>
    <w:rsid w:val="00282DBE"/>
    <w:rsid w:val="00283704"/>
    <w:rsid w:val="00287A18"/>
    <w:rsid w:val="00294586"/>
    <w:rsid w:val="00294DE0"/>
    <w:rsid w:val="00296127"/>
    <w:rsid w:val="00297AC4"/>
    <w:rsid w:val="002A046A"/>
    <w:rsid w:val="002A0D49"/>
    <w:rsid w:val="002A10A8"/>
    <w:rsid w:val="002A1639"/>
    <w:rsid w:val="002A1B2B"/>
    <w:rsid w:val="002A1DC4"/>
    <w:rsid w:val="002A235B"/>
    <w:rsid w:val="002A2CED"/>
    <w:rsid w:val="002A4910"/>
    <w:rsid w:val="002A5C73"/>
    <w:rsid w:val="002A68B8"/>
    <w:rsid w:val="002B10AE"/>
    <w:rsid w:val="002B318C"/>
    <w:rsid w:val="002B552A"/>
    <w:rsid w:val="002B74C5"/>
    <w:rsid w:val="002C1A52"/>
    <w:rsid w:val="002C1FBF"/>
    <w:rsid w:val="002C47B8"/>
    <w:rsid w:val="002C4A81"/>
    <w:rsid w:val="002C6888"/>
    <w:rsid w:val="002C78FB"/>
    <w:rsid w:val="002D0F81"/>
    <w:rsid w:val="002D170B"/>
    <w:rsid w:val="002D175D"/>
    <w:rsid w:val="002D2E80"/>
    <w:rsid w:val="002D3B0F"/>
    <w:rsid w:val="002D4073"/>
    <w:rsid w:val="002D447A"/>
    <w:rsid w:val="002D5865"/>
    <w:rsid w:val="002E6CB0"/>
    <w:rsid w:val="002F184C"/>
    <w:rsid w:val="002F19E7"/>
    <w:rsid w:val="002F2166"/>
    <w:rsid w:val="002F323A"/>
    <w:rsid w:val="002F3B70"/>
    <w:rsid w:val="002F5002"/>
    <w:rsid w:val="002F567B"/>
    <w:rsid w:val="002F6AB2"/>
    <w:rsid w:val="002F7C7C"/>
    <w:rsid w:val="003004B8"/>
    <w:rsid w:val="003022A7"/>
    <w:rsid w:val="00303D85"/>
    <w:rsid w:val="00307F4D"/>
    <w:rsid w:val="0031098B"/>
    <w:rsid w:val="00311A9D"/>
    <w:rsid w:val="00312994"/>
    <w:rsid w:val="00313CA3"/>
    <w:rsid w:val="0031558E"/>
    <w:rsid w:val="00315B94"/>
    <w:rsid w:val="003201BC"/>
    <w:rsid w:val="003212E4"/>
    <w:rsid w:val="003217C9"/>
    <w:rsid w:val="00321CA6"/>
    <w:rsid w:val="00322DF3"/>
    <w:rsid w:val="00327AC3"/>
    <w:rsid w:val="00327BFC"/>
    <w:rsid w:val="00330832"/>
    <w:rsid w:val="00330C13"/>
    <w:rsid w:val="00331520"/>
    <w:rsid w:val="00331B5C"/>
    <w:rsid w:val="00331C0E"/>
    <w:rsid w:val="00331D9F"/>
    <w:rsid w:val="003324D9"/>
    <w:rsid w:val="0033276A"/>
    <w:rsid w:val="0033283B"/>
    <w:rsid w:val="00333C49"/>
    <w:rsid w:val="00337648"/>
    <w:rsid w:val="00340752"/>
    <w:rsid w:val="003409C9"/>
    <w:rsid w:val="00341583"/>
    <w:rsid w:val="00344581"/>
    <w:rsid w:val="00344DF2"/>
    <w:rsid w:val="0034655C"/>
    <w:rsid w:val="00346FFA"/>
    <w:rsid w:val="00350CFE"/>
    <w:rsid w:val="0035139C"/>
    <w:rsid w:val="003524FD"/>
    <w:rsid w:val="003568F4"/>
    <w:rsid w:val="00357182"/>
    <w:rsid w:val="00357B8D"/>
    <w:rsid w:val="00357E66"/>
    <w:rsid w:val="00360100"/>
    <w:rsid w:val="00360197"/>
    <w:rsid w:val="003625F1"/>
    <w:rsid w:val="003638CF"/>
    <w:rsid w:val="00363C84"/>
    <w:rsid w:val="00364D14"/>
    <w:rsid w:val="00365311"/>
    <w:rsid w:val="003655B6"/>
    <w:rsid w:val="00365E46"/>
    <w:rsid w:val="00366F41"/>
    <w:rsid w:val="0037726C"/>
    <w:rsid w:val="00377697"/>
    <w:rsid w:val="00377A53"/>
    <w:rsid w:val="003809F3"/>
    <w:rsid w:val="0038117E"/>
    <w:rsid w:val="0038135E"/>
    <w:rsid w:val="003813A6"/>
    <w:rsid w:val="0038259A"/>
    <w:rsid w:val="00382F01"/>
    <w:rsid w:val="00384DC2"/>
    <w:rsid w:val="00387C29"/>
    <w:rsid w:val="00387DAD"/>
    <w:rsid w:val="00390732"/>
    <w:rsid w:val="0039257B"/>
    <w:rsid w:val="0039441A"/>
    <w:rsid w:val="003965DA"/>
    <w:rsid w:val="00396D7E"/>
    <w:rsid w:val="00396FDF"/>
    <w:rsid w:val="003A0776"/>
    <w:rsid w:val="003A0C23"/>
    <w:rsid w:val="003A0F73"/>
    <w:rsid w:val="003A1150"/>
    <w:rsid w:val="003A1E5E"/>
    <w:rsid w:val="003A5C77"/>
    <w:rsid w:val="003A5EB6"/>
    <w:rsid w:val="003A785D"/>
    <w:rsid w:val="003B04DA"/>
    <w:rsid w:val="003B0E7A"/>
    <w:rsid w:val="003B1992"/>
    <w:rsid w:val="003B1A29"/>
    <w:rsid w:val="003B1C22"/>
    <w:rsid w:val="003B1D25"/>
    <w:rsid w:val="003B2900"/>
    <w:rsid w:val="003B3299"/>
    <w:rsid w:val="003B436A"/>
    <w:rsid w:val="003B48D5"/>
    <w:rsid w:val="003B4F8C"/>
    <w:rsid w:val="003B62EC"/>
    <w:rsid w:val="003B6844"/>
    <w:rsid w:val="003C14C9"/>
    <w:rsid w:val="003C15EF"/>
    <w:rsid w:val="003C1D23"/>
    <w:rsid w:val="003C4817"/>
    <w:rsid w:val="003D1EDB"/>
    <w:rsid w:val="003D4359"/>
    <w:rsid w:val="003D4739"/>
    <w:rsid w:val="003D7D58"/>
    <w:rsid w:val="003E0266"/>
    <w:rsid w:val="003E0C4A"/>
    <w:rsid w:val="003E221F"/>
    <w:rsid w:val="003E3296"/>
    <w:rsid w:val="003E3C65"/>
    <w:rsid w:val="003E3F0E"/>
    <w:rsid w:val="003E4749"/>
    <w:rsid w:val="003E4CC0"/>
    <w:rsid w:val="003E51DE"/>
    <w:rsid w:val="003E60D1"/>
    <w:rsid w:val="003E757E"/>
    <w:rsid w:val="003F0052"/>
    <w:rsid w:val="003F0CAE"/>
    <w:rsid w:val="003F0EA8"/>
    <w:rsid w:val="003F5183"/>
    <w:rsid w:val="003F56BD"/>
    <w:rsid w:val="003F5A35"/>
    <w:rsid w:val="00400C11"/>
    <w:rsid w:val="004010A8"/>
    <w:rsid w:val="00401DED"/>
    <w:rsid w:val="00404546"/>
    <w:rsid w:val="00406097"/>
    <w:rsid w:val="00406C7B"/>
    <w:rsid w:val="00407182"/>
    <w:rsid w:val="004078E5"/>
    <w:rsid w:val="00407FE4"/>
    <w:rsid w:val="0041311D"/>
    <w:rsid w:val="00415784"/>
    <w:rsid w:val="00415806"/>
    <w:rsid w:val="004159BE"/>
    <w:rsid w:val="004168B3"/>
    <w:rsid w:val="0041784C"/>
    <w:rsid w:val="00417DAC"/>
    <w:rsid w:val="00417E13"/>
    <w:rsid w:val="00420CBC"/>
    <w:rsid w:val="00421432"/>
    <w:rsid w:val="00421CD5"/>
    <w:rsid w:val="00421E9D"/>
    <w:rsid w:val="00422784"/>
    <w:rsid w:val="00423EE9"/>
    <w:rsid w:val="00425EC2"/>
    <w:rsid w:val="00427696"/>
    <w:rsid w:val="00435D37"/>
    <w:rsid w:val="00436469"/>
    <w:rsid w:val="004379FA"/>
    <w:rsid w:val="00442E20"/>
    <w:rsid w:val="0044465C"/>
    <w:rsid w:val="0044550D"/>
    <w:rsid w:val="004471B9"/>
    <w:rsid w:val="00447221"/>
    <w:rsid w:val="00454093"/>
    <w:rsid w:val="00454C7D"/>
    <w:rsid w:val="00455227"/>
    <w:rsid w:val="004574D9"/>
    <w:rsid w:val="00461324"/>
    <w:rsid w:val="0046148B"/>
    <w:rsid w:val="004634E4"/>
    <w:rsid w:val="004639A5"/>
    <w:rsid w:val="004655E7"/>
    <w:rsid w:val="00466A02"/>
    <w:rsid w:val="00466E96"/>
    <w:rsid w:val="00466F15"/>
    <w:rsid w:val="004725CB"/>
    <w:rsid w:val="0047278D"/>
    <w:rsid w:val="00475763"/>
    <w:rsid w:val="00475BE2"/>
    <w:rsid w:val="00480082"/>
    <w:rsid w:val="00483B9D"/>
    <w:rsid w:val="0048470D"/>
    <w:rsid w:val="004848E8"/>
    <w:rsid w:val="00484EA7"/>
    <w:rsid w:val="004865CE"/>
    <w:rsid w:val="004868F5"/>
    <w:rsid w:val="00487296"/>
    <w:rsid w:val="0049070F"/>
    <w:rsid w:val="004932C1"/>
    <w:rsid w:val="00493B63"/>
    <w:rsid w:val="004940E0"/>
    <w:rsid w:val="00496861"/>
    <w:rsid w:val="004A1113"/>
    <w:rsid w:val="004A2665"/>
    <w:rsid w:val="004A3449"/>
    <w:rsid w:val="004A350C"/>
    <w:rsid w:val="004A382B"/>
    <w:rsid w:val="004A3894"/>
    <w:rsid w:val="004A38D1"/>
    <w:rsid w:val="004A55B1"/>
    <w:rsid w:val="004A56BE"/>
    <w:rsid w:val="004A5717"/>
    <w:rsid w:val="004A61E8"/>
    <w:rsid w:val="004A62DA"/>
    <w:rsid w:val="004B1C2A"/>
    <w:rsid w:val="004B1ECF"/>
    <w:rsid w:val="004B41B2"/>
    <w:rsid w:val="004B5F63"/>
    <w:rsid w:val="004B7800"/>
    <w:rsid w:val="004B7883"/>
    <w:rsid w:val="004C0135"/>
    <w:rsid w:val="004C0541"/>
    <w:rsid w:val="004C16F3"/>
    <w:rsid w:val="004C373F"/>
    <w:rsid w:val="004C3C31"/>
    <w:rsid w:val="004C659C"/>
    <w:rsid w:val="004D49A0"/>
    <w:rsid w:val="004D4E0F"/>
    <w:rsid w:val="004E02D3"/>
    <w:rsid w:val="004E28B9"/>
    <w:rsid w:val="004E4063"/>
    <w:rsid w:val="004E6C21"/>
    <w:rsid w:val="004E7676"/>
    <w:rsid w:val="004F288B"/>
    <w:rsid w:val="004F3817"/>
    <w:rsid w:val="004F4CFC"/>
    <w:rsid w:val="004F50B8"/>
    <w:rsid w:val="004F7808"/>
    <w:rsid w:val="004F7D2D"/>
    <w:rsid w:val="004F7F71"/>
    <w:rsid w:val="005025EC"/>
    <w:rsid w:val="005027D6"/>
    <w:rsid w:val="0050365D"/>
    <w:rsid w:val="005065E6"/>
    <w:rsid w:val="005070CF"/>
    <w:rsid w:val="005078B9"/>
    <w:rsid w:val="0051201B"/>
    <w:rsid w:val="0051345D"/>
    <w:rsid w:val="00516264"/>
    <w:rsid w:val="00517175"/>
    <w:rsid w:val="00521DE6"/>
    <w:rsid w:val="005221F4"/>
    <w:rsid w:val="00522282"/>
    <w:rsid w:val="00524587"/>
    <w:rsid w:val="0052511E"/>
    <w:rsid w:val="0052531F"/>
    <w:rsid w:val="005253D1"/>
    <w:rsid w:val="005264EC"/>
    <w:rsid w:val="00530AE6"/>
    <w:rsid w:val="00532B88"/>
    <w:rsid w:val="005331BD"/>
    <w:rsid w:val="005343F8"/>
    <w:rsid w:val="00534ED3"/>
    <w:rsid w:val="0053502A"/>
    <w:rsid w:val="0053621B"/>
    <w:rsid w:val="00536525"/>
    <w:rsid w:val="0053722D"/>
    <w:rsid w:val="005374C9"/>
    <w:rsid w:val="00540842"/>
    <w:rsid w:val="00540D55"/>
    <w:rsid w:val="00541131"/>
    <w:rsid w:val="00541D70"/>
    <w:rsid w:val="005429A2"/>
    <w:rsid w:val="00543A1F"/>
    <w:rsid w:val="005468F5"/>
    <w:rsid w:val="00546967"/>
    <w:rsid w:val="00547212"/>
    <w:rsid w:val="00547B34"/>
    <w:rsid w:val="005523CF"/>
    <w:rsid w:val="0055364A"/>
    <w:rsid w:val="00553E61"/>
    <w:rsid w:val="0055409D"/>
    <w:rsid w:val="0055507E"/>
    <w:rsid w:val="00555A5E"/>
    <w:rsid w:val="005562D6"/>
    <w:rsid w:val="005568D7"/>
    <w:rsid w:val="0055713F"/>
    <w:rsid w:val="00560113"/>
    <w:rsid w:val="00560529"/>
    <w:rsid w:val="00560667"/>
    <w:rsid w:val="00561992"/>
    <w:rsid w:val="00564436"/>
    <w:rsid w:val="005644BB"/>
    <w:rsid w:val="0056509E"/>
    <w:rsid w:val="00565662"/>
    <w:rsid w:val="00566BFA"/>
    <w:rsid w:val="005700F4"/>
    <w:rsid w:val="00570C9B"/>
    <w:rsid w:val="00570EEF"/>
    <w:rsid w:val="005715D6"/>
    <w:rsid w:val="00571A37"/>
    <w:rsid w:val="0057438A"/>
    <w:rsid w:val="00575B7D"/>
    <w:rsid w:val="00580172"/>
    <w:rsid w:val="00581749"/>
    <w:rsid w:val="005818A8"/>
    <w:rsid w:val="005829D9"/>
    <w:rsid w:val="00583591"/>
    <w:rsid w:val="005852DA"/>
    <w:rsid w:val="005858DC"/>
    <w:rsid w:val="0058776D"/>
    <w:rsid w:val="00590B7B"/>
    <w:rsid w:val="005916D5"/>
    <w:rsid w:val="00593B25"/>
    <w:rsid w:val="00595DA2"/>
    <w:rsid w:val="00596079"/>
    <w:rsid w:val="005966E6"/>
    <w:rsid w:val="005A4AB8"/>
    <w:rsid w:val="005A5064"/>
    <w:rsid w:val="005A5229"/>
    <w:rsid w:val="005B0DB1"/>
    <w:rsid w:val="005B18F4"/>
    <w:rsid w:val="005B25F8"/>
    <w:rsid w:val="005B2BF5"/>
    <w:rsid w:val="005B5CB7"/>
    <w:rsid w:val="005B7040"/>
    <w:rsid w:val="005C19AB"/>
    <w:rsid w:val="005C3915"/>
    <w:rsid w:val="005C3D3E"/>
    <w:rsid w:val="005C4CBE"/>
    <w:rsid w:val="005C4DBD"/>
    <w:rsid w:val="005C5F38"/>
    <w:rsid w:val="005D0E14"/>
    <w:rsid w:val="005D4BC4"/>
    <w:rsid w:val="005D5D14"/>
    <w:rsid w:val="005D6EEB"/>
    <w:rsid w:val="005D751B"/>
    <w:rsid w:val="005E0358"/>
    <w:rsid w:val="005E038B"/>
    <w:rsid w:val="005E150E"/>
    <w:rsid w:val="005E2852"/>
    <w:rsid w:val="005E2B06"/>
    <w:rsid w:val="005E35C9"/>
    <w:rsid w:val="005E4CD1"/>
    <w:rsid w:val="005E5941"/>
    <w:rsid w:val="005E6D35"/>
    <w:rsid w:val="005F50EA"/>
    <w:rsid w:val="005F568D"/>
    <w:rsid w:val="006006C6"/>
    <w:rsid w:val="006050EA"/>
    <w:rsid w:val="006070E0"/>
    <w:rsid w:val="006071F2"/>
    <w:rsid w:val="00607217"/>
    <w:rsid w:val="00607500"/>
    <w:rsid w:val="0061084D"/>
    <w:rsid w:val="006127E9"/>
    <w:rsid w:val="00612A74"/>
    <w:rsid w:val="00612F5E"/>
    <w:rsid w:val="00613676"/>
    <w:rsid w:val="006139C9"/>
    <w:rsid w:val="006152FB"/>
    <w:rsid w:val="00616B6E"/>
    <w:rsid w:val="00617CA0"/>
    <w:rsid w:val="00620FA4"/>
    <w:rsid w:val="0062271A"/>
    <w:rsid w:val="00622F10"/>
    <w:rsid w:val="00622FAC"/>
    <w:rsid w:val="00623BC4"/>
    <w:rsid w:val="00624C12"/>
    <w:rsid w:val="00632692"/>
    <w:rsid w:val="00634B74"/>
    <w:rsid w:val="006357BA"/>
    <w:rsid w:val="0063610A"/>
    <w:rsid w:val="00642A13"/>
    <w:rsid w:val="006435D8"/>
    <w:rsid w:val="00645ED4"/>
    <w:rsid w:val="00647463"/>
    <w:rsid w:val="00647B12"/>
    <w:rsid w:val="006509EE"/>
    <w:rsid w:val="00651027"/>
    <w:rsid w:val="0065108A"/>
    <w:rsid w:val="006534C5"/>
    <w:rsid w:val="00653CF3"/>
    <w:rsid w:val="00654A8A"/>
    <w:rsid w:val="0065775B"/>
    <w:rsid w:val="00657F58"/>
    <w:rsid w:val="00661339"/>
    <w:rsid w:val="00661C7E"/>
    <w:rsid w:val="00663690"/>
    <w:rsid w:val="00664DEB"/>
    <w:rsid w:val="00666EFC"/>
    <w:rsid w:val="00670373"/>
    <w:rsid w:val="006705D4"/>
    <w:rsid w:val="00670C6E"/>
    <w:rsid w:val="00671844"/>
    <w:rsid w:val="00671961"/>
    <w:rsid w:val="006723F0"/>
    <w:rsid w:val="00672DCB"/>
    <w:rsid w:val="006751BF"/>
    <w:rsid w:val="006752C1"/>
    <w:rsid w:val="006756E9"/>
    <w:rsid w:val="006759B4"/>
    <w:rsid w:val="00675DCF"/>
    <w:rsid w:val="006760A4"/>
    <w:rsid w:val="00676256"/>
    <w:rsid w:val="00676A4B"/>
    <w:rsid w:val="00681351"/>
    <w:rsid w:val="00681A9E"/>
    <w:rsid w:val="00682718"/>
    <w:rsid w:val="00684818"/>
    <w:rsid w:val="00684902"/>
    <w:rsid w:val="00685393"/>
    <w:rsid w:val="00690A2B"/>
    <w:rsid w:val="00690D87"/>
    <w:rsid w:val="00690EA9"/>
    <w:rsid w:val="006910F4"/>
    <w:rsid w:val="00692810"/>
    <w:rsid w:val="0069434B"/>
    <w:rsid w:val="00694445"/>
    <w:rsid w:val="00694991"/>
    <w:rsid w:val="00695141"/>
    <w:rsid w:val="00695AC5"/>
    <w:rsid w:val="006971AF"/>
    <w:rsid w:val="00697A91"/>
    <w:rsid w:val="006A0B4A"/>
    <w:rsid w:val="006A1C8D"/>
    <w:rsid w:val="006A290B"/>
    <w:rsid w:val="006A4801"/>
    <w:rsid w:val="006A5DE6"/>
    <w:rsid w:val="006A6C58"/>
    <w:rsid w:val="006B159D"/>
    <w:rsid w:val="006B2866"/>
    <w:rsid w:val="006B3579"/>
    <w:rsid w:val="006B4777"/>
    <w:rsid w:val="006B5211"/>
    <w:rsid w:val="006B5863"/>
    <w:rsid w:val="006B729D"/>
    <w:rsid w:val="006B7725"/>
    <w:rsid w:val="006C15C6"/>
    <w:rsid w:val="006C27EC"/>
    <w:rsid w:val="006C2906"/>
    <w:rsid w:val="006C3C84"/>
    <w:rsid w:val="006C5096"/>
    <w:rsid w:val="006C5F17"/>
    <w:rsid w:val="006C6B7E"/>
    <w:rsid w:val="006C6BF9"/>
    <w:rsid w:val="006C6C06"/>
    <w:rsid w:val="006C7BA4"/>
    <w:rsid w:val="006C7EA3"/>
    <w:rsid w:val="006D1A57"/>
    <w:rsid w:val="006D2608"/>
    <w:rsid w:val="006D2A9C"/>
    <w:rsid w:val="006D3720"/>
    <w:rsid w:val="006D3727"/>
    <w:rsid w:val="006D4A5C"/>
    <w:rsid w:val="006D53D7"/>
    <w:rsid w:val="006D74DB"/>
    <w:rsid w:val="006E11AC"/>
    <w:rsid w:val="006E4746"/>
    <w:rsid w:val="006E4B91"/>
    <w:rsid w:val="006E6751"/>
    <w:rsid w:val="006E7282"/>
    <w:rsid w:val="006F1AFE"/>
    <w:rsid w:val="006F2861"/>
    <w:rsid w:val="006F4309"/>
    <w:rsid w:val="006F5E1B"/>
    <w:rsid w:val="006F6B2B"/>
    <w:rsid w:val="006F6D5E"/>
    <w:rsid w:val="006F7C03"/>
    <w:rsid w:val="00701093"/>
    <w:rsid w:val="007027D1"/>
    <w:rsid w:val="00703B0B"/>
    <w:rsid w:val="00705089"/>
    <w:rsid w:val="007055C9"/>
    <w:rsid w:val="00706A33"/>
    <w:rsid w:val="00706CF0"/>
    <w:rsid w:val="00710BC7"/>
    <w:rsid w:val="00712271"/>
    <w:rsid w:val="00712C9A"/>
    <w:rsid w:val="00712CC4"/>
    <w:rsid w:val="00713AA0"/>
    <w:rsid w:val="00715597"/>
    <w:rsid w:val="00715DEB"/>
    <w:rsid w:val="00716A7D"/>
    <w:rsid w:val="00716B14"/>
    <w:rsid w:val="0071757A"/>
    <w:rsid w:val="00717FE8"/>
    <w:rsid w:val="00721DCD"/>
    <w:rsid w:val="00722A4C"/>
    <w:rsid w:val="007234B4"/>
    <w:rsid w:val="00725D07"/>
    <w:rsid w:val="00727967"/>
    <w:rsid w:val="007307C9"/>
    <w:rsid w:val="007319C8"/>
    <w:rsid w:val="0073431B"/>
    <w:rsid w:val="00734688"/>
    <w:rsid w:val="00734729"/>
    <w:rsid w:val="00736E76"/>
    <w:rsid w:val="0073706D"/>
    <w:rsid w:val="00737DB4"/>
    <w:rsid w:val="007406F2"/>
    <w:rsid w:val="00742C04"/>
    <w:rsid w:val="00743684"/>
    <w:rsid w:val="007452A1"/>
    <w:rsid w:val="00745BCE"/>
    <w:rsid w:val="00746132"/>
    <w:rsid w:val="007469F9"/>
    <w:rsid w:val="00747828"/>
    <w:rsid w:val="007515DA"/>
    <w:rsid w:val="007534AA"/>
    <w:rsid w:val="00753C0A"/>
    <w:rsid w:val="00753E85"/>
    <w:rsid w:val="00754D46"/>
    <w:rsid w:val="00754F86"/>
    <w:rsid w:val="0075551E"/>
    <w:rsid w:val="00756761"/>
    <w:rsid w:val="007579F4"/>
    <w:rsid w:val="00757A6C"/>
    <w:rsid w:val="0076100C"/>
    <w:rsid w:val="00761287"/>
    <w:rsid w:val="0076182F"/>
    <w:rsid w:val="007618B8"/>
    <w:rsid w:val="00762622"/>
    <w:rsid w:val="0076413B"/>
    <w:rsid w:val="007652FD"/>
    <w:rsid w:val="0076645A"/>
    <w:rsid w:val="00771538"/>
    <w:rsid w:val="00771D94"/>
    <w:rsid w:val="007722BC"/>
    <w:rsid w:val="00772A01"/>
    <w:rsid w:val="00772F45"/>
    <w:rsid w:val="00773C65"/>
    <w:rsid w:val="00775529"/>
    <w:rsid w:val="00776A67"/>
    <w:rsid w:val="00776DE5"/>
    <w:rsid w:val="00777134"/>
    <w:rsid w:val="00781377"/>
    <w:rsid w:val="00783A9F"/>
    <w:rsid w:val="00784166"/>
    <w:rsid w:val="0078476D"/>
    <w:rsid w:val="00784BF8"/>
    <w:rsid w:val="00784DAE"/>
    <w:rsid w:val="00785339"/>
    <w:rsid w:val="00786F50"/>
    <w:rsid w:val="00787E88"/>
    <w:rsid w:val="00791DC2"/>
    <w:rsid w:val="00793F4D"/>
    <w:rsid w:val="007941BB"/>
    <w:rsid w:val="00794B8C"/>
    <w:rsid w:val="00796ED1"/>
    <w:rsid w:val="007978AC"/>
    <w:rsid w:val="00797B66"/>
    <w:rsid w:val="00797BA2"/>
    <w:rsid w:val="007A0816"/>
    <w:rsid w:val="007A1882"/>
    <w:rsid w:val="007A2838"/>
    <w:rsid w:val="007A299E"/>
    <w:rsid w:val="007A33EE"/>
    <w:rsid w:val="007A3B09"/>
    <w:rsid w:val="007A5A5D"/>
    <w:rsid w:val="007A67CB"/>
    <w:rsid w:val="007B0888"/>
    <w:rsid w:val="007B41C4"/>
    <w:rsid w:val="007B5A1B"/>
    <w:rsid w:val="007B5C2E"/>
    <w:rsid w:val="007B7DBE"/>
    <w:rsid w:val="007B7EED"/>
    <w:rsid w:val="007C1EE8"/>
    <w:rsid w:val="007C2107"/>
    <w:rsid w:val="007C2827"/>
    <w:rsid w:val="007C43BE"/>
    <w:rsid w:val="007C49FF"/>
    <w:rsid w:val="007D0106"/>
    <w:rsid w:val="007D0956"/>
    <w:rsid w:val="007D39CD"/>
    <w:rsid w:val="007D410B"/>
    <w:rsid w:val="007D4C9D"/>
    <w:rsid w:val="007D4EE7"/>
    <w:rsid w:val="007D5AB1"/>
    <w:rsid w:val="007E0203"/>
    <w:rsid w:val="007E056C"/>
    <w:rsid w:val="007E0761"/>
    <w:rsid w:val="007E081D"/>
    <w:rsid w:val="007E1AB8"/>
    <w:rsid w:val="007E293C"/>
    <w:rsid w:val="007E36EB"/>
    <w:rsid w:val="007E5CC1"/>
    <w:rsid w:val="007E7DDD"/>
    <w:rsid w:val="007F182C"/>
    <w:rsid w:val="007F33E9"/>
    <w:rsid w:val="007F388B"/>
    <w:rsid w:val="007F61AF"/>
    <w:rsid w:val="007F775F"/>
    <w:rsid w:val="00802B7F"/>
    <w:rsid w:val="00804F0B"/>
    <w:rsid w:val="00805844"/>
    <w:rsid w:val="00806B4B"/>
    <w:rsid w:val="00810837"/>
    <w:rsid w:val="00810CDD"/>
    <w:rsid w:val="00811332"/>
    <w:rsid w:val="0081184B"/>
    <w:rsid w:val="00811943"/>
    <w:rsid w:val="00811DF5"/>
    <w:rsid w:val="00812E0B"/>
    <w:rsid w:val="00813F13"/>
    <w:rsid w:val="00815A2F"/>
    <w:rsid w:val="00817A6A"/>
    <w:rsid w:val="0082070B"/>
    <w:rsid w:val="00822F67"/>
    <w:rsid w:val="008251C2"/>
    <w:rsid w:val="0082570B"/>
    <w:rsid w:val="0082721B"/>
    <w:rsid w:val="008312F3"/>
    <w:rsid w:val="008343BA"/>
    <w:rsid w:val="0083553F"/>
    <w:rsid w:val="008355A8"/>
    <w:rsid w:val="00836A00"/>
    <w:rsid w:val="00842FB5"/>
    <w:rsid w:val="00844B4B"/>
    <w:rsid w:val="00845320"/>
    <w:rsid w:val="00845675"/>
    <w:rsid w:val="00847B5B"/>
    <w:rsid w:val="00854098"/>
    <w:rsid w:val="0085673A"/>
    <w:rsid w:val="00856DE2"/>
    <w:rsid w:val="008573C7"/>
    <w:rsid w:val="00857B59"/>
    <w:rsid w:val="00860BDB"/>
    <w:rsid w:val="00861096"/>
    <w:rsid w:val="008617B7"/>
    <w:rsid w:val="00861D85"/>
    <w:rsid w:val="00861F52"/>
    <w:rsid w:val="00864891"/>
    <w:rsid w:val="00864D7E"/>
    <w:rsid w:val="008656F4"/>
    <w:rsid w:val="00871ED5"/>
    <w:rsid w:val="00873808"/>
    <w:rsid w:val="00873FD5"/>
    <w:rsid w:val="00874F31"/>
    <w:rsid w:val="0087527E"/>
    <w:rsid w:val="00875C4F"/>
    <w:rsid w:val="008770B1"/>
    <w:rsid w:val="00877642"/>
    <w:rsid w:val="00880646"/>
    <w:rsid w:val="00882650"/>
    <w:rsid w:val="00883754"/>
    <w:rsid w:val="008842AB"/>
    <w:rsid w:val="008844C7"/>
    <w:rsid w:val="008855BC"/>
    <w:rsid w:val="00886302"/>
    <w:rsid w:val="00886930"/>
    <w:rsid w:val="0089243B"/>
    <w:rsid w:val="0089368B"/>
    <w:rsid w:val="00893A0A"/>
    <w:rsid w:val="0089702D"/>
    <w:rsid w:val="008A1B88"/>
    <w:rsid w:val="008A1D16"/>
    <w:rsid w:val="008A1FE3"/>
    <w:rsid w:val="008A20BC"/>
    <w:rsid w:val="008A30DD"/>
    <w:rsid w:val="008A3BC7"/>
    <w:rsid w:val="008A3F44"/>
    <w:rsid w:val="008A466B"/>
    <w:rsid w:val="008A68EC"/>
    <w:rsid w:val="008A73B0"/>
    <w:rsid w:val="008B285E"/>
    <w:rsid w:val="008B2B3C"/>
    <w:rsid w:val="008B599F"/>
    <w:rsid w:val="008B6D0D"/>
    <w:rsid w:val="008C01EB"/>
    <w:rsid w:val="008C15C8"/>
    <w:rsid w:val="008C2299"/>
    <w:rsid w:val="008C3941"/>
    <w:rsid w:val="008C4151"/>
    <w:rsid w:val="008C5163"/>
    <w:rsid w:val="008C5984"/>
    <w:rsid w:val="008C7C7F"/>
    <w:rsid w:val="008D0308"/>
    <w:rsid w:val="008D0998"/>
    <w:rsid w:val="008D20A3"/>
    <w:rsid w:val="008D27EB"/>
    <w:rsid w:val="008D2C8B"/>
    <w:rsid w:val="008D30AF"/>
    <w:rsid w:val="008D3CDF"/>
    <w:rsid w:val="008D4618"/>
    <w:rsid w:val="008D5823"/>
    <w:rsid w:val="008D6E96"/>
    <w:rsid w:val="008D6F6A"/>
    <w:rsid w:val="008D6F78"/>
    <w:rsid w:val="008E0E90"/>
    <w:rsid w:val="008E10D6"/>
    <w:rsid w:val="008E2B58"/>
    <w:rsid w:val="008E3805"/>
    <w:rsid w:val="008E3D20"/>
    <w:rsid w:val="008E462B"/>
    <w:rsid w:val="008E5EDA"/>
    <w:rsid w:val="008E6D00"/>
    <w:rsid w:val="008E7183"/>
    <w:rsid w:val="008E77D5"/>
    <w:rsid w:val="008F0415"/>
    <w:rsid w:val="008F195C"/>
    <w:rsid w:val="008F34CB"/>
    <w:rsid w:val="008F3986"/>
    <w:rsid w:val="008F4F59"/>
    <w:rsid w:val="008F7755"/>
    <w:rsid w:val="00900F62"/>
    <w:rsid w:val="0090210D"/>
    <w:rsid w:val="00902289"/>
    <w:rsid w:val="009022BB"/>
    <w:rsid w:val="009045B3"/>
    <w:rsid w:val="0090493D"/>
    <w:rsid w:val="00904C72"/>
    <w:rsid w:val="00904F52"/>
    <w:rsid w:val="00905430"/>
    <w:rsid w:val="00905BF5"/>
    <w:rsid w:val="00905F6A"/>
    <w:rsid w:val="00907FE0"/>
    <w:rsid w:val="00910CBD"/>
    <w:rsid w:val="0091144B"/>
    <w:rsid w:val="009126D6"/>
    <w:rsid w:val="00915576"/>
    <w:rsid w:val="0091631F"/>
    <w:rsid w:val="00916A0F"/>
    <w:rsid w:val="00920528"/>
    <w:rsid w:val="00922BF8"/>
    <w:rsid w:val="0092368D"/>
    <w:rsid w:val="0092403C"/>
    <w:rsid w:val="0092474C"/>
    <w:rsid w:val="00925448"/>
    <w:rsid w:val="00925536"/>
    <w:rsid w:val="00925FF2"/>
    <w:rsid w:val="009271A2"/>
    <w:rsid w:val="0093378D"/>
    <w:rsid w:val="0093484E"/>
    <w:rsid w:val="00935A48"/>
    <w:rsid w:val="00937C0F"/>
    <w:rsid w:val="009404CE"/>
    <w:rsid w:val="00941C71"/>
    <w:rsid w:val="00941E99"/>
    <w:rsid w:val="0094299F"/>
    <w:rsid w:val="009472A1"/>
    <w:rsid w:val="00947E4E"/>
    <w:rsid w:val="009508FA"/>
    <w:rsid w:val="00951A56"/>
    <w:rsid w:val="009543FD"/>
    <w:rsid w:val="009545F5"/>
    <w:rsid w:val="009553DE"/>
    <w:rsid w:val="00956F1D"/>
    <w:rsid w:val="0095708D"/>
    <w:rsid w:val="009570EC"/>
    <w:rsid w:val="00957325"/>
    <w:rsid w:val="00961D65"/>
    <w:rsid w:val="00962341"/>
    <w:rsid w:val="009636C3"/>
    <w:rsid w:val="009647DB"/>
    <w:rsid w:val="00965B35"/>
    <w:rsid w:val="00965E55"/>
    <w:rsid w:val="00965FCD"/>
    <w:rsid w:val="009667E4"/>
    <w:rsid w:val="00966CC3"/>
    <w:rsid w:val="009707F3"/>
    <w:rsid w:val="00970817"/>
    <w:rsid w:val="00972F5D"/>
    <w:rsid w:val="00973022"/>
    <w:rsid w:val="0097377E"/>
    <w:rsid w:val="00974320"/>
    <w:rsid w:val="00974F42"/>
    <w:rsid w:val="0098296F"/>
    <w:rsid w:val="009836D7"/>
    <w:rsid w:val="0098562F"/>
    <w:rsid w:val="00985C9B"/>
    <w:rsid w:val="009860B5"/>
    <w:rsid w:val="00992B90"/>
    <w:rsid w:val="00994D96"/>
    <w:rsid w:val="009A0736"/>
    <w:rsid w:val="009A1376"/>
    <w:rsid w:val="009A24E1"/>
    <w:rsid w:val="009A4C61"/>
    <w:rsid w:val="009A6D2F"/>
    <w:rsid w:val="009A74A7"/>
    <w:rsid w:val="009A792A"/>
    <w:rsid w:val="009B1C0A"/>
    <w:rsid w:val="009B320B"/>
    <w:rsid w:val="009B5779"/>
    <w:rsid w:val="009B65AF"/>
    <w:rsid w:val="009B6603"/>
    <w:rsid w:val="009B6985"/>
    <w:rsid w:val="009C162D"/>
    <w:rsid w:val="009C42D7"/>
    <w:rsid w:val="009C5462"/>
    <w:rsid w:val="009C756D"/>
    <w:rsid w:val="009D04AF"/>
    <w:rsid w:val="009D198A"/>
    <w:rsid w:val="009D2F97"/>
    <w:rsid w:val="009D36B4"/>
    <w:rsid w:val="009D3AEA"/>
    <w:rsid w:val="009D3E8D"/>
    <w:rsid w:val="009D64D9"/>
    <w:rsid w:val="009D6D64"/>
    <w:rsid w:val="009D7885"/>
    <w:rsid w:val="009E04A3"/>
    <w:rsid w:val="009E58AC"/>
    <w:rsid w:val="009E5D48"/>
    <w:rsid w:val="009E70C1"/>
    <w:rsid w:val="009E7177"/>
    <w:rsid w:val="009F0EB0"/>
    <w:rsid w:val="009F1090"/>
    <w:rsid w:val="009F18E0"/>
    <w:rsid w:val="009F3035"/>
    <w:rsid w:val="009F35DF"/>
    <w:rsid w:val="009F3CF9"/>
    <w:rsid w:val="009F3DA9"/>
    <w:rsid w:val="009F4195"/>
    <w:rsid w:val="00A00218"/>
    <w:rsid w:val="00A0035B"/>
    <w:rsid w:val="00A060B3"/>
    <w:rsid w:val="00A06C70"/>
    <w:rsid w:val="00A07539"/>
    <w:rsid w:val="00A10CF5"/>
    <w:rsid w:val="00A119B4"/>
    <w:rsid w:val="00A11CDE"/>
    <w:rsid w:val="00A11E17"/>
    <w:rsid w:val="00A14996"/>
    <w:rsid w:val="00A16685"/>
    <w:rsid w:val="00A16C9B"/>
    <w:rsid w:val="00A17447"/>
    <w:rsid w:val="00A20571"/>
    <w:rsid w:val="00A2097F"/>
    <w:rsid w:val="00A22776"/>
    <w:rsid w:val="00A22911"/>
    <w:rsid w:val="00A233F2"/>
    <w:rsid w:val="00A2480A"/>
    <w:rsid w:val="00A25D5F"/>
    <w:rsid w:val="00A33860"/>
    <w:rsid w:val="00A34E49"/>
    <w:rsid w:val="00A34E9D"/>
    <w:rsid w:val="00A35C10"/>
    <w:rsid w:val="00A36F39"/>
    <w:rsid w:val="00A37526"/>
    <w:rsid w:val="00A4133A"/>
    <w:rsid w:val="00A419CE"/>
    <w:rsid w:val="00A423C3"/>
    <w:rsid w:val="00A4482B"/>
    <w:rsid w:val="00A44F75"/>
    <w:rsid w:val="00A451E5"/>
    <w:rsid w:val="00A45F99"/>
    <w:rsid w:val="00A4692E"/>
    <w:rsid w:val="00A46C9C"/>
    <w:rsid w:val="00A46DEF"/>
    <w:rsid w:val="00A52BC0"/>
    <w:rsid w:val="00A55764"/>
    <w:rsid w:val="00A559ED"/>
    <w:rsid w:val="00A55AB0"/>
    <w:rsid w:val="00A5642C"/>
    <w:rsid w:val="00A57868"/>
    <w:rsid w:val="00A57CDB"/>
    <w:rsid w:val="00A6220E"/>
    <w:rsid w:val="00A62711"/>
    <w:rsid w:val="00A63167"/>
    <w:rsid w:val="00A66994"/>
    <w:rsid w:val="00A66BEC"/>
    <w:rsid w:val="00A67103"/>
    <w:rsid w:val="00A67F78"/>
    <w:rsid w:val="00A719D1"/>
    <w:rsid w:val="00A73828"/>
    <w:rsid w:val="00A74590"/>
    <w:rsid w:val="00A75004"/>
    <w:rsid w:val="00A76BD3"/>
    <w:rsid w:val="00A80523"/>
    <w:rsid w:val="00A8105B"/>
    <w:rsid w:val="00A81A72"/>
    <w:rsid w:val="00A84EF6"/>
    <w:rsid w:val="00A85320"/>
    <w:rsid w:val="00A85322"/>
    <w:rsid w:val="00A862EE"/>
    <w:rsid w:val="00A919D2"/>
    <w:rsid w:val="00A92C88"/>
    <w:rsid w:val="00A93193"/>
    <w:rsid w:val="00A94105"/>
    <w:rsid w:val="00A9414F"/>
    <w:rsid w:val="00A94444"/>
    <w:rsid w:val="00A944B7"/>
    <w:rsid w:val="00A965E6"/>
    <w:rsid w:val="00A96B95"/>
    <w:rsid w:val="00AA1568"/>
    <w:rsid w:val="00AA4229"/>
    <w:rsid w:val="00AA4C9B"/>
    <w:rsid w:val="00AA53FC"/>
    <w:rsid w:val="00AA57C2"/>
    <w:rsid w:val="00AA6372"/>
    <w:rsid w:val="00AB08DE"/>
    <w:rsid w:val="00AB1AAD"/>
    <w:rsid w:val="00AB3700"/>
    <w:rsid w:val="00AB47EB"/>
    <w:rsid w:val="00AB4C24"/>
    <w:rsid w:val="00AB4C79"/>
    <w:rsid w:val="00AB517A"/>
    <w:rsid w:val="00AC2EF2"/>
    <w:rsid w:val="00AC33D0"/>
    <w:rsid w:val="00AC41A8"/>
    <w:rsid w:val="00AC4D78"/>
    <w:rsid w:val="00AC4E44"/>
    <w:rsid w:val="00AC7CE7"/>
    <w:rsid w:val="00AD02E0"/>
    <w:rsid w:val="00AD0474"/>
    <w:rsid w:val="00AD0FC1"/>
    <w:rsid w:val="00AD1B16"/>
    <w:rsid w:val="00AD1CF2"/>
    <w:rsid w:val="00AD308A"/>
    <w:rsid w:val="00AD4978"/>
    <w:rsid w:val="00AD677F"/>
    <w:rsid w:val="00AD69AC"/>
    <w:rsid w:val="00AD6C85"/>
    <w:rsid w:val="00AD6E0C"/>
    <w:rsid w:val="00AD71D3"/>
    <w:rsid w:val="00AD725A"/>
    <w:rsid w:val="00AE2FC9"/>
    <w:rsid w:val="00AE3B29"/>
    <w:rsid w:val="00AE3EC8"/>
    <w:rsid w:val="00AE46D2"/>
    <w:rsid w:val="00AF16EF"/>
    <w:rsid w:val="00AF2A35"/>
    <w:rsid w:val="00AF39C0"/>
    <w:rsid w:val="00AF6471"/>
    <w:rsid w:val="00AF71DC"/>
    <w:rsid w:val="00B022B2"/>
    <w:rsid w:val="00B02D66"/>
    <w:rsid w:val="00B039A4"/>
    <w:rsid w:val="00B0449D"/>
    <w:rsid w:val="00B063C0"/>
    <w:rsid w:val="00B10371"/>
    <w:rsid w:val="00B12E31"/>
    <w:rsid w:val="00B12FFF"/>
    <w:rsid w:val="00B1410C"/>
    <w:rsid w:val="00B144B8"/>
    <w:rsid w:val="00B215A7"/>
    <w:rsid w:val="00B21B23"/>
    <w:rsid w:val="00B2229B"/>
    <w:rsid w:val="00B2447D"/>
    <w:rsid w:val="00B2654F"/>
    <w:rsid w:val="00B27D61"/>
    <w:rsid w:val="00B30BC0"/>
    <w:rsid w:val="00B36D48"/>
    <w:rsid w:val="00B40133"/>
    <w:rsid w:val="00B41E7A"/>
    <w:rsid w:val="00B434CF"/>
    <w:rsid w:val="00B46ABF"/>
    <w:rsid w:val="00B47CAB"/>
    <w:rsid w:val="00B50021"/>
    <w:rsid w:val="00B50CF4"/>
    <w:rsid w:val="00B5154B"/>
    <w:rsid w:val="00B52271"/>
    <w:rsid w:val="00B53433"/>
    <w:rsid w:val="00B57E89"/>
    <w:rsid w:val="00B600D9"/>
    <w:rsid w:val="00B6394D"/>
    <w:rsid w:val="00B63FBA"/>
    <w:rsid w:val="00B6519A"/>
    <w:rsid w:val="00B663B8"/>
    <w:rsid w:val="00B71665"/>
    <w:rsid w:val="00B71C0B"/>
    <w:rsid w:val="00B72332"/>
    <w:rsid w:val="00B74947"/>
    <w:rsid w:val="00B7591E"/>
    <w:rsid w:val="00B81BD0"/>
    <w:rsid w:val="00B82794"/>
    <w:rsid w:val="00B82B9C"/>
    <w:rsid w:val="00B84CCB"/>
    <w:rsid w:val="00B862AF"/>
    <w:rsid w:val="00B90D97"/>
    <w:rsid w:val="00B91241"/>
    <w:rsid w:val="00B92746"/>
    <w:rsid w:val="00B92D47"/>
    <w:rsid w:val="00BA06C1"/>
    <w:rsid w:val="00BA0B65"/>
    <w:rsid w:val="00BA1F78"/>
    <w:rsid w:val="00BA6FEF"/>
    <w:rsid w:val="00BB24C2"/>
    <w:rsid w:val="00BB30FF"/>
    <w:rsid w:val="00BB40F6"/>
    <w:rsid w:val="00BB573E"/>
    <w:rsid w:val="00BB5FE7"/>
    <w:rsid w:val="00BB60B2"/>
    <w:rsid w:val="00BB785F"/>
    <w:rsid w:val="00BB7D3F"/>
    <w:rsid w:val="00BB7F73"/>
    <w:rsid w:val="00BC1BBF"/>
    <w:rsid w:val="00BC2E39"/>
    <w:rsid w:val="00BC4BB9"/>
    <w:rsid w:val="00BC6076"/>
    <w:rsid w:val="00BC6E86"/>
    <w:rsid w:val="00BC76FE"/>
    <w:rsid w:val="00BD0C9A"/>
    <w:rsid w:val="00BD30D2"/>
    <w:rsid w:val="00BE20AC"/>
    <w:rsid w:val="00BE2E1E"/>
    <w:rsid w:val="00BE3FF4"/>
    <w:rsid w:val="00BE47BD"/>
    <w:rsid w:val="00BE5B52"/>
    <w:rsid w:val="00BE6E6D"/>
    <w:rsid w:val="00BF0ACC"/>
    <w:rsid w:val="00BF0C5D"/>
    <w:rsid w:val="00BF1440"/>
    <w:rsid w:val="00BF1F70"/>
    <w:rsid w:val="00BF2B93"/>
    <w:rsid w:val="00BF301B"/>
    <w:rsid w:val="00BF43FA"/>
    <w:rsid w:val="00BF6AAD"/>
    <w:rsid w:val="00BF7150"/>
    <w:rsid w:val="00BF72CE"/>
    <w:rsid w:val="00C00FED"/>
    <w:rsid w:val="00C0135E"/>
    <w:rsid w:val="00C01F4F"/>
    <w:rsid w:val="00C077DA"/>
    <w:rsid w:val="00C0788A"/>
    <w:rsid w:val="00C07EBB"/>
    <w:rsid w:val="00C123A0"/>
    <w:rsid w:val="00C131FA"/>
    <w:rsid w:val="00C13F58"/>
    <w:rsid w:val="00C14571"/>
    <w:rsid w:val="00C1491F"/>
    <w:rsid w:val="00C157D1"/>
    <w:rsid w:val="00C20E5A"/>
    <w:rsid w:val="00C22E55"/>
    <w:rsid w:val="00C23729"/>
    <w:rsid w:val="00C25367"/>
    <w:rsid w:val="00C26844"/>
    <w:rsid w:val="00C2734A"/>
    <w:rsid w:val="00C309B8"/>
    <w:rsid w:val="00C31D0E"/>
    <w:rsid w:val="00C321B7"/>
    <w:rsid w:val="00C34184"/>
    <w:rsid w:val="00C34AC1"/>
    <w:rsid w:val="00C35CAA"/>
    <w:rsid w:val="00C37B69"/>
    <w:rsid w:val="00C40CFD"/>
    <w:rsid w:val="00C41BAB"/>
    <w:rsid w:val="00C41D78"/>
    <w:rsid w:val="00C42122"/>
    <w:rsid w:val="00C427B1"/>
    <w:rsid w:val="00C42838"/>
    <w:rsid w:val="00C45B6B"/>
    <w:rsid w:val="00C4601D"/>
    <w:rsid w:val="00C46235"/>
    <w:rsid w:val="00C47275"/>
    <w:rsid w:val="00C50494"/>
    <w:rsid w:val="00C51BC7"/>
    <w:rsid w:val="00C53A70"/>
    <w:rsid w:val="00C565D2"/>
    <w:rsid w:val="00C576EA"/>
    <w:rsid w:val="00C57CD2"/>
    <w:rsid w:val="00C603DE"/>
    <w:rsid w:val="00C6164F"/>
    <w:rsid w:val="00C62171"/>
    <w:rsid w:val="00C6348A"/>
    <w:rsid w:val="00C6406C"/>
    <w:rsid w:val="00C64636"/>
    <w:rsid w:val="00C646AC"/>
    <w:rsid w:val="00C652CE"/>
    <w:rsid w:val="00C6630B"/>
    <w:rsid w:val="00C701AF"/>
    <w:rsid w:val="00C72651"/>
    <w:rsid w:val="00C72C89"/>
    <w:rsid w:val="00C73B10"/>
    <w:rsid w:val="00C74B05"/>
    <w:rsid w:val="00C75F0D"/>
    <w:rsid w:val="00C75F73"/>
    <w:rsid w:val="00C80520"/>
    <w:rsid w:val="00C81007"/>
    <w:rsid w:val="00C83BDD"/>
    <w:rsid w:val="00C84A12"/>
    <w:rsid w:val="00C85EA2"/>
    <w:rsid w:val="00C86D66"/>
    <w:rsid w:val="00C87E02"/>
    <w:rsid w:val="00C909BF"/>
    <w:rsid w:val="00C9152B"/>
    <w:rsid w:val="00C9246F"/>
    <w:rsid w:val="00C93D87"/>
    <w:rsid w:val="00C93DA1"/>
    <w:rsid w:val="00C9626E"/>
    <w:rsid w:val="00CA211C"/>
    <w:rsid w:val="00CA44ED"/>
    <w:rsid w:val="00CA7C68"/>
    <w:rsid w:val="00CA7C77"/>
    <w:rsid w:val="00CB0013"/>
    <w:rsid w:val="00CB04AC"/>
    <w:rsid w:val="00CB0D35"/>
    <w:rsid w:val="00CB2C84"/>
    <w:rsid w:val="00CB311F"/>
    <w:rsid w:val="00CB4560"/>
    <w:rsid w:val="00CB47DE"/>
    <w:rsid w:val="00CB7966"/>
    <w:rsid w:val="00CC16C7"/>
    <w:rsid w:val="00CC199B"/>
    <w:rsid w:val="00CC53C4"/>
    <w:rsid w:val="00CC577F"/>
    <w:rsid w:val="00CC67DD"/>
    <w:rsid w:val="00CC6A54"/>
    <w:rsid w:val="00CD019B"/>
    <w:rsid w:val="00CD1303"/>
    <w:rsid w:val="00CD16E6"/>
    <w:rsid w:val="00CD1F78"/>
    <w:rsid w:val="00CD3371"/>
    <w:rsid w:val="00CD4B5D"/>
    <w:rsid w:val="00CD68CA"/>
    <w:rsid w:val="00CD769F"/>
    <w:rsid w:val="00CE0770"/>
    <w:rsid w:val="00CE1254"/>
    <w:rsid w:val="00CE518B"/>
    <w:rsid w:val="00CE69B5"/>
    <w:rsid w:val="00CE6CFC"/>
    <w:rsid w:val="00CF0D75"/>
    <w:rsid w:val="00CF4E1E"/>
    <w:rsid w:val="00CF586D"/>
    <w:rsid w:val="00CF5FA3"/>
    <w:rsid w:val="00D004D6"/>
    <w:rsid w:val="00D0131E"/>
    <w:rsid w:val="00D01C27"/>
    <w:rsid w:val="00D0344E"/>
    <w:rsid w:val="00D0409E"/>
    <w:rsid w:val="00D04EE0"/>
    <w:rsid w:val="00D0655B"/>
    <w:rsid w:val="00D06D66"/>
    <w:rsid w:val="00D0711F"/>
    <w:rsid w:val="00D10F1E"/>
    <w:rsid w:val="00D134CD"/>
    <w:rsid w:val="00D14D13"/>
    <w:rsid w:val="00D15C59"/>
    <w:rsid w:val="00D17067"/>
    <w:rsid w:val="00D20419"/>
    <w:rsid w:val="00D20CDA"/>
    <w:rsid w:val="00D222E7"/>
    <w:rsid w:val="00D2271A"/>
    <w:rsid w:val="00D253F6"/>
    <w:rsid w:val="00D26B12"/>
    <w:rsid w:val="00D26EB8"/>
    <w:rsid w:val="00D31577"/>
    <w:rsid w:val="00D31748"/>
    <w:rsid w:val="00D3212B"/>
    <w:rsid w:val="00D32131"/>
    <w:rsid w:val="00D322B0"/>
    <w:rsid w:val="00D32FC1"/>
    <w:rsid w:val="00D333BF"/>
    <w:rsid w:val="00D33EDE"/>
    <w:rsid w:val="00D3402D"/>
    <w:rsid w:val="00D34181"/>
    <w:rsid w:val="00D35983"/>
    <w:rsid w:val="00D3631D"/>
    <w:rsid w:val="00D4058D"/>
    <w:rsid w:val="00D44ED9"/>
    <w:rsid w:val="00D45256"/>
    <w:rsid w:val="00D47D6A"/>
    <w:rsid w:val="00D50FD4"/>
    <w:rsid w:val="00D51C00"/>
    <w:rsid w:val="00D51E0A"/>
    <w:rsid w:val="00D52AB9"/>
    <w:rsid w:val="00D5378F"/>
    <w:rsid w:val="00D55775"/>
    <w:rsid w:val="00D564C8"/>
    <w:rsid w:val="00D5714E"/>
    <w:rsid w:val="00D57413"/>
    <w:rsid w:val="00D60D35"/>
    <w:rsid w:val="00D61692"/>
    <w:rsid w:val="00D64F6E"/>
    <w:rsid w:val="00D64FD3"/>
    <w:rsid w:val="00D710FD"/>
    <w:rsid w:val="00D71690"/>
    <w:rsid w:val="00D719A0"/>
    <w:rsid w:val="00D733AC"/>
    <w:rsid w:val="00D73AA8"/>
    <w:rsid w:val="00D75F50"/>
    <w:rsid w:val="00D76A94"/>
    <w:rsid w:val="00D7718A"/>
    <w:rsid w:val="00D77F3E"/>
    <w:rsid w:val="00D803C1"/>
    <w:rsid w:val="00D848EE"/>
    <w:rsid w:val="00D85C94"/>
    <w:rsid w:val="00D85F1E"/>
    <w:rsid w:val="00D8651E"/>
    <w:rsid w:val="00D91904"/>
    <w:rsid w:val="00D92C91"/>
    <w:rsid w:val="00D94466"/>
    <w:rsid w:val="00D96B77"/>
    <w:rsid w:val="00D96CD3"/>
    <w:rsid w:val="00DA35C2"/>
    <w:rsid w:val="00DA372E"/>
    <w:rsid w:val="00DA6330"/>
    <w:rsid w:val="00DB0D61"/>
    <w:rsid w:val="00DB2EE2"/>
    <w:rsid w:val="00DB3E5E"/>
    <w:rsid w:val="00DB4A28"/>
    <w:rsid w:val="00DB55E7"/>
    <w:rsid w:val="00DB561E"/>
    <w:rsid w:val="00DB6B8F"/>
    <w:rsid w:val="00DB7C5D"/>
    <w:rsid w:val="00DC006E"/>
    <w:rsid w:val="00DC1184"/>
    <w:rsid w:val="00DC19DD"/>
    <w:rsid w:val="00DC3690"/>
    <w:rsid w:val="00DC48C0"/>
    <w:rsid w:val="00DC4AD1"/>
    <w:rsid w:val="00DD230D"/>
    <w:rsid w:val="00DD2925"/>
    <w:rsid w:val="00DD351E"/>
    <w:rsid w:val="00DD5A8F"/>
    <w:rsid w:val="00DD756A"/>
    <w:rsid w:val="00DE0595"/>
    <w:rsid w:val="00DE1A7C"/>
    <w:rsid w:val="00DE2C31"/>
    <w:rsid w:val="00DE4794"/>
    <w:rsid w:val="00DE47FC"/>
    <w:rsid w:val="00DE495F"/>
    <w:rsid w:val="00DE63E8"/>
    <w:rsid w:val="00DE7609"/>
    <w:rsid w:val="00DF1ED1"/>
    <w:rsid w:val="00DF228E"/>
    <w:rsid w:val="00DF2695"/>
    <w:rsid w:val="00DF27B1"/>
    <w:rsid w:val="00DF2AA3"/>
    <w:rsid w:val="00DF2C31"/>
    <w:rsid w:val="00DF4F9D"/>
    <w:rsid w:val="00DF6B9D"/>
    <w:rsid w:val="00E00EAA"/>
    <w:rsid w:val="00E01B04"/>
    <w:rsid w:val="00E01F45"/>
    <w:rsid w:val="00E0269D"/>
    <w:rsid w:val="00E02E82"/>
    <w:rsid w:val="00E03367"/>
    <w:rsid w:val="00E04E50"/>
    <w:rsid w:val="00E05C49"/>
    <w:rsid w:val="00E06855"/>
    <w:rsid w:val="00E0706D"/>
    <w:rsid w:val="00E07C08"/>
    <w:rsid w:val="00E139E6"/>
    <w:rsid w:val="00E143F2"/>
    <w:rsid w:val="00E14901"/>
    <w:rsid w:val="00E157D0"/>
    <w:rsid w:val="00E16763"/>
    <w:rsid w:val="00E20800"/>
    <w:rsid w:val="00E237D9"/>
    <w:rsid w:val="00E249A9"/>
    <w:rsid w:val="00E25472"/>
    <w:rsid w:val="00E27F19"/>
    <w:rsid w:val="00E30184"/>
    <w:rsid w:val="00E3083C"/>
    <w:rsid w:val="00E30F05"/>
    <w:rsid w:val="00E318AD"/>
    <w:rsid w:val="00E32169"/>
    <w:rsid w:val="00E328B1"/>
    <w:rsid w:val="00E35767"/>
    <w:rsid w:val="00E35972"/>
    <w:rsid w:val="00E35BCC"/>
    <w:rsid w:val="00E36E18"/>
    <w:rsid w:val="00E37149"/>
    <w:rsid w:val="00E40915"/>
    <w:rsid w:val="00E41355"/>
    <w:rsid w:val="00E42290"/>
    <w:rsid w:val="00E43D7A"/>
    <w:rsid w:val="00E453FC"/>
    <w:rsid w:val="00E456CD"/>
    <w:rsid w:val="00E4745C"/>
    <w:rsid w:val="00E51282"/>
    <w:rsid w:val="00E523EF"/>
    <w:rsid w:val="00E54993"/>
    <w:rsid w:val="00E565C1"/>
    <w:rsid w:val="00E56648"/>
    <w:rsid w:val="00E56972"/>
    <w:rsid w:val="00E56E69"/>
    <w:rsid w:val="00E57610"/>
    <w:rsid w:val="00E57695"/>
    <w:rsid w:val="00E57725"/>
    <w:rsid w:val="00E57C4B"/>
    <w:rsid w:val="00E610DC"/>
    <w:rsid w:val="00E64AA5"/>
    <w:rsid w:val="00E64E93"/>
    <w:rsid w:val="00E660EE"/>
    <w:rsid w:val="00E72541"/>
    <w:rsid w:val="00E72808"/>
    <w:rsid w:val="00E72F93"/>
    <w:rsid w:val="00E734B7"/>
    <w:rsid w:val="00E73E27"/>
    <w:rsid w:val="00E75796"/>
    <w:rsid w:val="00E8093F"/>
    <w:rsid w:val="00E82901"/>
    <w:rsid w:val="00E82C42"/>
    <w:rsid w:val="00E83DA8"/>
    <w:rsid w:val="00E83E92"/>
    <w:rsid w:val="00E842DE"/>
    <w:rsid w:val="00E84A41"/>
    <w:rsid w:val="00E8523D"/>
    <w:rsid w:val="00E87BA7"/>
    <w:rsid w:val="00E9031B"/>
    <w:rsid w:val="00E9108B"/>
    <w:rsid w:val="00E91311"/>
    <w:rsid w:val="00E92380"/>
    <w:rsid w:val="00E95A95"/>
    <w:rsid w:val="00EA0BE5"/>
    <w:rsid w:val="00EA2FB5"/>
    <w:rsid w:val="00EA43D5"/>
    <w:rsid w:val="00EA5738"/>
    <w:rsid w:val="00EA60A7"/>
    <w:rsid w:val="00EB3658"/>
    <w:rsid w:val="00EB39B5"/>
    <w:rsid w:val="00EB39E1"/>
    <w:rsid w:val="00EB405A"/>
    <w:rsid w:val="00EB568C"/>
    <w:rsid w:val="00EB6068"/>
    <w:rsid w:val="00EB64B9"/>
    <w:rsid w:val="00EB7CD3"/>
    <w:rsid w:val="00EC0C1D"/>
    <w:rsid w:val="00EC0D33"/>
    <w:rsid w:val="00EC3691"/>
    <w:rsid w:val="00EC4680"/>
    <w:rsid w:val="00EC70BD"/>
    <w:rsid w:val="00ED05BC"/>
    <w:rsid w:val="00ED0E4C"/>
    <w:rsid w:val="00ED21BB"/>
    <w:rsid w:val="00ED2422"/>
    <w:rsid w:val="00ED3980"/>
    <w:rsid w:val="00ED3FE9"/>
    <w:rsid w:val="00ED4AD3"/>
    <w:rsid w:val="00ED4E43"/>
    <w:rsid w:val="00ED66A9"/>
    <w:rsid w:val="00EE0167"/>
    <w:rsid w:val="00EE0860"/>
    <w:rsid w:val="00EE096D"/>
    <w:rsid w:val="00EE2019"/>
    <w:rsid w:val="00EE219A"/>
    <w:rsid w:val="00EE2426"/>
    <w:rsid w:val="00EE337A"/>
    <w:rsid w:val="00EE4F3A"/>
    <w:rsid w:val="00EE5F9C"/>
    <w:rsid w:val="00EE725A"/>
    <w:rsid w:val="00EE7773"/>
    <w:rsid w:val="00EF0EF4"/>
    <w:rsid w:val="00EF3CD5"/>
    <w:rsid w:val="00EF4511"/>
    <w:rsid w:val="00EF490F"/>
    <w:rsid w:val="00EF5EA4"/>
    <w:rsid w:val="00EF668F"/>
    <w:rsid w:val="00EF6766"/>
    <w:rsid w:val="00EF6D1A"/>
    <w:rsid w:val="00EF737D"/>
    <w:rsid w:val="00F00B04"/>
    <w:rsid w:val="00F01200"/>
    <w:rsid w:val="00F03604"/>
    <w:rsid w:val="00F03B06"/>
    <w:rsid w:val="00F04386"/>
    <w:rsid w:val="00F048C2"/>
    <w:rsid w:val="00F04AF5"/>
    <w:rsid w:val="00F053FC"/>
    <w:rsid w:val="00F064DC"/>
    <w:rsid w:val="00F10750"/>
    <w:rsid w:val="00F1178A"/>
    <w:rsid w:val="00F11F0D"/>
    <w:rsid w:val="00F1270D"/>
    <w:rsid w:val="00F13EE1"/>
    <w:rsid w:val="00F176FB"/>
    <w:rsid w:val="00F20B19"/>
    <w:rsid w:val="00F21847"/>
    <w:rsid w:val="00F21D60"/>
    <w:rsid w:val="00F231BA"/>
    <w:rsid w:val="00F24232"/>
    <w:rsid w:val="00F24992"/>
    <w:rsid w:val="00F26EE8"/>
    <w:rsid w:val="00F27924"/>
    <w:rsid w:val="00F3219F"/>
    <w:rsid w:val="00F32E78"/>
    <w:rsid w:val="00F36375"/>
    <w:rsid w:val="00F37E59"/>
    <w:rsid w:val="00F37F75"/>
    <w:rsid w:val="00F40003"/>
    <w:rsid w:val="00F4195C"/>
    <w:rsid w:val="00F41ABF"/>
    <w:rsid w:val="00F44108"/>
    <w:rsid w:val="00F52271"/>
    <w:rsid w:val="00F52987"/>
    <w:rsid w:val="00F54342"/>
    <w:rsid w:val="00F550CB"/>
    <w:rsid w:val="00F5720E"/>
    <w:rsid w:val="00F5737B"/>
    <w:rsid w:val="00F619FF"/>
    <w:rsid w:val="00F6365F"/>
    <w:rsid w:val="00F653CD"/>
    <w:rsid w:val="00F65D2D"/>
    <w:rsid w:val="00F6620F"/>
    <w:rsid w:val="00F664A5"/>
    <w:rsid w:val="00F67252"/>
    <w:rsid w:val="00F67463"/>
    <w:rsid w:val="00F70CC9"/>
    <w:rsid w:val="00F72EE3"/>
    <w:rsid w:val="00F737D1"/>
    <w:rsid w:val="00F74097"/>
    <w:rsid w:val="00F743B0"/>
    <w:rsid w:val="00F81AF7"/>
    <w:rsid w:val="00F81F17"/>
    <w:rsid w:val="00F8300B"/>
    <w:rsid w:val="00F838C5"/>
    <w:rsid w:val="00F8680A"/>
    <w:rsid w:val="00F911BE"/>
    <w:rsid w:val="00F9185B"/>
    <w:rsid w:val="00F93E6F"/>
    <w:rsid w:val="00F943E3"/>
    <w:rsid w:val="00F94653"/>
    <w:rsid w:val="00F967FC"/>
    <w:rsid w:val="00F96C7B"/>
    <w:rsid w:val="00FA053C"/>
    <w:rsid w:val="00FA0AE5"/>
    <w:rsid w:val="00FA1BE2"/>
    <w:rsid w:val="00FA2AA4"/>
    <w:rsid w:val="00FA3278"/>
    <w:rsid w:val="00FA3780"/>
    <w:rsid w:val="00FB03D2"/>
    <w:rsid w:val="00FB0828"/>
    <w:rsid w:val="00FB495F"/>
    <w:rsid w:val="00FB6971"/>
    <w:rsid w:val="00FB6B92"/>
    <w:rsid w:val="00FB73F7"/>
    <w:rsid w:val="00FC1555"/>
    <w:rsid w:val="00FC1EDA"/>
    <w:rsid w:val="00FC2E1D"/>
    <w:rsid w:val="00FC39C8"/>
    <w:rsid w:val="00FC3AFD"/>
    <w:rsid w:val="00FC4259"/>
    <w:rsid w:val="00FD004E"/>
    <w:rsid w:val="00FD0116"/>
    <w:rsid w:val="00FD0297"/>
    <w:rsid w:val="00FD0AB9"/>
    <w:rsid w:val="00FD2C51"/>
    <w:rsid w:val="00FD41E4"/>
    <w:rsid w:val="00FD6D73"/>
    <w:rsid w:val="00FE0243"/>
    <w:rsid w:val="00FE097A"/>
    <w:rsid w:val="00FE28DC"/>
    <w:rsid w:val="00FE3405"/>
    <w:rsid w:val="00FE4291"/>
    <w:rsid w:val="00FE5CB3"/>
    <w:rsid w:val="00FE6153"/>
    <w:rsid w:val="00FE641C"/>
    <w:rsid w:val="00FE6A48"/>
    <w:rsid w:val="00FE7290"/>
    <w:rsid w:val="00FE76FA"/>
    <w:rsid w:val="00FF13A2"/>
    <w:rsid w:val="00FF1463"/>
    <w:rsid w:val="00FF3DED"/>
    <w:rsid w:val="00FF5BDC"/>
    <w:rsid w:val="00FF5D0A"/>
    <w:rsid w:val="00FF614F"/>
    <w:rsid w:val="00FF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4386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99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b/>
      <w:bCs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9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Radovan\Analiza\MMI%20materijal\esi_nace2%20gerafik%20za%20sentimen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radovan.zivkovic\AppData\Local\Microsoft\Windows\Temporary%20Internet%20Files\Content.Outlook\7XU0HJLS\ratkof%20ogl%2010%202013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nko.jeknic\Desktop\Dropbox\MINISTARSTVO%20FINANSIJA%20(1)\SEP\02_MMI\MMI%202013\MMI_2013_11\mmi-2013_11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radovan.zivkovic\Dropbox\MINISTARSTVO%20FINANSIJA%20(1)\SEP\12-PEP%202014\Radovan%20II%20poglavlje\PEP%202013-2016%20varijanta%202%20decembar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zdenka.dabovic\Desktop\MMI\mmi_sirovi%20podaci_2013%200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/>
            </a:pPr>
            <a:r>
              <a:rPr lang="sr-Latn-RS" sz="900" b="0"/>
              <a:t>Indikator ekonomskog sentimenta</a:t>
            </a:r>
            <a:endParaRPr lang="en-US" sz="900" b="0"/>
          </a:p>
        </c:rich>
      </c:tx>
      <c:layout>
        <c:manualLayout>
          <c:xMode val="edge"/>
          <c:yMode val="edge"/>
          <c:x val="0.21770056497175139"/>
          <c:y val="2.9766081871345027E-2"/>
        </c:manualLayout>
      </c:layout>
      <c:overlay val="1"/>
    </c:title>
    <c:plotArea>
      <c:layout>
        <c:manualLayout>
          <c:layoutTarget val="inner"/>
          <c:xMode val="edge"/>
          <c:yMode val="edge"/>
          <c:x val="0.14672665056360709"/>
          <c:y val="6.3349940478814856E-2"/>
          <c:w val="0.81748429951690826"/>
          <c:h val="0.79822506561679785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10"/>
              <c:layout>
                <c:manualLayout>
                  <c:x val="1.8196798493408692E-3"/>
                  <c:y val="-0.14558966861598438"/>
                </c:manualLayout>
              </c:layout>
              <c:tx>
                <c:rich>
                  <a:bodyPr/>
                  <a:lstStyle/>
                  <a:p>
                    <a:r>
                      <a:rPr lang="sr-Latn-RS" sz="700"/>
                      <a:t>EU</a:t>
                    </a:r>
                    <a:endParaRPr lang="en-US" sz="700"/>
                  </a:p>
                </c:rich>
              </c:tx>
              <c:showVal val="1"/>
            </c:dLbl>
            <c:delete val="1"/>
          </c:dLbls>
          <c:cat>
            <c:numRef>
              <c:f>'ESI MONTHLY'!$A$326:$A$347</c:f>
              <c:numCache>
                <c:formatCode>mmm/yy</c:formatCode>
                <c:ptCount val="22"/>
                <c:pt idx="0">
                  <c:v>40939</c:v>
                </c:pt>
                <c:pt idx="1">
                  <c:v>40968</c:v>
                </c:pt>
                <c:pt idx="2">
                  <c:v>40999</c:v>
                </c:pt>
                <c:pt idx="3">
                  <c:v>41029</c:v>
                </c:pt>
                <c:pt idx="4">
                  <c:v>41060</c:v>
                </c:pt>
                <c:pt idx="5">
                  <c:v>41090</c:v>
                </c:pt>
                <c:pt idx="6">
                  <c:v>41121</c:v>
                </c:pt>
                <c:pt idx="7">
                  <c:v>41152</c:v>
                </c:pt>
                <c:pt idx="8">
                  <c:v>41182</c:v>
                </c:pt>
                <c:pt idx="9">
                  <c:v>41213</c:v>
                </c:pt>
                <c:pt idx="10">
                  <c:v>41243</c:v>
                </c:pt>
                <c:pt idx="11">
                  <c:v>41274</c:v>
                </c:pt>
                <c:pt idx="12">
                  <c:v>41305</c:v>
                </c:pt>
                <c:pt idx="13">
                  <c:v>41333</c:v>
                </c:pt>
                <c:pt idx="14">
                  <c:v>41364</c:v>
                </c:pt>
                <c:pt idx="15">
                  <c:v>41394</c:v>
                </c:pt>
                <c:pt idx="16">
                  <c:v>41425</c:v>
                </c:pt>
                <c:pt idx="17">
                  <c:v>41455</c:v>
                </c:pt>
                <c:pt idx="18">
                  <c:v>41486</c:v>
                </c:pt>
                <c:pt idx="19">
                  <c:v>41517</c:v>
                </c:pt>
                <c:pt idx="20">
                  <c:v>41547</c:v>
                </c:pt>
                <c:pt idx="21">
                  <c:v>41578</c:v>
                </c:pt>
              </c:numCache>
            </c:numRef>
          </c:cat>
          <c:val>
            <c:numRef>
              <c:f>'ESI MONTHLY'!$H$326:$H$347</c:f>
              <c:numCache>
                <c:formatCode>0.0</c:formatCode>
                <c:ptCount val="22"/>
                <c:pt idx="0">
                  <c:v>93.6</c:v>
                </c:pt>
                <c:pt idx="1">
                  <c:v>94.8</c:v>
                </c:pt>
                <c:pt idx="2">
                  <c:v>93.9</c:v>
                </c:pt>
                <c:pt idx="3">
                  <c:v>94.2</c:v>
                </c:pt>
                <c:pt idx="4">
                  <c:v>91.5</c:v>
                </c:pt>
                <c:pt idx="5">
                  <c:v>91.5</c:v>
                </c:pt>
                <c:pt idx="6">
                  <c:v>89.9</c:v>
                </c:pt>
                <c:pt idx="7">
                  <c:v>88</c:v>
                </c:pt>
                <c:pt idx="8">
                  <c:v>87</c:v>
                </c:pt>
                <c:pt idx="9">
                  <c:v>87.1</c:v>
                </c:pt>
                <c:pt idx="10">
                  <c:v>89.1</c:v>
                </c:pt>
                <c:pt idx="11">
                  <c:v>89.3</c:v>
                </c:pt>
                <c:pt idx="12">
                  <c:v>91.1</c:v>
                </c:pt>
                <c:pt idx="13">
                  <c:v>91.6</c:v>
                </c:pt>
                <c:pt idx="14">
                  <c:v>91.4</c:v>
                </c:pt>
                <c:pt idx="15">
                  <c:v>89.8</c:v>
                </c:pt>
                <c:pt idx="16">
                  <c:v>90.9</c:v>
                </c:pt>
                <c:pt idx="17">
                  <c:v>92.7</c:v>
                </c:pt>
                <c:pt idx="18">
                  <c:v>95.1</c:v>
                </c:pt>
                <c:pt idx="19">
                  <c:v>98.2</c:v>
                </c:pt>
                <c:pt idx="20">
                  <c:v>100.6</c:v>
                </c:pt>
                <c:pt idx="21">
                  <c:v>101.7</c:v>
                </c:pt>
              </c:numCache>
            </c:numRef>
          </c:val>
          <c:smooth val="1"/>
        </c:ser>
        <c:ser>
          <c:idx val="1"/>
          <c:order val="1"/>
          <c:marker>
            <c:symbol val="none"/>
          </c:marker>
          <c:dLbls>
            <c:dLbl>
              <c:idx val="8"/>
              <c:layout>
                <c:manualLayout>
                  <c:x val="-0.25996892655367232"/>
                  <c:y val="1.8567251461988368E-2"/>
                </c:manualLayout>
              </c:layout>
              <c:tx>
                <c:rich>
                  <a:bodyPr/>
                  <a:lstStyle/>
                  <a:p>
                    <a:r>
                      <a:rPr lang="sr-Latn-RS" sz="700"/>
                      <a:t>Eurozona</a:t>
                    </a:r>
                    <a:endParaRPr lang="en-US" sz="700"/>
                  </a:p>
                </c:rich>
              </c:tx>
              <c:showVal val="1"/>
            </c:dLbl>
            <c:delete val="1"/>
          </c:dLbls>
          <c:cat>
            <c:numRef>
              <c:f>'ESI MONTHLY'!$A$326:$A$347</c:f>
              <c:numCache>
                <c:formatCode>mmm/yy</c:formatCode>
                <c:ptCount val="22"/>
                <c:pt idx="0">
                  <c:v>40939</c:v>
                </c:pt>
                <c:pt idx="1">
                  <c:v>40968</c:v>
                </c:pt>
                <c:pt idx="2">
                  <c:v>40999</c:v>
                </c:pt>
                <c:pt idx="3">
                  <c:v>41029</c:v>
                </c:pt>
                <c:pt idx="4">
                  <c:v>41060</c:v>
                </c:pt>
                <c:pt idx="5">
                  <c:v>41090</c:v>
                </c:pt>
                <c:pt idx="6">
                  <c:v>41121</c:v>
                </c:pt>
                <c:pt idx="7">
                  <c:v>41152</c:v>
                </c:pt>
                <c:pt idx="8">
                  <c:v>41182</c:v>
                </c:pt>
                <c:pt idx="9">
                  <c:v>41213</c:v>
                </c:pt>
                <c:pt idx="10">
                  <c:v>41243</c:v>
                </c:pt>
                <c:pt idx="11">
                  <c:v>41274</c:v>
                </c:pt>
                <c:pt idx="12">
                  <c:v>41305</c:v>
                </c:pt>
                <c:pt idx="13">
                  <c:v>41333</c:v>
                </c:pt>
                <c:pt idx="14">
                  <c:v>41364</c:v>
                </c:pt>
                <c:pt idx="15">
                  <c:v>41394</c:v>
                </c:pt>
                <c:pt idx="16">
                  <c:v>41425</c:v>
                </c:pt>
                <c:pt idx="17">
                  <c:v>41455</c:v>
                </c:pt>
                <c:pt idx="18">
                  <c:v>41486</c:v>
                </c:pt>
                <c:pt idx="19">
                  <c:v>41517</c:v>
                </c:pt>
                <c:pt idx="20">
                  <c:v>41547</c:v>
                </c:pt>
                <c:pt idx="21">
                  <c:v>41578</c:v>
                </c:pt>
              </c:numCache>
            </c:numRef>
          </c:cat>
          <c:val>
            <c:numRef>
              <c:f>'ESI MONTHLY'!$O$326:$O$347</c:f>
              <c:numCache>
                <c:formatCode>0.0</c:formatCode>
                <c:ptCount val="22"/>
                <c:pt idx="0">
                  <c:v>94.1</c:v>
                </c:pt>
                <c:pt idx="1">
                  <c:v>95.4</c:v>
                </c:pt>
                <c:pt idx="2">
                  <c:v>95.4</c:v>
                </c:pt>
                <c:pt idx="3">
                  <c:v>94</c:v>
                </c:pt>
                <c:pt idx="4">
                  <c:v>91.8</c:v>
                </c:pt>
                <c:pt idx="5">
                  <c:v>91.2</c:v>
                </c:pt>
                <c:pt idx="6">
                  <c:v>88.9</c:v>
                </c:pt>
                <c:pt idx="7">
                  <c:v>87.3</c:v>
                </c:pt>
                <c:pt idx="8">
                  <c:v>86</c:v>
                </c:pt>
                <c:pt idx="9">
                  <c:v>85.4</c:v>
                </c:pt>
                <c:pt idx="10">
                  <c:v>86.9</c:v>
                </c:pt>
                <c:pt idx="11">
                  <c:v>88</c:v>
                </c:pt>
                <c:pt idx="12">
                  <c:v>89.7</c:v>
                </c:pt>
                <c:pt idx="13">
                  <c:v>90.5</c:v>
                </c:pt>
                <c:pt idx="14">
                  <c:v>90.1</c:v>
                </c:pt>
                <c:pt idx="15">
                  <c:v>88.6</c:v>
                </c:pt>
                <c:pt idx="16">
                  <c:v>89.5</c:v>
                </c:pt>
                <c:pt idx="17">
                  <c:v>91.3</c:v>
                </c:pt>
                <c:pt idx="18">
                  <c:v>92.5</c:v>
                </c:pt>
                <c:pt idx="19">
                  <c:v>95.3</c:v>
                </c:pt>
                <c:pt idx="20">
                  <c:v>96.9</c:v>
                </c:pt>
                <c:pt idx="21">
                  <c:v>97.7</c:v>
                </c:pt>
              </c:numCache>
            </c:numRef>
          </c:val>
          <c:smooth val="1"/>
        </c:ser>
        <c:marker val="1"/>
        <c:axId val="145048320"/>
        <c:axId val="145049856"/>
      </c:lineChart>
      <c:dateAx>
        <c:axId val="145048320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45049856"/>
        <c:crosses val="autoZero"/>
        <c:auto val="1"/>
        <c:lblOffset val="100"/>
        <c:majorUnit val="3"/>
        <c:majorTimeUnit val="months"/>
      </c:dateAx>
      <c:valAx>
        <c:axId val="145049856"/>
        <c:scaling>
          <c:orientation val="minMax"/>
          <c:min val="85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  <a:prstDash val="sysDot"/>
            </a:ln>
          </c:spPr>
        </c:majorGridlines>
        <c:numFmt formatCode="0.0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45048320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plotArea>
      <c:layout>
        <c:manualLayout>
          <c:layoutTarget val="inner"/>
          <c:xMode val="edge"/>
          <c:yMode val="edge"/>
          <c:x val="0.17840860215053791"/>
          <c:y val="0.29733019713261977"/>
          <c:w val="0.75900179211470198"/>
          <c:h val="0.62301030465950302"/>
        </c:manualLayout>
      </c:layout>
      <c:lineChart>
        <c:grouping val="standard"/>
        <c:ser>
          <c:idx val="0"/>
          <c:order val="0"/>
          <c:tx>
            <c:strRef>
              <c:f>'Makroekonomski indikatori'!$C$12</c:f>
              <c:strCache>
                <c:ptCount val="1"/>
                <c:pt idx="0">
                  <c:v>Industrijska proizvodnja (stopa rasta)</c:v>
                </c:pt>
              </c:strCache>
            </c:strRef>
          </c:tx>
          <c:spPr>
            <a:ln>
              <a:solidFill>
                <a:srgbClr val="002060"/>
              </a:solidFill>
              <a:prstDash val="solid"/>
            </a:ln>
          </c:spPr>
          <c:marker>
            <c:symbol val="none"/>
          </c:marker>
          <c:cat>
            <c:strRef>
              <c:f>'Makroekonomski indikatori'!$Y$28:$AK$28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2013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'Makroekonomski indikatori'!$Y$12:$AK$12</c:f>
              <c:numCache>
                <c:formatCode>0.0</c:formatCode>
                <c:ptCount val="13"/>
                <c:pt idx="0">
                  <c:v>-24.4</c:v>
                </c:pt>
                <c:pt idx="1">
                  <c:v>-6</c:v>
                </c:pt>
                <c:pt idx="2">
                  <c:v>17</c:v>
                </c:pt>
                <c:pt idx="3">
                  <c:v>1.7000000000000015</c:v>
                </c:pt>
                <c:pt idx="4">
                  <c:v>-3</c:v>
                </c:pt>
                <c:pt idx="5">
                  <c:v>10.4</c:v>
                </c:pt>
                <c:pt idx="6">
                  <c:v>14.2</c:v>
                </c:pt>
                <c:pt idx="7">
                  <c:v>22.4</c:v>
                </c:pt>
                <c:pt idx="8">
                  <c:v>19.600000000000001</c:v>
                </c:pt>
                <c:pt idx="9">
                  <c:v>5.0999999999999996</c:v>
                </c:pt>
                <c:pt idx="10">
                  <c:v>9</c:v>
                </c:pt>
                <c:pt idx="11">
                  <c:v>3</c:v>
                </c:pt>
                <c:pt idx="12">
                  <c:v>10.5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indikatori'!$C$16</c:f>
              <c:strCache>
                <c:ptCount val="1"/>
                <c:pt idx="0">
                  <c:v>Noćenja u turizmu (stopa rasta)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ymbol val="none"/>
          </c:marker>
          <c:cat>
            <c:strRef>
              <c:f>'Makroekonomski indikatori'!$Y$28:$AK$28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2013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'Makroekonomski indikatori'!$Y$16:$AK$16</c:f>
              <c:numCache>
                <c:formatCode>0.0</c:formatCode>
                <c:ptCount val="13"/>
                <c:pt idx="0">
                  <c:v>2.6</c:v>
                </c:pt>
                <c:pt idx="1">
                  <c:v>1.8</c:v>
                </c:pt>
                <c:pt idx="2">
                  <c:v>4</c:v>
                </c:pt>
                <c:pt idx="3">
                  <c:v>-8.3000000000000007</c:v>
                </c:pt>
                <c:pt idx="4">
                  <c:v>4.2</c:v>
                </c:pt>
                <c:pt idx="5">
                  <c:v>-1.4</c:v>
                </c:pt>
                <c:pt idx="6">
                  <c:v>2.2999999999999998</c:v>
                </c:pt>
                <c:pt idx="7">
                  <c:v>7.3</c:v>
                </c:pt>
                <c:pt idx="8">
                  <c:v>4.5</c:v>
                </c:pt>
                <c:pt idx="9">
                  <c:v>-3.6</c:v>
                </c:pt>
                <c:pt idx="10">
                  <c:v>4.3</c:v>
                </c:pt>
                <c:pt idx="11">
                  <c:v>5.6</c:v>
                </c:pt>
                <c:pt idx="12">
                  <c:v>30.3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'Makroekonomski indikatori'!$C$17</c:f>
              <c:strCache>
                <c:ptCount val="1"/>
                <c:pt idx="0">
                  <c:v>Promet u maloprodaji (stopa rasta)</c:v>
                </c:pt>
              </c:strCache>
            </c:strRef>
          </c:tx>
          <c:spPr>
            <a:ln cmpd="sng">
              <a:solidFill>
                <a:srgbClr val="00B050"/>
              </a:solidFill>
              <a:prstDash val="solid"/>
            </a:ln>
          </c:spPr>
          <c:marker>
            <c:symbol val="none"/>
          </c:marker>
          <c:cat>
            <c:strRef>
              <c:f>'Makroekonomski indikatori'!$Y$28:$AK$28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2013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'Makroekonomski indikatori'!$Y$17:$AK$17</c:f>
              <c:numCache>
                <c:formatCode>0.0</c:formatCode>
                <c:ptCount val="13"/>
                <c:pt idx="0">
                  <c:v>3.5</c:v>
                </c:pt>
                <c:pt idx="1">
                  <c:v>2.1</c:v>
                </c:pt>
                <c:pt idx="2">
                  <c:v>2.1</c:v>
                </c:pt>
                <c:pt idx="3">
                  <c:v>12.1</c:v>
                </c:pt>
                <c:pt idx="4">
                  <c:v>8.2000000000000011</c:v>
                </c:pt>
                <c:pt idx="5">
                  <c:v>6.6</c:v>
                </c:pt>
                <c:pt idx="6">
                  <c:v>7.8</c:v>
                </c:pt>
                <c:pt idx="7">
                  <c:v>8.6</c:v>
                </c:pt>
                <c:pt idx="8">
                  <c:v>10.3</c:v>
                </c:pt>
                <c:pt idx="9">
                  <c:v>11.5</c:v>
                </c:pt>
                <c:pt idx="10">
                  <c:v>14.4</c:v>
                </c:pt>
                <c:pt idx="11">
                  <c:v>11.5</c:v>
                </c:pt>
                <c:pt idx="12">
                  <c:v>16</c:v>
                </c:pt>
              </c:numCache>
            </c:numRef>
          </c:val>
        </c:ser>
        <c:marker val="1"/>
        <c:axId val="145090048"/>
        <c:axId val="145091584"/>
      </c:lineChart>
      <c:catAx>
        <c:axId val="145090048"/>
        <c:scaling>
          <c:orientation val="minMax"/>
        </c:scaling>
        <c:axPos val="b"/>
        <c:tickLblPos val="low"/>
        <c:txPr>
          <a:bodyPr/>
          <a:lstStyle/>
          <a:p>
            <a:pPr>
              <a:defRPr lang="sr-Latn-CS" sz="600"/>
            </a:pPr>
            <a:endParaRPr lang="sr-Latn-CS"/>
          </a:p>
        </c:txPr>
        <c:crossAx val="145091584"/>
        <c:crosses val="autoZero"/>
        <c:auto val="1"/>
        <c:lblAlgn val="ctr"/>
        <c:lblOffset val="100"/>
      </c:catAx>
      <c:valAx>
        <c:axId val="145091584"/>
        <c:scaling>
          <c:orientation val="minMax"/>
        </c:scaling>
        <c:axPos val="l"/>
        <c:numFmt formatCode="0.0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45090048"/>
        <c:crosses val="autoZero"/>
        <c:crossBetween val="between"/>
      </c:valAx>
    </c:plotArea>
    <c:legend>
      <c:legendPos val="t"/>
      <c:txPr>
        <a:bodyPr/>
        <a:lstStyle/>
        <a:p>
          <a:pPr>
            <a:defRPr lang="sr-Latn-CS" sz="600" b="1"/>
          </a:pPr>
          <a:endParaRPr lang="sr-Latn-CS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 sz="1000"/>
            </a:pPr>
            <a:r>
              <a:rPr lang="en-US" sz="900"/>
              <a:t>CPI-</a:t>
            </a:r>
            <a:r>
              <a:rPr lang="sr-Latn-CS" sz="900"/>
              <a:t>stope rasta (%)</a:t>
            </a:r>
            <a:endParaRPr lang="en-US" sz="9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'Makroekonomski indikatori'!$C$20</c:f>
              <c:strCache>
                <c:ptCount val="1"/>
                <c:pt idx="0">
                  <c:v>Indeks potrošačkih cijena (stopa rasta)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ymbol val="none"/>
          </c:marker>
          <c:dPt>
            <c:idx val="4"/>
            <c:spPr>
              <a:ln>
                <a:solidFill>
                  <a:schemeClr val="accent2">
                    <a:lumMod val="75000"/>
                  </a:schemeClr>
                </a:solidFill>
              </a:ln>
            </c:spPr>
          </c:dPt>
          <c:cat>
            <c:strRef>
              <c:f>'Makroekonomski indikatori'!$Y$28:$AK$28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2013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'Makroekonomski indikatori'!$Y$20:$AK$20</c:f>
              <c:numCache>
                <c:formatCode>0.0</c:formatCode>
                <c:ptCount val="13"/>
                <c:pt idx="0">
                  <c:v>5.2</c:v>
                </c:pt>
                <c:pt idx="1">
                  <c:v>5.2</c:v>
                </c:pt>
                <c:pt idx="2">
                  <c:v>5.0999999999999996</c:v>
                </c:pt>
                <c:pt idx="3">
                  <c:v>4.2</c:v>
                </c:pt>
                <c:pt idx="4">
                  <c:v>3.3</c:v>
                </c:pt>
                <c:pt idx="5">
                  <c:v>3.3</c:v>
                </c:pt>
                <c:pt idx="6">
                  <c:v>3.2</c:v>
                </c:pt>
                <c:pt idx="7">
                  <c:v>3</c:v>
                </c:pt>
                <c:pt idx="8">
                  <c:v>2.2000000000000002</c:v>
                </c:pt>
                <c:pt idx="9">
                  <c:v>2.7</c:v>
                </c:pt>
                <c:pt idx="10">
                  <c:v>2.2000000000000002</c:v>
                </c:pt>
                <c:pt idx="11">
                  <c:v>1.8</c:v>
                </c:pt>
                <c:pt idx="12">
                  <c:v>0.5</c:v>
                </c:pt>
              </c:numCache>
            </c:numRef>
          </c:val>
          <c:smooth val="1"/>
        </c:ser>
        <c:marker val="1"/>
        <c:axId val="145169024"/>
        <c:axId val="145179008"/>
      </c:lineChart>
      <c:catAx>
        <c:axId val="145169024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600"/>
            </a:pPr>
            <a:endParaRPr lang="sr-Latn-CS"/>
          </a:p>
        </c:txPr>
        <c:crossAx val="145179008"/>
        <c:crosses val="autoZero"/>
        <c:auto val="1"/>
        <c:lblAlgn val="ctr"/>
        <c:lblOffset val="100"/>
      </c:catAx>
      <c:valAx>
        <c:axId val="145179008"/>
        <c:scaling>
          <c:orientation val="minMax"/>
        </c:scaling>
        <c:axPos val="l"/>
        <c:numFmt formatCode="0.0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4516902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plotArea>
      <c:layout>
        <c:manualLayout>
          <c:layoutTarget val="inner"/>
          <c:xMode val="edge"/>
          <c:yMode val="edge"/>
          <c:x val="0.14413524046831824"/>
          <c:y val="4.2492985906183597E-2"/>
          <c:w val="0.81529341766895214"/>
          <c:h val="0.78007915319905963"/>
        </c:manualLayout>
      </c:layout>
      <c:lineChart>
        <c:grouping val="standard"/>
        <c:ser>
          <c:idx val="0"/>
          <c:order val="0"/>
          <c:tx>
            <c:strRef>
              <c:f>Sheet1!$S$96</c:f>
              <c:strCache>
                <c:ptCount val="1"/>
                <c:pt idx="0">
                  <c:v>oglašena radna mjesta</c:v>
                </c:pt>
              </c:strCache>
            </c:strRef>
          </c:tx>
          <c:marker>
            <c:symbol val="none"/>
          </c:marker>
          <c:cat>
            <c:strRef>
              <c:f>Sheet1!$T$95:$AI$95</c:f>
              <c:strCache>
                <c:ptCount val="16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2013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</c:strCache>
            </c:strRef>
          </c:cat>
          <c:val>
            <c:numRef>
              <c:f>Sheet1!$T$96:$AI$96</c:f>
              <c:numCache>
                <c:formatCode>General</c:formatCode>
                <c:ptCount val="16"/>
                <c:pt idx="0">
                  <c:v>2651</c:v>
                </c:pt>
                <c:pt idx="1">
                  <c:v>1081</c:v>
                </c:pt>
                <c:pt idx="2">
                  <c:v>725</c:v>
                </c:pt>
                <c:pt idx="3">
                  <c:v>2005</c:v>
                </c:pt>
                <c:pt idx="4">
                  <c:v>2766</c:v>
                </c:pt>
                <c:pt idx="5">
                  <c:v>972</c:v>
                </c:pt>
                <c:pt idx="6">
                  <c:v>515</c:v>
                </c:pt>
                <c:pt idx="7">
                  <c:v>583</c:v>
                </c:pt>
                <c:pt idx="8">
                  <c:v>1182</c:v>
                </c:pt>
                <c:pt idx="9">
                  <c:v>2826</c:v>
                </c:pt>
                <c:pt idx="10">
                  <c:v>1719</c:v>
                </c:pt>
                <c:pt idx="11">
                  <c:v>1430</c:v>
                </c:pt>
                <c:pt idx="12">
                  <c:v>853</c:v>
                </c:pt>
                <c:pt idx="13">
                  <c:v>1495</c:v>
                </c:pt>
                <c:pt idx="14">
                  <c:v>1618</c:v>
                </c:pt>
                <c:pt idx="15">
                  <c:v>796</c:v>
                </c:pt>
              </c:numCache>
            </c:numRef>
          </c:val>
        </c:ser>
        <c:ser>
          <c:idx val="1"/>
          <c:order val="1"/>
          <c:tx>
            <c:strRef>
              <c:f>Sheet1!$S$97</c:f>
              <c:strCache>
                <c:ptCount val="1"/>
                <c:pt idx="0">
                  <c:v>izdate radne dozvole strancima</c:v>
                </c:pt>
              </c:strCache>
            </c:strRef>
          </c:tx>
          <c:marker>
            <c:symbol val="none"/>
          </c:marker>
          <c:cat>
            <c:strRef>
              <c:f>Sheet1!$T$95:$AI$95</c:f>
              <c:strCache>
                <c:ptCount val="16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2013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</c:strCache>
            </c:strRef>
          </c:cat>
          <c:val>
            <c:numRef>
              <c:f>Sheet1!$T$97:$AI$97</c:f>
              <c:numCache>
                <c:formatCode>General</c:formatCode>
                <c:ptCount val="16"/>
                <c:pt idx="0">
                  <c:v>2534</c:v>
                </c:pt>
                <c:pt idx="1">
                  <c:v>1643</c:v>
                </c:pt>
                <c:pt idx="2">
                  <c:v>1293</c:v>
                </c:pt>
                <c:pt idx="3">
                  <c:v>1431</c:v>
                </c:pt>
                <c:pt idx="4">
                  <c:v>1345</c:v>
                </c:pt>
                <c:pt idx="5">
                  <c:v>1454</c:v>
                </c:pt>
                <c:pt idx="6">
                  <c:v>1224</c:v>
                </c:pt>
                <c:pt idx="7">
                  <c:v>1416</c:v>
                </c:pt>
                <c:pt idx="8">
                  <c:v>2280</c:v>
                </c:pt>
                <c:pt idx="9">
                  <c:v>2212</c:v>
                </c:pt>
                <c:pt idx="10">
                  <c:v>3080</c:v>
                </c:pt>
                <c:pt idx="11">
                  <c:v>3929</c:v>
                </c:pt>
                <c:pt idx="12">
                  <c:v>2323</c:v>
                </c:pt>
                <c:pt idx="13">
                  <c:v>1225</c:v>
                </c:pt>
                <c:pt idx="14">
                  <c:v>1445</c:v>
                </c:pt>
                <c:pt idx="15">
                  <c:v>1490</c:v>
                </c:pt>
              </c:numCache>
            </c:numRef>
          </c:val>
        </c:ser>
        <c:marker val="1"/>
        <c:axId val="145211776"/>
        <c:axId val="145213312"/>
      </c:lineChart>
      <c:catAx>
        <c:axId val="145211776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45213312"/>
        <c:crosses val="autoZero"/>
        <c:auto val="1"/>
        <c:lblAlgn val="ctr"/>
        <c:lblOffset val="100"/>
      </c:catAx>
      <c:valAx>
        <c:axId val="145213312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45211776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plotArea>
      <c:layout>
        <c:manualLayout>
          <c:layoutTarget val="inner"/>
          <c:xMode val="edge"/>
          <c:yMode val="edge"/>
          <c:x val="0.1862899776416837"/>
          <c:y val="0.10133967629046355"/>
          <c:w val="0.66073011812184834"/>
          <c:h val="0.64017027246114233"/>
        </c:manualLayout>
      </c:layout>
      <c:barChart>
        <c:barDir val="col"/>
        <c:grouping val="clustered"/>
        <c:ser>
          <c:idx val="2"/>
          <c:order val="2"/>
          <c:tx>
            <c:v>Suficit/deficit</c:v>
          </c:tx>
          <c:spPr>
            <a:solidFill>
              <a:srgbClr val="EEECE1"/>
            </a:solidFill>
            <a:ln>
              <a:solidFill>
                <a:srgbClr val="C00000"/>
              </a:solidFill>
            </a:ln>
          </c:spPr>
          <c:cat>
            <c:strRef>
              <c:f>'Fiskalni indikatori '!$CT$5:$DC$5</c:f>
              <c:strCache>
                <c:ptCount val="1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</c:strCache>
            </c:strRef>
          </c:cat>
          <c:val>
            <c:numRef>
              <c:f>'Fiskalni indikatori '!$CT$19:$DC$19</c:f>
              <c:numCache>
                <c:formatCode>0.00,,</c:formatCode>
                <c:ptCount val="10"/>
                <c:pt idx="0">
                  <c:v>-26030734.600000054</c:v>
                </c:pt>
                <c:pt idx="1">
                  <c:v>-18960347.565214217</c:v>
                </c:pt>
                <c:pt idx="2">
                  <c:v>-15539514.20428363</c:v>
                </c:pt>
                <c:pt idx="3">
                  <c:v>-15891365.313259348</c:v>
                </c:pt>
                <c:pt idx="4">
                  <c:v>-1543951.4701670711</c:v>
                </c:pt>
                <c:pt idx="5">
                  <c:v>-317745.21338963642</c:v>
                </c:pt>
                <c:pt idx="6">
                  <c:v>-38311890.485714525</c:v>
                </c:pt>
                <c:pt idx="7">
                  <c:v>-16221516.990902334</c:v>
                </c:pt>
                <c:pt idx="8">
                  <c:v>-2712626.8790549994</c:v>
                </c:pt>
                <c:pt idx="9">
                  <c:v>20051021.914809674</c:v>
                </c:pt>
              </c:numCache>
            </c:numRef>
          </c:val>
        </c:ser>
        <c:axId val="145236352"/>
        <c:axId val="145234560"/>
      </c:barChart>
      <c:lineChart>
        <c:grouping val="standard"/>
        <c:ser>
          <c:idx val="0"/>
          <c:order val="0"/>
          <c:tx>
            <c:v>Izvorni prihodi</c:v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'Fiskalni indikatori '!$CT$5:$DC$5</c:f>
              <c:strCache>
                <c:ptCount val="1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</c:strCache>
            </c:strRef>
          </c:cat>
          <c:val>
            <c:numRef>
              <c:f>'Fiskalni indikatori '!$CT$6:$DC$6</c:f>
              <c:numCache>
                <c:formatCode>0.00,,</c:formatCode>
                <c:ptCount val="10"/>
                <c:pt idx="0">
                  <c:v>54756357.980000004</c:v>
                </c:pt>
                <c:pt idx="1">
                  <c:v>75675730.060000002</c:v>
                </c:pt>
                <c:pt idx="2">
                  <c:v>88296245.580000013</c:v>
                </c:pt>
                <c:pt idx="3">
                  <c:v>103948838</c:v>
                </c:pt>
                <c:pt idx="4">
                  <c:v>93997829.599999994</c:v>
                </c:pt>
                <c:pt idx="5">
                  <c:v>99561632.659999892</c:v>
                </c:pt>
                <c:pt idx="6">
                  <c:v>122021331.04999998</c:v>
                </c:pt>
                <c:pt idx="7">
                  <c:v>125053427.64999999</c:v>
                </c:pt>
                <c:pt idx="8">
                  <c:v>116342017.78000002</c:v>
                </c:pt>
                <c:pt idx="9">
                  <c:v>117283627.60000001</c:v>
                </c:pt>
              </c:numCache>
            </c:numRef>
          </c:val>
          <c:smooth val="1"/>
        </c:ser>
        <c:ser>
          <c:idx val="1"/>
          <c:order val="1"/>
          <c:tx>
            <c:v>Izdaci Budžeta</c:v>
          </c:tx>
          <c:spPr>
            <a:ln>
              <a:solidFill>
                <a:srgbClr val="C00000"/>
              </a:solidFill>
            </a:ln>
          </c:spPr>
          <c:marker>
            <c:symbol val="circle"/>
            <c:size val="5"/>
            <c:spPr>
              <a:solidFill>
                <a:schemeClr val="bg2"/>
              </a:solidFill>
              <a:ln>
                <a:solidFill>
                  <a:srgbClr val="C00000"/>
                </a:solidFill>
              </a:ln>
            </c:spPr>
          </c:marker>
          <c:cat>
            <c:strRef>
              <c:f>'Fiskalni indikatori '!$CT$5:$DC$5</c:f>
              <c:strCache>
                <c:ptCount val="1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</c:strCache>
            </c:strRef>
          </c:cat>
          <c:val>
            <c:numRef>
              <c:f>'Fiskalni indikatori '!$CT$12:$DC$12</c:f>
              <c:numCache>
                <c:formatCode>0.00,,</c:formatCode>
                <c:ptCount val="10"/>
                <c:pt idx="0">
                  <c:v>80787092.580000043</c:v>
                </c:pt>
                <c:pt idx="1">
                  <c:v>94636077.625213847</c:v>
                </c:pt>
                <c:pt idx="2">
                  <c:v>103835759.78428364</c:v>
                </c:pt>
                <c:pt idx="3">
                  <c:v>119840203.31325933</c:v>
                </c:pt>
                <c:pt idx="4">
                  <c:v>95541781.070167065</c:v>
                </c:pt>
                <c:pt idx="5">
                  <c:v>99879377.873389632</c:v>
                </c:pt>
                <c:pt idx="6">
                  <c:v>160333221.53571451</c:v>
                </c:pt>
                <c:pt idx="7">
                  <c:v>141274944.64090228</c:v>
                </c:pt>
                <c:pt idx="8">
                  <c:v>119054644.65905501</c:v>
                </c:pt>
                <c:pt idx="9">
                  <c:v>97232605.685190171</c:v>
                </c:pt>
              </c:numCache>
            </c:numRef>
          </c:val>
          <c:smooth val="1"/>
        </c:ser>
        <c:marker val="1"/>
        <c:axId val="145231872"/>
        <c:axId val="145233408"/>
      </c:lineChart>
      <c:catAx>
        <c:axId val="14523187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sr-Latn-CS"/>
            </a:pPr>
            <a:endParaRPr lang="sr-Latn-CS"/>
          </a:p>
        </c:txPr>
        <c:crossAx val="145233408"/>
        <c:crosses val="autoZero"/>
        <c:auto val="1"/>
        <c:lblAlgn val="ctr"/>
        <c:lblOffset val="100"/>
      </c:catAx>
      <c:valAx>
        <c:axId val="145233408"/>
        <c:scaling>
          <c:orientation val="minMax"/>
        </c:scaling>
        <c:axPos val="l"/>
        <c:numFmt formatCode="0.0,," sourceLinked="0"/>
        <c:tickLblPos val="nextTo"/>
        <c:txPr>
          <a:bodyPr/>
          <a:lstStyle/>
          <a:p>
            <a:pPr>
              <a:defRPr lang="sr-Latn-CS"/>
            </a:pPr>
            <a:endParaRPr lang="sr-Latn-CS"/>
          </a:p>
        </c:txPr>
        <c:crossAx val="145231872"/>
        <c:crosses val="autoZero"/>
        <c:crossBetween val="between"/>
      </c:valAx>
      <c:valAx>
        <c:axId val="145234560"/>
        <c:scaling>
          <c:orientation val="minMax"/>
          <c:max val="60000000"/>
          <c:min val="-50000000"/>
        </c:scaling>
        <c:axPos val="r"/>
        <c:numFmt formatCode="0.0,," sourceLinked="0"/>
        <c:tickLblPos val="nextTo"/>
        <c:txPr>
          <a:bodyPr/>
          <a:lstStyle/>
          <a:p>
            <a:pPr>
              <a:defRPr lang="sr-Latn-CS"/>
            </a:pPr>
            <a:endParaRPr lang="sr-Latn-CS"/>
          </a:p>
        </c:txPr>
        <c:crossAx val="145236352"/>
        <c:crosses val="max"/>
        <c:crossBetween val="between"/>
      </c:valAx>
      <c:catAx>
        <c:axId val="145236352"/>
        <c:scaling>
          <c:orientation val="minMax"/>
        </c:scaling>
        <c:delete val="1"/>
        <c:axPos val="b"/>
        <c:numFmt formatCode="General" sourceLinked="1"/>
        <c:tickLblPos val="none"/>
        <c:crossAx val="145234560"/>
        <c:crosses val="autoZero"/>
        <c:auto val="1"/>
        <c:lblAlgn val="ctr"/>
        <c:lblOffset val="100"/>
      </c:catAx>
    </c:plotArea>
    <c:legend>
      <c:legendPos val="b"/>
      <c:txPr>
        <a:bodyPr/>
        <a:lstStyle/>
        <a:p>
          <a:pPr>
            <a:defRPr lang="sr-Latn-CS"/>
          </a:pPr>
          <a:endParaRPr lang="sr-Latn-CS"/>
        </a:p>
      </c:txPr>
    </c:legend>
    <c:plotVisOnly val="1"/>
    <c:dispBlanksAs val="gap"/>
  </c:chart>
  <c:spPr>
    <a:ln w="6350">
      <a:noFill/>
      <a:prstDash val="sysDot"/>
    </a:ln>
  </c:spPr>
  <c:txPr>
    <a:bodyPr/>
    <a:lstStyle/>
    <a:p>
      <a:pPr>
        <a:defRPr sz="700" baseline="0"/>
      </a:pPr>
      <a:endParaRPr lang="sr-Latn-C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/>
            </a:pPr>
            <a:r>
              <a:rPr lang="sr-Latn-CS" sz="900"/>
              <a:t>Kredit</a:t>
            </a:r>
            <a:r>
              <a:rPr lang="sr-Latn-CS" sz="1000"/>
              <a:t>i</a:t>
            </a:r>
          </a:p>
        </c:rich>
      </c:tx>
    </c:title>
    <c:plotArea>
      <c:layout>
        <c:manualLayout>
          <c:layoutTarget val="inner"/>
          <c:xMode val="edge"/>
          <c:yMode val="edge"/>
          <c:x val="0.16616606400594772"/>
          <c:y val="0.1296296296296281"/>
          <c:w val="0.6829042614308406"/>
          <c:h val="0.62092082239720592"/>
        </c:manualLayout>
      </c:layout>
      <c:lineChart>
        <c:grouping val="standard"/>
        <c:ser>
          <c:idx val="0"/>
          <c:order val="0"/>
          <c:tx>
            <c:strRef>
              <c:f>'2012-2013 graf'!$P$17</c:f>
              <c:strCache>
                <c:ptCount val="1"/>
                <c:pt idx="0">
                  <c:v>Nefinansijske institucije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strRef>
              <c:f>'2012-2013 graf'!$O$18:$O$51</c:f>
              <c:strCache>
                <c:ptCount val="34"/>
                <c:pt idx="0">
                  <c:v>2012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maj</c:v>
                </c:pt>
                <c:pt idx="5">
                  <c:v>jun</c:v>
                </c:pt>
                <c:pt idx="6">
                  <c:v>jul</c:v>
                </c:pt>
                <c:pt idx="7">
                  <c:v>avg</c:v>
                </c:pt>
                <c:pt idx="8">
                  <c:v>sep</c:v>
                </c:pt>
                <c:pt idx="9">
                  <c:v>okt</c:v>
                </c:pt>
                <c:pt idx="10">
                  <c:v>nov</c:v>
                </c:pt>
                <c:pt idx="11">
                  <c:v>dec</c:v>
                </c:pt>
                <c:pt idx="12">
                  <c:v>2013</c:v>
                </c:pt>
                <c:pt idx="13">
                  <c:v>feb</c:v>
                </c:pt>
                <c:pt idx="14">
                  <c:v>mar</c:v>
                </c:pt>
                <c:pt idx="15">
                  <c:v>apr</c:v>
                </c:pt>
                <c:pt idx="16">
                  <c:v>maj</c:v>
                </c:pt>
                <c:pt idx="17">
                  <c:v>jun</c:v>
                </c:pt>
                <c:pt idx="18">
                  <c:v>jul</c:v>
                </c:pt>
                <c:pt idx="19">
                  <c:v>avg</c:v>
                </c:pt>
                <c:pt idx="20">
                  <c:v>sep</c:v>
                </c:pt>
                <c:pt idx="21">
                  <c:v>okt</c:v>
                </c:pt>
                <c:pt idx="22">
                  <c:v>nov</c:v>
                </c:pt>
                <c:pt idx="23">
                  <c:v>dec</c:v>
                </c:pt>
                <c:pt idx="24">
                  <c:v>jan</c:v>
                </c:pt>
                <c:pt idx="25">
                  <c:v>feb</c:v>
                </c:pt>
                <c:pt idx="26">
                  <c:v>mar</c:v>
                </c:pt>
                <c:pt idx="27">
                  <c:v>apr</c:v>
                </c:pt>
                <c:pt idx="28">
                  <c:v>maj</c:v>
                </c:pt>
                <c:pt idx="29">
                  <c:v>jun</c:v>
                </c:pt>
                <c:pt idx="30">
                  <c:v>jul</c:v>
                </c:pt>
                <c:pt idx="31">
                  <c:v>avg</c:v>
                </c:pt>
                <c:pt idx="32">
                  <c:v>sep</c:v>
                </c:pt>
                <c:pt idx="33">
                  <c:v>okt</c:v>
                </c:pt>
              </c:strCache>
            </c:strRef>
          </c:cat>
          <c:val>
            <c:numRef>
              <c:f>'2012-2013 graf'!$P$18:$P$51</c:f>
              <c:numCache>
                <c:formatCode>0.0</c:formatCode>
                <c:ptCount val="34"/>
                <c:pt idx="0">
                  <c:v>1261.3029999999999</c:v>
                </c:pt>
                <c:pt idx="1">
                  <c:v>1262.28</c:v>
                </c:pt>
                <c:pt idx="2">
                  <c:v>1217.1829999999998</c:v>
                </c:pt>
                <c:pt idx="3">
                  <c:v>1218.9290000000001</c:v>
                </c:pt>
                <c:pt idx="4">
                  <c:v>1221.749</c:v>
                </c:pt>
                <c:pt idx="5">
                  <c:v>1154.97</c:v>
                </c:pt>
                <c:pt idx="6">
                  <c:v>1145.4290000000001</c:v>
                </c:pt>
                <c:pt idx="7">
                  <c:v>1112.4880000000001</c:v>
                </c:pt>
                <c:pt idx="8">
                  <c:v>1069.0509999999999</c:v>
                </c:pt>
                <c:pt idx="9">
                  <c:v>1056.4290000000001</c:v>
                </c:pt>
                <c:pt idx="10">
                  <c:v>1064.3329999999999</c:v>
                </c:pt>
                <c:pt idx="11">
                  <c:v>1037.8599999999999</c:v>
                </c:pt>
                <c:pt idx="12">
                  <c:v>1030.4590000000001</c:v>
                </c:pt>
                <c:pt idx="13">
                  <c:v>1035.1209999999999</c:v>
                </c:pt>
                <c:pt idx="14">
                  <c:v>1039.539</c:v>
                </c:pt>
                <c:pt idx="15">
                  <c:v>1049.088</c:v>
                </c:pt>
                <c:pt idx="16">
                  <c:v>1048.5260000000001</c:v>
                </c:pt>
                <c:pt idx="17">
                  <c:v>1037.146</c:v>
                </c:pt>
                <c:pt idx="18">
                  <c:v>1038.3779999999999</c:v>
                </c:pt>
                <c:pt idx="19">
                  <c:v>1017.6420000000001</c:v>
                </c:pt>
                <c:pt idx="20">
                  <c:v>1003.953</c:v>
                </c:pt>
                <c:pt idx="21">
                  <c:v>995.31799999999748</c:v>
                </c:pt>
                <c:pt idx="22">
                  <c:v>1005.7089999999999</c:v>
                </c:pt>
                <c:pt idx="23">
                  <c:v>997.38099999999997</c:v>
                </c:pt>
                <c:pt idx="24">
                  <c:v>1085.2339999999999</c:v>
                </c:pt>
                <c:pt idx="25">
                  <c:v>1090.7550000000001</c:v>
                </c:pt>
                <c:pt idx="26">
                  <c:v>1091.547</c:v>
                </c:pt>
                <c:pt idx="27">
                  <c:v>1100.8779999999999</c:v>
                </c:pt>
                <c:pt idx="28">
                  <c:v>1099.7494606433947</c:v>
                </c:pt>
                <c:pt idx="29">
                  <c:v>1060.6369999999999</c:v>
                </c:pt>
                <c:pt idx="30">
                  <c:v>1044.7070000000001</c:v>
                </c:pt>
                <c:pt idx="31">
                  <c:v>1021.87</c:v>
                </c:pt>
                <c:pt idx="32">
                  <c:v>1023.2</c:v>
                </c:pt>
                <c:pt idx="33">
                  <c:v>1028.7080000000001</c:v>
                </c:pt>
              </c:numCache>
            </c:numRef>
          </c:val>
        </c:ser>
        <c:marker val="1"/>
        <c:axId val="145287424"/>
        <c:axId val="146026496"/>
      </c:lineChart>
      <c:lineChart>
        <c:grouping val="standard"/>
        <c:ser>
          <c:idx val="1"/>
          <c:order val="1"/>
          <c:tx>
            <c:strRef>
              <c:f>'2012-2013 graf'!$Q$17</c:f>
              <c:strCache>
                <c:ptCount val="1"/>
                <c:pt idx="0">
                  <c:v>fizička lica</c:v>
                </c:pt>
              </c:strCache>
            </c:strRef>
          </c:tx>
          <c:marker>
            <c:symbol val="none"/>
          </c:marker>
          <c:cat>
            <c:strRef>
              <c:f>'2012-2013 graf'!$O$18:$O$51</c:f>
              <c:strCache>
                <c:ptCount val="34"/>
                <c:pt idx="0">
                  <c:v>2012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maj</c:v>
                </c:pt>
                <c:pt idx="5">
                  <c:v>jun</c:v>
                </c:pt>
                <c:pt idx="6">
                  <c:v>jul</c:v>
                </c:pt>
                <c:pt idx="7">
                  <c:v>avg</c:v>
                </c:pt>
                <c:pt idx="8">
                  <c:v>sep</c:v>
                </c:pt>
                <c:pt idx="9">
                  <c:v>okt</c:v>
                </c:pt>
                <c:pt idx="10">
                  <c:v>nov</c:v>
                </c:pt>
                <c:pt idx="11">
                  <c:v>dec</c:v>
                </c:pt>
                <c:pt idx="12">
                  <c:v>2013</c:v>
                </c:pt>
                <c:pt idx="13">
                  <c:v>feb</c:v>
                </c:pt>
                <c:pt idx="14">
                  <c:v>mar</c:v>
                </c:pt>
                <c:pt idx="15">
                  <c:v>apr</c:v>
                </c:pt>
                <c:pt idx="16">
                  <c:v>maj</c:v>
                </c:pt>
                <c:pt idx="17">
                  <c:v>jun</c:v>
                </c:pt>
                <c:pt idx="18">
                  <c:v>jul</c:v>
                </c:pt>
                <c:pt idx="19">
                  <c:v>avg</c:v>
                </c:pt>
                <c:pt idx="20">
                  <c:v>sep</c:v>
                </c:pt>
                <c:pt idx="21">
                  <c:v>okt</c:v>
                </c:pt>
                <c:pt idx="22">
                  <c:v>nov</c:v>
                </c:pt>
                <c:pt idx="23">
                  <c:v>dec</c:v>
                </c:pt>
                <c:pt idx="24">
                  <c:v>jan</c:v>
                </c:pt>
                <c:pt idx="25">
                  <c:v>feb</c:v>
                </c:pt>
                <c:pt idx="26">
                  <c:v>mar</c:v>
                </c:pt>
                <c:pt idx="27">
                  <c:v>apr</c:v>
                </c:pt>
                <c:pt idx="28">
                  <c:v>maj</c:v>
                </c:pt>
                <c:pt idx="29">
                  <c:v>jun</c:v>
                </c:pt>
                <c:pt idx="30">
                  <c:v>jul</c:v>
                </c:pt>
                <c:pt idx="31">
                  <c:v>avg</c:v>
                </c:pt>
                <c:pt idx="32">
                  <c:v>sep</c:v>
                </c:pt>
                <c:pt idx="33">
                  <c:v>okt</c:v>
                </c:pt>
              </c:strCache>
            </c:strRef>
          </c:cat>
          <c:val>
            <c:numRef>
              <c:f>'2012-2013 graf'!$Q$18:$Q$51</c:f>
              <c:numCache>
                <c:formatCode>0.0</c:formatCode>
                <c:ptCount val="34"/>
                <c:pt idx="0">
                  <c:v>841.65800000000002</c:v>
                </c:pt>
                <c:pt idx="1">
                  <c:v>839.76</c:v>
                </c:pt>
                <c:pt idx="2">
                  <c:v>838.46499999999946</c:v>
                </c:pt>
                <c:pt idx="3">
                  <c:v>836.21400000000051</c:v>
                </c:pt>
                <c:pt idx="4">
                  <c:v>842.99400000000003</c:v>
                </c:pt>
                <c:pt idx="5">
                  <c:v>855.84399999999948</c:v>
                </c:pt>
                <c:pt idx="6">
                  <c:v>854.53</c:v>
                </c:pt>
                <c:pt idx="7">
                  <c:v>847.43599999999947</c:v>
                </c:pt>
                <c:pt idx="8">
                  <c:v>843.86199999999747</c:v>
                </c:pt>
                <c:pt idx="9">
                  <c:v>841.60400000000004</c:v>
                </c:pt>
                <c:pt idx="10">
                  <c:v>840.471</c:v>
                </c:pt>
                <c:pt idx="11">
                  <c:v>833.73</c:v>
                </c:pt>
                <c:pt idx="12">
                  <c:v>832.31199999999797</c:v>
                </c:pt>
                <c:pt idx="13">
                  <c:v>826.18600000000004</c:v>
                </c:pt>
                <c:pt idx="14">
                  <c:v>828.80499999999938</c:v>
                </c:pt>
                <c:pt idx="15">
                  <c:v>829.56399999999996</c:v>
                </c:pt>
                <c:pt idx="16">
                  <c:v>830.34499999999946</c:v>
                </c:pt>
                <c:pt idx="17">
                  <c:v>831.65</c:v>
                </c:pt>
                <c:pt idx="18">
                  <c:v>827.64</c:v>
                </c:pt>
                <c:pt idx="19">
                  <c:v>824.63400000000001</c:v>
                </c:pt>
                <c:pt idx="20">
                  <c:v>825.21</c:v>
                </c:pt>
                <c:pt idx="21">
                  <c:v>821.572</c:v>
                </c:pt>
                <c:pt idx="22">
                  <c:v>818.05699999999797</c:v>
                </c:pt>
                <c:pt idx="23">
                  <c:v>809.14699999999948</c:v>
                </c:pt>
                <c:pt idx="24">
                  <c:v>857.43</c:v>
                </c:pt>
                <c:pt idx="25">
                  <c:v>861.07799999999997</c:v>
                </c:pt>
                <c:pt idx="26">
                  <c:v>865.54499999999996</c:v>
                </c:pt>
                <c:pt idx="27">
                  <c:v>872.48</c:v>
                </c:pt>
                <c:pt idx="28">
                  <c:v>875.14599999999996</c:v>
                </c:pt>
                <c:pt idx="29">
                  <c:v>880.928</c:v>
                </c:pt>
                <c:pt idx="30">
                  <c:v>882.46099999999797</c:v>
                </c:pt>
                <c:pt idx="31">
                  <c:v>880.60799999999949</c:v>
                </c:pt>
                <c:pt idx="32">
                  <c:v>886.90099999999939</c:v>
                </c:pt>
                <c:pt idx="33">
                  <c:v>886.80199999999797</c:v>
                </c:pt>
              </c:numCache>
            </c:numRef>
          </c:val>
        </c:ser>
        <c:marker val="1"/>
        <c:axId val="146029568"/>
        <c:axId val="146028032"/>
      </c:lineChart>
      <c:catAx>
        <c:axId val="145287424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46026496"/>
        <c:crosses val="autoZero"/>
        <c:auto val="1"/>
        <c:lblAlgn val="ctr"/>
        <c:lblOffset val="100"/>
      </c:catAx>
      <c:valAx>
        <c:axId val="146026496"/>
        <c:scaling>
          <c:orientation val="minMax"/>
          <c:min val="980"/>
        </c:scaling>
        <c:axPos val="l"/>
        <c:majorGridlines>
          <c:spPr>
            <a:ln w="3175">
              <a:prstDash val="sysDot"/>
            </a:ln>
          </c:spPr>
        </c:majorGridlines>
        <c:numFmt formatCode="0.0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45287424"/>
        <c:crosses val="autoZero"/>
        <c:crossBetween val="between"/>
      </c:valAx>
      <c:valAx>
        <c:axId val="146028032"/>
        <c:scaling>
          <c:orientation val="minMax"/>
          <c:min val="800"/>
        </c:scaling>
        <c:axPos val="r"/>
        <c:numFmt formatCode="0.0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46029568"/>
        <c:crosses val="max"/>
        <c:crossBetween val="between"/>
      </c:valAx>
      <c:catAx>
        <c:axId val="146029568"/>
        <c:scaling>
          <c:orientation val="minMax"/>
        </c:scaling>
        <c:delete val="1"/>
        <c:axPos val="b"/>
        <c:tickLblPos val="none"/>
        <c:crossAx val="146028032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4.9999786612039424E-2"/>
          <c:y val="0.89899086037962994"/>
          <c:w val="0.9"/>
          <c:h val="9.4475327140788226E-2"/>
        </c:manualLayout>
      </c:layout>
      <c:txPr>
        <a:bodyPr/>
        <a:lstStyle/>
        <a:p>
          <a:pPr>
            <a:defRPr lang="sr-Latn-CS" sz="700"/>
          </a:pPr>
          <a:endParaRPr lang="sr-Latn-CS"/>
        </a:p>
      </c:txPr>
    </c:legend>
    <c:plotVisOnly val="1"/>
  </c:chart>
  <c:spPr>
    <a:ln>
      <a:noFill/>
    </a:ln>
  </c:spPr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en-US" sz="600"/>
            </a:pPr>
            <a:r>
              <a:rPr lang="x-none" sz="900"/>
              <a:t>Spoljnotrgovinski bilans i strane direktne investicije</a:t>
            </a:r>
            <a:endParaRPr lang="en-US" sz="900"/>
          </a:p>
        </c:rich>
      </c:tx>
      <c:layout>
        <c:manualLayout>
          <c:xMode val="edge"/>
          <c:yMode val="edge"/>
          <c:x val="0.1294866071428572"/>
          <c:y val="7.4711328976040294E-3"/>
        </c:manualLayout>
      </c:layout>
      <c:overlay val="1"/>
    </c:title>
    <c:plotArea>
      <c:layout>
        <c:manualLayout>
          <c:layoutTarget val="inner"/>
          <c:xMode val="edge"/>
          <c:yMode val="edge"/>
          <c:x val="0.13648556522814018"/>
          <c:y val="0.2324099775297872"/>
          <c:w val="0.74772956018074643"/>
          <c:h val="0.60640646537888065"/>
        </c:manualLayout>
      </c:layout>
      <c:barChart>
        <c:barDir val="col"/>
        <c:grouping val="clustered"/>
        <c:ser>
          <c:idx val="0"/>
          <c:order val="0"/>
          <c:tx>
            <c:strRef>
              <c:f>'Makroekonomski indikatori'!$C$47</c:f>
              <c:strCache>
                <c:ptCount val="1"/>
                <c:pt idx="0">
                  <c:v>Spoljnotrgovinski bilans (u mil €)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cat>
            <c:strRef>
              <c:f>'Makroekonomski indikatori'!$P$60:$AK$60</c:f>
              <c:strCache>
                <c:ptCount val="22"/>
                <c:pt idx="0">
                  <c:v>2012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2013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'Makroekonomski indikatori'!$P$47:$AK$47</c:f>
              <c:numCache>
                <c:formatCode>0.0,,</c:formatCode>
                <c:ptCount val="22"/>
                <c:pt idx="0">
                  <c:v>-72446000</c:v>
                </c:pt>
                <c:pt idx="1">
                  <c:v>-82626000</c:v>
                </c:pt>
                <c:pt idx="2">
                  <c:v>-158072000</c:v>
                </c:pt>
                <c:pt idx="3" formatCode="#,##0.0,,">
                  <c:v>-119730000</c:v>
                </c:pt>
                <c:pt idx="4" formatCode="#,##0.0,,">
                  <c:v>-133225000</c:v>
                </c:pt>
                <c:pt idx="5" formatCode="#,##0.0,,">
                  <c:v>-138890000</c:v>
                </c:pt>
                <c:pt idx="6" formatCode="#,##0.0,,">
                  <c:v>-117584000</c:v>
                </c:pt>
                <c:pt idx="7" formatCode="#,##0.0,,">
                  <c:v>-141577000</c:v>
                </c:pt>
                <c:pt idx="8" formatCode="#,##0.0,,">
                  <c:v>-117584000</c:v>
                </c:pt>
                <c:pt idx="9" formatCode="#,##0.0,,">
                  <c:v>-106785000</c:v>
                </c:pt>
                <c:pt idx="10" formatCode="#,##0.0,,">
                  <c:v>-104165000</c:v>
                </c:pt>
                <c:pt idx="11" formatCode="#,##0.0,,">
                  <c:v>-106785000</c:v>
                </c:pt>
                <c:pt idx="12" formatCode="#,##0.0,,">
                  <c:v>-82239000</c:v>
                </c:pt>
                <c:pt idx="13" formatCode="#,##0.0,,">
                  <c:v>-82689000</c:v>
                </c:pt>
                <c:pt idx="14" formatCode="#,##0.0,,">
                  <c:v>-108795000</c:v>
                </c:pt>
                <c:pt idx="15" formatCode="#,##0.0,,">
                  <c:v>-125430000</c:v>
                </c:pt>
                <c:pt idx="16" formatCode="#,##0.0,,">
                  <c:v>-112911000</c:v>
                </c:pt>
                <c:pt idx="17" formatCode="#,##0.0,,">
                  <c:v>-139973000</c:v>
                </c:pt>
                <c:pt idx="18" formatCode="#,##0.0,,">
                  <c:v>-140835000</c:v>
                </c:pt>
                <c:pt idx="19" formatCode="#,##0.0,,">
                  <c:v>-136412000</c:v>
                </c:pt>
                <c:pt idx="20" formatCode="#,##0.0,,">
                  <c:v>-117532000</c:v>
                </c:pt>
                <c:pt idx="21" formatCode="#,##0.0,,">
                  <c:v>-136706000</c:v>
                </c:pt>
              </c:numCache>
            </c:numRef>
          </c:val>
        </c:ser>
        <c:gapWidth val="75"/>
        <c:axId val="146072320"/>
        <c:axId val="146073856"/>
      </c:barChart>
      <c:lineChart>
        <c:grouping val="standard"/>
        <c:ser>
          <c:idx val="1"/>
          <c:order val="1"/>
          <c:tx>
            <c:strRef>
              <c:f>'Makroekonomski indikatori'!$C$48</c:f>
              <c:strCache>
                <c:ptCount val="1"/>
                <c:pt idx="0">
                  <c:v>Strane direktne investicije (mil.€)</c:v>
                </c:pt>
              </c:strCache>
            </c:strRef>
          </c:tx>
          <c:spPr>
            <a:ln>
              <a:solidFill>
                <a:srgbClr val="C00000"/>
              </a:solidFill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marker>
            <c:symbol val="none"/>
          </c:marker>
          <c:cat>
            <c:strRef>
              <c:f>'Makroekonomski indikatori'!$K$60:$W$60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2012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'Makroekonomski indikatori'!$P$48:$AJ$48</c:f>
              <c:numCache>
                <c:formatCode>0.0,,</c:formatCode>
                <c:ptCount val="21"/>
                <c:pt idx="0">
                  <c:v>15505062</c:v>
                </c:pt>
                <c:pt idx="1">
                  <c:v>30182414</c:v>
                </c:pt>
                <c:pt idx="2">
                  <c:v>20830023</c:v>
                </c:pt>
                <c:pt idx="3">
                  <c:v>25905819</c:v>
                </c:pt>
                <c:pt idx="4">
                  <c:v>25793157</c:v>
                </c:pt>
                <c:pt idx="5">
                  <c:v>34428175</c:v>
                </c:pt>
                <c:pt idx="6">
                  <c:v>92710259</c:v>
                </c:pt>
                <c:pt idx="7">
                  <c:v>18342439</c:v>
                </c:pt>
                <c:pt idx="8">
                  <c:v>92710259</c:v>
                </c:pt>
                <c:pt idx="9">
                  <c:v>20879718</c:v>
                </c:pt>
                <c:pt idx="10">
                  <c:v>77309162</c:v>
                </c:pt>
                <c:pt idx="11">
                  <c:v>40094285.800000004</c:v>
                </c:pt>
                <c:pt idx="12">
                  <c:v>6560302.5300000003</c:v>
                </c:pt>
                <c:pt idx="13">
                  <c:v>19458256.93</c:v>
                </c:pt>
                <c:pt idx="14">
                  <c:v>39496029.809999995</c:v>
                </c:pt>
                <c:pt idx="15">
                  <c:v>17076705.57</c:v>
                </c:pt>
                <c:pt idx="16">
                  <c:v>29527082.32</c:v>
                </c:pt>
                <c:pt idx="17">
                  <c:v>38820915.670000002</c:v>
                </c:pt>
                <c:pt idx="18">
                  <c:v>32480649.379999999</c:v>
                </c:pt>
                <c:pt idx="19">
                  <c:v>29641361.390000001</c:v>
                </c:pt>
                <c:pt idx="20">
                  <c:v>57267705</c:v>
                </c:pt>
              </c:numCache>
            </c:numRef>
          </c:val>
          <c:smooth val="1"/>
        </c:ser>
        <c:marker val="1"/>
        <c:axId val="146228736"/>
        <c:axId val="146227200"/>
      </c:lineChart>
      <c:catAx>
        <c:axId val="14607232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lang="en-US" sz="600">
                <a:solidFill>
                  <a:schemeClr val="tx1"/>
                </a:solidFill>
              </a:defRPr>
            </a:pPr>
            <a:endParaRPr lang="sr-Latn-CS"/>
          </a:p>
        </c:txPr>
        <c:crossAx val="146073856"/>
        <c:crosses val="autoZero"/>
        <c:auto val="1"/>
        <c:lblAlgn val="ctr"/>
        <c:lblOffset val="100"/>
        <c:tickLblSkip val="2"/>
        <c:tickMarkSkip val="1"/>
      </c:catAx>
      <c:valAx>
        <c:axId val="146073856"/>
        <c:scaling>
          <c:orientation val="minMax"/>
          <c:max val="160000000"/>
        </c:scaling>
        <c:axPos val="l"/>
        <c:numFmt formatCode="0.0,," sourceLinked="1"/>
        <c:majorTickMark val="none"/>
        <c:tickLblPos val="nextTo"/>
        <c:txPr>
          <a:bodyPr/>
          <a:lstStyle/>
          <a:p>
            <a:pPr>
              <a:defRPr lang="en-US" sz="600"/>
            </a:pPr>
            <a:endParaRPr lang="sr-Latn-CS"/>
          </a:p>
        </c:txPr>
        <c:crossAx val="146072320"/>
        <c:crosses val="autoZero"/>
        <c:crossBetween val="between"/>
      </c:valAx>
      <c:valAx>
        <c:axId val="146227200"/>
        <c:scaling>
          <c:orientation val="minMax"/>
        </c:scaling>
        <c:axPos val="r"/>
        <c:numFmt formatCode="0.0,," sourceLinked="1"/>
        <c:tickLblPos val="nextTo"/>
        <c:txPr>
          <a:bodyPr/>
          <a:lstStyle/>
          <a:p>
            <a:pPr>
              <a:defRPr lang="en-US" sz="600"/>
            </a:pPr>
            <a:endParaRPr lang="sr-Latn-CS"/>
          </a:p>
        </c:txPr>
        <c:crossAx val="146228736"/>
        <c:crosses val="max"/>
        <c:crossBetween val="between"/>
      </c:valAx>
      <c:catAx>
        <c:axId val="146228736"/>
        <c:scaling>
          <c:orientation val="minMax"/>
        </c:scaling>
        <c:delete val="1"/>
        <c:axPos val="b"/>
        <c:tickLblPos val="none"/>
        <c:crossAx val="146227200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14203870903818355"/>
          <c:y val="0.13532034745985785"/>
          <c:w val="0.66177232142860065"/>
          <c:h val="0.18495656751777026"/>
        </c:manualLayout>
      </c:layout>
      <c:txPr>
        <a:bodyPr/>
        <a:lstStyle/>
        <a:p>
          <a:pPr>
            <a:defRPr lang="en-US" sz="600"/>
          </a:pPr>
          <a:endParaRPr lang="sr-Latn-CS"/>
        </a:p>
      </c:txPr>
    </c:legend>
    <c:plotVisOnly val="1"/>
    <c:dispBlanksAs val="gap"/>
  </c:chart>
  <c:spPr>
    <a:solidFill>
      <a:schemeClr val="bg1"/>
    </a:solidFill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0.20927</cdr:x>
      <cdr:y>0.0567</cdr:y>
    </cdr:from>
    <cdr:to>
      <cdr:x>0.98658</cdr:x>
      <cdr:y>0.15119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44500" y="114300"/>
          <a:ext cx="165100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700"/>
            <a:t>izdate radne dozvole strancima</a:t>
          </a:r>
        </a:p>
      </cdr:txBody>
    </cdr:sp>
  </cdr:relSizeAnchor>
  <cdr:relSizeAnchor xmlns:cdr="http://schemas.openxmlformats.org/drawingml/2006/chartDrawing">
    <cdr:from>
      <cdr:x>0.61288</cdr:x>
      <cdr:y>0.12599</cdr:y>
    </cdr:from>
    <cdr:to>
      <cdr:x>0.73246</cdr:x>
      <cdr:y>0.16379</cdr:y>
    </cdr:to>
    <cdr:sp macro="" textlink="">
      <cdr:nvSpPr>
        <cdr:cNvPr id="4" name="Straight Arrow Connector 3"/>
        <cdr:cNvSpPr/>
      </cdr:nvSpPr>
      <cdr:spPr>
        <a:xfrm xmlns:a="http://schemas.openxmlformats.org/drawingml/2006/main">
          <a:off x="1301750" y="254000"/>
          <a:ext cx="254000" cy="76200"/>
        </a:xfrm>
        <a:prstGeom xmlns:a="http://schemas.openxmlformats.org/drawingml/2006/main" prst="straightConnector1">
          <a:avLst/>
        </a:prstGeom>
        <a:ln xmlns:a="http://schemas.openxmlformats.org/drawingml/2006/main" w="3175">
          <a:solidFill>
            <a:schemeClr val="accent2">
              <a:lumMod val="75000"/>
            </a:schemeClr>
          </a:solidFill>
          <a:prstDash val="sysDot"/>
          <a:tailEnd type="triangle" w="sm" len="sm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sr-Latn-CS"/>
        </a:p>
      </cdr:txBody>
    </cdr:sp>
  </cdr:relSizeAnchor>
  <cdr:relSizeAnchor xmlns:cdr="http://schemas.openxmlformats.org/drawingml/2006/chartDrawing">
    <cdr:from>
      <cdr:x>0.20629</cdr:x>
      <cdr:y>0.70556</cdr:y>
    </cdr:from>
    <cdr:to>
      <cdr:x>0.87298</cdr:x>
      <cdr:y>0.79375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38150" y="1422400"/>
          <a:ext cx="1416050" cy="177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700"/>
            <a:t>oglašena radna mjesta</a:t>
          </a:r>
        </a:p>
      </cdr:txBody>
    </cdr:sp>
  </cdr:relSizeAnchor>
  <cdr:relSizeAnchor xmlns:cdr="http://schemas.openxmlformats.org/drawingml/2006/chartDrawing">
    <cdr:from>
      <cdr:x>0.33484</cdr:x>
      <cdr:y>0.66776</cdr:y>
    </cdr:from>
    <cdr:to>
      <cdr:x>0.4604</cdr:x>
      <cdr:y>0.73138</cdr:y>
    </cdr:to>
    <cdr:sp macro="" textlink="">
      <cdr:nvSpPr>
        <cdr:cNvPr id="6" name="Straight Arrow Connector 5"/>
        <cdr:cNvSpPr/>
      </cdr:nvSpPr>
      <cdr:spPr>
        <a:xfrm xmlns:a="http://schemas.openxmlformats.org/drawingml/2006/main" flipV="1">
          <a:off x="711200" y="1346200"/>
          <a:ext cx="266700" cy="128268"/>
        </a:xfrm>
        <a:prstGeom xmlns:a="http://schemas.openxmlformats.org/drawingml/2006/main" prst="straightConnector1">
          <a:avLst/>
        </a:prstGeom>
        <a:noFill xmlns:a="http://schemas.openxmlformats.org/drawingml/2006/main"/>
        <a:ln xmlns:a="http://schemas.openxmlformats.org/drawingml/2006/main" w="3175" cap="flat" cmpd="sng" algn="ctr">
          <a:solidFill>
            <a:srgbClr val="4F81BD">
              <a:shade val="95000"/>
              <a:satMod val="105000"/>
            </a:srgbClr>
          </a:solidFill>
          <a:prstDash val="sysDot"/>
          <a:tailEnd type="triangle" w="sm" len="sm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sr-Latn-CS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0.75068</cdr:x>
      <cdr:y>0</cdr:y>
    </cdr:from>
    <cdr:to>
      <cdr:x>0.99142</cdr:x>
      <cdr:y>0.12269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758951" y="0"/>
          <a:ext cx="564096" cy="2384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700"/>
            <a:t>fizička lica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EF533-CF91-4179-A8F1-D64762B1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2542</Words>
  <Characters>14493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milos.popovic;Iva Radovan</dc:creator>
  <cp:lastModifiedBy>radovan.zivkovic</cp:lastModifiedBy>
  <cp:revision>2</cp:revision>
  <cp:lastPrinted>2013-09-17T10:11:00Z</cp:lastPrinted>
  <dcterms:created xsi:type="dcterms:W3CDTF">2013-12-19T15:23:00Z</dcterms:created>
  <dcterms:modified xsi:type="dcterms:W3CDTF">2013-12-19T15:23:00Z</dcterms:modified>
</cp:coreProperties>
</file>