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6" w:rsidRPr="003938C6" w:rsidRDefault="003938C6" w:rsidP="00245656">
      <w:pPr>
        <w:spacing w:after="240" w:line="240" w:lineRule="auto"/>
        <w:jc w:val="center"/>
        <w:rPr>
          <w:rFonts w:ascii="Trebuchet MS" w:eastAsia="Times New Roman" w:hAnsi="Trebuchet MS" w:cs="Tahoma"/>
          <w:b/>
          <w:bCs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Tahoma"/>
          <w:b/>
          <w:bCs/>
          <w:sz w:val="20"/>
          <w:szCs w:val="20"/>
          <w:lang w:val="sr-Latn-CS" w:eastAsia="de-CH"/>
        </w:rPr>
        <w:t>CENTAR ZA STRUČNO OBRAZOVANJE</w:t>
      </w:r>
    </w:p>
    <w:p w:rsidR="003938C6" w:rsidRPr="003938C6" w:rsidRDefault="003938C6" w:rsidP="00245656">
      <w:pPr>
        <w:spacing w:before="240" w:after="240" w:line="240" w:lineRule="auto"/>
        <w:jc w:val="center"/>
        <w:rPr>
          <w:rFonts w:ascii="Trebuchet MS" w:eastAsia="Times New Roman" w:hAnsi="Trebuchet MS" w:cs="Tahoma"/>
          <w:b/>
          <w:bCs/>
          <w:sz w:val="20"/>
          <w:szCs w:val="20"/>
          <w:lang w:val="sr-Cyrl-CS" w:eastAsia="de-CH"/>
        </w:rPr>
      </w:pPr>
      <w:r w:rsidRPr="003938C6">
        <w:rPr>
          <w:rFonts w:ascii="Trebuchet MS" w:eastAsia="Times New Roman" w:hAnsi="Trebuchet MS" w:cs="Tahoma"/>
          <w:b/>
          <w:bCs/>
          <w:sz w:val="20"/>
          <w:szCs w:val="20"/>
          <w:lang w:val="sr-Latn-CS" w:eastAsia="de-CH"/>
        </w:rPr>
        <w:t>AKREDITACIJA PROGRAMA STRUČNOG USAVRŠAVANJA NASTAVNIKA</w:t>
      </w:r>
    </w:p>
    <w:p w:rsidR="003938C6" w:rsidRPr="003938C6" w:rsidRDefault="003938C6" w:rsidP="00245656">
      <w:pPr>
        <w:spacing w:before="240" w:after="240" w:line="240" w:lineRule="auto"/>
        <w:jc w:val="center"/>
        <w:rPr>
          <w:rFonts w:ascii="Trebuchet MS" w:eastAsia="Times New Roman" w:hAnsi="Trebuchet MS" w:cs="Tahoma"/>
          <w:b/>
          <w:sz w:val="20"/>
          <w:szCs w:val="20"/>
          <w:lang w:val="sr-Cyrl-CS" w:eastAsia="de-CH"/>
        </w:rPr>
      </w:pPr>
      <w:r w:rsidRPr="003938C6">
        <w:rPr>
          <w:rFonts w:ascii="Trebuchet MS" w:eastAsia="Times New Roman" w:hAnsi="Trebuchet MS" w:cs="Tahoma"/>
          <w:b/>
          <w:sz w:val="20"/>
          <w:szCs w:val="20"/>
          <w:lang w:val="sr-Latn-CS" w:eastAsia="de-CH"/>
        </w:rPr>
        <w:t>FORMULAR ZA PRIJAVLJIVANJE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6"/>
        <w:gridCol w:w="3187"/>
        <w:gridCol w:w="3187"/>
      </w:tblGrid>
      <w:tr w:rsidR="003938C6" w:rsidRPr="00653EEB" w:rsidTr="00653EEB">
        <w:trPr>
          <w:jc w:val="center"/>
        </w:trPr>
        <w:tc>
          <w:tcPr>
            <w:tcW w:w="9322" w:type="dxa"/>
            <w:gridSpan w:val="3"/>
            <w:shd w:val="clear" w:color="auto" w:fill="CCFFCC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jc w:val="center"/>
              <w:rPr>
                <w:rFonts w:ascii="Trebuchet MS" w:eastAsia="Times New Roman" w:hAnsi="Trebuchet MS" w:cs="Tahoma"/>
                <w:bCs/>
                <w:i/>
                <w:iCs/>
                <w:sz w:val="20"/>
                <w:szCs w:val="20"/>
                <w:lang w:val="en-GB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Opšti podaci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Naziv programa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iCs/>
                <w:sz w:val="20"/>
                <w:szCs w:val="20"/>
                <w:lang w:val="en-GB" w:eastAsia="de-CH"/>
              </w:rPr>
            </w:pPr>
          </w:p>
          <w:p w:rsidR="005237FC" w:rsidRPr="00653EEB" w:rsidRDefault="005237FC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iCs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 w:val="restart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Oblasti usavršavanja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16"/>
                <w:szCs w:val="16"/>
                <w:lang w:val="sr-Latn-CS" w:eastAsia="sr-Latn-CS"/>
              </w:rPr>
              <w:t>Napomena</w:t>
            </w:r>
            <w:r w:rsidRPr="00653EEB">
              <w:rPr>
                <w:rFonts w:ascii="Trebuchet MS" w:eastAsia="Times New Roman" w:hAnsi="Trebuchet MS" w:cs="Arial"/>
                <w:sz w:val="16"/>
                <w:szCs w:val="16"/>
                <w:lang w:val="sr-Latn-CS" w:eastAsia="sr-Latn-CS"/>
              </w:rPr>
              <w:t>: Zaokružiti jednu od ponuđenih oblasti stručnog usavršavanja</w:t>
            </w:r>
          </w:p>
        </w:tc>
        <w:tc>
          <w:tcPr>
            <w:tcW w:w="6348" w:type="dxa"/>
            <w:gridSpan w:val="2"/>
            <w:shd w:val="clear" w:color="auto" w:fill="CCFFCC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i/>
                <w:iCs/>
                <w:sz w:val="20"/>
                <w:szCs w:val="20"/>
                <w:lang w:val="en-GB" w:eastAsia="de-CH"/>
              </w:rPr>
            </w:pP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Prioritetne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oblasti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stručnog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usavršavanja</w:t>
            </w:r>
            <w:proofErr w:type="spellEnd"/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Mašinstvo i obrada metala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(posebno programi koji se odnose na: konstruktivno mašinstvo, mašinsku energetiku i termotehniku, proizvodno mašinstvo - CNC tehnologije, primjenu softverskih alata u mašinstvu, engleski jezik u mašinstvu i dr.)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Elektrotehnika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primjenu digitalne elektronike, programiranje mikrokontrolera, industrijsku elektroniku i automatiku, elektronske uređaje i sisteme, računarske sisteme, telekomunikacione i računarske mreže, elektroenergetiku, primjenu softverskih alata u elektrotehnici, projektovanje u elektrotehnici, engleski jezik u elektrotehnici i dr.)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Informaciona tehnologija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razvoj veb i mobilnih aplikacija, upravljanje softverskim projektima, programiranje, upravljanje bazama podataka, IoT sisteme, engleski jezik u informacionoj tehnologiji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Mehatronika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(posebno programi koji se odnose na: primjenu softverskih alata u mehatronici, dijagnostiku, upravljanje i održavanje mehatroničkih uređaja i sistema,  dijagnostiku i održavanje mehatroničkih sistema na vozilu, održavanje i ugradnja električnih i elektronskih sistema na motornom vozilu, vozila sa alternativnim pogonima, engleski jezik u mehatronici i dr.)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Građevinarstvo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primjenu softverskih alata u građevinarstvu, projektovanje u niskogradnji, hidrogradnji i visokogradnji, građevinske konstrukcije, izvođenje građevinskih radova, engleski jezik u građevinarstu, primjenu softverskih alata u geodeziji, izvođenje geodetskih radova, engleski jezik u geodeziji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Uređenje prostora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primjenu softverskih alata u arhitekturi, projektovanje arhitektonskih objekata, urbanističko projektovanje i planiranje, projektovanje enterijera,  organizacija, dekorisanje i aranžiranje prostora, engleski jezik u uređenju prostora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Ekonomija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računovodstvo, bankarsko i finansijsko poslovanje, primjenu softverskih alata u ekonomiji, preduzeće za vježbu, preduzetništvo, marketing, osiguranje imovine i lica, špeditersko i agencijsko poslovanje i dr.)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Pravo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administrativno poslovanje, poslovnu komunikaciju, pravne postupke, pravni promet, radno pravo, kompanijsko i finansijsko pravo, carinski postupak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lastRenderedPageBreak/>
              <w:t xml:space="preserve">Poljoprivreda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primjenu savremene tehnologije i način uzgajanja u ratarsko-povrtarskoj, voćarsko-vinagradarskoj i stočarskoj proizvodnji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Prehrana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izvođenje tehnoloških operacija, kontrolu kvaliteta prehrambenih proizvoda, standarde i propise u proizvodnji hrane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Veterina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identifikaciju i obilježavanje životinja, zdravstvenu zaštitu i reprodukciju životinja, asistiranje u sprovođenju hirurških zahvata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Šumarstvo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tehnološke postupke u okviru primarne, polufinalne i finalne obrade drveta, obradu drveta CNC mašinama, dizajn predmeta i enterijera od drveta, ispitivanje kvaliteta u obradi drveta, iskorišćavanje šuma, podizanje i njega zelenih površina, planiranje i gazdovanje šumama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Zdravstvo i socijalna zaštita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promet ljekova i tehnologije u farmaceutskoj industriji, biohemijsko laboratorijsku dijagnostiku, mikrobiološka, patološka ispitivanja, ispitivanja u laboratorijama za sanitarnu hemiju, asistiranje u stomatološkim intervencijama i izradu fiksnih i mobilnih protetskih nadoknada, hidro-peloido terapijske procedure i medicinsko-terapijske masaže u fizioterapiji, kozmetoterapijske procedure u tretmanima lica i tijela, principe zdrave ishrane i očuvanja zdravlja, prvu pomoć, socijalna zaštita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Turizam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recepcijsko i agencijsko poslovanje, strane jezike u turizmu, primjenu softverskih alata u turizmu i dr.)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Trgovina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savremene načine prodaje, tehnike prodaje, marketing u trgovini, primjenu softverskih alata u trgovini i dr.)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Ugostiteljstvo – restoraterstvo i kulinarstvo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pripremu složenijih vrsta jela i poslastica, estetiku u gastronomiji i poslastičarstvu, kontrolu kvaliteta gastronomskih proizvoda, specijalne načine usluživanja hrane i pića, svečane prijeme, pripremanje koktela, standarde i normative u ugostiteljstvu, strane jezike u ugostiteljstvu i dr.)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 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Saobraćaj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pomorstvo, navigaciju, brodske mašine i sisteme, sigurnost i bezbjednost na moru, engleski jezik u nautici i brodomašinstvu, organizaciju transporta, drumski i željeznički saobraćaj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Lične usluge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(posebno programi koji se odnose na: kreiranje i izradu specijalnih frizura, specijalne tehnike u bojenju kose, brade i brkova i dr.) 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Tekstilstvo i kožarstvo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na: dizajniranje u modnoj industriji, konstrukciju i modelovanje tekstilnih proizvoda i odjeće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Rudarstvo i metalurgija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 xml:space="preserve">Hemijska industrija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(posebno programi koji se odnose na tehnološke operacije i kontrolu kvaliteta u hemijskoj industriji, zaštitu životne sredine i dr.)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lastRenderedPageBreak/>
              <w:t xml:space="preserve">Muzička umjetnost  </w:t>
            </w:r>
          </w:p>
          <w:p w:rsidR="003938C6" w:rsidRPr="00653EEB" w:rsidRDefault="003938C6" w:rsidP="00653EEB">
            <w:pPr>
              <w:numPr>
                <w:ilvl w:val="0"/>
                <w:numId w:val="2"/>
              </w:numPr>
              <w:spacing w:before="20" w:after="20" w:line="240" w:lineRule="auto"/>
              <w:ind w:hanging="652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Likovna umjetnost</w:t>
            </w:r>
          </w:p>
          <w:p w:rsidR="003938C6" w:rsidRPr="00653EEB" w:rsidRDefault="003938C6" w:rsidP="00653EEB">
            <w:pPr>
              <w:spacing w:before="20" w:after="20" w:line="240" w:lineRule="auto"/>
              <w:ind w:left="360"/>
              <w:jc w:val="both"/>
              <w:rPr>
                <w:rFonts w:ascii="Trebuchet MS" w:eastAsia="Times New Roman" w:hAnsi="Trebuchet MS" w:cs="Arial"/>
                <w:b/>
                <w:sz w:val="16"/>
                <w:szCs w:val="16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16"/>
                <w:szCs w:val="16"/>
                <w:lang w:val="sr-Latn-CS" w:eastAsia="sr-Latn-CS"/>
              </w:rPr>
              <w:t xml:space="preserve">Napomene:   </w:t>
            </w:r>
          </w:p>
          <w:p w:rsidR="003938C6" w:rsidRPr="00653EEB" w:rsidRDefault="003938C6" w:rsidP="00653EEB">
            <w:pPr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sz w:val="16"/>
                <w:szCs w:val="16"/>
                <w:lang w:val="sr-Latn-CS" w:eastAsia="sr-Latn-CS"/>
              </w:rPr>
              <w:t>Prioritetne oblasti se odnose na nastavnike koji realizuju programe formalnog obrazovanja i nastavnike koji realizuju programe neformalnog obrazovanja</w:t>
            </w:r>
          </w:p>
          <w:p w:rsidR="003938C6" w:rsidRPr="00653EEB" w:rsidRDefault="003938C6" w:rsidP="00653EEB">
            <w:pPr>
              <w:numPr>
                <w:ilvl w:val="0"/>
                <w:numId w:val="3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18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sz w:val="16"/>
                <w:szCs w:val="16"/>
                <w:lang w:val="sr-Latn-CS" w:eastAsia="sr-Latn-CS"/>
              </w:rPr>
              <w:t>Prioritetne oblasti su direktno povezane sa modulima/predmetima u obrazovnim programima/ programima obrazovanja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6348" w:type="dxa"/>
            <w:gridSpan w:val="2"/>
            <w:shd w:val="clear" w:color="auto" w:fill="CCFFCC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i/>
                <w:iCs/>
                <w:sz w:val="20"/>
                <w:szCs w:val="20"/>
                <w:lang w:val="en-GB" w:eastAsia="de-CH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Oblast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pedagogije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,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andragogije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,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psihologije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,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didaktike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,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metodike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i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dr.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Inovativni pristupi nastavi i učenju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(primjena interaktivnih metoda u nastavi, problemska nastava, organizacja nastave orijentisane ka aktivnostima, online metode nastave i dr.)</w:t>
            </w:r>
          </w:p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Vrednovanje i ocjenjivanje postignuća učenika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(formativno i sumativno ocjenjivanje, priprema zadataka za testove, portali za učenje i provjeru znanja, kreiranje elektronskih testova, kvizova i upitnika i dr.)</w:t>
            </w:r>
          </w:p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Rad u nastavi sa učenicima sa posebnim obrazovnim potrebama i ranjivim grupama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(inkluzivno  obrazovanje, individualizirani nastavni proces, facilitranje tranzicije, senzitivne teme, nediskriminacija i borba protiv stereotipa, izrada IROP-a, ITP 2 i dr.)</w:t>
            </w:r>
          </w:p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Rad sa darovitim učenicima</w:t>
            </w:r>
          </w:p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Obrazovanje i osposobljavanje odraslih i cjeloživotno učenje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(andragoško osposobljavanje, osnovno opismenjavanje, programi za treće doba, ključne vještine i sl.) i dr.</w:t>
            </w:r>
          </w:p>
          <w:p w:rsidR="003938C6" w:rsidRPr="00653EEB" w:rsidRDefault="003938C6" w:rsidP="00653EEB">
            <w:pPr>
              <w:numPr>
                <w:ilvl w:val="0"/>
                <w:numId w:val="4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Ostalo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(navesti oblast) ________________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6348" w:type="dxa"/>
            <w:gridSpan w:val="2"/>
            <w:shd w:val="clear" w:color="auto" w:fill="CCFFCC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i/>
                <w:iCs/>
                <w:sz w:val="20"/>
                <w:szCs w:val="20"/>
                <w:lang w:val="en-GB" w:eastAsia="de-CH"/>
              </w:rPr>
            </w:pP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Druge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oblasti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stručnog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>usavršavanja</w:t>
            </w:r>
            <w:proofErr w:type="spellEnd"/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en-GB" w:eastAsia="de-CH"/>
              </w:rPr>
              <w:t xml:space="preserve"> 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6348" w:type="dxa"/>
            <w:gridSpan w:val="2"/>
            <w:shd w:val="clear" w:color="auto" w:fill="auto"/>
          </w:tcPr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>Razvoj ključnih kompetencija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vertAlign w:val="superscript"/>
                <w:lang w:val="sr-Latn-CS" w:eastAsia="sr-Latn-CS"/>
              </w:rPr>
              <w:footnoteReference w:id="1"/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kompetencija pismenosti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sposobnost komunikacije i efikasnog povezivanja sa drugima na primjeren i kreativan način; sposobnost identifikovanja, razumijevanja, izražavanja, stvaranja i tumačenja pojmova, činjenica i mišljenja u usmenom i pisanom obliku, koristeći vizuelni, zvučni/audio i digitalni materijal)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kompetencija višejezičnosti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sposobnost korišćenja različitih stranih jezika na odgovarajući i efikasan način za komunikaciju)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STEM kompetencija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sposobnost razvijanja i primjene matematičkog mišljenja, znanja i vještina, kako bi se riješili razni problemi u svakodnevnim situacijama; sposobnost i spremnost da se objasni prirodni svijet korišćenjem postojećeg znanja i primijenom metodologije u cilju identifikacije pitanja i izvođenja zaključaka zasnovanih na empirijskim podacima)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lastRenderedPageBreak/>
              <w:t>digitalna kompetencija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sigurnu i odgovornu upotrebu digitalnih tehnologija za učenje, rad i učestvovanje u društvu; informatičku pismenost; komunikaciju i saradnju u digitalnom okruženju; stvaranje digitalnih sadržaja; sajber bezbjednost) 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lična, socijalna i kompetencija učiti kako učiti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efikasno upravljanje vremenom i informacijama; rad sa drugima na konstruktivan način; otpornost na stresove uzrokovane neprekidnim životnim promjenama, pritiscima i rizicima; upravljanje sopstvenim učenjem i karijerom; održavanje fizičkog i mentalnog zdravlja; vođenje zdravog života; otkrivanje sopstvenih prednosti i nedostataka, afiniteta i interesa; preuzimanje odgovornosti  za lični i profesionalni rast, profesionalnu karijeru i lično ostvarenje)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građanska kompetencija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sposobnost da se postupa kao odgovorni građanin i da se u potpunosti učestvuje u građanskom i društvenom životu, zasnovanom na razumijevanju socijalnih, ekonomskih, pravnih i političkih koncepata i struktura, kao i globalnog razvoja i održivosti) 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preduzetnička kompetencija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razvoj kreativnosti, kritičkog razmišljanja i rješavanje problema; preduzimanje inicijative, upornosti i sposobnosti da se sarađuje u cilju planiranja i upravljanja projektima koji imaju kulturnu, društvenu ili finansijsku vrijednost)</w:t>
            </w:r>
          </w:p>
          <w:p w:rsidR="003938C6" w:rsidRPr="00653EEB" w:rsidRDefault="003938C6" w:rsidP="00653EEB">
            <w:pPr>
              <w:numPr>
                <w:ilvl w:val="1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kompetencija kulturološke svijesti i izražavanja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razumijevanje i poštovanje načina na koji se ideje i smisao kreativno izražavaju i prenose u različitim kulturama u obliku niza umjetničkih i drugih kulturnih formi) </w:t>
            </w:r>
          </w:p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Organizacija slobodnih i vannastavnih aktivnosti u školama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 prevenciju nasilja među učenicima, borbu protiv bolesti zavisnosti, bezbjednost u saobraćaju, postupanje u vanrednim situacijama, borbu protiv trgovine ljudima, borbu protiv nasilnog ekstremizma, osnove pružanja prve pomoći, školsku medijaciju i dr.)</w:t>
            </w:r>
          </w:p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Globalno obrazovanje</w:t>
            </w: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vertAlign w:val="superscript"/>
                <w:lang w:val="sr-Latn-CS" w:eastAsia="sr-Latn-CS"/>
              </w:rPr>
              <w:footnoteReference w:id="2"/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(posebno programi koji se odnose na: multikulturalna društva u socijalnom, ekonomskom i kulturnom kontekstu; povezanost regiona, zemalja i kontinenata i ograničene prirodne izvore; informaciono društvo i medije; ljudska prava, demokratiju i dobro upravljanje, socijalnu pravdu, rodnu ravnopravnost, mir i transformaciju konflikata, različitost i međukulturalni i međuverski dijalog; održivi razvoj, zelenu ekonomija i 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lastRenderedPageBreak/>
              <w:t>ekološku odgovornost; istraživanje i strateško planiranje; donošenje odluka; razvoj medijske svijesti i dr.)</w:t>
            </w:r>
          </w:p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Timski rad i saradnja</w:t>
            </w:r>
          </w:p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Izrada projekata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i dr.</w:t>
            </w:r>
          </w:p>
          <w:p w:rsidR="003938C6" w:rsidRPr="00653EEB" w:rsidRDefault="003938C6" w:rsidP="00653EEB">
            <w:pPr>
              <w:numPr>
                <w:ilvl w:val="0"/>
                <w:numId w:val="5"/>
              </w:numPr>
              <w:spacing w:before="20" w:after="2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</w:pPr>
            <w:r w:rsidRPr="00653EEB">
              <w:rPr>
                <w:rFonts w:ascii="Trebuchet MS" w:eastAsia="Times New Roman" w:hAnsi="Trebuchet MS" w:cs="Arial"/>
                <w:b/>
                <w:sz w:val="20"/>
                <w:szCs w:val="20"/>
                <w:lang w:val="sr-Latn-CS" w:eastAsia="sr-Latn-CS"/>
              </w:rPr>
              <w:t>Ostalo</w:t>
            </w:r>
            <w:r w:rsidRPr="00653EEB">
              <w:rPr>
                <w:rFonts w:ascii="Trebuchet MS" w:eastAsia="Times New Roman" w:hAnsi="Trebuchet MS" w:cs="Arial"/>
                <w:sz w:val="20"/>
                <w:szCs w:val="20"/>
                <w:lang w:val="sr-Latn-CS" w:eastAsia="sr-Latn-CS"/>
              </w:rPr>
              <w:t xml:space="preserve"> (navesti oblast) ________________</w:t>
            </w: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lastRenderedPageBreak/>
              <w:t>Autori programa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Realizatori programa</w:t>
            </w: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Cyrl-CS" w:eastAsia="de-CH"/>
              </w:rPr>
              <w:t xml:space="preserve">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eastAsia="de-CH"/>
              </w:rPr>
            </w:pP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Cyrl-CS" w:eastAsia="de-CH"/>
              </w:rPr>
            </w:pPr>
            <w:proofErr w:type="spellStart"/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  <w:t>Kontakt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  <w:t>osoba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  <w:t xml:space="preserve">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en-GB" w:eastAsia="de-CH"/>
              </w:rPr>
              <w:t xml:space="preserve">E-mail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Broj telefona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322" w:type="dxa"/>
            <w:gridSpan w:val="3"/>
            <w:shd w:val="clear" w:color="auto" w:fill="CCFFCC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nb-NO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nb-NO" w:eastAsia="de-CH"/>
              </w:rPr>
              <w:t>Informacije o programu</w:t>
            </w: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Cyrl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Ciljevi programa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trHeight w:val="462"/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ME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Sadržaji obuhva</w:t>
            </w: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ME" w:eastAsia="de-CH"/>
              </w:rPr>
              <w:t>ćeni programom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Očekivani ishodi po završetku programa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trHeight w:val="627"/>
          <w:jc w:val="center"/>
        </w:trPr>
        <w:tc>
          <w:tcPr>
            <w:tcW w:w="2974" w:type="dxa"/>
            <w:vMerge w:val="restart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Povezanost programa sa obrazovnim programom/programom obrazovanja, odnosno predmetom/modulom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navesti samo za programe iz grupe prioritetnih oblasti stručnog usavršavanja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</w:pPr>
            <w:r w:rsidRPr="00653EEB"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  <w:t>Naziv obrazovnog programa / programa obrazovanja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</w:pPr>
            <w:r w:rsidRPr="00653EEB"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  <w:t>Naziv predmeta/modula u okviru obrazovnog programa</w:t>
            </w: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trHeight w:val="805"/>
          <w:jc w:val="center"/>
        </w:trPr>
        <w:tc>
          <w:tcPr>
            <w:tcW w:w="2974" w:type="dxa"/>
            <w:vMerge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nb-NO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Ciljna grupa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Zaokružiti ciljnu grupu (jednu ili više njih) i precizirati predmete ili grupe predmeta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 xml:space="preserve">Nastavnici stručnih modula/predmeta iz sljedećih oblasti: </w:t>
            </w:r>
          </w:p>
          <w:p w:rsidR="003938C6" w:rsidRPr="00653EEB" w:rsidRDefault="003938C6" w:rsidP="00653EEB">
            <w:pPr>
              <w:spacing w:before="20" w:after="20" w:line="240" w:lineRule="auto"/>
              <w:ind w:left="785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_______________________________________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Nastavnici praktične nastave iz sljedećih oblasti:</w:t>
            </w:r>
          </w:p>
          <w:p w:rsidR="003938C6" w:rsidRPr="00653EEB" w:rsidRDefault="003938C6" w:rsidP="00653EEB">
            <w:pPr>
              <w:spacing w:before="20" w:after="20" w:line="240" w:lineRule="auto"/>
              <w:ind w:left="785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_______________________________________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Organizatori praktičnog obrazovanja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 xml:space="preserve">Stručni saradnici 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 xml:space="preserve">Saradnici u nastavi 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Direktori i pomoćnici direktora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Instruktori praktičnog obrazovanja</w:t>
            </w:r>
          </w:p>
          <w:p w:rsidR="003938C6" w:rsidRPr="00653EEB" w:rsidRDefault="003938C6" w:rsidP="00653EEB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Nastavni kadar kod organizatora obrazovanja</w:t>
            </w:r>
          </w:p>
          <w:p w:rsidR="003938C6" w:rsidRPr="00653EEB" w:rsidRDefault="003938C6" w:rsidP="00653EEB">
            <w:pPr>
              <w:spacing w:before="20" w:after="20" w:line="240" w:lineRule="auto"/>
              <w:ind w:left="785"/>
              <w:rPr>
                <w:rFonts w:ascii="Trebuchet MS" w:eastAsia="Times New Roman" w:hAnsi="Trebuchet MS" w:cs="Times New Roman"/>
                <w:sz w:val="24"/>
                <w:szCs w:val="24"/>
                <w:lang w:val="pl-PL"/>
              </w:rPr>
            </w:pPr>
            <w:r w:rsidRPr="00653EEB">
              <w:rPr>
                <w:rFonts w:ascii="Trebuchet MS" w:eastAsia="Times New Roman" w:hAnsi="Trebuchet MS" w:cs="Times New Roman"/>
                <w:sz w:val="20"/>
                <w:szCs w:val="20"/>
                <w:lang w:val="pl-PL"/>
              </w:rPr>
              <w:t>odraslih</w:t>
            </w: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Uslovi za uključivanje u program 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navesti posebne uslove ukoliko su neophodni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Minimalni i maksimalni broj učesnika u grupi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Trajanje programa 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navesti broj sati/dana obuke vodeći računa da je maksimalan broj sati 8 po danu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322" w:type="dxa"/>
            <w:gridSpan w:val="3"/>
            <w:shd w:val="clear" w:color="auto" w:fill="CCFFCC"/>
          </w:tcPr>
          <w:p w:rsidR="003938C6" w:rsidRPr="00653EEB" w:rsidRDefault="003938C6" w:rsidP="00653EEB">
            <w:pPr>
              <w:spacing w:before="20" w:after="20" w:line="240" w:lineRule="auto"/>
              <w:jc w:val="center"/>
              <w:rPr>
                <w:rFonts w:ascii="Trebuchet MS" w:eastAsia="Times New Roman" w:hAnsi="Trebuchet MS" w:cs="Tahoma"/>
                <w:color w:val="FF0000"/>
                <w:sz w:val="20"/>
                <w:szCs w:val="20"/>
                <w:lang w:val="en-GB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Materijalno-tehnički uslovi i didaktičko-metodički pristup</w:t>
            </w: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Cyrl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Metode, tehnike i oblici rada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Prostorni uslovi za realizaciju programa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Materijalno-tehnički uslovi za realizaciju programa </w:t>
            </w: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lastRenderedPageBreak/>
              <w:t>(tehnička oprema i nastavna sredstva)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Radni materijali predviđeni za realizaciju programa (radni listovi, prezentacije i slično)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Literatura i drugi izvori koji su korišćeni za izradu programa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Online realizacija programa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u slučaju da se program po potrebi može organizovati i online navesti materijalno-tehničke uslove platformu, broj učesnika, trajanje i dr.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322" w:type="dxa"/>
            <w:gridSpan w:val="3"/>
            <w:shd w:val="clear" w:color="auto" w:fill="CCFFCC"/>
          </w:tcPr>
          <w:p w:rsidR="003938C6" w:rsidRPr="00653EEB" w:rsidRDefault="003938C6" w:rsidP="00653EEB">
            <w:pPr>
              <w:spacing w:before="20" w:after="20" w:line="240" w:lineRule="auto"/>
              <w:jc w:val="center"/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</w:pP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Praćenje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 xml:space="preserve">,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vrednovanje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i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primjenljivost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 xml:space="preserve">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programa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 xml:space="preserve"> u 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nastavi</w:t>
            </w:r>
            <w:proofErr w:type="spellEnd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/</w:t>
            </w:r>
            <w:proofErr w:type="spellStart"/>
            <w:r w:rsidRPr="00653EEB">
              <w:rPr>
                <w:rFonts w:ascii="Trebuchet MS" w:eastAsia="Times New Roman" w:hAnsi="Trebuchet MS" w:cs="Tahoma"/>
                <w:b/>
                <w:sz w:val="20"/>
                <w:szCs w:val="20"/>
                <w:lang w:val="en-GB" w:eastAsia="de-CH"/>
              </w:rPr>
              <w:t>praksi</w:t>
            </w:r>
            <w:proofErr w:type="spellEnd"/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Instrumenti praćenja i vrednovanja realizacije programa  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 xml:space="preserve">: navesti planirane instrumente praćenja i vrednovanja realizacije programa (evaluacioni listovi, upitnici i sl.)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>Način i dinamika provjere ishoda obuke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: navesti načine provjere ishoda (npr. davanje „domaćih zadataka“, projektnog rada i slično, kao i pružanje povratnih</w:t>
            </w:r>
            <w:r w:rsidRPr="00653EEB">
              <w:rPr>
                <w:rFonts w:ascii="Trebuchet MS" w:eastAsia="Times New Roman" w:hAnsi="Trebuchet MS" w:cs="Verdana"/>
                <w:sz w:val="16"/>
                <w:szCs w:val="16"/>
                <w:lang w:val="sr-Latn-CS" w:eastAsia="de-CH"/>
              </w:rPr>
              <w:t xml:space="preserve"> </w:t>
            </w:r>
            <w:r w:rsidRPr="00653EEB">
              <w:rPr>
                <w:rFonts w:ascii="Trebuchet MS" w:eastAsia="Times New Roman" w:hAnsi="Trebuchet MS" w:cs="Verdana"/>
                <w:sz w:val="16"/>
                <w:szCs w:val="16"/>
                <w:lang w:val="en-GB" w:eastAsia="de-CH"/>
              </w:rPr>
              <w:t>in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>formacija učesnicima o uspješnosti)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sr-Latn-CS" w:eastAsia="de-CH"/>
              </w:rPr>
            </w:pPr>
          </w:p>
        </w:tc>
      </w:tr>
      <w:tr w:rsidR="003938C6" w:rsidRPr="00653EEB" w:rsidTr="00653EE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20"/>
                <w:szCs w:val="20"/>
                <w:lang w:val="sr-Latn-CS" w:eastAsia="de-CH"/>
              </w:rPr>
              <w:t xml:space="preserve">Iskustva u realizaciji programa </w:t>
            </w:r>
          </w:p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</w:pPr>
            <w:r w:rsidRPr="00653EEB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val="sr-Latn-CS" w:eastAsia="de-CH"/>
              </w:rPr>
              <w:t>Napomena</w:t>
            </w:r>
            <w:r w:rsidRPr="00653EEB">
              <w:rPr>
                <w:rFonts w:ascii="Trebuchet MS" w:eastAsia="Times New Roman" w:hAnsi="Trebuchet MS" w:cs="Tahoma"/>
                <w:bCs/>
                <w:sz w:val="16"/>
                <w:szCs w:val="16"/>
                <w:lang w:val="sr-Latn-CS" w:eastAsia="de-CH"/>
              </w:rPr>
              <w:t xml:space="preserve">: navesti period, mjesto i druge relevantne podatke vezane za prethodnu realizaciju programa 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3938C6" w:rsidRPr="00653EEB" w:rsidRDefault="003938C6" w:rsidP="00653EEB">
            <w:pPr>
              <w:spacing w:before="20" w:after="20" w:line="240" w:lineRule="auto"/>
              <w:rPr>
                <w:rFonts w:ascii="Trebuchet MS" w:eastAsia="Times New Roman" w:hAnsi="Trebuchet MS" w:cs="Tahoma"/>
                <w:sz w:val="20"/>
                <w:szCs w:val="20"/>
                <w:lang w:val="en-GB" w:eastAsia="de-CH"/>
              </w:rPr>
            </w:pPr>
          </w:p>
        </w:tc>
      </w:tr>
    </w:tbl>
    <w:p w:rsidR="003938C6" w:rsidRPr="003938C6" w:rsidRDefault="003938C6" w:rsidP="003938C6">
      <w:pPr>
        <w:shd w:val="clear" w:color="auto" w:fill="FFFFFF"/>
        <w:spacing w:before="240" w:after="120" w:line="240" w:lineRule="auto"/>
        <w:rPr>
          <w:rFonts w:ascii="Trebuchet MS" w:eastAsia="Times New Roman" w:hAnsi="Trebuchet MS" w:cs="Arial"/>
          <w:b/>
          <w:bCs/>
          <w:iCs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b/>
          <w:bCs/>
          <w:iCs/>
          <w:sz w:val="20"/>
          <w:szCs w:val="20"/>
          <w:lang w:val="sr-Latn-CS" w:eastAsia="de-CH"/>
        </w:rPr>
        <w:t>Uz formular obavezno priložiti:</w:t>
      </w:r>
    </w:p>
    <w:p w:rsidR="003938C6" w:rsidRPr="003938C6" w:rsidRDefault="003938C6" w:rsidP="003938C6">
      <w:pPr>
        <w:numPr>
          <w:ilvl w:val="0"/>
          <w:numId w:val="6"/>
        </w:numPr>
        <w:spacing w:after="80" w:line="240" w:lineRule="atLeast"/>
        <w:rPr>
          <w:rFonts w:ascii="Trebuchet MS" w:eastAsia="Times New Roman" w:hAnsi="Trebuchet MS" w:cs="Arial"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>Kratku radnu biografiju autora i realizatora (uključujući reference autora u vezi sa temom programa i radno iskustvo);</w:t>
      </w:r>
    </w:p>
    <w:p w:rsidR="003938C6" w:rsidRPr="003938C6" w:rsidRDefault="003938C6" w:rsidP="003938C6">
      <w:pPr>
        <w:numPr>
          <w:ilvl w:val="0"/>
          <w:numId w:val="6"/>
        </w:numPr>
        <w:spacing w:after="80" w:line="240" w:lineRule="atLeast"/>
        <w:rPr>
          <w:rFonts w:ascii="Trebuchet MS" w:eastAsia="Times New Roman" w:hAnsi="Trebuchet MS" w:cs="Arial"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>Original preporuku institucije, ustanove, odnosno organizacije koja podržava program i njene reference u odnosu na temu programa;</w:t>
      </w:r>
    </w:p>
    <w:p w:rsidR="003938C6" w:rsidRPr="003938C6" w:rsidRDefault="003938C6" w:rsidP="003938C6">
      <w:pPr>
        <w:numPr>
          <w:ilvl w:val="0"/>
          <w:numId w:val="6"/>
        </w:numPr>
        <w:spacing w:after="80" w:line="240" w:lineRule="atLeast"/>
        <w:rPr>
          <w:rFonts w:ascii="Trebuchet MS" w:eastAsia="Times New Roman" w:hAnsi="Trebuchet MS" w:cs="Arial"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>Rezime programa za Katalog programa stručnog usavršavanja nastavnika;</w:t>
      </w:r>
    </w:p>
    <w:p w:rsidR="003938C6" w:rsidRPr="003938C6" w:rsidRDefault="003938C6" w:rsidP="003938C6">
      <w:pPr>
        <w:numPr>
          <w:ilvl w:val="0"/>
          <w:numId w:val="6"/>
        </w:numPr>
        <w:spacing w:after="80" w:line="240" w:lineRule="atLeast"/>
        <w:rPr>
          <w:rFonts w:ascii="Trebuchet MS" w:eastAsia="Times New Roman" w:hAnsi="Trebuchet MS" w:cs="Arial"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>CD sa popunjenim formularom za prijavljivanje i rezimeom.</w:t>
      </w:r>
    </w:p>
    <w:p w:rsidR="003938C6" w:rsidRPr="003938C6" w:rsidRDefault="003938C6" w:rsidP="003938C6">
      <w:pPr>
        <w:spacing w:after="80" w:line="240" w:lineRule="atLeast"/>
        <w:rPr>
          <w:rFonts w:ascii="Trebuchet MS" w:eastAsia="Times New Roman" w:hAnsi="Trebuchet MS" w:cs="Arial"/>
          <w:b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b/>
          <w:sz w:val="20"/>
          <w:szCs w:val="20"/>
          <w:lang w:val="sr-Latn-CS" w:eastAsia="de-CH"/>
        </w:rPr>
        <w:t>Napomene:</w:t>
      </w:r>
    </w:p>
    <w:p w:rsidR="003938C6" w:rsidRPr="003938C6" w:rsidRDefault="003938C6" w:rsidP="003938C6">
      <w:pPr>
        <w:numPr>
          <w:ilvl w:val="0"/>
          <w:numId w:val="6"/>
        </w:numPr>
        <w:spacing w:after="80" w:line="240" w:lineRule="atLeast"/>
        <w:rPr>
          <w:rFonts w:ascii="Trebuchet MS" w:eastAsia="Times New Roman" w:hAnsi="Trebuchet MS" w:cs="Arial"/>
          <w:sz w:val="20"/>
          <w:szCs w:val="20"/>
          <w:lang w:val="sr-Latn-CS" w:eastAsia="de-CH"/>
        </w:rPr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 xml:space="preserve">Podaci u formularima treba da budu ukucani fontom Trebuchet MS </w:t>
      </w:r>
    </w:p>
    <w:p w:rsidR="00E673CF" w:rsidRDefault="003938C6" w:rsidP="003938C6">
      <w:pPr>
        <w:numPr>
          <w:ilvl w:val="0"/>
          <w:numId w:val="6"/>
        </w:numPr>
        <w:spacing w:after="80" w:line="240" w:lineRule="atLeast"/>
      </w:pPr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 xml:space="preserve">Formulari se mogu preuzeti sa sajta Centra za stručno obrazovanje </w:t>
      </w:r>
      <w:hyperlink r:id="rId7" w:history="1">
        <w:r w:rsidR="005237FC">
          <w:rPr>
            <w:rFonts w:ascii="Trebuchet MS" w:eastAsia="Times New Roman" w:hAnsi="Trebuchet MS" w:cs="Arial"/>
            <w:color w:val="0563C1"/>
            <w:sz w:val="20"/>
            <w:szCs w:val="20"/>
            <w:u w:val="single"/>
            <w:lang w:val="sr-Latn-CS" w:eastAsia="de-CH"/>
          </w:rPr>
          <w:t>www.cso.edu</w:t>
        </w:r>
        <w:bookmarkStart w:id="0" w:name="_GoBack"/>
        <w:bookmarkEnd w:id="0"/>
        <w:r w:rsidRPr="003938C6">
          <w:rPr>
            <w:rFonts w:ascii="Trebuchet MS" w:eastAsia="Times New Roman" w:hAnsi="Trebuchet MS" w:cs="Arial"/>
            <w:color w:val="0563C1"/>
            <w:sz w:val="20"/>
            <w:szCs w:val="20"/>
            <w:u w:val="single"/>
            <w:lang w:val="sr-Latn-CS" w:eastAsia="de-CH"/>
          </w:rPr>
          <w:t>.me</w:t>
        </w:r>
      </w:hyperlink>
      <w:r w:rsidRPr="003938C6">
        <w:rPr>
          <w:rFonts w:ascii="Trebuchet MS" w:eastAsia="Times New Roman" w:hAnsi="Trebuchet MS" w:cs="Arial"/>
          <w:sz w:val="20"/>
          <w:szCs w:val="20"/>
          <w:lang w:val="sr-Latn-CS" w:eastAsia="de-CH"/>
        </w:rPr>
        <w:t xml:space="preserve">  </w:t>
      </w:r>
    </w:p>
    <w:sectPr w:rsidR="00E6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C0" w:rsidRDefault="00F737C0" w:rsidP="003938C6">
      <w:pPr>
        <w:spacing w:after="0" w:line="240" w:lineRule="auto"/>
      </w:pPr>
      <w:r>
        <w:separator/>
      </w:r>
    </w:p>
  </w:endnote>
  <w:endnote w:type="continuationSeparator" w:id="0">
    <w:p w:rsidR="00F737C0" w:rsidRDefault="00F737C0" w:rsidP="0039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C0" w:rsidRDefault="00F737C0" w:rsidP="003938C6">
      <w:pPr>
        <w:spacing w:after="0" w:line="240" w:lineRule="auto"/>
      </w:pPr>
      <w:r>
        <w:separator/>
      </w:r>
    </w:p>
  </w:footnote>
  <w:footnote w:type="continuationSeparator" w:id="0">
    <w:p w:rsidR="00F737C0" w:rsidRDefault="00F737C0" w:rsidP="003938C6">
      <w:pPr>
        <w:spacing w:after="0" w:line="240" w:lineRule="auto"/>
      </w:pPr>
      <w:r>
        <w:continuationSeparator/>
      </w:r>
    </w:p>
  </w:footnote>
  <w:footnote w:id="1">
    <w:p w:rsidR="003938C6" w:rsidRPr="00B169EC" w:rsidRDefault="003938C6" w:rsidP="003938C6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931B93">
        <w:rPr>
          <w:sz w:val="16"/>
          <w:szCs w:val="16"/>
          <w:lang w:val="sr-Latn-ME"/>
        </w:rPr>
        <w:t xml:space="preserve">Ključne kompetencije su definisane od strane Evropskog parlamenta i Savjeta Evrope. Objavljene su u dokumentu „Official Journal of the European Union“ </w:t>
      </w:r>
      <w:r>
        <w:rPr>
          <w:sz w:val="16"/>
          <w:szCs w:val="16"/>
          <w:lang w:val="sr-Latn-ME"/>
        </w:rPr>
        <w:t>4</w:t>
      </w:r>
      <w:r w:rsidRPr="00F74C28">
        <w:rPr>
          <w:sz w:val="16"/>
          <w:szCs w:val="16"/>
          <w:lang w:val="sr-Latn-ME"/>
        </w:rPr>
        <w:t xml:space="preserve"> </w:t>
      </w:r>
      <w:r w:rsidRPr="00222621">
        <w:rPr>
          <w:sz w:val="16"/>
          <w:szCs w:val="16"/>
          <w:lang w:val="sr-Latn-ME"/>
        </w:rPr>
        <w:t>od 22. maja 2018. ("Službeni list Evropske unije" br. 2018/C 189/01</w:t>
      </w:r>
      <w:r>
        <w:rPr>
          <w:sz w:val="16"/>
          <w:szCs w:val="16"/>
          <w:lang w:val="sr-Latn-ME"/>
        </w:rPr>
        <w:t>)</w:t>
      </w:r>
    </w:p>
  </w:footnote>
  <w:footnote w:id="2">
    <w:p w:rsidR="003938C6" w:rsidRPr="00B169EC" w:rsidRDefault="003938C6" w:rsidP="003938C6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A40625">
        <w:rPr>
          <w:lang w:val="sr-Latn-ME"/>
        </w:rPr>
        <w:t xml:space="preserve"> </w:t>
      </w:r>
      <w:r w:rsidRPr="00F10204">
        <w:rPr>
          <w:sz w:val="16"/>
          <w:szCs w:val="16"/>
          <w:lang w:val="sr-Latn-ME"/>
        </w:rPr>
        <w:t>Globalno obrazova</w:t>
      </w:r>
      <w:r>
        <w:rPr>
          <w:sz w:val="16"/>
          <w:szCs w:val="16"/>
          <w:lang w:val="sr-Latn-ME"/>
        </w:rPr>
        <w:t xml:space="preserve">nje je definisano </w:t>
      </w:r>
      <w:r w:rsidRPr="00F10204">
        <w:rPr>
          <w:sz w:val="16"/>
          <w:szCs w:val="16"/>
          <w:lang w:val="sr-Latn-ME"/>
        </w:rPr>
        <w:t xml:space="preserve">strateškim okvirom za unapređenje i jačanje globalnog obrazovaja u Evropi - Deklaracija o globalnom obrazovanju iz Mastrihta </w:t>
      </w:r>
      <w:r>
        <w:rPr>
          <w:sz w:val="16"/>
          <w:szCs w:val="16"/>
          <w:lang w:val="sr-Latn-ME"/>
        </w:rPr>
        <w:t>i Povelja o globalnom obrazovanju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A75"/>
    <w:multiLevelType w:val="hybridMultilevel"/>
    <w:tmpl w:val="5ADE8D6A"/>
    <w:lvl w:ilvl="0" w:tplc="53A44B2A">
      <w:numFmt w:val="bullet"/>
      <w:lvlText w:val="-"/>
      <w:lvlJc w:val="left"/>
      <w:pPr>
        <w:ind w:left="720" w:hanging="360"/>
      </w:pPr>
      <w:rPr>
        <w:rFonts w:ascii="Garamond" w:eastAsia="Batang" w:hAnsi="Garamond" w:cs="Times New Roman" w:hint="default"/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133"/>
    <w:multiLevelType w:val="hybridMultilevel"/>
    <w:tmpl w:val="4E30E070"/>
    <w:lvl w:ilvl="0" w:tplc="A28E9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7C60"/>
    <w:multiLevelType w:val="hybridMultilevel"/>
    <w:tmpl w:val="4E30E070"/>
    <w:lvl w:ilvl="0" w:tplc="A28E9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FCE"/>
    <w:multiLevelType w:val="hybridMultilevel"/>
    <w:tmpl w:val="4E30E070"/>
    <w:lvl w:ilvl="0" w:tplc="A28E9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C0103"/>
    <w:multiLevelType w:val="hybridMultilevel"/>
    <w:tmpl w:val="A91AFEC2"/>
    <w:lvl w:ilvl="0" w:tplc="0818BAA6">
      <w:start w:val="1"/>
      <w:numFmt w:val="bullet"/>
      <w:lvlText w:val="o"/>
      <w:lvlJc w:val="left"/>
      <w:pPr>
        <w:ind w:left="785" w:hanging="360"/>
      </w:pPr>
      <w:rPr>
        <w:rFonts w:ascii="Verdana" w:hAnsi="Verdana" w:cs="Courier New" w:hint="default"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FAF42C6"/>
    <w:multiLevelType w:val="hybridMultilevel"/>
    <w:tmpl w:val="B8AEA284"/>
    <w:lvl w:ilvl="0" w:tplc="53A44B2A">
      <w:numFmt w:val="bullet"/>
      <w:lvlText w:val="-"/>
      <w:lvlJc w:val="left"/>
      <w:pPr>
        <w:ind w:left="720" w:hanging="360"/>
      </w:pPr>
      <w:rPr>
        <w:rFonts w:ascii="Garamond" w:eastAsia="Batang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C6"/>
    <w:rsid w:val="000B4285"/>
    <w:rsid w:val="001A0D9D"/>
    <w:rsid w:val="00245656"/>
    <w:rsid w:val="00280223"/>
    <w:rsid w:val="002E5FE9"/>
    <w:rsid w:val="003074DA"/>
    <w:rsid w:val="003243E3"/>
    <w:rsid w:val="003938C6"/>
    <w:rsid w:val="005237FC"/>
    <w:rsid w:val="00653EEB"/>
    <w:rsid w:val="008078FB"/>
    <w:rsid w:val="00886AEF"/>
    <w:rsid w:val="00AA288C"/>
    <w:rsid w:val="00AF6E54"/>
    <w:rsid w:val="00B36BBB"/>
    <w:rsid w:val="00D12070"/>
    <w:rsid w:val="00D22380"/>
    <w:rsid w:val="00D36166"/>
    <w:rsid w:val="00DC258A"/>
    <w:rsid w:val="00E673CF"/>
    <w:rsid w:val="00EC0721"/>
    <w:rsid w:val="00F1525E"/>
    <w:rsid w:val="00F737C0"/>
    <w:rsid w:val="00FA1FCF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5B9F"/>
  <w15:chartTrackingRefBased/>
  <w15:docId w15:val="{B344E251-A441-4CAB-9717-EB75FAC0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938C6"/>
    <w:pPr>
      <w:spacing w:after="80" w:line="240" w:lineRule="atLeast"/>
    </w:pPr>
    <w:rPr>
      <w:rFonts w:ascii="Verdana" w:eastAsia="Times New Roman" w:hAnsi="Verdana" w:cs="Verdana"/>
      <w:sz w:val="20"/>
      <w:szCs w:val="20"/>
      <w:lang w:val="en-GB" w:eastAsia="de-CH"/>
    </w:rPr>
  </w:style>
  <w:style w:type="character" w:customStyle="1" w:styleId="FootnoteTextChar">
    <w:name w:val="Footnote Text Char"/>
    <w:basedOn w:val="DefaultParagraphFont"/>
    <w:link w:val="FootnoteText"/>
    <w:rsid w:val="003938C6"/>
    <w:rPr>
      <w:rFonts w:ascii="Verdana" w:eastAsia="Times New Roman" w:hAnsi="Verdana" w:cs="Verdana"/>
      <w:sz w:val="20"/>
      <w:szCs w:val="20"/>
      <w:lang w:val="en-GB" w:eastAsia="de-CH"/>
    </w:rPr>
  </w:style>
  <w:style w:type="character" w:styleId="FootnoteReference">
    <w:name w:val="footnote reference"/>
    <w:rsid w:val="00393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o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Aleksandra Lalevic</cp:lastModifiedBy>
  <cp:revision>4</cp:revision>
  <dcterms:created xsi:type="dcterms:W3CDTF">2023-02-28T08:59:00Z</dcterms:created>
  <dcterms:modified xsi:type="dcterms:W3CDTF">2023-02-28T09:23:00Z</dcterms:modified>
</cp:coreProperties>
</file>