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A96" w:rsidRPr="00857899" w:rsidRDefault="00E97A96" w:rsidP="004E4F3B">
      <w:pPr>
        <w:pStyle w:val="Title"/>
        <w:spacing w:after="240" w:line="276" w:lineRule="auto"/>
        <w:contextualSpacing w:val="0"/>
        <w:jc w:val="center"/>
        <w:rPr>
          <w:rFonts w:ascii="Cambria" w:hAnsi="Cambria"/>
          <w:b/>
          <w:caps/>
          <w:color w:val="FFA414" w:themeColor="text2" w:themeTint="80"/>
          <w:spacing w:val="10"/>
          <w:sz w:val="24"/>
          <w:szCs w:val="24"/>
        </w:rPr>
      </w:pPr>
      <w:bookmarkStart w:id="0" w:name="_GoBack"/>
      <w:bookmarkEnd w:id="0"/>
      <w:r w:rsidRPr="00857899">
        <w:rPr>
          <w:rFonts w:ascii="Cambria" w:hAnsi="Cambria"/>
          <w:b/>
          <w:caps/>
          <w:color w:val="FFA414" w:themeColor="text2" w:themeTint="80"/>
          <w:spacing w:val="10"/>
          <w:sz w:val="24"/>
          <w:szCs w:val="24"/>
        </w:rPr>
        <w:t xml:space="preserve">Report on the Central Government Debt as of </w:t>
      </w:r>
      <w:r w:rsidR="00FB3F00" w:rsidRPr="00857899">
        <w:rPr>
          <w:rFonts w:ascii="Cambria" w:hAnsi="Cambria"/>
          <w:b/>
          <w:caps/>
          <w:color w:val="FFA414" w:themeColor="text2" w:themeTint="80"/>
          <w:spacing w:val="10"/>
          <w:sz w:val="24"/>
          <w:szCs w:val="24"/>
        </w:rPr>
        <w:t>3</w:t>
      </w:r>
      <w:r w:rsidR="00566986" w:rsidRPr="00857899">
        <w:rPr>
          <w:rFonts w:ascii="Cambria" w:hAnsi="Cambria"/>
          <w:b/>
          <w:caps/>
          <w:color w:val="FFA414" w:themeColor="text2" w:themeTint="80"/>
          <w:spacing w:val="10"/>
          <w:sz w:val="24"/>
          <w:szCs w:val="24"/>
        </w:rPr>
        <w:t>1</w:t>
      </w:r>
      <w:r w:rsidRPr="00857899">
        <w:rPr>
          <w:rFonts w:ascii="Cambria" w:hAnsi="Cambria"/>
          <w:b/>
          <w:caps/>
          <w:color w:val="FFA414" w:themeColor="text2" w:themeTint="80"/>
          <w:spacing w:val="10"/>
          <w:sz w:val="24"/>
          <w:szCs w:val="24"/>
        </w:rPr>
        <w:t xml:space="preserve"> </w:t>
      </w:r>
      <w:r w:rsidR="00857899" w:rsidRPr="00857899">
        <w:rPr>
          <w:rFonts w:ascii="Cambria" w:hAnsi="Cambria"/>
          <w:b/>
          <w:caps/>
          <w:color w:val="FFA414" w:themeColor="text2" w:themeTint="80"/>
          <w:spacing w:val="10"/>
          <w:sz w:val="24"/>
          <w:szCs w:val="24"/>
        </w:rPr>
        <w:t>MARCH</w:t>
      </w:r>
      <w:r w:rsidR="003C62A6" w:rsidRPr="00857899">
        <w:rPr>
          <w:rFonts w:ascii="Cambria" w:hAnsi="Cambria"/>
          <w:b/>
          <w:caps/>
          <w:color w:val="FFA414" w:themeColor="text2" w:themeTint="80"/>
          <w:spacing w:val="10"/>
          <w:sz w:val="24"/>
          <w:szCs w:val="24"/>
        </w:rPr>
        <w:t xml:space="preserve"> </w:t>
      </w:r>
      <w:r w:rsidR="00793563" w:rsidRPr="00857899">
        <w:rPr>
          <w:rFonts w:ascii="Cambria" w:hAnsi="Cambria"/>
          <w:b/>
          <w:caps/>
          <w:color w:val="FFA414" w:themeColor="text2" w:themeTint="80"/>
          <w:spacing w:val="10"/>
          <w:sz w:val="24"/>
          <w:szCs w:val="24"/>
        </w:rPr>
        <w:t>202</w:t>
      </w:r>
      <w:r w:rsidR="00793563">
        <w:rPr>
          <w:rFonts w:ascii="Cambria" w:hAnsi="Cambria"/>
          <w:b/>
          <w:caps/>
          <w:color w:val="FFA414" w:themeColor="text2" w:themeTint="80"/>
          <w:spacing w:val="10"/>
          <w:sz w:val="24"/>
          <w:szCs w:val="24"/>
        </w:rPr>
        <w:t>1</w:t>
      </w:r>
    </w:p>
    <w:p w:rsidR="00CA3650" w:rsidRPr="00CA3650" w:rsidRDefault="00CA3650" w:rsidP="00CA3650">
      <w:pPr>
        <w:spacing w:after="160" w:line="259" w:lineRule="auto"/>
        <w:jc w:val="both"/>
        <w:rPr>
          <w:rFonts w:ascii="Cambria" w:eastAsia="Calibri" w:hAnsi="Cambria" w:cs="Times New Roman"/>
          <w:b/>
          <w:color w:val="1F4E79"/>
          <w:sz w:val="22"/>
          <w:szCs w:val="22"/>
        </w:rPr>
      </w:pPr>
      <w:r w:rsidRPr="00CA3650">
        <w:rPr>
          <w:rFonts w:ascii="Cambria" w:eastAsia="Calibri" w:hAnsi="Cambria" w:cs="Times New Roman"/>
          <w:sz w:val="22"/>
          <w:szCs w:val="22"/>
        </w:rPr>
        <w:t xml:space="preserve">Total Central Government debt (deposits not included) as of </w:t>
      </w:r>
      <w:r w:rsidR="00FB3F00">
        <w:rPr>
          <w:rFonts w:ascii="Cambria" w:eastAsia="Calibri" w:hAnsi="Cambria" w:cs="Times New Roman"/>
          <w:sz w:val="22"/>
          <w:szCs w:val="22"/>
        </w:rPr>
        <w:t>3</w:t>
      </w:r>
      <w:r w:rsidR="00566986">
        <w:rPr>
          <w:rFonts w:ascii="Cambria" w:eastAsia="Calibri" w:hAnsi="Cambria" w:cs="Times New Roman"/>
          <w:sz w:val="22"/>
          <w:szCs w:val="22"/>
        </w:rPr>
        <w:t>1</w:t>
      </w:r>
      <w:r w:rsidRPr="00CA3650">
        <w:rPr>
          <w:rFonts w:ascii="Cambria" w:eastAsia="Calibri" w:hAnsi="Cambria" w:cs="Times New Roman"/>
          <w:sz w:val="22"/>
          <w:szCs w:val="22"/>
        </w:rPr>
        <w:t xml:space="preserve"> </w:t>
      </w:r>
      <w:r w:rsidR="00857899">
        <w:rPr>
          <w:rFonts w:ascii="Cambria" w:eastAsia="Calibri" w:hAnsi="Cambria" w:cs="Times New Roman"/>
          <w:sz w:val="22"/>
          <w:szCs w:val="22"/>
        </w:rPr>
        <w:t>March</w:t>
      </w:r>
      <w:r w:rsidRPr="00131C70">
        <w:rPr>
          <w:rFonts w:ascii="Cambria" w:eastAsia="Calibri" w:hAnsi="Cambria" w:cs="Times New Roman"/>
          <w:sz w:val="22"/>
          <w:szCs w:val="22"/>
        </w:rPr>
        <w:t xml:space="preserve"> </w:t>
      </w:r>
      <w:r w:rsidRPr="00CA3650">
        <w:rPr>
          <w:rFonts w:ascii="Cambria" w:eastAsia="Calibri" w:hAnsi="Cambria" w:cs="Times New Roman"/>
          <w:sz w:val="22"/>
          <w:szCs w:val="22"/>
        </w:rPr>
        <w:t>20</w:t>
      </w:r>
      <w:r w:rsidR="00B67539">
        <w:rPr>
          <w:rFonts w:ascii="Cambria" w:eastAsia="Calibri" w:hAnsi="Cambria" w:cs="Times New Roman"/>
          <w:sz w:val="22"/>
          <w:szCs w:val="22"/>
        </w:rPr>
        <w:t>2</w:t>
      </w:r>
      <w:r w:rsidR="00857899">
        <w:rPr>
          <w:rFonts w:ascii="Cambria" w:eastAsia="Calibri" w:hAnsi="Cambria" w:cs="Times New Roman"/>
          <w:sz w:val="22"/>
          <w:szCs w:val="22"/>
        </w:rPr>
        <w:t>1</w:t>
      </w:r>
      <w:r w:rsidR="00B67539">
        <w:rPr>
          <w:rFonts w:ascii="Cambria" w:eastAsia="Calibri" w:hAnsi="Cambria" w:cs="Times New Roman"/>
          <w:sz w:val="22"/>
          <w:szCs w:val="22"/>
        </w:rPr>
        <w:t xml:space="preserve">, was </w:t>
      </w:r>
      <w:r w:rsidR="00566986">
        <w:rPr>
          <w:rFonts w:ascii="Cambria" w:eastAsia="Calibri" w:hAnsi="Cambria" w:cs="Times New Roman"/>
          <w:sz w:val="22"/>
          <w:szCs w:val="22"/>
        </w:rPr>
        <w:t>4,</w:t>
      </w:r>
      <w:r w:rsidR="00857899">
        <w:rPr>
          <w:rFonts w:ascii="Cambria" w:eastAsia="Calibri" w:hAnsi="Cambria" w:cs="Times New Roman"/>
          <w:sz w:val="22"/>
          <w:szCs w:val="22"/>
        </w:rPr>
        <w:t>097.44</w:t>
      </w:r>
      <w:r w:rsidRPr="00CA3650">
        <w:rPr>
          <w:rFonts w:ascii="Cambria" w:eastAsia="Calibri" w:hAnsi="Cambria" w:cs="Times New Roman"/>
          <w:sz w:val="22"/>
          <w:szCs w:val="22"/>
        </w:rPr>
        <w:t xml:space="preserve"> million </w:t>
      </w:r>
      <w:r w:rsidR="00445AA2">
        <w:rPr>
          <w:rFonts w:ascii="Cambria" w:eastAsia="Calibri" w:hAnsi="Cambria" w:cs="Times New Roman"/>
          <w:sz w:val="22"/>
          <w:szCs w:val="22"/>
        </w:rPr>
        <w:t xml:space="preserve">EUR </w:t>
      </w:r>
      <w:r w:rsidRPr="00CA3650">
        <w:rPr>
          <w:rFonts w:ascii="Cambria" w:eastAsia="Calibri" w:hAnsi="Cambria" w:cs="Times New Roman"/>
          <w:sz w:val="22"/>
          <w:szCs w:val="22"/>
        </w:rPr>
        <w:t xml:space="preserve">or </w:t>
      </w:r>
      <w:r w:rsidR="00857899">
        <w:rPr>
          <w:rFonts w:ascii="Cambria" w:eastAsia="Calibri" w:hAnsi="Cambria" w:cs="Times New Roman"/>
          <w:sz w:val="22"/>
          <w:szCs w:val="22"/>
        </w:rPr>
        <w:t>88.37</w:t>
      </w:r>
      <w:r w:rsidRPr="00CA3650">
        <w:rPr>
          <w:rFonts w:ascii="Cambria" w:eastAsia="Calibri" w:hAnsi="Cambria" w:cs="Times New Roman"/>
          <w:sz w:val="22"/>
          <w:szCs w:val="22"/>
        </w:rPr>
        <w:t>% of GDP</w:t>
      </w:r>
      <w:r w:rsidRPr="00131C70">
        <w:rPr>
          <w:rFonts w:ascii="Cambria" w:eastAsia="Calibri" w:hAnsi="Cambria" w:cs="Times New Roman"/>
          <w:sz w:val="22"/>
          <w:szCs w:val="22"/>
          <w:vertAlign w:val="superscript"/>
        </w:rPr>
        <w:footnoteReference w:id="1"/>
      </w:r>
      <w:r w:rsidRPr="00CA3650">
        <w:rPr>
          <w:rFonts w:ascii="Cambria" w:eastAsia="Calibri" w:hAnsi="Cambria" w:cs="Times New Roman"/>
          <w:sz w:val="22"/>
          <w:szCs w:val="22"/>
        </w:rPr>
        <w:t>. Total Central Government Debt, including deposits, as of 3</w:t>
      </w:r>
      <w:r w:rsidR="00566986">
        <w:rPr>
          <w:rFonts w:ascii="Cambria" w:eastAsia="Calibri" w:hAnsi="Cambria" w:cs="Times New Roman"/>
          <w:sz w:val="22"/>
          <w:szCs w:val="22"/>
        </w:rPr>
        <w:t>1</w:t>
      </w:r>
      <w:r w:rsidRPr="00CA3650">
        <w:rPr>
          <w:rFonts w:ascii="Cambria" w:eastAsia="Calibri" w:hAnsi="Cambria" w:cs="Times New Roman"/>
          <w:sz w:val="22"/>
          <w:szCs w:val="22"/>
        </w:rPr>
        <w:t xml:space="preserve"> </w:t>
      </w:r>
      <w:r w:rsidR="00857899">
        <w:rPr>
          <w:rFonts w:ascii="Cambria" w:eastAsia="Calibri" w:hAnsi="Cambria" w:cs="Times New Roman"/>
          <w:sz w:val="22"/>
          <w:szCs w:val="22"/>
        </w:rPr>
        <w:t>March</w:t>
      </w:r>
      <w:r w:rsidR="00A655BA">
        <w:rPr>
          <w:rFonts w:ascii="Cambria" w:eastAsia="Calibri" w:hAnsi="Cambria" w:cs="Times New Roman"/>
          <w:sz w:val="22"/>
          <w:szCs w:val="22"/>
        </w:rPr>
        <w:t xml:space="preserve"> </w:t>
      </w:r>
      <w:r w:rsidRPr="00CA3650">
        <w:rPr>
          <w:rFonts w:ascii="Cambria" w:eastAsia="Calibri" w:hAnsi="Cambria" w:cs="Times New Roman"/>
          <w:sz w:val="22"/>
          <w:szCs w:val="22"/>
        </w:rPr>
        <w:t>20</w:t>
      </w:r>
      <w:r w:rsidR="00B67539">
        <w:rPr>
          <w:rFonts w:ascii="Cambria" w:eastAsia="Calibri" w:hAnsi="Cambria" w:cs="Times New Roman"/>
          <w:sz w:val="22"/>
          <w:szCs w:val="22"/>
        </w:rPr>
        <w:t>2</w:t>
      </w:r>
      <w:r w:rsidR="00857899">
        <w:rPr>
          <w:rFonts w:ascii="Cambria" w:eastAsia="Calibri" w:hAnsi="Cambria" w:cs="Times New Roman"/>
          <w:sz w:val="22"/>
          <w:szCs w:val="22"/>
        </w:rPr>
        <w:t>1</w:t>
      </w:r>
      <w:r w:rsidRPr="00CA3650">
        <w:rPr>
          <w:rFonts w:ascii="Cambria" w:eastAsia="Calibri" w:hAnsi="Cambria" w:cs="Times New Roman"/>
          <w:sz w:val="22"/>
          <w:szCs w:val="22"/>
        </w:rPr>
        <w:t xml:space="preserve"> was </w:t>
      </w:r>
      <w:r w:rsidR="00566986">
        <w:rPr>
          <w:rFonts w:ascii="Cambria" w:eastAsia="Calibri" w:hAnsi="Cambria" w:cs="Times New Roman"/>
          <w:sz w:val="22"/>
          <w:szCs w:val="22"/>
        </w:rPr>
        <w:t>3,</w:t>
      </w:r>
      <w:r w:rsidR="00857899">
        <w:rPr>
          <w:rFonts w:ascii="Cambria" w:eastAsia="Calibri" w:hAnsi="Cambria" w:cs="Times New Roman"/>
          <w:sz w:val="22"/>
          <w:szCs w:val="22"/>
        </w:rPr>
        <w:t>570.18</w:t>
      </w:r>
      <w:r w:rsidR="00445AA2">
        <w:rPr>
          <w:rFonts w:ascii="Cambria" w:eastAsia="Calibri" w:hAnsi="Cambria" w:cs="Times New Roman"/>
          <w:sz w:val="22"/>
          <w:szCs w:val="22"/>
        </w:rPr>
        <w:t xml:space="preserve"> million EUR</w:t>
      </w:r>
      <w:r w:rsidR="00445AA2" w:rsidRPr="00CA3650">
        <w:rPr>
          <w:rFonts w:ascii="Cambria" w:eastAsia="Calibri" w:hAnsi="Cambria" w:cs="Times New Roman"/>
          <w:sz w:val="22"/>
          <w:szCs w:val="22"/>
        </w:rPr>
        <w:t xml:space="preserve"> </w:t>
      </w:r>
      <w:r w:rsidRPr="00CA3650">
        <w:rPr>
          <w:rFonts w:ascii="Cambria" w:eastAsia="Calibri" w:hAnsi="Cambria" w:cs="Times New Roman"/>
          <w:sz w:val="22"/>
          <w:szCs w:val="22"/>
        </w:rPr>
        <w:t xml:space="preserve">or </w:t>
      </w:r>
      <w:r w:rsidR="00857899">
        <w:rPr>
          <w:rFonts w:ascii="Cambria" w:eastAsia="Calibri" w:hAnsi="Cambria" w:cs="Times New Roman"/>
          <w:sz w:val="22"/>
          <w:szCs w:val="22"/>
        </w:rPr>
        <w:t>77</w:t>
      </w:r>
      <w:r w:rsidRPr="00CA3650">
        <w:rPr>
          <w:rFonts w:ascii="Cambria" w:eastAsia="Calibri" w:hAnsi="Cambria" w:cs="Times New Roman"/>
          <w:sz w:val="22"/>
          <w:szCs w:val="22"/>
        </w:rPr>
        <w:t xml:space="preserve"> % of GDP</w:t>
      </w:r>
      <w:r w:rsidR="001A1E46">
        <w:rPr>
          <w:rFonts w:ascii="Cambria" w:eastAsia="Calibri" w:hAnsi="Cambria" w:cs="Times New Roman"/>
          <w:sz w:val="22"/>
          <w:szCs w:val="22"/>
        </w:rPr>
        <w:t>.</w:t>
      </w:r>
    </w:p>
    <w:p w:rsidR="002378AD" w:rsidRDefault="00445AA2" w:rsidP="002378AD">
      <w:pPr>
        <w:spacing w:after="0" w:line="259" w:lineRule="auto"/>
        <w:jc w:val="both"/>
        <w:rPr>
          <w:rFonts w:ascii="Cambria" w:eastAsia="Calibri" w:hAnsi="Cambria" w:cs="Times New Roman"/>
          <w:sz w:val="22"/>
          <w:szCs w:val="22"/>
        </w:rPr>
      </w:pPr>
      <w:r>
        <w:rPr>
          <w:rFonts w:ascii="Cambria" w:eastAsia="Calibri" w:hAnsi="Cambria" w:cs="Times New Roman"/>
          <w:sz w:val="22"/>
          <w:szCs w:val="22"/>
        </w:rPr>
        <w:t xml:space="preserve">The foreign debt was </w:t>
      </w:r>
      <w:r w:rsidR="00FB3F00">
        <w:rPr>
          <w:rFonts w:ascii="Cambria" w:eastAsia="Calibri" w:hAnsi="Cambria" w:cs="Times New Roman"/>
          <w:sz w:val="22"/>
          <w:szCs w:val="22"/>
        </w:rPr>
        <w:t>3,</w:t>
      </w:r>
      <w:r w:rsidR="00857899">
        <w:rPr>
          <w:rFonts w:ascii="Cambria" w:eastAsia="Calibri" w:hAnsi="Cambria" w:cs="Times New Roman"/>
          <w:sz w:val="22"/>
          <w:szCs w:val="22"/>
        </w:rPr>
        <w:t>642.68</w:t>
      </w:r>
      <w:r w:rsidR="00CA3650" w:rsidRPr="00CA3650">
        <w:rPr>
          <w:rFonts w:ascii="Cambria" w:eastAsia="Calibri" w:hAnsi="Cambria" w:cs="Times New Roman"/>
          <w:sz w:val="22"/>
          <w:szCs w:val="22"/>
        </w:rPr>
        <w:t xml:space="preserve"> million</w:t>
      </w:r>
      <w:r>
        <w:rPr>
          <w:rFonts w:ascii="Cambria" w:eastAsia="Calibri" w:hAnsi="Cambria" w:cs="Times New Roman"/>
          <w:sz w:val="22"/>
          <w:szCs w:val="22"/>
        </w:rPr>
        <w:t xml:space="preserve"> EUR</w:t>
      </w:r>
      <w:r w:rsidR="00606CC6" w:rsidRPr="00131C70">
        <w:rPr>
          <w:rFonts w:ascii="Cambria" w:eastAsia="Calibri" w:hAnsi="Cambria" w:cs="Times New Roman"/>
          <w:sz w:val="22"/>
          <w:szCs w:val="22"/>
        </w:rPr>
        <w:t xml:space="preserve"> or </w:t>
      </w:r>
      <w:r w:rsidR="00857899">
        <w:rPr>
          <w:rFonts w:ascii="Cambria" w:eastAsia="Calibri" w:hAnsi="Cambria" w:cs="Times New Roman"/>
          <w:sz w:val="22"/>
          <w:szCs w:val="22"/>
        </w:rPr>
        <w:t>78.56</w:t>
      </w:r>
      <w:r w:rsidR="00606CC6" w:rsidRPr="00131C70">
        <w:rPr>
          <w:rFonts w:ascii="Cambria" w:eastAsia="Calibri" w:hAnsi="Cambria" w:cs="Times New Roman"/>
          <w:sz w:val="22"/>
          <w:szCs w:val="22"/>
        </w:rPr>
        <w:t>% of GDP</w:t>
      </w:r>
      <w:r w:rsidR="002A1F0A">
        <w:rPr>
          <w:rFonts w:ascii="Cambria" w:eastAsia="Calibri" w:hAnsi="Cambria" w:cs="Times New Roman"/>
          <w:sz w:val="22"/>
          <w:szCs w:val="22"/>
        </w:rPr>
        <w:t>, while the domestic debt was</w:t>
      </w:r>
      <w:r>
        <w:rPr>
          <w:rFonts w:ascii="Cambria" w:eastAsia="Calibri" w:hAnsi="Cambria" w:cs="Times New Roman"/>
          <w:noProof/>
          <w:sz w:val="22"/>
          <w:szCs w:val="22"/>
          <w:lang w:eastAsia="en-GB"/>
        </w:rPr>
        <w:t xml:space="preserve"> </w:t>
      </w:r>
      <w:r w:rsidR="00857899">
        <w:rPr>
          <w:rFonts w:ascii="Cambria" w:eastAsia="Calibri" w:hAnsi="Cambria" w:cs="Times New Roman"/>
          <w:sz w:val="22"/>
          <w:szCs w:val="22"/>
        </w:rPr>
        <w:t>454.76</w:t>
      </w:r>
      <w:r w:rsidR="00CA3650" w:rsidRPr="00CA3650">
        <w:rPr>
          <w:rFonts w:ascii="Cambria" w:eastAsia="Calibri" w:hAnsi="Cambria" w:cs="Times New Roman"/>
          <w:sz w:val="22"/>
          <w:szCs w:val="22"/>
        </w:rPr>
        <w:t xml:space="preserve"> million</w:t>
      </w:r>
      <w:r w:rsidR="00606CC6" w:rsidRPr="00131C70">
        <w:rPr>
          <w:rFonts w:ascii="Cambria" w:eastAsia="Calibri" w:hAnsi="Cambria" w:cs="Times New Roman"/>
          <w:sz w:val="22"/>
          <w:szCs w:val="22"/>
        </w:rPr>
        <w:t xml:space="preserve"> </w:t>
      </w:r>
      <w:r>
        <w:rPr>
          <w:rFonts w:ascii="Cambria" w:eastAsia="Calibri" w:hAnsi="Cambria" w:cs="Times New Roman"/>
          <w:sz w:val="22"/>
          <w:szCs w:val="22"/>
        </w:rPr>
        <w:t>EUR</w:t>
      </w:r>
      <w:r w:rsidRPr="00131C70">
        <w:rPr>
          <w:rFonts w:ascii="Cambria" w:eastAsia="Calibri" w:hAnsi="Cambria" w:cs="Times New Roman"/>
          <w:sz w:val="22"/>
          <w:szCs w:val="22"/>
        </w:rPr>
        <w:t xml:space="preserve"> </w:t>
      </w:r>
      <w:r w:rsidR="00606CC6" w:rsidRPr="00131C70">
        <w:rPr>
          <w:rFonts w:ascii="Cambria" w:eastAsia="Calibri" w:hAnsi="Cambria" w:cs="Times New Roman"/>
          <w:sz w:val="22"/>
          <w:szCs w:val="22"/>
        </w:rPr>
        <w:t xml:space="preserve">or </w:t>
      </w:r>
      <w:r w:rsidR="00857899">
        <w:rPr>
          <w:rFonts w:ascii="Cambria" w:eastAsia="Calibri" w:hAnsi="Cambria" w:cs="Times New Roman"/>
          <w:sz w:val="22"/>
          <w:szCs w:val="22"/>
        </w:rPr>
        <w:t>9.81</w:t>
      </w:r>
      <w:r w:rsidR="00606CC6" w:rsidRPr="00131C70">
        <w:rPr>
          <w:rFonts w:ascii="Cambria" w:eastAsia="Calibri" w:hAnsi="Cambria" w:cs="Times New Roman"/>
          <w:sz w:val="22"/>
          <w:szCs w:val="22"/>
        </w:rPr>
        <w:t>% of GDP</w:t>
      </w:r>
      <w:r w:rsidR="00CA3650" w:rsidRPr="00CA3650">
        <w:rPr>
          <w:rFonts w:ascii="Cambria" w:eastAsia="Calibri" w:hAnsi="Cambria" w:cs="Times New Roman"/>
          <w:sz w:val="22"/>
          <w:szCs w:val="22"/>
        </w:rPr>
        <w:t xml:space="preserve">. At the </w:t>
      </w:r>
      <w:r w:rsidR="00857899">
        <w:rPr>
          <w:rFonts w:ascii="Cambria" w:eastAsia="Calibri" w:hAnsi="Cambria" w:cs="Times New Roman"/>
          <w:sz w:val="22"/>
          <w:szCs w:val="22"/>
        </w:rPr>
        <w:t>31 March</w:t>
      </w:r>
      <w:r w:rsidR="00CA3650" w:rsidRPr="00CA3650">
        <w:rPr>
          <w:rFonts w:ascii="Cambria" w:eastAsia="Calibri" w:hAnsi="Cambria" w:cs="Times New Roman"/>
          <w:sz w:val="22"/>
          <w:szCs w:val="22"/>
        </w:rPr>
        <w:t xml:space="preserve"> </w:t>
      </w:r>
      <w:r w:rsidR="00E12EC1" w:rsidRPr="00131C70">
        <w:rPr>
          <w:rFonts w:ascii="Cambria" w:eastAsia="Calibri" w:hAnsi="Cambria" w:cs="Times New Roman"/>
          <w:sz w:val="22"/>
          <w:szCs w:val="22"/>
        </w:rPr>
        <w:t>20</w:t>
      </w:r>
      <w:r w:rsidR="0068647F">
        <w:rPr>
          <w:rFonts w:ascii="Cambria" w:eastAsia="Calibri" w:hAnsi="Cambria" w:cs="Times New Roman"/>
          <w:sz w:val="22"/>
          <w:szCs w:val="22"/>
        </w:rPr>
        <w:t>2</w:t>
      </w:r>
      <w:r w:rsidR="00857899">
        <w:rPr>
          <w:rFonts w:ascii="Cambria" w:eastAsia="Calibri" w:hAnsi="Cambria" w:cs="Times New Roman"/>
          <w:sz w:val="22"/>
          <w:szCs w:val="22"/>
        </w:rPr>
        <w:t>1</w:t>
      </w:r>
      <w:r w:rsidR="00FC7558">
        <w:rPr>
          <w:rFonts w:ascii="Cambria" w:eastAsia="Calibri" w:hAnsi="Cambria" w:cs="Times New Roman"/>
          <w:sz w:val="22"/>
          <w:szCs w:val="22"/>
        </w:rPr>
        <w:t xml:space="preserve">, deposits </w:t>
      </w:r>
      <w:r w:rsidR="00783946">
        <w:rPr>
          <w:rFonts w:ascii="Cambria" w:eastAsia="Calibri" w:hAnsi="Cambria" w:cs="Times New Roman"/>
          <w:sz w:val="22"/>
          <w:szCs w:val="22"/>
        </w:rPr>
        <w:t>w</w:t>
      </w:r>
      <w:r w:rsidR="006D2A0D">
        <w:rPr>
          <w:rFonts w:ascii="Cambria" w:eastAsia="Calibri" w:hAnsi="Cambria" w:cs="Times New Roman"/>
          <w:sz w:val="22"/>
          <w:szCs w:val="22"/>
        </w:rPr>
        <w:t xml:space="preserve">ere </w:t>
      </w:r>
      <w:r w:rsidR="00857899">
        <w:rPr>
          <w:rFonts w:ascii="Cambria" w:eastAsia="Calibri" w:hAnsi="Cambria" w:cs="Times New Roman"/>
          <w:sz w:val="22"/>
          <w:szCs w:val="22"/>
        </w:rPr>
        <w:t>527.26</w:t>
      </w:r>
      <w:r w:rsidR="00CA3650" w:rsidRPr="00CA3650">
        <w:rPr>
          <w:rFonts w:ascii="Cambria" w:eastAsia="Calibri" w:hAnsi="Cambria" w:cs="Times New Roman"/>
          <w:sz w:val="22"/>
          <w:szCs w:val="22"/>
        </w:rPr>
        <w:t xml:space="preserve"> </w:t>
      </w:r>
      <w:r w:rsidR="00E12EC1" w:rsidRPr="00131C70">
        <w:rPr>
          <w:rFonts w:ascii="Cambria" w:eastAsia="Calibri" w:hAnsi="Cambria" w:cs="Times New Roman"/>
          <w:sz w:val="22"/>
          <w:szCs w:val="22"/>
        </w:rPr>
        <w:t>million</w:t>
      </w:r>
      <w:r w:rsidR="00783946">
        <w:rPr>
          <w:rFonts w:ascii="Cambria" w:eastAsia="Calibri" w:hAnsi="Cambria" w:cs="Times New Roman"/>
          <w:sz w:val="22"/>
          <w:szCs w:val="22"/>
        </w:rPr>
        <w:t xml:space="preserve"> EUR</w:t>
      </w:r>
      <w:r w:rsidR="007A749A" w:rsidRPr="007A749A">
        <w:rPr>
          <w:rFonts w:ascii="Cambria" w:eastAsia="Calibri" w:hAnsi="Cambria" w:cs="Times New Roman"/>
          <w:sz w:val="22"/>
          <w:szCs w:val="22"/>
        </w:rPr>
        <w:t xml:space="preserve"> including 38,</w:t>
      </w:r>
      <w:r w:rsidR="0074245A" w:rsidRPr="007A749A">
        <w:rPr>
          <w:rFonts w:ascii="Cambria" w:eastAsia="Calibri" w:hAnsi="Cambria" w:cs="Times New Roman"/>
          <w:sz w:val="22"/>
          <w:szCs w:val="22"/>
        </w:rPr>
        <w:t>4</w:t>
      </w:r>
      <w:r w:rsidR="0074245A">
        <w:rPr>
          <w:rFonts w:ascii="Cambria" w:eastAsia="Calibri" w:hAnsi="Cambria" w:cs="Times New Roman"/>
          <w:sz w:val="22"/>
          <w:szCs w:val="22"/>
        </w:rPr>
        <w:t>4</w:t>
      </w:r>
      <w:r w:rsidR="0074245A" w:rsidRPr="007A749A">
        <w:rPr>
          <w:rFonts w:ascii="Cambria" w:eastAsia="Calibri" w:hAnsi="Cambria" w:cs="Times New Roman"/>
          <w:sz w:val="22"/>
          <w:szCs w:val="22"/>
        </w:rPr>
        <w:t xml:space="preserve">7 </w:t>
      </w:r>
      <w:r w:rsidR="007A749A" w:rsidRPr="007A749A">
        <w:rPr>
          <w:rFonts w:ascii="Cambria" w:eastAsia="Calibri" w:hAnsi="Cambria" w:cs="Times New Roman"/>
          <w:sz w:val="22"/>
          <w:szCs w:val="22"/>
        </w:rPr>
        <w:t>ounces of gold</w:t>
      </w:r>
      <w:r w:rsidR="007A749A">
        <w:rPr>
          <w:rFonts w:ascii="Cambria" w:eastAsia="Calibri" w:hAnsi="Cambria" w:cs="Times New Roman"/>
          <w:sz w:val="22"/>
          <w:szCs w:val="22"/>
        </w:rPr>
        <w:t xml:space="preserve"> (</w:t>
      </w:r>
      <w:r w:rsidR="007A749A" w:rsidRPr="007A749A">
        <w:rPr>
          <w:rFonts w:ascii="Cambria" w:eastAsia="Calibri" w:hAnsi="Cambria" w:cs="Times New Roman"/>
          <w:sz w:val="22"/>
          <w:szCs w:val="22"/>
        </w:rPr>
        <w:t xml:space="preserve">amount of gold was EUR </w:t>
      </w:r>
      <w:r w:rsidR="00857899">
        <w:rPr>
          <w:rFonts w:ascii="Cambria" w:eastAsia="Calibri" w:hAnsi="Cambria" w:cs="Times New Roman"/>
          <w:sz w:val="22"/>
          <w:szCs w:val="22"/>
        </w:rPr>
        <w:t>55.38</w:t>
      </w:r>
      <w:r w:rsidR="007A749A" w:rsidRPr="007A749A">
        <w:rPr>
          <w:rFonts w:ascii="Cambria" w:eastAsia="Calibri" w:hAnsi="Cambria" w:cs="Times New Roman"/>
          <w:sz w:val="22"/>
          <w:szCs w:val="22"/>
        </w:rPr>
        <w:t xml:space="preserve"> million</w:t>
      </w:r>
      <w:r w:rsidR="007A749A">
        <w:rPr>
          <w:rFonts w:ascii="Cambria" w:eastAsia="Calibri" w:hAnsi="Cambria" w:cs="Times New Roman"/>
          <w:sz w:val="22"/>
          <w:szCs w:val="22"/>
        </w:rPr>
        <w:t>)</w:t>
      </w:r>
      <w:r w:rsidR="00E12EC1" w:rsidRPr="00131C70">
        <w:rPr>
          <w:rFonts w:ascii="Cambria" w:eastAsia="Calibri" w:hAnsi="Cambria" w:cs="Times New Roman"/>
          <w:sz w:val="22"/>
          <w:szCs w:val="22"/>
        </w:rPr>
        <w:t xml:space="preserve"> or </w:t>
      </w:r>
      <w:r w:rsidR="00857899">
        <w:rPr>
          <w:rFonts w:ascii="Cambria" w:eastAsia="Calibri" w:hAnsi="Cambria" w:cs="Times New Roman"/>
          <w:sz w:val="22"/>
          <w:szCs w:val="22"/>
        </w:rPr>
        <w:t>11.37</w:t>
      </w:r>
      <w:r w:rsidR="00CA3650" w:rsidRPr="00CA3650">
        <w:rPr>
          <w:rFonts w:ascii="Cambria" w:eastAsia="Calibri" w:hAnsi="Cambria" w:cs="Times New Roman"/>
          <w:sz w:val="22"/>
          <w:szCs w:val="22"/>
        </w:rPr>
        <w:t xml:space="preserve"> % of GDP.</w:t>
      </w:r>
    </w:p>
    <w:p w:rsidR="00C61088" w:rsidRDefault="00C61088" w:rsidP="002378AD">
      <w:pPr>
        <w:spacing w:after="0" w:line="259" w:lineRule="auto"/>
        <w:jc w:val="both"/>
        <w:rPr>
          <w:rFonts w:ascii="Cambria" w:eastAsiaTheme="majorEastAsia" w:hAnsi="Cambria" w:cstheme="majorBidi"/>
          <w:b/>
          <w:caps/>
          <w:color w:val="F8B323" w:themeColor="accent1"/>
          <w:spacing w:val="10"/>
        </w:rPr>
      </w:pPr>
    </w:p>
    <w:p w:rsidR="00C61088" w:rsidRPr="00857899" w:rsidRDefault="002D4B0B" w:rsidP="002D4B0B">
      <w:pPr>
        <w:spacing w:after="0" w:line="240" w:lineRule="auto"/>
        <w:jc w:val="both"/>
        <w:rPr>
          <w:rFonts w:ascii="Cambria" w:eastAsia="Calibri" w:hAnsi="Cambria" w:cs="Times New Roman"/>
          <w:color w:val="7E7E74" w:themeColor="background2" w:themeShade="80"/>
          <w:sz w:val="22"/>
          <w:szCs w:val="22"/>
        </w:rPr>
      </w:pPr>
      <w:r w:rsidRPr="00857899">
        <w:rPr>
          <w:rFonts w:ascii="Cambria" w:eastAsiaTheme="majorEastAsia" w:hAnsi="Cambria" w:cstheme="majorBidi"/>
          <w:b/>
          <w:color w:val="7E7E74" w:themeColor="background2" w:themeShade="80"/>
          <w:spacing w:val="10"/>
        </w:rPr>
        <w:t xml:space="preserve">Table </w:t>
      </w:r>
      <w:r w:rsidR="00C61088" w:rsidRPr="00857899">
        <w:rPr>
          <w:rFonts w:ascii="Cambria" w:eastAsiaTheme="majorEastAsia" w:hAnsi="Cambria" w:cstheme="majorBidi"/>
          <w:b/>
          <w:caps/>
          <w:color w:val="7E7E74" w:themeColor="background2" w:themeShade="80"/>
          <w:spacing w:val="10"/>
        </w:rPr>
        <w:fldChar w:fldCharType="begin"/>
      </w:r>
      <w:r w:rsidR="00C61088" w:rsidRPr="00857899">
        <w:rPr>
          <w:rFonts w:ascii="Cambria" w:eastAsiaTheme="majorEastAsia" w:hAnsi="Cambria" w:cstheme="majorBidi"/>
          <w:b/>
          <w:caps/>
          <w:color w:val="7E7E74" w:themeColor="background2" w:themeShade="80"/>
          <w:spacing w:val="10"/>
        </w:rPr>
        <w:instrText xml:space="preserve"> SEQ Table \* ARABIC </w:instrText>
      </w:r>
      <w:r w:rsidR="00C61088" w:rsidRPr="00857899">
        <w:rPr>
          <w:rFonts w:ascii="Cambria" w:eastAsiaTheme="majorEastAsia" w:hAnsi="Cambria" w:cstheme="majorBidi"/>
          <w:b/>
          <w:caps/>
          <w:color w:val="7E7E74" w:themeColor="background2" w:themeShade="80"/>
          <w:spacing w:val="10"/>
        </w:rPr>
        <w:fldChar w:fldCharType="separate"/>
      </w:r>
      <w:r w:rsidR="007A21C9" w:rsidRPr="00857899">
        <w:rPr>
          <w:rFonts w:ascii="Cambria" w:eastAsiaTheme="majorEastAsia" w:hAnsi="Cambria" w:cstheme="majorBidi"/>
          <w:b/>
          <w:caps/>
          <w:noProof/>
          <w:color w:val="7E7E74" w:themeColor="background2" w:themeShade="80"/>
          <w:spacing w:val="10"/>
        </w:rPr>
        <w:t>1</w:t>
      </w:r>
      <w:r w:rsidR="00C61088" w:rsidRPr="00857899">
        <w:rPr>
          <w:rFonts w:ascii="Cambria" w:eastAsiaTheme="majorEastAsia" w:hAnsi="Cambria" w:cstheme="majorBidi"/>
          <w:b/>
          <w:caps/>
          <w:color w:val="7E7E74" w:themeColor="background2" w:themeShade="80"/>
          <w:spacing w:val="10"/>
        </w:rPr>
        <w:fldChar w:fldCharType="end"/>
      </w:r>
      <w:r w:rsidRPr="00857899">
        <w:rPr>
          <w:rFonts w:ascii="Cambria" w:eastAsiaTheme="majorEastAsia" w:hAnsi="Cambria" w:cstheme="majorBidi"/>
          <w:b/>
          <w:color w:val="7E7E74" w:themeColor="background2" w:themeShade="80"/>
          <w:spacing w:val="10"/>
        </w:rPr>
        <w:t xml:space="preserve"> Government debt stock, in million eur</w:t>
      </w:r>
    </w:p>
    <w:tbl>
      <w:tblPr>
        <w:tblStyle w:val="GridTable6Colorful-Accent31"/>
        <w:tblpPr w:leftFromText="180" w:rightFromText="180" w:vertAnchor="text" w:horzAnchor="margin" w:tblpY="356"/>
        <w:tblW w:w="9085" w:type="dxa"/>
        <w:tblLook w:val="04A0" w:firstRow="1" w:lastRow="0" w:firstColumn="1" w:lastColumn="0" w:noHBand="0" w:noVBand="1"/>
      </w:tblPr>
      <w:tblGrid>
        <w:gridCol w:w="5845"/>
        <w:gridCol w:w="1620"/>
        <w:gridCol w:w="1620"/>
      </w:tblGrid>
      <w:tr w:rsidR="00857899" w:rsidRPr="00131C70" w:rsidTr="00857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  <w:hideMark/>
          </w:tcPr>
          <w:p w:rsidR="00857899" w:rsidRPr="00EB3E4C" w:rsidRDefault="00857899" w:rsidP="00EB3E4C">
            <w:pPr>
              <w:rPr>
                <w:rFonts w:ascii="Cambria" w:eastAsia="Times New Roman" w:hAnsi="Cambria" w:cs="Times New Roman"/>
                <w:color w:val="0D0D0D" w:themeColor="text1" w:themeTint="F2"/>
                <w:lang w:eastAsia="en-GB"/>
              </w:rPr>
            </w:pPr>
            <w:r w:rsidRPr="00EB3E4C">
              <w:rPr>
                <w:rFonts w:ascii="Cambria" w:eastAsia="Times New Roman" w:hAnsi="Cambria" w:cs="Times New Roman"/>
                <w:color w:val="0D0D0D" w:themeColor="text1" w:themeTint="F2"/>
                <w:lang w:eastAsia="en-GB"/>
              </w:rPr>
              <w:t>Creditor</w:t>
            </w:r>
          </w:p>
        </w:tc>
        <w:tc>
          <w:tcPr>
            <w:tcW w:w="1620" w:type="dxa"/>
            <w:hideMark/>
          </w:tcPr>
          <w:p w:rsidR="00857899" w:rsidRPr="00EB3E4C" w:rsidRDefault="0074245A" w:rsidP="004C63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</w:rPr>
            </w:pPr>
            <w:r>
              <w:rPr>
                <w:bCs w:val="0"/>
                <w:color w:val="000000" w:themeColor="text1"/>
              </w:rPr>
              <w:t>31.12.2020</w:t>
            </w:r>
            <w:r w:rsidR="00857899" w:rsidRPr="00EB3E4C">
              <w:rPr>
                <w:bCs w:val="0"/>
                <w:color w:val="000000" w:themeColor="text1"/>
              </w:rPr>
              <w:t>.</w:t>
            </w:r>
          </w:p>
        </w:tc>
        <w:tc>
          <w:tcPr>
            <w:tcW w:w="1620" w:type="dxa"/>
            <w:hideMark/>
          </w:tcPr>
          <w:p w:rsidR="00857899" w:rsidRPr="00EB3E4C" w:rsidRDefault="0074245A" w:rsidP="004C63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</w:rPr>
            </w:pPr>
            <w:r>
              <w:rPr>
                <w:bCs w:val="0"/>
                <w:color w:val="000000" w:themeColor="text1"/>
              </w:rPr>
              <w:t>31.03.2021</w:t>
            </w:r>
          </w:p>
        </w:tc>
      </w:tr>
      <w:tr w:rsidR="00857899" w:rsidRPr="00131C70" w:rsidTr="00857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  <w:hideMark/>
          </w:tcPr>
          <w:p w:rsidR="00857899" w:rsidRPr="00857899" w:rsidRDefault="00857899" w:rsidP="00857899">
            <w:pPr>
              <w:rPr>
                <w:rFonts w:ascii="Cambria" w:eastAsia="Times New Roman" w:hAnsi="Cambria" w:cs="Times New Roman"/>
                <w:b w:val="0"/>
                <w:color w:val="0D0D0D" w:themeColor="text1" w:themeTint="F2"/>
                <w:lang w:eastAsia="en-GB"/>
              </w:rPr>
            </w:pPr>
            <w:r w:rsidRPr="00857899">
              <w:rPr>
                <w:rFonts w:ascii="Cambria" w:eastAsia="Times New Roman" w:hAnsi="Cambria" w:cs="Times New Roman"/>
                <w:b w:val="0"/>
                <w:color w:val="0D0D0D" w:themeColor="text1" w:themeTint="F2"/>
                <w:lang w:eastAsia="en-GB"/>
              </w:rPr>
              <w:t>International Bank for Reconstruction and Development (IBRD)</w:t>
            </w:r>
          </w:p>
        </w:tc>
        <w:tc>
          <w:tcPr>
            <w:tcW w:w="1620" w:type="dxa"/>
            <w:noWrap/>
            <w:hideMark/>
          </w:tcPr>
          <w:p w:rsidR="00857899" w:rsidRPr="00857899" w:rsidRDefault="00857899" w:rsidP="00857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57899">
              <w:rPr>
                <w:color w:val="000000" w:themeColor="text1"/>
              </w:rPr>
              <w:t>181.53</w:t>
            </w:r>
          </w:p>
        </w:tc>
        <w:tc>
          <w:tcPr>
            <w:tcW w:w="1620" w:type="dxa"/>
            <w:noWrap/>
            <w:hideMark/>
          </w:tcPr>
          <w:p w:rsidR="00857899" w:rsidRPr="00857899" w:rsidRDefault="00857899" w:rsidP="00857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57899">
              <w:rPr>
                <w:color w:val="000000" w:themeColor="text1"/>
              </w:rPr>
              <w:t>186.09</w:t>
            </w:r>
          </w:p>
        </w:tc>
      </w:tr>
      <w:tr w:rsidR="00857899" w:rsidRPr="00131C70" w:rsidTr="00857899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  <w:hideMark/>
          </w:tcPr>
          <w:p w:rsidR="00857899" w:rsidRPr="00857899" w:rsidRDefault="00857899" w:rsidP="00857899">
            <w:pPr>
              <w:rPr>
                <w:rFonts w:ascii="Cambria" w:eastAsia="Times New Roman" w:hAnsi="Cambria" w:cs="Times New Roman"/>
                <w:b w:val="0"/>
                <w:color w:val="0D0D0D" w:themeColor="text1" w:themeTint="F2"/>
                <w:lang w:eastAsia="en-GB"/>
              </w:rPr>
            </w:pPr>
            <w:r w:rsidRPr="00857899">
              <w:rPr>
                <w:rFonts w:ascii="Cambria" w:eastAsia="Times New Roman" w:hAnsi="Cambria" w:cs="Times New Roman"/>
                <w:b w:val="0"/>
                <w:color w:val="0D0D0D" w:themeColor="text1" w:themeTint="F2"/>
                <w:lang w:eastAsia="en-GB"/>
              </w:rPr>
              <w:t>Member states of the Paris Club of Creditors</w:t>
            </w:r>
          </w:p>
        </w:tc>
        <w:tc>
          <w:tcPr>
            <w:tcW w:w="1620" w:type="dxa"/>
            <w:noWrap/>
            <w:hideMark/>
          </w:tcPr>
          <w:p w:rsidR="00857899" w:rsidRPr="00857899" w:rsidRDefault="00857899" w:rsidP="00857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57899">
              <w:rPr>
                <w:color w:val="000000" w:themeColor="text1"/>
              </w:rPr>
              <w:t>69.35</w:t>
            </w:r>
          </w:p>
        </w:tc>
        <w:tc>
          <w:tcPr>
            <w:tcW w:w="1620" w:type="dxa"/>
            <w:noWrap/>
            <w:hideMark/>
          </w:tcPr>
          <w:p w:rsidR="00857899" w:rsidRPr="00857899" w:rsidRDefault="00857899" w:rsidP="00857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57899">
              <w:rPr>
                <w:color w:val="000000" w:themeColor="text1"/>
              </w:rPr>
              <w:t>66.46</w:t>
            </w:r>
          </w:p>
        </w:tc>
      </w:tr>
      <w:tr w:rsidR="00857899" w:rsidRPr="00131C70" w:rsidTr="00857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  <w:hideMark/>
          </w:tcPr>
          <w:p w:rsidR="00857899" w:rsidRPr="00857899" w:rsidRDefault="00857899" w:rsidP="00857899">
            <w:pPr>
              <w:rPr>
                <w:rFonts w:ascii="Cambria" w:eastAsia="Times New Roman" w:hAnsi="Cambria" w:cs="Times New Roman"/>
                <w:b w:val="0"/>
                <w:color w:val="0D0D0D" w:themeColor="text1" w:themeTint="F2"/>
                <w:lang w:eastAsia="en-GB"/>
              </w:rPr>
            </w:pPr>
            <w:r w:rsidRPr="00857899">
              <w:rPr>
                <w:rFonts w:ascii="Cambria" w:eastAsia="Times New Roman" w:hAnsi="Cambria" w:cs="Times New Roman"/>
                <w:b w:val="0"/>
                <w:color w:val="0D0D0D" w:themeColor="text1" w:themeTint="F2"/>
                <w:lang w:eastAsia="en-GB"/>
              </w:rPr>
              <w:t>International Development Association (IDA)</w:t>
            </w:r>
          </w:p>
        </w:tc>
        <w:tc>
          <w:tcPr>
            <w:tcW w:w="1620" w:type="dxa"/>
            <w:noWrap/>
            <w:hideMark/>
          </w:tcPr>
          <w:p w:rsidR="00857899" w:rsidRPr="00857899" w:rsidRDefault="00857899" w:rsidP="00857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57899">
              <w:rPr>
                <w:color w:val="000000" w:themeColor="text1"/>
              </w:rPr>
              <w:t>23.83</w:t>
            </w:r>
          </w:p>
        </w:tc>
        <w:tc>
          <w:tcPr>
            <w:tcW w:w="1620" w:type="dxa"/>
            <w:noWrap/>
            <w:hideMark/>
          </w:tcPr>
          <w:p w:rsidR="00857899" w:rsidRPr="00857899" w:rsidRDefault="00857899" w:rsidP="00857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57899">
              <w:rPr>
                <w:color w:val="000000" w:themeColor="text1"/>
              </w:rPr>
              <w:t>23.98</w:t>
            </w:r>
          </w:p>
        </w:tc>
      </w:tr>
      <w:tr w:rsidR="00857899" w:rsidRPr="00131C70" w:rsidTr="00857899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  <w:hideMark/>
          </w:tcPr>
          <w:p w:rsidR="00857899" w:rsidRPr="00857899" w:rsidRDefault="00857899" w:rsidP="00857899">
            <w:pPr>
              <w:rPr>
                <w:rFonts w:ascii="Cambria" w:eastAsia="Times New Roman" w:hAnsi="Cambria" w:cs="Times New Roman"/>
                <w:b w:val="0"/>
                <w:color w:val="0D0D0D" w:themeColor="text1" w:themeTint="F2"/>
                <w:lang w:eastAsia="en-GB"/>
              </w:rPr>
            </w:pPr>
            <w:r w:rsidRPr="00857899">
              <w:rPr>
                <w:rFonts w:ascii="Cambria" w:eastAsia="Times New Roman" w:hAnsi="Cambria" w:cs="Times New Roman"/>
                <w:b w:val="0"/>
                <w:color w:val="0D0D0D" w:themeColor="text1" w:themeTint="F2"/>
                <w:lang w:eastAsia="en-GB"/>
              </w:rPr>
              <w:t>European Investment Bank (EIB)</w:t>
            </w:r>
          </w:p>
        </w:tc>
        <w:tc>
          <w:tcPr>
            <w:tcW w:w="1620" w:type="dxa"/>
            <w:noWrap/>
            <w:hideMark/>
          </w:tcPr>
          <w:p w:rsidR="00857899" w:rsidRPr="00857899" w:rsidRDefault="00857899" w:rsidP="00857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57899">
              <w:rPr>
                <w:color w:val="000000" w:themeColor="text1"/>
              </w:rPr>
              <w:t>109.66</w:t>
            </w:r>
          </w:p>
        </w:tc>
        <w:tc>
          <w:tcPr>
            <w:tcW w:w="1620" w:type="dxa"/>
            <w:noWrap/>
            <w:hideMark/>
          </w:tcPr>
          <w:p w:rsidR="00857899" w:rsidRPr="00857899" w:rsidRDefault="00857899" w:rsidP="00857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57899">
              <w:rPr>
                <w:color w:val="000000" w:themeColor="text1"/>
              </w:rPr>
              <w:t>108.88</w:t>
            </w:r>
          </w:p>
        </w:tc>
      </w:tr>
      <w:tr w:rsidR="00857899" w:rsidRPr="00131C70" w:rsidTr="00857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  <w:hideMark/>
          </w:tcPr>
          <w:p w:rsidR="00857899" w:rsidRPr="00857899" w:rsidRDefault="00857899" w:rsidP="00857899">
            <w:pPr>
              <w:rPr>
                <w:rFonts w:ascii="Cambria" w:eastAsia="Times New Roman" w:hAnsi="Cambria" w:cs="Times New Roman"/>
                <w:b w:val="0"/>
                <w:color w:val="0D0D0D" w:themeColor="text1" w:themeTint="F2"/>
                <w:lang w:eastAsia="en-GB"/>
              </w:rPr>
            </w:pPr>
            <w:r w:rsidRPr="00857899">
              <w:rPr>
                <w:rFonts w:ascii="Cambria" w:eastAsia="Times New Roman" w:hAnsi="Cambria" w:cs="Times New Roman"/>
                <w:b w:val="0"/>
                <w:color w:val="0D0D0D" w:themeColor="text1" w:themeTint="F2"/>
                <w:lang w:eastAsia="en-GB"/>
              </w:rPr>
              <w:t>European Bank for Reconstruction and Development (EBRD)</w:t>
            </w:r>
          </w:p>
        </w:tc>
        <w:tc>
          <w:tcPr>
            <w:tcW w:w="1620" w:type="dxa"/>
            <w:noWrap/>
            <w:hideMark/>
          </w:tcPr>
          <w:p w:rsidR="00857899" w:rsidRPr="00857899" w:rsidRDefault="00857899" w:rsidP="00857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57899">
              <w:rPr>
                <w:color w:val="000000" w:themeColor="text1"/>
              </w:rPr>
              <w:t>38.15</w:t>
            </w:r>
          </w:p>
        </w:tc>
        <w:tc>
          <w:tcPr>
            <w:tcW w:w="1620" w:type="dxa"/>
            <w:noWrap/>
            <w:hideMark/>
          </w:tcPr>
          <w:p w:rsidR="00857899" w:rsidRPr="00857899" w:rsidRDefault="00857899" w:rsidP="00857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57899">
              <w:rPr>
                <w:color w:val="000000" w:themeColor="text1"/>
              </w:rPr>
              <w:t>40.98</w:t>
            </w:r>
          </w:p>
        </w:tc>
      </w:tr>
      <w:tr w:rsidR="00857899" w:rsidRPr="00131C70" w:rsidTr="00857899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  <w:hideMark/>
          </w:tcPr>
          <w:p w:rsidR="00857899" w:rsidRPr="00857899" w:rsidRDefault="00857899" w:rsidP="00857899">
            <w:pPr>
              <w:rPr>
                <w:rFonts w:ascii="Cambria" w:eastAsia="Times New Roman" w:hAnsi="Cambria" w:cs="Times New Roman"/>
                <w:b w:val="0"/>
                <w:color w:val="0D0D0D" w:themeColor="text1" w:themeTint="F2"/>
                <w:lang w:eastAsia="en-GB"/>
              </w:rPr>
            </w:pPr>
            <w:r w:rsidRPr="00857899">
              <w:rPr>
                <w:rFonts w:ascii="Cambria" w:eastAsia="Times New Roman" w:hAnsi="Cambria" w:cs="Times New Roman"/>
                <w:b w:val="0"/>
                <w:color w:val="0D0D0D" w:themeColor="text1" w:themeTint="F2"/>
                <w:lang w:eastAsia="en-GB"/>
              </w:rPr>
              <w:t>Council of Europe Development Bank (CEB)</w:t>
            </w:r>
          </w:p>
        </w:tc>
        <w:tc>
          <w:tcPr>
            <w:tcW w:w="1620" w:type="dxa"/>
            <w:noWrap/>
            <w:hideMark/>
          </w:tcPr>
          <w:p w:rsidR="00857899" w:rsidRPr="00857899" w:rsidRDefault="00857899" w:rsidP="00857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57899">
              <w:rPr>
                <w:color w:val="000000" w:themeColor="text1"/>
              </w:rPr>
              <w:t>30.89</w:t>
            </w:r>
          </w:p>
        </w:tc>
        <w:tc>
          <w:tcPr>
            <w:tcW w:w="1620" w:type="dxa"/>
            <w:noWrap/>
            <w:hideMark/>
          </w:tcPr>
          <w:p w:rsidR="00857899" w:rsidRPr="00857899" w:rsidRDefault="00857899" w:rsidP="00857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57899">
              <w:rPr>
                <w:color w:val="000000" w:themeColor="text1"/>
              </w:rPr>
              <w:t>30.38</w:t>
            </w:r>
          </w:p>
        </w:tc>
      </w:tr>
      <w:tr w:rsidR="00857899" w:rsidRPr="00131C70" w:rsidTr="00857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  <w:hideMark/>
          </w:tcPr>
          <w:p w:rsidR="00857899" w:rsidRPr="00857899" w:rsidRDefault="00857899" w:rsidP="00857899">
            <w:pPr>
              <w:rPr>
                <w:rFonts w:ascii="Cambria" w:eastAsia="Times New Roman" w:hAnsi="Cambria" w:cs="Times New Roman"/>
                <w:b w:val="0"/>
                <w:color w:val="0D0D0D" w:themeColor="text1" w:themeTint="F2"/>
                <w:lang w:eastAsia="en-GB"/>
              </w:rPr>
            </w:pPr>
            <w:r w:rsidRPr="00857899">
              <w:rPr>
                <w:rFonts w:ascii="Cambria" w:eastAsia="Times New Roman" w:hAnsi="Cambria" w:cs="Times New Roman"/>
                <w:b w:val="0"/>
                <w:color w:val="0D0D0D" w:themeColor="text1" w:themeTint="F2"/>
                <w:lang w:eastAsia="en-GB"/>
              </w:rPr>
              <w:t>European Commission</w:t>
            </w:r>
          </w:p>
        </w:tc>
        <w:tc>
          <w:tcPr>
            <w:tcW w:w="1620" w:type="dxa"/>
            <w:noWrap/>
            <w:hideMark/>
          </w:tcPr>
          <w:p w:rsidR="00857899" w:rsidRPr="00857899" w:rsidRDefault="00857899" w:rsidP="00857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57899">
              <w:rPr>
                <w:color w:val="000000" w:themeColor="text1"/>
              </w:rPr>
              <w:t>30.00</w:t>
            </w:r>
          </w:p>
        </w:tc>
        <w:tc>
          <w:tcPr>
            <w:tcW w:w="1620" w:type="dxa"/>
            <w:noWrap/>
            <w:hideMark/>
          </w:tcPr>
          <w:p w:rsidR="00857899" w:rsidRPr="00857899" w:rsidRDefault="00857899" w:rsidP="00857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57899">
              <w:rPr>
                <w:color w:val="000000" w:themeColor="text1"/>
              </w:rPr>
              <w:t>30.00</w:t>
            </w:r>
          </w:p>
        </w:tc>
      </w:tr>
      <w:tr w:rsidR="00857899" w:rsidRPr="00131C70" w:rsidTr="00857899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  <w:hideMark/>
          </w:tcPr>
          <w:p w:rsidR="00857899" w:rsidRPr="00857899" w:rsidRDefault="00857899" w:rsidP="00857899">
            <w:pPr>
              <w:rPr>
                <w:rFonts w:ascii="Cambria" w:eastAsia="Times New Roman" w:hAnsi="Cambria" w:cs="Times New Roman"/>
                <w:b w:val="0"/>
                <w:color w:val="0D0D0D" w:themeColor="text1" w:themeTint="F2"/>
                <w:lang w:eastAsia="en-GB"/>
              </w:rPr>
            </w:pPr>
            <w:r w:rsidRPr="00857899">
              <w:rPr>
                <w:rFonts w:ascii="Cambria" w:eastAsia="Times New Roman" w:hAnsi="Cambria" w:cs="Times New Roman"/>
                <w:b w:val="0"/>
                <w:color w:val="0D0D0D" w:themeColor="text1" w:themeTint="F2"/>
                <w:lang w:eastAsia="en-GB"/>
              </w:rPr>
              <w:t>Reconstruction Credit Bank (KfW) – Germany</w:t>
            </w:r>
          </w:p>
        </w:tc>
        <w:tc>
          <w:tcPr>
            <w:tcW w:w="1620" w:type="dxa"/>
            <w:noWrap/>
            <w:hideMark/>
          </w:tcPr>
          <w:p w:rsidR="00857899" w:rsidRPr="00857899" w:rsidRDefault="00857899" w:rsidP="00857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57899">
              <w:rPr>
                <w:color w:val="000000" w:themeColor="text1"/>
              </w:rPr>
              <w:t>39.11</w:t>
            </w:r>
          </w:p>
        </w:tc>
        <w:tc>
          <w:tcPr>
            <w:tcW w:w="1620" w:type="dxa"/>
            <w:noWrap/>
            <w:hideMark/>
          </w:tcPr>
          <w:p w:rsidR="00857899" w:rsidRPr="00857899" w:rsidRDefault="00857899" w:rsidP="00857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57899">
              <w:rPr>
                <w:color w:val="000000" w:themeColor="text1"/>
              </w:rPr>
              <w:t>41.28</w:t>
            </w:r>
          </w:p>
        </w:tc>
      </w:tr>
      <w:tr w:rsidR="00857899" w:rsidRPr="00131C70" w:rsidTr="00857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  <w:hideMark/>
          </w:tcPr>
          <w:p w:rsidR="00857899" w:rsidRPr="00857899" w:rsidRDefault="00857899" w:rsidP="00857899">
            <w:pPr>
              <w:rPr>
                <w:rFonts w:ascii="Cambria" w:eastAsia="Times New Roman" w:hAnsi="Cambria" w:cs="Times New Roman"/>
                <w:b w:val="0"/>
                <w:color w:val="0D0D0D" w:themeColor="text1" w:themeTint="F2"/>
                <w:lang w:eastAsia="en-GB"/>
              </w:rPr>
            </w:pPr>
            <w:r w:rsidRPr="00857899">
              <w:rPr>
                <w:rFonts w:ascii="Cambria" w:eastAsia="Times New Roman" w:hAnsi="Cambria" w:cs="Times New Roman"/>
                <w:b w:val="0"/>
                <w:color w:val="0D0D0D" w:themeColor="text1" w:themeTint="F2"/>
                <w:lang w:eastAsia="en-GB"/>
              </w:rPr>
              <w:t>Loan from the Government of Hungary</w:t>
            </w:r>
          </w:p>
        </w:tc>
        <w:tc>
          <w:tcPr>
            <w:tcW w:w="1620" w:type="dxa"/>
            <w:noWrap/>
            <w:hideMark/>
          </w:tcPr>
          <w:p w:rsidR="00857899" w:rsidRPr="00857899" w:rsidRDefault="00857899" w:rsidP="00857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57899">
              <w:rPr>
                <w:color w:val="000000" w:themeColor="text1"/>
              </w:rPr>
              <w:t>1.71</w:t>
            </w:r>
          </w:p>
        </w:tc>
        <w:tc>
          <w:tcPr>
            <w:tcW w:w="1620" w:type="dxa"/>
            <w:noWrap/>
            <w:hideMark/>
          </w:tcPr>
          <w:p w:rsidR="00857899" w:rsidRPr="00857899" w:rsidRDefault="00857899" w:rsidP="00857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57899">
              <w:rPr>
                <w:color w:val="000000" w:themeColor="text1"/>
              </w:rPr>
              <w:t>1.22</w:t>
            </w:r>
          </w:p>
        </w:tc>
      </w:tr>
      <w:tr w:rsidR="00857899" w:rsidRPr="00131C70" w:rsidTr="00857899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  <w:hideMark/>
          </w:tcPr>
          <w:p w:rsidR="00857899" w:rsidRPr="00857899" w:rsidRDefault="00857899" w:rsidP="00857899">
            <w:pPr>
              <w:rPr>
                <w:rFonts w:ascii="Cambria" w:eastAsia="Times New Roman" w:hAnsi="Cambria" w:cs="Times New Roman"/>
                <w:b w:val="0"/>
                <w:color w:val="0D0D0D" w:themeColor="text1" w:themeTint="F2"/>
                <w:lang w:eastAsia="en-GB"/>
              </w:rPr>
            </w:pPr>
            <w:r w:rsidRPr="00857899">
              <w:rPr>
                <w:rFonts w:ascii="Cambria" w:eastAsia="Times New Roman" w:hAnsi="Cambria" w:cs="Times New Roman"/>
                <w:b w:val="0"/>
                <w:color w:val="0D0D0D" w:themeColor="text1" w:themeTint="F2"/>
                <w:lang w:eastAsia="en-GB"/>
              </w:rPr>
              <w:t>Loan from the Government of Poland</w:t>
            </w:r>
          </w:p>
        </w:tc>
        <w:tc>
          <w:tcPr>
            <w:tcW w:w="1620" w:type="dxa"/>
            <w:noWrap/>
            <w:hideMark/>
          </w:tcPr>
          <w:p w:rsidR="00857899" w:rsidRPr="00857899" w:rsidRDefault="00857899" w:rsidP="00857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57899">
              <w:rPr>
                <w:color w:val="000000" w:themeColor="text1"/>
              </w:rPr>
              <w:t>4.15</w:t>
            </w:r>
          </w:p>
        </w:tc>
        <w:tc>
          <w:tcPr>
            <w:tcW w:w="1620" w:type="dxa"/>
            <w:noWrap/>
            <w:hideMark/>
          </w:tcPr>
          <w:p w:rsidR="00857899" w:rsidRPr="00857899" w:rsidRDefault="00857899" w:rsidP="00857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57899">
              <w:rPr>
                <w:color w:val="000000" w:themeColor="text1"/>
              </w:rPr>
              <w:t>4.15</w:t>
            </w:r>
          </w:p>
        </w:tc>
      </w:tr>
      <w:tr w:rsidR="00857899" w:rsidRPr="00131C70" w:rsidTr="00857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  <w:hideMark/>
          </w:tcPr>
          <w:p w:rsidR="00857899" w:rsidRPr="00857899" w:rsidRDefault="00857899" w:rsidP="00857899">
            <w:pPr>
              <w:rPr>
                <w:rFonts w:ascii="Cambria" w:eastAsia="Times New Roman" w:hAnsi="Cambria" w:cs="Times New Roman"/>
                <w:b w:val="0"/>
                <w:color w:val="0D0D0D" w:themeColor="text1" w:themeTint="F2"/>
                <w:lang w:eastAsia="en-GB"/>
              </w:rPr>
            </w:pPr>
            <w:r w:rsidRPr="00857899">
              <w:rPr>
                <w:rFonts w:ascii="Cambria" w:eastAsia="Times New Roman" w:hAnsi="Cambria" w:cs="Times New Roman"/>
                <w:b w:val="0"/>
                <w:color w:val="0D0D0D" w:themeColor="text1" w:themeTint="F2"/>
                <w:lang w:eastAsia="en-GB"/>
              </w:rPr>
              <w:t>French loan – NATIXIS</w:t>
            </w:r>
          </w:p>
        </w:tc>
        <w:tc>
          <w:tcPr>
            <w:tcW w:w="1620" w:type="dxa"/>
            <w:noWrap/>
            <w:hideMark/>
          </w:tcPr>
          <w:p w:rsidR="00857899" w:rsidRPr="00857899" w:rsidRDefault="00857899" w:rsidP="00857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57899">
              <w:rPr>
                <w:color w:val="000000" w:themeColor="text1"/>
              </w:rPr>
              <w:t>2.17</w:t>
            </w:r>
          </w:p>
        </w:tc>
        <w:tc>
          <w:tcPr>
            <w:tcW w:w="1620" w:type="dxa"/>
            <w:noWrap/>
            <w:hideMark/>
          </w:tcPr>
          <w:p w:rsidR="00857899" w:rsidRPr="00857899" w:rsidRDefault="00857899" w:rsidP="00857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57899">
              <w:rPr>
                <w:color w:val="000000" w:themeColor="text1"/>
              </w:rPr>
              <w:t>2.12</w:t>
            </w:r>
          </w:p>
        </w:tc>
      </w:tr>
      <w:tr w:rsidR="00857899" w:rsidRPr="00131C70" w:rsidTr="00857899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  <w:hideMark/>
          </w:tcPr>
          <w:p w:rsidR="00857899" w:rsidRPr="00857899" w:rsidRDefault="00857899" w:rsidP="00857899">
            <w:pPr>
              <w:rPr>
                <w:rFonts w:ascii="Cambria" w:eastAsia="Times New Roman" w:hAnsi="Cambria" w:cs="Times New Roman"/>
                <w:b w:val="0"/>
                <w:color w:val="0D0D0D" w:themeColor="text1" w:themeTint="F2"/>
                <w:lang w:eastAsia="en-GB"/>
              </w:rPr>
            </w:pPr>
            <w:r w:rsidRPr="00857899">
              <w:rPr>
                <w:rFonts w:ascii="Cambria" w:eastAsia="Times New Roman" w:hAnsi="Cambria" w:cs="Times New Roman"/>
                <w:b w:val="0"/>
                <w:color w:val="0D0D0D" w:themeColor="text1" w:themeTint="F2"/>
                <w:lang w:eastAsia="en-GB"/>
              </w:rPr>
              <w:t>Steiermarkische Bank und Sparkassen AG</w:t>
            </w:r>
          </w:p>
        </w:tc>
        <w:tc>
          <w:tcPr>
            <w:tcW w:w="1620" w:type="dxa"/>
            <w:noWrap/>
            <w:hideMark/>
          </w:tcPr>
          <w:p w:rsidR="00857899" w:rsidRPr="00857899" w:rsidRDefault="00857899" w:rsidP="00857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57899">
              <w:rPr>
                <w:color w:val="000000" w:themeColor="text1"/>
              </w:rPr>
              <w:t>1.10</w:t>
            </w:r>
          </w:p>
        </w:tc>
        <w:tc>
          <w:tcPr>
            <w:tcW w:w="1620" w:type="dxa"/>
            <w:noWrap/>
            <w:hideMark/>
          </w:tcPr>
          <w:p w:rsidR="00857899" w:rsidRPr="00857899" w:rsidRDefault="00857899" w:rsidP="00857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57899">
              <w:rPr>
                <w:color w:val="000000" w:themeColor="text1"/>
              </w:rPr>
              <w:t>0.00</w:t>
            </w:r>
          </w:p>
        </w:tc>
      </w:tr>
      <w:tr w:rsidR="00857899" w:rsidRPr="00131C70" w:rsidTr="00857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  <w:hideMark/>
          </w:tcPr>
          <w:p w:rsidR="00857899" w:rsidRPr="00857899" w:rsidRDefault="00857899" w:rsidP="00857899">
            <w:pPr>
              <w:rPr>
                <w:rFonts w:ascii="Cambria" w:eastAsia="Times New Roman" w:hAnsi="Cambria" w:cs="Times New Roman"/>
                <w:b w:val="0"/>
                <w:color w:val="0D0D0D" w:themeColor="text1" w:themeTint="F2"/>
                <w:lang w:eastAsia="en-GB"/>
              </w:rPr>
            </w:pPr>
            <w:r w:rsidRPr="00857899">
              <w:rPr>
                <w:rFonts w:ascii="Cambria" w:eastAsia="Times New Roman" w:hAnsi="Cambria" w:cs="Times New Roman"/>
                <w:b w:val="0"/>
                <w:color w:val="0D0D0D" w:themeColor="text1" w:themeTint="F2"/>
                <w:lang w:eastAsia="en-GB"/>
              </w:rPr>
              <w:t>Credit Suisse Bank</w:t>
            </w:r>
          </w:p>
        </w:tc>
        <w:tc>
          <w:tcPr>
            <w:tcW w:w="1620" w:type="dxa"/>
            <w:noWrap/>
            <w:hideMark/>
          </w:tcPr>
          <w:p w:rsidR="00857899" w:rsidRPr="00857899" w:rsidRDefault="00857899" w:rsidP="00857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57899">
              <w:rPr>
                <w:color w:val="000000" w:themeColor="text1"/>
              </w:rPr>
              <w:t>42.11</w:t>
            </w:r>
          </w:p>
        </w:tc>
        <w:tc>
          <w:tcPr>
            <w:tcW w:w="1620" w:type="dxa"/>
            <w:noWrap/>
            <w:hideMark/>
          </w:tcPr>
          <w:p w:rsidR="00857899" w:rsidRPr="00857899" w:rsidRDefault="00857899" w:rsidP="00857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57899">
              <w:rPr>
                <w:color w:val="000000" w:themeColor="text1"/>
              </w:rPr>
              <w:t>42.11</w:t>
            </w:r>
          </w:p>
        </w:tc>
      </w:tr>
      <w:tr w:rsidR="00857899" w:rsidRPr="00131C70" w:rsidTr="00857899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  <w:hideMark/>
          </w:tcPr>
          <w:p w:rsidR="00857899" w:rsidRPr="00857899" w:rsidRDefault="00857899" w:rsidP="00857899">
            <w:pPr>
              <w:rPr>
                <w:rFonts w:ascii="Cambria" w:eastAsia="Times New Roman" w:hAnsi="Cambria" w:cs="Times New Roman"/>
                <w:b w:val="0"/>
                <w:color w:val="0D0D0D" w:themeColor="text1" w:themeTint="F2"/>
                <w:lang w:eastAsia="en-GB"/>
              </w:rPr>
            </w:pPr>
            <w:r w:rsidRPr="00857899">
              <w:rPr>
                <w:rFonts w:ascii="Cambria" w:eastAsia="Times New Roman" w:hAnsi="Cambria" w:cs="Times New Roman"/>
                <w:b w:val="0"/>
                <w:color w:val="0D0D0D" w:themeColor="text1" w:themeTint="F2"/>
                <w:lang w:eastAsia="en-GB"/>
              </w:rPr>
              <w:t>China Exim Bank</w:t>
            </w:r>
          </w:p>
        </w:tc>
        <w:tc>
          <w:tcPr>
            <w:tcW w:w="1620" w:type="dxa"/>
            <w:noWrap/>
            <w:hideMark/>
          </w:tcPr>
          <w:p w:rsidR="00857899" w:rsidRPr="00857899" w:rsidRDefault="00857899" w:rsidP="00857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57899">
              <w:rPr>
                <w:color w:val="000000" w:themeColor="text1"/>
              </w:rPr>
              <w:t>640.54</w:t>
            </w:r>
            <w:r w:rsidR="0052251C" w:rsidRPr="0052251C">
              <w:rPr>
                <w:color w:val="000000" w:themeColor="text1"/>
                <w:vertAlign w:val="superscript"/>
              </w:rPr>
              <w:footnoteReference w:id="2"/>
            </w:r>
          </w:p>
        </w:tc>
        <w:tc>
          <w:tcPr>
            <w:tcW w:w="1620" w:type="dxa"/>
            <w:noWrap/>
            <w:hideMark/>
          </w:tcPr>
          <w:p w:rsidR="00857899" w:rsidRPr="00857899" w:rsidRDefault="00857899" w:rsidP="00857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57899">
              <w:rPr>
                <w:color w:val="000000" w:themeColor="text1"/>
              </w:rPr>
              <w:t>681.28</w:t>
            </w:r>
            <w:r w:rsidR="0052251C" w:rsidRPr="0052251C">
              <w:rPr>
                <w:color w:val="000000" w:themeColor="text1"/>
                <w:vertAlign w:val="superscript"/>
              </w:rPr>
              <w:footnoteReference w:id="3"/>
            </w:r>
          </w:p>
        </w:tc>
      </w:tr>
      <w:tr w:rsidR="00857899" w:rsidRPr="00131C70" w:rsidTr="00857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  <w:noWrap/>
            <w:hideMark/>
          </w:tcPr>
          <w:p w:rsidR="00857899" w:rsidRPr="00857899" w:rsidRDefault="00857899" w:rsidP="00857899">
            <w:pPr>
              <w:rPr>
                <w:rFonts w:ascii="Cambria" w:eastAsia="Times New Roman" w:hAnsi="Cambria" w:cs="Times New Roman"/>
                <w:b w:val="0"/>
                <w:color w:val="0D0D0D" w:themeColor="text1" w:themeTint="F2"/>
                <w:lang w:eastAsia="en-GB"/>
              </w:rPr>
            </w:pPr>
            <w:r w:rsidRPr="00857899">
              <w:rPr>
                <w:rFonts w:ascii="Cambria" w:eastAsia="Times New Roman" w:hAnsi="Cambria" w:cs="Times New Roman"/>
                <w:b w:val="0"/>
                <w:color w:val="0D0D0D" w:themeColor="text1" w:themeTint="F2"/>
                <w:lang w:eastAsia="en-GB"/>
              </w:rPr>
              <w:t xml:space="preserve">Instituto del credito oficial (ICO) </w:t>
            </w:r>
          </w:p>
        </w:tc>
        <w:tc>
          <w:tcPr>
            <w:tcW w:w="1620" w:type="dxa"/>
            <w:noWrap/>
            <w:hideMark/>
          </w:tcPr>
          <w:p w:rsidR="00857899" w:rsidRPr="00857899" w:rsidRDefault="00857899" w:rsidP="00857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57899">
              <w:rPr>
                <w:color w:val="000000" w:themeColor="text1"/>
              </w:rPr>
              <w:t>2.04</w:t>
            </w:r>
          </w:p>
        </w:tc>
        <w:tc>
          <w:tcPr>
            <w:tcW w:w="1620" w:type="dxa"/>
            <w:noWrap/>
            <w:hideMark/>
          </w:tcPr>
          <w:p w:rsidR="00857899" w:rsidRPr="00857899" w:rsidRDefault="00857899" w:rsidP="00857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57899">
              <w:rPr>
                <w:color w:val="000000" w:themeColor="text1"/>
              </w:rPr>
              <w:t>2.04</w:t>
            </w:r>
          </w:p>
        </w:tc>
      </w:tr>
      <w:tr w:rsidR="00857899" w:rsidRPr="00131C70" w:rsidTr="00857899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  <w:hideMark/>
          </w:tcPr>
          <w:p w:rsidR="00857899" w:rsidRPr="00857899" w:rsidRDefault="00857899" w:rsidP="00857899">
            <w:pPr>
              <w:rPr>
                <w:rFonts w:ascii="Cambria" w:eastAsia="Times New Roman" w:hAnsi="Cambria" w:cs="Times New Roman"/>
                <w:b w:val="0"/>
                <w:color w:val="0D0D0D" w:themeColor="text1" w:themeTint="F2"/>
                <w:lang w:eastAsia="en-GB"/>
              </w:rPr>
            </w:pPr>
            <w:r w:rsidRPr="00857899">
              <w:rPr>
                <w:rFonts w:ascii="Cambria" w:eastAsia="Times New Roman" w:hAnsi="Cambria" w:cs="Times New Roman"/>
                <w:b w:val="0"/>
                <w:color w:val="0D0D0D" w:themeColor="text1" w:themeTint="F2"/>
                <w:lang w:eastAsia="en-GB"/>
              </w:rPr>
              <w:t>Austrian loan</w:t>
            </w:r>
          </w:p>
        </w:tc>
        <w:tc>
          <w:tcPr>
            <w:tcW w:w="1620" w:type="dxa"/>
            <w:noWrap/>
            <w:hideMark/>
          </w:tcPr>
          <w:p w:rsidR="00857899" w:rsidRPr="00857899" w:rsidRDefault="00857899" w:rsidP="00857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57899">
              <w:rPr>
                <w:color w:val="000000" w:themeColor="text1"/>
              </w:rPr>
              <w:t>0.67</w:t>
            </w:r>
          </w:p>
        </w:tc>
        <w:tc>
          <w:tcPr>
            <w:tcW w:w="1620" w:type="dxa"/>
            <w:noWrap/>
            <w:hideMark/>
          </w:tcPr>
          <w:p w:rsidR="00857899" w:rsidRPr="00857899" w:rsidRDefault="00857899" w:rsidP="00857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57899">
              <w:rPr>
                <w:color w:val="000000" w:themeColor="text1"/>
              </w:rPr>
              <w:t>0.33</w:t>
            </w:r>
          </w:p>
        </w:tc>
      </w:tr>
      <w:tr w:rsidR="00857899" w:rsidRPr="00131C70" w:rsidTr="00857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  <w:hideMark/>
          </w:tcPr>
          <w:p w:rsidR="00857899" w:rsidRPr="00857899" w:rsidRDefault="00857899" w:rsidP="00857899">
            <w:pPr>
              <w:rPr>
                <w:rFonts w:ascii="Cambria" w:eastAsia="Times New Roman" w:hAnsi="Cambria" w:cs="Times New Roman"/>
                <w:b w:val="0"/>
                <w:color w:val="0D0D0D" w:themeColor="text1" w:themeTint="F2"/>
                <w:lang w:eastAsia="en-GB"/>
              </w:rPr>
            </w:pPr>
            <w:r w:rsidRPr="00857899">
              <w:rPr>
                <w:rFonts w:ascii="Cambria" w:eastAsia="Times New Roman" w:hAnsi="Cambria" w:cs="Times New Roman"/>
                <w:b w:val="0"/>
                <w:color w:val="0D0D0D" w:themeColor="text1" w:themeTint="F2"/>
                <w:lang w:eastAsia="en-GB"/>
              </w:rPr>
              <w:t>Eurobond</w:t>
            </w:r>
          </w:p>
        </w:tc>
        <w:tc>
          <w:tcPr>
            <w:tcW w:w="1620" w:type="dxa"/>
            <w:noWrap/>
            <w:hideMark/>
          </w:tcPr>
          <w:p w:rsidR="00857899" w:rsidRPr="00857899" w:rsidRDefault="00857899" w:rsidP="00857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57899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,</w:t>
            </w:r>
            <w:r w:rsidRPr="00857899">
              <w:rPr>
                <w:color w:val="000000" w:themeColor="text1"/>
              </w:rPr>
              <w:t>977.45</w:t>
            </w:r>
          </w:p>
        </w:tc>
        <w:tc>
          <w:tcPr>
            <w:tcW w:w="1620" w:type="dxa"/>
            <w:noWrap/>
            <w:hideMark/>
          </w:tcPr>
          <w:p w:rsidR="00857899" w:rsidRPr="00857899" w:rsidRDefault="00857899" w:rsidP="00857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57899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,</w:t>
            </w:r>
            <w:r w:rsidRPr="00857899">
              <w:rPr>
                <w:color w:val="000000" w:themeColor="text1"/>
              </w:rPr>
              <w:t>750.00</w:t>
            </w:r>
          </w:p>
        </w:tc>
      </w:tr>
      <w:tr w:rsidR="00857899" w:rsidRPr="00131C70" w:rsidTr="00857899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  <w:hideMark/>
          </w:tcPr>
          <w:p w:rsidR="00857899" w:rsidRPr="00857899" w:rsidRDefault="00857899" w:rsidP="00857899">
            <w:pPr>
              <w:rPr>
                <w:rFonts w:ascii="Cambria" w:eastAsia="Times New Roman" w:hAnsi="Cambria" w:cs="Times New Roman"/>
                <w:b w:val="0"/>
                <w:color w:val="0D0D0D" w:themeColor="text1" w:themeTint="F2"/>
                <w:lang w:eastAsia="en-GB"/>
              </w:rPr>
            </w:pPr>
            <w:r w:rsidRPr="00857899">
              <w:rPr>
                <w:rFonts w:ascii="Cambria" w:eastAsia="Times New Roman" w:hAnsi="Cambria" w:cs="Times New Roman"/>
                <w:b w:val="0"/>
                <w:color w:val="0D0D0D" w:themeColor="text1" w:themeTint="F2"/>
                <w:lang w:eastAsia="en-GB"/>
              </w:rPr>
              <w:t xml:space="preserve">Banka Intesa </w:t>
            </w:r>
          </w:p>
        </w:tc>
        <w:tc>
          <w:tcPr>
            <w:tcW w:w="1620" w:type="dxa"/>
            <w:noWrap/>
            <w:hideMark/>
          </w:tcPr>
          <w:p w:rsidR="00857899" w:rsidRPr="00857899" w:rsidRDefault="00857899" w:rsidP="00857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57899">
              <w:rPr>
                <w:color w:val="000000" w:themeColor="text1"/>
              </w:rPr>
              <w:t>13.33</w:t>
            </w:r>
          </w:p>
        </w:tc>
        <w:tc>
          <w:tcPr>
            <w:tcW w:w="1620" w:type="dxa"/>
            <w:noWrap/>
            <w:hideMark/>
          </w:tcPr>
          <w:p w:rsidR="00857899" w:rsidRPr="00857899" w:rsidRDefault="00857899" w:rsidP="00857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57899">
              <w:rPr>
                <w:color w:val="000000" w:themeColor="text1"/>
              </w:rPr>
              <w:t>10.00</w:t>
            </w:r>
          </w:p>
        </w:tc>
      </w:tr>
      <w:tr w:rsidR="00857899" w:rsidRPr="00131C70" w:rsidTr="00857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  <w:hideMark/>
          </w:tcPr>
          <w:p w:rsidR="00857899" w:rsidRPr="00857899" w:rsidRDefault="00857899" w:rsidP="00857899">
            <w:pPr>
              <w:rPr>
                <w:rFonts w:ascii="Cambria" w:eastAsia="Times New Roman" w:hAnsi="Cambria" w:cs="Times New Roman"/>
                <w:b w:val="0"/>
                <w:color w:val="0D0D0D" w:themeColor="text1" w:themeTint="F2"/>
                <w:lang w:eastAsia="en-GB"/>
              </w:rPr>
            </w:pPr>
            <w:r w:rsidRPr="00857899">
              <w:rPr>
                <w:rFonts w:ascii="Cambria" w:eastAsia="Times New Roman" w:hAnsi="Cambria" w:cs="Times New Roman"/>
                <w:b w:val="0"/>
                <w:color w:val="0D0D0D" w:themeColor="text1" w:themeTint="F2"/>
                <w:lang w:eastAsia="en-GB"/>
              </w:rPr>
              <w:t>Syndicated loan-OTP -Erste Group-Zagrebačka bank</w:t>
            </w:r>
          </w:p>
        </w:tc>
        <w:tc>
          <w:tcPr>
            <w:tcW w:w="1620" w:type="dxa"/>
            <w:noWrap/>
            <w:hideMark/>
          </w:tcPr>
          <w:p w:rsidR="00857899" w:rsidRPr="00857899" w:rsidRDefault="00857899" w:rsidP="00857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57899">
              <w:rPr>
                <w:color w:val="000000" w:themeColor="text1"/>
              </w:rPr>
              <w:t>32.40</w:t>
            </w:r>
          </w:p>
        </w:tc>
        <w:tc>
          <w:tcPr>
            <w:tcW w:w="1620" w:type="dxa"/>
            <w:noWrap/>
            <w:hideMark/>
          </w:tcPr>
          <w:p w:rsidR="00857899" w:rsidRPr="00857899" w:rsidRDefault="00857899" w:rsidP="00857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57899">
              <w:rPr>
                <w:color w:val="000000" w:themeColor="text1"/>
              </w:rPr>
              <w:t>24.30</w:t>
            </w:r>
          </w:p>
        </w:tc>
      </w:tr>
      <w:tr w:rsidR="00857899" w:rsidRPr="00131C70" w:rsidTr="00857899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  <w:hideMark/>
          </w:tcPr>
          <w:p w:rsidR="00857899" w:rsidRPr="00857899" w:rsidRDefault="00857899" w:rsidP="00857899">
            <w:pPr>
              <w:rPr>
                <w:rFonts w:ascii="Cambria" w:eastAsia="Times New Roman" w:hAnsi="Cambria" w:cs="Times New Roman"/>
                <w:b w:val="0"/>
                <w:color w:val="0D0D0D" w:themeColor="text1" w:themeTint="F2"/>
                <w:lang w:eastAsia="en-GB"/>
              </w:rPr>
            </w:pPr>
            <w:r w:rsidRPr="00857899">
              <w:rPr>
                <w:rFonts w:ascii="Cambria" w:eastAsia="Times New Roman" w:hAnsi="Cambria" w:cs="Times New Roman"/>
                <w:b w:val="0"/>
                <w:color w:val="0D0D0D" w:themeColor="text1" w:themeTint="F2"/>
                <w:lang w:eastAsia="en-GB"/>
              </w:rPr>
              <w:t>International Fund for Development IFAD</w:t>
            </w:r>
          </w:p>
        </w:tc>
        <w:tc>
          <w:tcPr>
            <w:tcW w:w="1620" w:type="dxa"/>
            <w:noWrap/>
            <w:hideMark/>
          </w:tcPr>
          <w:p w:rsidR="00857899" w:rsidRPr="00857899" w:rsidRDefault="00857899" w:rsidP="00857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57899">
              <w:rPr>
                <w:color w:val="000000" w:themeColor="text1"/>
              </w:rPr>
              <w:t>2.46</w:t>
            </w:r>
          </w:p>
        </w:tc>
        <w:tc>
          <w:tcPr>
            <w:tcW w:w="1620" w:type="dxa"/>
            <w:noWrap/>
            <w:hideMark/>
          </w:tcPr>
          <w:p w:rsidR="00857899" w:rsidRPr="00857899" w:rsidRDefault="00857899" w:rsidP="00857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57899">
              <w:rPr>
                <w:color w:val="000000" w:themeColor="text1"/>
              </w:rPr>
              <w:t>3.11</w:t>
            </w:r>
          </w:p>
        </w:tc>
      </w:tr>
      <w:tr w:rsidR="00857899" w:rsidRPr="00131C70" w:rsidTr="00857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  <w:hideMark/>
          </w:tcPr>
          <w:p w:rsidR="00857899" w:rsidRPr="00857899" w:rsidRDefault="00857899" w:rsidP="00857899">
            <w:pPr>
              <w:rPr>
                <w:rFonts w:ascii="Cambria" w:eastAsia="Times New Roman" w:hAnsi="Cambria" w:cs="Times New Roman"/>
                <w:b w:val="0"/>
                <w:color w:val="0D0D0D" w:themeColor="text1" w:themeTint="F2"/>
                <w:lang w:eastAsia="en-GB"/>
              </w:rPr>
            </w:pPr>
            <w:r w:rsidRPr="00857899">
              <w:rPr>
                <w:rFonts w:ascii="Cambria" w:eastAsia="Times New Roman" w:hAnsi="Cambria" w:cs="Times New Roman"/>
                <w:b w:val="0"/>
                <w:color w:val="0D0D0D" w:themeColor="text1" w:themeTint="F2"/>
                <w:lang w:eastAsia="en-GB"/>
              </w:rPr>
              <w:t xml:space="preserve">Export Development Canada EDC </w:t>
            </w:r>
          </w:p>
        </w:tc>
        <w:tc>
          <w:tcPr>
            <w:tcW w:w="1620" w:type="dxa"/>
            <w:noWrap/>
            <w:hideMark/>
          </w:tcPr>
          <w:p w:rsidR="00857899" w:rsidRPr="00857899" w:rsidRDefault="00857899" w:rsidP="00857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57899">
              <w:rPr>
                <w:color w:val="000000" w:themeColor="text1"/>
              </w:rPr>
              <w:t>14.99</w:t>
            </w:r>
          </w:p>
        </w:tc>
        <w:tc>
          <w:tcPr>
            <w:tcW w:w="1620" w:type="dxa"/>
            <w:noWrap/>
            <w:hideMark/>
          </w:tcPr>
          <w:p w:rsidR="00857899" w:rsidRPr="00857899" w:rsidRDefault="00857899" w:rsidP="00857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57899">
              <w:rPr>
                <w:color w:val="000000" w:themeColor="text1"/>
              </w:rPr>
              <w:t>14.81</w:t>
            </w:r>
          </w:p>
        </w:tc>
      </w:tr>
      <w:tr w:rsidR="00857899" w:rsidRPr="00131C70" w:rsidTr="00857899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</w:tcPr>
          <w:p w:rsidR="00857899" w:rsidRPr="00857899" w:rsidRDefault="00857899" w:rsidP="00857899">
            <w:pPr>
              <w:rPr>
                <w:rFonts w:ascii="Cambria" w:eastAsia="Times New Roman" w:hAnsi="Cambria" w:cs="Times New Roman"/>
                <w:b w:val="0"/>
                <w:color w:val="0D0D0D" w:themeColor="text1" w:themeTint="F2"/>
                <w:lang w:eastAsia="en-GB"/>
              </w:rPr>
            </w:pPr>
            <w:r w:rsidRPr="00857899">
              <w:rPr>
                <w:rFonts w:ascii="Cambria" w:eastAsia="Times New Roman" w:hAnsi="Cambria" w:cs="Times New Roman"/>
                <w:b w:val="0"/>
                <w:color w:val="0D0D0D" w:themeColor="text1" w:themeTint="F2"/>
                <w:lang w:eastAsia="en-GB"/>
              </w:rPr>
              <w:t>HAPOALIM - armoured vehicles</w:t>
            </w:r>
          </w:p>
        </w:tc>
        <w:tc>
          <w:tcPr>
            <w:tcW w:w="1620" w:type="dxa"/>
            <w:noWrap/>
          </w:tcPr>
          <w:p w:rsidR="00857899" w:rsidRPr="00857899" w:rsidRDefault="00857899" w:rsidP="00857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57899">
              <w:rPr>
                <w:color w:val="000000" w:themeColor="text1"/>
              </w:rPr>
              <w:t>6.03</w:t>
            </w:r>
          </w:p>
        </w:tc>
        <w:tc>
          <w:tcPr>
            <w:tcW w:w="1620" w:type="dxa"/>
            <w:noWrap/>
          </w:tcPr>
          <w:p w:rsidR="00857899" w:rsidRPr="00857899" w:rsidRDefault="00857899" w:rsidP="00857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57899">
              <w:rPr>
                <w:color w:val="000000" w:themeColor="text1"/>
              </w:rPr>
              <w:t>6.03</w:t>
            </w:r>
          </w:p>
        </w:tc>
      </w:tr>
      <w:tr w:rsidR="00857899" w:rsidRPr="00131C70" w:rsidTr="00857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</w:tcPr>
          <w:p w:rsidR="00857899" w:rsidRPr="00857899" w:rsidRDefault="00857899" w:rsidP="00857899">
            <w:pPr>
              <w:rPr>
                <w:rFonts w:ascii="Cambria" w:eastAsia="Times New Roman" w:hAnsi="Cambria" w:cs="Times New Roman"/>
                <w:b w:val="0"/>
                <w:color w:val="0D0D0D" w:themeColor="text1" w:themeTint="F2"/>
                <w:lang w:eastAsia="en-GB"/>
              </w:rPr>
            </w:pPr>
            <w:r w:rsidRPr="00857899">
              <w:rPr>
                <w:rFonts w:ascii="Cambria" w:eastAsia="Times New Roman" w:hAnsi="Cambria" w:cs="Times New Roman"/>
                <w:b w:val="0"/>
                <w:color w:val="0D0D0D" w:themeColor="text1" w:themeTint="F2"/>
                <w:lang w:eastAsia="en-GB"/>
              </w:rPr>
              <w:t>Rapid Financing Instrument - MMF</w:t>
            </w:r>
          </w:p>
        </w:tc>
        <w:tc>
          <w:tcPr>
            <w:tcW w:w="1620" w:type="dxa"/>
            <w:noWrap/>
          </w:tcPr>
          <w:p w:rsidR="00857899" w:rsidRPr="00857899" w:rsidRDefault="00857899" w:rsidP="00857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57899">
              <w:rPr>
                <w:color w:val="000000" w:themeColor="text1"/>
              </w:rPr>
              <w:t>71.62</w:t>
            </w:r>
          </w:p>
        </w:tc>
        <w:tc>
          <w:tcPr>
            <w:tcW w:w="1620" w:type="dxa"/>
            <w:noWrap/>
          </w:tcPr>
          <w:p w:rsidR="00857899" w:rsidRPr="00857899" w:rsidRDefault="00857899" w:rsidP="00857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57899">
              <w:rPr>
                <w:color w:val="000000" w:themeColor="text1"/>
              </w:rPr>
              <w:t>73.13</w:t>
            </w:r>
          </w:p>
        </w:tc>
      </w:tr>
      <w:tr w:rsidR="00857899" w:rsidRPr="00131C70" w:rsidTr="00857899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</w:tcPr>
          <w:p w:rsidR="00857899" w:rsidRPr="00857899" w:rsidRDefault="00857899" w:rsidP="00857899">
            <w:pPr>
              <w:rPr>
                <w:rFonts w:ascii="Cambria" w:eastAsia="Times New Roman" w:hAnsi="Cambria" w:cs="Times New Roman"/>
                <w:b w:val="0"/>
                <w:color w:val="0D0D0D" w:themeColor="text1" w:themeTint="F2"/>
                <w:lang w:eastAsia="en-GB"/>
              </w:rPr>
            </w:pPr>
            <w:r w:rsidRPr="00857899">
              <w:rPr>
                <w:rFonts w:ascii="Cambria" w:eastAsia="Times New Roman" w:hAnsi="Cambria" w:cs="Times New Roman"/>
                <w:b w:val="0"/>
                <w:color w:val="0D0D0D" w:themeColor="text1" w:themeTint="F2"/>
                <w:lang w:eastAsia="en-GB"/>
              </w:rPr>
              <w:t>Syndicated loan - PBG</w:t>
            </w:r>
          </w:p>
        </w:tc>
        <w:tc>
          <w:tcPr>
            <w:tcW w:w="1620" w:type="dxa"/>
            <w:noWrap/>
          </w:tcPr>
          <w:p w:rsidR="00857899" w:rsidRPr="00857899" w:rsidRDefault="00857899" w:rsidP="00857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57899">
              <w:rPr>
                <w:color w:val="000000" w:themeColor="text1"/>
              </w:rPr>
              <w:t>250.00</w:t>
            </w:r>
          </w:p>
        </w:tc>
        <w:tc>
          <w:tcPr>
            <w:tcW w:w="1620" w:type="dxa"/>
            <w:noWrap/>
          </w:tcPr>
          <w:p w:rsidR="00857899" w:rsidRPr="00857899" w:rsidRDefault="00857899" w:rsidP="00857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57899">
              <w:rPr>
                <w:color w:val="000000" w:themeColor="text1"/>
              </w:rPr>
              <w:t>250.00</w:t>
            </w:r>
          </w:p>
        </w:tc>
      </w:tr>
      <w:tr w:rsidR="00857899" w:rsidRPr="00131C70" w:rsidTr="00857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</w:tcPr>
          <w:p w:rsidR="00857899" w:rsidRPr="00857899" w:rsidRDefault="00857899" w:rsidP="00857899">
            <w:pPr>
              <w:rPr>
                <w:rFonts w:ascii="Cambria" w:eastAsia="Times New Roman" w:hAnsi="Cambria" w:cs="Times New Roman"/>
                <w:b w:val="0"/>
                <w:color w:val="0D0D0D" w:themeColor="text1" w:themeTint="F2"/>
                <w:lang w:eastAsia="en-GB"/>
              </w:rPr>
            </w:pPr>
            <w:r w:rsidRPr="00857899">
              <w:rPr>
                <w:rFonts w:ascii="Cambria" w:eastAsia="Times New Roman" w:hAnsi="Cambria" w:cs="Times New Roman"/>
                <w:b w:val="0"/>
                <w:color w:val="0D0D0D" w:themeColor="text1" w:themeTint="F2"/>
                <w:lang w:eastAsia="en-GB"/>
              </w:rPr>
              <w:t>Syndicated loan - PBG 2</w:t>
            </w:r>
          </w:p>
        </w:tc>
        <w:tc>
          <w:tcPr>
            <w:tcW w:w="1620" w:type="dxa"/>
            <w:noWrap/>
          </w:tcPr>
          <w:p w:rsidR="00857899" w:rsidRPr="00857899" w:rsidRDefault="00857899" w:rsidP="00857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57899">
              <w:rPr>
                <w:color w:val="000000" w:themeColor="text1"/>
              </w:rPr>
              <w:t>250.00</w:t>
            </w:r>
          </w:p>
        </w:tc>
        <w:tc>
          <w:tcPr>
            <w:tcW w:w="1620" w:type="dxa"/>
            <w:noWrap/>
          </w:tcPr>
          <w:p w:rsidR="00857899" w:rsidRPr="00857899" w:rsidRDefault="00857899" w:rsidP="00857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57899">
              <w:rPr>
                <w:color w:val="000000" w:themeColor="text1"/>
              </w:rPr>
              <w:t>250.00</w:t>
            </w:r>
          </w:p>
        </w:tc>
      </w:tr>
      <w:tr w:rsidR="00857899" w:rsidRPr="00131C70" w:rsidTr="00857899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  <w:hideMark/>
          </w:tcPr>
          <w:p w:rsidR="00857899" w:rsidRPr="00857899" w:rsidRDefault="00857899" w:rsidP="00857899">
            <w:pPr>
              <w:rPr>
                <w:rFonts w:ascii="Cambria" w:eastAsia="Times New Roman" w:hAnsi="Cambria" w:cs="Times New Roman"/>
                <w:color w:val="0D0D0D" w:themeColor="text1" w:themeTint="F2"/>
                <w:lang w:eastAsia="en-GB"/>
              </w:rPr>
            </w:pPr>
            <w:r w:rsidRPr="00857899">
              <w:rPr>
                <w:rFonts w:ascii="Cambria" w:eastAsia="Times New Roman" w:hAnsi="Cambria" w:cs="Times New Roman"/>
                <w:color w:val="0D0D0D" w:themeColor="text1" w:themeTint="F2"/>
                <w:lang w:eastAsia="en-GB"/>
              </w:rPr>
              <w:t>Total Foreign Debt</w:t>
            </w:r>
          </w:p>
        </w:tc>
        <w:tc>
          <w:tcPr>
            <w:tcW w:w="1620" w:type="dxa"/>
            <w:noWrap/>
            <w:hideMark/>
          </w:tcPr>
          <w:p w:rsidR="00857899" w:rsidRPr="00857899" w:rsidRDefault="00857899" w:rsidP="00857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857899">
              <w:rPr>
                <w:b/>
                <w:color w:val="000000" w:themeColor="text1"/>
              </w:rPr>
              <w:t>3</w:t>
            </w:r>
            <w:r>
              <w:rPr>
                <w:b/>
                <w:color w:val="000000" w:themeColor="text1"/>
              </w:rPr>
              <w:t>,</w:t>
            </w:r>
            <w:r w:rsidRPr="00857899">
              <w:rPr>
                <w:b/>
                <w:color w:val="000000" w:themeColor="text1"/>
              </w:rPr>
              <w:t>835.27</w:t>
            </w:r>
          </w:p>
        </w:tc>
        <w:tc>
          <w:tcPr>
            <w:tcW w:w="1620" w:type="dxa"/>
            <w:noWrap/>
            <w:hideMark/>
          </w:tcPr>
          <w:p w:rsidR="00857899" w:rsidRPr="00857899" w:rsidRDefault="00857899" w:rsidP="00857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857899">
              <w:rPr>
                <w:b/>
                <w:color w:val="000000" w:themeColor="text1"/>
              </w:rPr>
              <w:t>3</w:t>
            </w:r>
            <w:r>
              <w:rPr>
                <w:b/>
                <w:color w:val="000000" w:themeColor="text1"/>
              </w:rPr>
              <w:t>,</w:t>
            </w:r>
            <w:r w:rsidRPr="00857899">
              <w:rPr>
                <w:b/>
                <w:color w:val="000000" w:themeColor="text1"/>
              </w:rPr>
              <w:t>642.68</w:t>
            </w:r>
          </w:p>
        </w:tc>
      </w:tr>
      <w:tr w:rsidR="00857899" w:rsidRPr="00131C70" w:rsidTr="00857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  <w:noWrap/>
            <w:hideMark/>
          </w:tcPr>
          <w:p w:rsidR="00857899" w:rsidRPr="00857899" w:rsidRDefault="00857899" w:rsidP="00857899">
            <w:pPr>
              <w:rPr>
                <w:rFonts w:ascii="Cambria" w:eastAsia="Times New Roman" w:hAnsi="Cambria" w:cs="Times New Roman"/>
                <w:b w:val="0"/>
                <w:color w:val="0D0D0D" w:themeColor="text1" w:themeTint="F2"/>
                <w:lang w:eastAsia="en-GB"/>
              </w:rPr>
            </w:pPr>
            <w:r w:rsidRPr="00857899">
              <w:rPr>
                <w:rFonts w:ascii="Cambria" w:eastAsia="Times New Roman" w:hAnsi="Cambria" w:cs="Times New Roman"/>
                <w:b w:val="0"/>
                <w:color w:val="0D0D0D" w:themeColor="text1" w:themeTint="F2"/>
                <w:lang w:eastAsia="en-GB"/>
              </w:rPr>
              <w:t>Old currency savings</w:t>
            </w:r>
          </w:p>
        </w:tc>
        <w:tc>
          <w:tcPr>
            <w:tcW w:w="1620" w:type="dxa"/>
            <w:noWrap/>
            <w:hideMark/>
          </w:tcPr>
          <w:p w:rsidR="00857899" w:rsidRPr="00857899" w:rsidRDefault="00857899" w:rsidP="00857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57899">
              <w:rPr>
                <w:color w:val="000000" w:themeColor="text1"/>
              </w:rPr>
              <w:t>10.49</w:t>
            </w:r>
          </w:p>
        </w:tc>
        <w:tc>
          <w:tcPr>
            <w:tcW w:w="1620" w:type="dxa"/>
            <w:noWrap/>
            <w:hideMark/>
          </w:tcPr>
          <w:p w:rsidR="00857899" w:rsidRPr="00857899" w:rsidRDefault="00857899" w:rsidP="00857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57899">
              <w:rPr>
                <w:color w:val="000000" w:themeColor="text1"/>
              </w:rPr>
              <w:t>10.33</w:t>
            </w:r>
          </w:p>
        </w:tc>
      </w:tr>
      <w:tr w:rsidR="00857899" w:rsidRPr="00131C70" w:rsidTr="00857899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  <w:hideMark/>
          </w:tcPr>
          <w:p w:rsidR="00857899" w:rsidRPr="00857899" w:rsidRDefault="00857899" w:rsidP="00857899">
            <w:pPr>
              <w:rPr>
                <w:rFonts w:ascii="Cambria" w:eastAsia="Times New Roman" w:hAnsi="Cambria" w:cs="Times New Roman"/>
                <w:b w:val="0"/>
                <w:color w:val="0D0D0D" w:themeColor="text1" w:themeTint="F2"/>
                <w:lang w:eastAsia="en-GB"/>
              </w:rPr>
            </w:pPr>
            <w:r w:rsidRPr="00857899">
              <w:rPr>
                <w:rFonts w:ascii="Cambria" w:eastAsia="Times New Roman" w:hAnsi="Cambria" w:cs="Times New Roman"/>
                <w:b w:val="0"/>
                <w:color w:val="0D0D0D" w:themeColor="text1" w:themeTint="F2"/>
                <w:lang w:eastAsia="en-GB"/>
              </w:rPr>
              <w:t>Restitution obligations</w:t>
            </w:r>
          </w:p>
        </w:tc>
        <w:tc>
          <w:tcPr>
            <w:tcW w:w="1620" w:type="dxa"/>
            <w:noWrap/>
            <w:hideMark/>
          </w:tcPr>
          <w:p w:rsidR="00857899" w:rsidRPr="00857899" w:rsidRDefault="00857899" w:rsidP="00857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57899">
              <w:rPr>
                <w:color w:val="000000" w:themeColor="text1"/>
              </w:rPr>
              <w:t>83.52</w:t>
            </w:r>
          </w:p>
        </w:tc>
        <w:tc>
          <w:tcPr>
            <w:tcW w:w="1620" w:type="dxa"/>
            <w:noWrap/>
            <w:hideMark/>
          </w:tcPr>
          <w:p w:rsidR="00857899" w:rsidRPr="00857899" w:rsidRDefault="00857899" w:rsidP="00857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57899">
              <w:rPr>
                <w:color w:val="000000" w:themeColor="text1"/>
              </w:rPr>
              <w:t>82.76</w:t>
            </w:r>
          </w:p>
        </w:tc>
      </w:tr>
      <w:tr w:rsidR="00857899" w:rsidRPr="00131C70" w:rsidTr="00857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  <w:hideMark/>
          </w:tcPr>
          <w:p w:rsidR="00857899" w:rsidRPr="00857899" w:rsidRDefault="00857899" w:rsidP="00857899">
            <w:pPr>
              <w:rPr>
                <w:rFonts w:ascii="Cambria" w:eastAsia="Times New Roman" w:hAnsi="Cambria" w:cs="Times New Roman"/>
                <w:b w:val="0"/>
                <w:color w:val="0D0D0D" w:themeColor="text1" w:themeTint="F2"/>
                <w:lang w:eastAsia="en-GB"/>
              </w:rPr>
            </w:pPr>
            <w:r w:rsidRPr="00857899">
              <w:rPr>
                <w:rFonts w:ascii="Cambria" w:eastAsia="Times New Roman" w:hAnsi="Cambria" w:cs="Times New Roman"/>
                <w:b w:val="0"/>
                <w:color w:val="0D0D0D" w:themeColor="text1" w:themeTint="F2"/>
                <w:lang w:eastAsia="en-GB"/>
              </w:rPr>
              <w:t>Credit from commercial banks</w:t>
            </w:r>
          </w:p>
        </w:tc>
        <w:tc>
          <w:tcPr>
            <w:tcW w:w="1620" w:type="dxa"/>
            <w:noWrap/>
            <w:hideMark/>
          </w:tcPr>
          <w:p w:rsidR="00857899" w:rsidRPr="00857899" w:rsidRDefault="00857899" w:rsidP="00857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57899">
              <w:rPr>
                <w:color w:val="000000" w:themeColor="text1"/>
              </w:rPr>
              <w:t>174.35</w:t>
            </w:r>
          </w:p>
        </w:tc>
        <w:tc>
          <w:tcPr>
            <w:tcW w:w="1620" w:type="dxa"/>
            <w:noWrap/>
            <w:hideMark/>
          </w:tcPr>
          <w:p w:rsidR="00857899" w:rsidRPr="00857899" w:rsidRDefault="00857899" w:rsidP="00857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57899">
              <w:rPr>
                <w:color w:val="000000" w:themeColor="text1"/>
              </w:rPr>
              <w:t>163.21</w:t>
            </w:r>
          </w:p>
        </w:tc>
      </w:tr>
      <w:tr w:rsidR="00857899" w:rsidRPr="00131C70" w:rsidTr="00857899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  <w:hideMark/>
          </w:tcPr>
          <w:p w:rsidR="00857899" w:rsidRPr="00857899" w:rsidRDefault="00857899" w:rsidP="00857899">
            <w:pPr>
              <w:rPr>
                <w:rFonts w:ascii="Cambria" w:eastAsia="Times New Roman" w:hAnsi="Cambria" w:cs="Times New Roman"/>
                <w:b w:val="0"/>
                <w:color w:val="0D0D0D" w:themeColor="text1" w:themeTint="F2"/>
                <w:lang w:eastAsia="en-GB"/>
              </w:rPr>
            </w:pPr>
            <w:r w:rsidRPr="00857899">
              <w:rPr>
                <w:rFonts w:ascii="Cambria" w:eastAsia="Times New Roman" w:hAnsi="Cambria" w:cs="Times New Roman"/>
                <w:b w:val="0"/>
                <w:color w:val="0D0D0D" w:themeColor="text1" w:themeTint="F2"/>
                <w:lang w:eastAsia="en-GB"/>
              </w:rPr>
              <w:t>Pension arrears</w:t>
            </w:r>
          </w:p>
        </w:tc>
        <w:tc>
          <w:tcPr>
            <w:tcW w:w="1620" w:type="dxa"/>
            <w:noWrap/>
            <w:hideMark/>
          </w:tcPr>
          <w:p w:rsidR="00857899" w:rsidRPr="00857899" w:rsidRDefault="00857899" w:rsidP="00857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57899">
              <w:rPr>
                <w:color w:val="000000" w:themeColor="text1"/>
              </w:rPr>
              <w:t>1.90</w:t>
            </w:r>
          </w:p>
        </w:tc>
        <w:tc>
          <w:tcPr>
            <w:tcW w:w="1620" w:type="dxa"/>
            <w:noWrap/>
            <w:hideMark/>
          </w:tcPr>
          <w:p w:rsidR="00857899" w:rsidRPr="00857899" w:rsidRDefault="00857899" w:rsidP="00857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57899">
              <w:rPr>
                <w:color w:val="000000" w:themeColor="text1"/>
              </w:rPr>
              <w:t>1.90</w:t>
            </w:r>
          </w:p>
        </w:tc>
      </w:tr>
      <w:tr w:rsidR="00857899" w:rsidRPr="00131C70" w:rsidTr="00857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  <w:hideMark/>
          </w:tcPr>
          <w:p w:rsidR="00857899" w:rsidRPr="00857899" w:rsidRDefault="00857899" w:rsidP="00857899">
            <w:pPr>
              <w:rPr>
                <w:rFonts w:ascii="Cambria" w:eastAsia="Times New Roman" w:hAnsi="Cambria" w:cs="Times New Roman"/>
                <w:b w:val="0"/>
                <w:color w:val="0D0D0D" w:themeColor="text1" w:themeTint="F2"/>
                <w:lang w:eastAsia="en-GB"/>
              </w:rPr>
            </w:pPr>
            <w:r w:rsidRPr="00857899">
              <w:rPr>
                <w:rFonts w:ascii="Cambria" w:eastAsia="Times New Roman" w:hAnsi="Cambria" w:cs="Times New Roman"/>
                <w:b w:val="0"/>
                <w:color w:val="0D0D0D" w:themeColor="text1" w:themeTint="F2"/>
                <w:lang w:eastAsia="en-GB"/>
              </w:rPr>
              <w:t>T bills</w:t>
            </w:r>
          </w:p>
        </w:tc>
        <w:tc>
          <w:tcPr>
            <w:tcW w:w="1620" w:type="dxa"/>
            <w:noWrap/>
            <w:hideMark/>
          </w:tcPr>
          <w:p w:rsidR="00857899" w:rsidRPr="00857899" w:rsidRDefault="00857899" w:rsidP="00857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57899">
              <w:rPr>
                <w:color w:val="000000" w:themeColor="text1"/>
              </w:rPr>
              <w:t>41.70</w:t>
            </w:r>
          </w:p>
        </w:tc>
        <w:tc>
          <w:tcPr>
            <w:tcW w:w="1620" w:type="dxa"/>
            <w:noWrap/>
            <w:hideMark/>
          </w:tcPr>
          <w:p w:rsidR="00857899" w:rsidRPr="00857899" w:rsidRDefault="00857899" w:rsidP="00857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57899">
              <w:rPr>
                <w:color w:val="000000" w:themeColor="text1"/>
              </w:rPr>
              <w:t>15.00</w:t>
            </w:r>
          </w:p>
        </w:tc>
      </w:tr>
      <w:tr w:rsidR="00857899" w:rsidRPr="00131C70" w:rsidTr="00857899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  <w:hideMark/>
          </w:tcPr>
          <w:p w:rsidR="00857899" w:rsidRPr="00857899" w:rsidRDefault="00857899" w:rsidP="00857899">
            <w:pPr>
              <w:rPr>
                <w:rFonts w:ascii="Cambria" w:eastAsia="Times New Roman" w:hAnsi="Cambria" w:cs="Times New Roman"/>
                <w:b w:val="0"/>
                <w:color w:val="0D0D0D" w:themeColor="text1" w:themeTint="F2"/>
                <w:lang w:eastAsia="en-GB"/>
              </w:rPr>
            </w:pPr>
            <w:r w:rsidRPr="00857899">
              <w:rPr>
                <w:rFonts w:ascii="Cambria" w:eastAsia="Times New Roman" w:hAnsi="Cambria" w:cs="Times New Roman"/>
                <w:b w:val="0"/>
                <w:color w:val="0D0D0D" w:themeColor="text1" w:themeTint="F2"/>
                <w:lang w:eastAsia="en-GB"/>
              </w:rPr>
              <w:t>Domestic bonds - GB16</w:t>
            </w:r>
          </w:p>
        </w:tc>
        <w:tc>
          <w:tcPr>
            <w:tcW w:w="1620" w:type="dxa"/>
            <w:noWrap/>
            <w:hideMark/>
          </w:tcPr>
          <w:p w:rsidR="00857899" w:rsidRPr="00857899" w:rsidRDefault="00857899" w:rsidP="00857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57899">
              <w:rPr>
                <w:color w:val="000000" w:themeColor="text1"/>
              </w:rPr>
              <w:t>0.00</w:t>
            </w:r>
          </w:p>
        </w:tc>
        <w:tc>
          <w:tcPr>
            <w:tcW w:w="1620" w:type="dxa"/>
            <w:noWrap/>
            <w:hideMark/>
          </w:tcPr>
          <w:p w:rsidR="00857899" w:rsidRPr="00857899" w:rsidRDefault="00857899" w:rsidP="00857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57899">
              <w:rPr>
                <w:color w:val="000000" w:themeColor="text1"/>
              </w:rPr>
              <w:t>0.00</w:t>
            </w:r>
          </w:p>
        </w:tc>
      </w:tr>
      <w:tr w:rsidR="00857899" w:rsidRPr="00131C70" w:rsidTr="00857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  <w:hideMark/>
          </w:tcPr>
          <w:p w:rsidR="00857899" w:rsidRPr="00857899" w:rsidRDefault="00857899" w:rsidP="00857899">
            <w:pPr>
              <w:rPr>
                <w:rFonts w:ascii="Cambria" w:eastAsia="Times New Roman" w:hAnsi="Cambria" w:cs="Times New Roman"/>
                <w:b w:val="0"/>
                <w:color w:val="0D0D0D" w:themeColor="text1" w:themeTint="F2"/>
                <w:lang w:eastAsia="en-GB"/>
              </w:rPr>
            </w:pPr>
            <w:r w:rsidRPr="00857899">
              <w:rPr>
                <w:rFonts w:ascii="Cambria" w:eastAsia="Times New Roman" w:hAnsi="Cambria" w:cs="Times New Roman"/>
                <w:b w:val="0"/>
                <w:color w:val="0D0D0D" w:themeColor="text1" w:themeTint="F2"/>
                <w:lang w:eastAsia="en-GB"/>
              </w:rPr>
              <w:t>Domestic Bonds - GB24</w:t>
            </w:r>
          </w:p>
        </w:tc>
        <w:tc>
          <w:tcPr>
            <w:tcW w:w="1620" w:type="dxa"/>
            <w:noWrap/>
            <w:hideMark/>
          </w:tcPr>
          <w:p w:rsidR="00857899" w:rsidRPr="00857899" w:rsidRDefault="00857899" w:rsidP="00857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57899">
              <w:rPr>
                <w:color w:val="000000" w:themeColor="text1"/>
              </w:rPr>
              <w:t>92.44</w:t>
            </w:r>
          </w:p>
        </w:tc>
        <w:tc>
          <w:tcPr>
            <w:tcW w:w="1620" w:type="dxa"/>
            <w:noWrap/>
            <w:hideMark/>
          </w:tcPr>
          <w:p w:rsidR="00857899" w:rsidRPr="00857899" w:rsidRDefault="00857899" w:rsidP="00857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57899">
              <w:rPr>
                <w:color w:val="000000" w:themeColor="text1"/>
              </w:rPr>
              <w:t>92.44</w:t>
            </w:r>
          </w:p>
        </w:tc>
      </w:tr>
      <w:tr w:rsidR="00857899" w:rsidRPr="00131C70" w:rsidTr="00857899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</w:tcPr>
          <w:p w:rsidR="00857899" w:rsidRPr="00857899" w:rsidRDefault="00857899" w:rsidP="00857899">
            <w:pPr>
              <w:rPr>
                <w:rFonts w:ascii="Cambria" w:eastAsia="Times New Roman" w:hAnsi="Cambria" w:cs="Times New Roman"/>
                <w:b w:val="0"/>
                <w:color w:val="0D0D0D" w:themeColor="text1" w:themeTint="F2"/>
                <w:lang w:eastAsia="en-GB"/>
              </w:rPr>
            </w:pPr>
            <w:r w:rsidRPr="00857899">
              <w:rPr>
                <w:rFonts w:ascii="Cambria" w:eastAsia="Times New Roman" w:hAnsi="Cambria" w:cs="Times New Roman"/>
                <w:b w:val="0"/>
                <w:color w:val="0D0D0D" w:themeColor="text1" w:themeTint="F2"/>
                <w:lang w:eastAsia="en-GB"/>
              </w:rPr>
              <w:lastRenderedPageBreak/>
              <w:t>Domestic Bonds- GB 26</w:t>
            </w:r>
          </w:p>
        </w:tc>
        <w:tc>
          <w:tcPr>
            <w:tcW w:w="1620" w:type="dxa"/>
            <w:noWrap/>
          </w:tcPr>
          <w:p w:rsidR="00857899" w:rsidRPr="00857899" w:rsidRDefault="00857899" w:rsidP="00857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57899">
              <w:rPr>
                <w:color w:val="000000" w:themeColor="text1"/>
              </w:rPr>
              <w:t>50.00</w:t>
            </w:r>
          </w:p>
        </w:tc>
        <w:tc>
          <w:tcPr>
            <w:tcW w:w="1620" w:type="dxa"/>
            <w:noWrap/>
          </w:tcPr>
          <w:p w:rsidR="00857899" w:rsidRPr="00857899" w:rsidRDefault="00857899" w:rsidP="00857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57899">
              <w:rPr>
                <w:color w:val="000000" w:themeColor="text1"/>
              </w:rPr>
              <w:t>50.00</w:t>
            </w:r>
          </w:p>
        </w:tc>
      </w:tr>
      <w:tr w:rsidR="00857899" w:rsidRPr="00131C70" w:rsidTr="00857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</w:tcPr>
          <w:p w:rsidR="00857899" w:rsidRPr="00857899" w:rsidRDefault="00857899" w:rsidP="00857899">
            <w:pPr>
              <w:rPr>
                <w:rFonts w:ascii="Cambria" w:eastAsia="Times New Roman" w:hAnsi="Cambria" w:cs="Times New Roman"/>
                <w:b w:val="0"/>
                <w:color w:val="0D0D0D" w:themeColor="text1" w:themeTint="F2"/>
                <w:lang w:eastAsia="en-GB"/>
              </w:rPr>
            </w:pPr>
            <w:r w:rsidRPr="00857899">
              <w:rPr>
                <w:rFonts w:ascii="Cambria" w:eastAsia="Times New Roman" w:hAnsi="Cambria" w:cs="Times New Roman"/>
                <w:b w:val="0"/>
                <w:color w:val="0D0D0D" w:themeColor="text1" w:themeTint="F2"/>
                <w:lang w:eastAsia="en-GB"/>
              </w:rPr>
              <w:t>Legal persons and business organizations</w:t>
            </w:r>
          </w:p>
        </w:tc>
        <w:tc>
          <w:tcPr>
            <w:tcW w:w="1620" w:type="dxa"/>
            <w:noWrap/>
          </w:tcPr>
          <w:p w:rsidR="00857899" w:rsidRPr="00857899" w:rsidRDefault="00857899" w:rsidP="00857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57899">
              <w:rPr>
                <w:color w:val="000000" w:themeColor="text1"/>
              </w:rPr>
              <w:t>41.16</w:t>
            </w:r>
          </w:p>
        </w:tc>
        <w:tc>
          <w:tcPr>
            <w:tcW w:w="1620" w:type="dxa"/>
            <w:noWrap/>
          </w:tcPr>
          <w:p w:rsidR="00857899" w:rsidRPr="00857899" w:rsidRDefault="00857899" w:rsidP="00857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57899">
              <w:rPr>
                <w:color w:val="000000" w:themeColor="text1"/>
              </w:rPr>
              <w:t>39.12</w:t>
            </w:r>
          </w:p>
        </w:tc>
      </w:tr>
      <w:tr w:rsidR="00857899" w:rsidRPr="00EB3E4C" w:rsidTr="00857899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  <w:hideMark/>
          </w:tcPr>
          <w:p w:rsidR="00857899" w:rsidRPr="00857899" w:rsidRDefault="00857899" w:rsidP="00857899">
            <w:pPr>
              <w:rPr>
                <w:rFonts w:ascii="Cambria" w:eastAsia="Times New Roman" w:hAnsi="Cambria" w:cs="Times New Roman"/>
                <w:color w:val="0D0D0D" w:themeColor="text1" w:themeTint="F2"/>
                <w:lang w:eastAsia="en-GB"/>
              </w:rPr>
            </w:pPr>
            <w:r w:rsidRPr="00857899">
              <w:rPr>
                <w:rFonts w:ascii="Cambria" w:eastAsia="Times New Roman" w:hAnsi="Cambria" w:cs="Times New Roman"/>
                <w:color w:val="0D0D0D" w:themeColor="text1" w:themeTint="F2"/>
                <w:lang w:eastAsia="en-GB"/>
              </w:rPr>
              <w:t>Total Domestic Debt</w:t>
            </w:r>
          </w:p>
        </w:tc>
        <w:tc>
          <w:tcPr>
            <w:tcW w:w="1620" w:type="dxa"/>
            <w:noWrap/>
            <w:hideMark/>
          </w:tcPr>
          <w:p w:rsidR="00857899" w:rsidRPr="00857899" w:rsidRDefault="00857899" w:rsidP="00857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857899">
              <w:rPr>
                <w:b/>
                <w:color w:val="000000" w:themeColor="text1"/>
              </w:rPr>
              <w:t>495.56</w:t>
            </w:r>
          </w:p>
        </w:tc>
        <w:tc>
          <w:tcPr>
            <w:tcW w:w="1620" w:type="dxa"/>
            <w:noWrap/>
            <w:hideMark/>
          </w:tcPr>
          <w:p w:rsidR="00857899" w:rsidRPr="00857899" w:rsidRDefault="00857899" w:rsidP="00857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857899">
              <w:rPr>
                <w:b/>
                <w:color w:val="000000" w:themeColor="text1"/>
              </w:rPr>
              <w:t>454.76</w:t>
            </w:r>
          </w:p>
        </w:tc>
      </w:tr>
      <w:tr w:rsidR="00857899" w:rsidRPr="00EB3E4C" w:rsidTr="00857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  <w:noWrap/>
            <w:hideMark/>
          </w:tcPr>
          <w:p w:rsidR="00857899" w:rsidRPr="00857899" w:rsidRDefault="00857899" w:rsidP="00857899">
            <w:pPr>
              <w:rPr>
                <w:rFonts w:ascii="Cambria" w:eastAsia="Times New Roman" w:hAnsi="Cambria" w:cs="Times New Roman"/>
                <w:color w:val="0D0D0D" w:themeColor="text1" w:themeTint="F2"/>
                <w:lang w:eastAsia="en-GB"/>
              </w:rPr>
            </w:pPr>
            <w:r w:rsidRPr="00857899">
              <w:rPr>
                <w:rFonts w:ascii="Cambria" w:eastAsia="Times New Roman" w:hAnsi="Cambria" w:cs="Times New Roman"/>
                <w:color w:val="0D0D0D" w:themeColor="text1" w:themeTint="F2"/>
                <w:lang w:eastAsia="en-GB"/>
              </w:rPr>
              <w:t>TOTAL CENTRAL GOVERNMENT DEBT</w:t>
            </w:r>
          </w:p>
        </w:tc>
        <w:tc>
          <w:tcPr>
            <w:tcW w:w="1620" w:type="dxa"/>
            <w:noWrap/>
            <w:hideMark/>
          </w:tcPr>
          <w:p w:rsidR="00857899" w:rsidRPr="00857899" w:rsidRDefault="00857899" w:rsidP="00857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857899">
              <w:rPr>
                <w:b/>
                <w:color w:val="000000" w:themeColor="text1"/>
              </w:rPr>
              <w:t>4</w:t>
            </w:r>
            <w:r>
              <w:rPr>
                <w:b/>
                <w:color w:val="000000" w:themeColor="text1"/>
              </w:rPr>
              <w:t>,</w:t>
            </w:r>
            <w:r w:rsidRPr="00857899">
              <w:rPr>
                <w:b/>
                <w:color w:val="000000" w:themeColor="text1"/>
              </w:rPr>
              <w:t>330.83</w:t>
            </w:r>
          </w:p>
        </w:tc>
        <w:tc>
          <w:tcPr>
            <w:tcW w:w="1620" w:type="dxa"/>
            <w:noWrap/>
            <w:hideMark/>
          </w:tcPr>
          <w:p w:rsidR="00857899" w:rsidRPr="00857899" w:rsidRDefault="00857899" w:rsidP="00857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857899">
              <w:rPr>
                <w:b/>
                <w:color w:val="000000" w:themeColor="text1"/>
              </w:rPr>
              <w:t>4</w:t>
            </w:r>
            <w:r>
              <w:rPr>
                <w:b/>
                <w:color w:val="000000" w:themeColor="text1"/>
              </w:rPr>
              <w:t>,</w:t>
            </w:r>
            <w:r w:rsidRPr="00857899">
              <w:rPr>
                <w:b/>
                <w:color w:val="000000" w:themeColor="text1"/>
              </w:rPr>
              <w:t>097.44</w:t>
            </w:r>
          </w:p>
        </w:tc>
      </w:tr>
      <w:tr w:rsidR="00857899" w:rsidRPr="00131C70" w:rsidTr="00857899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  <w:noWrap/>
            <w:hideMark/>
          </w:tcPr>
          <w:p w:rsidR="00857899" w:rsidRPr="00857899" w:rsidRDefault="00857899" w:rsidP="00857899">
            <w:pPr>
              <w:rPr>
                <w:rFonts w:ascii="Cambria" w:eastAsia="Times New Roman" w:hAnsi="Cambria" w:cs="Times New Roman"/>
                <w:b w:val="0"/>
                <w:color w:val="0D0D0D" w:themeColor="text1" w:themeTint="F2"/>
                <w:lang w:eastAsia="en-GB"/>
              </w:rPr>
            </w:pPr>
            <w:r w:rsidRPr="00857899">
              <w:rPr>
                <w:rFonts w:ascii="Cambria" w:eastAsia="Times New Roman" w:hAnsi="Cambria" w:cs="Times New Roman"/>
                <w:b w:val="0"/>
                <w:color w:val="0D0D0D" w:themeColor="text1" w:themeTint="F2"/>
                <w:lang w:eastAsia="en-GB"/>
              </w:rPr>
              <w:t>Deposits</w:t>
            </w:r>
          </w:p>
        </w:tc>
        <w:tc>
          <w:tcPr>
            <w:tcW w:w="1620" w:type="dxa"/>
            <w:noWrap/>
            <w:hideMark/>
          </w:tcPr>
          <w:p w:rsidR="00857899" w:rsidRPr="00857899" w:rsidRDefault="00857899" w:rsidP="00857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57899">
              <w:rPr>
                <w:color w:val="000000" w:themeColor="text1"/>
              </w:rPr>
              <w:t>872.43</w:t>
            </w:r>
          </w:p>
        </w:tc>
        <w:tc>
          <w:tcPr>
            <w:tcW w:w="1620" w:type="dxa"/>
            <w:noWrap/>
            <w:hideMark/>
          </w:tcPr>
          <w:p w:rsidR="00857899" w:rsidRPr="00857899" w:rsidRDefault="00857899" w:rsidP="00857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57899">
              <w:rPr>
                <w:color w:val="000000" w:themeColor="text1"/>
              </w:rPr>
              <w:t>527.26</w:t>
            </w:r>
          </w:p>
        </w:tc>
      </w:tr>
      <w:tr w:rsidR="00857899" w:rsidRPr="00131C70" w:rsidTr="00857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  <w:noWrap/>
            <w:hideMark/>
          </w:tcPr>
          <w:p w:rsidR="00857899" w:rsidRPr="00857899" w:rsidRDefault="00857899" w:rsidP="00857899">
            <w:pPr>
              <w:rPr>
                <w:rFonts w:ascii="Cambria" w:eastAsia="Times New Roman" w:hAnsi="Cambria" w:cs="Times New Roman"/>
                <w:color w:val="0D0D0D" w:themeColor="text1" w:themeTint="F2"/>
                <w:lang w:eastAsia="en-GB"/>
              </w:rPr>
            </w:pPr>
            <w:r w:rsidRPr="00857899">
              <w:rPr>
                <w:rFonts w:ascii="Cambria" w:eastAsia="Times New Roman" w:hAnsi="Cambria" w:cs="Times New Roman"/>
                <w:color w:val="0D0D0D" w:themeColor="text1" w:themeTint="F2"/>
                <w:lang w:eastAsia="en-GB"/>
              </w:rPr>
              <w:t>TOTAL CENTRAL GOVERNMENT DEBT (including deposits)</w:t>
            </w:r>
          </w:p>
        </w:tc>
        <w:tc>
          <w:tcPr>
            <w:tcW w:w="1620" w:type="dxa"/>
            <w:noWrap/>
            <w:hideMark/>
          </w:tcPr>
          <w:p w:rsidR="00857899" w:rsidRPr="00857899" w:rsidRDefault="00857899" w:rsidP="00857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857899">
              <w:rPr>
                <w:b/>
                <w:color w:val="000000" w:themeColor="text1"/>
              </w:rPr>
              <w:t>3</w:t>
            </w:r>
            <w:r>
              <w:rPr>
                <w:b/>
                <w:color w:val="000000" w:themeColor="text1"/>
              </w:rPr>
              <w:t>,</w:t>
            </w:r>
            <w:r w:rsidRPr="00857899">
              <w:rPr>
                <w:b/>
                <w:color w:val="000000" w:themeColor="text1"/>
              </w:rPr>
              <w:t>458.40</w:t>
            </w:r>
          </w:p>
        </w:tc>
        <w:tc>
          <w:tcPr>
            <w:tcW w:w="1620" w:type="dxa"/>
            <w:noWrap/>
            <w:hideMark/>
          </w:tcPr>
          <w:p w:rsidR="00857899" w:rsidRPr="00857899" w:rsidRDefault="00857899" w:rsidP="00857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857899">
              <w:rPr>
                <w:b/>
                <w:color w:val="000000" w:themeColor="text1"/>
              </w:rPr>
              <w:t>3</w:t>
            </w:r>
            <w:r>
              <w:rPr>
                <w:b/>
                <w:color w:val="000000" w:themeColor="text1"/>
              </w:rPr>
              <w:t>,</w:t>
            </w:r>
            <w:r w:rsidRPr="00857899">
              <w:rPr>
                <w:b/>
                <w:color w:val="000000" w:themeColor="text1"/>
              </w:rPr>
              <w:t>570.18</w:t>
            </w:r>
          </w:p>
        </w:tc>
      </w:tr>
    </w:tbl>
    <w:p w:rsidR="00C61088" w:rsidRPr="00131C70" w:rsidRDefault="00C61088" w:rsidP="002378AD">
      <w:pPr>
        <w:spacing w:after="0" w:line="259" w:lineRule="auto"/>
        <w:jc w:val="both"/>
        <w:rPr>
          <w:rFonts w:ascii="Cambria" w:eastAsiaTheme="majorEastAsia" w:hAnsi="Cambria" w:cstheme="majorBidi"/>
          <w:b/>
          <w:caps/>
          <w:color w:val="F8B323" w:themeColor="accent1"/>
          <w:spacing w:val="10"/>
        </w:rPr>
      </w:pPr>
    </w:p>
    <w:p w:rsidR="00857899" w:rsidRPr="009771D1" w:rsidRDefault="00857899" w:rsidP="00212FBD">
      <w:pPr>
        <w:tabs>
          <w:tab w:val="center" w:pos="4536"/>
        </w:tabs>
        <w:spacing w:after="0"/>
        <w:rPr>
          <w:rFonts w:ascii="Cambria" w:eastAsiaTheme="majorEastAsia" w:hAnsi="Cambria" w:cstheme="majorBidi"/>
          <w:b/>
          <w:color w:val="7F7F7F" w:themeColor="text1" w:themeTint="80"/>
          <w:spacing w:val="10"/>
        </w:rPr>
      </w:pPr>
    </w:p>
    <w:p w:rsidR="001F7402" w:rsidRPr="009771D1" w:rsidRDefault="00212FBD" w:rsidP="00212FBD">
      <w:pPr>
        <w:tabs>
          <w:tab w:val="center" w:pos="4536"/>
        </w:tabs>
        <w:spacing w:after="0"/>
        <w:rPr>
          <w:rFonts w:ascii="Cambria" w:eastAsiaTheme="majorEastAsia" w:hAnsi="Cambria" w:cstheme="majorBidi"/>
          <w:b/>
          <w:caps/>
          <w:color w:val="7F7F7F" w:themeColor="text1" w:themeTint="80"/>
          <w:spacing w:val="10"/>
        </w:rPr>
      </w:pPr>
      <w:r w:rsidRPr="009771D1">
        <w:rPr>
          <w:rFonts w:ascii="Cambria" w:eastAsiaTheme="majorEastAsia" w:hAnsi="Cambria" w:cstheme="majorBidi"/>
          <w:b/>
          <w:color w:val="7F7F7F" w:themeColor="text1" w:themeTint="80"/>
          <w:spacing w:val="10"/>
        </w:rPr>
        <w:t xml:space="preserve">Table </w:t>
      </w:r>
      <w:r w:rsidR="00BE52E4" w:rsidRPr="009771D1">
        <w:rPr>
          <w:rFonts w:ascii="Cambria" w:eastAsiaTheme="majorEastAsia" w:hAnsi="Cambria" w:cstheme="majorBidi"/>
          <w:b/>
          <w:caps/>
          <w:color w:val="7F7F7F" w:themeColor="text1" w:themeTint="80"/>
          <w:spacing w:val="10"/>
        </w:rPr>
        <w:fldChar w:fldCharType="begin"/>
      </w:r>
      <w:r w:rsidR="00BE52E4" w:rsidRPr="009771D1">
        <w:rPr>
          <w:rFonts w:ascii="Cambria" w:eastAsiaTheme="majorEastAsia" w:hAnsi="Cambria" w:cstheme="majorBidi"/>
          <w:b/>
          <w:caps/>
          <w:color w:val="7F7F7F" w:themeColor="text1" w:themeTint="80"/>
          <w:spacing w:val="10"/>
        </w:rPr>
        <w:instrText xml:space="preserve"> SEQ Table \* ARABIC </w:instrText>
      </w:r>
      <w:r w:rsidR="00BE52E4" w:rsidRPr="009771D1">
        <w:rPr>
          <w:rFonts w:ascii="Cambria" w:eastAsiaTheme="majorEastAsia" w:hAnsi="Cambria" w:cstheme="majorBidi"/>
          <w:b/>
          <w:caps/>
          <w:color w:val="7F7F7F" w:themeColor="text1" w:themeTint="80"/>
          <w:spacing w:val="10"/>
        </w:rPr>
        <w:fldChar w:fldCharType="separate"/>
      </w:r>
      <w:r w:rsidR="007A21C9" w:rsidRPr="009771D1">
        <w:rPr>
          <w:rFonts w:ascii="Cambria" w:eastAsiaTheme="majorEastAsia" w:hAnsi="Cambria" w:cstheme="majorBidi"/>
          <w:b/>
          <w:caps/>
          <w:noProof/>
          <w:color w:val="7F7F7F" w:themeColor="text1" w:themeTint="80"/>
          <w:spacing w:val="10"/>
        </w:rPr>
        <w:t>2</w:t>
      </w:r>
      <w:r w:rsidR="00BE52E4" w:rsidRPr="009771D1">
        <w:rPr>
          <w:rFonts w:ascii="Cambria" w:eastAsiaTheme="majorEastAsia" w:hAnsi="Cambria" w:cstheme="majorBidi"/>
          <w:b/>
          <w:caps/>
          <w:color w:val="7F7F7F" w:themeColor="text1" w:themeTint="80"/>
          <w:spacing w:val="10"/>
        </w:rPr>
        <w:fldChar w:fldCharType="end"/>
      </w:r>
      <w:r w:rsidRPr="009771D1">
        <w:rPr>
          <w:rFonts w:ascii="Cambria" w:eastAsiaTheme="majorEastAsia" w:hAnsi="Cambria" w:cstheme="majorBidi"/>
          <w:b/>
          <w:caps/>
          <w:color w:val="7F7F7F" w:themeColor="text1" w:themeTint="80"/>
          <w:spacing w:val="10"/>
        </w:rPr>
        <w:t>:</w:t>
      </w:r>
      <w:r w:rsidRPr="009771D1">
        <w:rPr>
          <w:rFonts w:ascii="Cambria" w:eastAsiaTheme="majorEastAsia" w:hAnsi="Cambria" w:cstheme="majorBidi"/>
          <w:b/>
          <w:color w:val="7F7F7F" w:themeColor="text1" w:themeTint="80"/>
          <w:spacing w:val="10"/>
        </w:rPr>
        <w:t xml:space="preserve"> Central government debt as % of GDP</w:t>
      </w:r>
    </w:p>
    <w:tbl>
      <w:tblPr>
        <w:tblStyle w:val="GridTable6Colorful-Accent31"/>
        <w:tblW w:w="5000" w:type="pct"/>
        <w:tblLook w:val="04A0" w:firstRow="1" w:lastRow="0" w:firstColumn="1" w:lastColumn="0" w:noHBand="0" w:noVBand="1"/>
      </w:tblPr>
      <w:tblGrid>
        <w:gridCol w:w="5845"/>
        <w:gridCol w:w="1620"/>
        <w:gridCol w:w="1597"/>
      </w:tblGrid>
      <w:tr w:rsidR="00751292" w:rsidRPr="00131C70" w:rsidTr="007512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pct"/>
            <w:hideMark/>
          </w:tcPr>
          <w:p w:rsidR="00751292" w:rsidRPr="00D5227F" w:rsidRDefault="00751292" w:rsidP="00D36662">
            <w:pPr>
              <w:rPr>
                <w:rFonts w:ascii="Cambria" w:eastAsia="Times New Roman" w:hAnsi="Cambria" w:cs="Times New Roman"/>
                <w:color w:val="0D0D0D" w:themeColor="text1" w:themeTint="F2"/>
                <w:lang w:eastAsia="en-GB"/>
              </w:rPr>
            </w:pPr>
            <w:r w:rsidRPr="00D5227F">
              <w:rPr>
                <w:rFonts w:ascii="Cambria" w:eastAsia="Times New Roman" w:hAnsi="Cambria" w:cs="Times New Roman"/>
                <w:color w:val="0D0D0D" w:themeColor="text1" w:themeTint="F2"/>
                <w:lang w:eastAsia="en-GB"/>
              </w:rPr>
              <w:t> </w:t>
            </w:r>
          </w:p>
        </w:tc>
        <w:tc>
          <w:tcPr>
            <w:tcW w:w="894" w:type="pct"/>
            <w:noWrap/>
            <w:hideMark/>
          </w:tcPr>
          <w:p w:rsidR="00751292" w:rsidRPr="00D36662" w:rsidRDefault="00751292" w:rsidP="00D366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31.12.2020</w:t>
            </w:r>
            <w:r w:rsidRPr="00D36662">
              <w:rPr>
                <w:color w:val="000000" w:themeColor="text1"/>
              </w:rPr>
              <w:t>.</w:t>
            </w:r>
          </w:p>
        </w:tc>
        <w:tc>
          <w:tcPr>
            <w:tcW w:w="881" w:type="pct"/>
            <w:noWrap/>
            <w:hideMark/>
          </w:tcPr>
          <w:p w:rsidR="00751292" w:rsidRPr="00D36662" w:rsidRDefault="00751292" w:rsidP="00D366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31.03.2021</w:t>
            </w:r>
            <w:r w:rsidRPr="00D36662">
              <w:rPr>
                <w:color w:val="000000" w:themeColor="text1"/>
              </w:rPr>
              <w:t>.</w:t>
            </w:r>
          </w:p>
        </w:tc>
      </w:tr>
      <w:tr w:rsidR="009771D1" w:rsidRPr="00131C70" w:rsidTr="00751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pct"/>
            <w:noWrap/>
            <w:hideMark/>
          </w:tcPr>
          <w:p w:rsidR="009771D1" w:rsidRPr="00D5227F" w:rsidRDefault="009771D1" w:rsidP="009771D1">
            <w:pPr>
              <w:rPr>
                <w:rFonts w:ascii="Cambria" w:eastAsia="Times New Roman" w:hAnsi="Cambria" w:cs="Times New Roman"/>
                <w:color w:val="0D0D0D" w:themeColor="text1" w:themeTint="F2"/>
                <w:lang w:eastAsia="en-GB"/>
              </w:rPr>
            </w:pPr>
            <w:r w:rsidRPr="00D5227F">
              <w:rPr>
                <w:rFonts w:ascii="Cambria" w:eastAsia="Times New Roman" w:hAnsi="Cambria" w:cs="Times New Roman"/>
                <w:color w:val="0D0D0D" w:themeColor="text1" w:themeTint="F2"/>
                <w:lang w:eastAsia="en-GB"/>
              </w:rPr>
              <w:t>Total Central Government Debt as % of GDP</w:t>
            </w:r>
          </w:p>
        </w:tc>
        <w:tc>
          <w:tcPr>
            <w:tcW w:w="894" w:type="pct"/>
            <w:noWrap/>
            <w:hideMark/>
          </w:tcPr>
          <w:p w:rsidR="009771D1" w:rsidRPr="009771D1" w:rsidRDefault="009771D1" w:rsidP="009771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771D1">
              <w:rPr>
                <w:color w:val="000000" w:themeColor="text1"/>
              </w:rPr>
              <w:t>103.28%</w:t>
            </w:r>
          </w:p>
        </w:tc>
        <w:tc>
          <w:tcPr>
            <w:tcW w:w="881" w:type="pct"/>
            <w:noWrap/>
            <w:hideMark/>
          </w:tcPr>
          <w:p w:rsidR="009771D1" w:rsidRPr="009771D1" w:rsidRDefault="009771D1" w:rsidP="009771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771D1">
              <w:rPr>
                <w:color w:val="000000" w:themeColor="text1"/>
              </w:rPr>
              <w:t>88.37%</w:t>
            </w:r>
          </w:p>
        </w:tc>
      </w:tr>
      <w:tr w:rsidR="009771D1" w:rsidRPr="00131C70" w:rsidTr="0075129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pct"/>
            <w:noWrap/>
            <w:hideMark/>
          </w:tcPr>
          <w:p w:rsidR="009771D1" w:rsidRDefault="009771D1" w:rsidP="009771D1">
            <w:pPr>
              <w:rPr>
                <w:rFonts w:ascii="Cambria" w:eastAsia="Times New Roman" w:hAnsi="Cambria" w:cs="Times New Roman"/>
                <w:color w:val="0D0D0D" w:themeColor="text1" w:themeTint="F2"/>
                <w:lang w:eastAsia="en-GB"/>
              </w:rPr>
            </w:pPr>
            <w:r>
              <w:rPr>
                <w:rFonts w:ascii="Cambria" w:eastAsia="Times New Roman" w:hAnsi="Cambria" w:cs="Times New Roman"/>
                <w:color w:val="0D0D0D" w:themeColor="text1" w:themeTint="F2"/>
                <w:lang w:eastAsia="en-GB"/>
              </w:rPr>
              <w:t xml:space="preserve">Total Central Government Debt </w:t>
            </w:r>
            <w:r w:rsidRPr="00D5227F">
              <w:rPr>
                <w:rFonts w:ascii="Cambria" w:eastAsia="Times New Roman" w:hAnsi="Cambria" w:cs="Times New Roman"/>
                <w:color w:val="0D0D0D" w:themeColor="text1" w:themeTint="F2"/>
                <w:lang w:eastAsia="en-GB"/>
              </w:rPr>
              <w:t xml:space="preserve">(including </w:t>
            </w:r>
            <w:r>
              <w:rPr>
                <w:rFonts w:ascii="Cambria" w:eastAsia="Times New Roman" w:hAnsi="Cambria" w:cs="Times New Roman"/>
                <w:color w:val="0D0D0D" w:themeColor="text1" w:themeTint="F2"/>
                <w:lang w:eastAsia="en-GB"/>
              </w:rPr>
              <w:t xml:space="preserve"> </w:t>
            </w:r>
          </w:p>
          <w:p w:rsidR="009771D1" w:rsidRPr="00D5227F" w:rsidRDefault="009771D1" w:rsidP="009771D1">
            <w:pPr>
              <w:rPr>
                <w:rFonts w:ascii="Cambria" w:eastAsia="Times New Roman" w:hAnsi="Cambria" w:cs="Times New Roman"/>
                <w:color w:val="0D0D0D" w:themeColor="text1" w:themeTint="F2"/>
                <w:lang w:eastAsia="en-GB"/>
              </w:rPr>
            </w:pPr>
            <w:r>
              <w:rPr>
                <w:rFonts w:ascii="Cambria" w:eastAsia="Times New Roman" w:hAnsi="Cambria" w:cs="Times New Roman"/>
                <w:color w:val="0D0D0D" w:themeColor="text1" w:themeTint="F2"/>
                <w:lang w:eastAsia="en-GB"/>
              </w:rPr>
              <w:t xml:space="preserve">deposits) </w:t>
            </w:r>
            <w:r w:rsidRPr="00D5227F">
              <w:rPr>
                <w:rFonts w:ascii="Cambria" w:eastAsia="Times New Roman" w:hAnsi="Cambria" w:cs="Times New Roman"/>
                <w:color w:val="0D0D0D" w:themeColor="text1" w:themeTint="F2"/>
                <w:lang w:eastAsia="en-GB"/>
              </w:rPr>
              <w:t>as % of GDP</w:t>
            </w:r>
            <w:r>
              <w:rPr>
                <w:rFonts w:ascii="Cambria" w:eastAsia="Times New Roman" w:hAnsi="Cambria" w:cs="Times New Roman"/>
                <w:color w:val="0D0D0D" w:themeColor="text1" w:themeTint="F2"/>
                <w:lang w:eastAsia="en-GB"/>
              </w:rPr>
              <w:t xml:space="preserve">  </w:t>
            </w:r>
          </w:p>
        </w:tc>
        <w:tc>
          <w:tcPr>
            <w:tcW w:w="894" w:type="pct"/>
            <w:noWrap/>
            <w:hideMark/>
          </w:tcPr>
          <w:p w:rsidR="009771D1" w:rsidRPr="009771D1" w:rsidRDefault="009771D1" w:rsidP="009771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771D1">
              <w:rPr>
                <w:color w:val="000000" w:themeColor="text1"/>
              </w:rPr>
              <w:t>82.48%</w:t>
            </w:r>
          </w:p>
        </w:tc>
        <w:tc>
          <w:tcPr>
            <w:tcW w:w="881" w:type="pct"/>
            <w:noWrap/>
            <w:hideMark/>
          </w:tcPr>
          <w:p w:rsidR="009771D1" w:rsidRPr="009771D1" w:rsidRDefault="009771D1" w:rsidP="009771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771D1">
              <w:rPr>
                <w:color w:val="000000" w:themeColor="text1"/>
              </w:rPr>
              <w:t>77.00%</w:t>
            </w:r>
          </w:p>
        </w:tc>
      </w:tr>
      <w:tr w:rsidR="009771D1" w:rsidRPr="00131C70" w:rsidTr="00751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pct"/>
            <w:noWrap/>
            <w:hideMark/>
          </w:tcPr>
          <w:p w:rsidR="009771D1" w:rsidRPr="00D5227F" w:rsidRDefault="009771D1" w:rsidP="009771D1">
            <w:pPr>
              <w:rPr>
                <w:rFonts w:ascii="Cambria" w:eastAsia="Times New Roman" w:hAnsi="Cambria" w:cs="Times New Roman"/>
                <w:color w:val="0D0D0D" w:themeColor="text1" w:themeTint="F2"/>
                <w:lang w:eastAsia="en-GB"/>
              </w:rPr>
            </w:pPr>
            <w:r w:rsidRPr="00D5227F">
              <w:rPr>
                <w:rFonts w:ascii="Cambria" w:eastAsia="Times New Roman" w:hAnsi="Cambria" w:cs="Times New Roman"/>
                <w:color w:val="0D0D0D" w:themeColor="text1" w:themeTint="F2"/>
                <w:lang w:eastAsia="en-GB"/>
              </w:rPr>
              <w:t>Domestic Debt as % of GDP</w:t>
            </w:r>
          </w:p>
        </w:tc>
        <w:tc>
          <w:tcPr>
            <w:tcW w:w="894" w:type="pct"/>
            <w:noWrap/>
            <w:hideMark/>
          </w:tcPr>
          <w:p w:rsidR="009771D1" w:rsidRPr="009771D1" w:rsidRDefault="009771D1" w:rsidP="009771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771D1">
              <w:rPr>
                <w:color w:val="000000" w:themeColor="text1"/>
              </w:rPr>
              <w:t>11.82%</w:t>
            </w:r>
          </w:p>
        </w:tc>
        <w:tc>
          <w:tcPr>
            <w:tcW w:w="881" w:type="pct"/>
            <w:noWrap/>
            <w:hideMark/>
          </w:tcPr>
          <w:p w:rsidR="009771D1" w:rsidRPr="009771D1" w:rsidRDefault="009771D1" w:rsidP="009771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771D1">
              <w:rPr>
                <w:color w:val="000000" w:themeColor="text1"/>
              </w:rPr>
              <w:t>9.81%</w:t>
            </w:r>
          </w:p>
        </w:tc>
      </w:tr>
      <w:tr w:rsidR="009771D1" w:rsidRPr="00131C70" w:rsidTr="0075129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pct"/>
            <w:noWrap/>
            <w:hideMark/>
          </w:tcPr>
          <w:p w:rsidR="009771D1" w:rsidRPr="00D5227F" w:rsidRDefault="009771D1" w:rsidP="009771D1">
            <w:pPr>
              <w:rPr>
                <w:rFonts w:ascii="Cambria" w:eastAsia="Times New Roman" w:hAnsi="Cambria" w:cs="Times New Roman"/>
                <w:color w:val="0D0D0D" w:themeColor="text1" w:themeTint="F2"/>
                <w:lang w:eastAsia="en-GB"/>
              </w:rPr>
            </w:pPr>
            <w:r w:rsidRPr="00D5227F">
              <w:rPr>
                <w:rFonts w:ascii="Cambria" w:eastAsia="Times New Roman" w:hAnsi="Cambria" w:cs="Times New Roman"/>
                <w:color w:val="0D0D0D" w:themeColor="text1" w:themeTint="F2"/>
                <w:lang w:eastAsia="en-GB"/>
              </w:rPr>
              <w:t>Foreign Debt as % of  GDP</w:t>
            </w:r>
          </w:p>
        </w:tc>
        <w:tc>
          <w:tcPr>
            <w:tcW w:w="894" w:type="pct"/>
            <w:noWrap/>
            <w:hideMark/>
          </w:tcPr>
          <w:p w:rsidR="009771D1" w:rsidRPr="009771D1" w:rsidRDefault="009771D1" w:rsidP="009771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771D1">
              <w:rPr>
                <w:color w:val="000000" w:themeColor="text1"/>
              </w:rPr>
              <w:t>91.46%</w:t>
            </w:r>
          </w:p>
        </w:tc>
        <w:tc>
          <w:tcPr>
            <w:tcW w:w="881" w:type="pct"/>
            <w:noWrap/>
            <w:hideMark/>
          </w:tcPr>
          <w:p w:rsidR="009771D1" w:rsidRPr="009771D1" w:rsidRDefault="009771D1" w:rsidP="009771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771D1">
              <w:rPr>
                <w:color w:val="000000" w:themeColor="text1"/>
              </w:rPr>
              <w:t>78.56%</w:t>
            </w:r>
          </w:p>
        </w:tc>
      </w:tr>
      <w:tr w:rsidR="009771D1" w:rsidRPr="00131C70" w:rsidTr="00751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pct"/>
            <w:noWrap/>
            <w:hideMark/>
          </w:tcPr>
          <w:p w:rsidR="009771D1" w:rsidRPr="00D5227F" w:rsidRDefault="009771D1" w:rsidP="009771D1">
            <w:pPr>
              <w:rPr>
                <w:rFonts w:ascii="Cambria" w:eastAsia="Times New Roman" w:hAnsi="Cambria" w:cs="Times New Roman"/>
                <w:color w:val="0D0D0D" w:themeColor="text1" w:themeTint="F2"/>
                <w:lang w:eastAsia="en-GB"/>
              </w:rPr>
            </w:pPr>
            <w:r w:rsidRPr="00D5227F">
              <w:rPr>
                <w:rFonts w:ascii="Cambria" w:eastAsia="Times New Roman" w:hAnsi="Cambria" w:cs="Times New Roman"/>
                <w:color w:val="0D0D0D" w:themeColor="text1" w:themeTint="F2"/>
                <w:lang w:eastAsia="en-GB"/>
              </w:rPr>
              <w:t>Deposits as % of GDP</w:t>
            </w:r>
          </w:p>
        </w:tc>
        <w:tc>
          <w:tcPr>
            <w:tcW w:w="894" w:type="pct"/>
            <w:noWrap/>
            <w:hideMark/>
          </w:tcPr>
          <w:p w:rsidR="009771D1" w:rsidRPr="009771D1" w:rsidRDefault="009771D1" w:rsidP="009771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771D1">
              <w:rPr>
                <w:color w:val="000000" w:themeColor="text1"/>
              </w:rPr>
              <w:t>20.81%</w:t>
            </w:r>
          </w:p>
        </w:tc>
        <w:tc>
          <w:tcPr>
            <w:tcW w:w="881" w:type="pct"/>
            <w:noWrap/>
            <w:hideMark/>
          </w:tcPr>
          <w:p w:rsidR="009771D1" w:rsidRPr="009771D1" w:rsidRDefault="009771D1" w:rsidP="009771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771D1">
              <w:rPr>
                <w:color w:val="000000" w:themeColor="text1"/>
              </w:rPr>
              <w:t>11.37%</w:t>
            </w:r>
          </w:p>
        </w:tc>
      </w:tr>
    </w:tbl>
    <w:p w:rsidR="00066C64" w:rsidRDefault="00066C64" w:rsidP="009771D1"/>
    <w:p w:rsidR="009172E2" w:rsidRPr="009771D1" w:rsidRDefault="009172E2" w:rsidP="009771D1">
      <w:r>
        <w:rPr>
          <w:noProof/>
          <w:lang w:eastAsia="en-GB"/>
        </w:rPr>
        <w:drawing>
          <wp:inline distT="0" distB="0" distL="0" distR="0" wp14:anchorId="62E3221B" wp14:editId="3892D1DB">
            <wp:extent cx="2867025" cy="2533650"/>
            <wp:effectExtent l="0" t="0" r="9525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t xml:space="preserve"> </w:t>
      </w:r>
      <w:r>
        <w:rPr>
          <w:noProof/>
          <w:lang w:eastAsia="en-GB"/>
        </w:rPr>
        <w:drawing>
          <wp:inline distT="0" distB="0" distL="0" distR="0" wp14:anchorId="3FFFC62D" wp14:editId="60607F08">
            <wp:extent cx="2819400" cy="2533650"/>
            <wp:effectExtent l="0" t="0" r="0" b="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172E2" w:rsidRDefault="009172E2" w:rsidP="00B627B9">
      <w:pPr>
        <w:spacing w:after="0" w:line="240" w:lineRule="auto"/>
        <w:jc w:val="both"/>
        <w:rPr>
          <w:rFonts w:ascii="Cambria" w:eastAsia="Times New Roman" w:hAnsi="Cambria" w:cs="Tahoma"/>
          <w:color w:val="000000"/>
          <w:sz w:val="22"/>
          <w:szCs w:val="22"/>
        </w:rPr>
      </w:pPr>
    </w:p>
    <w:p w:rsidR="00682C93" w:rsidRDefault="00682C93" w:rsidP="00B627B9">
      <w:pPr>
        <w:spacing w:after="0" w:line="240" w:lineRule="auto"/>
        <w:jc w:val="both"/>
        <w:rPr>
          <w:rFonts w:ascii="Cambria" w:eastAsia="Times New Roman" w:hAnsi="Cambria" w:cs="Tahoma"/>
          <w:color w:val="000000"/>
          <w:sz w:val="22"/>
          <w:szCs w:val="22"/>
        </w:rPr>
      </w:pPr>
      <w:r>
        <w:rPr>
          <w:rFonts w:ascii="Cambria" w:eastAsia="Times New Roman" w:hAnsi="Cambria" w:cs="Tahoma"/>
          <w:color w:val="000000"/>
          <w:sz w:val="22"/>
          <w:szCs w:val="22"/>
        </w:rPr>
        <w:t xml:space="preserve">In the first quarter 2021 the debt decreased compared to the fourth quarter 2020 mainly due to repayment of the Eurobonds issued in 2016 in the amount of 227.45 million EUR. </w:t>
      </w:r>
    </w:p>
    <w:p w:rsidR="00682C93" w:rsidRDefault="00682C93" w:rsidP="00B627B9">
      <w:pPr>
        <w:spacing w:after="0" w:line="240" w:lineRule="auto"/>
        <w:jc w:val="both"/>
        <w:rPr>
          <w:rFonts w:ascii="Cambria" w:eastAsia="Times New Roman" w:hAnsi="Cambria" w:cs="Tahoma"/>
          <w:color w:val="000000"/>
          <w:sz w:val="22"/>
          <w:szCs w:val="22"/>
        </w:rPr>
      </w:pPr>
    </w:p>
    <w:p w:rsidR="00F97120" w:rsidRDefault="00682C93" w:rsidP="00B627B9">
      <w:pPr>
        <w:spacing w:after="0" w:line="240" w:lineRule="auto"/>
        <w:jc w:val="both"/>
        <w:rPr>
          <w:rFonts w:ascii="Cambria" w:eastAsia="Times New Roman" w:hAnsi="Cambria" w:cs="Tahoma"/>
          <w:sz w:val="22"/>
          <w:szCs w:val="22"/>
        </w:rPr>
      </w:pPr>
      <w:r>
        <w:rPr>
          <w:rFonts w:ascii="Cambria" w:eastAsia="Times New Roman" w:hAnsi="Cambria" w:cs="Tahoma"/>
          <w:color w:val="000000"/>
          <w:sz w:val="22"/>
          <w:szCs w:val="22"/>
        </w:rPr>
        <w:t xml:space="preserve">During </w:t>
      </w:r>
      <w:r w:rsidR="00066C64" w:rsidRPr="00066C64">
        <w:rPr>
          <w:rFonts w:ascii="Cambria" w:eastAsia="Times New Roman" w:hAnsi="Cambria" w:cs="Tahoma"/>
          <w:color w:val="000000"/>
          <w:sz w:val="22"/>
          <w:szCs w:val="22"/>
        </w:rPr>
        <w:t xml:space="preserve">the </w:t>
      </w:r>
      <w:r w:rsidR="009771D1">
        <w:rPr>
          <w:rFonts w:ascii="Cambria" w:eastAsia="Times New Roman" w:hAnsi="Cambria" w:cs="Tahoma"/>
          <w:color w:val="000000"/>
          <w:sz w:val="22"/>
          <w:szCs w:val="22"/>
        </w:rPr>
        <w:t>first</w:t>
      </w:r>
      <w:r w:rsidR="00066C64" w:rsidRPr="00066C64">
        <w:rPr>
          <w:rFonts w:ascii="Cambria" w:eastAsia="Times New Roman" w:hAnsi="Cambria" w:cs="Tahoma"/>
          <w:color w:val="000000"/>
          <w:sz w:val="22"/>
          <w:szCs w:val="22"/>
        </w:rPr>
        <w:t xml:space="preserve"> quarter </w:t>
      </w:r>
      <w:r>
        <w:rPr>
          <w:rFonts w:ascii="Cambria" w:eastAsia="Times New Roman" w:hAnsi="Cambria" w:cs="Tahoma"/>
          <w:color w:val="000000"/>
          <w:sz w:val="22"/>
          <w:szCs w:val="22"/>
        </w:rPr>
        <w:t>the total amount of 23.87 million EUR has been drawn</w:t>
      </w:r>
      <w:r w:rsidR="002E1648">
        <w:rPr>
          <w:rFonts w:ascii="Cambria" w:eastAsia="Times New Roman" w:hAnsi="Cambria" w:cs="Tahoma"/>
          <w:color w:val="000000"/>
          <w:sz w:val="22"/>
          <w:szCs w:val="22"/>
        </w:rPr>
        <w:t xml:space="preserve">, </w:t>
      </w:r>
      <w:r>
        <w:rPr>
          <w:rFonts w:ascii="Cambria" w:eastAsia="Times New Roman" w:hAnsi="Cambria" w:cs="Tahoma"/>
          <w:color w:val="000000"/>
          <w:sz w:val="22"/>
          <w:szCs w:val="22"/>
        </w:rPr>
        <w:t xml:space="preserve">of which 11.28 million EUR </w:t>
      </w:r>
      <w:r w:rsidR="0074245A">
        <w:rPr>
          <w:rStyle w:val="FootnoteReference"/>
          <w:rFonts w:ascii="Cambria" w:eastAsia="Times New Roman" w:hAnsi="Cambria" w:cs="Tahoma"/>
          <w:color w:val="000000"/>
          <w:sz w:val="22"/>
          <w:szCs w:val="22"/>
        </w:rPr>
        <w:footnoteReference w:id="4"/>
      </w:r>
      <w:r>
        <w:rPr>
          <w:rFonts w:ascii="Cambria" w:eastAsia="Times New Roman" w:hAnsi="Cambria" w:cs="Tahoma"/>
          <w:color w:val="000000"/>
          <w:sz w:val="22"/>
          <w:szCs w:val="22"/>
        </w:rPr>
        <w:t>(</w:t>
      </w:r>
      <w:r w:rsidRPr="00682C93">
        <w:rPr>
          <w:rFonts w:ascii="Cambria" w:eastAsia="Times New Roman" w:hAnsi="Cambria" w:cs="Tahoma"/>
          <w:color w:val="000000"/>
          <w:sz w:val="22"/>
          <w:szCs w:val="22"/>
        </w:rPr>
        <w:t>13.25 million USD</w:t>
      </w:r>
      <w:r>
        <w:rPr>
          <w:rFonts w:ascii="Cambria" w:eastAsia="Times New Roman" w:hAnsi="Cambria" w:cs="Tahoma"/>
          <w:color w:val="000000"/>
          <w:sz w:val="22"/>
          <w:szCs w:val="22"/>
        </w:rPr>
        <w:t xml:space="preserve">) is related to </w:t>
      </w:r>
      <w:r w:rsidR="00066C64" w:rsidRPr="00066C64">
        <w:rPr>
          <w:rFonts w:ascii="Cambria" w:eastAsia="Times New Roman" w:hAnsi="Cambria" w:cs="Tahoma"/>
          <w:color w:val="000000"/>
          <w:sz w:val="22"/>
          <w:szCs w:val="22"/>
        </w:rPr>
        <w:t xml:space="preserve">withdrawal of credit funds for construction of </w:t>
      </w:r>
      <w:r w:rsidR="00066C64" w:rsidRPr="00A83D84">
        <w:rPr>
          <w:rFonts w:ascii="Cambria" w:eastAsia="Times New Roman" w:hAnsi="Cambria" w:cs="Tahoma"/>
          <w:color w:val="000000"/>
          <w:sz w:val="22"/>
          <w:szCs w:val="22"/>
        </w:rPr>
        <w:t xml:space="preserve">the </w:t>
      </w:r>
      <w:r w:rsidR="00CE71E9">
        <w:rPr>
          <w:rFonts w:ascii="Cambria" w:eastAsia="Times New Roman" w:hAnsi="Cambria" w:cs="Tahoma"/>
          <w:color w:val="000000"/>
          <w:sz w:val="22"/>
          <w:szCs w:val="22"/>
        </w:rPr>
        <w:t>priority</w:t>
      </w:r>
      <w:r w:rsidR="00CE71E9" w:rsidRPr="00A83D84">
        <w:rPr>
          <w:rFonts w:ascii="Cambria" w:eastAsia="Times New Roman" w:hAnsi="Cambria" w:cs="Tahoma"/>
          <w:color w:val="000000"/>
          <w:sz w:val="22"/>
          <w:szCs w:val="22"/>
        </w:rPr>
        <w:t xml:space="preserve"> </w:t>
      </w:r>
      <w:r w:rsidR="00066C64" w:rsidRPr="00A83D84">
        <w:rPr>
          <w:rFonts w:ascii="Cambria" w:eastAsia="Times New Roman" w:hAnsi="Cambria" w:cs="Tahoma"/>
          <w:color w:val="000000"/>
          <w:sz w:val="22"/>
          <w:szCs w:val="22"/>
        </w:rPr>
        <w:t xml:space="preserve">section </w:t>
      </w:r>
      <w:r w:rsidR="00C9471C" w:rsidRPr="00C9471C">
        <w:rPr>
          <w:rFonts w:ascii="Cambria" w:eastAsia="Times New Roman" w:hAnsi="Cambria" w:cs="Tahoma"/>
          <w:color w:val="000000"/>
          <w:sz w:val="22"/>
          <w:szCs w:val="22"/>
        </w:rPr>
        <w:t xml:space="preserve">Smokovac – Uvač </w:t>
      </w:r>
      <w:r>
        <w:rPr>
          <w:rFonts w:ascii="Cambria" w:eastAsia="Times New Roman" w:hAnsi="Cambria" w:cs="Tahoma"/>
          <w:color w:val="000000"/>
          <w:sz w:val="22"/>
          <w:szCs w:val="22"/>
        </w:rPr>
        <w:t>–</w:t>
      </w:r>
      <w:r w:rsidR="00C9471C" w:rsidRPr="00C9471C">
        <w:rPr>
          <w:rFonts w:ascii="Cambria" w:eastAsia="Times New Roman" w:hAnsi="Cambria" w:cs="Tahoma"/>
          <w:color w:val="000000"/>
          <w:sz w:val="22"/>
          <w:szCs w:val="22"/>
        </w:rPr>
        <w:t xml:space="preserve"> Mateševo</w:t>
      </w:r>
      <w:r>
        <w:rPr>
          <w:rFonts w:ascii="Cambria" w:eastAsia="Times New Roman" w:hAnsi="Cambria" w:cs="Tahoma"/>
          <w:color w:val="000000"/>
          <w:sz w:val="22"/>
          <w:szCs w:val="22"/>
        </w:rPr>
        <w:t xml:space="preserve">. </w:t>
      </w:r>
      <w:r w:rsidR="00E0104E" w:rsidRPr="00E0104E">
        <w:rPr>
          <w:rFonts w:ascii="Cambria" w:eastAsia="Times New Roman" w:hAnsi="Cambria" w:cs="Tahoma"/>
          <w:sz w:val="22"/>
          <w:szCs w:val="22"/>
        </w:rPr>
        <w:t>For other infrastructure and development projects</w:t>
      </w:r>
      <w:r w:rsidR="008B3854">
        <w:rPr>
          <w:rFonts w:ascii="Cambria" w:eastAsia="Times New Roman" w:hAnsi="Cambria" w:cs="Tahoma"/>
          <w:sz w:val="22"/>
          <w:szCs w:val="22"/>
        </w:rPr>
        <w:t>,</w:t>
      </w:r>
      <w:r w:rsidR="00F97120" w:rsidRPr="004E4F3B">
        <w:rPr>
          <w:rFonts w:ascii="Cambria" w:eastAsia="Times New Roman" w:hAnsi="Cambria" w:cs="Tahoma"/>
          <w:sz w:val="22"/>
          <w:szCs w:val="22"/>
        </w:rPr>
        <w:t xml:space="preserve"> for the needs of road construction</w:t>
      </w:r>
      <w:r w:rsidR="008B3854">
        <w:rPr>
          <w:rFonts w:ascii="Cambria" w:eastAsia="Times New Roman" w:hAnsi="Cambria" w:cs="Tahoma"/>
          <w:sz w:val="22"/>
          <w:szCs w:val="22"/>
        </w:rPr>
        <w:t>,</w:t>
      </w:r>
      <w:r w:rsidR="00F97120" w:rsidRPr="004E4F3B">
        <w:rPr>
          <w:rFonts w:ascii="Cambria" w:eastAsia="Times New Roman" w:hAnsi="Cambria" w:cs="Tahoma"/>
          <w:sz w:val="22"/>
          <w:szCs w:val="22"/>
        </w:rPr>
        <w:t xml:space="preserve"> water supply</w:t>
      </w:r>
      <w:r w:rsidR="008B3854">
        <w:rPr>
          <w:rFonts w:ascii="Cambria" w:eastAsia="Times New Roman" w:hAnsi="Cambria" w:cs="Tahoma"/>
          <w:sz w:val="22"/>
          <w:szCs w:val="22"/>
        </w:rPr>
        <w:t>,</w:t>
      </w:r>
      <w:r w:rsidR="00F97120" w:rsidRPr="004E4F3B">
        <w:rPr>
          <w:rFonts w:ascii="Cambria" w:eastAsia="Times New Roman" w:hAnsi="Cambria" w:cs="Tahoma"/>
          <w:sz w:val="22"/>
          <w:szCs w:val="22"/>
        </w:rPr>
        <w:t xml:space="preserve"> energy efficiency</w:t>
      </w:r>
      <w:r w:rsidR="008B3854">
        <w:rPr>
          <w:rFonts w:ascii="Cambria" w:eastAsia="Times New Roman" w:hAnsi="Cambria" w:cs="Tahoma"/>
          <w:sz w:val="22"/>
          <w:szCs w:val="22"/>
        </w:rPr>
        <w:t>,</w:t>
      </w:r>
      <w:r w:rsidR="00F97120" w:rsidRPr="004E4F3B">
        <w:rPr>
          <w:rFonts w:ascii="Cambria" w:eastAsia="Times New Roman" w:hAnsi="Cambria" w:cs="Tahoma"/>
          <w:sz w:val="22"/>
          <w:szCs w:val="22"/>
        </w:rPr>
        <w:t xml:space="preserve"> social housing</w:t>
      </w:r>
      <w:r w:rsidR="008B3854">
        <w:rPr>
          <w:rFonts w:ascii="Cambria" w:eastAsia="Times New Roman" w:hAnsi="Cambria" w:cs="Tahoma"/>
          <w:sz w:val="22"/>
          <w:szCs w:val="22"/>
        </w:rPr>
        <w:t>,</w:t>
      </w:r>
      <w:r w:rsidR="00F97120" w:rsidRPr="004E4F3B">
        <w:rPr>
          <w:rFonts w:ascii="Cambria" w:eastAsia="Times New Roman" w:hAnsi="Cambria" w:cs="Tahoma"/>
          <w:sz w:val="22"/>
          <w:szCs w:val="22"/>
        </w:rPr>
        <w:t xml:space="preserve"> agricultural development</w:t>
      </w:r>
      <w:r w:rsidR="008B3854">
        <w:rPr>
          <w:rFonts w:ascii="Cambria" w:eastAsia="Times New Roman" w:hAnsi="Cambria" w:cs="Tahoma"/>
          <w:sz w:val="22"/>
          <w:szCs w:val="22"/>
        </w:rPr>
        <w:t>,</w:t>
      </w:r>
      <w:r w:rsidR="00F97120" w:rsidRPr="004E4F3B">
        <w:rPr>
          <w:rFonts w:ascii="Cambria" w:eastAsia="Times New Roman" w:hAnsi="Cambria" w:cs="Tahoma"/>
          <w:sz w:val="22"/>
          <w:szCs w:val="22"/>
        </w:rPr>
        <w:t xml:space="preserve"> procurement of military equipment and similarly</w:t>
      </w:r>
      <w:r w:rsidR="008B3854">
        <w:rPr>
          <w:rFonts w:ascii="Cambria" w:eastAsia="Times New Roman" w:hAnsi="Cambria" w:cs="Tahoma"/>
          <w:sz w:val="22"/>
          <w:szCs w:val="22"/>
        </w:rPr>
        <w:t>,</w:t>
      </w:r>
      <w:r w:rsidR="00F97120" w:rsidRPr="004E4F3B">
        <w:rPr>
          <w:rFonts w:ascii="Cambria" w:eastAsia="Times New Roman" w:hAnsi="Cambria" w:cs="Tahoma"/>
          <w:sz w:val="22"/>
          <w:szCs w:val="22"/>
        </w:rPr>
        <w:t xml:space="preserve"> the amount of </w:t>
      </w:r>
      <w:r w:rsidR="009771D1">
        <w:rPr>
          <w:rFonts w:ascii="Cambria" w:eastAsia="Times New Roman" w:hAnsi="Cambria" w:cs="Tahoma"/>
          <w:sz w:val="22"/>
          <w:szCs w:val="22"/>
        </w:rPr>
        <w:t>12.59</w:t>
      </w:r>
      <w:r w:rsidR="00653CCD">
        <w:rPr>
          <w:rFonts w:ascii="Cambria" w:eastAsia="Times New Roman" w:hAnsi="Cambria" w:cs="Tahoma"/>
          <w:sz w:val="22"/>
          <w:szCs w:val="22"/>
        </w:rPr>
        <w:t xml:space="preserve"> million EUR</w:t>
      </w:r>
      <w:r w:rsidR="00F97120" w:rsidRPr="004E4F3B">
        <w:rPr>
          <w:rFonts w:ascii="Cambria" w:eastAsia="Times New Roman" w:hAnsi="Cambria" w:cs="Tahoma"/>
          <w:sz w:val="22"/>
          <w:szCs w:val="22"/>
        </w:rPr>
        <w:t xml:space="preserve"> was withdrawn. </w:t>
      </w:r>
    </w:p>
    <w:p w:rsidR="008B3854" w:rsidRPr="004E4F3B" w:rsidRDefault="008B3854" w:rsidP="00B627B9">
      <w:pPr>
        <w:spacing w:after="0" w:line="240" w:lineRule="auto"/>
        <w:jc w:val="both"/>
        <w:rPr>
          <w:rFonts w:ascii="Cambria" w:eastAsia="Times New Roman" w:hAnsi="Cambria" w:cs="Tahoma"/>
          <w:sz w:val="22"/>
          <w:szCs w:val="22"/>
        </w:rPr>
      </w:pPr>
    </w:p>
    <w:p w:rsidR="009771D1" w:rsidRDefault="009771D1" w:rsidP="00F97120">
      <w:pPr>
        <w:spacing w:after="0" w:line="240" w:lineRule="auto"/>
        <w:jc w:val="both"/>
        <w:rPr>
          <w:rFonts w:ascii="Cambria" w:eastAsia="Times New Roman" w:hAnsi="Cambria" w:cs="Tahoma"/>
          <w:sz w:val="22"/>
          <w:szCs w:val="22"/>
        </w:rPr>
      </w:pPr>
      <w:r>
        <w:rPr>
          <w:rFonts w:ascii="Cambria" w:eastAsia="Times New Roman" w:hAnsi="Cambria" w:cs="Tahoma"/>
          <w:sz w:val="22"/>
          <w:szCs w:val="22"/>
        </w:rPr>
        <w:t>D</w:t>
      </w:r>
      <w:r w:rsidRPr="009771D1">
        <w:rPr>
          <w:rFonts w:ascii="Cambria" w:eastAsia="Times New Roman" w:hAnsi="Cambria" w:cs="Tahoma"/>
          <w:sz w:val="22"/>
          <w:szCs w:val="22"/>
        </w:rPr>
        <w:t>uring the first quarter of 2021, there were no credit arrangements</w:t>
      </w:r>
      <w:r>
        <w:rPr>
          <w:rFonts w:ascii="Cambria" w:eastAsia="Times New Roman" w:hAnsi="Cambria" w:cs="Tahoma"/>
          <w:sz w:val="22"/>
          <w:szCs w:val="22"/>
        </w:rPr>
        <w:t>.</w:t>
      </w:r>
    </w:p>
    <w:p w:rsidR="009771D1" w:rsidRDefault="009771D1" w:rsidP="00F97120">
      <w:pPr>
        <w:spacing w:after="0" w:line="240" w:lineRule="auto"/>
        <w:jc w:val="both"/>
        <w:rPr>
          <w:rFonts w:ascii="Cambria" w:eastAsia="Times New Roman" w:hAnsi="Cambria" w:cs="Tahoma"/>
          <w:sz w:val="22"/>
          <w:szCs w:val="22"/>
        </w:rPr>
      </w:pPr>
    </w:p>
    <w:p w:rsidR="00BA21E5" w:rsidRPr="00131C70" w:rsidRDefault="00BA21E5" w:rsidP="00BA21E5">
      <w:pPr>
        <w:spacing w:after="0" w:line="240" w:lineRule="auto"/>
        <w:jc w:val="both"/>
        <w:rPr>
          <w:rFonts w:ascii="Cambria" w:eastAsia="Times New Roman" w:hAnsi="Cambria" w:cs="Tahoma"/>
          <w:sz w:val="22"/>
          <w:szCs w:val="22"/>
        </w:rPr>
      </w:pPr>
      <w:r w:rsidRPr="00131C70">
        <w:rPr>
          <w:rFonts w:ascii="Cambria" w:eastAsia="Times New Roman" w:hAnsi="Cambria" w:cs="Tahoma"/>
          <w:color w:val="000000"/>
          <w:sz w:val="22"/>
          <w:szCs w:val="22"/>
        </w:rPr>
        <w:t xml:space="preserve">During the </w:t>
      </w:r>
      <w:r w:rsidR="009771D1">
        <w:rPr>
          <w:rFonts w:ascii="Cambria" w:eastAsia="Times New Roman" w:hAnsi="Cambria" w:cs="Tahoma"/>
          <w:color w:val="000000"/>
          <w:sz w:val="22"/>
          <w:szCs w:val="22"/>
        </w:rPr>
        <w:t xml:space="preserve">first </w:t>
      </w:r>
      <w:r w:rsidRPr="00131C70">
        <w:rPr>
          <w:rFonts w:ascii="Cambria" w:eastAsia="Times New Roman" w:hAnsi="Cambria" w:cs="Tahoma"/>
          <w:color w:val="000000"/>
          <w:sz w:val="22"/>
          <w:szCs w:val="22"/>
        </w:rPr>
        <w:t>quarter of 20</w:t>
      </w:r>
      <w:r w:rsidR="00F22C6A">
        <w:rPr>
          <w:rFonts w:ascii="Cambria" w:eastAsia="Times New Roman" w:hAnsi="Cambria" w:cs="Tahoma"/>
          <w:color w:val="000000"/>
          <w:sz w:val="22"/>
          <w:szCs w:val="22"/>
        </w:rPr>
        <w:t>2</w:t>
      </w:r>
      <w:r w:rsidR="009771D1">
        <w:rPr>
          <w:rFonts w:ascii="Cambria" w:eastAsia="Times New Roman" w:hAnsi="Cambria" w:cs="Tahoma"/>
          <w:color w:val="000000"/>
          <w:sz w:val="22"/>
          <w:szCs w:val="22"/>
        </w:rPr>
        <w:t>1</w:t>
      </w:r>
      <w:r w:rsidR="003606C1">
        <w:rPr>
          <w:rFonts w:ascii="Cambria" w:eastAsia="Times New Roman" w:hAnsi="Cambria" w:cs="Tahoma"/>
          <w:color w:val="000000"/>
          <w:sz w:val="22"/>
          <w:szCs w:val="22"/>
        </w:rPr>
        <w:t>,</w:t>
      </w:r>
      <w:r w:rsidRPr="00131C70">
        <w:rPr>
          <w:rFonts w:ascii="Cambria" w:eastAsia="Times New Roman" w:hAnsi="Cambria" w:cs="Tahoma"/>
          <w:color w:val="000000"/>
          <w:sz w:val="22"/>
          <w:szCs w:val="22"/>
        </w:rPr>
        <w:t xml:space="preserve"> </w:t>
      </w:r>
      <w:r w:rsidR="00652B3B" w:rsidRPr="00131C70">
        <w:rPr>
          <w:rFonts w:ascii="Cambria" w:eastAsia="Times New Roman" w:hAnsi="Cambria" w:cs="Tahoma"/>
          <w:sz w:val="22"/>
          <w:szCs w:val="22"/>
        </w:rPr>
        <w:t xml:space="preserve">repayment of principal </w:t>
      </w:r>
      <w:r w:rsidR="00652B3B">
        <w:rPr>
          <w:rFonts w:ascii="Cambria" w:eastAsia="Times New Roman" w:hAnsi="Cambria" w:cs="Tahoma"/>
          <w:sz w:val="22"/>
          <w:szCs w:val="22"/>
        </w:rPr>
        <w:t>of the</w:t>
      </w:r>
      <w:r w:rsidRPr="00131C70">
        <w:rPr>
          <w:rFonts w:ascii="Cambria" w:eastAsia="Times New Roman" w:hAnsi="Cambria" w:cs="Tahoma"/>
          <w:sz w:val="22"/>
          <w:szCs w:val="22"/>
        </w:rPr>
        <w:t xml:space="preserve"> Central Government Debt was in </w:t>
      </w:r>
      <w:r w:rsidR="00A83D84">
        <w:rPr>
          <w:rFonts w:ascii="Cambria" w:eastAsia="Times New Roman" w:hAnsi="Cambria" w:cs="Tahoma"/>
          <w:sz w:val="22"/>
          <w:szCs w:val="22"/>
        </w:rPr>
        <w:t xml:space="preserve">the </w:t>
      </w:r>
      <w:r w:rsidRPr="00131C70">
        <w:rPr>
          <w:rFonts w:ascii="Cambria" w:eastAsia="Times New Roman" w:hAnsi="Cambria" w:cs="Tahoma"/>
          <w:sz w:val="22"/>
          <w:szCs w:val="22"/>
        </w:rPr>
        <w:t xml:space="preserve">total amount of </w:t>
      </w:r>
      <w:r w:rsidR="009771D1">
        <w:rPr>
          <w:rFonts w:ascii="Cambria" w:eastAsia="Times New Roman" w:hAnsi="Cambria" w:cs="Tahoma"/>
          <w:sz w:val="22"/>
          <w:szCs w:val="22"/>
        </w:rPr>
        <w:t>286.37</w:t>
      </w:r>
      <w:r w:rsidRPr="00131C70">
        <w:rPr>
          <w:rFonts w:ascii="Cambria" w:eastAsia="Times New Roman" w:hAnsi="Cambria" w:cs="Tahoma"/>
          <w:sz w:val="22"/>
          <w:szCs w:val="22"/>
        </w:rPr>
        <w:t xml:space="preserve"> million</w:t>
      </w:r>
      <w:r w:rsidR="00783946">
        <w:rPr>
          <w:rFonts w:ascii="Cambria" w:eastAsia="Times New Roman" w:hAnsi="Cambria" w:cs="Tahoma"/>
          <w:sz w:val="22"/>
          <w:szCs w:val="22"/>
        </w:rPr>
        <w:t xml:space="preserve"> </w:t>
      </w:r>
      <w:r w:rsidR="00783946">
        <w:rPr>
          <w:rFonts w:ascii="Cambria" w:eastAsia="Calibri" w:hAnsi="Cambria" w:cs="Times New Roman"/>
          <w:sz w:val="22"/>
          <w:szCs w:val="22"/>
        </w:rPr>
        <w:t>EUR</w:t>
      </w:r>
      <w:r w:rsidR="00C64CA8">
        <w:rPr>
          <w:rFonts w:ascii="Cambria" w:eastAsia="Times New Roman" w:hAnsi="Cambria" w:cs="Tahoma"/>
          <w:sz w:val="22"/>
          <w:szCs w:val="22"/>
        </w:rPr>
        <w:t>,</w:t>
      </w:r>
      <w:r w:rsidRPr="00131C70">
        <w:rPr>
          <w:rFonts w:ascii="Cambria" w:eastAsia="Times New Roman" w:hAnsi="Cambria" w:cs="Tahoma"/>
          <w:sz w:val="22"/>
          <w:szCs w:val="22"/>
        </w:rPr>
        <w:t xml:space="preserve"> out of which </w:t>
      </w:r>
      <w:r w:rsidR="009771D1">
        <w:rPr>
          <w:rFonts w:ascii="Cambria" w:eastAsia="Times New Roman" w:hAnsi="Cambria" w:cs="Tahoma"/>
          <w:sz w:val="22"/>
          <w:szCs w:val="22"/>
        </w:rPr>
        <w:t>37.83</w:t>
      </w:r>
      <w:r w:rsidRPr="00131C70">
        <w:rPr>
          <w:rFonts w:ascii="Cambria" w:eastAsia="Times New Roman" w:hAnsi="Cambria" w:cs="Tahoma"/>
          <w:sz w:val="22"/>
          <w:szCs w:val="22"/>
        </w:rPr>
        <w:t xml:space="preserve"> million</w:t>
      </w:r>
      <w:r w:rsidR="00783946">
        <w:rPr>
          <w:rFonts w:ascii="Cambria" w:eastAsia="Times New Roman" w:hAnsi="Cambria" w:cs="Tahoma"/>
          <w:sz w:val="22"/>
          <w:szCs w:val="22"/>
        </w:rPr>
        <w:t xml:space="preserve"> </w:t>
      </w:r>
      <w:r w:rsidR="00783946">
        <w:rPr>
          <w:rFonts w:ascii="Cambria" w:eastAsia="Calibri" w:hAnsi="Cambria" w:cs="Times New Roman"/>
          <w:sz w:val="22"/>
          <w:szCs w:val="22"/>
        </w:rPr>
        <w:t>EUR</w:t>
      </w:r>
      <w:r w:rsidRPr="00131C70">
        <w:rPr>
          <w:rFonts w:ascii="Cambria" w:eastAsia="Times New Roman" w:hAnsi="Cambria" w:cs="Tahoma"/>
          <w:sz w:val="22"/>
          <w:szCs w:val="22"/>
        </w:rPr>
        <w:t xml:space="preserve"> referred to</w:t>
      </w:r>
      <w:r w:rsidR="009F489A">
        <w:rPr>
          <w:rFonts w:ascii="Cambria" w:eastAsia="Times New Roman" w:hAnsi="Cambria" w:cs="Tahoma"/>
          <w:sz w:val="22"/>
          <w:szCs w:val="22"/>
        </w:rPr>
        <w:t xml:space="preserve"> repayment of debt to residents</w:t>
      </w:r>
      <w:r w:rsidR="00A83D84">
        <w:rPr>
          <w:rFonts w:ascii="Cambria" w:eastAsia="Times New Roman" w:hAnsi="Cambria" w:cs="Tahoma"/>
          <w:sz w:val="22"/>
          <w:szCs w:val="22"/>
        </w:rPr>
        <w:t>.</w:t>
      </w:r>
      <w:r w:rsidR="00866646" w:rsidRPr="00131C70">
        <w:rPr>
          <w:rFonts w:ascii="Cambria" w:eastAsia="Times New Roman" w:hAnsi="Cambria" w:cs="Tahoma"/>
          <w:sz w:val="22"/>
          <w:szCs w:val="22"/>
        </w:rPr>
        <w:t xml:space="preserve"> </w:t>
      </w:r>
      <w:r w:rsidR="00A83D84">
        <w:rPr>
          <w:rFonts w:ascii="Cambria" w:eastAsia="Times New Roman" w:hAnsi="Cambria" w:cs="Tahoma"/>
          <w:sz w:val="22"/>
          <w:szCs w:val="22"/>
        </w:rPr>
        <w:t>R</w:t>
      </w:r>
      <w:r w:rsidRPr="00131C70">
        <w:rPr>
          <w:rFonts w:ascii="Cambria" w:eastAsia="Times New Roman" w:hAnsi="Cambria" w:cs="Tahoma"/>
          <w:sz w:val="22"/>
          <w:szCs w:val="22"/>
        </w:rPr>
        <w:t xml:space="preserve">epayment of </w:t>
      </w:r>
      <w:r w:rsidR="003C62A6">
        <w:rPr>
          <w:rFonts w:ascii="Cambria" w:eastAsia="Times New Roman" w:hAnsi="Cambria" w:cs="Tahoma"/>
          <w:sz w:val="22"/>
          <w:szCs w:val="22"/>
        </w:rPr>
        <w:t>debt to non-residents was</w:t>
      </w:r>
      <w:r w:rsidRPr="00131C70">
        <w:rPr>
          <w:rFonts w:ascii="Cambria" w:eastAsia="Times New Roman" w:hAnsi="Cambria" w:cs="Tahoma"/>
          <w:sz w:val="22"/>
          <w:szCs w:val="22"/>
        </w:rPr>
        <w:t xml:space="preserve"> </w:t>
      </w:r>
      <w:r w:rsidR="009771D1">
        <w:rPr>
          <w:rFonts w:ascii="Cambria" w:eastAsia="Times New Roman" w:hAnsi="Cambria" w:cs="Tahoma"/>
          <w:sz w:val="22"/>
          <w:szCs w:val="22"/>
        </w:rPr>
        <w:t>248.54</w:t>
      </w:r>
      <w:r w:rsidR="00C64CA8">
        <w:rPr>
          <w:rFonts w:ascii="Cambria" w:eastAsia="Times New Roman" w:hAnsi="Cambria" w:cs="Tahoma"/>
          <w:sz w:val="22"/>
          <w:szCs w:val="22"/>
        </w:rPr>
        <w:t xml:space="preserve"> </w:t>
      </w:r>
      <w:r w:rsidRPr="00131C70">
        <w:rPr>
          <w:rFonts w:ascii="Cambria" w:eastAsia="Times New Roman" w:hAnsi="Cambria" w:cs="Tahoma"/>
          <w:sz w:val="22"/>
          <w:szCs w:val="22"/>
        </w:rPr>
        <w:t>million</w:t>
      </w:r>
      <w:r w:rsidR="003C62A6">
        <w:rPr>
          <w:rFonts w:ascii="Cambria" w:eastAsia="Times New Roman" w:hAnsi="Cambria" w:cs="Tahoma"/>
          <w:sz w:val="22"/>
          <w:szCs w:val="22"/>
        </w:rPr>
        <w:t xml:space="preserve"> </w:t>
      </w:r>
      <w:r w:rsidR="003C62A6">
        <w:rPr>
          <w:rFonts w:ascii="Cambria" w:eastAsia="Calibri" w:hAnsi="Cambria" w:cs="Times New Roman"/>
          <w:sz w:val="22"/>
          <w:szCs w:val="22"/>
        </w:rPr>
        <w:t>EUR</w:t>
      </w:r>
      <w:r w:rsidRPr="00131C70">
        <w:rPr>
          <w:rFonts w:ascii="Cambria" w:eastAsia="Times New Roman" w:hAnsi="Cambria" w:cs="Tahoma"/>
          <w:sz w:val="22"/>
          <w:szCs w:val="22"/>
        </w:rPr>
        <w:t>. Interest has been repaid in tot</w:t>
      </w:r>
      <w:r w:rsidR="003C62A6">
        <w:rPr>
          <w:rFonts w:ascii="Cambria" w:eastAsia="Times New Roman" w:hAnsi="Cambria" w:cs="Tahoma"/>
          <w:sz w:val="22"/>
          <w:szCs w:val="22"/>
        </w:rPr>
        <w:t xml:space="preserve">al amount of </w:t>
      </w:r>
      <w:r w:rsidR="009771D1">
        <w:rPr>
          <w:rFonts w:ascii="Cambria" w:eastAsia="Times New Roman" w:hAnsi="Cambria" w:cs="Tahoma"/>
          <w:sz w:val="22"/>
          <w:szCs w:val="22"/>
        </w:rPr>
        <w:t>24.32</w:t>
      </w:r>
      <w:r w:rsidRPr="00131C70">
        <w:rPr>
          <w:rFonts w:ascii="Cambria" w:eastAsia="Times New Roman" w:hAnsi="Cambria" w:cs="Tahoma"/>
          <w:sz w:val="22"/>
          <w:szCs w:val="22"/>
        </w:rPr>
        <w:t xml:space="preserve"> million</w:t>
      </w:r>
      <w:r w:rsidR="003C62A6">
        <w:rPr>
          <w:rFonts w:ascii="Cambria" w:eastAsia="Times New Roman" w:hAnsi="Cambria" w:cs="Tahoma"/>
          <w:sz w:val="22"/>
          <w:szCs w:val="22"/>
        </w:rPr>
        <w:t xml:space="preserve"> </w:t>
      </w:r>
      <w:r w:rsidR="003C62A6">
        <w:rPr>
          <w:rFonts w:ascii="Cambria" w:eastAsia="Calibri" w:hAnsi="Cambria" w:cs="Times New Roman"/>
          <w:sz w:val="22"/>
          <w:szCs w:val="22"/>
        </w:rPr>
        <w:t>EUR</w:t>
      </w:r>
      <w:r w:rsidR="00C64CA8">
        <w:rPr>
          <w:rFonts w:ascii="Cambria" w:eastAsia="Times New Roman" w:hAnsi="Cambria" w:cs="Tahoma"/>
          <w:sz w:val="22"/>
          <w:szCs w:val="22"/>
        </w:rPr>
        <w:t>,</w:t>
      </w:r>
      <w:r w:rsidR="003C62A6">
        <w:rPr>
          <w:rFonts w:ascii="Cambria" w:eastAsia="Times New Roman" w:hAnsi="Cambria" w:cs="Tahoma"/>
          <w:sz w:val="22"/>
          <w:szCs w:val="22"/>
        </w:rPr>
        <w:t xml:space="preserve"> out of which </w:t>
      </w:r>
      <w:r w:rsidR="009771D1">
        <w:rPr>
          <w:rFonts w:ascii="Cambria" w:eastAsia="Times New Roman" w:hAnsi="Cambria" w:cs="Tahoma"/>
          <w:sz w:val="22"/>
          <w:szCs w:val="22"/>
        </w:rPr>
        <w:t xml:space="preserve">1.41 </w:t>
      </w:r>
      <w:r w:rsidRPr="00131C70">
        <w:rPr>
          <w:rFonts w:ascii="Cambria" w:eastAsia="Times New Roman" w:hAnsi="Cambria" w:cs="Tahoma"/>
          <w:sz w:val="22"/>
          <w:szCs w:val="22"/>
        </w:rPr>
        <w:t>million</w:t>
      </w:r>
      <w:r w:rsidR="003C62A6">
        <w:rPr>
          <w:rFonts w:ascii="Cambria" w:eastAsia="Times New Roman" w:hAnsi="Cambria" w:cs="Tahoma"/>
          <w:sz w:val="22"/>
          <w:szCs w:val="22"/>
        </w:rPr>
        <w:t xml:space="preserve"> </w:t>
      </w:r>
      <w:r w:rsidR="003C62A6">
        <w:rPr>
          <w:rFonts w:ascii="Cambria" w:eastAsia="Calibri" w:hAnsi="Cambria" w:cs="Times New Roman"/>
          <w:sz w:val="22"/>
          <w:szCs w:val="22"/>
        </w:rPr>
        <w:t>EUR</w:t>
      </w:r>
      <w:r w:rsidRPr="00131C70">
        <w:rPr>
          <w:rFonts w:ascii="Cambria" w:eastAsia="Times New Roman" w:hAnsi="Cambria" w:cs="Tahoma"/>
          <w:sz w:val="22"/>
          <w:szCs w:val="22"/>
        </w:rPr>
        <w:t xml:space="preserve"> referred to repayment </w:t>
      </w:r>
      <w:r w:rsidRPr="00131C70">
        <w:rPr>
          <w:rFonts w:ascii="Cambria" w:eastAsia="Times New Roman" w:hAnsi="Cambria" w:cs="Tahoma"/>
          <w:sz w:val="22"/>
          <w:szCs w:val="22"/>
        </w:rPr>
        <w:lastRenderedPageBreak/>
        <w:t>of interest to residents</w:t>
      </w:r>
      <w:r w:rsidR="00C64CA8">
        <w:rPr>
          <w:rFonts w:ascii="Cambria" w:eastAsia="Times New Roman" w:hAnsi="Cambria" w:cs="Tahoma"/>
          <w:sz w:val="22"/>
          <w:szCs w:val="22"/>
        </w:rPr>
        <w:t>,</w:t>
      </w:r>
      <w:r w:rsidR="003C62A6">
        <w:rPr>
          <w:rFonts w:ascii="Cambria" w:eastAsia="Times New Roman" w:hAnsi="Cambria" w:cs="Tahoma"/>
          <w:sz w:val="22"/>
          <w:szCs w:val="22"/>
        </w:rPr>
        <w:t xml:space="preserve"> while </w:t>
      </w:r>
      <w:r w:rsidR="009771D1">
        <w:rPr>
          <w:rFonts w:ascii="Cambria" w:eastAsia="Times New Roman" w:hAnsi="Cambria" w:cs="Tahoma"/>
          <w:sz w:val="22"/>
          <w:szCs w:val="22"/>
        </w:rPr>
        <w:t>22.91</w:t>
      </w:r>
      <w:r w:rsidRPr="00131C70">
        <w:rPr>
          <w:rFonts w:ascii="Cambria" w:eastAsia="Times New Roman" w:hAnsi="Cambria" w:cs="Tahoma"/>
          <w:sz w:val="22"/>
          <w:szCs w:val="22"/>
        </w:rPr>
        <w:t xml:space="preserve"> </w:t>
      </w:r>
      <w:r w:rsidR="00653CCD">
        <w:rPr>
          <w:rFonts w:ascii="Cambria" w:eastAsia="Times New Roman" w:hAnsi="Cambria" w:cs="Tahoma"/>
          <w:sz w:val="22"/>
          <w:szCs w:val="22"/>
        </w:rPr>
        <w:t>mil</w:t>
      </w:r>
      <w:r w:rsidR="0065305D">
        <w:rPr>
          <w:rFonts w:ascii="Cambria" w:eastAsia="Times New Roman" w:hAnsi="Cambria" w:cs="Tahoma"/>
          <w:sz w:val="22"/>
          <w:szCs w:val="22"/>
        </w:rPr>
        <w:t>l</w:t>
      </w:r>
      <w:r w:rsidR="00653CCD">
        <w:rPr>
          <w:rFonts w:ascii="Cambria" w:eastAsia="Times New Roman" w:hAnsi="Cambria" w:cs="Tahoma"/>
          <w:sz w:val="22"/>
          <w:szCs w:val="22"/>
        </w:rPr>
        <w:t xml:space="preserve">ion </w:t>
      </w:r>
      <w:r w:rsidR="003C62A6">
        <w:rPr>
          <w:rFonts w:ascii="Cambria" w:eastAsia="Calibri" w:hAnsi="Cambria" w:cs="Times New Roman"/>
          <w:sz w:val="22"/>
          <w:szCs w:val="22"/>
        </w:rPr>
        <w:t>EUR</w:t>
      </w:r>
      <w:r w:rsidR="003C62A6" w:rsidRPr="00131C70">
        <w:rPr>
          <w:rFonts w:ascii="Cambria" w:eastAsia="Times New Roman" w:hAnsi="Cambria" w:cs="Tahoma"/>
          <w:sz w:val="22"/>
          <w:szCs w:val="22"/>
        </w:rPr>
        <w:t xml:space="preserve"> </w:t>
      </w:r>
      <w:r w:rsidRPr="00131C70">
        <w:rPr>
          <w:rFonts w:ascii="Cambria" w:eastAsia="Times New Roman" w:hAnsi="Cambria" w:cs="Tahoma"/>
          <w:sz w:val="22"/>
          <w:szCs w:val="22"/>
        </w:rPr>
        <w:t>was pa</w:t>
      </w:r>
      <w:r w:rsidR="004F4BEF">
        <w:rPr>
          <w:rFonts w:ascii="Cambria" w:eastAsia="Times New Roman" w:hAnsi="Cambria" w:cs="Tahoma"/>
          <w:sz w:val="22"/>
          <w:szCs w:val="22"/>
        </w:rPr>
        <w:t>i</w:t>
      </w:r>
      <w:r w:rsidR="009771D1">
        <w:rPr>
          <w:rFonts w:ascii="Cambria" w:eastAsia="Times New Roman" w:hAnsi="Cambria" w:cs="Tahoma"/>
          <w:sz w:val="22"/>
          <w:szCs w:val="22"/>
        </w:rPr>
        <w:t>d to non-</w:t>
      </w:r>
      <w:r w:rsidR="002E1648">
        <w:rPr>
          <w:rFonts w:ascii="Cambria" w:eastAsia="Times New Roman" w:hAnsi="Cambria" w:cs="Tahoma"/>
          <w:sz w:val="22"/>
          <w:szCs w:val="22"/>
        </w:rPr>
        <w:t>residents</w:t>
      </w:r>
      <w:r w:rsidR="009771D1">
        <w:rPr>
          <w:rFonts w:ascii="Cambria" w:eastAsia="Times New Roman" w:hAnsi="Cambria" w:cs="Tahoma"/>
          <w:sz w:val="22"/>
          <w:szCs w:val="22"/>
        </w:rPr>
        <w:t xml:space="preserve">. During the first </w:t>
      </w:r>
      <w:r w:rsidR="003C62A6">
        <w:rPr>
          <w:rFonts w:ascii="Cambria" w:eastAsia="Times New Roman" w:hAnsi="Cambria" w:cs="Tahoma"/>
          <w:sz w:val="22"/>
          <w:szCs w:val="22"/>
        </w:rPr>
        <w:t>quarter of 20</w:t>
      </w:r>
      <w:r w:rsidR="006C120A">
        <w:rPr>
          <w:rFonts w:ascii="Cambria" w:eastAsia="Times New Roman" w:hAnsi="Cambria" w:cs="Tahoma"/>
          <w:sz w:val="22"/>
          <w:szCs w:val="22"/>
        </w:rPr>
        <w:t>2</w:t>
      </w:r>
      <w:r w:rsidR="009771D1">
        <w:rPr>
          <w:rFonts w:ascii="Cambria" w:eastAsia="Times New Roman" w:hAnsi="Cambria" w:cs="Tahoma"/>
          <w:sz w:val="22"/>
          <w:szCs w:val="22"/>
        </w:rPr>
        <w:t>1</w:t>
      </w:r>
      <w:r w:rsidR="00F70BA1">
        <w:rPr>
          <w:rFonts w:ascii="Cambria" w:eastAsia="Times New Roman" w:hAnsi="Cambria" w:cs="Tahoma"/>
          <w:sz w:val="22"/>
          <w:szCs w:val="22"/>
        </w:rPr>
        <w:t>.</w:t>
      </w:r>
      <w:r w:rsidRPr="00131C70">
        <w:rPr>
          <w:rFonts w:ascii="Cambria" w:eastAsia="Times New Roman" w:hAnsi="Cambria" w:cs="Tahoma"/>
          <w:sz w:val="22"/>
          <w:szCs w:val="22"/>
        </w:rPr>
        <w:t xml:space="preserve"> repayment of old currency savings debt was </w:t>
      </w:r>
      <w:r w:rsidR="00C64CA8">
        <w:rPr>
          <w:rFonts w:ascii="Cambria" w:eastAsia="Times New Roman" w:hAnsi="Cambria" w:cs="Tahoma"/>
          <w:sz w:val="22"/>
          <w:szCs w:val="22"/>
        </w:rPr>
        <w:t>0.</w:t>
      </w:r>
      <w:r w:rsidR="009771D1">
        <w:rPr>
          <w:rFonts w:ascii="Cambria" w:eastAsia="Times New Roman" w:hAnsi="Cambria" w:cs="Tahoma"/>
          <w:sz w:val="22"/>
          <w:szCs w:val="22"/>
        </w:rPr>
        <w:t>1</w:t>
      </w:r>
      <w:r w:rsidR="004F4BEF">
        <w:rPr>
          <w:rFonts w:ascii="Cambria" w:eastAsia="Times New Roman" w:hAnsi="Cambria" w:cs="Tahoma"/>
          <w:sz w:val="22"/>
          <w:szCs w:val="22"/>
        </w:rPr>
        <w:t>6</w:t>
      </w:r>
      <w:r w:rsidRPr="00131C70">
        <w:rPr>
          <w:rFonts w:ascii="Cambria" w:eastAsia="Times New Roman" w:hAnsi="Cambria" w:cs="Tahoma"/>
          <w:sz w:val="22"/>
          <w:szCs w:val="22"/>
        </w:rPr>
        <w:t xml:space="preserve"> million</w:t>
      </w:r>
      <w:r w:rsidR="003C62A6">
        <w:rPr>
          <w:rFonts w:ascii="Cambria" w:eastAsia="Times New Roman" w:hAnsi="Cambria" w:cs="Tahoma"/>
          <w:sz w:val="22"/>
          <w:szCs w:val="22"/>
        </w:rPr>
        <w:t xml:space="preserve"> </w:t>
      </w:r>
      <w:r w:rsidR="003C62A6">
        <w:rPr>
          <w:rFonts w:ascii="Cambria" w:eastAsia="Calibri" w:hAnsi="Cambria" w:cs="Times New Roman"/>
          <w:sz w:val="22"/>
          <w:szCs w:val="22"/>
        </w:rPr>
        <w:t>EUR</w:t>
      </w:r>
      <w:r w:rsidRPr="00131C70">
        <w:rPr>
          <w:rFonts w:ascii="Cambria" w:eastAsia="Times New Roman" w:hAnsi="Cambria" w:cs="Tahoma"/>
          <w:sz w:val="22"/>
          <w:szCs w:val="22"/>
        </w:rPr>
        <w:t>.</w:t>
      </w:r>
    </w:p>
    <w:p w:rsidR="00DF41CE" w:rsidRDefault="00DF41CE" w:rsidP="00BA21E5">
      <w:pPr>
        <w:spacing w:after="0" w:line="240" w:lineRule="auto"/>
        <w:jc w:val="both"/>
        <w:rPr>
          <w:rFonts w:ascii="Cambria" w:eastAsia="Times New Roman" w:hAnsi="Cambria" w:cs="Times New Roman"/>
          <w:b/>
          <w:color w:val="244061"/>
          <w:sz w:val="22"/>
          <w:szCs w:val="22"/>
        </w:rPr>
      </w:pPr>
    </w:p>
    <w:p w:rsidR="009172E2" w:rsidRDefault="009172E2" w:rsidP="00BA21E5">
      <w:pPr>
        <w:spacing w:after="0" w:line="240" w:lineRule="auto"/>
        <w:jc w:val="both"/>
        <w:rPr>
          <w:rFonts w:ascii="Cambria" w:eastAsia="Times New Roman" w:hAnsi="Cambria" w:cs="Times New Roman"/>
          <w:b/>
          <w:color w:val="244061"/>
          <w:sz w:val="22"/>
          <w:szCs w:val="22"/>
        </w:rPr>
      </w:pPr>
      <w:r>
        <w:rPr>
          <w:noProof/>
          <w:lang w:eastAsia="en-GB"/>
        </w:rPr>
        <w:drawing>
          <wp:inline distT="0" distB="0" distL="0" distR="0" wp14:anchorId="12820C97" wp14:editId="1000CFAC">
            <wp:extent cx="2933700" cy="2552700"/>
            <wp:effectExtent l="0" t="0" r="0" b="0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rFonts w:ascii="Cambria" w:eastAsia="Times New Roman" w:hAnsi="Cambria" w:cs="Times New Roman"/>
          <w:b/>
          <w:color w:val="244061"/>
          <w:sz w:val="22"/>
          <w:szCs w:val="22"/>
        </w:rPr>
        <w:t xml:space="preserve"> </w:t>
      </w:r>
      <w:r>
        <w:rPr>
          <w:noProof/>
          <w:lang w:eastAsia="en-GB"/>
        </w:rPr>
        <w:drawing>
          <wp:inline distT="0" distB="0" distL="0" distR="0" wp14:anchorId="4634F50D" wp14:editId="16232139">
            <wp:extent cx="2705100" cy="2552700"/>
            <wp:effectExtent l="0" t="0" r="0" b="0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D5D53" w:rsidRDefault="009D5D53" w:rsidP="00BA21E5">
      <w:pPr>
        <w:spacing w:after="0" w:line="240" w:lineRule="auto"/>
        <w:jc w:val="both"/>
        <w:rPr>
          <w:rFonts w:ascii="Cambria" w:eastAsia="Times New Roman" w:hAnsi="Cambria" w:cs="Times New Roman"/>
          <w:b/>
          <w:color w:val="244061"/>
          <w:sz w:val="22"/>
          <w:szCs w:val="22"/>
        </w:rPr>
      </w:pPr>
    </w:p>
    <w:p w:rsidR="00E62A63" w:rsidRPr="00EF18AF" w:rsidRDefault="009D5D53" w:rsidP="009D5D53">
      <w:pPr>
        <w:jc w:val="center"/>
        <w:rPr>
          <w:noProof/>
          <w:lang w:val="en-US"/>
        </w:rPr>
      </w:pPr>
      <w:r>
        <w:rPr>
          <w:noProof/>
          <w:lang w:eastAsia="en-GB"/>
        </w:rPr>
        <w:drawing>
          <wp:inline distT="0" distB="0" distL="0" distR="0" wp14:anchorId="57A86EEE" wp14:editId="0975E8DF">
            <wp:extent cx="2895600" cy="2581275"/>
            <wp:effectExtent l="0" t="0" r="0" b="9525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E62A63" w:rsidRPr="00EF18AF" w:rsidSect="002A1F0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FC0" w:rsidRDefault="00FC3FC0" w:rsidP="00CA3650">
      <w:pPr>
        <w:spacing w:after="0" w:line="240" w:lineRule="auto"/>
      </w:pPr>
      <w:r>
        <w:separator/>
      </w:r>
    </w:p>
  </w:endnote>
  <w:endnote w:type="continuationSeparator" w:id="0">
    <w:p w:rsidR="00FC3FC0" w:rsidRDefault="00FC3FC0" w:rsidP="00CA3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13449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641A" w:rsidRDefault="00DD64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737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D641A" w:rsidRDefault="00DD64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FC0" w:rsidRDefault="00FC3FC0" w:rsidP="00CA3650">
      <w:pPr>
        <w:spacing w:after="0" w:line="240" w:lineRule="auto"/>
      </w:pPr>
      <w:r>
        <w:separator/>
      </w:r>
    </w:p>
  </w:footnote>
  <w:footnote w:type="continuationSeparator" w:id="0">
    <w:p w:rsidR="00FC3FC0" w:rsidRDefault="00FC3FC0" w:rsidP="00CA3650">
      <w:pPr>
        <w:spacing w:after="0" w:line="240" w:lineRule="auto"/>
      </w:pPr>
      <w:r>
        <w:continuationSeparator/>
      </w:r>
    </w:p>
  </w:footnote>
  <w:footnote w:id="1">
    <w:p w:rsidR="00CA3650" w:rsidRDefault="00CA3650" w:rsidP="00CA3650">
      <w:pPr>
        <w:pStyle w:val="FootnoteText"/>
      </w:pPr>
      <w:r>
        <w:rPr>
          <w:rStyle w:val="FootnoteReference"/>
        </w:rPr>
        <w:footnoteRef/>
      </w:r>
      <w:r>
        <w:rPr>
          <w:rFonts w:ascii="Cambria" w:hAnsi="Cambria"/>
          <w:lang w:val="sr-Latn-RS"/>
        </w:rPr>
        <w:t>According to the projections of Ministry of finance, GDP for 20</w:t>
      </w:r>
      <w:r w:rsidR="0068647F">
        <w:rPr>
          <w:rFonts w:ascii="Cambria" w:hAnsi="Cambria"/>
          <w:lang w:val="sr-Latn-RS"/>
        </w:rPr>
        <w:t>2</w:t>
      </w:r>
      <w:r w:rsidR="00857899">
        <w:rPr>
          <w:rFonts w:ascii="Cambria" w:hAnsi="Cambria"/>
          <w:lang w:val="sr-Latn-RS"/>
        </w:rPr>
        <w:t>1</w:t>
      </w:r>
      <w:r>
        <w:rPr>
          <w:rFonts w:ascii="Cambria" w:hAnsi="Cambria"/>
          <w:lang w:val="sr-Latn-RS"/>
        </w:rPr>
        <w:t xml:space="preserve"> amounts </w:t>
      </w:r>
      <w:r w:rsidR="0068647F">
        <w:rPr>
          <w:rFonts w:ascii="Cambria" w:hAnsi="Cambria"/>
          <w:lang w:val="sr-Latn-RS"/>
        </w:rPr>
        <w:t>4</w:t>
      </w:r>
      <w:r w:rsidR="00566986">
        <w:rPr>
          <w:rFonts w:ascii="Cambria" w:hAnsi="Cambria"/>
          <w:lang w:val="sr-Latn-RS"/>
        </w:rPr>
        <w:t>,</w:t>
      </w:r>
      <w:r w:rsidR="00857899">
        <w:rPr>
          <w:rFonts w:ascii="Cambria" w:hAnsi="Cambria"/>
          <w:lang w:val="sr-Latn-RS"/>
        </w:rPr>
        <w:t>636.6</w:t>
      </w:r>
      <w:r w:rsidR="006D2A0D">
        <w:rPr>
          <w:rFonts w:ascii="Cambria" w:hAnsi="Cambria"/>
          <w:lang w:val="sr-Latn-RS"/>
        </w:rPr>
        <w:t xml:space="preserve"> mil. EUR</w:t>
      </w:r>
    </w:p>
  </w:footnote>
  <w:footnote w:id="2">
    <w:p w:rsidR="0052251C" w:rsidRDefault="0052251C" w:rsidP="0052251C">
      <w:pPr>
        <w:pStyle w:val="FootnoteText"/>
      </w:pPr>
      <w:r>
        <w:rPr>
          <w:rStyle w:val="FootnoteReference"/>
        </w:rPr>
        <w:footnoteRef/>
      </w:r>
      <w:r>
        <w:rPr>
          <w:rFonts w:ascii="Cambria" w:hAnsi="Cambria"/>
          <w:lang w:val="sr-Latn-RS"/>
        </w:rPr>
        <w:t xml:space="preserve">According to </w:t>
      </w:r>
      <w:r w:rsidRPr="0052251C">
        <w:rPr>
          <w:rFonts w:ascii="Cambria" w:hAnsi="Cambria"/>
          <w:lang w:val="sr-Latn-RS"/>
        </w:rPr>
        <w:t xml:space="preserve">the exchange rate on </w:t>
      </w:r>
      <w:r>
        <w:rPr>
          <w:rFonts w:ascii="Cambria" w:hAnsi="Cambria"/>
          <w:lang w:val="sr-Latn-RS"/>
        </w:rPr>
        <w:t>31.12.2020.</w:t>
      </w:r>
    </w:p>
  </w:footnote>
  <w:footnote w:id="3">
    <w:p w:rsidR="0052251C" w:rsidRDefault="0052251C" w:rsidP="0052251C">
      <w:pPr>
        <w:pStyle w:val="FootnoteText"/>
      </w:pPr>
      <w:r>
        <w:rPr>
          <w:rStyle w:val="FootnoteReference"/>
        </w:rPr>
        <w:footnoteRef/>
      </w:r>
      <w:r>
        <w:rPr>
          <w:rFonts w:ascii="Cambria" w:hAnsi="Cambria"/>
          <w:lang w:val="sr-Latn-RS"/>
        </w:rPr>
        <w:t xml:space="preserve">According to </w:t>
      </w:r>
      <w:r w:rsidRPr="0052251C">
        <w:rPr>
          <w:rFonts w:ascii="Cambria" w:hAnsi="Cambria"/>
          <w:lang w:val="sr-Latn-RS"/>
        </w:rPr>
        <w:t>the exchange rate on 31.03.2021</w:t>
      </w:r>
      <w:r>
        <w:rPr>
          <w:rFonts w:ascii="Cambria" w:hAnsi="Cambria"/>
          <w:lang w:val="sr-Latn-RS"/>
        </w:rPr>
        <w:t>.</w:t>
      </w:r>
    </w:p>
  </w:footnote>
  <w:footnote w:id="4">
    <w:p w:rsidR="0074245A" w:rsidRDefault="0074245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4245A">
        <w:t>According to the exchange rate on 31.03.2021.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604" w:rsidRDefault="002E460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right</wp:align>
              </wp:positionH>
              <wp:positionV relativeFrom="topMargin">
                <wp:posOffset>371475</wp:posOffset>
              </wp:positionV>
              <wp:extent cx="5762625" cy="342900"/>
              <wp:effectExtent l="0" t="0" r="0" b="0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26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71D1" w:rsidRDefault="008D336A" w:rsidP="008D336A">
                          <w:pPr>
                            <w:spacing w:after="0" w:line="240" w:lineRule="auto"/>
                            <w:rPr>
                              <w:rFonts w:ascii="Cambria" w:hAnsi="Cambria"/>
                              <w:b/>
                              <w:caps/>
                              <w:noProof/>
                              <w:lang w:val="sr-Latn-RS"/>
                            </w:rPr>
                          </w:pPr>
                          <w:r w:rsidRPr="00A67C3A">
                            <w:rPr>
                              <w:rFonts w:ascii="Cambria" w:hAnsi="Cambria"/>
                              <w:b/>
                              <w:caps/>
                              <w:noProof/>
                              <w:lang w:val="sr-Latn-RS"/>
                            </w:rPr>
                            <w:t>Ministry of finance</w:t>
                          </w:r>
                          <w:r w:rsidR="009771D1">
                            <w:rPr>
                              <w:rFonts w:ascii="Cambria" w:hAnsi="Cambria"/>
                              <w:b/>
                              <w:caps/>
                              <w:noProof/>
                              <w:lang w:val="sr-Latn-RS"/>
                            </w:rPr>
                            <w:t xml:space="preserve"> and social welfare</w:t>
                          </w:r>
                          <w:r w:rsidRPr="00A67C3A">
                            <w:rPr>
                              <w:rFonts w:ascii="Cambria" w:hAnsi="Cambria"/>
                              <w:b/>
                              <w:caps/>
                              <w:noProof/>
                              <w:lang w:val="sr-Latn-RS"/>
                            </w:rPr>
                            <w:t xml:space="preserve">    </w:t>
                          </w:r>
                          <w:r w:rsidR="007533CF">
                            <w:rPr>
                              <w:rFonts w:ascii="Cambria" w:hAnsi="Cambria"/>
                              <w:b/>
                              <w:caps/>
                              <w:noProof/>
                              <w:lang w:val="sr-Latn-RS"/>
                            </w:rPr>
                            <w:t xml:space="preserve">       </w:t>
                          </w:r>
                          <w:r w:rsidR="009771D1">
                            <w:rPr>
                              <w:rFonts w:ascii="Cambria" w:hAnsi="Cambria"/>
                              <w:b/>
                              <w:caps/>
                              <w:noProof/>
                              <w:lang w:val="sr-Latn-RS"/>
                            </w:rPr>
                            <w:t xml:space="preserve">                                      </w:t>
                          </w:r>
                          <w:r w:rsidRPr="00A67C3A">
                            <w:rPr>
                              <w:rFonts w:ascii="Cambria" w:hAnsi="Cambria"/>
                              <w:b/>
                              <w:caps/>
                              <w:noProof/>
                              <w:lang w:val="sr-Latn-RS"/>
                            </w:rPr>
                            <w:t>Report on</w:t>
                          </w:r>
                          <w:r w:rsidR="007533CF">
                            <w:rPr>
                              <w:rFonts w:ascii="Cambria" w:hAnsi="Cambria"/>
                              <w:b/>
                              <w:caps/>
                              <w:noProof/>
                              <w:lang w:val="sr-Latn-RS"/>
                            </w:rPr>
                            <w:t xml:space="preserve"> the Central </w:t>
                          </w:r>
                        </w:p>
                        <w:p w:rsidR="002E4604" w:rsidRPr="00A67C3A" w:rsidRDefault="009771D1" w:rsidP="008D336A">
                          <w:pPr>
                            <w:spacing w:after="0" w:line="240" w:lineRule="auto"/>
                            <w:rPr>
                              <w:rFonts w:ascii="Cambria" w:hAnsi="Cambria"/>
                              <w:b/>
                              <w:caps/>
                              <w:noProof/>
                              <w:lang w:val="sr-Latn-RS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aps/>
                              <w:noProof/>
                              <w:lang w:val="sr-Latn-RS"/>
                            </w:rPr>
                            <w:t xml:space="preserve">                                                                                                                                   </w:t>
                          </w:r>
                          <w:r w:rsidR="007533CF">
                            <w:rPr>
                              <w:rFonts w:ascii="Cambria" w:hAnsi="Cambria"/>
                              <w:b/>
                              <w:caps/>
                              <w:noProof/>
                              <w:lang w:val="sr-Latn-RS"/>
                            </w:rPr>
                            <w:t>Government debt</w:t>
                          </w:r>
                          <w:r w:rsidR="00A67C3A">
                            <w:rPr>
                              <w:rFonts w:ascii="Cambria" w:hAnsi="Cambria"/>
                              <w:b/>
                              <w:caps/>
                              <w:noProof/>
                              <w:lang w:val="sr-Latn-RS"/>
                            </w:rPr>
                            <w:t xml:space="preserve"> </w:t>
                          </w:r>
                          <w:r w:rsidR="00C43F30">
                            <w:rPr>
                              <w:rFonts w:ascii="Cambria" w:hAnsi="Cambria"/>
                              <w:b/>
                              <w:caps/>
                              <w:noProof/>
                              <w:lang w:val="sr-Latn-RS"/>
                            </w:rPr>
                            <w:t>31.</w:t>
                          </w:r>
                          <w:r>
                            <w:rPr>
                              <w:rFonts w:ascii="Cambria" w:hAnsi="Cambria"/>
                              <w:b/>
                              <w:caps/>
                              <w:noProof/>
                              <w:lang w:val="sr-Latn-RS"/>
                            </w:rPr>
                            <w:t>03.2021</w:t>
                          </w:r>
                          <w:r w:rsidR="007533CF">
                            <w:rPr>
                              <w:rFonts w:ascii="Cambria" w:hAnsi="Cambria"/>
                              <w:b/>
                              <w:caps/>
                              <w:noProof/>
                              <w:lang w:val="sr-Latn-RS"/>
                            </w:rPr>
                            <w:t>.</w:t>
                          </w:r>
                          <w:r w:rsidR="008D336A" w:rsidRPr="00A67C3A">
                            <w:rPr>
                              <w:rFonts w:ascii="Cambria" w:hAnsi="Cambria"/>
                              <w:b/>
                              <w:caps/>
                              <w:noProof/>
                              <w:lang w:val="sr-Latn-RS"/>
                            </w:rPr>
                            <w:t xml:space="preserve">         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margin-left:402.55pt;margin-top:29.25pt;width:453.75pt;height:2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" o:allowincell="f" filled="f" stroked="f">
              <v:textbox inset=",0,,0">
                <w:txbxContent>
                  <w:p w:rsidR="009771D1" w:rsidRDefault="008D336A" w:rsidP="008D336A">
                    <w:pPr>
                      <w:spacing w:after="0" w:line="240" w:lineRule="auto"/>
                      <w:rPr>
                        <w:rFonts w:ascii="Cambria" w:hAnsi="Cambria"/>
                        <w:b/>
                        <w:caps/>
                        <w:noProof/>
                        <w:lang w:val="sr-Latn-RS"/>
                      </w:rPr>
                    </w:pPr>
                    <w:r w:rsidRPr="00A67C3A">
                      <w:rPr>
                        <w:rFonts w:ascii="Cambria" w:hAnsi="Cambria"/>
                        <w:b/>
                        <w:caps/>
                        <w:noProof/>
                        <w:lang w:val="sr-Latn-RS"/>
                      </w:rPr>
                      <w:t>Ministry of finance</w:t>
                    </w:r>
                    <w:r w:rsidR="009771D1">
                      <w:rPr>
                        <w:rFonts w:ascii="Cambria" w:hAnsi="Cambria"/>
                        <w:b/>
                        <w:caps/>
                        <w:noProof/>
                        <w:lang w:val="sr-Latn-RS"/>
                      </w:rPr>
                      <w:t xml:space="preserve"> and social welfare</w:t>
                    </w:r>
                    <w:r w:rsidRPr="00A67C3A">
                      <w:rPr>
                        <w:rFonts w:ascii="Cambria" w:hAnsi="Cambria"/>
                        <w:b/>
                        <w:caps/>
                        <w:noProof/>
                        <w:lang w:val="sr-Latn-RS"/>
                      </w:rPr>
                      <w:t xml:space="preserve">    </w:t>
                    </w:r>
                    <w:r w:rsidR="007533CF">
                      <w:rPr>
                        <w:rFonts w:ascii="Cambria" w:hAnsi="Cambria"/>
                        <w:b/>
                        <w:caps/>
                        <w:noProof/>
                        <w:lang w:val="sr-Latn-RS"/>
                      </w:rPr>
                      <w:t xml:space="preserve">       </w:t>
                    </w:r>
                    <w:r w:rsidR="009771D1">
                      <w:rPr>
                        <w:rFonts w:ascii="Cambria" w:hAnsi="Cambria"/>
                        <w:b/>
                        <w:caps/>
                        <w:noProof/>
                        <w:lang w:val="sr-Latn-RS"/>
                      </w:rPr>
                      <w:t xml:space="preserve">                                      </w:t>
                    </w:r>
                    <w:r w:rsidRPr="00A67C3A">
                      <w:rPr>
                        <w:rFonts w:ascii="Cambria" w:hAnsi="Cambria"/>
                        <w:b/>
                        <w:caps/>
                        <w:noProof/>
                        <w:lang w:val="sr-Latn-RS"/>
                      </w:rPr>
                      <w:t>Report on</w:t>
                    </w:r>
                    <w:r w:rsidR="007533CF">
                      <w:rPr>
                        <w:rFonts w:ascii="Cambria" w:hAnsi="Cambria"/>
                        <w:b/>
                        <w:caps/>
                        <w:noProof/>
                        <w:lang w:val="sr-Latn-RS"/>
                      </w:rPr>
                      <w:t xml:space="preserve"> the Central </w:t>
                    </w:r>
                  </w:p>
                  <w:p w:rsidR="002E4604" w:rsidRPr="00A67C3A" w:rsidRDefault="009771D1" w:rsidP="008D336A">
                    <w:pPr>
                      <w:spacing w:after="0" w:line="240" w:lineRule="auto"/>
                      <w:rPr>
                        <w:rFonts w:ascii="Cambria" w:hAnsi="Cambria"/>
                        <w:b/>
                        <w:caps/>
                        <w:noProof/>
                        <w:lang w:val="sr-Latn-RS"/>
                      </w:rPr>
                    </w:pPr>
                    <w:r>
                      <w:rPr>
                        <w:rFonts w:ascii="Cambria" w:hAnsi="Cambria"/>
                        <w:b/>
                        <w:caps/>
                        <w:noProof/>
                        <w:lang w:val="sr-Latn-RS"/>
                      </w:rPr>
                      <w:t xml:space="preserve">                                                                                                                                   </w:t>
                    </w:r>
                    <w:r w:rsidR="007533CF">
                      <w:rPr>
                        <w:rFonts w:ascii="Cambria" w:hAnsi="Cambria"/>
                        <w:b/>
                        <w:caps/>
                        <w:noProof/>
                        <w:lang w:val="sr-Latn-RS"/>
                      </w:rPr>
                      <w:t>Government debt</w:t>
                    </w:r>
                    <w:r w:rsidR="00A67C3A">
                      <w:rPr>
                        <w:rFonts w:ascii="Cambria" w:hAnsi="Cambria"/>
                        <w:b/>
                        <w:caps/>
                        <w:noProof/>
                        <w:lang w:val="sr-Latn-RS"/>
                      </w:rPr>
                      <w:t xml:space="preserve"> </w:t>
                    </w:r>
                    <w:r w:rsidR="00C43F30">
                      <w:rPr>
                        <w:rFonts w:ascii="Cambria" w:hAnsi="Cambria"/>
                        <w:b/>
                        <w:caps/>
                        <w:noProof/>
                        <w:lang w:val="sr-Latn-RS"/>
                      </w:rPr>
                      <w:t>31.</w:t>
                    </w:r>
                    <w:r>
                      <w:rPr>
                        <w:rFonts w:ascii="Cambria" w:hAnsi="Cambria"/>
                        <w:b/>
                        <w:caps/>
                        <w:noProof/>
                        <w:lang w:val="sr-Latn-RS"/>
                      </w:rPr>
                      <w:t>03.2021</w:t>
                    </w:r>
                    <w:r w:rsidR="007533CF">
                      <w:rPr>
                        <w:rFonts w:ascii="Cambria" w:hAnsi="Cambria"/>
                        <w:b/>
                        <w:caps/>
                        <w:noProof/>
                        <w:lang w:val="sr-Latn-RS"/>
                      </w:rPr>
                      <w:t>.</w:t>
                    </w:r>
                    <w:r w:rsidR="008D336A" w:rsidRPr="00A67C3A">
                      <w:rPr>
                        <w:rFonts w:ascii="Cambria" w:hAnsi="Cambria"/>
                        <w:b/>
                        <w:caps/>
                        <w:noProof/>
                        <w:lang w:val="sr-Latn-RS"/>
                      </w:rPr>
                      <w:t xml:space="preserve">         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5080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2E4604" w:rsidRPr="008D336A" w:rsidRDefault="002E4604">
                          <w:pPr>
                            <w:spacing w:after="0" w:line="240" w:lineRule="auto"/>
                            <w:rPr>
                              <w:rFonts w:ascii="Cambria" w:hAnsi="Cambria"/>
                              <w:color w:val="FFFFFF" w:themeColor="background1"/>
                            </w:rPr>
                          </w:pPr>
                          <w:r w:rsidRPr="008D336A">
                            <w:rPr>
                              <w:rFonts w:ascii="Cambria" w:hAnsi="Cambria"/>
                            </w:rPr>
                            <w:fldChar w:fldCharType="begin"/>
                          </w:r>
                          <w:r w:rsidRPr="008D336A">
                            <w:rPr>
                              <w:rFonts w:ascii="Cambria" w:hAnsi="Cambria"/>
                            </w:rPr>
                            <w:instrText xml:space="preserve"> PAGE   \* MERGEFORMAT </w:instrText>
                          </w:r>
                          <w:r w:rsidRPr="008D336A">
                            <w:rPr>
                              <w:rFonts w:ascii="Cambria" w:hAnsi="Cambria"/>
                            </w:rPr>
                            <w:fldChar w:fldCharType="separate"/>
                          </w:r>
                          <w:r w:rsidR="00D5737E" w:rsidRPr="00D5737E">
                            <w:rPr>
                              <w:rFonts w:ascii="Cambria" w:hAnsi="Cambria"/>
                              <w:noProof/>
                              <w:color w:val="FFFFFF" w:themeColor="background1"/>
                            </w:rPr>
                            <w:t>3</w:t>
                          </w:r>
                          <w:r w:rsidRPr="008D336A">
                            <w:rPr>
                              <w:rFonts w:ascii="Cambria" w:hAnsi="Cambria"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" o:allowincell="f" fillcolor="#fad17a [1940]" stroked="f">
              <v:textbox style="mso-fit-shape-to-text:t" inset=",0,,0">
                <w:txbxContent>
                  <w:p w:rsidR="002E4604" w:rsidRPr="008D336A" w:rsidRDefault="002E4604">
                    <w:pPr>
                      <w:spacing w:after="0" w:line="240" w:lineRule="auto"/>
                      <w:rPr>
                        <w:rFonts w:ascii="Cambria" w:hAnsi="Cambria"/>
                        <w:color w:val="FFFFFF" w:themeColor="background1"/>
                      </w:rPr>
                    </w:pPr>
                    <w:r w:rsidRPr="008D336A">
                      <w:rPr>
                        <w:rFonts w:ascii="Cambria" w:hAnsi="Cambria"/>
                      </w:rPr>
                      <w:fldChar w:fldCharType="begin"/>
                    </w:r>
                    <w:r w:rsidRPr="008D336A">
                      <w:rPr>
                        <w:rFonts w:ascii="Cambria" w:hAnsi="Cambria"/>
                      </w:rPr>
                      <w:instrText xml:space="preserve"> PAGE   \* MERGEFORMAT </w:instrText>
                    </w:r>
                    <w:r w:rsidRPr="008D336A">
                      <w:rPr>
                        <w:rFonts w:ascii="Cambria" w:hAnsi="Cambria"/>
                      </w:rPr>
                      <w:fldChar w:fldCharType="separate"/>
                    </w:r>
                    <w:r w:rsidR="00D5737E" w:rsidRPr="00D5737E">
                      <w:rPr>
                        <w:rFonts w:ascii="Cambria" w:hAnsi="Cambria"/>
                        <w:noProof/>
                        <w:color w:val="FFFFFF" w:themeColor="background1"/>
                      </w:rPr>
                      <w:t>3</w:t>
                    </w:r>
                    <w:r w:rsidRPr="008D336A">
                      <w:rPr>
                        <w:rFonts w:ascii="Cambria" w:hAnsi="Cambria"/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A96"/>
    <w:rsid w:val="00005534"/>
    <w:rsid w:val="00005E4A"/>
    <w:rsid w:val="00026B24"/>
    <w:rsid w:val="00066C64"/>
    <w:rsid w:val="00072F77"/>
    <w:rsid w:val="000815E9"/>
    <w:rsid w:val="00083C27"/>
    <w:rsid w:val="00091C24"/>
    <w:rsid w:val="0009550D"/>
    <w:rsid w:val="000C7799"/>
    <w:rsid w:val="000E077A"/>
    <w:rsid w:val="00111B57"/>
    <w:rsid w:val="001148C4"/>
    <w:rsid w:val="00116533"/>
    <w:rsid w:val="001214D1"/>
    <w:rsid w:val="00125478"/>
    <w:rsid w:val="00131C70"/>
    <w:rsid w:val="001439CB"/>
    <w:rsid w:val="00156557"/>
    <w:rsid w:val="00157AFD"/>
    <w:rsid w:val="00173783"/>
    <w:rsid w:val="00174D84"/>
    <w:rsid w:val="00180B07"/>
    <w:rsid w:val="00183C8F"/>
    <w:rsid w:val="00186F5B"/>
    <w:rsid w:val="00194B0F"/>
    <w:rsid w:val="001A1E46"/>
    <w:rsid w:val="001B1DBA"/>
    <w:rsid w:val="001B27E2"/>
    <w:rsid w:val="001C1B56"/>
    <w:rsid w:val="001C43FF"/>
    <w:rsid w:val="001D458F"/>
    <w:rsid w:val="001E43DE"/>
    <w:rsid w:val="001F7402"/>
    <w:rsid w:val="00212FBD"/>
    <w:rsid w:val="002378AD"/>
    <w:rsid w:val="00264ECE"/>
    <w:rsid w:val="002716A0"/>
    <w:rsid w:val="002856E9"/>
    <w:rsid w:val="00293967"/>
    <w:rsid w:val="002A1F0A"/>
    <w:rsid w:val="002A388A"/>
    <w:rsid w:val="002A49B9"/>
    <w:rsid w:val="002B17A0"/>
    <w:rsid w:val="002C1038"/>
    <w:rsid w:val="002C1296"/>
    <w:rsid w:val="002C46D9"/>
    <w:rsid w:val="002C7868"/>
    <w:rsid w:val="002D4B0B"/>
    <w:rsid w:val="002E1648"/>
    <w:rsid w:val="002E4604"/>
    <w:rsid w:val="002F5F2E"/>
    <w:rsid w:val="002F5F45"/>
    <w:rsid w:val="00316EFC"/>
    <w:rsid w:val="00343068"/>
    <w:rsid w:val="00344418"/>
    <w:rsid w:val="0034662F"/>
    <w:rsid w:val="003606C1"/>
    <w:rsid w:val="00372A64"/>
    <w:rsid w:val="0038067F"/>
    <w:rsid w:val="00380848"/>
    <w:rsid w:val="00386125"/>
    <w:rsid w:val="003B3ED7"/>
    <w:rsid w:val="003C62A6"/>
    <w:rsid w:val="003D7770"/>
    <w:rsid w:val="00422AD6"/>
    <w:rsid w:val="00445AA2"/>
    <w:rsid w:val="00451076"/>
    <w:rsid w:val="00451877"/>
    <w:rsid w:val="00460BF2"/>
    <w:rsid w:val="00461C8A"/>
    <w:rsid w:val="00461EF2"/>
    <w:rsid w:val="00471561"/>
    <w:rsid w:val="004A0026"/>
    <w:rsid w:val="004A0CD4"/>
    <w:rsid w:val="004B6118"/>
    <w:rsid w:val="004B788D"/>
    <w:rsid w:val="004C630A"/>
    <w:rsid w:val="004D76B1"/>
    <w:rsid w:val="004E4F3B"/>
    <w:rsid w:val="004F4BEF"/>
    <w:rsid w:val="004F7033"/>
    <w:rsid w:val="004F7EB8"/>
    <w:rsid w:val="0052251C"/>
    <w:rsid w:val="00522819"/>
    <w:rsid w:val="00533C55"/>
    <w:rsid w:val="00546B09"/>
    <w:rsid w:val="00561BC7"/>
    <w:rsid w:val="00566986"/>
    <w:rsid w:val="00566A28"/>
    <w:rsid w:val="00571D87"/>
    <w:rsid w:val="005A39BD"/>
    <w:rsid w:val="005B4A7F"/>
    <w:rsid w:val="005B69CB"/>
    <w:rsid w:val="005C4F06"/>
    <w:rsid w:val="005E1B14"/>
    <w:rsid w:val="005E34C0"/>
    <w:rsid w:val="00606CC6"/>
    <w:rsid w:val="00652B3B"/>
    <w:rsid w:val="0065305D"/>
    <w:rsid w:val="00653974"/>
    <w:rsid w:val="00653CCD"/>
    <w:rsid w:val="006704F4"/>
    <w:rsid w:val="00682C93"/>
    <w:rsid w:val="0068647F"/>
    <w:rsid w:val="00686A79"/>
    <w:rsid w:val="006B0420"/>
    <w:rsid w:val="006B207B"/>
    <w:rsid w:val="006C120A"/>
    <w:rsid w:val="006D2A0D"/>
    <w:rsid w:val="00704F45"/>
    <w:rsid w:val="00716171"/>
    <w:rsid w:val="0074245A"/>
    <w:rsid w:val="00751292"/>
    <w:rsid w:val="007533CF"/>
    <w:rsid w:val="007622C4"/>
    <w:rsid w:val="00783946"/>
    <w:rsid w:val="00787067"/>
    <w:rsid w:val="00793563"/>
    <w:rsid w:val="00794A53"/>
    <w:rsid w:val="00795354"/>
    <w:rsid w:val="007A21C9"/>
    <w:rsid w:val="007A32F7"/>
    <w:rsid w:val="007A3AA0"/>
    <w:rsid w:val="007A749A"/>
    <w:rsid w:val="007B5008"/>
    <w:rsid w:val="007C45FF"/>
    <w:rsid w:val="00801D53"/>
    <w:rsid w:val="00804487"/>
    <w:rsid w:val="00833B14"/>
    <w:rsid w:val="00842902"/>
    <w:rsid w:val="00857899"/>
    <w:rsid w:val="00863336"/>
    <w:rsid w:val="00866646"/>
    <w:rsid w:val="00890F45"/>
    <w:rsid w:val="008B0B8D"/>
    <w:rsid w:val="008B3854"/>
    <w:rsid w:val="008D336A"/>
    <w:rsid w:val="008D45EC"/>
    <w:rsid w:val="008D493C"/>
    <w:rsid w:val="008E1A4C"/>
    <w:rsid w:val="008E7DA3"/>
    <w:rsid w:val="008F42E4"/>
    <w:rsid w:val="009172E2"/>
    <w:rsid w:val="0092435A"/>
    <w:rsid w:val="00930DC2"/>
    <w:rsid w:val="009514E5"/>
    <w:rsid w:val="0096264E"/>
    <w:rsid w:val="00967AF3"/>
    <w:rsid w:val="009771D1"/>
    <w:rsid w:val="0099383E"/>
    <w:rsid w:val="009D5D53"/>
    <w:rsid w:val="009D6477"/>
    <w:rsid w:val="009D71B8"/>
    <w:rsid w:val="009F489A"/>
    <w:rsid w:val="009F64D1"/>
    <w:rsid w:val="00A10B55"/>
    <w:rsid w:val="00A14D20"/>
    <w:rsid w:val="00A219FE"/>
    <w:rsid w:val="00A31CC8"/>
    <w:rsid w:val="00A4026C"/>
    <w:rsid w:val="00A42F98"/>
    <w:rsid w:val="00A655BA"/>
    <w:rsid w:val="00A67C3A"/>
    <w:rsid w:val="00A83D84"/>
    <w:rsid w:val="00A87549"/>
    <w:rsid w:val="00A92FBC"/>
    <w:rsid w:val="00AA20DB"/>
    <w:rsid w:val="00AB4940"/>
    <w:rsid w:val="00AC05B3"/>
    <w:rsid w:val="00AC4B0A"/>
    <w:rsid w:val="00B120DB"/>
    <w:rsid w:val="00B45802"/>
    <w:rsid w:val="00B54AF3"/>
    <w:rsid w:val="00B627B9"/>
    <w:rsid w:val="00B63CEF"/>
    <w:rsid w:val="00B67539"/>
    <w:rsid w:val="00BA21E5"/>
    <w:rsid w:val="00BA5A36"/>
    <w:rsid w:val="00BA788A"/>
    <w:rsid w:val="00BB4F7E"/>
    <w:rsid w:val="00BE0B5E"/>
    <w:rsid w:val="00BE52E4"/>
    <w:rsid w:val="00BE69C0"/>
    <w:rsid w:val="00BF4BB9"/>
    <w:rsid w:val="00C11FE6"/>
    <w:rsid w:val="00C12BD7"/>
    <w:rsid w:val="00C1597A"/>
    <w:rsid w:val="00C2399D"/>
    <w:rsid w:val="00C245D4"/>
    <w:rsid w:val="00C37972"/>
    <w:rsid w:val="00C43F30"/>
    <w:rsid w:val="00C6042D"/>
    <w:rsid w:val="00C61088"/>
    <w:rsid w:val="00C64CA8"/>
    <w:rsid w:val="00C70640"/>
    <w:rsid w:val="00C73310"/>
    <w:rsid w:val="00C808A7"/>
    <w:rsid w:val="00C86AD5"/>
    <w:rsid w:val="00C9471C"/>
    <w:rsid w:val="00CA3650"/>
    <w:rsid w:val="00CB558E"/>
    <w:rsid w:val="00CC00BD"/>
    <w:rsid w:val="00CC3CBD"/>
    <w:rsid w:val="00CE2B14"/>
    <w:rsid w:val="00CE71E9"/>
    <w:rsid w:val="00CF15B4"/>
    <w:rsid w:val="00CF1CA5"/>
    <w:rsid w:val="00CF5EA4"/>
    <w:rsid w:val="00D029AD"/>
    <w:rsid w:val="00D23C07"/>
    <w:rsid w:val="00D36662"/>
    <w:rsid w:val="00D4285F"/>
    <w:rsid w:val="00D5227F"/>
    <w:rsid w:val="00D543E7"/>
    <w:rsid w:val="00D5719C"/>
    <w:rsid w:val="00D5737E"/>
    <w:rsid w:val="00D67D8A"/>
    <w:rsid w:val="00D7125C"/>
    <w:rsid w:val="00D76E9A"/>
    <w:rsid w:val="00DB1984"/>
    <w:rsid w:val="00DD00AD"/>
    <w:rsid w:val="00DD641A"/>
    <w:rsid w:val="00DD69CF"/>
    <w:rsid w:val="00DE1B66"/>
    <w:rsid w:val="00DE29D4"/>
    <w:rsid w:val="00DE46B8"/>
    <w:rsid w:val="00DF41CE"/>
    <w:rsid w:val="00E0104E"/>
    <w:rsid w:val="00E12EC1"/>
    <w:rsid w:val="00E16CF9"/>
    <w:rsid w:val="00E227D4"/>
    <w:rsid w:val="00E27380"/>
    <w:rsid w:val="00E62A63"/>
    <w:rsid w:val="00E65010"/>
    <w:rsid w:val="00E77043"/>
    <w:rsid w:val="00E83A1C"/>
    <w:rsid w:val="00E90DCE"/>
    <w:rsid w:val="00E97A96"/>
    <w:rsid w:val="00EA7D35"/>
    <w:rsid w:val="00EB3E4C"/>
    <w:rsid w:val="00EE086F"/>
    <w:rsid w:val="00EF18AF"/>
    <w:rsid w:val="00F05CD3"/>
    <w:rsid w:val="00F10532"/>
    <w:rsid w:val="00F22C6A"/>
    <w:rsid w:val="00F242CF"/>
    <w:rsid w:val="00F51286"/>
    <w:rsid w:val="00F546DE"/>
    <w:rsid w:val="00F54730"/>
    <w:rsid w:val="00F6218F"/>
    <w:rsid w:val="00F70BA1"/>
    <w:rsid w:val="00F77A6B"/>
    <w:rsid w:val="00F96E00"/>
    <w:rsid w:val="00F97120"/>
    <w:rsid w:val="00FB3F00"/>
    <w:rsid w:val="00FC3FC0"/>
    <w:rsid w:val="00FC7558"/>
    <w:rsid w:val="00FF1C56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F213F1E-3F4C-46A3-A835-75B5D7603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A96"/>
  </w:style>
  <w:style w:type="paragraph" w:styleId="Heading1">
    <w:name w:val="heading 1"/>
    <w:basedOn w:val="Normal"/>
    <w:next w:val="Normal"/>
    <w:link w:val="Heading1Char"/>
    <w:uiPriority w:val="9"/>
    <w:qFormat/>
    <w:rsid w:val="00E97A9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CD8C0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7A9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7A9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A1A00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7A9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7A9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A1A00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7A9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2A1A00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7A9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95E0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7A9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2A1A00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7A9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2A1A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7A96"/>
    <w:rPr>
      <w:rFonts w:asciiTheme="majorHAnsi" w:eastAsiaTheme="majorEastAsia" w:hAnsiTheme="majorHAnsi" w:cstheme="majorBidi"/>
      <w:color w:val="CD8C0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7A9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7A96"/>
    <w:rPr>
      <w:rFonts w:asciiTheme="majorHAnsi" w:eastAsiaTheme="majorEastAsia" w:hAnsiTheme="majorHAnsi" w:cstheme="majorBidi"/>
      <w:color w:val="2A1A00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7A96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7A96"/>
    <w:rPr>
      <w:rFonts w:asciiTheme="majorHAnsi" w:eastAsiaTheme="majorEastAsia" w:hAnsiTheme="majorHAnsi" w:cstheme="majorBidi"/>
      <w:color w:val="2A1A00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7A96"/>
    <w:rPr>
      <w:rFonts w:asciiTheme="majorHAnsi" w:eastAsiaTheme="majorEastAsia" w:hAnsiTheme="majorHAnsi" w:cstheme="majorBidi"/>
      <w:i/>
      <w:iCs/>
      <w:color w:val="2A1A00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7A96"/>
    <w:rPr>
      <w:rFonts w:asciiTheme="majorHAnsi" w:eastAsiaTheme="majorEastAsia" w:hAnsiTheme="majorHAnsi" w:cstheme="majorBidi"/>
      <w:i/>
      <w:iCs/>
      <w:color w:val="895E0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7A96"/>
    <w:rPr>
      <w:rFonts w:asciiTheme="majorHAnsi" w:eastAsiaTheme="majorEastAsia" w:hAnsiTheme="majorHAnsi" w:cstheme="majorBidi"/>
      <w:b/>
      <w:bCs/>
      <w:color w:val="2A1A00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7A96"/>
    <w:rPr>
      <w:rFonts w:asciiTheme="majorHAnsi" w:eastAsiaTheme="majorEastAsia" w:hAnsiTheme="majorHAnsi" w:cstheme="majorBidi"/>
      <w:b/>
      <w:bCs/>
      <w:i/>
      <w:iCs/>
      <w:color w:val="2A1A00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7A9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E97A96"/>
    <w:pPr>
      <w:spacing w:after="0" w:line="240" w:lineRule="auto"/>
      <w:contextualSpacing/>
    </w:pPr>
    <w:rPr>
      <w:rFonts w:asciiTheme="majorHAnsi" w:eastAsiaTheme="majorEastAsia" w:hAnsiTheme="majorHAnsi" w:cstheme="majorBidi"/>
      <w:color w:val="F8B323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7A96"/>
    <w:rPr>
      <w:rFonts w:asciiTheme="majorHAnsi" w:eastAsiaTheme="majorEastAsia" w:hAnsiTheme="majorHAnsi" w:cstheme="majorBidi"/>
      <w:color w:val="F8B323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7A9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7A9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E97A96"/>
    <w:rPr>
      <w:b/>
      <w:bCs/>
    </w:rPr>
  </w:style>
  <w:style w:type="character" w:styleId="Emphasis">
    <w:name w:val="Emphasis"/>
    <w:basedOn w:val="DefaultParagraphFont"/>
    <w:uiPriority w:val="20"/>
    <w:qFormat/>
    <w:rsid w:val="00E97A96"/>
    <w:rPr>
      <w:i/>
      <w:iCs/>
    </w:rPr>
  </w:style>
  <w:style w:type="paragraph" w:styleId="NoSpacing">
    <w:name w:val="No Spacing"/>
    <w:uiPriority w:val="1"/>
    <w:qFormat/>
    <w:rsid w:val="00E97A9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97A9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97A9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7A96"/>
    <w:pPr>
      <w:pBdr>
        <w:left w:val="single" w:sz="18" w:space="12" w:color="F8B323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F8B32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7A96"/>
    <w:rPr>
      <w:rFonts w:asciiTheme="majorHAnsi" w:eastAsiaTheme="majorEastAsia" w:hAnsiTheme="majorHAnsi" w:cstheme="majorBidi"/>
      <w:color w:val="F8B323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97A9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97A9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97A9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97A96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97A9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7A96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A3650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3650"/>
  </w:style>
  <w:style w:type="character" w:styleId="FootnoteReference">
    <w:name w:val="footnote reference"/>
    <w:basedOn w:val="DefaultParagraphFont"/>
    <w:uiPriority w:val="99"/>
    <w:semiHidden/>
    <w:unhideWhenUsed/>
    <w:rsid w:val="00CA3650"/>
    <w:rPr>
      <w:vertAlign w:val="superscript"/>
    </w:rPr>
  </w:style>
  <w:style w:type="table" w:customStyle="1" w:styleId="GridTable6Colorful-Accent31">
    <w:name w:val="Grid Table 6 Colorful - Accent 31"/>
    <w:basedOn w:val="TableNormal"/>
    <w:uiPriority w:val="51"/>
    <w:rsid w:val="00787067"/>
    <w:pPr>
      <w:spacing w:after="0" w:line="240" w:lineRule="auto"/>
    </w:pPr>
    <w:rPr>
      <w:color w:val="348587" w:themeColor="accent3" w:themeShade="BF"/>
    </w:rPr>
    <w:tblPr>
      <w:tblStyleRowBandSize w:val="1"/>
      <w:tblStyleColBandSize w:val="1"/>
      <w:tblBorders>
        <w:top w:val="single" w:sz="4" w:space="0" w:color="8ED1D3" w:themeColor="accent3" w:themeTint="99"/>
        <w:left w:val="single" w:sz="4" w:space="0" w:color="8ED1D3" w:themeColor="accent3" w:themeTint="99"/>
        <w:bottom w:val="single" w:sz="4" w:space="0" w:color="8ED1D3" w:themeColor="accent3" w:themeTint="99"/>
        <w:right w:val="single" w:sz="4" w:space="0" w:color="8ED1D3" w:themeColor="accent3" w:themeTint="99"/>
        <w:insideH w:val="single" w:sz="4" w:space="0" w:color="8ED1D3" w:themeColor="accent3" w:themeTint="99"/>
        <w:insideV w:val="single" w:sz="4" w:space="0" w:color="8ED1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ED1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D1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FF0" w:themeFill="accent3" w:themeFillTint="33"/>
      </w:tcPr>
    </w:tblStylePr>
    <w:tblStylePr w:type="band1Horz">
      <w:tblPr/>
      <w:tcPr>
        <w:shd w:val="clear" w:color="auto" w:fill="D9EFF0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962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64E"/>
  </w:style>
  <w:style w:type="paragraph" w:styleId="Footer">
    <w:name w:val="footer"/>
    <w:basedOn w:val="Normal"/>
    <w:link w:val="FooterChar"/>
    <w:uiPriority w:val="99"/>
    <w:unhideWhenUsed/>
    <w:rsid w:val="00962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64E"/>
  </w:style>
  <w:style w:type="table" w:styleId="TableGrid">
    <w:name w:val="Table Grid"/>
    <w:basedOn w:val="TableNormal"/>
    <w:uiPriority w:val="39"/>
    <w:rsid w:val="00180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4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100"/>
              <a:t>Figure 1 Central Government Debt as % of GDP</a:t>
            </a:r>
          </a:p>
          <a:p>
            <a:pPr>
              <a:defRPr/>
            </a:pPr>
            <a:r>
              <a:rPr lang="en-GB"/>
              <a:t>    </a:t>
            </a:r>
          </a:p>
        </c:rich>
      </c:tx>
      <c:layout>
        <c:manualLayout>
          <c:xMode val="edge"/>
          <c:yMode val="edge"/>
          <c:x val="0.15597264096634761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23562554680664916"/>
          <c:y val="0.15070195172971801"/>
          <c:w val="0.70685811332406978"/>
          <c:h val="0.4983016596609634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'1.kvartal ENG'!$A$61</c:f>
              <c:strCache>
                <c:ptCount val="1"/>
                <c:pt idx="0">
                  <c:v>Total Central Government Debt as % of GDP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F9CE-4D79-9C81-D3CD037EE4E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'1.kvartal ENG'!$B$60:$C$60</c:f>
              <c:strCache>
                <c:ptCount val="2"/>
                <c:pt idx="0">
                  <c:v>31.12.2020.</c:v>
                </c:pt>
                <c:pt idx="1">
                  <c:v>31.03.2021.</c:v>
                </c:pt>
              </c:strCache>
            </c:strRef>
          </c:cat>
          <c:val>
            <c:numRef>
              <c:f>'1.kvartal ENG'!$B$61:$C$61</c:f>
              <c:numCache>
                <c:formatCode>0.00%</c:formatCode>
                <c:ptCount val="2"/>
                <c:pt idx="0">
                  <c:v>1.0328223943860764</c:v>
                </c:pt>
                <c:pt idx="1">
                  <c:v>0.88371603418061484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9CE-4D79-9C81-D3CD037EE4E0}"/>
            </c:ext>
          </c:extLst>
        </c:ser>
        <c:ser>
          <c:idx val="1"/>
          <c:order val="1"/>
          <c:tx>
            <c:strRef>
              <c:f>'1.kvartal ENG'!$A$62</c:f>
              <c:strCache>
                <c:ptCount val="1"/>
                <c:pt idx="0">
                  <c:v>Total Central Government Debt (including deposits) as % of GDP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'1.kvartal ENG'!$B$60:$C$60</c:f>
              <c:strCache>
                <c:ptCount val="2"/>
                <c:pt idx="0">
                  <c:v>31.12.2020.</c:v>
                </c:pt>
                <c:pt idx="1">
                  <c:v>31.03.2021.</c:v>
                </c:pt>
              </c:strCache>
            </c:strRef>
          </c:cat>
          <c:val>
            <c:numRef>
              <c:f>'1.kvartal ENG'!$B$62:$C$62</c:f>
              <c:numCache>
                <c:formatCode>0.00%</c:formatCode>
                <c:ptCount val="2"/>
                <c:pt idx="0">
                  <c:v>0.82476348841521863</c:v>
                </c:pt>
                <c:pt idx="1">
                  <c:v>0.77000012788936689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9CE-4D79-9C81-D3CD037EE4E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38869760"/>
        <c:axId val="138879744"/>
      </c:barChart>
      <c:catAx>
        <c:axId val="138869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8879744"/>
        <c:crosses val="autoZero"/>
        <c:auto val="1"/>
        <c:lblAlgn val="ctr"/>
        <c:lblOffset val="100"/>
        <c:noMultiLvlLbl val="0"/>
      </c:catAx>
      <c:valAx>
        <c:axId val="138879744"/>
        <c:scaling>
          <c:orientation val="minMax"/>
          <c:min val="0.4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8869760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0095046258752539E-2"/>
          <c:y val="0.73680697807510909"/>
          <c:w val="0.87980954053605753"/>
          <c:h val="0.2531679592682493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Latn-RS" sz="1100"/>
              <a:t>Figure </a:t>
            </a:r>
            <a:r>
              <a:rPr lang="en-US" sz="1100"/>
              <a:t>2</a:t>
            </a:r>
            <a:r>
              <a:rPr lang="sr-Latn-RS" sz="1100"/>
              <a:t> Central Government Debt in mil.eur</a:t>
            </a:r>
          </a:p>
        </c:rich>
      </c:tx>
      <c:layout>
        <c:manualLayout>
          <c:xMode val="edge"/>
          <c:yMode val="edge"/>
          <c:x val="0.10468468468468468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20476768106689366"/>
          <c:y val="0.12786967418546366"/>
          <c:w val="0.74568276938355682"/>
          <c:h val="0.52113393720521772"/>
        </c:manualLayout>
      </c:layout>
      <c:lineChart>
        <c:grouping val="standard"/>
        <c:varyColors val="0"/>
        <c:ser>
          <c:idx val="0"/>
          <c:order val="0"/>
          <c:tx>
            <c:strRef>
              <c:f>'1.kvartal ENG'!$J$90</c:f>
              <c:strCache>
                <c:ptCount val="1"/>
                <c:pt idx="0">
                  <c:v>Total Central Gov.Debt in mil. eur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'1.kvartal ENG'!$K$89:$L$89</c:f>
              <c:strCache>
                <c:ptCount val="2"/>
                <c:pt idx="0">
                  <c:v>31.12.2020.</c:v>
                </c:pt>
                <c:pt idx="1">
                  <c:v>31.03.2021.</c:v>
                </c:pt>
              </c:strCache>
            </c:strRef>
          </c:cat>
          <c:val>
            <c:numRef>
              <c:f>'1.kvartal ENG'!$K$90:$L$90</c:f>
              <c:numCache>
                <c:formatCode>#,##0.00</c:formatCode>
                <c:ptCount val="2"/>
                <c:pt idx="0">
                  <c:v>4330.83</c:v>
                </c:pt>
                <c:pt idx="1">
                  <c:v>4097.4399999999996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D1C-41B7-A593-73E034152C11}"/>
            </c:ext>
          </c:extLst>
        </c:ser>
        <c:ser>
          <c:idx val="1"/>
          <c:order val="1"/>
          <c:tx>
            <c:strRef>
              <c:f>'1.kvartal ENG'!$J$91</c:f>
              <c:strCache>
                <c:ptCount val="1"/>
                <c:pt idx="0">
                  <c:v>Total Central Gov.Debt, including deposits, in mil. eur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'1.kvartal ENG'!$K$89:$L$89</c:f>
              <c:strCache>
                <c:ptCount val="2"/>
                <c:pt idx="0">
                  <c:v>31.12.2020.</c:v>
                </c:pt>
                <c:pt idx="1">
                  <c:v>31.03.2021.</c:v>
                </c:pt>
              </c:strCache>
            </c:strRef>
          </c:cat>
          <c:val>
            <c:numRef>
              <c:f>'1.kvartal ENG'!$K$91:$L$91</c:f>
              <c:numCache>
                <c:formatCode>#,##0.00</c:formatCode>
                <c:ptCount val="2"/>
                <c:pt idx="0">
                  <c:v>3458.4</c:v>
                </c:pt>
                <c:pt idx="1">
                  <c:v>3570.18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D1C-41B7-A593-73E034152C11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137033984"/>
        <c:axId val="138413952"/>
      </c:lineChart>
      <c:catAx>
        <c:axId val="137033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8413952"/>
        <c:crosses val="autoZero"/>
        <c:auto val="1"/>
        <c:lblAlgn val="ctr"/>
        <c:lblOffset val="100"/>
        <c:noMultiLvlLbl val="0"/>
      </c:catAx>
      <c:valAx>
        <c:axId val="138413952"/>
        <c:scaling>
          <c:orientation val="minMax"/>
          <c:min val="32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7033984"/>
        <c:crosses val="autoZero"/>
        <c:crossBetween val="between"/>
        <c:majorUnit val="40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3410300063843378E-2"/>
          <c:y val="0.76186963471671298"/>
          <c:w val="0.86417039086330427"/>
          <c:h val="0.2080551773133621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100"/>
              <a:t>Figure 3 Interest Rate Structure of Central Government Debt (</a:t>
            </a:r>
            <a:r>
              <a:rPr lang="sr-Latn-ME" sz="1100"/>
              <a:t>31.03.2021</a:t>
            </a:r>
            <a:r>
              <a:rPr lang="en-GB" sz="1100"/>
              <a:t>)</a:t>
            </a:r>
          </a:p>
        </c:rich>
      </c:tx>
      <c:layout>
        <c:manualLayout>
          <c:xMode val="edge"/>
          <c:yMode val="edge"/>
          <c:x val="0.11354978354978355"/>
          <c:y val="2.985074626865671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27459931144970517"/>
          <c:y val="0.24139107611548558"/>
          <c:w val="0.51573644203565461"/>
          <c:h val="0.59271203039918519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F72-47EF-8257-2406381077C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F72-47EF-8257-2406381077CA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71ED4D10-75FC-4118-A9E4-E00E5F12A6DD}" type="VALUE">
                      <a:rPr lang="en-US">
                        <a:solidFill>
                          <a:sysClr val="windowText" lastClr="000000"/>
                        </a:solidFill>
                      </a:rPr>
                      <a:pPr/>
                      <a:t>[VALUE]</a:t>
                    </a:fld>
                    <a:endParaRPr lang="en-GB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FF72-47EF-8257-2406381077C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'1.kvartal ENG'!$D$73:$D$74</c:f>
              <c:strCache>
                <c:ptCount val="2"/>
                <c:pt idx="0">
                  <c:v>fix</c:v>
                </c:pt>
                <c:pt idx="1">
                  <c:v>var</c:v>
                </c:pt>
              </c:strCache>
            </c:strRef>
          </c:cat>
          <c:val>
            <c:numRef>
              <c:f>'1.kvartal ENG'!$F$73:$F$74</c:f>
              <c:numCache>
                <c:formatCode>0.00%</c:formatCode>
                <c:ptCount val="2"/>
                <c:pt idx="0">
                  <c:v>0.74024355667575237</c:v>
                </c:pt>
                <c:pt idx="1">
                  <c:v>0.25975644332424758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F72-47EF-8257-2406381077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2">
          <a:lumMod val="90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Latn-RS" sz="1100"/>
              <a:t>Figure </a:t>
            </a:r>
            <a:r>
              <a:rPr lang="en-US" sz="1100"/>
              <a:t>4</a:t>
            </a:r>
            <a:r>
              <a:rPr lang="sr-Latn-RS" sz="1100"/>
              <a:t> Currency Structure of Central Government Debt (</a:t>
            </a:r>
            <a:r>
              <a:rPr lang="sr-Latn-ME" sz="1100"/>
              <a:t>31.03.2021.</a:t>
            </a:r>
            <a:r>
              <a:rPr lang="en-US" sz="1100"/>
              <a:t>)</a:t>
            </a:r>
          </a:p>
        </c:rich>
      </c:tx>
      <c:layout>
        <c:manualLayout>
          <c:xMode val="edge"/>
          <c:yMode val="edge"/>
          <c:x val="0.13703301171860563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ln>
                <a:noFill/>
              </a:ln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27720084285238994"/>
          <c:y val="0.24980452070356876"/>
          <c:w val="0.53412147425233814"/>
          <c:h val="0.56600932346143296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DC9-4FFD-90D6-C31800E6DB3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DC9-4FFD-90D6-C31800E6DB3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DC9-4FFD-90D6-C31800E6DB33}"/>
              </c:ext>
            </c:extLst>
          </c:dPt>
          <c:dLbls>
            <c:dLbl>
              <c:idx val="2"/>
              <c:layout>
                <c:manualLayout>
                  <c:x val="7.0422535211267609E-2"/>
                  <c:y val="-2.2802389984513419E-17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DC9-4FFD-90D6-C31800E6DB3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ln>
                      <a:noFill/>
                    </a:ln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'1.kvartal ENG'!$N$76:$N$78</c:f>
              <c:strCache>
                <c:ptCount val="3"/>
                <c:pt idx="0">
                  <c:v>EUR</c:v>
                </c:pt>
                <c:pt idx="1">
                  <c:v>USD</c:v>
                </c:pt>
                <c:pt idx="2">
                  <c:v>Other (CHF, NOK, SDR)</c:v>
                </c:pt>
              </c:strCache>
            </c:strRef>
          </c:cat>
          <c:val>
            <c:numRef>
              <c:f>'1.kvartal ENG'!$M$76:$M$78</c:f>
              <c:numCache>
                <c:formatCode>0.00%</c:formatCode>
                <c:ptCount val="3"/>
                <c:pt idx="0">
                  <c:v>0.80532799750312889</c:v>
                </c:pt>
                <c:pt idx="1">
                  <c:v>0.17077731815133121</c:v>
                </c:pt>
                <c:pt idx="2">
                  <c:v>2.3894684345539839E-2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DC9-4FFD-90D6-C31800E6DB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ln>
                <a:noFill/>
              </a:ln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n>
            <a:noFill/>
          </a:ln>
        </a:defRPr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200"/>
              <a:t>Figure 5 Share of Domestic and Foreign Debt (</a:t>
            </a:r>
            <a:r>
              <a:rPr lang="sr-Latn-ME" sz="1200"/>
              <a:t>31.03.2021.</a:t>
            </a:r>
            <a:r>
              <a:rPr lang="en-GB" sz="1200"/>
              <a:t>)</a:t>
            </a:r>
          </a:p>
        </c:rich>
      </c:tx>
      <c:layout>
        <c:manualLayout>
          <c:xMode val="edge"/>
          <c:yMode val="edge"/>
          <c:x val="0.17866666666666664"/>
          <c:y val="3.240740740740740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27176785467606024"/>
          <c:y val="0.2451916204201412"/>
          <c:w val="0.52664007459593865"/>
          <c:h val="0.59076967777551792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0A5-4FE0-9981-C9D30EC0A7E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0A5-4FE0-9981-C9D30EC0A7E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'1.kvartal ENG'!$A$67:$A$68</c:f>
              <c:strCache>
                <c:ptCount val="2"/>
                <c:pt idx="0">
                  <c:v>Foreign Debt</c:v>
                </c:pt>
                <c:pt idx="1">
                  <c:v>Domestic Debt</c:v>
                </c:pt>
              </c:strCache>
            </c:strRef>
          </c:cat>
          <c:val>
            <c:numRef>
              <c:f>'1.kvartal ENG'!$C$67:$C$68</c:f>
              <c:numCache>
                <c:formatCode>0.00%</c:formatCode>
                <c:ptCount val="2"/>
                <c:pt idx="0">
                  <c:v>0.88901413963467413</c:v>
                </c:pt>
                <c:pt idx="1">
                  <c:v>0.11098586036532586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0A5-4FE0-9981-C9D30EC0A7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Badge">
      <a:majorFont>
        <a:latin typeface="Impact" panose="020B080603090205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24FBF-92BB-4E21-9BC4-C7A29A91D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Djurovic</dc:creator>
  <cp:keywords/>
  <dc:description/>
  <cp:lastModifiedBy>nevena cobeljic</cp:lastModifiedBy>
  <cp:revision>2</cp:revision>
  <cp:lastPrinted>2020-11-27T09:11:00Z</cp:lastPrinted>
  <dcterms:created xsi:type="dcterms:W3CDTF">2021-06-16T05:38:00Z</dcterms:created>
  <dcterms:modified xsi:type="dcterms:W3CDTF">2021-06-16T05:38:00Z</dcterms:modified>
</cp:coreProperties>
</file>