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General Conditions governing the </w:t>
      </w:r>
      <w:r w:rsidR="0097513D" w:rsidRPr="003D6B6C">
        <w:rPr>
          <w:rFonts w:ascii="Times New Roman" w:hAnsi="Times New Roman"/>
          <w:sz w:val="22"/>
          <w:szCs w:val="22"/>
        </w:rPr>
        <w:t>Contract</w:t>
      </w:r>
      <w:r w:rsidRPr="003D6B6C">
        <w:rPr>
          <w:rFonts w:ascii="Times New Roman" w:hAnsi="Times New Roman"/>
          <w:sz w:val="22"/>
          <w:szCs w:val="22"/>
        </w:rPr>
        <w:t xml:space="preserve">. Unless the Special Conditions provide otherwise, those General Conditions remain fully applicable. The numbering of the Articles of the Special Conditions is not consecutive but follows the numbering of the Articles of the General Conditions.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CD12BF" w:rsidRDefault="0047783A" w:rsidP="00CD12BF">
      <w:pPr>
        <w:spacing w:before="240"/>
        <w:ind w:left="1134" w:hanging="1134"/>
        <w:jc w:val="both"/>
        <w:rPr>
          <w:rFonts w:ascii="Times New Roman" w:hAnsi="Times New Roman"/>
          <w:b/>
          <w:sz w:val="22"/>
          <w:szCs w:val="22"/>
        </w:rPr>
      </w:pPr>
      <w:bookmarkStart w:id="1" w:name="_Toc124934896"/>
      <w:r w:rsidRPr="00CD12BF">
        <w:rPr>
          <w:rFonts w:ascii="Times New Roman" w:hAnsi="Times New Roman"/>
          <w:b/>
          <w:sz w:val="22"/>
          <w:szCs w:val="22"/>
        </w:rPr>
        <w:t>Article 2</w:t>
      </w:r>
      <w:r w:rsidRPr="00CD12BF">
        <w:rPr>
          <w:rFonts w:ascii="Times New Roman" w:hAnsi="Times New Roman"/>
          <w:b/>
          <w:sz w:val="22"/>
          <w:szCs w:val="22"/>
        </w:rPr>
        <w:tab/>
        <w:t>L</w:t>
      </w:r>
      <w:bookmarkEnd w:id="1"/>
      <w:r w:rsidR="009A4F18" w:rsidRPr="00CD12BF">
        <w:rPr>
          <w:rFonts w:ascii="Times New Roman" w:hAnsi="Times New Roman"/>
          <w:b/>
          <w:sz w:val="22"/>
          <w:szCs w:val="22"/>
        </w:rPr>
        <w:t xml:space="preserve">anguage of the </w:t>
      </w:r>
      <w:r w:rsidR="0097513D" w:rsidRPr="00CD12BF">
        <w:rPr>
          <w:rFonts w:ascii="Times New Roman" w:hAnsi="Times New Roman"/>
          <w:b/>
          <w:sz w:val="22"/>
          <w:szCs w:val="22"/>
        </w:rPr>
        <w:t>Contract</w:t>
      </w:r>
    </w:p>
    <w:p w:rsidR="0047783A" w:rsidRPr="00CD12BF" w:rsidRDefault="0047783A" w:rsidP="00CD12BF">
      <w:pPr>
        <w:ind w:left="1134" w:hanging="567"/>
        <w:rPr>
          <w:rFonts w:ascii="Times New Roman" w:hAnsi="Times New Roman"/>
          <w:sz w:val="22"/>
          <w:szCs w:val="22"/>
        </w:rPr>
      </w:pPr>
      <w:r w:rsidRPr="00CD12BF">
        <w:rPr>
          <w:rFonts w:ascii="Times New Roman" w:hAnsi="Times New Roman"/>
          <w:sz w:val="22"/>
          <w:szCs w:val="22"/>
        </w:rPr>
        <w:t>2.</w:t>
      </w:r>
      <w:r w:rsidR="0086688D" w:rsidRPr="00CD12BF">
        <w:rPr>
          <w:rFonts w:ascii="Times New Roman" w:hAnsi="Times New Roman"/>
          <w:sz w:val="22"/>
          <w:szCs w:val="22"/>
        </w:rPr>
        <w:t>1</w:t>
      </w:r>
      <w:r w:rsidRPr="00CD12BF">
        <w:rPr>
          <w:rFonts w:ascii="Times New Roman" w:hAnsi="Times New Roman"/>
          <w:sz w:val="22"/>
          <w:szCs w:val="22"/>
        </w:rPr>
        <w:tab/>
        <w:t xml:space="preserve">The language used </w:t>
      </w:r>
      <w:r w:rsidR="0086688D" w:rsidRPr="00CD12BF">
        <w:rPr>
          <w:rFonts w:ascii="Times New Roman" w:hAnsi="Times New Roman"/>
          <w:sz w:val="22"/>
          <w:szCs w:val="22"/>
        </w:rPr>
        <w:t xml:space="preserve">shall </w:t>
      </w:r>
      <w:r w:rsidRPr="00CD12BF">
        <w:rPr>
          <w:rFonts w:ascii="Times New Roman" w:hAnsi="Times New Roman"/>
          <w:sz w:val="22"/>
          <w:szCs w:val="22"/>
        </w:rPr>
        <w:t>be English.</w:t>
      </w:r>
    </w:p>
    <w:p w:rsidR="0047783A" w:rsidRPr="00CD12BF" w:rsidRDefault="0047783A" w:rsidP="00CD12BF">
      <w:pPr>
        <w:spacing w:before="240"/>
        <w:ind w:left="1134" w:hanging="1134"/>
        <w:jc w:val="both"/>
        <w:rPr>
          <w:rFonts w:ascii="Times New Roman" w:hAnsi="Times New Roman"/>
          <w:b/>
          <w:sz w:val="22"/>
          <w:szCs w:val="22"/>
        </w:rPr>
      </w:pPr>
      <w:bookmarkStart w:id="2" w:name="_Toc124934897"/>
      <w:r w:rsidRPr="00CD12BF">
        <w:rPr>
          <w:rFonts w:ascii="Times New Roman" w:hAnsi="Times New Roman"/>
          <w:b/>
          <w:sz w:val="22"/>
          <w:szCs w:val="22"/>
        </w:rPr>
        <w:t>Article 4</w:t>
      </w:r>
      <w:r w:rsidRPr="00CD12BF">
        <w:rPr>
          <w:rFonts w:ascii="Times New Roman" w:hAnsi="Times New Roman"/>
          <w:b/>
          <w:sz w:val="22"/>
          <w:szCs w:val="22"/>
        </w:rPr>
        <w:tab/>
        <w:t>Communications</w:t>
      </w:r>
      <w:bookmarkEnd w:id="2"/>
    </w:p>
    <w:p w:rsidR="00E948C5" w:rsidRPr="00CD12BF" w:rsidRDefault="000724EA" w:rsidP="00CD12BF">
      <w:pPr>
        <w:keepNext/>
        <w:keepLines/>
        <w:ind w:left="567" w:hanging="567"/>
        <w:rPr>
          <w:rFonts w:ascii="Times New Roman" w:hAnsi="Times New Roman"/>
          <w:b/>
          <w:sz w:val="22"/>
          <w:szCs w:val="22"/>
        </w:rPr>
      </w:pPr>
      <w:r w:rsidRPr="00CD12BF">
        <w:rPr>
          <w:rFonts w:ascii="Times New Roman" w:hAnsi="Times New Roman"/>
          <w:sz w:val="22"/>
          <w:szCs w:val="22"/>
        </w:rPr>
        <w:t>4.1</w:t>
      </w:r>
      <w:r w:rsidRPr="00CD12BF">
        <w:rPr>
          <w:rFonts w:ascii="Times New Roman" w:hAnsi="Times New Roman"/>
          <w:sz w:val="22"/>
          <w:szCs w:val="22"/>
        </w:rPr>
        <w:tab/>
      </w:r>
      <w:r w:rsidR="00E948C5" w:rsidRPr="00CD12BF">
        <w:rPr>
          <w:rFonts w:ascii="Times New Roman" w:hAnsi="Times New Roman"/>
          <w:b/>
          <w:sz w:val="22"/>
          <w:szCs w:val="22"/>
        </w:rPr>
        <w:t xml:space="preserve"> For the Contracting Authority:</w:t>
      </w:r>
    </w:p>
    <w:tbl>
      <w:tblPr>
        <w:tblW w:w="0" w:type="auto"/>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3508"/>
      </w:tblGrid>
      <w:tr w:rsidR="00E948C5" w:rsidRPr="00CD12BF" w:rsidTr="00CD12BF">
        <w:tc>
          <w:tcPr>
            <w:tcW w:w="3652" w:type="dxa"/>
          </w:tcPr>
          <w:p w:rsidR="00E948C5" w:rsidRPr="00CD12BF" w:rsidRDefault="00E948C5" w:rsidP="00EA1F0C">
            <w:pPr>
              <w:rPr>
                <w:rFonts w:ascii="Times New Roman" w:hAnsi="Times New Roman"/>
                <w:b/>
                <w:sz w:val="22"/>
                <w:szCs w:val="22"/>
              </w:rPr>
            </w:pPr>
            <w:r w:rsidRPr="00CD12BF">
              <w:rPr>
                <w:rFonts w:ascii="Times New Roman" w:hAnsi="Times New Roman"/>
                <w:b/>
                <w:sz w:val="22"/>
                <w:szCs w:val="22"/>
              </w:rPr>
              <w:t>Name:</w:t>
            </w:r>
          </w:p>
        </w:tc>
        <w:tc>
          <w:tcPr>
            <w:tcW w:w="3508" w:type="dxa"/>
          </w:tcPr>
          <w:p w:rsidR="00E948C5" w:rsidRPr="00CD12BF" w:rsidRDefault="00E948C5" w:rsidP="00EA1F0C">
            <w:pPr>
              <w:rPr>
                <w:rFonts w:ascii="Times New Roman" w:hAnsi="Times New Roman"/>
                <w:b/>
                <w:sz w:val="22"/>
                <w:szCs w:val="22"/>
              </w:rPr>
            </w:pPr>
          </w:p>
        </w:tc>
      </w:tr>
      <w:tr w:rsidR="00E948C5" w:rsidRPr="00CD12BF" w:rsidTr="00CD12BF">
        <w:tc>
          <w:tcPr>
            <w:tcW w:w="3652" w:type="dxa"/>
          </w:tcPr>
          <w:p w:rsidR="00E948C5" w:rsidRPr="00CD12BF" w:rsidRDefault="00E948C5" w:rsidP="00EA1F0C">
            <w:pPr>
              <w:rPr>
                <w:rFonts w:ascii="Times New Roman" w:hAnsi="Times New Roman"/>
                <w:b/>
                <w:sz w:val="22"/>
                <w:szCs w:val="22"/>
              </w:rPr>
            </w:pPr>
            <w:r w:rsidRPr="00CD12BF">
              <w:rPr>
                <w:rFonts w:ascii="Times New Roman" w:hAnsi="Times New Roman"/>
                <w:b/>
                <w:sz w:val="22"/>
                <w:szCs w:val="22"/>
              </w:rPr>
              <w:t xml:space="preserve">Address: </w:t>
            </w:r>
          </w:p>
        </w:tc>
        <w:tc>
          <w:tcPr>
            <w:tcW w:w="3508" w:type="dxa"/>
          </w:tcPr>
          <w:p w:rsidR="00E948C5" w:rsidRPr="00CD12BF" w:rsidRDefault="00E948C5" w:rsidP="00EA1F0C">
            <w:pPr>
              <w:rPr>
                <w:rFonts w:ascii="Times New Roman" w:hAnsi="Times New Roman"/>
                <w:b/>
                <w:sz w:val="22"/>
                <w:szCs w:val="22"/>
              </w:rPr>
            </w:pPr>
          </w:p>
        </w:tc>
      </w:tr>
      <w:tr w:rsidR="00E948C5" w:rsidRPr="00CD12BF" w:rsidTr="00CD12BF">
        <w:tc>
          <w:tcPr>
            <w:tcW w:w="3652" w:type="dxa"/>
          </w:tcPr>
          <w:p w:rsidR="00E948C5" w:rsidRPr="00CD12BF" w:rsidRDefault="00E948C5" w:rsidP="00EA1F0C">
            <w:pPr>
              <w:rPr>
                <w:rFonts w:ascii="Times New Roman" w:hAnsi="Times New Roman"/>
                <w:b/>
                <w:sz w:val="22"/>
                <w:szCs w:val="22"/>
              </w:rPr>
            </w:pPr>
            <w:r w:rsidRPr="00CD12BF">
              <w:rPr>
                <w:rFonts w:ascii="Times New Roman" w:hAnsi="Times New Roman"/>
                <w:b/>
                <w:sz w:val="22"/>
                <w:szCs w:val="22"/>
              </w:rPr>
              <w:t>Telephone:</w:t>
            </w:r>
          </w:p>
        </w:tc>
        <w:tc>
          <w:tcPr>
            <w:tcW w:w="3508" w:type="dxa"/>
          </w:tcPr>
          <w:p w:rsidR="00E948C5" w:rsidRPr="00CD12BF" w:rsidRDefault="00E948C5" w:rsidP="00EA1F0C">
            <w:pPr>
              <w:rPr>
                <w:rFonts w:ascii="Times New Roman" w:hAnsi="Times New Roman"/>
                <w:b/>
                <w:sz w:val="22"/>
                <w:szCs w:val="22"/>
              </w:rPr>
            </w:pPr>
          </w:p>
        </w:tc>
      </w:tr>
      <w:tr w:rsidR="00E948C5" w:rsidRPr="00CD12BF" w:rsidTr="00CD12BF">
        <w:tc>
          <w:tcPr>
            <w:tcW w:w="3652" w:type="dxa"/>
          </w:tcPr>
          <w:p w:rsidR="00E948C5" w:rsidRPr="00CD12BF" w:rsidRDefault="00E948C5" w:rsidP="00EA1F0C">
            <w:pPr>
              <w:rPr>
                <w:rFonts w:ascii="Times New Roman" w:hAnsi="Times New Roman"/>
                <w:b/>
                <w:sz w:val="22"/>
                <w:szCs w:val="22"/>
              </w:rPr>
            </w:pPr>
            <w:r w:rsidRPr="00CD12BF">
              <w:rPr>
                <w:rFonts w:ascii="Times New Roman" w:hAnsi="Times New Roman"/>
                <w:b/>
                <w:sz w:val="22"/>
                <w:szCs w:val="22"/>
              </w:rPr>
              <w:t>Fax:</w:t>
            </w:r>
          </w:p>
        </w:tc>
        <w:tc>
          <w:tcPr>
            <w:tcW w:w="3508" w:type="dxa"/>
          </w:tcPr>
          <w:p w:rsidR="00E948C5" w:rsidRPr="00CD12BF" w:rsidRDefault="00E948C5" w:rsidP="00EA1F0C">
            <w:pPr>
              <w:rPr>
                <w:rFonts w:ascii="Times New Roman" w:hAnsi="Times New Roman"/>
                <w:b/>
                <w:sz w:val="22"/>
                <w:szCs w:val="22"/>
              </w:rPr>
            </w:pPr>
          </w:p>
        </w:tc>
      </w:tr>
      <w:tr w:rsidR="00E948C5" w:rsidRPr="00CD12BF" w:rsidTr="00CD12BF">
        <w:tc>
          <w:tcPr>
            <w:tcW w:w="3652" w:type="dxa"/>
          </w:tcPr>
          <w:p w:rsidR="00E948C5" w:rsidRPr="00CD12BF" w:rsidRDefault="00E948C5" w:rsidP="00EA1F0C">
            <w:pPr>
              <w:rPr>
                <w:rFonts w:ascii="Times New Roman" w:hAnsi="Times New Roman"/>
                <w:b/>
                <w:sz w:val="22"/>
                <w:szCs w:val="22"/>
              </w:rPr>
            </w:pPr>
            <w:r w:rsidRPr="00CD12BF">
              <w:rPr>
                <w:rFonts w:ascii="Times New Roman" w:hAnsi="Times New Roman"/>
                <w:b/>
                <w:sz w:val="22"/>
                <w:szCs w:val="22"/>
              </w:rPr>
              <w:t>e-mail:</w:t>
            </w:r>
          </w:p>
        </w:tc>
        <w:tc>
          <w:tcPr>
            <w:tcW w:w="3508" w:type="dxa"/>
          </w:tcPr>
          <w:p w:rsidR="00E948C5" w:rsidRPr="00CD12BF" w:rsidRDefault="00186615" w:rsidP="00EA1F0C">
            <w:pPr>
              <w:rPr>
                <w:rFonts w:ascii="Times New Roman" w:hAnsi="Times New Roman"/>
                <w:b/>
                <w:sz w:val="22"/>
                <w:szCs w:val="22"/>
              </w:rPr>
            </w:pPr>
            <w:hyperlink r:id="rId8" w:history="1">
              <w:r w:rsidR="00E948C5" w:rsidRPr="00CD12BF">
                <w:rPr>
                  <w:rStyle w:val="Hyperlink"/>
                  <w:rFonts w:ascii="Times New Roman" w:hAnsi="Times New Roman"/>
                  <w:sz w:val="22"/>
                  <w:szCs w:val="22"/>
                </w:rPr>
                <w:t>cfcu@mif.gov.me</w:t>
              </w:r>
            </w:hyperlink>
          </w:p>
        </w:tc>
      </w:tr>
    </w:tbl>
    <w:p w:rsidR="00E948C5" w:rsidRPr="00CD12BF" w:rsidRDefault="00E948C5" w:rsidP="00CD12BF">
      <w:pPr>
        <w:keepNext/>
        <w:keepLines/>
        <w:ind w:left="567" w:hanging="567"/>
        <w:rPr>
          <w:rFonts w:ascii="Times New Roman" w:hAnsi="Times New Roman"/>
          <w:sz w:val="22"/>
          <w:szCs w:val="22"/>
        </w:rPr>
      </w:pPr>
    </w:p>
    <w:p w:rsidR="00E948C5" w:rsidRPr="00CD12BF" w:rsidRDefault="00E948C5" w:rsidP="00CD12BF">
      <w:pPr>
        <w:keepNext/>
        <w:keepLines/>
        <w:ind w:left="567" w:hanging="567"/>
        <w:rPr>
          <w:rFonts w:ascii="Times New Roman" w:hAnsi="Times New Roman"/>
          <w:b/>
          <w:sz w:val="22"/>
          <w:szCs w:val="22"/>
        </w:rPr>
      </w:pPr>
      <w:r w:rsidRPr="00CD12BF">
        <w:rPr>
          <w:rFonts w:ascii="Times New Roman" w:hAnsi="Times New Roman"/>
          <w:b/>
          <w:sz w:val="22"/>
          <w:szCs w:val="22"/>
        </w:rPr>
        <w:t xml:space="preserve">          For the Contractor:</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3508"/>
      </w:tblGrid>
      <w:tr w:rsidR="00E948C5" w:rsidRPr="00CD12BF" w:rsidTr="00CD12BF">
        <w:tc>
          <w:tcPr>
            <w:tcW w:w="3652" w:type="dxa"/>
          </w:tcPr>
          <w:p w:rsidR="00E948C5" w:rsidRPr="00CD12BF" w:rsidRDefault="00E948C5" w:rsidP="00EA1F0C">
            <w:pPr>
              <w:rPr>
                <w:rFonts w:ascii="Times New Roman" w:hAnsi="Times New Roman"/>
                <w:b/>
                <w:sz w:val="22"/>
                <w:szCs w:val="22"/>
              </w:rPr>
            </w:pPr>
            <w:r w:rsidRPr="00CD12BF">
              <w:rPr>
                <w:rFonts w:ascii="Times New Roman" w:hAnsi="Times New Roman"/>
                <w:b/>
                <w:sz w:val="22"/>
                <w:szCs w:val="22"/>
              </w:rPr>
              <w:t>Name:</w:t>
            </w:r>
          </w:p>
        </w:tc>
        <w:tc>
          <w:tcPr>
            <w:tcW w:w="3508" w:type="dxa"/>
          </w:tcPr>
          <w:p w:rsidR="00E948C5" w:rsidRPr="00CD12BF" w:rsidRDefault="00E948C5" w:rsidP="00EA1F0C">
            <w:pPr>
              <w:rPr>
                <w:rFonts w:ascii="Times New Roman" w:hAnsi="Times New Roman"/>
                <w:b/>
                <w:sz w:val="22"/>
                <w:szCs w:val="22"/>
              </w:rPr>
            </w:pPr>
          </w:p>
        </w:tc>
      </w:tr>
      <w:tr w:rsidR="00E948C5" w:rsidRPr="00CD12BF" w:rsidTr="00CD12BF">
        <w:tc>
          <w:tcPr>
            <w:tcW w:w="3652" w:type="dxa"/>
          </w:tcPr>
          <w:p w:rsidR="00E948C5" w:rsidRPr="00CD12BF" w:rsidRDefault="00E948C5" w:rsidP="00EA1F0C">
            <w:pPr>
              <w:rPr>
                <w:rFonts w:ascii="Times New Roman" w:hAnsi="Times New Roman"/>
                <w:b/>
                <w:sz w:val="22"/>
                <w:szCs w:val="22"/>
              </w:rPr>
            </w:pPr>
            <w:r w:rsidRPr="00CD12BF">
              <w:rPr>
                <w:rFonts w:ascii="Times New Roman" w:hAnsi="Times New Roman"/>
                <w:b/>
                <w:sz w:val="22"/>
                <w:szCs w:val="22"/>
              </w:rPr>
              <w:t xml:space="preserve">Address: </w:t>
            </w:r>
          </w:p>
        </w:tc>
        <w:tc>
          <w:tcPr>
            <w:tcW w:w="3508" w:type="dxa"/>
          </w:tcPr>
          <w:p w:rsidR="00E948C5" w:rsidRPr="00CD12BF" w:rsidRDefault="00E948C5" w:rsidP="00EA1F0C">
            <w:pPr>
              <w:rPr>
                <w:rFonts w:ascii="Times New Roman" w:hAnsi="Times New Roman"/>
                <w:b/>
                <w:sz w:val="22"/>
                <w:szCs w:val="22"/>
              </w:rPr>
            </w:pPr>
          </w:p>
        </w:tc>
      </w:tr>
      <w:tr w:rsidR="00E948C5" w:rsidRPr="00CD12BF" w:rsidTr="00CD12BF">
        <w:tc>
          <w:tcPr>
            <w:tcW w:w="3652" w:type="dxa"/>
          </w:tcPr>
          <w:p w:rsidR="00E948C5" w:rsidRPr="00CD12BF" w:rsidRDefault="00E948C5" w:rsidP="00EA1F0C">
            <w:pPr>
              <w:rPr>
                <w:rFonts w:ascii="Times New Roman" w:hAnsi="Times New Roman"/>
                <w:b/>
                <w:sz w:val="22"/>
                <w:szCs w:val="22"/>
              </w:rPr>
            </w:pPr>
            <w:r w:rsidRPr="00CD12BF">
              <w:rPr>
                <w:rFonts w:ascii="Times New Roman" w:hAnsi="Times New Roman"/>
                <w:b/>
                <w:sz w:val="22"/>
                <w:szCs w:val="22"/>
              </w:rPr>
              <w:t>Telephone:</w:t>
            </w:r>
          </w:p>
        </w:tc>
        <w:tc>
          <w:tcPr>
            <w:tcW w:w="3508" w:type="dxa"/>
          </w:tcPr>
          <w:p w:rsidR="00E948C5" w:rsidRPr="00CD12BF" w:rsidRDefault="00E948C5" w:rsidP="00EA1F0C">
            <w:pPr>
              <w:rPr>
                <w:rFonts w:ascii="Times New Roman" w:hAnsi="Times New Roman"/>
                <w:b/>
                <w:sz w:val="22"/>
                <w:szCs w:val="22"/>
              </w:rPr>
            </w:pPr>
          </w:p>
        </w:tc>
      </w:tr>
      <w:tr w:rsidR="00E948C5" w:rsidRPr="00CD12BF" w:rsidTr="00CD12BF">
        <w:tc>
          <w:tcPr>
            <w:tcW w:w="3652" w:type="dxa"/>
          </w:tcPr>
          <w:p w:rsidR="00E948C5" w:rsidRPr="00CD12BF" w:rsidRDefault="00E948C5" w:rsidP="00EA1F0C">
            <w:pPr>
              <w:rPr>
                <w:rFonts w:ascii="Times New Roman" w:hAnsi="Times New Roman"/>
                <w:b/>
                <w:sz w:val="22"/>
                <w:szCs w:val="22"/>
              </w:rPr>
            </w:pPr>
            <w:r w:rsidRPr="00CD12BF">
              <w:rPr>
                <w:rFonts w:ascii="Times New Roman" w:hAnsi="Times New Roman"/>
                <w:b/>
                <w:sz w:val="22"/>
                <w:szCs w:val="22"/>
              </w:rPr>
              <w:t>Fax:</w:t>
            </w:r>
          </w:p>
        </w:tc>
        <w:tc>
          <w:tcPr>
            <w:tcW w:w="3508" w:type="dxa"/>
          </w:tcPr>
          <w:p w:rsidR="00E948C5" w:rsidRPr="00CD12BF" w:rsidRDefault="00E948C5" w:rsidP="00EA1F0C">
            <w:pPr>
              <w:rPr>
                <w:rFonts w:ascii="Times New Roman" w:hAnsi="Times New Roman"/>
                <w:b/>
                <w:sz w:val="22"/>
                <w:szCs w:val="22"/>
              </w:rPr>
            </w:pPr>
          </w:p>
        </w:tc>
      </w:tr>
      <w:tr w:rsidR="00E948C5" w:rsidRPr="00CD12BF" w:rsidTr="00CD12BF">
        <w:tc>
          <w:tcPr>
            <w:tcW w:w="3652" w:type="dxa"/>
          </w:tcPr>
          <w:p w:rsidR="00E948C5" w:rsidRPr="00CD12BF" w:rsidRDefault="00E948C5" w:rsidP="00EA1F0C">
            <w:pPr>
              <w:rPr>
                <w:rFonts w:ascii="Times New Roman" w:hAnsi="Times New Roman"/>
                <w:b/>
                <w:sz w:val="22"/>
                <w:szCs w:val="22"/>
              </w:rPr>
            </w:pPr>
            <w:r w:rsidRPr="00CD12BF">
              <w:rPr>
                <w:rFonts w:ascii="Times New Roman" w:hAnsi="Times New Roman"/>
                <w:b/>
                <w:sz w:val="22"/>
                <w:szCs w:val="22"/>
              </w:rPr>
              <w:t>e-mail:</w:t>
            </w:r>
          </w:p>
        </w:tc>
        <w:tc>
          <w:tcPr>
            <w:tcW w:w="3508" w:type="dxa"/>
          </w:tcPr>
          <w:p w:rsidR="00E948C5" w:rsidRPr="00CD12BF" w:rsidRDefault="00E948C5" w:rsidP="00EA1F0C">
            <w:pPr>
              <w:rPr>
                <w:rFonts w:ascii="Times New Roman" w:hAnsi="Times New Roman"/>
                <w:b/>
                <w:sz w:val="22"/>
                <w:szCs w:val="22"/>
              </w:rPr>
            </w:pPr>
          </w:p>
        </w:tc>
      </w:tr>
    </w:tbl>
    <w:p w:rsidR="00CD12BF" w:rsidRDefault="00CD12BF" w:rsidP="00FE689C">
      <w:pPr>
        <w:tabs>
          <w:tab w:val="left" w:pos="1134"/>
        </w:tabs>
        <w:jc w:val="both"/>
        <w:rPr>
          <w:rFonts w:ascii="Times New Roman" w:hAnsi="Times New Roman"/>
          <w:b/>
          <w:sz w:val="22"/>
          <w:szCs w:val="22"/>
        </w:rPr>
      </w:pPr>
    </w:p>
    <w:p w:rsidR="00E0396B" w:rsidRPr="003D6B6C" w:rsidRDefault="00E0396B" w:rsidP="00CD12BF">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General Obligations</w:t>
      </w:r>
    </w:p>
    <w:p w:rsidR="00E0396B" w:rsidRPr="00CD12BF" w:rsidRDefault="00E0396B" w:rsidP="00D33D88">
      <w:pPr>
        <w:tabs>
          <w:tab w:val="left" w:pos="426"/>
        </w:tabs>
        <w:ind w:left="708" w:right="-285"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CD12BF">
        <w:rPr>
          <w:rFonts w:ascii="Times New Roman" w:hAnsi="Times New Roman"/>
          <w:sz w:val="22"/>
          <w:szCs w:val="22"/>
        </w:rPr>
        <w:t xml:space="preserve">     </w:t>
      </w:r>
      <w:r w:rsidR="00E948C5" w:rsidRPr="00CD12BF">
        <w:rPr>
          <w:rFonts w:ascii="Times New Roman" w:hAnsi="Times New Roman"/>
          <w:sz w:val="22"/>
          <w:szCs w:val="22"/>
        </w:rPr>
        <w:t>The Contractor shall take the necessary measures to ensure the visibility of the European Union financing or co-financing</w:t>
      </w:r>
      <w:r w:rsidR="0021441C" w:rsidRPr="00CD12BF">
        <w:rPr>
          <w:rFonts w:ascii="Times New Roman" w:hAnsi="Times New Roman"/>
          <w:sz w:val="22"/>
          <w:szCs w:val="22"/>
        </w:rPr>
        <w:t xml:space="preserve">. </w:t>
      </w:r>
      <w:r w:rsidRPr="00CD12BF">
        <w:rPr>
          <w:rFonts w:ascii="Times New Roman" w:hAnsi="Times New Roman"/>
          <w:sz w:val="22"/>
          <w:szCs w:val="22"/>
        </w:rPr>
        <w:t xml:space="preserve">These activities must comply with the rules lay down in the Communication and Visibility Manual for EU External Actions published </w:t>
      </w:r>
      <w:r w:rsidR="00FD659C" w:rsidRPr="00CD12BF">
        <w:rPr>
          <w:rFonts w:ascii="Times New Roman" w:hAnsi="Times New Roman"/>
          <w:sz w:val="22"/>
          <w:szCs w:val="22"/>
        </w:rPr>
        <w:t>on the EuropeAid Website:</w:t>
      </w:r>
      <w:r w:rsidR="003D6B6C" w:rsidRPr="00CD12BF">
        <w:rPr>
          <w:rFonts w:ascii="Times New Roman" w:hAnsi="Times New Roman"/>
          <w:sz w:val="22"/>
          <w:szCs w:val="22"/>
        </w:rPr>
        <w:t xml:space="preserve"> </w:t>
      </w:r>
      <w:hyperlink r:id="rId9" w:history="1">
        <w:r w:rsidR="009B71DF" w:rsidRPr="00CD12BF">
          <w:rPr>
            <w:rStyle w:val="Hyperlink"/>
            <w:rFonts w:ascii="Times New Roman" w:hAnsi="Times New Roman"/>
            <w:sz w:val="22"/>
            <w:szCs w:val="22"/>
          </w:rPr>
          <w:t>https://ec.europa.eu/europeaid/funding/communication-and-visibility-manual-eu-external-actions_en</w:t>
        </w:r>
      </w:hyperlink>
      <w:r w:rsidR="009B71DF" w:rsidRPr="00CD12BF">
        <w:rPr>
          <w:rFonts w:ascii="Times New Roman" w:hAnsi="Times New Roman"/>
          <w:sz w:val="22"/>
          <w:szCs w:val="22"/>
        </w:rPr>
        <w:t xml:space="preserve"> </w:t>
      </w:r>
      <w:r w:rsidRPr="00CD12BF">
        <w:rPr>
          <w:rFonts w:ascii="Times New Roman" w:hAnsi="Times New Roman"/>
          <w:sz w:val="22"/>
          <w:szCs w:val="22"/>
        </w:rPr>
        <w:t>.</w:t>
      </w:r>
    </w:p>
    <w:p w:rsidR="0047783A" w:rsidRPr="00CD12BF" w:rsidRDefault="0047783A" w:rsidP="00CD12BF">
      <w:pPr>
        <w:keepNext/>
        <w:spacing w:before="240"/>
        <w:ind w:left="1134" w:hanging="1134"/>
        <w:jc w:val="both"/>
        <w:rPr>
          <w:rFonts w:ascii="Times New Roman" w:hAnsi="Times New Roman"/>
          <w:b/>
          <w:sz w:val="22"/>
          <w:szCs w:val="22"/>
        </w:rPr>
      </w:pPr>
      <w:bookmarkStart w:id="3" w:name="_Toc124934900"/>
      <w:r w:rsidRPr="00CD12BF">
        <w:rPr>
          <w:rFonts w:ascii="Times New Roman" w:hAnsi="Times New Roman"/>
          <w:b/>
          <w:sz w:val="22"/>
          <w:szCs w:val="22"/>
        </w:rPr>
        <w:t>Article 10</w:t>
      </w:r>
      <w:r w:rsidRPr="00CD12BF">
        <w:rPr>
          <w:rFonts w:ascii="Times New Roman" w:hAnsi="Times New Roman"/>
          <w:b/>
          <w:sz w:val="22"/>
          <w:szCs w:val="22"/>
        </w:rPr>
        <w:tab/>
        <w:t>Origin</w:t>
      </w:r>
      <w:bookmarkEnd w:id="3"/>
    </w:p>
    <w:p w:rsidR="0047783A" w:rsidRPr="003D6B6C" w:rsidRDefault="0047783A" w:rsidP="00CD12BF">
      <w:pPr>
        <w:pStyle w:val="Heading2"/>
        <w:keepNext w:val="0"/>
        <w:numPr>
          <w:ilvl w:val="1"/>
          <w:numId w:val="0"/>
        </w:numPr>
        <w:ind w:left="708" w:hanging="708"/>
        <w:jc w:val="both"/>
        <w:rPr>
          <w:rFonts w:ascii="Times New Roman" w:hAnsi="Times New Roman"/>
          <w:sz w:val="22"/>
          <w:szCs w:val="22"/>
          <w:lang w:val="en-GB"/>
        </w:rPr>
      </w:pPr>
      <w:r w:rsidRPr="00CD12BF">
        <w:rPr>
          <w:rFonts w:ascii="Times New Roman" w:hAnsi="Times New Roman"/>
          <w:sz w:val="22"/>
          <w:szCs w:val="22"/>
          <w:lang w:val="en-GB"/>
        </w:rPr>
        <w:t>10.1</w:t>
      </w:r>
      <w:r w:rsidRPr="00CD12BF">
        <w:rPr>
          <w:rFonts w:ascii="Times New Roman" w:hAnsi="Times New Roman"/>
          <w:sz w:val="22"/>
          <w:szCs w:val="22"/>
          <w:lang w:val="en-GB"/>
        </w:rPr>
        <w:tab/>
        <w:t xml:space="preserve">All goods purchased must originate in a Member State of the European Union or a country covered by the </w:t>
      </w:r>
      <w:r w:rsidR="00E948C5" w:rsidRPr="00CD12BF">
        <w:rPr>
          <w:rFonts w:ascii="Times New Roman" w:hAnsi="Times New Roman"/>
          <w:sz w:val="22"/>
          <w:szCs w:val="22"/>
          <w:lang w:val="en-GB"/>
        </w:rPr>
        <w:t xml:space="preserve">IPA </w:t>
      </w:r>
      <w:r w:rsidRPr="00CD12BF">
        <w:rPr>
          <w:rFonts w:ascii="Times New Roman" w:hAnsi="Times New Roman"/>
          <w:sz w:val="22"/>
          <w:szCs w:val="22"/>
          <w:lang w:val="en-GB"/>
        </w:rPr>
        <w:t xml:space="preserve">programme. For these purposes, </w:t>
      </w:r>
      <w:r w:rsidR="006A5F84" w:rsidRPr="00CD12BF">
        <w:rPr>
          <w:rFonts w:ascii="Times New Roman" w:hAnsi="Times New Roman"/>
          <w:sz w:val="22"/>
          <w:szCs w:val="22"/>
          <w:lang w:val="en-GB"/>
        </w:rPr>
        <w:t>‘</w:t>
      </w:r>
      <w:r w:rsidRPr="00CD12BF">
        <w:rPr>
          <w:rFonts w:ascii="Times New Roman" w:hAnsi="Times New Roman"/>
          <w:sz w:val="22"/>
          <w:szCs w:val="22"/>
          <w:lang w:val="en-GB"/>
        </w:rPr>
        <w:t>origin</w:t>
      </w:r>
      <w:r w:rsidR="006A5F84" w:rsidRPr="00CD12BF">
        <w:rPr>
          <w:rFonts w:ascii="Times New Roman" w:hAnsi="Times New Roman"/>
          <w:sz w:val="22"/>
          <w:szCs w:val="22"/>
          <w:lang w:val="en-GB"/>
        </w:rPr>
        <w:t>’</w:t>
      </w:r>
      <w:r w:rsidRPr="00CD12BF">
        <w:rPr>
          <w:rFonts w:ascii="Times New Roman" w:hAnsi="Times New Roman"/>
          <w:sz w:val="22"/>
          <w:szCs w:val="22"/>
          <w:lang w:val="en-GB"/>
        </w:rPr>
        <w:t xml:space="preserve"> means</w:t>
      </w:r>
      <w:r w:rsidRPr="003D6B6C">
        <w:rPr>
          <w:rFonts w:ascii="Times New Roman" w:hAnsi="Times New Roman"/>
          <w:sz w:val="22"/>
          <w:szCs w:val="22"/>
          <w:lang w:val="en-GB"/>
        </w:rPr>
        <w:t xml:space="preserve"> the place where the goods are mined, grown, produced or manufactured and/or from which </w:t>
      </w:r>
      <w:r w:rsidRPr="003D6B6C">
        <w:rPr>
          <w:rFonts w:ascii="Times New Roman" w:hAnsi="Times New Roman"/>
          <w:sz w:val="22"/>
          <w:szCs w:val="22"/>
          <w:lang w:val="en-GB"/>
        </w:rPr>
        <w:lastRenderedPageBreak/>
        <w:t>services are provided. The origin of the goods must be determined according to the EU Customs Code or to the relevant international agreement applicable.</w:t>
      </w:r>
    </w:p>
    <w:p w:rsidR="0047783A" w:rsidRPr="00CD12BF" w:rsidRDefault="0047783A" w:rsidP="00CD12BF">
      <w:pPr>
        <w:spacing w:before="240"/>
        <w:ind w:left="1134" w:hanging="1134"/>
        <w:jc w:val="both"/>
        <w:rPr>
          <w:rFonts w:ascii="Times New Roman" w:hAnsi="Times New Roman"/>
          <w:b/>
          <w:sz w:val="22"/>
          <w:szCs w:val="22"/>
        </w:rPr>
      </w:pPr>
      <w:bookmarkStart w:id="4" w:name="_Toc124934901"/>
      <w:r w:rsidRPr="00CD12BF">
        <w:rPr>
          <w:rFonts w:ascii="Times New Roman" w:hAnsi="Times New Roman"/>
          <w:b/>
          <w:sz w:val="22"/>
          <w:szCs w:val="22"/>
        </w:rPr>
        <w:t>Article 11</w:t>
      </w:r>
      <w:r w:rsidRPr="00CD12BF">
        <w:rPr>
          <w:rFonts w:ascii="Times New Roman" w:hAnsi="Times New Roman"/>
          <w:b/>
          <w:sz w:val="22"/>
          <w:szCs w:val="22"/>
        </w:rPr>
        <w:tab/>
        <w:t>Performance guarantee</w:t>
      </w:r>
      <w:bookmarkEnd w:id="4"/>
    </w:p>
    <w:p w:rsidR="002C375C" w:rsidRPr="00CD12BF" w:rsidRDefault="00F355C1" w:rsidP="00CD12BF">
      <w:pPr>
        <w:ind w:left="709" w:hanging="709"/>
        <w:jc w:val="both"/>
        <w:rPr>
          <w:rFonts w:ascii="Times New Roman" w:hAnsi="Times New Roman"/>
          <w:sz w:val="22"/>
          <w:szCs w:val="22"/>
        </w:rPr>
      </w:pPr>
      <w:r w:rsidRPr="00CD12BF">
        <w:rPr>
          <w:rFonts w:ascii="Times New Roman" w:hAnsi="Times New Roman"/>
          <w:sz w:val="22"/>
          <w:szCs w:val="22"/>
        </w:rPr>
        <w:t>11.1</w:t>
      </w:r>
      <w:r w:rsidRPr="00CD12BF">
        <w:rPr>
          <w:rFonts w:ascii="Times New Roman" w:hAnsi="Times New Roman"/>
          <w:sz w:val="22"/>
          <w:szCs w:val="22"/>
        </w:rPr>
        <w:tab/>
      </w:r>
      <w:r w:rsidR="0047783A" w:rsidRPr="00CD12BF">
        <w:rPr>
          <w:rFonts w:ascii="Times New Roman" w:hAnsi="Times New Roman"/>
          <w:sz w:val="22"/>
          <w:szCs w:val="22"/>
        </w:rPr>
        <w:t xml:space="preserve">The amount of the performance guarantee </w:t>
      </w:r>
      <w:r w:rsidR="005B0129" w:rsidRPr="00CD12BF">
        <w:rPr>
          <w:rFonts w:ascii="Times New Roman" w:hAnsi="Times New Roman"/>
          <w:sz w:val="22"/>
          <w:szCs w:val="22"/>
        </w:rPr>
        <w:t xml:space="preserve">shall </w:t>
      </w:r>
      <w:r w:rsidR="0047783A" w:rsidRPr="00CD12BF">
        <w:rPr>
          <w:rFonts w:ascii="Times New Roman" w:hAnsi="Times New Roman"/>
          <w:sz w:val="22"/>
          <w:szCs w:val="22"/>
        </w:rPr>
        <w:t xml:space="preserve">be </w:t>
      </w:r>
      <w:r w:rsidR="002C375C" w:rsidRPr="00CD12BF">
        <w:rPr>
          <w:rFonts w:ascii="Times New Roman" w:hAnsi="Times New Roman"/>
          <w:sz w:val="22"/>
          <w:szCs w:val="22"/>
        </w:rPr>
        <w:t>7%</w:t>
      </w:r>
      <w:r w:rsidR="00D662AA" w:rsidRPr="00CD12BF">
        <w:rPr>
          <w:rFonts w:ascii="Times New Roman" w:hAnsi="Times New Roman"/>
          <w:sz w:val="22"/>
          <w:szCs w:val="22"/>
        </w:rPr>
        <w:t xml:space="preserve"> </w:t>
      </w:r>
      <w:r w:rsidR="0047783A" w:rsidRPr="00CD12BF">
        <w:rPr>
          <w:rFonts w:ascii="Times New Roman" w:hAnsi="Times New Roman"/>
          <w:sz w:val="22"/>
          <w:szCs w:val="22"/>
        </w:rPr>
        <w:t xml:space="preserve">of the </w:t>
      </w:r>
      <w:r w:rsidR="001E2362" w:rsidRPr="00CD12BF">
        <w:rPr>
          <w:rFonts w:ascii="Times New Roman" w:hAnsi="Times New Roman"/>
          <w:sz w:val="22"/>
          <w:szCs w:val="22"/>
        </w:rPr>
        <w:t xml:space="preserve">total </w:t>
      </w:r>
      <w:r w:rsidR="0097513D" w:rsidRPr="00CD12BF">
        <w:rPr>
          <w:rFonts w:ascii="Times New Roman" w:hAnsi="Times New Roman"/>
          <w:sz w:val="22"/>
          <w:szCs w:val="22"/>
        </w:rPr>
        <w:t>Contract</w:t>
      </w:r>
      <w:r w:rsidR="0047783A" w:rsidRPr="00CD12BF">
        <w:rPr>
          <w:rFonts w:ascii="Times New Roman" w:hAnsi="Times New Roman"/>
          <w:sz w:val="22"/>
          <w:szCs w:val="22"/>
        </w:rPr>
        <w:t xml:space="preserve"> </w:t>
      </w:r>
      <w:r w:rsidR="001E2362" w:rsidRPr="00CD12BF">
        <w:rPr>
          <w:rFonts w:ascii="Times New Roman" w:hAnsi="Times New Roman"/>
          <w:sz w:val="22"/>
          <w:szCs w:val="22"/>
        </w:rPr>
        <w:t>price</w:t>
      </w:r>
      <w:r w:rsidR="00637C8F" w:rsidRPr="00CD12BF">
        <w:rPr>
          <w:rFonts w:ascii="Times New Roman" w:hAnsi="Times New Roman"/>
          <w:sz w:val="22"/>
          <w:szCs w:val="22"/>
        </w:rPr>
        <w:t>,</w:t>
      </w:r>
      <w:r w:rsidR="0047783A" w:rsidRPr="00CD12BF">
        <w:rPr>
          <w:rFonts w:ascii="Times New Roman" w:hAnsi="Times New Roman"/>
          <w:sz w:val="22"/>
          <w:szCs w:val="22"/>
        </w:rPr>
        <w:t xml:space="preserve"> </w:t>
      </w:r>
      <w:r w:rsidR="00637C8F" w:rsidRPr="00CD12BF">
        <w:rPr>
          <w:rFonts w:ascii="Times New Roman" w:hAnsi="Times New Roman"/>
          <w:sz w:val="22"/>
          <w:szCs w:val="22"/>
        </w:rPr>
        <w:t xml:space="preserve">including any amounts stipulated in addenda to the </w:t>
      </w:r>
      <w:r w:rsidR="005921FA" w:rsidRPr="00CD12BF">
        <w:rPr>
          <w:rFonts w:ascii="Times New Roman" w:hAnsi="Times New Roman"/>
          <w:sz w:val="22"/>
          <w:szCs w:val="22"/>
        </w:rPr>
        <w:t>C</w:t>
      </w:r>
      <w:r w:rsidR="00637C8F" w:rsidRPr="00CD12BF">
        <w:rPr>
          <w:rFonts w:ascii="Times New Roman" w:hAnsi="Times New Roman"/>
          <w:sz w:val="22"/>
          <w:szCs w:val="22"/>
        </w:rPr>
        <w:t>ontract</w:t>
      </w:r>
      <w:r w:rsidR="00D83E53" w:rsidRPr="00CD12BF">
        <w:rPr>
          <w:rFonts w:ascii="Times New Roman" w:hAnsi="Times New Roman"/>
          <w:sz w:val="22"/>
          <w:szCs w:val="22"/>
        </w:rPr>
        <w:t>.</w:t>
      </w:r>
      <w:bookmarkStart w:id="5" w:name="_Toc124934907"/>
    </w:p>
    <w:p w:rsidR="00DD0464" w:rsidRPr="00CD12BF" w:rsidRDefault="00DD0464" w:rsidP="00CD12BF">
      <w:pPr>
        <w:ind w:left="1134" w:hanging="709"/>
        <w:jc w:val="both"/>
        <w:rPr>
          <w:rFonts w:ascii="Times New Roman" w:hAnsi="Times New Roman"/>
          <w:sz w:val="22"/>
          <w:szCs w:val="22"/>
        </w:rPr>
      </w:pPr>
    </w:p>
    <w:p w:rsidR="00DD0464" w:rsidRPr="00DD0464" w:rsidRDefault="00DD0464" w:rsidP="00CD12BF">
      <w:pPr>
        <w:ind w:left="709" w:hanging="709"/>
        <w:jc w:val="both"/>
        <w:rPr>
          <w:rFonts w:ascii="Times New Roman" w:hAnsi="Times New Roman"/>
          <w:b/>
          <w:sz w:val="22"/>
          <w:szCs w:val="22"/>
        </w:rPr>
      </w:pPr>
      <w:r w:rsidRPr="00DD0464">
        <w:rPr>
          <w:rFonts w:ascii="Times New Roman" w:hAnsi="Times New Roman"/>
          <w:b/>
          <w:sz w:val="22"/>
          <w:szCs w:val="22"/>
        </w:rPr>
        <w:t>Article 13</w:t>
      </w:r>
      <w:r w:rsidR="00CD12BF">
        <w:rPr>
          <w:rFonts w:ascii="Times New Roman" w:hAnsi="Times New Roman"/>
          <w:b/>
          <w:sz w:val="22"/>
          <w:szCs w:val="22"/>
        </w:rPr>
        <w:t xml:space="preserve">   </w:t>
      </w:r>
      <w:r w:rsidRPr="00DD0464">
        <w:rPr>
          <w:rFonts w:ascii="Times New Roman" w:hAnsi="Times New Roman"/>
          <w:b/>
          <w:sz w:val="22"/>
          <w:szCs w:val="22"/>
        </w:rPr>
        <w:t>Programme of implementation of tasks</w:t>
      </w:r>
    </w:p>
    <w:p w:rsidR="00C22DF9" w:rsidRPr="00B07741" w:rsidRDefault="00DD0464" w:rsidP="00CD12BF">
      <w:pPr>
        <w:ind w:left="709" w:hanging="709"/>
        <w:jc w:val="both"/>
        <w:rPr>
          <w:rFonts w:ascii="Times New Roman" w:hAnsi="Times New Roman"/>
          <w:sz w:val="22"/>
          <w:szCs w:val="22"/>
        </w:rPr>
      </w:pPr>
      <w:r w:rsidRPr="00DD0464">
        <w:rPr>
          <w:rFonts w:ascii="Times New Roman" w:hAnsi="Times New Roman"/>
          <w:sz w:val="22"/>
          <w:szCs w:val="22"/>
        </w:rPr>
        <w:t>13.2</w:t>
      </w:r>
      <w:r w:rsidRPr="00DD0464">
        <w:rPr>
          <w:rFonts w:ascii="Times New Roman" w:hAnsi="Times New Roman"/>
          <w:sz w:val="22"/>
          <w:szCs w:val="22"/>
        </w:rPr>
        <w:tab/>
      </w:r>
      <w:r w:rsidR="00C22DF9" w:rsidRPr="00584D0D">
        <w:rPr>
          <w:rFonts w:ascii="Times New Roman" w:hAnsi="Times New Roman"/>
          <w:sz w:val="22"/>
          <w:szCs w:val="22"/>
        </w:rPr>
        <w:t xml:space="preserve">The Contracting Authority shall complete and submit to the Contractor, </w:t>
      </w:r>
      <w:r w:rsidR="00C22DF9">
        <w:rPr>
          <w:rFonts w:ascii="Times New Roman" w:hAnsi="Times New Roman"/>
          <w:sz w:val="22"/>
          <w:szCs w:val="22"/>
        </w:rPr>
        <w:t>at the signature of the Contract</w:t>
      </w:r>
      <w:r w:rsidR="00C22DF9" w:rsidRPr="00584D0D">
        <w:rPr>
          <w:rFonts w:ascii="Times New Roman" w:hAnsi="Times New Roman"/>
          <w:sz w:val="22"/>
          <w:szCs w:val="22"/>
        </w:rPr>
        <w:t xml:space="preserve">, a Programme of implementation of tasks </w:t>
      </w:r>
      <w:r w:rsidR="00C22DF9" w:rsidRPr="00584D0D">
        <w:rPr>
          <w:rFonts w:ascii="Times New Roman" w:hAnsi="Times New Roman"/>
          <w:b/>
          <w:sz w:val="22"/>
          <w:szCs w:val="22"/>
        </w:rPr>
        <w:t>(specified in the Annex V of the contract)</w:t>
      </w:r>
      <w:r w:rsidR="00C22DF9" w:rsidRPr="00584D0D">
        <w:rPr>
          <w:rFonts w:ascii="Times New Roman" w:hAnsi="Times New Roman"/>
          <w:sz w:val="22"/>
          <w:szCs w:val="22"/>
        </w:rPr>
        <w:t xml:space="preserve"> respecting the implementation deadlines set by the Contracting Authority in the tender dossier. Contractor shall countersign the Programme of implementation of tasks and return it to the Contracting Authority within 15 days from the </w:t>
      </w:r>
      <w:r w:rsidR="00C22DF9">
        <w:rPr>
          <w:rFonts w:ascii="Times New Roman" w:hAnsi="Times New Roman"/>
          <w:sz w:val="22"/>
          <w:szCs w:val="22"/>
        </w:rPr>
        <w:t>signature of the contract</w:t>
      </w:r>
      <w:r w:rsidR="00C22DF9" w:rsidRPr="00584D0D">
        <w:rPr>
          <w:rFonts w:ascii="Times New Roman" w:hAnsi="Times New Roman"/>
          <w:sz w:val="22"/>
          <w:szCs w:val="22"/>
        </w:rPr>
        <w:t>. By signing the contract, the Contractor agrees to adhere to the deadlines set by the Cont</w:t>
      </w:r>
      <w:r w:rsidR="00C22DF9">
        <w:rPr>
          <w:rFonts w:ascii="Times New Roman" w:hAnsi="Times New Roman"/>
          <w:sz w:val="22"/>
          <w:szCs w:val="22"/>
        </w:rPr>
        <w:t>r</w:t>
      </w:r>
      <w:r w:rsidR="00C22DF9" w:rsidRPr="00584D0D">
        <w:rPr>
          <w:rFonts w:ascii="Times New Roman" w:hAnsi="Times New Roman"/>
          <w:sz w:val="22"/>
          <w:szCs w:val="22"/>
        </w:rPr>
        <w:t>acting Authority meaning that thes</w:t>
      </w:r>
      <w:r w:rsidR="00C22DF9">
        <w:rPr>
          <w:rFonts w:ascii="Times New Roman" w:hAnsi="Times New Roman"/>
          <w:sz w:val="22"/>
          <w:szCs w:val="22"/>
        </w:rPr>
        <w:t>e deadlines are binding and can</w:t>
      </w:r>
      <w:r w:rsidR="00C22DF9" w:rsidRPr="00584D0D">
        <w:rPr>
          <w:rFonts w:ascii="Times New Roman" w:hAnsi="Times New Roman"/>
          <w:sz w:val="22"/>
          <w:szCs w:val="22"/>
        </w:rPr>
        <w:t>not be altered</w:t>
      </w:r>
    </w:p>
    <w:p w:rsidR="00EB32E9" w:rsidRPr="00CD12BF" w:rsidRDefault="0047783A" w:rsidP="00CD12BF">
      <w:pPr>
        <w:spacing w:before="240"/>
        <w:ind w:left="1134" w:hanging="1134"/>
        <w:jc w:val="both"/>
        <w:rPr>
          <w:rFonts w:ascii="Times New Roman" w:hAnsi="Times New Roman"/>
          <w:b/>
          <w:sz w:val="22"/>
          <w:szCs w:val="22"/>
        </w:rPr>
      </w:pPr>
      <w:r w:rsidRPr="00CD12BF">
        <w:rPr>
          <w:rFonts w:ascii="Times New Roman" w:hAnsi="Times New Roman"/>
          <w:b/>
          <w:sz w:val="22"/>
          <w:szCs w:val="22"/>
        </w:rPr>
        <w:t>Article 18</w:t>
      </w:r>
      <w:r w:rsidRPr="00CD12BF">
        <w:rPr>
          <w:rFonts w:ascii="Times New Roman" w:hAnsi="Times New Roman"/>
          <w:b/>
          <w:sz w:val="22"/>
          <w:szCs w:val="22"/>
        </w:rPr>
        <w:tab/>
        <w:t>Commencement order</w:t>
      </w:r>
      <w:bookmarkEnd w:id="5"/>
      <w:r w:rsidR="00EB32E9" w:rsidRPr="00CD12BF">
        <w:rPr>
          <w:rFonts w:ascii="Times New Roman" w:hAnsi="Times New Roman"/>
          <w:b/>
          <w:sz w:val="22"/>
          <w:szCs w:val="22"/>
        </w:rPr>
        <w:t xml:space="preserve"> </w:t>
      </w:r>
    </w:p>
    <w:p w:rsidR="005C02C3" w:rsidRPr="00CD12BF" w:rsidRDefault="0047783A" w:rsidP="00CD12BF">
      <w:pPr>
        <w:ind w:left="709" w:hanging="709"/>
        <w:jc w:val="both"/>
        <w:rPr>
          <w:rFonts w:ascii="Times New Roman" w:hAnsi="Times New Roman"/>
          <w:sz w:val="22"/>
          <w:szCs w:val="22"/>
        </w:rPr>
      </w:pPr>
      <w:r w:rsidRPr="00CD12BF">
        <w:rPr>
          <w:rFonts w:ascii="Times New Roman" w:hAnsi="Times New Roman"/>
          <w:sz w:val="22"/>
          <w:szCs w:val="22"/>
        </w:rPr>
        <w:t>18.1</w:t>
      </w:r>
      <w:r w:rsidRPr="00CD12BF">
        <w:rPr>
          <w:rFonts w:ascii="Times New Roman" w:hAnsi="Times New Roman"/>
          <w:b/>
          <w:sz w:val="22"/>
          <w:szCs w:val="22"/>
        </w:rPr>
        <w:tab/>
      </w:r>
      <w:r w:rsidR="005C02C3" w:rsidRPr="00CD12BF">
        <w:rPr>
          <w:rFonts w:ascii="Times New Roman" w:hAnsi="Times New Roman"/>
          <w:sz w:val="22"/>
          <w:szCs w:val="22"/>
        </w:rPr>
        <w:t>Implementation of the tasks shall commence on the date of signature of the Contract by both parties.</w:t>
      </w:r>
    </w:p>
    <w:p w:rsidR="005C02C3" w:rsidRPr="003D6B6C" w:rsidRDefault="005C02C3" w:rsidP="00CD12BF">
      <w:pPr>
        <w:ind w:left="1134" w:hanging="709"/>
        <w:jc w:val="both"/>
        <w:rPr>
          <w:rFonts w:ascii="Times New Roman" w:hAnsi="Times New Roman"/>
          <w:sz w:val="22"/>
          <w:szCs w:val="22"/>
        </w:rPr>
      </w:pPr>
    </w:p>
    <w:p w:rsidR="0047783A" w:rsidRPr="00CD12BF" w:rsidRDefault="0047783A" w:rsidP="00CD12BF">
      <w:pPr>
        <w:spacing w:before="240"/>
        <w:ind w:left="1134" w:hanging="1134"/>
        <w:jc w:val="both"/>
        <w:rPr>
          <w:rFonts w:ascii="Times New Roman" w:hAnsi="Times New Roman"/>
          <w:b/>
          <w:sz w:val="22"/>
          <w:szCs w:val="22"/>
        </w:rPr>
      </w:pPr>
      <w:bookmarkStart w:id="6" w:name="_Toc124934908"/>
      <w:r w:rsidRPr="00CD12BF">
        <w:rPr>
          <w:rFonts w:ascii="Times New Roman" w:hAnsi="Times New Roman"/>
          <w:b/>
          <w:sz w:val="22"/>
          <w:szCs w:val="22"/>
        </w:rPr>
        <w:t>Article 19</w:t>
      </w:r>
      <w:r w:rsidRPr="00CD12BF">
        <w:rPr>
          <w:rFonts w:ascii="Times New Roman" w:hAnsi="Times New Roman"/>
          <w:b/>
          <w:sz w:val="22"/>
          <w:szCs w:val="22"/>
        </w:rPr>
        <w:tab/>
        <w:t xml:space="preserve">Period of </w:t>
      </w:r>
      <w:r w:rsidR="00D662AA" w:rsidRPr="00CD12BF">
        <w:rPr>
          <w:rFonts w:ascii="Times New Roman" w:hAnsi="Times New Roman"/>
          <w:b/>
          <w:sz w:val="22"/>
          <w:szCs w:val="22"/>
        </w:rPr>
        <w:t>i</w:t>
      </w:r>
      <w:r w:rsidRPr="00CD12BF">
        <w:rPr>
          <w:rFonts w:ascii="Times New Roman" w:hAnsi="Times New Roman"/>
          <w:b/>
          <w:sz w:val="22"/>
          <w:szCs w:val="22"/>
        </w:rPr>
        <w:t>mplementation</w:t>
      </w:r>
      <w:bookmarkEnd w:id="6"/>
      <w:r w:rsidRPr="00CD12BF">
        <w:rPr>
          <w:rFonts w:ascii="Times New Roman" w:hAnsi="Times New Roman"/>
          <w:b/>
          <w:sz w:val="22"/>
          <w:szCs w:val="22"/>
        </w:rPr>
        <w:t xml:space="preserve"> of the tasks</w:t>
      </w:r>
    </w:p>
    <w:p w:rsidR="005C02C3" w:rsidRPr="00CD12BF" w:rsidRDefault="0047783A" w:rsidP="00CD12BF">
      <w:pPr>
        <w:pStyle w:val="Blockquote"/>
        <w:ind w:left="709"/>
        <w:jc w:val="both"/>
        <w:rPr>
          <w:rFonts w:ascii="Times New Roman" w:hAnsi="Times New Roman"/>
          <w:sz w:val="22"/>
          <w:szCs w:val="22"/>
          <w:lang w:val="en-GB"/>
        </w:rPr>
      </w:pPr>
      <w:r w:rsidRPr="00CD12BF">
        <w:rPr>
          <w:rFonts w:ascii="Times New Roman" w:hAnsi="Times New Roman"/>
          <w:sz w:val="22"/>
          <w:szCs w:val="22"/>
        </w:rPr>
        <w:t>19.1</w:t>
      </w:r>
      <w:r w:rsidR="00DD0464" w:rsidRPr="00CD12BF">
        <w:rPr>
          <w:rFonts w:ascii="Times New Roman" w:hAnsi="Times New Roman"/>
          <w:sz w:val="22"/>
          <w:szCs w:val="22"/>
        </w:rPr>
        <w:t>The period of implementation of tasks (supply, delivery, unloading, installation</w:t>
      </w:r>
      <w:bookmarkStart w:id="7" w:name="_GoBack"/>
      <w:bookmarkEnd w:id="7"/>
      <w:r w:rsidR="00DD0464" w:rsidRPr="00CD12BF">
        <w:rPr>
          <w:rFonts w:ascii="Times New Roman" w:hAnsi="Times New Roman"/>
          <w:sz w:val="22"/>
          <w:szCs w:val="22"/>
        </w:rPr>
        <w:t xml:space="preserve">) starting from the contract signature date until the date of issuance of the Provisional Acceptance Certificate shall be </w:t>
      </w:r>
      <w:r w:rsidR="00C22DF9" w:rsidRPr="00CD12BF">
        <w:rPr>
          <w:rFonts w:ascii="Times New Roman" w:hAnsi="Times New Roman"/>
          <w:sz w:val="22"/>
          <w:szCs w:val="22"/>
        </w:rPr>
        <w:t>72</w:t>
      </w:r>
      <w:r w:rsidR="00DD0464" w:rsidRPr="00CD12BF">
        <w:rPr>
          <w:rFonts w:ascii="Times New Roman" w:hAnsi="Times New Roman"/>
          <w:sz w:val="22"/>
          <w:szCs w:val="22"/>
        </w:rPr>
        <w:t xml:space="preserve"> calendar days. The implementation period will include 30 calendar days of delivery period.</w:t>
      </w:r>
    </w:p>
    <w:p w:rsidR="0047783A" w:rsidRPr="00CD12BF" w:rsidRDefault="0047783A" w:rsidP="00CD12BF">
      <w:pPr>
        <w:ind w:left="1134" w:hanging="709"/>
        <w:jc w:val="both"/>
        <w:rPr>
          <w:rFonts w:ascii="Times New Roman" w:hAnsi="Times New Roman"/>
          <w:b/>
          <w:sz w:val="22"/>
          <w:szCs w:val="22"/>
        </w:rPr>
      </w:pPr>
    </w:p>
    <w:p w:rsidR="0047783A" w:rsidRPr="00CD12BF" w:rsidRDefault="0047783A" w:rsidP="00CD12BF">
      <w:pPr>
        <w:spacing w:before="240"/>
        <w:ind w:left="1134" w:hanging="1134"/>
        <w:jc w:val="both"/>
        <w:rPr>
          <w:rFonts w:ascii="Times New Roman" w:hAnsi="Times New Roman"/>
          <w:b/>
          <w:sz w:val="22"/>
          <w:szCs w:val="22"/>
        </w:rPr>
      </w:pPr>
      <w:bookmarkStart w:id="8" w:name="_Toc124934911"/>
      <w:r w:rsidRPr="00CD12BF">
        <w:rPr>
          <w:rFonts w:ascii="Times New Roman" w:hAnsi="Times New Roman"/>
          <w:b/>
          <w:sz w:val="22"/>
          <w:szCs w:val="22"/>
        </w:rPr>
        <w:t>Article 25</w:t>
      </w:r>
      <w:r w:rsidRPr="00CD12BF">
        <w:rPr>
          <w:rFonts w:ascii="Times New Roman" w:hAnsi="Times New Roman"/>
          <w:b/>
          <w:sz w:val="22"/>
          <w:szCs w:val="22"/>
        </w:rPr>
        <w:tab/>
        <w:t>Inspection and testing</w:t>
      </w:r>
      <w:bookmarkEnd w:id="8"/>
    </w:p>
    <w:p w:rsidR="00E26F57" w:rsidRPr="00CD12BF" w:rsidRDefault="005B0129" w:rsidP="00CD12BF">
      <w:pPr>
        <w:suppressAutoHyphens/>
        <w:spacing w:before="60" w:after="60"/>
        <w:ind w:left="709" w:firstLine="11"/>
        <w:jc w:val="both"/>
        <w:rPr>
          <w:rFonts w:ascii="Times New Roman" w:hAnsi="Times New Roman"/>
          <w:bCs/>
          <w:sz w:val="22"/>
          <w:szCs w:val="22"/>
        </w:rPr>
      </w:pPr>
      <w:r w:rsidRPr="00CD12BF">
        <w:rPr>
          <w:rFonts w:ascii="Times New Roman" w:hAnsi="Times New Roman"/>
          <w:bCs/>
          <w:sz w:val="22"/>
          <w:szCs w:val="22"/>
        </w:rPr>
        <w:t>25.2</w:t>
      </w:r>
      <w:r w:rsidRPr="00CD12BF">
        <w:rPr>
          <w:rFonts w:ascii="Times New Roman" w:hAnsi="Times New Roman"/>
          <w:bCs/>
          <w:sz w:val="22"/>
          <w:szCs w:val="22"/>
        </w:rPr>
        <w:tab/>
      </w:r>
      <w:r w:rsidR="00E26F57" w:rsidRPr="00CD12BF">
        <w:rPr>
          <w:rFonts w:ascii="Times New Roman" w:hAnsi="Times New Roman"/>
          <w:snapToGrid/>
          <w:sz w:val="22"/>
          <w:szCs w:val="22"/>
          <w:lang w:eastAsia="en-GB"/>
        </w:rPr>
        <w:t>Inspection and testing will take place upon delivery, and in accordance with Article 25 of the General Conditions at the delivery addresses as specified in the Technical Specifications</w:t>
      </w:r>
      <w:r w:rsidR="00E26F57" w:rsidRPr="00CD12BF">
        <w:rPr>
          <w:rFonts w:ascii="Times New Roman" w:hAnsi="Times New Roman"/>
          <w:sz w:val="22"/>
          <w:szCs w:val="22"/>
        </w:rPr>
        <w:t>.</w:t>
      </w:r>
      <w:r w:rsidR="009F1281" w:rsidRPr="00CD12BF">
        <w:rPr>
          <w:rFonts w:ascii="Times New Roman" w:hAnsi="Times New Roman"/>
          <w:sz w:val="22"/>
          <w:szCs w:val="22"/>
        </w:rPr>
        <w:t xml:space="preserve"> The inspection and testing of all equipment will start and be completed within a maximum of </w:t>
      </w:r>
      <w:r w:rsidR="00C22DF9" w:rsidRPr="00CD12BF">
        <w:rPr>
          <w:rFonts w:ascii="Times New Roman" w:hAnsi="Times New Roman"/>
          <w:sz w:val="22"/>
          <w:szCs w:val="22"/>
        </w:rPr>
        <w:t>7</w:t>
      </w:r>
      <w:r w:rsidR="009F1281" w:rsidRPr="00CD12BF">
        <w:rPr>
          <w:rFonts w:ascii="Times New Roman" w:hAnsi="Times New Roman"/>
          <w:sz w:val="22"/>
          <w:szCs w:val="22"/>
        </w:rPr>
        <w:t xml:space="preserve"> calendar days after the date of signing the Handover certificate. During the testing period the Beneficiary will inform the Contractor about the possible problems related to devices. The Contactor has obligation to respond to those requirements and to help to resolve the problem. In case of the malfunctioning of the supplied goods the Supplier must resolve the situation within 30 calendar days either by repair of the good or by replacement of the good supplied.</w:t>
      </w:r>
    </w:p>
    <w:p w:rsidR="0047783A" w:rsidRPr="003D6B6C" w:rsidRDefault="0047783A" w:rsidP="00CD12BF">
      <w:pPr>
        <w:ind w:left="1134" w:hanging="709"/>
        <w:jc w:val="both"/>
        <w:rPr>
          <w:rFonts w:ascii="Times New Roman" w:hAnsi="Times New Roman"/>
          <w:b/>
          <w:sz w:val="22"/>
          <w:szCs w:val="22"/>
        </w:rPr>
      </w:pPr>
    </w:p>
    <w:p w:rsidR="0047783A" w:rsidRPr="00CD12BF" w:rsidRDefault="0047783A" w:rsidP="00CD12BF">
      <w:pPr>
        <w:spacing w:before="240"/>
        <w:ind w:left="1134" w:hanging="1134"/>
        <w:jc w:val="both"/>
        <w:rPr>
          <w:rFonts w:ascii="Times New Roman" w:hAnsi="Times New Roman"/>
          <w:b/>
          <w:sz w:val="22"/>
          <w:szCs w:val="22"/>
        </w:rPr>
      </w:pPr>
      <w:bookmarkStart w:id="9" w:name="_Toc124934912"/>
      <w:r w:rsidRPr="00CD12BF">
        <w:rPr>
          <w:rFonts w:ascii="Times New Roman" w:hAnsi="Times New Roman"/>
          <w:b/>
          <w:sz w:val="22"/>
          <w:szCs w:val="22"/>
        </w:rPr>
        <w:t>Article 26</w:t>
      </w:r>
      <w:r w:rsidRPr="00CD12BF">
        <w:rPr>
          <w:rFonts w:ascii="Times New Roman" w:hAnsi="Times New Roman"/>
          <w:b/>
          <w:sz w:val="22"/>
          <w:szCs w:val="22"/>
        </w:rPr>
        <w:tab/>
      </w:r>
      <w:bookmarkEnd w:id="9"/>
      <w:r w:rsidR="005B0129" w:rsidRPr="00CD12BF">
        <w:rPr>
          <w:rFonts w:ascii="Times New Roman" w:hAnsi="Times New Roman"/>
          <w:b/>
          <w:sz w:val="22"/>
          <w:szCs w:val="22"/>
        </w:rPr>
        <w:t>General principles for payments</w:t>
      </w:r>
    </w:p>
    <w:p w:rsidR="003E48E0" w:rsidRPr="00CD12BF" w:rsidRDefault="0047783A" w:rsidP="00CD12BF">
      <w:pPr>
        <w:tabs>
          <w:tab w:val="right" w:pos="9885"/>
        </w:tabs>
        <w:ind w:left="709" w:hanging="709"/>
        <w:jc w:val="both"/>
        <w:rPr>
          <w:rFonts w:ascii="Times New Roman" w:hAnsi="Times New Roman"/>
          <w:sz w:val="22"/>
          <w:szCs w:val="22"/>
        </w:rPr>
      </w:pPr>
      <w:r w:rsidRPr="00CD12BF">
        <w:rPr>
          <w:rFonts w:ascii="Times New Roman" w:hAnsi="Times New Roman"/>
          <w:sz w:val="22"/>
          <w:szCs w:val="22"/>
        </w:rPr>
        <w:t>26.1</w:t>
      </w:r>
      <w:r w:rsidRPr="00CD12BF">
        <w:rPr>
          <w:rFonts w:ascii="Times New Roman" w:hAnsi="Times New Roman"/>
          <w:sz w:val="22"/>
          <w:szCs w:val="22"/>
        </w:rPr>
        <w:tab/>
        <w:t xml:space="preserve">Payments </w:t>
      </w:r>
      <w:r w:rsidR="005B0129" w:rsidRPr="00CD12BF">
        <w:rPr>
          <w:rFonts w:ascii="Times New Roman" w:hAnsi="Times New Roman"/>
          <w:sz w:val="22"/>
          <w:szCs w:val="22"/>
        </w:rPr>
        <w:t xml:space="preserve">shall </w:t>
      </w:r>
      <w:r w:rsidRPr="00CD12BF">
        <w:rPr>
          <w:rFonts w:ascii="Times New Roman" w:hAnsi="Times New Roman"/>
          <w:sz w:val="22"/>
          <w:szCs w:val="22"/>
        </w:rPr>
        <w:t>be made in</w:t>
      </w:r>
      <w:r w:rsidR="0049293D" w:rsidRPr="00CD12BF">
        <w:rPr>
          <w:rFonts w:ascii="Times New Roman" w:hAnsi="Times New Roman"/>
          <w:sz w:val="22"/>
          <w:szCs w:val="22"/>
        </w:rPr>
        <w:t xml:space="preserve"> </w:t>
      </w:r>
      <w:r w:rsidRPr="00CD12BF">
        <w:rPr>
          <w:rFonts w:ascii="Times New Roman" w:hAnsi="Times New Roman"/>
          <w:sz w:val="22"/>
          <w:szCs w:val="22"/>
        </w:rPr>
        <w:t>euro</w:t>
      </w:r>
      <w:r w:rsidR="00AB3AB0" w:rsidRPr="00CD12BF">
        <w:rPr>
          <w:rFonts w:ascii="Times New Roman" w:hAnsi="Times New Roman"/>
          <w:sz w:val="22"/>
          <w:szCs w:val="22"/>
        </w:rPr>
        <w:t>s</w:t>
      </w:r>
      <w:r w:rsidR="00E6295C" w:rsidRPr="00CD12BF">
        <w:rPr>
          <w:rFonts w:ascii="Times New Roman" w:hAnsi="Times New Roman"/>
          <w:sz w:val="22"/>
          <w:szCs w:val="22"/>
        </w:rPr>
        <w:t xml:space="preserve">. </w:t>
      </w:r>
    </w:p>
    <w:p w:rsidR="00E6295C" w:rsidRPr="00CD12BF" w:rsidRDefault="00E6295C" w:rsidP="00CD12BF">
      <w:pPr>
        <w:tabs>
          <w:tab w:val="right" w:pos="9885"/>
        </w:tabs>
        <w:ind w:left="709"/>
        <w:jc w:val="both"/>
        <w:rPr>
          <w:rFonts w:ascii="Times New Roman" w:hAnsi="Times New Roman"/>
          <w:sz w:val="22"/>
          <w:szCs w:val="22"/>
        </w:rPr>
      </w:pPr>
      <w:r w:rsidRPr="00CD12BF">
        <w:rPr>
          <w:rFonts w:ascii="Times New Roman" w:hAnsi="Times New Roman"/>
          <w:sz w:val="22"/>
          <w:szCs w:val="22"/>
        </w:rPr>
        <w:t>Payment shall be authorised and made by Minis</w:t>
      </w:r>
      <w:r w:rsidR="001D6F24" w:rsidRPr="00CD12BF">
        <w:rPr>
          <w:rFonts w:ascii="Times New Roman" w:hAnsi="Times New Roman"/>
          <w:sz w:val="22"/>
          <w:szCs w:val="22"/>
        </w:rPr>
        <w:t xml:space="preserve">try of Finance, Directorate for </w:t>
      </w:r>
      <w:r w:rsidRPr="00CD12BF">
        <w:rPr>
          <w:rFonts w:ascii="Times New Roman" w:hAnsi="Times New Roman"/>
          <w:sz w:val="22"/>
          <w:szCs w:val="22"/>
        </w:rPr>
        <w:t>Finance and Contracting of the EU Assistance Funds (CFCU), Serdara Jola Piletića (BC Palada)</w:t>
      </w:r>
      <w:r w:rsidR="001D6F24" w:rsidRPr="00CD12BF">
        <w:rPr>
          <w:rFonts w:ascii="Times New Roman" w:hAnsi="Times New Roman"/>
          <w:sz w:val="22"/>
          <w:szCs w:val="22"/>
        </w:rPr>
        <w:t>.</w:t>
      </w:r>
    </w:p>
    <w:p w:rsidR="003E48E0" w:rsidRDefault="00DD0464" w:rsidP="00CD12BF">
      <w:pPr>
        <w:spacing w:before="100" w:beforeAutospacing="1" w:after="100" w:afterAutospacing="1"/>
        <w:ind w:left="709"/>
        <w:jc w:val="both"/>
        <w:rPr>
          <w:rFonts w:ascii="Times New Roman" w:hAnsi="Times New Roman"/>
          <w:sz w:val="22"/>
          <w:szCs w:val="22"/>
        </w:rPr>
      </w:pPr>
      <w:r w:rsidRPr="00CD12BF">
        <w:rPr>
          <w:rFonts w:ascii="Times New Roman" w:hAnsi="Times New Roman"/>
          <w:color w:val="000000"/>
          <w:sz w:val="22"/>
          <w:szCs w:val="22"/>
        </w:rPr>
        <w:t>In the case of indirect management ex ante procedures and where invoices are presented to the authorities of the country of the Contracting Authority, the Contractor must inform the European Commission at Vuka Karadžića 12, thereof by sending a copy of the correspondence.</w:t>
      </w:r>
    </w:p>
    <w:p w:rsidR="006D5CEE" w:rsidRPr="003D6B6C" w:rsidRDefault="006D5CEE" w:rsidP="00CD12BF">
      <w:pPr>
        <w:ind w:left="709" w:hanging="709"/>
        <w:jc w:val="both"/>
        <w:rPr>
          <w:rFonts w:ascii="Times New Roman" w:hAnsi="Times New Roman"/>
          <w:sz w:val="22"/>
          <w:szCs w:val="22"/>
        </w:rPr>
      </w:pPr>
      <w:r w:rsidRPr="003D6B6C">
        <w:rPr>
          <w:rFonts w:ascii="Times New Roman" w:hAnsi="Times New Roman"/>
          <w:sz w:val="22"/>
          <w:szCs w:val="22"/>
        </w:rPr>
        <w:lastRenderedPageBreak/>
        <w:t>26.3</w:t>
      </w:r>
      <w:r w:rsidRPr="003D6B6C">
        <w:rPr>
          <w:rFonts w:ascii="Times New Roman" w:hAnsi="Times New Roman"/>
          <w:sz w:val="22"/>
          <w:szCs w:val="22"/>
        </w:rPr>
        <w:tab/>
      </w:r>
      <w:r w:rsidR="00BD2F43" w:rsidRPr="003D6B6C">
        <w:rPr>
          <w:rFonts w:ascii="Times New Roman" w:hAnsi="Times New Roman"/>
          <w:sz w:val="22"/>
          <w:szCs w:val="22"/>
        </w:rPr>
        <w:t xml:space="preserve"> </w:t>
      </w:r>
      <w:r w:rsidRPr="00E26F57">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p>
    <w:p w:rsidR="001B4DA9" w:rsidRPr="003D6B6C" w:rsidRDefault="00E26F57" w:rsidP="00CD12BF">
      <w:pPr>
        <w:ind w:left="709" w:hanging="709"/>
        <w:jc w:val="both"/>
        <w:rPr>
          <w:rFonts w:ascii="Times New Roman" w:hAnsi="Times New Roman"/>
          <w:sz w:val="22"/>
          <w:szCs w:val="22"/>
        </w:rPr>
      </w:pPr>
      <w:r w:rsidRPr="003D6B6C" w:rsidDel="00E26F57">
        <w:rPr>
          <w:rFonts w:ascii="Times New Roman" w:hAnsi="Times New Roman"/>
          <w:sz w:val="22"/>
          <w:szCs w:val="22"/>
        </w:rPr>
        <w:t xml:space="preserve"> </w:t>
      </w:r>
      <w:r w:rsidR="00E87734"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In order to obtain payments, the Contractor must forward to the authority referred to in paragraph 26.1 above:</w:t>
      </w:r>
    </w:p>
    <w:p w:rsidR="00695007" w:rsidRPr="003D6B6C" w:rsidRDefault="00035D61" w:rsidP="00CD12BF">
      <w:pPr>
        <w:ind w:left="1135" w:hanging="426"/>
        <w:jc w:val="both"/>
        <w:rPr>
          <w:rFonts w:ascii="Times New Roman" w:hAnsi="Times New Roman"/>
          <w:bCs/>
          <w:sz w:val="22"/>
          <w:szCs w:val="22"/>
          <w:highlight w:val="yellow"/>
        </w:rPr>
      </w:pPr>
      <w:r w:rsidRPr="003D6B6C">
        <w:rPr>
          <w:rFonts w:ascii="Times New Roman" w:hAnsi="Times New Roman"/>
          <w:sz w:val="22"/>
          <w:szCs w:val="22"/>
        </w:rPr>
        <w:t>a)</w:t>
      </w:r>
      <w:r w:rsidRPr="003D6B6C">
        <w:rPr>
          <w:rFonts w:ascii="Times New Roman" w:hAnsi="Times New Roman"/>
          <w:b/>
          <w:sz w:val="22"/>
          <w:szCs w:val="22"/>
        </w:rPr>
        <w:tab/>
      </w:r>
      <w:r w:rsidR="0024023D">
        <w:rPr>
          <w:rFonts w:ascii="Times New Roman" w:hAnsi="Times New Roman"/>
          <w:sz w:val="22"/>
          <w:szCs w:val="22"/>
        </w:rPr>
        <w:t xml:space="preserve">For the 40% pre-financing, </w:t>
      </w:r>
      <w:r w:rsidR="006219A1" w:rsidRPr="0024023D">
        <w:rPr>
          <w:rFonts w:ascii="Times New Roman" w:hAnsi="Times New Roman"/>
          <w:bCs/>
          <w:sz w:val="22"/>
          <w:szCs w:val="22"/>
        </w:rPr>
        <w:t>the pre-financing guarantee</w:t>
      </w:r>
      <w:r w:rsidR="00E87734" w:rsidRPr="0024023D">
        <w:rPr>
          <w:rFonts w:ascii="Times New Roman" w:hAnsi="Times New Roman"/>
          <w:bCs/>
          <w:sz w:val="22"/>
          <w:szCs w:val="22"/>
        </w:rPr>
        <w:t xml:space="preserve"> </w:t>
      </w:r>
    </w:p>
    <w:p w:rsidR="0047783A" w:rsidRPr="0024023D" w:rsidRDefault="0047783A" w:rsidP="00CD12BF">
      <w:pPr>
        <w:spacing w:after="0"/>
        <w:ind w:left="1134"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3D6B6C">
        <w:rPr>
          <w:rFonts w:ascii="Times New Roman" w:hAnsi="Times New Roman"/>
          <w:sz w:val="22"/>
          <w:szCs w:val="22"/>
        </w:rPr>
        <w:t xml:space="preserve">For the </w:t>
      </w:r>
      <w:r w:rsidR="00441859" w:rsidRPr="003D6B6C">
        <w:rPr>
          <w:rFonts w:ascii="Times New Roman" w:hAnsi="Times New Roman"/>
          <w:sz w:val="22"/>
          <w:szCs w:val="22"/>
        </w:rPr>
        <w:t>6</w:t>
      </w:r>
      <w:r w:rsidRPr="003D6B6C">
        <w:rPr>
          <w:rFonts w:ascii="Times New Roman" w:hAnsi="Times New Roman"/>
          <w:sz w:val="22"/>
          <w:szCs w:val="22"/>
        </w:rPr>
        <w:t>0</w:t>
      </w:r>
      <w:r w:rsidR="006A5F84" w:rsidRPr="003D6B6C">
        <w:rPr>
          <w:rFonts w:ascii="Times New Roman" w:hAnsi="Times New Roman"/>
          <w:w w:val="50"/>
          <w:sz w:val="22"/>
          <w:szCs w:val="22"/>
        </w:rPr>
        <w:t> </w:t>
      </w:r>
      <w:r w:rsidRPr="003D6B6C">
        <w:rPr>
          <w:rFonts w:ascii="Times New Roman" w:hAnsi="Times New Roman"/>
          <w:sz w:val="22"/>
          <w:szCs w:val="22"/>
        </w:rPr>
        <w:t xml:space="preserve">% balance, the invoice(s) </w:t>
      </w:r>
      <w:r w:rsidRPr="0024023D">
        <w:rPr>
          <w:rFonts w:ascii="Times New Roman" w:hAnsi="Times New Roman"/>
          <w:sz w:val="22"/>
          <w:szCs w:val="22"/>
        </w:rPr>
        <w:t>in triplicate</w:t>
      </w:r>
      <w:r w:rsidRPr="003D6B6C">
        <w:rPr>
          <w:rFonts w:ascii="Times New Roman" w:hAnsi="Times New Roman"/>
          <w:sz w:val="22"/>
          <w:szCs w:val="22"/>
        </w:rPr>
        <w:t xml:space="preserve"> </w:t>
      </w:r>
      <w:r w:rsidR="00925DBE" w:rsidRPr="003D6B6C">
        <w:rPr>
          <w:rFonts w:ascii="Times New Roman" w:hAnsi="Times New Roman"/>
          <w:sz w:val="22"/>
          <w:szCs w:val="22"/>
        </w:rPr>
        <w:t xml:space="preserve">together with the request for </w:t>
      </w:r>
      <w:r w:rsidRPr="003D6B6C">
        <w:rPr>
          <w:rFonts w:ascii="Times New Roman" w:hAnsi="Times New Roman"/>
          <w:sz w:val="22"/>
          <w:szCs w:val="22"/>
        </w:rPr>
        <w:t>provisional acceptance of the supplies.</w:t>
      </w:r>
    </w:p>
    <w:p w:rsidR="0047783A" w:rsidRPr="00CD12BF" w:rsidRDefault="0047783A" w:rsidP="00CD12BF">
      <w:pPr>
        <w:spacing w:before="240"/>
        <w:ind w:left="1134" w:hanging="1134"/>
        <w:jc w:val="both"/>
        <w:rPr>
          <w:rFonts w:ascii="Times New Roman" w:hAnsi="Times New Roman"/>
          <w:b/>
          <w:sz w:val="22"/>
          <w:szCs w:val="22"/>
        </w:rPr>
      </w:pPr>
      <w:bookmarkStart w:id="10" w:name="_Toc124934913"/>
      <w:r w:rsidRPr="00CD12BF">
        <w:rPr>
          <w:rFonts w:ascii="Times New Roman" w:hAnsi="Times New Roman"/>
          <w:b/>
          <w:sz w:val="22"/>
          <w:szCs w:val="22"/>
        </w:rPr>
        <w:t>Article 28</w:t>
      </w:r>
      <w:r w:rsidRPr="00CD12BF">
        <w:rPr>
          <w:rFonts w:ascii="Times New Roman" w:hAnsi="Times New Roman"/>
          <w:b/>
          <w:sz w:val="22"/>
          <w:szCs w:val="22"/>
        </w:rPr>
        <w:tab/>
        <w:t>Delayed payments</w:t>
      </w:r>
    </w:p>
    <w:p w:rsidR="0047783A" w:rsidRPr="00CD12BF" w:rsidRDefault="0047783A" w:rsidP="00CD12BF">
      <w:pPr>
        <w:autoSpaceDE w:val="0"/>
        <w:autoSpaceDN w:val="0"/>
        <w:adjustRightInd w:val="0"/>
        <w:ind w:left="709" w:hanging="709"/>
        <w:jc w:val="both"/>
        <w:rPr>
          <w:rFonts w:ascii="Times New Roman" w:hAnsi="Times New Roman"/>
          <w:snapToGrid/>
          <w:sz w:val="22"/>
          <w:szCs w:val="22"/>
          <w:lang w:eastAsia="en-GB"/>
        </w:rPr>
      </w:pPr>
      <w:r w:rsidRPr="00CD12BF">
        <w:rPr>
          <w:rFonts w:ascii="Times New Roman" w:hAnsi="Times New Roman"/>
          <w:sz w:val="22"/>
          <w:szCs w:val="22"/>
        </w:rPr>
        <w:t>28.</w:t>
      </w:r>
      <w:r w:rsidR="00866B17" w:rsidRPr="00CD12BF">
        <w:rPr>
          <w:rFonts w:ascii="Times New Roman" w:hAnsi="Times New Roman"/>
          <w:sz w:val="22"/>
          <w:szCs w:val="22"/>
        </w:rPr>
        <w:t>2</w:t>
      </w:r>
      <w:r w:rsidRPr="00CD12BF">
        <w:rPr>
          <w:rFonts w:ascii="Times New Roman" w:hAnsi="Times New Roman"/>
          <w:b/>
          <w:sz w:val="22"/>
          <w:szCs w:val="22"/>
        </w:rPr>
        <w:tab/>
      </w:r>
      <w:r w:rsidRPr="00CD12BF">
        <w:rPr>
          <w:rFonts w:ascii="Times New Roman" w:hAnsi="Times New Roman"/>
          <w:snapToGrid/>
          <w:sz w:val="22"/>
          <w:szCs w:val="22"/>
          <w:lang w:eastAsia="en-GB"/>
        </w:rPr>
        <w:t>By derogation from Article 28.2 of the General Conditions, o</w:t>
      </w:r>
      <w:r w:rsidRPr="00CD12BF">
        <w:rPr>
          <w:rFonts w:ascii="Times New Roman" w:hAnsi="Times New Roman"/>
          <w:sz w:val="22"/>
          <w:szCs w:val="22"/>
        </w:rPr>
        <w:t>nce the deadline laid down in Article 2</w:t>
      </w:r>
      <w:r w:rsidR="00D83918" w:rsidRPr="00CD12BF">
        <w:rPr>
          <w:rFonts w:ascii="Times New Roman" w:hAnsi="Times New Roman"/>
          <w:sz w:val="22"/>
          <w:szCs w:val="22"/>
        </w:rPr>
        <w:t>6.3</w:t>
      </w:r>
      <w:r w:rsidRPr="00CD12BF">
        <w:rPr>
          <w:rFonts w:ascii="Times New Roman" w:hAnsi="Times New Roman"/>
          <w:sz w:val="22"/>
          <w:szCs w:val="22"/>
        </w:rPr>
        <w:t xml:space="preserve"> has expired, the Contractor </w:t>
      </w:r>
      <w:r w:rsidR="00551543" w:rsidRPr="00CD12BF">
        <w:rPr>
          <w:rFonts w:ascii="Times New Roman" w:hAnsi="Times New Roman"/>
          <w:sz w:val="22"/>
          <w:szCs w:val="22"/>
        </w:rPr>
        <w:t>sha</w:t>
      </w:r>
      <w:r w:rsidR="006D3BA1" w:rsidRPr="00CD12BF">
        <w:rPr>
          <w:rFonts w:ascii="Times New Roman" w:hAnsi="Times New Roman"/>
          <w:sz w:val="22"/>
          <w:szCs w:val="22"/>
        </w:rPr>
        <w:t>ll,</w:t>
      </w:r>
      <w:r w:rsidRPr="00CD12BF">
        <w:rPr>
          <w:rFonts w:ascii="Times New Roman" w:hAnsi="Times New Roman"/>
          <w:sz w:val="22"/>
          <w:szCs w:val="22"/>
        </w:rPr>
        <w:t xml:space="preserve"> upon demand, </w:t>
      </w:r>
      <w:r w:rsidR="006D3BA1" w:rsidRPr="00CD12BF">
        <w:rPr>
          <w:rFonts w:ascii="Times New Roman" w:hAnsi="Times New Roman"/>
          <w:sz w:val="22"/>
          <w:szCs w:val="22"/>
        </w:rPr>
        <w:t xml:space="preserve">be entitled to late-payment interest </w:t>
      </w:r>
      <w:r w:rsidR="00117ADA" w:rsidRPr="00CD12BF">
        <w:rPr>
          <w:rFonts w:ascii="Times New Roman" w:hAnsi="Times New Roman"/>
          <w:sz w:val="22"/>
          <w:szCs w:val="22"/>
        </w:rPr>
        <w:t>at the rate and for the period mentioned in the General Conditions</w:t>
      </w:r>
      <w:r w:rsidR="006D3BA1" w:rsidRPr="00CD12BF">
        <w:rPr>
          <w:rFonts w:ascii="Times New Roman" w:hAnsi="Times New Roman"/>
          <w:sz w:val="22"/>
          <w:szCs w:val="22"/>
        </w:rPr>
        <w:t xml:space="preserve">. The demand must be </w:t>
      </w:r>
      <w:r w:rsidRPr="00CD12BF">
        <w:rPr>
          <w:rFonts w:ascii="Times New Roman" w:hAnsi="Times New Roman"/>
          <w:sz w:val="22"/>
          <w:szCs w:val="22"/>
        </w:rPr>
        <w:t>submitted within two months of receiving late payment.</w:t>
      </w:r>
    </w:p>
    <w:p w:rsidR="0047783A" w:rsidRPr="00CD12BF" w:rsidRDefault="0047783A" w:rsidP="00CD12BF">
      <w:pPr>
        <w:spacing w:before="240"/>
        <w:ind w:left="1134" w:hanging="1134"/>
        <w:jc w:val="both"/>
        <w:rPr>
          <w:rFonts w:ascii="Times New Roman" w:hAnsi="Times New Roman"/>
          <w:b/>
          <w:sz w:val="22"/>
          <w:szCs w:val="22"/>
        </w:rPr>
      </w:pPr>
      <w:r w:rsidRPr="00CD12BF">
        <w:rPr>
          <w:rFonts w:ascii="Times New Roman" w:hAnsi="Times New Roman"/>
          <w:b/>
          <w:sz w:val="22"/>
          <w:szCs w:val="22"/>
        </w:rPr>
        <w:t>Article 29</w:t>
      </w:r>
      <w:r w:rsidRPr="00CD12BF">
        <w:rPr>
          <w:rFonts w:ascii="Times New Roman" w:hAnsi="Times New Roman"/>
          <w:b/>
          <w:sz w:val="22"/>
          <w:szCs w:val="22"/>
        </w:rPr>
        <w:tab/>
        <w:t>Delivery</w:t>
      </w:r>
      <w:bookmarkEnd w:id="10"/>
    </w:p>
    <w:p w:rsidR="0047783A" w:rsidRPr="00CD12BF" w:rsidRDefault="0047783A" w:rsidP="00CD12BF">
      <w:pPr>
        <w:ind w:left="709" w:hanging="709"/>
        <w:jc w:val="both"/>
        <w:rPr>
          <w:rFonts w:ascii="Times New Roman" w:hAnsi="Times New Roman"/>
          <w:b/>
          <w:sz w:val="22"/>
          <w:szCs w:val="22"/>
        </w:rPr>
      </w:pPr>
      <w:r w:rsidRPr="00CD12BF">
        <w:rPr>
          <w:rFonts w:ascii="Times New Roman" w:hAnsi="Times New Roman"/>
          <w:sz w:val="22"/>
          <w:szCs w:val="22"/>
        </w:rPr>
        <w:t>29.</w:t>
      </w:r>
      <w:r w:rsidR="005B0129" w:rsidRPr="00CD12BF">
        <w:rPr>
          <w:rFonts w:ascii="Times New Roman" w:hAnsi="Times New Roman"/>
          <w:sz w:val="22"/>
          <w:szCs w:val="22"/>
        </w:rPr>
        <w:t>3</w:t>
      </w:r>
      <w:r w:rsidRPr="00CD12BF">
        <w:rPr>
          <w:rFonts w:ascii="Times New Roman" w:hAnsi="Times New Roman"/>
          <w:b/>
          <w:sz w:val="22"/>
          <w:szCs w:val="22"/>
        </w:rPr>
        <w:tab/>
      </w:r>
      <w:r w:rsidRPr="00CD12BF">
        <w:rPr>
          <w:rFonts w:ascii="Times New Roman" w:hAnsi="Times New Roman"/>
          <w:sz w:val="22"/>
          <w:szCs w:val="22"/>
        </w:rPr>
        <w:t xml:space="preserve">The packaging </w:t>
      </w:r>
      <w:r w:rsidR="00551543" w:rsidRPr="00CD12BF">
        <w:rPr>
          <w:rFonts w:ascii="Times New Roman" w:hAnsi="Times New Roman"/>
          <w:sz w:val="22"/>
          <w:szCs w:val="22"/>
        </w:rPr>
        <w:t>sha</w:t>
      </w:r>
      <w:r w:rsidR="008C4E79" w:rsidRPr="00CD12BF">
        <w:rPr>
          <w:rFonts w:ascii="Times New Roman" w:hAnsi="Times New Roman"/>
          <w:sz w:val="22"/>
          <w:szCs w:val="22"/>
        </w:rPr>
        <w:t>ll</w:t>
      </w:r>
      <w:r w:rsidRPr="00CD12BF">
        <w:rPr>
          <w:rFonts w:ascii="Times New Roman" w:hAnsi="Times New Roman"/>
          <w:sz w:val="22"/>
          <w:szCs w:val="22"/>
        </w:rPr>
        <w:t xml:space="preserve"> become the property of the recipient subject to environment</w:t>
      </w:r>
      <w:r w:rsidR="006D3BA1" w:rsidRPr="00CD12BF">
        <w:rPr>
          <w:rFonts w:ascii="Times New Roman" w:hAnsi="Times New Roman"/>
          <w:sz w:val="22"/>
          <w:szCs w:val="22"/>
        </w:rPr>
        <w:t>al considerations</w:t>
      </w:r>
      <w:r w:rsidRPr="00CD12BF">
        <w:rPr>
          <w:rFonts w:ascii="Times New Roman" w:hAnsi="Times New Roman"/>
          <w:sz w:val="22"/>
          <w:szCs w:val="22"/>
        </w:rPr>
        <w:t>.</w:t>
      </w:r>
    </w:p>
    <w:p w:rsidR="00CC7735" w:rsidRPr="00CC7735" w:rsidRDefault="0047783A" w:rsidP="00CD12BF">
      <w:pPr>
        <w:ind w:left="709" w:hanging="1134"/>
        <w:jc w:val="both"/>
        <w:rPr>
          <w:rFonts w:ascii="Times New Roman" w:hAnsi="Times New Roman"/>
          <w:sz w:val="22"/>
          <w:szCs w:val="22"/>
        </w:rPr>
      </w:pPr>
      <w:r w:rsidRPr="00CD12BF">
        <w:rPr>
          <w:rFonts w:ascii="Times New Roman" w:hAnsi="Times New Roman"/>
          <w:sz w:val="22"/>
          <w:szCs w:val="22"/>
        </w:rPr>
        <w:t>29.5/6</w:t>
      </w:r>
      <w:r w:rsidR="0041345E" w:rsidRPr="00CD12BF">
        <w:rPr>
          <w:rFonts w:ascii="Times New Roman" w:hAnsi="Times New Roman"/>
          <w:sz w:val="22"/>
          <w:szCs w:val="22"/>
        </w:rPr>
        <w:t>/7</w:t>
      </w:r>
      <w:r w:rsidRPr="00CD12BF">
        <w:rPr>
          <w:rFonts w:ascii="Times New Roman" w:hAnsi="Times New Roman"/>
          <w:sz w:val="22"/>
          <w:szCs w:val="22"/>
        </w:rPr>
        <w:tab/>
      </w:r>
      <w:r w:rsidR="003E48E0" w:rsidRPr="00CD12BF">
        <w:rPr>
          <w:rFonts w:ascii="Times New Roman" w:hAnsi="Times New Roman"/>
          <w:sz w:val="22"/>
          <w:szCs w:val="22"/>
        </w:rPr>
        <w:t xml:space="preserve">Each delivery has </w:t>
      </w:r>
      <w:r w:rsidR="00534A4F" w:rsidRPr="00CD12BF">
        <w:rPr>
          <w:rFonts w:ascii="Times New Roman" w:hAnsi="Times New Roman"/>
          <w:sz w:val="22"/>
          <w:szCs w:val="22"/>
        </w:rPr>
        <w:t>to have delivery note</w:t>
      </w:r>
      <w:r w:rsidR="007D177F" w:rsidRPr="00CD12BF">
        <w:rPr>
          <w:rFonts w:ascii="Times New Roman" w:hAnsi="Times New Roman"/>
          <w:sz w:val="22"/>
          <w:szCs w:val="22"/>
        </w:rPr>
        <w:t xml:space="preserve"> (including detailed items list)</w:t>
      </w:r>
      <w:r w:rsidR="00534A4F" w:rsidRPr="00CD12BF">
        <w:rPr>
          <w:rFonts w:ascii="Times New Roman" w:hAnsi="Times New Roman"/>
          <w:sz w:val="22"/>
          <w:szCs w:val="22"/>
        </w:rPr>
        <w:t>, invoice, warranty, and instruction m</w:t>
      </w:r>
      <w:r w:rsidR="003E48E0" w:rsidRPr="00CD12BF">
        <w:rPr>
          <w:rFonts w:ascii="Times New Roman" w:hAnsi="Times New Roman"/>
          <w:sz w:val="22"/>
          <w:szCs w:val="22"/>
        </w:rPr>
        <w:t>anuals</w:t>
      </w:r>
      <w:r w:rsidR="00534A4F" w:rsidRPr="00CD12BF">
        <w:rPr>
          <w:rFonts w:ascii="Times New Roman" w:hAnsi="Times New Roman"/>
          <w:sz w:val="22"/>
          <w:szCs w:val="22"/>
        </w:rPr>
        <w:t xml:space="preserve"> and all packages have to be properly marked with signs: “fragile”, “this side up” and “keep dry”, “not to be opened with sharp tools”</w:t>
      </w:r>
      <w:r w:rsidR="0024023D" w:rsidRPr="00CD12BF">
        <w:rPr>
          <w:rFonts w:ascii="Times New Roman" w:hAnsi="Times New Roman"/>
          <w:sz w:val="22"/>
          <w:szCs w:val="22"/>
        </w:rPr>
        <w:t>.</w:t>
      </w:r>
    </w:p>
    <w:p w:rsidR="0047783A" w:rsidRPr="00CD12BF" w:rsidRDefault="0047783A" w:rsidP="00CD12BF">
      <w:pPr>
        <w:spacing w:before="240"/>
        <w:ind w:left="1134" w:hanging="1134"/>
        <w:jc w:val="both"/>
        <w:rPr>
          <w:rFonts w:ascii="Times New Roman" w:hAnsi="Times New Roman"/>
          <w:b/>
          <w:sz w:val="22"/>
          <w:szCs w:val="22"/>
        </w:rPr>
      </w:pPr>
      <w:bookmarkStart w:id="11" w:name="_Toc124934914"/>
      <w:r w:rsidRPr="00CD12BF">
        <w:rPr>
          <w:rFonts w:ascii="Times New Roman" w:hAnsi="Times New Roman"/>
          <w:b/>
          <w:sz w:val="22"/>
          <w:szCs w:val="22"/>
        </w:rPr>
        <w:t>Article 31</w:t>
      </w:r>
      <w:r w:rsidRPr="00CD12BF">
        <w:rPr>
          <w:rFonts w:ascii="Times New Roman" w:hAnsi="Times New Roman"/>
          <w:b/>
          <w:sz w:val="22"/>
          <w:szCs w:val="22"/>
        </w:rPr>
        <w:tab/>
        <w:t>Provisional acceptance</w:t>
      </w:r>
      <w:bookmarkEnd w:id="11"/>
    </w:p>
    <w:p w:rsidR="0047783A" w:rsidRPr="00CD12BF" w:rsidRDefault="0047783A" w:rsidP="00CD12BF">
      <w:pPr>
        <w:ind w:left="720"/>
        <w:jc w:val="both"/>
        <w:rPr>
          <w:rFonts w:ascii="Times New Roman" w:hAnsi="Times New Roman"/>
          <w:sz w:val="22"/>
          <w:szCs w:val="22"/>
        </w:rPr>
      </w:pPr>
      <w:r w:rsidRPr="00CD12BF">
        <w:rPr>
          <w:rFonts w:ascii="Times New Roman" w:hAnsi="Times New Roman"/>
          <w:sz w:val="22"/>
          <w:szCs w:val="22"/>
        </w:rPr>
        <w:t>The Certificate of Provisional Acceptance must be issued using the template in Annex</w:t>
      </w:r>
      <w:r w:rsidR="001B55AC" w:rsidRPr="00CD12BF">
        <w:rPr>
          <w:rFonts w:ascii="Times New Roman" w:hAnsi="Times New Roman"/>
          <w:sz w:val="22"/>
          <w:szCs w:val="22"/>
        </w:rPr>
        <w:t> </w:t>
      </w:r>
      <w:r w:rsidRPr="00CD12BF">
        <w:rPr>
          <w:rFonts w:ascii="Times New Roman" w:hAnsi="Times New Roman"/>
          <w:sz w:val="22"/>
          <w:szCs w:val="22"/>
        </w:rPr>
        <w:t xml:space="preserve">C11. </w:t>
      </w:r>
      <w:r w:rsidR="000C7BD5" w:rsidRPr="00CD12BF">
        <w:rPr>
          <w:rFonts w:ascii="Times New Roman" w:hAnsi="Times New Roman"/>
          <w:sz w:val="22"/>
          <w:szCs w:val="22"/>
        </w:rPr>
        <w:t xml:space="preserve">Certificate must be delivered in 3 copies singed by Contractor. </w:t>
      </w:r>
      <w:r w:rsidR="004A11D7" w:rsidRPr="00CD12BF">
        <w:rPr>
          <w:rFonts w:ascii="Times New Roman" w:hAnsi="Times New Roman"/>
          <w:sz w:val="22"/>
          <w:szCs w:val="22"/>
        </w:rPr>
        <w:t>Delivered Provisional Acceptance must be accompanied by</w:t>
      </w:r>
      <w:r w:rsidR="000C7BD5" w:rsidRPr="00CD12BF">
        <w:rPr>
          <w:rFonts w:ascii="Times New Roman" w:hAnsi="Times New Roman"/>
          <w:sz w:val="22"/>
          <w:szCs w:val="22"/>
        </w:rPr>
        <w:t xml:space="preserve"> relevant Proof of origin for all delivered supplies. </w:t>
      </w:r>
    </w:p>
    <w:p w:rsidR="0047783A" w:rsidRPr="00CD12BF" w:rsidRDefault="00CC7735" w:rsidP="00CD12BF">
      <w:pPr>
        <w:spacing w:before="240"/>
        <w:ind w:left="1134" w:hanging="1134"/>
        <w:jc w:val="both"/>
        <w:rPr>
          <w:rFonts w:ascii="Times New Roman" w:hAnsi="Times New Roman"/>
          <w:b/>
          <w:sz w:val="22"/>
          <w:szCs w:val="22"/>
        </w:rPr>
      </w:pPr>
      <w:r w:rsidRPr="003D6B6C" w:rsidDel="00CC7735">
        <w:rPr>
          <w:rFonts w:ascii="Times New Roman" w:hAnsi="Times New Roman"/>
          <w:sz w:val="22"/>
          <w:szCs w:val="22"/>
        </w:rPr>
        <w:t xml:space="preserve"> </w:t>
      </w:r>
      <w:bookmarkStart w:id="12" w:name="_Toc124934915"/>
      <w:r w:rsidR="0047783A" w:rsidRPr="00CD12BF">
        <w:rPr>
          <w:rFonts w:ascii="Times New Roman" w:hAnsi="Times New Roman"/>
          <w:b/>
          <w:sz w:val="22"/>
          <w:szCs w:val="22"/>
        </w:rPr>
        <w:t>Article 32</w:t>
      </w:r>
      <w:r w:rsidR="0047783A" w:rsidRPr="00CD12BF">
        <w:rPr>
          <w:rFonts w:ascii="Times New Roman" w:hAnsi="Times New Roman"/>
          <w:b/>
          <w:sz w:val="22"/>
          <w:szCs w:val="22"/>
        </w:rPr>
        <w:tab/>
        <w:t>Warranty</w:t>
      </w:r>
      <w:bookmarkEnd w:id="12"/>
      <w:r w:rsidR="00177A94" w:rsidRPr="00CD12BF">
        <w:rPr>
          <w:rFonts w:ascii="Times New Roman" w:hAnsi="Times New Roman"/>
          <w:b/>
          <w:sz w:val="22"/>
          <w:szCs w:val="22"/>
        </w:rPr>
        <w:t xml:space="preserve"> obligations</w:t>
      </w:r>
    </w:p>
    <w:p w:rsidR="003056D9" w:rsidRPr="00CD12BF" w:rsidRDefault="00177A94" w:rsidP="00CD12BF">
      <w:pPr>
        <w:ind w:left="708" w:hanging="708"/>
        <w:jc w:val="both"/>
        <w:rPr>
          <w:rFonts w:ascii="Times New Roman" w:hAnsi="Times New Roman"/>
          <w:sz w:val="22"/>
          <w:szCs w:val="22"/>
        </w:rPr>
      </w:pPr>
      <w:r w:rsidRPr="00CD12BF">
        <w:rPr>
          <w:rFonts w:ascii="Times New Roman" w:hAnsi="Times New Roman"/>
          <w:sz w:val="22"/>
          <w:szCs w:val="22"/>
        </w:rPr>
        <w:t>32.</w:t>
      </w:r>
      <w:r w:rsidR="003056D9" w:rsidRPr="00CD12BF">
        <w:rPr>
          <w:rFonts w:ascii="Times New Roman" w:hAnsi="Times New Roman"/>
          <w:sz w:val="22"/>
          <w:szCs w:val="22"/>
        </w:rPr>
        <w:t>7</w:t>
      </w:r>
      <w:r w:rsidRPr="00CD12BF">
        <w:rPr>
          <w:rFonts w:ascii="Times New Roman" w:hAnsi="Times New Roman"/>
          <w:sz w:val="22"/>
          <w:szCs w:val="22"/>
        </w:rPr>
        <w:tab/>
      </w:r>
      <w:r w:rsidR="00CC7735" w:rsidRPr="00CD12BF">
        <w:rPr>
          <w:rFonts w:ascii="Times New Roman" w:hAnsi="Times New Roman"/>
          <w:sz w:val="22"/>
          <w:szCs w:val="22"/>
        </w:rPr>
        <w:t xml:space="preserve"> </w:t>
      </w:r>
      <w:r w:rsidR="003056D9" w:rsidRPr="00CD12BF">
        <w:rPr>
          <w:rFonts w:ascii="Times New Roman" w:hAnsi="Times New Roman"/>
          <w:sz w:val="22"/>
          <w:szCs w:val="22"/>
        </w:rPr>
        <w:t xml:space="preserve">The warranty must remain valid for one year after </w:t>
      </w:r>
      <w:r w:rsidR="00DD0464" w:rsidRPr="00CD12BF">
        <w:rPr>
          <w:rFonts w:ascii="Times New Roman" w:hAnsi="Times New Roman"/>
          <w:sz w:val="22"/>
          <w:szCs w:val="22"/>
        </w:rPr>
        <w:t>p</w:t>
      </w:r>
      <w:r w:rsidR="003056D9" w:rsidRPr="00CD12BF">
        <w:rPr>
          <w:rFonts w:ascii="Times New Roman" w:hAnsi="Times New Roman"/>
          <w:sz w:val="22"/>
          <w:szCs w:val="22"/>
        </w:rPr>
        <w:t xml:space="preserve">rovisional </w:t>
      </w:r>
      <w:r w:rsidR="00DD0464" w:rsidRPr="00CD12BF">
        <w:rPr>
          <w:rFonts w:ascii="Times New Roman" w:hAnsi="Times New Roman"/>
          <w:sz w:val="22"/>
          <w:szCs w:val="22"/>
        </w:rPr>
        <w:t>a</w:t>
      </w:r>
      <w:r w:rsidR="003056D9" w:rsidRPr="00CD12BF">
        <w:rPr>
          <w:rFonts w:ascii="Times New Roman" w:hAnsi="Times New Roman"/>
          <w:sz w:val="22"/>
          <w:szCs w:val="22"/>
        </w:rPr>
        <w:t xml:space="preserve">cceptance. </w:t>
      </w:r>
    </w:p>
    <w:p w:rsidR="003056D9" w:rsidRPr="00CD12BF" w:rsidRDefault="003056D9" w:rsidP="00CD12BF">
      <w:pPr>
        <w:ind w:left="1134" w:hanging="708"/>
        <w:jc w:val="both"/>
        <w:rPr>
          <w:rFonts w:ascii="Times New Roman" w:hAnsi="Times New Roman"/>
          <w:sz w:val="22"/>
          <w:szCs w:val="22"/>
        </w:rPr>
      </w:pPr>
    </w:p>
    <w:p w:rsidR="0047783A" w:rsidRPr="00CD12BF" w:rsidRDefault="0047783A" w:rsidP="00CD12BF">
      <w:pPr>
        <w:spacing w:before="240"/>
        <w:ind w:left="1134" w:hanging="1134"/>
        <w:jc w:val="both"/>
        <w:rPr>
          <w:rFonts w:ascii="Times New Roman" w:hAnsi="Times New Roman"/>
          <w:b/>
          <w:sz w:val="22"/>
          <w:szCs w:val="22"/>
        </w:rPr>
      </w:pPr>
      <w:bookmarkStart w:id="13" w:name="_Toc124934917"/>
      <w:r w:rsidRPr="00CD12BF">
        <w:rPr>
          <w:rFonts w:ascii="Times New Roman" w:hAnsi="Times New Roman"/>
          <w:b/>
          <w:sz w:val="22"/>
          <w:szCs w:val="22"/>
        </w:rPr>
        <w:t>Article 40</w:t>
      </w:r>
      <w:r w:rsidR="00EB45CB" w:rsidRPr="00CD12BF">
        <w:rPr>
          <w:rFonts w:ascii="Times New Roman" w:hAnsi="Times New Roman"/>
          <w:b/>
          <w:sz w:val="22"/>
          <w:szCs w:val="22"/>
        </w:rPr>
        <w:tab/>
      </w:r>
      <w:r w:rsidRPr="00CD12BF">
        <w:rPr>
          <w:rFonts w:ascii="Times New Roman" w:hAnsi="Times New Roman"/>
          <w:b/>
          <w:sz w:val="22"/>
          <w:szCs w:val="22"/>
        </w:rPr>
        <w:t>Settlement of disputes</w:t>
      </w:r>
      <w:bookmarkEnd w:id="13"/>
    </w:p>
    <w:p w:rsidR="0047783A" w:rsidRPr="00CD12BF" w:rsidRDefault="0047783A" w:rsidP="00CD12BF">
      <w:pPr>
        <w:ind w:left="708" w:hanging="708"/>
        <w:jc w:val="both"/>
        <w:rPr>
          <w:rFonts w:ascii="Times New Roman" w:hAnsi="Times New Roman"/>
          <w:sz w:val="22"/>
          <w:szCs w:val="22"/>
        </w:rPr>
      </w:pPr>
      <w:r w:rsidRPr="00CD12BF">
        <w:rPr>
          <w:rFonts w:ascii="Times New Roman" w:hAnsi="Times New Roman"/>
          <w:sz w:val="22"/>
          <w:szCs w:val="22"/>
        </w:rPr>
        <w:t>40.</w:t>
      </w:r>
      <w:r w:rsidR="00D83918" w:rsidRPr="00CD12BF">
        <w:rPr>
          <w:rFonts w:ascii="Times New Roman" w:hAnsi="Times New Roman"/>
          <w:sz w:val="22"/>
          <w:szCs w:val="22"/>
        </w:rPr>
        <w:t>4</w:t>
      </w:r>
      <w:r w:rsidRPr="00CD12BF">
        <w:rPr>
          <w:rFonts w:ascii="Times New Roman" w:hAnsi="Times New Roman"/>
          <w:sz w:val="22"/>
          <w:szCs w:val="22"/>
        </w:rPr>
        <w:tab/>
        <w:t xml:space="preserve">Any disputes arising out of or relating to this </w:t>
      </w:r>
      <w:r w:rsidR="0097513D" w:rsidRPr="00CD12BF">
        <w:rPr>
          <w:rFonts w:ascii="Times New Roman" w:hAnsi="Times New Roman"/>
          <w:sz w:val="22"/>
          <w:szCs w:val="22"/>
        </w:rPr>
        <w:t>Contract</w:t>
      </w:r>
      <w:r w:rsidRPr="00CD12BF">
        <w:rPr>
          <w:rFonts w:ascii="Times New Roman" w:hAnsi="Times New Roman"/>
          <w:sz w:val="22"/>
          <w:szCs w:val="22"/>
        </w:rPr>
        <w:t xml:space="preserve"> which cannot be settled otherwise </w:t>
      </w:r>
      <w:r w:rsidR="00177A94" w:rsidRPr="00CD12BF">
        <w:rPr>
          <w:rFonts w:ascii="Times New Roman" w:hAnsi="Times New Roman"/>
          <w:sz w:val="22"/>
          <w:szCs w:val="22"/>
        </w:rPr>
        <w:t xml:space="preserve">shall </w:t>
      </w:r>
      <w:r w:rsidRPr="00CD12BF">
        <w:rPr>
          <w:rFonts w:ascii="Times New Roman" w:hAnsi="Times New Roman"/>
          <w:sz w:val="22"/>
          <w:szCs w:val="22"/>
        </w:rPr>
        <w:t xml:space="preserve">be referred to the exclusive jurisdiction of </w:t>
      </w:r>
      <w:r w:rsidR="008E41F4" w:rsidRPr="00CD12BF">
        <w:rPr>
          <w:rFonts w:ascii="Times New Roman" w:hAnsi="Times New Roman"/>
          <w:sz w:val="22"/>
          <w:szCs w:val="22"/>
        </w:rPr>
        <w:t>courts of Montenegro</w:t>
      </w:r>
      <w:r w:rsidRPr="00CD12BF">
        <w:rPr>
          <w:rFonts w:ascii="Times New Roman" w:hAnsi="Times New Roman"/>
          <w:sz w:val="22"/>
          <w:szCs w:val="22"/>
        </w:rPr>
        <w:t xml:space="preserve"> </w:t>
      </w:r>
      <w:r w:rsidR="00686ACD" w:rsidRPr="00CD12BF">
        <w:rPr>
          <w:rFonts w:ascii="Times New Roman" w:hAnsi="Times New Roman"/>
          <w:sz w:val="22"/>
          <w:szCs w:val="22"/>
        </w:rPr>
        <w:t xml:space="preserve">in accordance with </w:t>
      </w:r>
      <w:r w:rsidRPr="00CD12BF">
        <w:rPr>
          <w:rFonts w:ascii="Times New Roman" w:hAnsi="Times New Roman"/>
          <w:sz w:val="22"/>
          <w:szCs w:val="22"/>
        </w:rPr>
        <w:t xml:space="preserve">the national legislation of </w:t>
      </w:r>
      <w:r w:rsidR="009A0E33" w:rsidRPr="00CD12BF">
        <w:rPr>
          <w:rFonts w:ascii="Times New Roman" w:hAnsi="Times New Roman"/>
          <w:sz w:val="22"/>
          <w:szCs w:val="22"/>
        </w:rPr>
        <w:t xml:space="preserve">the state of </w:t>
      </w:r>
      <w:r w:rsidRPr="00CD12BF">
        <w:rPr>
          <w:rFonts w:ascii="Times New Roman" w:hAnsi="Times New Roman"/>
          <w:sz w:val="22"/>
          <w:szCs w:val="22"/>
        </w:rPr>
        <w:t>the Contracting Authority.</w:t>
      </w:r>
      <w:r w:rsidR="0049293D" w:rsidRPr="00CD12BF">
        <w:rPr>
          <w:rFonts w:ascii="Times New Roman" w:hAnsi="Times New Roman"/>
          <w:sz w:val="22"/>
          <w:szCs w:val="22"/>
        </w:rPr>
        <w:t xml:space="preserve"> </w:t>
      </w:r>
    </w:p>
    <w:p w:rsidR="00407C90" w:rsidRPr="00CD12BF" w:rsidRDefault="00CC7735" w:rsidP="00CD12BF">
      <w:pPr>
        <w:keepNext/>
        <w:keepLines/>
        <w:tabs>
          <w:tab w:val="left" w:pos="1134"/>
        </w:tabs>
        <w:spacing w:before="240"/>
        <w:ind w:left="1134" w:hanging="1134"/>
        <w:rPr>
          <w:rFonts w:ascii="Times New Roman" w:hAnsi="Times New Roman"/>
          <w:b/>
          <w:sz w:val="22"/>
          <w:szCs w:val="22"/>
        </w:rPr>
      </w:pPr>
      <w:r w:rsidRPr="00CD12BF" w:rsidDel="00CC7735">
        <w:rPr>
          <w:rFonts w:ascii="Times New Roman" w:hAnsi="Times New Roman"/>
          <w:bCs/>
          <w:sz w:val="22"/>
          <w:szCs w:val="22"/>
        </w:rPr>
        <w:t xml:space="preserve"> </w:t>
      </w:r>
      <w:r w:rsidR="00407C90" w:rsidRPr="00CD12BF">
        <w:rPr>
          <w:rFonts w:ascii="Times New Roman" w:hAnsi="Times New Roman"/>
          <w:b/>
          <w:sz w:val="22"/>
          <w:szCs w:val="22"/>
        </w:rPr>
        <w:t>Article 44</w:t>
      </w:r>
      <w:r w:rsidR="00407C90" w:rsidRPr="00CD12BF">
        <w:rPr>
          <w:rFonts w:ascii="Times New Roman" w:hAnsi="Times New Roman"/>
          <w:b/>
          <w:sz w:val="22"/>
          <w:szCs w:val="22"/>
        </w:rPr>
        <w:tab/>
        <w:t>Data Protection</w:t>
      </w:r>
    </w:p>
    <w:p w:rsidR="00407C90" w:rsidRPr="00CD12BF" w:rsidRDefault="00407C90" w:rsidP="00CD12BF">
      <w:pPr>
        <w:spacing w:before="240"/>
        <w:ind w:left="720"/>
        <w:rPr>
          <w:rFonts w:ascii="Times New Roman" w:hAnsi="Times New Roman"/>
          <w:sz w:val="22"/>
          <w:szCs w:val="22"/>
        </w:rPr>
      </w:pPr>
      <w:r w:rsidRPr="00CD12BF">
        <w:rPr>
          <w:rFonts w:ascii="Times New Roman" w:hAnsi="Times New Roman"/>
          <w:sz w:val="22"/>
          <w:szCs w:val="22"/>
        </w:rPr>
        <w:t>Not applicable.</w:t>
      </w:r>
    </w:p>
    <w:p w:rsidR="001B55AC" w:rsidRPr="003D6B6C" w:rsidRDefault="001B55AC" w:rsidP="00CD12BF">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0C232F2" w15:done="0"/>
  <w15:commentEx w15:paraId="75294B6C" w15:done="0"/>
  <w15:commentEx w15:paraId="4C3F6273" w15:done="0"/>
  <w15:commentEx w15:paraId="36B0A521"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538F" w:rsidRPr="006A5F84" w:rsidRDefault="0020538F">
      <w:r w:rsidRPr="006A5F84">
        <w:separator/>
      </w:r>
    </w:p>
  </w:endnote>
  <w:endnote w:type="continuationSeparator" w:id="1">
    <w:p w:rsidR="0020538F" w:rsidRPr="006A5F84" w:rsidRDefault="0020538F">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auto"/>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Default="00186615"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6E3" w:rsidRPr="00FE689C" w:rsidRDefault="00F017DE"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szCs w:val="18"/>
        <w:lang w:val="en-GB"/>
      </w:rPr>
      <w:t>15 J</w:t>
    </w:r>
    <w:r w:rsidR="00930AD1">
      <w:rPr>
        <w:rFonts w:ascii="Times New Roman" w:hAnsi="Times New Roman"/>
        <w:b/>
        <w:sz w:val="18"/>
        <w:szCs w:val="18"/>
        <w:lang w:val="en-GB"/>
      </w:rPr>
      <w:t>an</w:t>
    </w:r>
    <w:r>
      <w:rPr>
        <w:rFonts w:ascii="Times New Roman" w:hAnsi="Times New Roman"/>
        <w:b/>
        <w:sz w:val="18"/>
        <w:szCs w:val="18"/>
        <w:lang w:val="en-GB"/>
      </w:rPr>
      <w:t>u</w:t>
    </w:r>
    <w:r w:rsidR="00930AD1">
      <w:rPr>
        <w:rFonts w:ascii="Times New Roman" w:hAnsi="Times New Roman"/>
        <w:b/>
        <w:sz w:val="18"/>
        <w:szCs w:val="18"/>
        <w:lang w:val="en-GB"/>
      </w:rPr>
      <w:t>ar</w:t>
    </w:r>
    <w:r>
      <w:rPr>
        <w:rFonts w:ascii="Times New Roman" w:hAnsi="Times New Roman"/>
        <w:b/>
        <w:sz w:val="18"/>
        <w:szCs w:val="18"/>
        <w:lang w:val="en-GB"/>
      </w:rPr>
      <w:t xml:space="preserve">y </w:t>
    </w:r>
    <w:r w:rsidR="008E7A2D">
      <w:rPr>
        <w:rFonts w:ascii="Times New Roman" w:hAnsi="Times New Roman"/>
        <w:b/>
        <w:sz w:val="18"/>
        <w:szCs w:val="18"/>
        <w:lang w:val="en-GB"/>
      </w:rPr>
      <w:t>201</w:t>
    </w:r>
    <w:r w:rsidR="00930AD1">
      <w:rPr>
        <w:rFonts w:ascii="Times New Roman" w:hAnsi="Times New Roman"/>
        <w:b/>
        <w:sz w:val="18"/>
        <w:szCs w:val="18"/>
        <w:lang w:val="en-GB"/>
      </w:rPr>
      <w:t>6</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186615"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186615" w:rsidRPr="009423FB">
      <w:rPr>
        <w:rStyle w:val="PageNumber"/>
        <w:rFonts w:ascii="Times New Roman" w:hAnsi="Times New Roman"/>
        <w:sz w:val="18"/>
        <w:szCs w:val="18"/>
      </w:rPr>
      <w:fldChar w:fldCharType="separate"/>
    </w:r>
    <w:r w:rsidR="00ED38A1">
      <w:rPr>
        <w:rStyle w:val="PageNumber"/>
        <w:rFonts w:ascii="Times New Roman" w:hAnsi="Times New Roman"/>
        <w:noProof/>
        <w:sz w:val="18"/>
        <w:szCs w:val="18"/>
        <w:lang w:val="en-GB"/>
      </w:rPr>
      <w:t>1</w:t>
    </w:r>
    <w:r w:rsidR="00186615"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186615"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186615" w:rsidRPr="009423FB">
      <w:rPr>
        <w:rStyle w:val="PageNumber"/>
        <w:rFonts w:ascii="Times New Roman" w:hAnsi="Times New Roman"/>
        <w:sz w:val="18"/>
        <w:szCs w:val="18"/>
      </w:rPr>
      <w:fldChar w:fldCharType="separate"/>
    </w:r>
    <w:r w:rsidR="00ED38A1">
      <w:rPr>
        <w:rStyle w:val="PageNumber"/>
        <w:rFonts w:ascii="Times New Roman" w:hAnsi="Times New Roman"/>
        <w:noProof/>
        <w:sz w:val="18"/>
        <w:szCs w:val="18"/>
        <w:lang w:val="en-GB"/>
      </w:rPr>
      <w:t>3</w:t>
    </w:r>
    <w:r w:rsidR="00186615" w:rsidRPr="009423FB">
      <w:rPr>
        <w:rStyle w:val="PageNumber"/>
        <w:rFonts w:ascii="Times New Roman" w:hAnsi="Times New Roman"/>
        <w:sz w:val="18"/>
        <w:szCs w:val="18"/>
      </w:rPr>
      <w:fldChar w:fldCharType="end"/>
    </w:r>
  </w:p>
  <w:p w:rsidR="00117ADA" w:rsidRPr="007E36E3" w:rsidRDefault="00186615"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D83E53">
      <w:rPr>
        <w:rFonts w:ascii="Times New Roman" w:hAnsi="Times New Roman"/>
        <w:noProof/>
        <w:sz w:val="18"/>
        <w:szCs w:val="18"/>
      </w:rPr>
      <w:t>c4d_specialconditions_en - TC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Pr="006A5F84" w:rsidRDefault="00186615"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538F" w:rsidRPr="006A5F84" w:rsidRDefault="0020538F">
      <w:r w:rsidRPr="006A5F84">
        <w:separator/>
      </w:r>
    </w:p>
  </w:footnote>
  <w:footnote w:type="continuationSeparator" w:id="1">
    <w:p w:rsidR="0020538F" w:rsidRPr="006A5F84" w:rsidRDefault="0020538F">
      <w:r w:rsidRPr="006A5F84">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10"/>
  </w:hdrShapeDefaults>
  <w:footnotePr>
    <w:numRestart w:val="eachPage"/>
    <w:footnote w:id="0"/>
    <w:footnote w:id="1"/>
  </w:footnotePr>
  <w:endnotePr>
    <w:endnote w:id="0"/>
    <w:endnote w:id="1"/>
  </w:endnotePr>
  <w:compat/>
  <w:docVars>
    <w:docVar w:name="LW_DocType" w:val="NORMAL"/>
    <w:docVar w:name="Stamp" w:val="\\dossiers.dgt.cec.eu.int\dossiers\DEVCO\DEVCO-2011-00112\DEVCO-2011-00112-01-04-EN-REV-00.DOC"/>
  </w:docVars>
  <w:rsids>
    <w:rsidRoot w:val="0073450F"/>
    <w:rsid w:val="000021E1"/>
    <w:rsid w:val="0000334D"/>
    <w:rsid w:val="00035D6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C7BD5"/>
    <w:rsid w:val="000D24E3"/>
    <w:rsid w:val="000D2B44"/>
    <w:rsid w:val="000D40DB"/>
    <w:rsid w:val="000D7681"/>
    <w:rsid w:val="000E7B75"/>
    <w:rsid w:val="000F1339"/>
    <w:rsid w:val="000F5F5F"/>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32D27"/>
    <w:rsid w:val="00144E89"/>
    <w:rsid w:val="0014659F"/>
    <w:rsid w:val="00150767"/>
    <w:rsid w:val="00150BD7"/>
    <w:rsid w:val="00150EC7"/>
    <w:rsid w:val="001515E4"/>
    <w:rsid w:val="001536B3"/>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6615"/>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D6F24"/>
    <w:rsid w:val="001E2362"/>
    <w:rsid w:val="001E4648"/>
    <w:rsid w:val="001F410B"/>
    <w:rsid w:val="001F5048"/>
    <w:rsid w:val="001F5421"/>
    <w:rsid w:val="00200A60"/>
    <w:rsid w:val="002012E1"/>
    <w:rsid w:val="0020538F"/>
    <w:rsid w:val="002077B6"/>
    <w:rsid w:val="00211229"/>
    <w:rsid w:val="00211E0F"/>
    <w:rsid w:val="0021441C"/>
    <w:rsid w:val="00215A80"/>
    <w:rsid w:val="00216F0D"/>
    <w:rsid w:val="002209F1"/>
    <w:rsid w:val="00220BF7"/>
    <w:rsid w:val="00224C44"/>
    <w:rsid w:val="00225CDC"/>
    <w:rsid w:val="00227A8C"/>
    <w:rsid w:val="00230AB3"/>
    <w:rsid w:val="0024023D"/>
    <w:rsid w:val="00240B1F"/>
    <w:rsid w:val="002426D3"/>
    <w:rsid w:val="002442B7"/>
    <w:rsid w:val="002455C7"/>
    <w:rsid w:val="0025137A"/>
    <w:rsid w:val="002560BB"/>
    <w:rsid w:val="002561C8"/>
    <w:rsid w:val="00256304"/>
    <w:rsid w:val="00256CB2"/>
    <w:rsid w:val="0026542C"/>
    <w:rsid w:val="00271700"/>
    <w:rsid w:val="00272A7B"/>
    <w:rsid w:val="00277BEB"/>
    <w:rsid w:val="002819BF"/>
    <w:rsid w:val="0028364A"/>
    <w:rsid w:val="00283AC4"/>
    <w:rsid w:val="00290561"/>
    <w:rsid w:val="00291659"/>
    <w:rsid w:val="00294190"/>
    <w:rsid w:val="00297C14"/>
    <w:rsid w:val="002A0041"/>
    <w:rsid w:val="002A651B"/>
    <w:rsid w:val="002A6DB8"/>
    <w:rsid w:val="002B6401"/>
    <w:rsid w:val="002C375C"/>
    <w:rsid w:val="002C649A"/>
    <w:rsid w:val="002C74BB"/>
    <w:rsid w:val="002D0CE1"/>
    <w:rsid w:val="002D1FCC"/>
    <w:rsid w:val="002D2D27"/>
    <w:rsid w:val="002D2FC0"/>
    <w:rsid w:val="002D34D3"/>
    <w:rsid w:val="002D6EED"/>
    <w:rsid w:val="002F0BB0"/>
    <w:rsid w:val="002F1222"/>
    <w:rsid w:val="003056D9"/>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3BDA"/>
    <w:rsid w:val="00384BAB"/>
    <w:rsid w:val="00384BFF"/>
    <w:rsid w:val="00385FFC"/>
    <w:rsid w:val="00387C56"/>
    <w:rsid w:val="003915CC"/>
    <w:rsid w:val="003925E9"/>
    <w:rsid w:val="00395823"/>
    <w:rsid w:val="003A1309"/>
    <w:rsid w:val="003A431E"/>
    <w:rsid w:val="003A59D6"/>
    <w:rsid w:val="003C084D"/>
    <w:rsid w:val="003C7266"/>
    <w:rsid w:val="003D2078"/>
    <w:rsid w:val="003D3CAA"/>
    <w:rsid w:val="003D625C"/>
    <w:rsid w:val="003D6B6C"/>
    <w:rsid w:val="003D7611"/>
    <w:rsid w:val="003E48E0"/>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1D8B"/>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3CBF"/>
    <w:rsid w:val="00494168"/>
    <w:rsid w:val="00497607"/>
    <w:rsid w:val="004A0140"/>
    <w:rsid w:val="004A101E"/>
    <w:rsid w:val="004A11D7"/>
    <w:rsid w:val="004A7ED9"/>
    <w:rsid w:val="004B7463"/>
    <w:rsid w:val="004C35B5"/>
    <w:rsid w:val="004C3C82"/>
    <w:rsid w:val="004C77A2"/>
    <w:rsid w:val="004D2FD8"/>
    <w:rsid w:val="004D33C9"/>
    <w:rsid w:val="004E43B2"/>
    <w:rsid w:val="004E6C5D"/>
    <w:rsid w:val="004F5C57"/>
    <w:rsid w:val="004F7A0E"/>
    <w:rsid w:val="005005D7"/>
    <w:rsid w:val="00501FF0"/>
    <w:rsid w:val="005047E0"/>
    <w:rsid w:val="00507BA0"/>
    <w:rsid w:val="00513C6F"/>
    <w:rsid w:val="00515D85"/>
    <w:rsid w:val="00516552"/>
    <w:rsid w:val="0052175F"/>
    <w:rsid w:val="00521AE1"/>
    <w:rsid w:val="00530948"/>
    <w:rsid w:val="0053480C"/>
    <w:rsid w:val="00534A4F"/>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B0129"/>
    <w:rsid w:val="005B083F"/>
    <w:rsid w:val="005B2018"/>
    <w:rsid w:val="005B3CAB"/>
    <w:rsid w:val="005C02C3"/>
    <w:rsid w:val="005C0EA1"/>
    <w:rsid w:val="005C36B8"/>
    <w:rsid w:val="005D0163"/>
    <w:rsid w:val="005D03AA"/>
    <w:rsid w:val="005D05B0"/>
    <w:rsid w:val="005D72F7"/>
    <w:rsid w:val="005F3C51"/>
    <w:rsid w:val="005F62D0"/>
    <w:rsid w:val="00611A73"/>
    <w:rsid w:val="00616D03"/>
    <w:rsid w:val="006219A1"/>
    <w:rsid w:val="00622041"/>
    <w:rsid w:val="00623AB3"/>
    <w:rsid w:val="006311FE"/>
    <w:rsid w:val="0063123B"/>
    <w:rsid w:val="00633829"/>
    <w:rsid w:val="00636E8F"/>
    <w:rsid w:val="00637C8F"/>
    <w:rsid w:val="006408AC"/>
    <w:rsid w:val="00640D24"/>
    <w:rsid w:val="00642E75"/>
    <w:rsid w:val="00655A60"/>
    <w:rsid w:val="00661B3C"/>
    <w:rsid w:val="0066519D"/>
    <w:rsid w:val="00677500"/>
    <w:rsid w:val="0068247E"/>
    <w:rsid w:val="00684801"/>
    <w:rsid w:val="006858D9"/>
    <w:rsid w:val="00686ACD"/>
    <w:rsid w:val="006917B2"/>
    <w:rsid w:val="00692095"/>
    <w:rsid w:val="00695007"/>
    <w:rsid w:val="006A5F84"/>
    <w:rsid w:val="006B0AB1"/>
    <w:rsid w:val="006B145B"/>
    <w:rsid w:val="006C2F05"/>
    <w:rsid w:val="006C513D"/>
    <w:rsid w:val="006D3BA1"/>
    <w:rsid w:val="006D4F4C"/>
    <w:rsid w:val="006D5CEE"/>
    <w:rsid w:val="006E5450"/>
    <w:rsid w:val="006E54F2"/>
    <w:rsid w:val="006E56FD"/>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177F"/>
    <w:rsid w:val="007D5FA2"/>
    <w:rsid w:val="007E0CD5"/>
    <w:rsid w:val="007E36E3"/>
    <w:rsid w:val="007E3D5F"/>
    <w:rsid w:val="007F4988"/>
    <w:rsid w:val="007F5DDE"/>
    <w:rsid w:val="007F6802"/>
    <w:rsid w:val="00804915"/>
    <w:rsid w:val="0080623C"/>
    <w:rsid w:val="00806CE0"/>
    <w:rsid w:val="00811F58"/>
    <w:rsid w:val="0081418B"/>
    <w:rsid w:val="008201BB"/>
    <w:rsid w:val="008214E2"/>
    <w:rsid w:val="008227A5"/>
    <w:rsid w:val="00822E7E"/>
    <w:rsid w:val="008272ED"/>
    <w:rsid w:val="00833EBD"/>
    <w:rsid w:val="008413B3"/>
    <w:rsid w:val="008428B9"/>
    <w:rsid w:val="00853F9D"/>
    <w:rsid w:val="00855409"/>
    <w:rsid w:val="0085667F"/>
    <w:rsid w:val="008617F3"/>
    <w:rsid w:val="0086688D"/>
    <w:rsid w:val="00866B17"/>
    <w:rsid w:val="00870FD6"/>
    <w:rsid w:val="00872DA7"/>
    <w:rsid w:val="008733D3"/>
    <w:rsid w:val="008808CB"/>
    <w:rsid w:val="0088419E"/>
    <w:rsid w:val="008847D1"/>
    <w:rsid w:val="00884DDE"/>
    <w:rsid w:val="00885882"/>
    <w:rsid w:val="008859E6"/>
    <w:rsid w:val="008870C9"/>
    <w:rsid w:val="008923B0"/>
    <w:rsid w:val="00892CE9"/>
    <w:rsid w:val="008934F5"/>
    <w:rsid w:val="008A048D"/>
    <w:rsid w:val="008A0660"/>
    <w:rsid w:val="008A39B7"/>
    <w:rsid w:val="008A6DE2"/>
    <w:rsid w:val="008C4E79"/>
    <w:rsid w:val="008C5A40"/>
    <w:rsid w:val="008C5DAA"/>
    <w:rsid w:val="008D065E"/>
    <w:rsid w:val="008E40E2"/>
    <w:rsid w:val="008E41F4"/>
    <w:rsid w:val="008E5F59"/>
    <w:rsid w:val="008E7A2D"/>
    <w:rsid w:val="008F3866"/>
    <w:rsid w:val="008F4FF6"/>
    <w:rsid w:val="009143FD"/>
    <w:rsid w:val="00920A51"/>
    <w:rsid w:val="00921C32"/>
    <w:rsid w:val="00922542"/>
    <w:rsid w:val="00923EDA"/>
    <w:rsid w:val="009251E3"/>
    <w:rsid w:val="00925DBE"/>
    <w:rsid w:val="00930AD1"/>
    <w:rsid w:val="0093582A"/>
    <w:rsid w:val="0094670B"/>
    <w:rsid w:val="00950B0C"/>
    <w:rsid w:val="0097513D"/>
    <w:rsid w:val="00980A42"/>
    <w:rsid w:val="00980F8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0FD6"/>
    <w:rsid w:val="009F1281"/>
    <w:rsid w:val="009F22C3"/>
    <w:rsid w:val="009F3126"/>
    <w:rsid w:val="009F408F"/>
    <w:rsid w:val="009F7F0D"/>
    <w:rsid w:val="00A039CA"/>
    <w:rsid w:val="00A04004"/>
    <w:rsid w:val="00A07329"/>
    <w:rsid w:val="00A11F12"/>
    <w:rsid w:val="00A1746F"/>
    <w:rsid w:val="00A2645C"/>
    <w:rsid w:val="00A413F7"/>
    <w:rsid w:val="00A41B28"/>
    <w:rsid w:val="00A512A5"/>
    <w:rsid w:val="00A512C9"/>
    <w:rsid w:val="00A539E4"/>
    <w:rsid w:val="00A56046"/>
    <w:rsid w:val="00A62073"/>
    <w:rsid w:val="00A63E3C"/>
    <w:rsid w:val="00A665A2"/>
    <w:rsid w:val="00A75650"/>
    <w:rsid w:val="00A76A6E"/>
    <w:rsid w:val="00A8146D"/>
    <w:rsid w:val="00A845B1"/>
    <w:rsid w:val="00A87E3D"/>
    <w:rsid w:val="00A90875"/>
    <w:rsid w:val="00A953B2"/>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07741"/>
    <w:rsid w:val="00B1165D"/>
    <w:rsid w:val="00B12EB5"/>
    <w:rsid w:val="00B17A53"/>
    <w:rsid w:val="00B207DB"/>
    <w:rsid w:val="00B22470"/>
    <w:rsid w:val="00B2499C"/>
    <w:rsid w:val="00B277E4"/>
    <w:rsid w:val="00B30528"/>
    <w:rsid w:val="00B30E6F"/>
    <w:rsid w:val="00B3168E"/>
    <w:rsid w:val="00B34179"/>
    <w:rsid w:val="00B44B08"/>
    <w:rsid w:val="00B44DC5"/>
    <w:rsid w:val="00B4767E"/>
    <w:rsid w:val="00B4772C"/>
    <w:rsid w:val="00B51209"/>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52CB"/>
    <w:rsid w:val="00BD72C6"/>
    <w:rsid w:val="00BE3FDF"/>
    <w:rsid w:val="00BE4173"/>
    <w:rsid w:val="00BF1A9A"/>
    <w:rsid w:val="00C12AF0"/>
    <w:rsid w:val="00C13C29"/>
    <w:rsid w:val="00C1524D"/>
    <w:rsid w:val="00C17310"/>
    <w:rsid w:val="00C20179"/>
    <w:rsid w:val="00C20F71"/>
    <w:rsid w:val="00C22DF9"/>
    <w:rsid w:val="00C302E1"/>
    <w:rsid w:val="00C3235B"/>
    <w:rsid w:val="00C34E40"/>
    <w:rsid w:val="00C41328"/>
    <w:rsid w:val="00C41919"/>
    <w:rsid w:val="00C45D2B"/>
    <w:rsid w:val="00C52305"/>
    <w:rsid w:val="00C61312"/>
    <w:rsid w:val="00C720C8"/>
    <w:rsid w:val="00C73AAE"/>
    <w:rsid w:val="00C75CCE"/>
    <w:rsid w:val="00C778A1"/>
    <w:rsid w:val="00C80DCF"/>
    <w:rsid w:val="00C8298B"/>
    <w:rsid w:val="00C846C9"/>
    <w:rsid w:val="00C86724"/>
    <w:rsid w:val="00C91C59"/>
    <w:rsid w:val="00C92434"/>
    <w:rsid w:val="00C94A76"/>
    <w:rsid w:val="00C95838"/>
    <w:rsid w:val="00CA1354"/>
    <w:rsid w:val="00CA3F76"/>
    <w:rsid w:val="00CA6C68"/>
    <w:rsid w:val="00CC7735"/>
    <w:rsid w:val="00CC7DE2"/>
    <w:rsid w:val="00CD12BF"/>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3D88"/>
    <w:rsid w:val="00D360F2"/>
    <w:rsid w:val="00D43612"/>
    <w:rsid w:val="00D4393D"/>
    <w:rsid w:val="00D52CBF"/>
    <w:rsid w:val="00D541A5"/>
    <w:rsid w:val="00D576CA"/>
    <w:rsid w:val="00D60913"/>
    <w:rsid w:val="00D662AA"/>
    <w:rsid w:val="00D66F04"/>
    <w:rsid w:val="00D678AC"/>
    <w:rsid w:val="00D71AF3"/>
    <w:rsid w:val="00D75213"/>
    <w:rsid w:val="00D82847"/>
    <w:rsid w:val="00D83918"/>
    <w:rsid w:val="00D83D1B"/>
    <w:rsid w:val="00D83E53"/>
    <w:rsid w:val="00D86B5F"/>
    <w:rsid w:val="00D90043"/>
    <w:rsid w:val="00D91D64"/>
    <w:rsid w:val="00D93DB5"/>
    <w:rsid w:val="00D979C6"/>
    <w:rsid w:val="00DA4AB8"/>
    <w:rsid w:val="00DC50E2"/>
    <w:rsid w:val="00DC54A0"/>
    <w:rsid w:val="00DC6C9C"/>
    <w:rsid w:val="00DD0464"/>
    <w:rsid w:val="00DD0624"/>
    <w:rsid w:val="00DD13B0"/>
    <w:rsid w:val="00DD2B6E"/>
    <w:rsid w:val="00DD5838"/>
    <w:rsid w:val="00DE13B8"/>
    <w:rsid w:val="00DE5D6E"/>
    <w:rsid w:val="00DE64D4"/>
    <w:rsid w:val="00DE7055"/>
    <w:rsid w:val="00DE71AB"/>
    <w:rsid w:val="00DF7145"/>
    <w:rsid w:val="00DF7327"/>
    <w:rsid w:val="00DF7EE0"/>
    <w:rsid w:val="00E0295D"/>
    <w:rsid w:val="00E0396B"/>
    <w:rsid w:val="00E13CDE"/>
    <w:rsid w:val="00E14817"/>
    <w:rsid w:val="00E17D07"/>
    <w:rsid w:val="00E2190B"/>
    <w:rsid w:val="00E219CD"/>
    <w:rsid w:val="00E22C0D"/>
    <w:rsid w:val="00E2682A"/>
    <w:rsid w:val="00E26F57"/>
    <w:rsid w:val="00E27678"/>
    <w:rsid w:val="00E33D2D"/>
    <w:rsid w:val="00E340A7"/>
    <w:rsid w:val="00E34208"/>
    <w:rsid w:val="00E36C8F"/>
    <w:rsid w:val="00E37290"/>
    <w:rsid w:val="00E37630"/>
    <w:rsid w:val="00E37A55"/>
    <w:rsid w:val="00E37E11"/>
    <w:rsid w:val="00E41C6F"/>
    <w:rsid w:val="00E46AA5"/>
    <w:rsid w:val="00E52467"/>
    <w:rsid w:val="00E52D98"/>
    <w:rsid w:val="00E5499A"/>
    <w:rsid w:val="00E54B1B"/>
    <w:rsid w:val="00E571E1"/>
    <w:rsid w:val="00E60A37"/>
    <w:rsid w:val="00E62221"/>
    <w:rsid w:val="00E62923"/>
    <w:rsid w:val="00E6295C"/>
    <w:rsid w:val="00E653F0"/>
    <w:rsid w:val="00E66C96"/>
    <w:rsid w:val="00E730A5"/>
    <w:rsid w:val="00E76535"/>
    <w:rsid w:val="00E811F3"/>
    <w:rsid w:val="00E85F91"/>
    <w:rsid w:val="00E87734"/>
    <w:rsid w:val="00E948C5"/>
    <w:rsid w:val="00EA1F0C"/>
    <w:rsid w:val="00EA63E1"/>
    <w:rsid w:val="00EB2C4D"/>
    <w:rsid w:val="00EB32E9"/>
    <w:rsid w:val="00EB45CB"/>
    <w:rsid w:val="00EB78F4"/>
    <w:rsid w:val="00EC51B6"/>
    <w:rsid w:val="00ED38A1"/>
    <w:rsid w:val="00EE0ED9"/>
    <w:rsid w:val="00EE23B1"/>
    <w:rsid w:val="00EE2E55"/>
    <w:rsid w:val="00EE456E"/>
    <w:rsid w:val="00EF1C05"/>
    <w:rsid w:val="00EF3951"/>
    <w:rsid w:val="00EF6426"/>
    <w:rsid w:val="00EF6552"/>
    <w:rsid w:val="00F017DE"/>
    <w:rsid w:val="00F02006"/>
    <w:rsid w:val="00F0405C"/>
    <w:rsid w:val="00F0574A"/>
    <w:rsid w:val="00F16179"/>
    <w:rsid w:val="00F2297E"/>
    <w:rsid w:val="00F30624"/>
    <w:rsid w:val="00F33149"/>
    <w:rsid w:val="00F33605"/>
    <w:rsid w:val="00F33A99"/>
    <w:rsid w:val="00F355C1"/>
    <w:rsid w:val="00F35D21"/>
    <w:rsid w:val="00F3685D"/>
    <w:rsid w:val="00F4528C"/>
    <w:rsid w:val="00F51D3D"/>
    <w:rsid w:val="00F56D4C"/>
    <w:rsid w:val="00F658F3"/>
    <w:rsid w:val="00F671B9"/>
    <w:rsid w:val="00F676D0"/>
    <w:rsid w:val="00F67C74"/>
    <w:rsid w:val="00F70353"/>
    <w:rsid w:val="00F75F46"/>
    <w:rsid w:val="00F8016B"/>
    <w:rsid w:val="00F804E1"/>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2F79"/>
    <w:rsid w:val="00FF78C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E6F"/>
    <w:pPr>
      <w:spacing w:before="120" w:after="120"/>
    </w:pPr>
    <w:rPr>
      <w:rFonts w:ascii="Arial" w:hAnsi="Arial"/>
      <w:snapToGrid w:val="0"/>
      <w:lang w:val="en-GB"/>
    </w:rPr>
  </w:style>
  <w:style w:type="paragraph" w:styleId="Heading1">
    <w:name w:val="heading 1"/>
    <w:basedOn w:val="Normal"/>
    <w:next w:val="Normal"/>
    <w:link w:val="Heading1Char1"/>
    <w:qFormat/>
    <w:rsid w:val="00B30E6F"/>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B30E6F"/>
    <w:pPr>
      <w:keepNext/>
      <w:outlineLvl w:val="1"/>
    </w:pPr>
    <w:rPr>
      <w:lang w:val="fr-BE"/>
    </w:rPr>
  </w:style>
  <w:style w:type="paragraph" w:styleId="Heading3">
    <w:name w:val="heading 3"/>
    <w:basedOn w:val="Normal"/>
    <w:next w:val="Normal"/>
    <w:link w:val="Heading3Char"/>
    <w:qFormat/>
    <w:rsid w:val="00B30E6F"/>
    <w:pPr>
      <w:keepNext/>
      <w:framePr w:hSpace="181" w:vSpace="181" w:wrap="auto" w:vAnchor="text" w:hAnchor="text" w:y="1"/>
      <w:outlineLvl w:val="2"/>
    </w:pPr>
  </w:style>
  <w:style w:type="paragraph" w:styleId="Heading4">
    <w:name w:val="heading 4"/>
    <w:basedOn w:val="Normal"/>
    <w:next w:val="Normal"/>
    <w:link w:val="Heading4Char"/>
    <w:qFormat/>
    <w:rsid w:val="00B30E6F"/>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B30E6F"/>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B30E6F"/>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B30E6F"/>
    <w:pPr>
      <w:numPr>
        <w:ilvl w:val="6"/>
        <w:numId w:val="2"/>
      </w:numPr>
      <w:spacing w:before="240" w:after="60"/>
      <w:outlineLvl w:val="6"/>
    </w:pPr>
    <w:rPr>
      <w:lang w:val="sv-SE"/>
    </w:rPr>
  </w:style>
  <w:style w:type="paragraph" w:styleId="Heading8">
    <w:name w:val="heading 8"/>
    <w:basedOn w:val="Normal"/>
    <w:next w:val="Normal"/>
    <w:link w:val="Heading8Char"/>
    <w:qFormat/>
    <w:rsid w:val="00B30E6F"/>
    <w:pPr>
      <w:numPr>
        <w:ilvl w:val="7"/>
        <w:numId w:val="2"/>
      </w:numPr>
      <w:spacing w:before="240" w:after="60"/>
      <w:outlineLvl w:val="7"/>
    </w:pPr>
    <w:rPr>
      <w:i/>
      <w:lang w:val="sv-SE"/>
    </w:rPr>
  </w:style>
  <w:style w:type="paragraph" w:styleId="Heading9">
    <w:name w:val="heading 9"/>
    <w:basedOn w:val="Normal"/>
    <w:next w:val="Normal"/>
    <w:link w:val="Heading9Char"/>
    <w:qFormat/>
    <w:rsid w:val="00B30E6F"/>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30E6F"/>
    <w:pPr>
      <w:jc w:val="center"/>
    </w:pPr>
    <w:rPr>
      <w:b/>
      <w:sz w:val="28"/>
      <w:lang w:val="fr-BE"/>
    </w:rPr>
  </w:style>
  <w:style w:type="paragraph" w:styleId="Subtitle">
    <w:name w:val="Subtitle"/>
    <w:basedOn w:val="Normal"/>
    <w:link w:val="SubtitleChar"/>
    <w:qFormat/>
    <w:rsid w:val="00B30E6F"/>
    <w:pPr>
      <w:jc w:val="center"/>
    </w:pPr>
    <w:rPr>
      <w:b/>
      <w:sz w:val="28"/>
      <w:lang w:val="fr-BE"/>
    </w:rPr>
  </w:style>
  <w:style w:type="paragraph" w:styleId="BodyTextIndent">
    <w:name w:val="Body Text Indent"/>
    <w:basedOn w:val="Normal"/>
    <w:link w:val="BodyTextIndentChar"/>
    <w:rsid w:val="00B30E6F"/>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B30E6F"/>
    <w:rPr>
      <w:lang w:val="sv-SE"/>
    </w:rPr>
  </w:style>
  <w:style w:type="paragraph" w:styleId="BodyTextIndent2">
    <w:name w:val="Body Text Indent 2"/>
    <w:basedOn w:val="Normal"/>
    <w:link w:val="BodyTextIndent2Char"/>
    <w:rsid w:val="00B30E6F"/>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B30E6F"/>
    <w:pPr>
      <w:tabs>
        <w:tab w:val="left" w:pos="1276"/>
      </w:tabs>
      <w:ind w:left="1276" w:hanging="425"/>
      <w:jc w:val="both"/>
    </w:pPr>
    <w:rPr>
      <w:sz w:val="24"/>
      <w:lang w:val="sv-SE"/>
    </w:rPr>
  </w:style>
  <w:style w:type="paragraph" w:customStyle="1" w:styleId="Text3">
    <w:name w:val="Text 3"/>
    <w:basedOn w:val="Normal"/>
    <w:rsid w:val="00B30E6F"/>
    <w:pPr>
      <w:tabs>
        <w:tab w:val="left" w:pos="2302"/>
      </w:tabs>
      <w:spacing w:after="240"/>
      <w:ind w:left="1202"/>
      <w:jc w:val="both"/>
    </w:pPr>
    <w:rPr>
      <w:sz w:val="24"/>
    </w:rPr>
  </w:style>
  <w:style w:type="paragraph" w:styleId="Header">
    <w:name w:val="header"/>
    <w:basedOn w:val="Normal"/>
    <w:link w:val="HeaderChar"/>
    <w:rsid w:val="00B30E6F"/>
    <w:pPr>
      <w:tabs>
        <w:tab w:val="center" w:pos="4320"/>
        <w:tab w:val="right" w:pos="8640"/>
      </w:tabs>
    </w:pPr>
    <w:rPr>
      <w:lang w:val="sv-SE"/>
    </w:rPr>
  </w:style>
  <w:style w:type="paragraph" w:styleId="Footer">
    <w:name w:val="footer"/>
    <w:basedOn w:val="Normal"/>
    <w:link w:val="FooterChar"/>
    <w:uiPriority w:val="99"/>
    <w:rsid w:val="00B30E6F"/>
    <w:pPr>
      <w:tabs>
        <w:tab w:val="center" w:pos="4320"/>
        <w:tab w:val="right" w:pos="8640"/>
      </w:tabs>
    </w:pPr>
    <w:rPr>
      <w:lang w:val="sv-SE"/>
    </w:rPr>
  </w:style>
  <w:style w:type="character" w:styleId="PageNumber">
    <w:name w:val="page number"/>
    <w:basedOn w:val="DefaultParagraphFont"/>
    <w:rsid w:val="00B30E6F"/>
  </w:style>
  <w:style w:type="paragraph" w:styleId="BodyText3">
    <w:name w:val="Body Text 3"/>
    <w:basedOn w:val="Normal"/>
    <w:link w:val="BodyText3Char"/>
    <w:rsid w:val="00B30E6F"/>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B30E6F"/>
    <w:rPr>
      <w:color w:val="0000FF"/>
      <w:u w:val="single"/>
    </w:rPr>
  </w:style>
  <w:style w:type="paragraph" w:styleId="FootnoteText">
    <w:name w:val="footnote text"/>
    <w:basedOn w:val="Normal"/>
    <w:semiHidden/>
    <w:rsid w:val="00B30E6F"/>
    <w:rPr>
      <w:lang w:val="fr-FR"/>
    </w:rPr>
  </w:style>
  <w:style w:type="character" w:styleId="FootnoteReference">
    <w:name w:val="footnote reference"/>
    <w:semiHidden/>
    <w:rsid w:val="00B30E6F"/>
    <w:rPr>
      <w:vertAlign w:val="superscript"/>
    </w:rPr>
  </w:style>
  <w:style w:type="paragraph" w:styleId="DocumentMap">
    <w:name w:val="Document Map"/>
    <w:basedOn w:val="Normal"/>
    <w:link w:val="DocumentMapChar"/>
    <w:semiHidden/>
    <w:rsid w:val="00B30E6F"/>
    <w:pPr>
      <w:shd w:val="clear" w:color="auto" w:fill="000080"/>
    </w:pPr>
    <w:rPr>
      <w:sz w:val="24"/>
      <w:lang w:val="fr-FR"/>
    </w:rPr>
  </w:style>
  <w:style w:type="paragraph" w:customStyle="1" w:styleId="bulletsub">
    <w:name w:val="bullet_sub"/>
    <w:basedOn w:val="Normal"/>
    <w:rsid w:val="00B30E6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B30E6F"/>
    <w:pPr>
      <w:spacing w:after="240"/>
      <w:jc w:val="center"/>
    </w:pPr>
    <w:rPr>
      <w:b/>
      <w:sz w:val="40"/>
    </w:rPr>
  </w:style>
  <w:style w:type="paragraph" w:customStyle="1" w:styleId="SubTitle2">
    <w:name w:val="SubTitle 2"/>
    <w:basedOn w:val="Normal"/>
    <w:rsid w:val="00B30E6F"/>
    <w:pPr>
      <w:spacing w:after="240"/>
      <w:jc w:val="center"/>
    </w:pPr>
    <w:rPr>
      <w:b/>
      <w:sz w:val="32"/>
    </w:rPr>
  </w:style>
  <w:style w:type="paragraph" w:customStyle="1" w:styleId="Annexetitle">
    <w:name w:val="Annexe_title"/>
    <w:basedOn w:val="Heading1"/>
    <w:next w:val="Normal"/>
    <w:autoRedefine/>
    <w:rsid w:val="00B30E6F"/>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B30E6F"/>
    <w:pPr>
      <w:keepNext/>
      <w:widowControl w:val="0"/>
      <w:tabs>
        <w:tab w:val="num" w:pos="992"/>
      </w:tabs>
      <w:ind w:left="992" w:hanging="992"/>
    </w:pPr>
    <w:rPr>
      <w:b/>
      <w:sz w:val="18"/>
      <w:lang w:val="fr-FR"/>
    </w:rPr>
  </w:style>
  <w:style w:type="paragraph" w:customStyle="1" w:styleId="titlefront">
    <w:name w:val="title_front"/>
    <w:basedOn w:val="Normal"/>
    <w:rsid w:val="00B30E6F"/>
    <w:pPr>
      <w:spacing w:before="240"/>
      <w:ind w:left="1701"/>
      <w:jc w:val="right"/>
    </w:pPr>
    <w:rPr>
      <w:rFonts w:ascii="Optima" w:hAnsi="Optima"/>
      <w:b/>
      <w:sz w:val="28"/>
    </w:rPr>
  </w:style>
  <w:style w:type="paragraph" w:styleId="TOC1">
    <w:name w:val="toc 1"/>
    <w:basedOn w:val="Normal"/>
    <w:next w:val="Normal"/>
    <w:autoRedefine/>
    <w:semiHidden/>
    <w:rsid w:val="00B30E6F"/>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B30E6F"/>
    <w:pPr>
      <w:spacing w:before="0" w:after="0"/>
      <w:ind w:left="200"/>
    </w:pPr>
    <w:rPr>
      <w:rFonts w:ascii="Times New Roman" w:hAnsi="Times New Roman"/>
      <w:smallCaps/>
    </w:rPr>
  </w:style>
  <w:style w:type="character" w:styleId="Strong">
    <w:name w:val="Strong"/>
    <w:qFormat/>
    <w:rsid w:val="00B30E6F"/>
    <w:rPr>
      <w:b/>
    </w:rPr>
  </w:style>
  <w:style w:type="paragraph" w:customStyle="1" w:styleId="Blockquote">
    <w:name w:val="Blockquote"/>
    <w:basedOn w:val="Normal"/>
    <w:rsid w:val="00B30E6F"/>
    <w:pPr>
      <w:widowControl w:val="0"/>
      <w:spacing w:before="100" w:after="100"/>
      <w:ind w:left="360" w:right="360"/>
    </w:pPr>
    <w:rPr>
      <w:sz w:val="24"/>
      <w:lang w:val="en-US"/>
    </w:rPr>
  </w:style>
  <w:style w:type="paragraph" w:styleId="TOC3">
    <w:name w:val="toc 3"/>
    <w:basedOn w:val="Normal"/>
    <w:next w:val="Normal"/>
    <w:autoRedefine/>
    <w:semiHidden/>
    <w:rsid w:val="00B30E6F"/>
    <w:pPr>
      <w:spacing w:before="0" w:after="0"/>
      <w:ind w:left="400"/>
    </w:pPr>
    <w:rPr>
      <w:rFonts w:ascii="Times New Roman" w:hAnsi="Times New Roman"/>
      <w:i/>
    </w:rPr>
  </w:style>
  <w:style w:type="paragraph" w:styleId="TOC4">
    <w:name w:val="toc 4"/>
    <w:basedOn w:val="Normal"/>
    <w:next w:val="Normal"/>
    <w:autoRedefine/>
    <w:semiHidden/>
    <w:rsid w:val="00B30E6F"/>
    <w:pPr>
      <w:spacing w:before="0" w:after="0"/>
      <w:ind w:left="600"/>
    </w:pPr>
    <w:rPr>
      <w:rFonts w:ascii="Times New Roman" w:hAnsi="Times New Roman"/>
      <w:sz w:val="18"/>
    </w:rPr>
  </w:style>
  <w:style w:type="paragraph" w:styleId="TOC5">
    <w:name w:val="toc 5"/>
    <w:basedOn w:val="Normal"/>
    <w:next w:val="Normal"/>
    <w:autoRedefine/>
    <w:semiHidden/>
    <w:rsid w:val="00B30E6F"/>
    <w:pPr>
      <w:spacing w:before="0" w:after="0"/>
      <w:ind w:left="800"/>
    </w:pPr>
    <w:rPr>
      <w:rFonts w:ascii="Times New Roman" w:hAnsi="Times New Roman"/>
      <w:sz w:val="18"/>
    </w:rPr>
  </w:style>
  <w:style w:type="paragraph" w:styleId="TOC6">
    <w:name w:val="toc 6"/>
    <w:basedOn w:val="Normal"/>
    <w:next w:val="Normal"/>
    <w:autoRedefine/>
    <w:semiHidden/>
    <w:rsid w:val="00B30E6F"/>
    <w:pPr>
      <w:spacing w:before="0" w:after="0"/>
      <w:ind w:left="1000"/>
    </w:pPr>
    <w:rPr>
      <w:rFonts w:ascii="Times New Roman" w:hAnsi="Times New Roman"/>
      <w:sz w:val="18"/>
    </w:rPr>
  </w:style>
  <w:style w:type="paragraph" w:styleId="TOC7">
    <w:name w:val="toc 7"/>
    <w:basedOn w:val="Normal"/>
    <w:next w:val="Normal"/>
    <w:autoRedefine/>
    <w:semiHidden/>
    <w:rsid w:val="00B30E6F"/>
    <w:pPr>
      <w:spacing w:before="0" w:after="0"/>
      <w:ind w:left="1200"/>
    </w:pPr>
    <w:rPr>
      <w:rFonts w:ascii="Times New Roman" w:hAnsi="Times New Roman"/>
      <w:sz w:val="18"/>
    </w:rPr>
  </w:style>
  <w:style w:type="paragraph" w:styleId="TOC8">
    <w:name w:val="toc 8"/>
    <w:basedOn w:val="Normal"/>
    <w:next w:val="Normal"/>
    <w:autoRedefine/>
    <w:semiHidden/>
    <w:rsid w:val="00B30E6F"/>
    <w:pPr>
      <w:spacing w:before="0" w:after="0"/>
      <w:ind w:left="1400"/>
    </w:pPr>
    <w:rPr>
      <w:rFonts w:ascii="Times New Roman" w:hAnsi="Times New Roman"/>
      <w:sz w:val="18"/>
    </w:rPr>
  </w:style>
  <w:style w:type="paragraph" w:styleId="TOC9">
    <w:name w:val="toc 9"/>
    <w:basedOn w:val="Normal"/>
    <w:next w:val="Normal"/>
    <w:autoRedefine/>
    <w:semiHidden/>
    <w:rsid w:val="00B30E6F"/>
    <w:pPr>
      <w:spacing w:before="0" w:after="0"/>
      <w:ind w:left="1600"/>
    </w:pPr>
    <w:rPr>
      <w:rFonts w:ascii="Times New Roman" w:hAnsi="Times New Roman"/>
      <w:sz w:val="18"/>
    </w:rPr>
  </w:style>
  <w:style w:type="character" w:styleId="FollowedHyperlink">
    <w:name w:val="FollowedHyperlink"/>
    <w:rsid w:val="00B30E6F"/>
    <w:rPr>
      <w:color w:val="800080"/>
      <w:u w:val="single"/>
    </w:rPr>
  </w:style>
  <w:style w:type="paragraph" w:customStyle="1" w:styleId="Style2">
    <w:name w:val="Style2"/>
    <w:basedOn w:val="Style1"/>
    <w:rsid w:val="00B30E6F"/>
    <w:pPr>
      <w:tabs>
        <w:tab w:val="clear" w:pos="992"/>
        <w:tab w:val="num" w:pos="2091"/>
      </w:tabs>
      <w:ind w:left="2977"/>
      <w:jc w:val="both"/>
    </w:pPr>
  </w:style>
  <w:style w:type="paragraph" w:customStyle="1" w:styleId="text">
    <w:name w:val="text"/>
    <w:rsid w:val="00B30E6F"/>
    <w:pPr>
      <w:widowControl w:val="0"/>
      <w:spacing w:before="240" w:line="240" w:lineRule="exact"/>
      <w:jc w:val="both"/>
    </w:pPr>
    <w:rPr>
      <w:rFonts w:ascii="Arial" w:hAnsi="Arial"/>
      <w:snapToGrid w:val="0"/>
      <w:sz w:val="24"/>
      <w:lang w:val="cs-CZ"/>
    </w:rPr>
  </w:style>
  <w:style w:type="paragraph" w:customStyle="1" w:styleId="Section">
    <w:name w:val="Section"/>
    <w:basedOn w:val="Normal"/>
    <w:rsid w:val="00B30E6F"/>
    <w:pPr>
      <w:widowControl w:val="0"/>
      <w:spacing w:before="0" w:after="0" w:line="360" w:lineRule="exact"/>
      <w:jc w:val="center"/>
    </w:pPr>
    <w:rPr>
      <w:b/>
      <w:sz w:val="32"/>
      <w:lang w:val="cs-CZ"/>
    </w:rPr>
  </w:style>
  <w:style w:type="paragraph" w:customStyle="1" w:styleId="ManualNumPar1">
    <w:name w:val="Manual NumPar 1"/>
    <w:basedOn w:val="Normal"/>
    <w:next w:val="Normal"/>
    <w:rsid w:val="00B30E6F"/>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styleId="Emphasis">
    <w:name w:val="Emphasis"/>
    <w:qFormat/>
    <w:rsid w:val="00CC7735"/>
    <w:rPr>
      <w:i/>
    </w:rPr>
  </w:style>
</w:styles>
</file>

<file path=word/webSettings.xml><?xml version="1.0" encoding="utf-8"?>
<w:webSettings xmlns:r="http://schemas.openxmlformats.org/officeDocument/2006/relationships" xmlns:w="http://schemas.openxmlformats.org/wordprocessingml/2006/main">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59713118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fcu@mif.gov.m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_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E8098-8CE8-4DA9-B267-B609DE3A7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966</Words>
  <Characters>5507</Characters>
  <Application>Microsoft Office Word</Application>
  <DocSecurity>0</DocSecurity>
  <Lines>45</Lines>
  <Paragraphs>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6461</CharactersWithSpaces>
  <SharedDoc>false</SharedDoc>
  <HLinks>
    <vt:vector size="18" baseType="variant">
      <vt:variant>
        <vt:i4>4849790</vt:i4>
      </vt:variant>
      <vt:variant>
        <vt:i4>3</vt:i4>
      </vt:variant>
      <vt:variant>
        <vt:i4>0</vt:i4>
      </vt:variant>
      <vt:variant>
        <vt:i4>5</vt:i4>
      </vt:variant>
      <vt:variant>
        <vt:lpwstr>https://ec.europa.eu/europeaid/funding/communication-and-visibility-manual-eu-external-actions_en</vt:lpwstr>
      </vt:variant>
      <vt:variant>
        <vt:lpwstr/>
      </vt:variant>
      <vt:variant>
        <vt:i4>4259886</vt:i4>
      </vt:variant>
      <vt:variant>
        <vt:i4>0</vt:i4>
      </vt:variant>
      <vt:variant>
        <vt:i4>0</vt:i4>
      </vt:variant>
      <vt:variant>
        <vt:i4>5</vt:i4>
      </vt:variant>
      <vt:variant>
        <vt:lpwstr>mailto:cfcu@mif.gov.me</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iva.vujovic</cp:lastModifiedBy>
  <cp:revision>4</cp:revision>
  <cp:lastPrinted>2016-04-22T12:08:00Z</cp:lastPrinted>
  <dcterms:created xsi:type="dcterms:W3CDTF">2016-06-21T07:51:00Z</dcterms:created>
  <dcterms:modified xsi:type="dcterms:W3CDTF">2016-06-22T13:58:00Z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