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0C" w:rsidRDefault="00B0540C" w:rsidP="00B0540C">
      <w:pPr>
        <w:pStyle w:val="Header"/>
        <w:jc w:val="center"/>
      </w:pPr>
      <w:r>
        <w:rPr>
          <w:noProof/>
          <w:sz w:val="28"/>
          <w:szCs w:val="28"/>
          <w:lang w:val="en-US"/>
        </w:rPr>
        <w:drawing>
          <wp:inline distT="0" distB="0" distL="0" distR="0">
            <wp:extent cx="838200" cy="952500"/>
            <wp:effectExtent l="19050" t="0" r="0" b="0"/>
            <wp:docPr id="1" name="Picture 1" descr="gr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pic:cNvPicPr>
                      <a:picLocks noChangeAspect="1" noChangeArrowheads="1"/>
                    </pic:cNvPicPr>
                  </pic:nvPicPr>
                  <pic:blipFill>
                    <a:blip r:embed="rId8"/>
                    <a:srcRect/>
                    <a:stretch>
                      <a:fillRect/>
                    </a:stretch>
                  </pic:blipFill>
                  <pic:spPr bwMode="auto">
                    <a:xfrm>
                      <a:off x="0" y="0"/>
                      <a:ext cx="838200" cy="952500"/>
                    </a:xfrm>
                    <a:prstGeom prst="rect">
                      <a:avLst/>
                    </a:prstGeom>
                    <a:noFill/>
                    <a:ln w="9525">
                      <a:noFill/>
                      <a:miter lim="800000"/>
                      <a:headEnd/>
                      <a:tailEnd/>
                    </a:ln>
                  </pic:spPr>
                </pic:pic>
              </a:graphicData>
            </a:graphic>
          </wp:inline>
        </w:drawing>
      </w:r>
    </w:p>
    <w:p w:rsidR="00B0540C" w:rsidRPr="00BA6C54" w:rsidRDefault="00B0540C" w:rsidP="00B0540C">
      <w:pPr>
        <w:spacing w:line="240" w:lineRule="auto"/>
        <w:jc w:val="center"/>
        <w:rPr>
          <w:rFonts w:ascii="Monotype Corsiva" w:hAnsi="Monotype Corsiva"/>
          <w:sz w:val="36"/>
          <w:szCs w:val="36"/>
        </w:rPr>
      </w:pPr>
      <w:r w:rsidRPr="00BA6C54">
        <w:rPr>
          <w:rFonts w:ascii="Monotype Corsiva" w:hAnsi="Monotype Corsiva"/>
          <w:sz w:val="36"/>
          <w:szCs w:val="36"/>
        </w:rPr>
        <w:t>Crna Gora</w:t>
      </w:r>
    </w:p>
    <w:p w:rsidR="00B0540C" w:rsidRPr="002D1A35" w:rsidRDefault="00B0540C" w:rsidP="00B0540C">
      <w:pPr>
        <w:spacing w:line="240" w:lineRule="auto"/>
        <w:jc w:val="center"/>
        <w:rPr>
          <w:rFonts w:ascii="Monotype Corsiva" w:hAnsi="Monotype Corsiva"/>
        </w:rPr>
      </w:pPr>
      <w:r w:rsidRPr="00BA6C54">
        <w:rPr>
          <w:rFonts w:ascii="Monotype Corsiva" w:hAnsi="Monotype Corsiva"/>
          <w:sz w:val="14"/>
          <w:szCs w:val="14"/>
        </w:rPr>
        <w:t>_____________________________________</w:t>
      </w:r>
    </w:p>
    <w:p w:rsidR="00B0540C" w:rsidRDefault="00B0540C" w:rsidP="00B0540C">
      <w:pPr>
        <w:pStyle w:val="Header"/>
        <w:jc w:val="center"/>
        <w:rPr>
          <w:rFonts w:ascii="Monotype Corsiva" w:hAnsi="Monotype Corsiva"/>
          <w:sz w:val="32"/>
          <w:szCs w:val="32"/>
        </w:rPr>
      </w:pPr>
      <w:r w:rsidRPr="00BA6C54">
        <w:rPr>
          <w:rFonts w:ascii="Monotype Corsiva" w:hAnsi="Monotype Corsiva"/>
          <w:sz w:val="32"/>
          <w:szCs w:val="32"/>
        </w:rPr>
        <w:t>Ministarstvo rada i socijalnog staranja</w:t>
      </w:r>
    </w:p>
    <w:p w:rsidR="00B0540C" w:rsidRPr="002D1A35" w:rsidRDefault="00B0540C" w:rsidP="00B0540C">
      <w:pPr>
        <w:pStyle w:val="Header"/>
        <w:jc w:val="center"/>
        <w:rPr>
          <w:rFonts w:ascii="Monotype Corsiva" w:hAnsi="Monotype Corsiva"/>
          <w:sz w:val="32"/>
          <w:szCs w:val="32"/>
        </w:rPr>
      </w:pPr>
    </w:p>
    <w:p w:rsidR="00B0540C" w:rsidRPr="003972D7" w:rsidRDefault="00B0540C" w:rsidP="00B0540C">
      <w:pPr>
        <w:spacing w:after="120" w:line="240" w:lineRule="auto"/>
        <w:jc w:val="center"/>
        <w:rPr>
          <w:rFonts w:ascii="Cambria" w:hAnsi="Cambria"/>
          <w:b/>
          <w:sz w:val="24"/>
          <w:szCs w:val="24"/>
          <w:u w:val="single"/>
        </w:rPr>
      </w:pPr>
    </w:p>
    <w:p w:rsidR="00B0540C" w:rsidRPr="00B0540C" w:rsidRDefault="00B0540C" w:rsidP="00B0540C">
      <w:pPr>
        <w:pStyle w:val="Title"/>
        <w:rPr>
          <w:sz w:val="48"/>
          <w:szCs w:val="48"/>
        </w:rPr>
      </w:pPr>
      <w:r>
        <w:rPr>
          <w:sz w:val="48"/>
          <w:szCs w:val="48"/>
        </w:rPr>
        <w:t>nacionalna strategija zapošljavanja i razvoja ljudskih resursa</w:t>
      </w:r>
      <w:r w:rsidRPr="003972D7">
        <w:rPr>
          <w:sz w:val="48"/>
          <w:szCs w:val="48"/>
        </w:rPr>
        <w:t xml:space="preserve"> </w:t>
      </w:r>
      <w:r>
        <w:rPr>
          <w:sz w:val="48"/>
          <w:szCs w:val="48"/>
        </w:rPr>
        <w:t>2016</w:t>
      </w:r>
      <w:r w:rsidRPr="00BC7CB1">
        <w:rPr>
          <w:sz w:val="48"/>
          <w:lang w:val="en-GB"/>
        </w:rPr>
        <w:t>-2020</w:t>
      </w:r>
    </w:p>
    <w:p w:rsidR="00B0540C" w:rsidRPr="003972D7" w:rsidRDefault="00B0540C" w:rsidP="00B0540C">
      <w:pPr>
        <w:pStyle w:val="Title"/>
        <w:rPr>
          <w:sz w:val="48"/>
          <w:szCs w:val="48"/>
        </w:rPr>
      </w:pPr>
      <w:r>
        <w:rPr>
          <w:sz w:val="48"/>
          <w:szCs w:val="48"/>
        </w:rPr>
        <w:t>-</w:t>
      </w:r>
      <w:r w:rsidRPr="00B0540C">
        <w:rPr>
          <w:sz w:val="28"/>
          <w:szCs w:val="28"/>
        </w:rPr>
        <w:t>Tržište rada na evropskom putu-</w:t>
      </w:r>
    </w:p>
    <w:p w:rsidR="00B0540C" w:rsidRPr="00B41F2F" w:rsidRDefault="00B0540C" w:rsidP="00B0540C">
      <w:pPr>
        <w:spacing w:after="120" w:line="240" w:lineRule="auto"/>
        <w:jc w:val="center"/>
        <w:rPr>
          <w:rFonts w:ascii="Cambria" w:hAnsi="Cambria"/>
          <w:color w:val="244061"/>
          <w:sz w:val="32"/>
          <w:szCs w:val="32"/>
        </w:rPr>
      </w:pPr>
      <w:r>
        <w:rPr>
          <w:rFonts w:ascii="Cambria" w:hAnsi="Cambria"/>
          <w:color w:val="244061"/>
          <w:sz w:val="32"/>
          <w:szCs w:val="32"/>
        </w:rPr>
        <w:t>(</w:t>
      </w:r>
      <w:r w:rsidR="00D002C3">
        <w:rPr>
          <w:rFonts w:ascii="Cambria" w:hAnsi="Cambria"/>
          <w:color w:val="244061"/>
          <w:sz w:val="32"/>
          <w:szCs w:val="32"/>
        </w:rPr>
        <w:t>nacrt</w:t>
      </w:r>
      <w:r>
        <w:rPr>
          <w:rFonts w:ascii="Cambria" w:hAnsi="Cambria"/>
          <w:color w:val="244061"/>
          <w:sz w:val="32"/>
          <w:szCs w:val="32"/>
        </w:rPr>
        <w:t>)</w:t>
      </w:r>
    </w:p>
    <w:p w:rsidR="00B0540C" w:rsidRPr="003972D7" w:rsidRDefault="00B0540C" w:rsidP="00B0540C">
      <w:pPr>
        <w:spacing w:after="120" w:line="240" w:lineRule="auto"/>
        <w:jc w:val="center"/>
        <w:rPr>
          <w:rFonts w:ascii="Cambria" w:hAnsi="Cambria"/>
          <w:b/>
          <w:sz w:val="24"/>
          <w:szCs w:val="24"/>
          <w:u w:val="single"/>
        </w:rPr>
      </w:pPr>
    </w:p>
    <w:p w:rsidR="00B0540C" w:rsidRPr="003972D7" w:rsidRDefault="00B0540C" w:rsidP="00B0540C">
      <w:pPr>
        <w:spacing w:after="120" w:line="240" w:lineRule="auto"/>
        <w:jc w:val="center"/>
        <w:rPr>
          <w:rFonts w:ascii="Cambria" w:hAnsi="Cambria"/>
          <w:b/>
          <w:sz w:val="24"/>
          <w:szCs w:val="24"/>
          <w:u w:val="single"/>
        </w:rPr>
      </w:pPr>
    </w:p>
    <w:p w:rsidR="00B0540C" w:rsidRPr="003972D7" w:rsidRDefault="00B0540C" w:rsidP="00B0540C">
      <w:pPr>
        <w:spacing w:after="120" w:line="240" w:lineRule="auto"/>
        <w:jc w:val="center"/>
        <w:rPr>
          <w:rFonts w:ascii="Cambria" w:hAnsi="Cambria"/>
          <w:b/>
          <w:sz w:val="24"/>
          <w:szCs w:val="24"/>
        </w:rPr>
      </w:pPr>
    </w:p>
    <w:p w:rsidR="00B0540C" w:rsidRPr="003972D7" w:rsidRDefault="00B0540C" w:rsidP="00B0540C">
      <w:pPr>
        <w:spacing w:after="120" w:line="240" w:lineRule="auto"/>
        <w:jc w:val="center"/>
        <w:rPr>
          <w:rFonts w:ascii="Cambria" w:hAnsi="Cambria"/>
          <w:b/>
          <w:sz w:val="24"/>
          <w:szCs w:val="24"/>
        </w:rPr>
      </w:pPr>
    </w:p>
    <w:p w:rsidR="00B0540C" w:rsidRPr="003972D7" w:rsidRDefault="00B0540C" w:rsidP="00B0540C">
      <w:pPr>
        <w:spacing w:after="120" w:line="240" w:lineRule="auto"/>
        <w:jc w:val="center"/>
        <w:rPr>
          <w:rFonts w:ascii="Cambria" w:hAnsi="Cambria"/>
          <w:b/>
          <w:sz w:val="24"/>
          <w:szCs w:val="24"/>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0540C" w:rsidRDefault="00B0540C" w:rsidP="00B0540C">
      <w:pPr>
        <w:pStyle w:val="Subtitle"/>
        <w:rPr>
          <w:rFonts w:ascii="Cambria" w:hAnsi="Cambria"/>
          <w:color w:val="auto"/>
        </w:rPr>
      </w:pPr>
    </w:p>
    <w:p w:rsidR="00B21EF9" w:rsidRPr="00875216" w:rsidRDefault="00B0540C" w:rsidP="00875216">
      <w:pPr>
        <w:pStyle w:val="Subtitle"/>
        <w:rPr>
          <w:rFonts w:ascii="Cambria" w:hAnsi="Cambria"/>
          <w:color w:val="auto"/>
        </w:rPr>
      </w:pPr>
      <w:r w:rsidRPr="003972D7">
        <w:rPr>
          <w:rFonts w:ascii="Cambria" w:hAnsi="Cambria"/>
          <w:color w:val="auto"/>
        </w:rPr>
        <w:t xml:space="preserve">Podgorica, </w:t>
      </w:r>
      <w:r w:rsidR="006D3590">
        <w:rPr>
          <w:rFonts w:ascii="Cambria" w:hAnsi="Cambria"/>
          <w:color w:val="auto"/>
        </w:rPr>
        <w:t>novembar</w:t>
      </w:r>
      <w:r>
        <w:rPr>
          <w:rFonts w:ascii="Cambria" w:hAnsi="Cambria"/>
          <w:color w:val="auto"/>
        </w:rPr>
        <w:t xml:space="preserve"> </w:t>
      </w:r>
      <w:r w:rsidRPr="003972D7">
        <w:rPr>
          <w:rFonts w:ascii="Cambria" w:hAnsi="Cambria"/>
          <w:color w:val="auto"/>
        </w:rPr>
        <w:t>2015. godine</w:t>
      </w:r>
    </w:p>
    <w:sdt>
      <w:sdtPr>
        <w:rPr>
          <w:rFonts w:ascii="Calibri" w:eastAsia="Calibri" w:hAnsi="Calibri" w:cs="Times New Roman"/>
          <w:b w:val="0"/>
          <w:bCs w:val="0"/>
          <w:color w:val="auto"/>
          <w:sz w:val="22"/>
          <w:szCs w:val="22"/>
          <w:lang w:val="sr-Latn-CS"/>
        </w:rPr>
        <w:id w:val="2529697"/>
        <w:docPartObj>
          <w:docPartGallery w:val="Table of Contents"/>
          <w:docPartUnique/>
        </w:docPartObj>
      </w:sdtPr>
      <w:sdtContent>
        <w:p w:rsidR="002355A4" w:rsidRDefault="002355A4" w:rsidP="002355A4">
          <w:pPr>
            <w:pStyle w:val="TOCHeading"/>
            <w:jc w:val="center"/>
          </w:pPr>
          <w:r>
            <w:t>Sadržaj</w:t>
          </w:r>
        </w:p>
        <w:p w:rsidR="002355A4" w:rsidRDefault="002355A4">
          <w:pPr>
            <w:pStyle w:val="TOC1"/>
            <w:tabs>
              <w:tab w:val="right" w:leader="dot" w:pos="9061"/>
            </w:tabs>
          </w:pPr>
        </w:p>
        <w:p w:rsidR="002355A4" w:rsidRDefault="002355A4">
          <w:pPr>
            <w:pStyle w:val="TOC1"/>
            <w:tabs>
              <w:tab w:val="right" w:leader="dot" w:pos="9061"/>
            </w:tabs>
          </w:pPr>
        </w:p>
        <w:p w:rsidR="00CF3121" w:rsidRDefault="00823FF9">
          <w:pPr>
            <w:pStyle w:val="TOC1"/>
            <w:tabs>
              <w:tab w:val="right" w:leader="dot" w:pos="9061"/>
            </w:tabs>
            <w:rPr>
              <w:rFonts w:asciiTheme="minorHAnsi" w:eastAsiaTheme="minorEastAsia" w:hAnsiTheme="minorHAnsi" w:cstheme="minorBidi"/>
              <w:noProof/>
              <w:lang w:val="en-US"/>
            </w:rPr>
          </w:pPr>
          <w:r>
            <w:fldChar w:fldCharType="begin"/>
          </w:r>
          <w:r w:rsidR="002355A4">
            <w:instrText xml:space="preserve"> TOC \o "1-3" \h \z \u </w:instrText>
          </w:r>
          <w:r>
            <w:fldChar w:fldCharType="separate"/>
          </w:r>
          <w:hyperlink w:anchor="_Toc435454464" w:history="1">
            <w:r w:rsidR="00CF3121" w:rsidRPr="00717129">
              <w:rPr>
                <w:rStyle w:val="Hyperlink"/>
                <w:rFonts w:eastAsia="Times New Roman"/>
                <w:noProof/>
              </w:rPr>
              <w:t>Uvodne napomene</w:t>
            </w:r>
            <w:r w:rsidR="00CF3121">
              <w:rPr>
                <w:noProof/>
                <w:webHidden/>
              </w:rPr>
              <w:tab/>
            </w:r>
            <w:r>
              <w:rPr>
                <w:noProof/>
                <w:webHidden/>
              </w:rPr>
              <w:fldChar w:fldCharType="begin"/>
            </w:r>
            <w:r w:rsidR="00CF3121">
              <w:rPr>
                <w:noProof/>
                <w:webHidden/>
              </w:rPr>
              <w:instrText xml:space="preserve"> PAGEREF _Toc435454464 \h </w:instrText>
            </w:r>
            <w:r>
              <w:rPr>
                <w:noProof/>
                <w:webHidden/>
              </w:rPr>
            </w:r>
            <w:r>
              <w:rPr>
                <w:noProof/>
                <w:webHidden/>
              </w:rPr>
              <w:fldChar w:fldCharType="separate"/>
            </w:r>
            <w:r w:rsidR="00CF3121">
              <w:rPr>
                <w:noProof/>
                <w:webHidden/>
              </w:rPr>
              <w:t>4</w:t>
            </w:r>
            <w:r>
              <w:rPr>
                <w:noProof/>
                <w:webHidden/>
              </w:rPr>
              <w:fldChar w:fldCharType="end"/>
            </w:r>
          </w:hyperlink>
        </w:p>
        <w:p w:rsidR="00CF3121" w:rsidRDefault="00823FF9">
          <w:pPr>
            <w:pStyle w:val="TOC1"/>
            <w:tabs>
              <w:tab w:val="right" w:leader="dot" w:pos="9061"/>
            </w:tabs>
            <w:rPr>
              <w:rFonts w:asciiTheme="minorHAnsi" w:eastAsiaTheme="minorEastAsia" w:hAnsiTheme="minorHAnsi" w:cstheme="minorBidi"/>
              <w:noProof/>
              <w:lang w:val="en-US"/>
            </w:rPr>
          </w:pPr>
          <w:hyperlink w:anchor="_Toc435454465" w:history="1">
            <w:r w:rsidR="00CF3121" w:rsidRPr="00717129">
              <w:rPr>
                <w:rStyle w:val="Hyperlink"/>
                <w:noProof/>
              </w:rPr>
              <w:t>DIO I: UVOD</w:t>
            </w:r>
            <w:r w:rsidR="00CF3121">
              <w:rPr>
                <w:noProof/>
                <w:webHidden/>
              </w:rPr>
              <w:tab/>
            </w:r>
            <w:r>
              <w:rPr>
                <w:noProof/>
                <w:webHidden/>
              </w:rPr>
              <w:fldChar w:fldCharType="begin"/>
            </w:r>
            <w:r w:rsidR="00CF3121">
              <w:rPr>
                <w:noProof/>
                <w:webHidden/>
              </w:rPr>
              <w:instrText xml:space="preserve"> PAGEREF _Toc435454465 \h </w:instrText>
            </w:r>
            <w:r>
              <w:rPr>
                <w:noProof/>
                <w:webHidden/>
              </w:rPr>
            </w:r>
            <w:r>
              <w:rPr>
                <w:noProof/>
                <w:webHidden/>
              </w:rPr>
              <w:fldChar w:fldCharType="separate"/>
            </w:r>
            <w:r w:rsidR="00CF3121">
              <w:rPr>
                <w:noProof/>
                <w:webHidden/>
              </w:rPr>
              <w:t>5</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66" w:history="1">
            <w:r w:rsidR="00CF3121" w:rsidRPr="00717129">
              <w:rPr>
                <w:rStyle w:val="Hyperlink"/>
                <w:noProof/>
              </w:rPr>
              <w:t xml:space="preserve">1.1 </w:t>
            </w:r>
            <w:r w:rsidR="00CF3121" w:rsidRPr="00717129">
              <w:rPr>
                <w:rStyle w:val="Hyperlink"/>
                <w:noProof/>
                <w:lang w:val="pl-PL"/>
              </w:rPr>
              <w:t>Rezultati</w:t>
            </w:r>
            <w:r w:rsidR="00CF3121" w:rsidRPr="00717129">
              <w:rPr>
                <w:rStyle w:val="Hyperlink"/>
                <w:noProof/>
              </w:rPr>
              <w:t xml:space="preserve"> </w:t>
            </w:r>
            <w:r w:rsidR="00CF3121" w:rsidRPr="00717129">
              <w:rPr>
                <w:rStyle w:val="Hyperlink"/>
                <w:noProof/>
                <w:lang w:val="pl-PL"/>
              </w:rPr>
              <w:t>sprovedene</w:t>
            </w:r>
            <w:r w:rsidR="00CF3121" w:rsidRPr="00717129">
              <w:rPr>
                <w:rStyle w:val="Hyperlink"/>
                <w:noProof/>
              </w:rPr>
              <w:t xml:space="preserve"> „</w:t>
            </w:r>
            <w:r w:rsidR="00CF3121" w:rsidRPr="00717129">
              <w:rPr>
                <w:rStyle w:val="Hyperlink"/>
                <w:noProof/>
                <w:lang w:val="pl-PL"/>
              </w:rPr>
              <w:t>Nacionalne</w:t>
            </w:r>
            <w:r w:rsidR="00CF3121" w:rsidRPr="00717129">
              <w:rPr>
                <w:rStyle w:val="Hyperlink"/>
                <w:noProof/>
              </w:rPr>
              <w:t xml:space="preserve"> </w:t>
            </w:r>
            <w:r w:rsidR="00CF3121" w:rsidRPr="00717129">
              <w:rPr>
                <w:rStyle w:val="Hyperlink"/>
                <w:noProof/>
                <w:lang w:val="pl-PL"/>
              </w:rPr>
              <w:t>strategije</w:t>
            </w:r>
            <w:r w:rsidR="00CF3121" w:rsidRPr="00717129">
              <w:rPr>
                <w:rStyle w:val="Hyperlink"/>
                <w:noProof/>
              </w:rPr>
              <w:t xml:space="preserve"> </w:t>
            </w:r>
            <w:r w:rsidR="00CF3121" w:rsidRPr="00717129">
              <w:rPr>
                <w:rStyle w:val="Hyperlink"/>
                <w:noProof/>
                <w:lang w:val="pl-PL"/>
              </w:rPr>
              <w:t>zapo</w:t>
            </w:r>
            <w:r w:rsidR="00CF3121" w:rsidRPr="00717129">
              <w:rPr>
                <w:rStyle w:val="Hyperlink"/>
                <w:noProof/>
              </w:rPr>
              <w:t>š</w:t>
            </w:r>
            <w:r w:rsidR="00CF3121" w:rsidRPr="00717129">
              <w:rPr>
                <w:rStyle w:val="Hyperlink"/>
                <w:noProof/>
                <w:lang w:val="pl-PL"/>
              </w:rPr>
              <w:t>ljavanja</w:t>
            </w:r>
            <w:r w:rsidR="00CF3121" w:rsidRPr="00717129">
              <w:rPr>
                <w:rStyle w:val="Hyperlink"/>
                <w:noProof/>
              </w:rPr>
              <w:t xml:space="preserve"> </w:t>
            </w:r>
            <w:r w:rsidR="00CF3121" w:rsidRPr="00717129">
              <w:rPr>
                <w:rStyle w:val="Hyperlink"/>
                <w:noProof/>
                <w:lang w:val="pl-PL"/>
              </w:rPr>
              <w:t>i</w:t>
            </w:r>
            <w:r w:rsidR="00CF3121" w:rsidRPr="00717129">
              <w:rPr>
                <w:rStyle w:val="Hyperlink"/>
                <w:noProof/>
              </w:rPr>
              <w:t xml:space="preserve"> </w:t>
            </w:r>
            <w:r w:rsidR="00CF3121" w:rsidRPr="00717129">
              <w:rPr>
                <w:rStyle w:val="Hyperlink"/>
                <w:noProof/>
                <w:lang w:val="pl-PL"/>
              </w:rPr>
              <w:t>razvoja</w:t>
            </w:r>
            <w:r w:rsidR="00CF3121" w:rsidRPr="00717129">
              <w:rPr>
                <w:rStyle w:val="Hyperlink"/>
                <w:noProof/>
              </w:rPr>
              <w:t xml:space="preserve"> </w:t>
            </w:r>
            <w:r w:rsidR="00CF3121" w:rsidRPr="00717129">
              <w:rPr>
                <w:rStyle w:val="Hyperlink"/>
                <w:noProof/>
                <w:lang w:val="pl-PL"/>
              </w:rPr>
              <w:t>ljudskih</w:t>
            </w:r>
            <w:r w:rsidR="00CF3121" w:rsidRPr="00717129">
              <w:rPr>
                <w:rStyle w:val="Hyperlink"/>
                <w:noProof/>
              </w:rPr>
              <w:t xml:space="preserve"> </w:t>
            </w:r>
            <w:r w:rsidR="00CF3121" w:rsidRPr="00717129">
              <w:rPr>
                <w:rStyle w:val="Hyperlink"/>
                <w:noProof/>
                <w:lang w:val="pl-PL"/>
              </w:rPr>
              <w:t>resursa</w:t>
            </w:r>
            <w:r w:rsidR="00CF3121" w:rsidRPr="00717129">
              <w:rPr>
                <w:rStyle w:val="Hyperlink"/>
                <w:noProof/>
              </w:rPr>
              <w:t xml:space="preserve"> </w:t>
            </w:r>
            <w:r w:rsidR="00CF3121" w:rsidRPr="00717129">
              <w:rPr>
                <w:rStyle w:val="Hyperlink"/>
                <w:noProof/>
                <w:lang w:val="pl-PL"/>
              </w:rPr>
              <w:t>za</w:t>
            </w:r>
            <w:r w:rsidR="00CF3121" w:rsidRPr="00717129">
              <w:rPr>
                <w:rStyle w:val="Hyperlink"/>
                <w:noProof/>
              </w:rPr>
              <w:t xml:space="preserve"> </w:t>
            </w:r>
            <w:r w:rsidR="00CF3121" w:rsidRPr="00717129">
              <w:rPr>
                <w:rStyle w:val="Hyperlink"/>
                <w:noProof/>
                <w:lang w:val="pl-PL"/>
              </w:rPr>
              <w:t>period</w:t>
            </w:r>
            <w:r w:rsidR="00CF3121" w:rsidRPr="00717129">
              <w:rPr>
                <w:rStyle w:val="Hyperlink"/>
                <w:noProof/>
              </w:rPr>
              <w:t xml:space="preserve"> 2012-2015“</w:t>
            </w:r>
            <w:r w:rsidR="00CF3121">
              <w:rPr>
                <w:noProof/>
                <w:webHidden/>
              </w:rPr>
              <w:tab/>
            </w:r>
            <w:r>
              <w:rPr>
                <w:noProof/>
                <w:webHidden/>
              </w:rPr>
              <w:fldChar w:fldCharType="begin"/>
            </w:r>
            <w:r w:rsidR="00CF3121">
              <w:rPr>
                <w:noProof/>
                <w:webHidden/>
              </w:rPr>
              <w:instrText xml:space="preserve"> PAGEREF _Toc435454466 \h </w:instrText>
            </w:r>
            <w:r>
              <w:rPr>
                <w:noProof/>
                <w:webHidden/>
              </w:rPr>
            </w:r>
            <w:r>
              <w:rPr>
                <w:noProof/>
                <w:webHidden/>
              </w:rPr>
              <w:fldChar w:fldCharType="separate"/>
            </w:r>
            <w:r w:rsidR="00CF3121">
              <w:rPr>
                <w:noProof/>
                <w:webHidden/>
              </w:rPr>
              <w:t>5</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67" w:history="1">
            <w:r w:rsidR="00CF3121" w:rsidRPr="00717129">
              <w:rPr>
                <w:rStyle w:val="Hyperlink"/>
                <w:noProof/>
              </w:rPr>
              <w:t>1.2 Nacionalna strategija zapošljavanja i razvoja ljudskih resursa 2016 - 2020</w:t>
            </w:r>
            <w:r w:rsidR="00CF3121">
              <w:rPr>
                <w:noProof/>
                <w:webHidden/>
              </w:rPr>
              <w:tab/>
            </w:r>
            <w:r>
              <w:rPr>
                <w:noProof/>
                <w:webHidden/>
              </w:rPr>
              <w:fldChar w:fldCharType="begin"/>
            </w:r>
            <w:r w:rsidR="00CF3121">
              <w:rPr>
                <w:noProof/>
                <w:webHidden/>
              </w:rPr>
              <w:instrText xml:space="preserve"> PAGEREF _Toc435454467 \h </w:instrText>
            </w:r>
            <w:r>
              <w:rPr>
                <w:noProof/>
                <w:webHidden/>
              </w:rPr>
            </w:r>
            <w:r>
              <w:rPr>
                <w:noProof/>
                <w:webHidden/>
              </w:rPr>
              <w:fldChar w:fldCharType="separate"/>
            </w:r>
            <w:r w:rsidR="00CF3121">
              <w:rPr>
                <w:noProof/>
                <w:webHidden/>
              </w:rPr>
              <w:t>9</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68" w:history="1">
            <w:r w:rsidR="00CF3121" w:rsidRPr="00717129">
              <w:rPr>
                <w:rStyle w:val="Hyperlink"/>
                <w:noProof/>
              </w:rPr>
              <w:t>1.2.1 Opšti cilj Nacionalne strategije zapošljavanja i razvoja ljudskih resursa za period 2016-2020 i njeni prioriteti</w:t>
            </w:r>
            <w:r w:rsidR="00CF3121">
              <w:rPr>
                <w:noProof/>
                <w:webHidden/>
              </w:rPr>
              <w:tab/>
            </w:r>
            <w:r>
              <w:rPr>
                <w:noProof/>
                <w:webHidden/>
              </w:rPr>
              <w:fldChar w:fldCharType="begin"/>
            </w:r>
            <w:r w:rsidR="00CF3121">
              <w:rPr>
                <w:noProof/>
                <w:webHidden/>
              </w:rPr>
              <w:instrText xml:space="preserve"> PAGEREF _Toc435454468 \h </w:instrText>
            </w:r>
            <w:r>
              <w:rPr>
                <w:noProof/>
                <w:webHidden/>
              </w:rPr>
            </w:r>
            <w:r>
              <w:rPr>
                <w:noProof/>
                <w:webHidden/>
              </w:rPr>
              <w:fldChar w:fldCharType="separate"/>
            </w:r>
            <w:r w:rsidR="00CF3121">
              <w:rPr>
                <w:noProof/>
                <w:webHidden/>
              </w:rPr>
              <w:t>9</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69" w:history="1">
            <w:r w:rsidR="00CF3121" w:rsidRPr="00717129">
              <w:rPr>
                <w:rStyle w:val="Hyperlink"/>
                <w:noProof/>
              </w:rPr>
              <w:t>1.2.2: Pokazatelji uspjeha u cilju mjerenja implementacije Strategije</w:t>
            </w:r>
            <w:r w:rsidR="00CF3121">
              <w:rPr>
                <w:noProof/>
                <w:webHidden/>
              </w:rPr>
              <w:tab/>
            </w:r>
            <w:r>
              <w:rPr>
                <w:noProof/>
                <w:webHidden/>
              </w:rPr>
              <w:fldChar w:fldCharType="begin"/>
            </w:r>
            <w:r w:rsidR="00CF3121">
              <w:rPr>
                <w:noProof/>
                <w:webHidden/>
              </w:rPr>
              <w:instrText xml:space="preserve"> PAGEREF _Toc435454469 \h </w:instrText>
            </w:r>
            <w:r>
              <w:rPr>
                <w:noProof/>
                <w:webHidden/>
              </w:rPr>
            </w:r>
            <w:r>
              <w:rPr>
                <w:noProof/>
                <w:webHidden/>
              </w:rPr>
              <w:fldChar w:fldCharType="separate"/>
            </w:r>
            <w:r w:rsidR="00CF3121">
              <w:rPr>
                <w:noProof/>
                <w:webHidden/>
              </w:rPr>
              <w:t>10</w:t>
            </w:r>
            <w:r>
              <w:rPr>
                <w:noProof/>
                <w:webHidden/>
              </w:rPr>
              <w:fldChar w:fldCharType="end"/>
            </w:r>
          </w:hyperlink>
        </w:p>
        <w:p w:rsidR="00CF3121" w:rsidRDefault="00823FF9">
          <w:pPr>
            <w:pStyle w:val="TOC1"/>
            <w:tabs>
              <w:tab w:val="right" w:leader="dot" w:pos="9061"/>
            </w:tabs>
            <w:rPr>
              <w:rFonts w:asciiTheme="minorHAnsi" w:eastAsiaTheme="minorEastAsia" w:hAnsiTheme="minorHAnsi" w:cstheme="minorBidi"/>
              <w:noProof/>
              <w:lang w:val="en-US"/>
            </w:rPr>
          </w:pPr>
          <w:hyperlink w:anchor="_Toc435454470" w:history="1">
            <w:r w:rsidR="00CF3121" w:rsidRPr="00717129">
              <w:rPr>
                <w:rStyle w:val="Hyperlink"/>
                <w:noProof/>
              </w:rPr>
              <w:t>DIO II: ANALIZA POSTOJEĆEG STANJA</w:t>
            </w:r>
            <w:r w:rsidR="00CF3121">
              <w:rPr>
                <w:noProof/>
                <w:webHidden/>
              </w:rPr>
              <w:tab/>
            </w:r>
            <w:r>
              <w:rPr>
                <w:noProof/>
                <w:webHidden/>
              </w:rPr>
              <w:fldChar w:fldCharType="begin"/>
            </w:r>
            <w:r w:rsidR="00CF3121">
              <w:rPr>
                <w:noProof/>
                <w:webHidden/>
              </w:rPr>
              <w:instrText xml:space="preserve"> PAGEREF _Toc435454470 \h </w:instrText>
            </w:r>
            <w:r>
              <w:rPr>
                <w:noProof/>
                <w:webHidden/>
              </w:rPr>
            </w:r>
            <w:r>
              <w:rPr>
                <w:noProof/>
                <w:webHidden/>
              </w:rPr>
              <w:fldChar w:fldCharType="separate"/>
            </w:r>
            <w:r w:rsidR="00CF3121">
              <w:rPr>
                <w:noProof/>
                <w:webHidden/>
              </w:rPr>
              <w:t>11</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71" w:history="1">
            <w:r w:rsidR="00CF3121" w:rsidRPr="00717129">
              <w:rPr>
                <w:rStyle w:val="Hyperlink"/>
                <w:noProof/>
              </w:rPr>
              <w:t xml:space="preserve">2.1. </w:t>
            </w:r>
            <w:r w:rsidR="00CF3121" w:rsidRPr="00717129">
              <w:rPr>
                <w:rStyle w:val="Hyperlink"/>
                <w:noProof/>
                <w:lang w:val="pl-PL"/>
              </w:rPr>
              <w:t>Makroekonomski</w:t>
            </w:r>
            <w:r w:rsidR="00CF3121" w:rsidRPr="00717129">
              <w:rPr>
                <w:rStyle w:val="Hyperlink"/>
                <w:noProof/>
              </w:rPr>
              <w:t xml:space="preserve"> </w:t>
            </w:r>
            <w:r w:rsidR="00CF3121" w:rsidRPr="00717129">
              <w:rPr>
                <w:rStyle w:val="Hyperlink"/>
                <w:noProof/>
                <w:lang w:val="pl-PL"/>
              </w:rPr>
              <w:t>kontekst</w:t>
            </w:r>
            <w:r w:rsidR="00CF3121">
              <w:rPr>
                <w:noProof/>
                <w:webHidden/>
              </w:rPr>
              <w:tab/>
            </w:r>
            <w:r>
              <w:rPr>
                <w:noProof/>
                <w:webHidden/>
              </w:rPr>
              <w:fldChar w:fldCharType="begin"/>
            </w:r>
            <w:r w:rsidR="00CF3121">
              <w:rPr>
                <w:noProof/>
                <w:webHidden/>
              </w:rPr>
              <w:instrText xml:space="preserve"> PAGEREF _Toc435454471 \h </w:instrText>
            </w:r>
            <w:r>
              <w:rPr>
                <w:noProof/>
                <w:webHidden/>
              </w:rPr>
            </w:r>
            <w:r>
              <w:rPr>
                <w:noProof/>
                <w:webHidden/>
              </w:rPr>
              <w:fldChar w:fldCharType="separate"/>
            </w:r>
            <w:r w:rsidR="00CF3121">
              <w:rPr>
                <w:noProof/>
                <w:webHidden/>
              </w:rPr>
              <w:t>11</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72" w:history="1">
            <w:r w:rsidR="00CF3121" w:rsidRPr="00717129">
              <w:rPr>
                <w:rStyle w:val="Hyperlink"/>
                <w:noProof/>
              </w:rPr>
              <w:t>2.2  Stanovništvo i aktivnost</w:t>
            </w:r>
            <w:r w:rsidR="00CF3121">
              <w:rPr>
                <w:noProof/>
                <w:webHidden/>
              </w:rPr>
              <w:tab/>
            </w:r>
            <w:r>
              <w:rPr>
                <w:noProof/>
                <w:webHidden/>
              </w:rPr>
              <w:fldChar w:fldCharType="begin"/>
            </w:r>
            <w:r w:rsidR="00CF3121">
              <w:rPr>
                <w:noProof/>
                <w:webHidden/>
              </w:rPr>
              <w:instrText xml:space="preserve"> PAGEREF _Toc435454472 \h </w:instrText>
            </w:r>
            <w:r>
              <w:rPr>
                <w:noProof/>
                <w:webHidden/>
              </w:rPr>
            </w:r>
            <w:r>
              <w:rPr>
                <w:noProof/>
                <w:webHidden/>
              </w:rPr>
              <w:fldChar w:fldCharType="separate"/>
            </w:r>
            <w:r w:rsidR="00CF3121">
              <w:rPr>
                <w:noProof/>
                <w:webHidden/>
              </w:rPr>
              <w:t>12</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73" w:history="1">
            <w:r w:rsidR="00CF3121" w:rsidRPr="00717129">
              <w:rPr>
                <w:rStyle w:val="Hyperlink"/>
                <w:noProof/>
              </w:rPr>
              <w:t>2.3  Trendovi na tržištu rada</w:t>
            </w:r>
            <w:r w:rsidR="00CF3121">
              <w:rPr>
                <w:noProof/>
                <w:webHidden/>
              </w:rPr>
              <w:tab/>
            </w:r>
            <w:r>
              <w:rPr>
                <w:noProof/>
                <w:webHidden/>
              </w:rPr>
              <w:fldChar w:fldCharType="begin"/>
            </w:r>
            <w:r w:rsidR="00CF3121">
              <w:rPr>
                <w:noProof/>
                <w:webHidden/>
              </w:rPr>
              <w:instrText xml:space="preserve"> PAGEREF _Toc435454473 \h </w:instrText>
            </w:r>
            <w:r>
              <w:rPr>
                <w:noProof/>
                <w:webHidden/>
              </w:rPr>
            </w:r>
            <w:r>
              <w:rPr>
                <w:noProof/>
                <w:webHidden/>
              </w:rPr>
              <w:fldChar w:fldCharType="separate"/>
            </w:r>
            <w:r w:rsidR="00CF3121">
              <w:rPr>
                <w:noProof/>
                <w:webHidden/>
              </w:rPr>
              <w:t>13</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74" w:history="1">
            <w:r w:rsidR="00CF3121" w:rsidRPr="00717129">
              <w:rPr>
                <w:rStyle w:val="Hyperlink"/>
                <w:noProof/>
                <w:lang w:val="pl-PL"/>
              </w:rPr>
              <w:t>2.3.1. Kretanje osnovnih pokazatelja tržišta rada u periodu 2011–2014. godine</w:t>
            </w:r>
            <w:r w:rsidR="00CF3121">
              <w:rPr>
                <w:noProof/>
                <w:webHidden/>
              </w:rPr>
              <w:tab/>
            </w:r>
            <w:r>
              <w:rPr>
                <w:noProof/>
                <w:webHidden/>
              </w:rPr>
              <w:fldChar w:fldCharType="begin"/>
            </w:r>
            <w:r w:rsidR="00CF3121">
              <w:rPr>
                <w:noProof/>
                <w:webHidden/>
              </w:rPr>
              <w:instrText xml:space="preserve"> PAGEREF _Toc435454474 \h </w:instrText>
            </w:r>
            <w:r>
              <w:rPr>
                <w:noProof/>
                <w:webHidden/>
              </w:rPr>
            </w:r>
            <w:r>
              <w:rPr>
                <w:noProof/>
                <w:webHidden/>
              </w:rPr>
              <w:fldChar w:fldCharType="separate"/>
            </w:r>
            <w:r w:rsidR="00CF3121">
              <w:rPr>
                <w:noProof/>
                <w:webHidden/>
              </w:rPr>
              <w:t>13</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75" w:history="1">
            <w:r w:rsidR="00CF3121" w:rsidRPr="00717129">
              <w:rPr>
                <w:rStyle w:val="Hyperlink"/>
                <w:noProof/>
                <w:lang w:val="pl-PL"/>
              </w:rPr>
              <w:t>2.3.2. Uticaj krize na tržište rada</w:t>
            </w:r>
            <w:r w:rsidR="00CF3121">
              <w:rPr>
                <w:noProof/>
                <w:webHidden/>
              </w:rPr>
              <w:tab/>
            </w:r>
            <w:r>
              <w:rPr>
                <w:noProof/>
                <w:webHidden/>
              </w:rPr>
              <w:fldChar w:fldCharType="begin"/>
            </w:r>
            <w:r w:rsidR="00CF3121">
              <w:rPr>
                <w:noProof/>
                <w:webHidden/>
              </w:rPr>
              <w:instrText xml:space="preserve"> PAGEREF _Toc435454475 \h </w:instrText>
            </w:r>
            <w:r>
              <w:rPr>
                <w:noProof/>
                <w:webHidden/>
              </w:rPr>
            </w:r>
            <w:r>
              <w:rPr>
                <w:noProof/>
                <w:webHidden/>
              </w:rPr>
              <w:fldChar w:fldCharType="separate"/>
            </w:r>
            <w:r w:rsidR="00CF3121">
              <w:rPr>
                <w:noProof/>
                <w:webHidden/>
              </w:rPr>
              <w:t>14</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76" w:history="1">
            <w:r w:rsidR="00CF3121" w:rsidRPr="00717129">
              <w:rPr>
                <w:rStyle w:val="Hyperlink"/>
                <w:noProof/>
                <w:lang w:val="pl-PL"/>
              </w:rPr>
              <w:t>2.3.3. Karakteristike zaposlenosti</w:t>
            </w:r>
            <w:r w:rsidR="00CF3121">
              <w:rPr>
                <w:noProof/>
                <w:webHidden/>
              </w:rPr>
              <w:tab/>
            </w:r>
            <w:r>
              <w:rPr>
                <w:noProof/>
                <w:webHidden/>
              </w:rPr>
              <w:fldChar w:fldCharType="begin"/>
            </w:r>
            <w:r w:rsidR="00CF3121">
              <w:rPr>
                <w:noProof/>
                <w:webHidden/>
              </w:rPr>
              <w:instrText xml:space="preserve"> PAGEREF _Toc435454476 \h </w:instrText>
            </w:r>
            <w:r>
              <w:rPr>
                <w:noProof/>
                <w:webHidden/>
              </w:rPr>
            </w:r>
            <w:r>
              <w:rPr>
                <w:noProof/>
                <w:webHidden/>
              </w:rPr>
              <w:fldChar w:fldCharType="separate"/>
            </w:r>
            <w:r w:rsidR="00CF3121">
              <w:rPr>
                <w:noProof/>
                <w:webHidden/>
              </w:rPr>
              <w:t>15</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77" w:history="1">
            <w:r w:rsidR="00CF3121" w:rsidRPr="00717129">
              <w:rPr>
                <w:rStyle w:val="Hyperlink"/>
                <w:noProof/>
                <w:lang w:val="pl-PL"/>
              </w:rPr>
              <w:t>2.3.4.Karakteristike nezaposlenosti</w:t>
            </w:r>
            <w:r w:rsidR="00CF3121">
              <w:rPr>
                <w:noProof/>
                <w:webHidden/>
              </w:rPr>
              <w:tab/>
            </w:r>
            <w:r>
              <w:rPr>
                <w:noProof/>
                <w:webHidden/>
              </w:rPr>
              <w:fldChar w:fldCharType="begin"/>
            </w:r>
            <w:r w:rsidR="00CF3121">
              <w:rPr>
                <w:noProof/>
                <w:webHidden/>
              </w:rPr>
              <w:instrText xml:space="preserve"> PAGEREF _Toc435454477 \h </w:instrText>
            </w:r>
            <w:r>
              <w:rPr>
                <w:noProof/>
                <w:webHidden/>
              </w:rPr>
            </w:r>
            <w:r>
              <w:rPr>
                <w:noProof/>
                <w:webHidden/>
              </w:rPr>
              <w:fldChar w:fldCharType="separate"/>
            </w:r>
            <w:r w:rsidR="00CF3121">
              <w:rPr>
                <w:noProof/>
                <w:webHidden/>
              </w:rPr>
              <w:t>16</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78" w:history="1">
            <w:r w:rsidR="00CF3121" w:rsidRPr="00717129">
              <w:rPr>
                <w:rStyle w:val="Hyperlink"/>
                <w:noProof/>
                <w:lang w:val="pl-PL"/>
              </w:rPr>
              <w:t>2.3.5. Ponuda i tražnja za radnom snagom</w:t>
            </w:r>
            <w:r w:rsidR="00CF3121">
              <w:rPr>
                <w:noProof/>
                <w:webHidden/>
              </w:rPr>
              <w:tab/>
            </w:r>
            <w:r>
              <w:rPr>
                <w:noProof/>
                <w:webHidden/>
              </w:rPr>
              <w:fldChar w:fldCharType="begin"/>
            </w:r>
            <w:r w:rsidR="00CF3121">
              <w:rPr>
                <w:noProof/>
                <w:webHidden/>
              </w:rPr>
              <w:instrText xml:space="preserve"> PAGEREF _Toc435454478 \h </w:instrText>
            </w:r>
            <w:r>
              <w:rPr>
                <w:noProof/>
                <w:webHidden/>
              </w:rPr>
            </w:r>
            <w:r>
              <w:rPr>
                <w:noProof/>
                <w:webHidden/>
              </w:rPr>
              <w:fldChar w:fldCharType="separate"/>
            </w:r>
            <w:r w:rsidR="00CF3121">
              <w:rPr>
                <w:noProof/>
                <w:webHidden/>
              </w:rPr>
              <w:t>17</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79" w:history="1">
            <w:r w:rsidR="00CF3121" w:rsidRPr="00717129">
              <w:rPr>
                <w:rStyle w:val="Hyperlink"/>
                <w:noProof/>
                <w:lang w:val="pl-PL"/>
              </w:rPr>
              <w:t>2.4. Obrazovanje</w:t>
            </w:r>
            <w:r w:rsidR="00CF3121">
              <w:rPr>
                <w:noProof/>
                <w:webHidden/>
              </w:rPr>
              <w:tab/>
            </w:r>
            <w:r>
              <w:rPr>
                <w:noProof/>
                <w:webHidden/>
              </w:rPr>
              <w:fldChar w:fldCharType="begin"/>
            </w:r>
            <w:r w:rsidR="00CF3121">
              <w:rPr>
                <w:noProof/>
                <w:webHidden/>
              </w:rPr>
              <w:instrText xml:space="preserve"> PAGEREF _Toc435454479 \h </w:instrText>
            </w:r>
            <w:r>
              <w:rPr>
                <w:noProof/>
                <w:webHidden/>
              </w:rPr>
            </w:r>
            <w:r>
              <w:rPr>
                <w:noProof/>
                <w:webHidden/>
              </w:rPr>
              <w:fldChar w:fldCharType="separate"/>
            </w:r>
            <w:r w:rsidR="00CF3121">
              <w:rPr>
                <w:noProof/>
                <w:webHidden/>
              </w:rPr>
              <w:t>17</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80" w:history="1">
            <w:r w:rsidR="00CF3121" w:rsidRPr="00717129">
              <w:rPr>
                <w:rStyle w:val="Hyperlink"/>
                <w:noProof/>
                <w:lang w:val="pl-PL"/>
              </w:rPr>
              <w:t>2.5. Siromaštvo i socijalna isključenost</w:t>
            </w:r>
            <w:r w:rsidR="00CF3121">
              <w:rPr>
                <w:noProof/>
                <w:webHidden/>
              </w:rPr>
              <w:tab/>
            </w:r>
            <w:r>
              <w:rPr>
                <w:noProof/>
                <w:webHidden/>
              </w:rPr>
              <w:fldChar w:fldCharType="begin"/>
            </w:r>
            <w:r w:rsidR="00CF3121">
              <w:rPr>
                <w:noProof/>
                <w:webHidden/>
              </w:rPr>
              <w:instrText xml:space="preserve"> PAGEREF _Toc435454480 \h </w:instrText>
            </w:r>
            <w:r>
              <w:rPr>
                <w:noProof/>
                <w:webHidden/>
              </w:rPr>
            </w:r>
            <w:r>
              <w:rPr>
                <w:noProof/>
                <w:webHidden/>
              </w:rPr>
              <w:fldChar w:fldCharType="separate"/>
            </w:r>
            <w:r w:rsidR="00CF3121">
              <w:rPr>
                <w:noProof/>
                <w:webHidden/>
              </w:rPr>
              <w:t>18</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81" w:history="1">
            <w:r w:rsidR="00CF3121" w:rsidRPr="00717129">
              <w:rPr>
                <w:rStyle w:val="Hyperlink"/>
                <w:noProof/>
                <w:lang w:val="pl-PL"/>
              </w:rPr>
              <w:t>2.6. Ekonomski rast i razvoj Crne Gore u kontekstu odmaklih evropskih integracija 2016 - 2020. godine</w:t>
            </w:r>
            <w:r w:rsidR="00CF3121">
              <w:rPr>
                <w:noProof/>
                <w:webHidden/>
              </w:rPr>
              <w:tab/>
            </w:r>
            <w:r>
              <w:rPr>
                <w:noProof/>
                <w:webHidden/>
              </w:rPr>
              <w:fldChar w:fldCharType="begin"/>
            </w:r>
            <w:r w:rsidR="00CF3121">
              <w:rPr>
                <w:noProof/>
                <w:webHidden/>
              </w:rPr>
              <w:instrText xml:space="preserve"> PAGEREF _Toc435454481 \h </w:instrText>
            </w:r>
            <w:r>
              <w:rPr>
                <w:noProof/>
                <w:webHidden/>
              </w:rPr>
            </w:r>
            <w:r>
              <w:rPr>
                <w:noProof/>
                <w:webHidden/>
              </w:rPr>
              <w:fldChar w:fldCharType="separate"/>
            </w:r>
            <w:r w:rsidR="00CF3121">
              <w:rPr>
                <w:noProof/>
                <w:webHidden/>
              </w:rPr>
              <w:t>20</w:t>
            </w:r>
            <w:r>
              <w:rPr>
                <w:noProof/>
                <w:webHidden/>
              </w:rPr>
              <w:fldChar w:fldCharType="end"/>
            </w:r>
          </w:hyperlink>
        </w:p>
        <w:p w:rsidR="00CF3121" w:rsidRDefault="00823FF9">
          <w:pPr>
            <w:pStyle w:val="TOC1"/>
            <w:tabs>
              <w:tab w:val="right" w:leader="dot" w:pos="9061"/>
            </w:tabs>
            <w:rPr>
              <w:rFonts w:asciiTheme="minorHAnsi" w:eastAsiaTheme="minorEastAsia" w:hAnsiTheme="minorHAnsi" w:cstheme="minorBidi"/>
              <w:noProof/>
              <w:lang w:val="en-US"/>
            </w:rPr>
          </w:pPr>
          <w:hyperlink w:anchor="_Toc435454482" w:history="1">
            <w:r w:rsidR="00CF3121" w:rsidRPr="00717129">
              <w:rPr>
                <w:rStyle w:val="Hyperlink"/>
                <w:noProof/>
              </w:rPr>
              <w:t>DIO III: PRIORITETI I CILJEVI</w:t>
            </w:r>
            <w:r w:rsidR="00CF3121">
              <w:rPr>
                <w:noProof/>
                <w:webHidden/>
              </w:rPr>
              <w:tab/>
            </w:r>
            <w:r>
              <w:rPr>
                <w:noProof/>
                <w:webHidden/>
              </w:rPr>
              <w:fldChar w:fldCharType="begin"/>
            </w:r>
            <w:r w:rsidR="00CF3121">
              <w:rPr>
                <w:noProof/>
                <w:webHidden/>
              </w:rPr>
              <w:instrText xml:space="preserve"> PAGEREF _Toc435454482 \h </w:instrText>
            </w:r>
            <w:r>
              <w:rPr>
                <w:noProof/>
                <w:webHidden/>
              </w:rPr>
            </w:r>
            <w:r>
              <w:rPr>
                <w:noProof/>
                <w:webHidden/>
              </w:rPr>
              <w:fldChar w:fldCharType="separate"/>
            </w:r>
            <w:r w:rsidR="00CF3121">
              <w:rPr>
                <w:noProof/>
                <w:webHidden/>
              </w:rPr>
              <w:t>21</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83" w:history="1">
            <w:r w:rsidR="00CF3121" w:rsidRPr="00717129">
              <w:rPr>
                <w:rStyle w:val="Hyperlink"/>
                <w:noProof/>
              </w:rPr>
              <w:t>PRIORITET 1: Povećanje zaposlenosti. Smanjenje stope nezaposlenosti</w:t>
            </w:r>
            <w:r w:rsidR="00CF3121">
              <w:rPr>
                <w:noProof/>
                <w:webHidden/>
              </w:rPr>
              <w:tab/>
            </w:r>
            <w:r>
              <w:rPr>
                <w:noProof/>
                <w:webHidden/>
              </w:rPr>
              <w:fldChar w:fldCharType="begin"/>
            </w:r>
            <w:r w:rsidR="00CF3121">
              <w:rPr>
                <w:noProof/>
                <w:webHidden/>
              </w:rPr>
              <w:instrText xml:space="preserve"> PAGEREF _Toc435454483 \h </w:instrText>
            </w:r>
            <w:r>
              <w:rPr>
                <w:noProof/>
                <w:webHidden/>
              </w:rPr>
            </w:r>
            <w:r>
              <w:rPr>
                <w:noProof/>
                <w:webHidden/>
              </w:rPr>
              <w:fldChar w:fldCharType="separate"/>
            </w:r>
            <w:r w:rsidR="00CF3121">
              <w:rPr>
                <w:noProof/>
                <w:webHidden/>
              </w:rPr>
              <w:t>21</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84" w:history="1">
            <w:r w:rsidR="00CF3121" w:rsidRPr="00717129">
              <w:rPr>
                <w:rStyle w:val="Hyperlink"/>
                <w:noProof/>
              </w:rPr>
              <w:t>Cilj 1: Stimulisanje kreiranja zaposlenosti i podsticanje konkurentnosti unapređenjem poslovnog okruženja</w:t>
            </w:r>
            <w:r w:rsidR="00CF3121">
              <w:rPr>
                <w:noProof/>
                <w:webHidden/>
              </w:rPr>
              <w:tab/>
            </w:r>
            <w:r>
              <w:rPr>
                <w:noProof/>
                <w:webHidden/>
              </w:rPr>
              <w:fldChar w:fldCharType="begin"/>
            </w:r>
            <w:r w:rsidR="00CF3121">
              <w:rPr>
                <w:noProof/>
                <w:webHidden/>
              </w:rPr>
              <w:instrText xml:space="preserve"> PAGEREF _Toc435454484 \h </w:instrText>
            </w:r>
            <w:r>
              <w:rPr>
                <w:noProof/>
                <w:webHidden/>
              </w:rPr>
            </w:r>
            <w:r>
              <w:rPr>
                <w:noProof/>
                <w:webHidden/>
              </w:rPr>
              <w:fldChar w:fldCharType="separate"/>
            </w:r>
            <w:r w:rsidR="00CF3121">
              <w:rPr>
                <w:noProof/>
                <w:webHidden/>
              </w:rPr>
              <w:t>21</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85" w:history="1">
            <w:r w:rsidR="00CF3121" w:rsidRPr="00717129">
              <w:rPr>
                <w:rStyle w:val="Hyperlink"/>
                <w:noProof/>
              </w:rPr>
              <w:t>Cilj 2: Povećanje efikasnosti mjera aktivne politike zapošljavanja sa posebnim naglaskom na uključivanje na tržište rada mladih, žena i dugoročno nezaposlenih lica</w:t>
            </w:r>
            <w:r w:rsidR="00CF3121">
              <w:rPr>
                <w:noProof/>
                <w:webHidden/>
              </w:rPr>
              <w:tab/>
            </w:r>
            <w:r>
              <w:rPr>
                <w:noProof/>
                <w:webHidden/>
              </w:rPr>
              <w:fldChar w:fldCharType="begin"/>
            </w:r>
            <w:r w:rsidR="00CF3121">
              <w:rPr>
                <w:noProof/>
                <w:webHidden/>
              </w:rPr>
              <w:instrText xml:space="preserve"> PAGEREF _Toc435454485 \h </w:instrText>
            </w:r>
            <w:r>
              <w:rPr>
                <w:noProof/>
                <w:webHidden/>
              </w:rPr>
            </w:r>
            <w:r>
              <w:rPr>
                <w:noProof/>
                <w:webHidden/>
              </w:rPr>
              <w:fldChar w:fldCharType="separate"/>
            </w:r>
            <w:r w:rsidR="00CF3121">
              <w:rPr>
                <w:noProof/>
                <w:webHidden/>
              </w:rPr>
              <w:t>23</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86" w:history="1">
            <w:r w:rsidR="00CF3121" w:rsidRPr="00717129">
              <w:rPr>
                <w:rStyle w:val="Hyperlink"/>
                <w:noProof/>
              </w:rPr>
              <w:t>Cilj 3: Obezbjeđivanje veće zaposlenosti u nerazvijenim područjima Crne Gore</w:t>
            </w:r>
            <w:r w:rsidR="00CF3121">
              <w:rPr>
                <w:noProof/>
                <w:webHidden/>
              </w:rPr>
              <w:tab/>
            </w:r>
            <w:r>
              <w:rPr>
                <w:noProof/>
                <w:webHidden/>
              </w:rPr>
              <w:fldChar w:fldCharType="begin"/>
            </w:r>
            <w:r w:rsidR="00CF3121">
              <w:rPr>
                <w:noProof/>
                <w:webHidden/>
              </w:rPr>
              <w:instrText xml:space="preserve"> PAGEREF _Toc435454486 \h </w:instrText>
            </w:r>
            <w:r>
              <w:rPr>
                <w:noProof/>
                <w:webHidden/>
              </w:rPr>
            </w:r>
            <w:r>
              <w:rPr>
                <w:noProof/>
                <w:webHidden/>
              </w:rPr>
              <w:fldChar w:fldCharType="separate"/>
            </w:r>
            <w:r w:rsidR="00CF3121">
              <w:rPr>
                <w:noProof/>
                <w:webHidden/>
              </w:rPr>
              <w:t>25</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87" w:history="1">
            <w:r w:rsidR="00CF3121" w:rsidRPr="00717129">
              <w:rPr>
                <w:rStyle w:val="Hyperlink"/>
                <w:noProof/>
              </w:rPr>
              <w:t>PRIORITET 2: Efikasno funkcionisanje tržišta rada</w:t>
            </w:r>
            <w:r w:rsidR="00CF3121">
              <w:rPr>
                <w:noProof/>
                <w:webHidden/>
              </w:rPr>
              <w:tab/>
            </w:r>
            <w:r>
              <w:rPr>
                <w:noProof/>
                <w:webHidden/>
              </w:rPr>
              <w:fldChar w:fldCharType="begin"/>
            </w:r>
            <w:r w:rsidR="00CF3121">
              <w:rPr>
                <w:noProof/>
                <w:webHidden/>
              </w:rPr>
              <w:instrText xml:space="preserve"> PAGEREF _Toc435454487 \h </w:instrText>
            </w:r>
            <w:r>
              <w:rPr>
                <w:noProof/>
                <w:webHidden/>
              </w:rPr>
            </w:r>
            <w:r>
              <w:rPr>
                <w:noProof/>
                <w:webHidden/>
              </w:rPr>
              <w:fldChar w:fldCharType="separate"/>
            </w:r>
            <w:r w:rsidR="00CF3121">
              <w:rPr>
                <w:noProof/>
                <w:webHidden/>
              </w:rPr>
              <w:t>26</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88" w:history="1">
            <w:r w:rsidR="00CF3121" w:rsidRPr="00717129">
              <w:rPr>
                <w:rStyle w:val="Hyperlink"/>
                <w:noProof/>
              </w:rPr>
              <w:t>Cilj 1: Usaglašavanje sa evropskom regulativom politike zapošljavanja i socijalne politike</w:t>
            </w:r>
            <w:r w:rsidR="00CF3121">
              <w:rPr>
                <w:noProof/>
                <w:webHidden/>
              </w:rPr>
              <w:tab/>
            </w:r>
            <w:r>
              <w:rPr>
                <w:noProof/>
                <w:webHidden/>
              </w:rPr>
              <w:fldChar w:fldCharType="begin"/>
            </w:r>
            <w:r w:rsidR="00CF3121">
              <w:rPr>
                <w:noProof/>
                <w:webHidden/>
              </w:rPr>
              <w:instrText xml:space="preserve"> PAGEREF _Toc435454488 \h </w:instrText>
            </w:r>
            <w:r>
              <w:rPr>
                <w:noProof/>
                <w:webHidden/>
              </w:rPr>
            </w:r>
            <w:r>
              <w:rPr>
                <w:noProof/>
                <w:webHidden/>
              </w:rPr>
              <w:fldChar w:fldCharType="separate"/>
            </w:r>
            <w:r w:rsidR="00CF3121">
              <w:rPr>
                <w:noProof/>
                <w:webHidden/>
              </w:rPr>
              <w:t>26</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89" w:history="1">
            <w:r w:rsidR="00CF3121" w:rsidRPr="00717129">
              <w:rPr>
                <w:rStyle w:val="Hyperlink"/>
                <w:noProof/>
              </w:rPr>
              <w:t>Cilj 2: Promovisanje fleksigurnosti i smanjivanje rigidnosti zakonodavne zaštite zaposlenja</w:t>
            </w:r>
            <w:r w:rsidR="00CF3121">
              <w:rPr>
                <w:noProof/>
                <w:webHidden/>
              </w:rPr>
              <w:tab/>
            </w:r>
            <w:r>
              <w:rPr>
                <w:noProof/>
                <w:webHidden/>
              </w:rPr>
              <w:fldChar w:fldCharType="begin"/>
            </w:r>
            <w:r w:rsidR="00CF3121">
              <w:rPr>
                <w:noProof/>
                <w:webHidden/>
              </w:rPr>
              <w:instrText xml:space="preserve"> PAGEREF _Toc435454489 \h </w:instrText>
            </w:r>
            <w:r>
              <w:rPr>
                <w:noProof/>
                <w:webHidden/>
              </w:rPr>
            </w:r>
            <w:r>
              <w:rPr>
                <w:noProof/>
                <w:webHidden/>
              </w:rPr>
              <w:fldChar w:fldCharType="separate"/>
            </w:r>
            <w:r w:rsidR="00CF3121">
              <w:rPr>
                <w:noProof/>
                <w:webHidden/>
              </w:rPr>
              <w:t>28</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0" w:history="1">
            <w:r w:rsidR="00CF3121" w:rsidRPr="00717129">
              <w:rPr>
                <w:rStyle w:val="Hyperlink"/>
                <w:noProof/>
              </w:rPr>
              <w:t>Cilj 3: Podsticanje formalizacije neformalne zaposlenosti</w:t>
            </w:r>
            <w:r w:rsidR="00CF3121">
              <w:rPr>
                <w:noProof/>
                <w:webHidden/>
              </w:rPr>
              <w:tab/>
            </w:r>
            <w:r>
              <w:rPr>
                <w:noProof/>
                <w:webHidden/>
              </w:rPr>
              <w:fldChar w:fldCharType="begin"/>
            </w:r>
            <w:r w:rsidR="00CF3121">
              <w:rPr>
                <w:noProof/>
                <w:webHidden/>
              </w:rPr>
              <w:instrText xml:space="preserve"> PAGEREF _Toc435454490 \h </w:instrText>
            </w:r>
            <w:r>
              <w:rPr>
                <w:noProof/>
                <w:webHidden/>
              </w:rPr>
            </w:r>
            <w:r>
              <w:rPr>
                <w:noProof/>
                <w:webHidden/>
              </w:rPr>
              <w:fldChar w:fldCharType="separate"/>
            </w:r>
            <w:r w:rsidR="00CF3121">
              <w:rPr>
                <w:noProof/>
                <w:webHidden/>
              </w:rPr>
              <w:t>29</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91" w:history="1">
            <w:r w:rsidR="00CF3121" w:rsidRPr="00717129">
              <w:rPr>
                <w:rStyle w:val="Hyperlink"/>
                <w:noProof/>
              </w:rPr>
              <w:t>PRIORITET 3:  Unapređenje kvalifikacija i kompetencija usklađenih sa potrebama tržišta rada</w:t>
            </w:r>
            <w:r w:rsidR="00CF3121">
              <w:rPr>
                <w:noProof/>
                <w:webHidden/>
              </w:rPr>
              <w:tab/>
            </w:r>
            <w:r>
              <w:rPr>
                <w:noProof/>
                <w:webHidden/>
              </w:rPr>
              <w:fldChar w:fldCharType="begin"/>
            </w:r>
            <w:r w:rsidR="00CF3121">
              <w:rPr>
                <w:noProof/>
                <w:webHidden/>
              </w:rPr>
              <w:instrText xml:space="preserve"> PAGEREF _Toc435454491 \h </w:instrText>
            </w:r>
            <w:r>
              <w:rPr>
                <w:noProof/>
                <w:webHidden/>
              </w:rPr>
            </w:r>
            <w:r>
              <w:rPr>
                <w:noProof/>
                <w:webHidden/>
              </w:rPr>
              <w:fldChar w:fldCharType="separate"/>
            </w:r>
            <w:r w:rsidR="00CF3121">
              <w:rPr>
                <w:noProof/>
                <w:webHidden/>
              </w:rPr>
              <w:t>30</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2" w:history="1">
            <w:r w:rsidR="00CF3121" w:rsidRPr="00717129">
              <w:rPr>
                <w:rStyle w:val="Hyperlink"/>
                <w:noProof/>
              </w:rPr>
              <w:t>Cilj 1: Promovisanje pristupa i učešća odraslih u cjeloživotnom učenju</w:t>
            </w:r>
            <w:r w:rsidR="00CF3121">
              <w:rPr>
                <w:noProof/>
                <w:webHidden/>
              </w:rPr>
              <w:tab/>
            </w:r>
            <w:r>
              <w:rPr>
                <w:noProof/>
                <w:webHidden/>
              </w:rPr>
              <w:fldChar w:fldCharType="begin"/>
            </w:r>
            <w:r w:rsidR="00CF3121">
              <w:rPr>
                <w:noProof/>
                <w:webHidden/>
              </w:rPr>
              <w:instrText xml:space="preserve"> PAGEREF _Toc435454492 \h </w:instrText>
            </w:r>
            <w:r>
              <w:rPr>
                <w:noProof/>
                <w:webHidden/>
              </w:rPr>
            </w:r>
            <w:r>
              <w:rPr>
                <w:noProof/>
                <w:webHidden/>
              </w:rPr>
              <w:fldChar w:fldCharType="separate"/>
            </w:r>
            <w:r w:rsidR="00CF3121">
              <w:rPr>
                <w:noProof/>
                <w:webHidden/>
              </w:rPr>
              <w:t>30</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3" w:history="1">
            <w:r w:rsidR="00CF3121" w:rsidRPr="00717129">
              <w:rPr>
                <w:rStyle w:val="Hyperlink"/>
                <w:noProof/>
              </w:rPr>
              <w:t>Cilj 2: Unapređenje kvaliteta obrazovanja na svim nivoima i usaglašavanje sa potrebama tržišta rada</w:t>
            </w:r>
            <w:r w:rsidR="00CF3121">
              <w:rPr>
                <w:noProof/>
                <w:webHidden/>
              </w:rPr>
              <w:tab/>
            </w:r>
            <w:r>
              <w:rPr>
                <w:noProof/>
                <w:webHidden/>
              </w:rPr>
              <w:fldChar w:fldCharType="begin"/>
            </w:r>
            <w:r w:rsidR="00CF3121">
              <w:rPr>
                <w:noProof/>
                <w:webHidden/>
              </w:rPr>
              <w:instrText xml:space="preserve"> PAGEREF _Toc435454493 \h </w:instrText>
            </w:r>
            <w:r>
              <w:rPr>
                <w:noProof/>
                <w:webHidden/>
              </w:rPr>
            </w:r>
            <w:r>
              <w:rPr>
                <w:noProof/>
                <w:webHidden/>
              </w:rPr>
              <w:fldChar w:fldCharType="separate"/>
            </w:r>
            <w:r w:rsidR="00CF3121">
              <w:rPr>
                <w:noProof/>
                <w:webHidden/>
              </w:rPr>
              <w:t>31</w:t>
            </w:r>
            <w:r>
              <w:rPr>
                <w:noProof/>
                <w:webHidden/>
              </w:rPr>
              <w:fldChar w:fldCharType="end"/>
            </w:r>
          </w:hyperlink>
        </w:p>
        <w:p w:rsidR="00CF3121" w:rsidRDefault="00823FF9">
          <w:pPr>
            <w:pStyle w:val="TOC2"/>
            <w:tabs>
              <w:tab w:val="right" w:leader="dot" w:pos="9061"/>
            </w:tabs>
            <w:rPr>
              <w:rFonts w:asciiTheme="minorHAnsi" w:eastAsiaTheme="minorEastAsia" w:hAnsiTheme="minorHAnsi" w:cstheme="minorBidi"/>
              <w:noProof/>
              <w:lang w:val="en-US"/>
            </w:rPr>
          </w:pPr>
          <w:hyperlink w:anchor="_Toc435454494" w:history="1">
            <w:r w:rsidR="00CF3121" w:rsidRPr="00717129">
              <w:rPr>
                <w:rStyle w:val="Hyperlink"/>
                <w:noProof/>
              </w:rPr>
              <w:t>PRIORITET 4: Promovisanje socijalne inkluzije i  smanjenje siromaštva</w:t>
            </w:r>
            <w:r w:rsidR="00CF3121">
              <w:rPr>
                <w:noProof/>
                <w:webHidden/>
              </w:rPr>
              <w:tab/>
            </w:r>
            <w:r>
              <w:rPr>
                <w:noProof/>
                <w:webHidden/>
              </w:rPr>
              <w:fldChar w:fldCharType="begin"/>
            </w:r>
            <w:r w:rsidR="00CF3121">
              <w:rPr>
                <w:noProof/>
                <w:webHidden/>
              </w:rPr>
              <w:instrText xml:space="preserve"> PAGEREF _Toc435454494 \h </w:instrText>
            </w:r>
            <w:r>
              <w:rPr>
                <w:noProof/>
                <w:webHidden/>
              </w:rPr>
            </w:r>
            <w:r>
              <w:rPr>
                <w:noProof/>
                <w:webHidden/>
              </w:rPr>
              <w:fldChar w:fldCharType="separate"/>
            </w:r>
            <w:r w:rsidR="00CF3121">
              <w:rPr>
                <w:noProof/>
                <w:webHidden/>
              </w:rPr>
              <w:t>33</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5" w:history="1">
            <w:r w:rsidR="00CF3121" w:rsidRPr="00717129">
              <w:rPr>
                <w:rStyle w:val="Hyperlink"/>
                <w:noProof/>
              </w:rPr>
              <w:t>Cilj 1: Unapređenje sistema socijalnih davanja i socijalnih usluga</w:t>
            </w:r>
            <w:r w:rsidR="00CF3121">
              <w:rPr>
                <w:noProof/>
                <w:webHidden/>
              </w:rPr>
              <w:tab/>
            </w:r>
            <w:r>
              <w:rPr>
                <w:noProof/>
                <w:webHidden/>
              </w:rPr>
              <w:fldChar w:fldCharType="begin"/>
            </w:r>
            <w:r w:rsidR="00CF3121">
              <w:rPr>
                <w:noProof/>
                <w:webHidden/>
              </w:rPr>
              <w:instrText xml:space="preserve"> PAGEREF _Toc435454495 \h </w:instrText>
            </w:r>
            <w:r>
              <w:rPr>
                <w:noProof/>
                <w:webHidden/>
              </w:rPr>
            </w:r>
            <w:r>
              <w:rPr>
                <w:noProof/>
                <w:webHidden/>
              </w:rPr>
              <w:fldChar w:fldCharType="separate"/>
            </w:r>
            <w:r w:rsidR="00CF3121">
              <w:rPr>
                <w:noProof/>
                <w:webHidden/>
              </w:rPr>
              <w:t>34</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6" w:history="1">
            <w:r w:rsidR="00CF3121" w:rsidRPr="00717129">
              <w:rPr>
                <w:rStyle w:val="Hyperlink"/>
                <w:noProof/>
              </w:rPr>
              <w:t>Cilj 2: Integracija u obrazovanju i zapošljavanju lica sa invaliditetom</w:t>
            </w:r>
            <w:r w:rsidR="00CF3121">
              <w:rPr>
                <w:noProof/>
                <w:webHidden/>
              </w:rPr>
              <w:tab/>
            </w:r>
            <w:r>
              <w:rPr>
                <w:noProof/>
                <w:webHidden/>
              </w:rPr>
              <w:fldChar w:fldCharType="begin"/>
            </w:r>
            <w:r w:rsidR="00CF3121">
              <w:rPr>
                <w:noProof/>
                <w:webHidden/>
              </w:rPr>
              <w:instrText xml:space="preserve"> PAGEREF _Toc435454496 \h </w:instrText>
            </w:r>
            <w:r>
              <w:rPr>
                <w:noProof/>
                <w:webHidden/>
              </w:rPr>
            </w:r>
            <w:r>
              <w:rPr>
                <w:noProof/>
                <w:webHidden/>
              </w:rPr>
              <w:fldChar w:fldCharType="separate"/>
            </w:r>
            <w:r w:rsidR="00CF3121">
              <w:rPr>
                <w:noProof/>
                <w:webHidden/>
              </w:rPr>
              <w:t>35</w:t>
            </w:r>
            <w:r>
              <w:rPr>
                <w:noProof/>
                <w:webHidden/>
              </w:rPr>
              <w:fldChar w:fldCharType="end"/>
            </w:r>
          </w:hyperlink>
        </w:p>
        <w:p w:rsidR="00CF3121" w:rsidRDefault="00823FF9">
          <w:pPr>
            <w:pStyle w:val="TOC3"/>
            <w:tabs>
              <w:tab w:val="right" w:leader="dot" w:pos="9061"/>
            </w:tabs>
            <w:rPr>
              <w:rFonts w:asciiTheme="minorHAnsi" w:eastAsiaTheme="minorEastAsia" w:hAnsiTheme="minorHAnsi" w:cstheme="minorBidi"/>
              <w:noProof/>
              <w:lang w:val="en-US"/>
            </w:rPr>
          </w:pPr>
          <w:hyperlink w:anchor="_Toc435454497" w:history="1">
            <w:r w:rsidR="00CF3121" w:rsidRPr="00717129">
              <w:rPr>
                <w:rStyle w:val="Hyperlink"/>
                <w:noProof/>
              </w:rPr>
              <w:t>Cilj 3: Uključivanje društveno ranjivih grupa na tržište rada</w:t>
            </w:r>
            <w:r w:rsidR="00CF3121">
              <w:rPr>
                <w:noProof/>
                <w:webHidden/>
              </w:rPr>
              <w:tab/>
            </w:r>
            <w:r>
              <w:rPr>
                <w:noProof/>
                <w:webHidden/>
              </w:rPr>
              <w:fldChar w:fldCharType="begin"/>
            </w:r>
            <w:r w:rsidR="00CF3121">
              <w:rPr>
                <w:noProof/>
                <w:webHidden/>
              </w:rPr>
              <w:instrText xml:space="preserve"> PAGEREF _Toc435454497 \h </w:instrText>
            </w:r>
            <w:r>
              <w:rPr>
                <w:noProof/>
                <w:webHidden/>
              </w:rPr>
            </w:r>
            <w:r>
              <w:rPr>
                <w:noProof/>
                <w:webHidden/>
              </w:rPr>
              <w:fldChar w:fldCharType="separate"/>
            </w:r>
            <w:r w:rsidR="00CF3121">
              <w:rPr>
                <w:noProof/>
                <w:webHidden/>
              </w:rPr>
              <w:t>36</w:t>
            </w:r>
            <w:r>
              <w:rPr>
                <w:noProof/>
                <w:webHidden/>
              </w:rPr>
              <w:fldChar w:fldCharType="end"/>
            </w:r>
          </w:hyperlink>
        </w:p>
        <w:p w:rsidR="00CF3121" w:rsidRDefault="00823FF9">
          <w:pPr>
            <w:pStyle w:val="TOC1"/>
            <w:tabs>
              <w:tab w:val="right" w:leader="dot" w:pos="9061"/>
            </w:tabs>
            <w:rPr>
              <w:rFonts w:asciiTheme="minorHAnsi" w:eastAsiaTheme="minorEastAsia" w:hAnsiTheme="minorHAnsi" w:cstheme="minorBidi"/>
              <w:noProof/>
              <w:lang w:val="en-US"/>
            </w:rPr>
          </w:pPr>
          <w:hyperlink w:anchor="_Toc435454498" w:history="1">
            <w:r w:rsidR="00CF3121" w:rsidRPr="00717129">
              <w:rPr>
                <w:rStyle w:val="Hyperlink"/>
                <w:noProof/>
              </w:rPr>
              <w:t>Dio IV: Koordinacija i implementacija Strategije</w:t>
            </w:r>
            <w:r w:rsidR="00CF3121">
              <w:rPr>
                <w:noProof/>
                <w:webHidden/>
              </w:rPr>
              <w:tab/>
            </w:r>
            <w:r>
              <w:rPr>
                <w:noProof/>
                <w:webHidden/>
              </w:rPr>
              <w:fldChar w:fldCharType="begin"/>
            </w:r>
            <w:r w:rsidR="00CF3121">
              <w:rPr>
                <w:noProof/>
                <w:webHidden/>
              </w:rPr>
              <w:instrText xml:space="preserve"> PAGEREF _Toc435454498 \h </w:instrText>
            </w:r>
            <w:r>
              <w:rPr>
                <w:noProof/>
                <w:webHidden/>
              </w:rPr>
            </w:r>
            <w:r>
              <w:rPr>
                <w:noProof/>
                <w:webHidden/>
              </w:rPr>
              <w:fldChar w:fldCharType="separate"/>
            </w:r>
            <w:r w:rsidR="00CF3121">
              <w:rPr>
                <w:noProof/>
                <w:webHidden/>
              </w:rPr>
              <w:t>38</w:t>
            </w:r>
            <w:r>
              <w:rPr>
                <w:noProof/>
                <w:webHidden/>
              </w:rPr>
              <w:fldChar w:fldCharType="end"/>
            </w:r>
          </w:hyperlink>
        </w:p>
        <w:p w:rsidR="002355A4" w:rsidRDefault="00823FF9">
          <w:r>
            <w:fldChar w:fldCharType="end"/>
          </w:r>
        </w:p>
      </w:sdtContent>
    </w:sdt>
    <w:p w:rsidR="00875216" w:rsidRDefault="00875216" w:rsidP="00385DEC">
      <w:pPr>
        <w:pStyle w:val="Heading1"/>
      </w:pPr>
    </w:p>
    <w:p w:rsidR="009759D1" w:rsidRDefault="009759D1" w:rsidP="000F45AB">
      <w:pPr>
        <w:pStyle w:val="Heading1"/>
        <w:rPr>
          <w:rFonts w:ascii="Times New Roman" w:eastAsia="Calibri" w:hAnsi="Times New Roman" w:cs="Times New Roman"/>
          <w:bCs w:val="0"/>
          <w:color w:val="auto"/>
          <w:sz w:val="24"/>
          <w:szCs w:val="24"/>
        </w:rPr>
      </w:pPr>
    </w:p>
    <w:p w:rsidR="009759D1" w:rsidRDefault="009759D1" w:rsidP="009759D1">
      <w:pPr>
        <w:pStyle w:val="Heading1"/>
        <w:rPr>
          <w:rFonts w:ascii="Calibri" w:eastAsia="Calibri" w:hAnsi="Calibri" w:cs="Times New Roman"/>
          <w:b w:val="0"/>
          <w:bCs w:val="0"/>
          <w:color w:val="auto"/>
          <w:sz w:val="22"/>
          <w:szCs w:val="22"/>
        </w:rPr>
      </w:pPr>
    </w:p>
    <w:p w:rsidR="00464900" w:rsidRDefault="00464900" w:rsidP="009759D1">
      <w:pPr>
        <w:pStyle w:val="Heading1"/>
        <w:rPr>
          <w:rFonts w:ascii="Calibri" w:eastAsia="Calibri" w:hAnsi="Calibri" w:cs="Times New Roman"/>
          <w:b w:val="0"/>
          <w:bCs w:val="0"/>
          <w:color w:val="auto"/>
          <w:sz w:val="22"/>
          <w:szCs w:val="22"/>
        </w:rPr>
      </w:pPr>
    </w:p>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Default="00464900" w:rsidP="00464900"/>
    <w:p w:rsidR="00464900" w:rsidRPr="00464900" w:rsidRDefault="00464900" w:rsidP="00464900"/>
    <w:p w:rsidR="009759D1" w:rsidRDefault="009759D1" w:rsidP="009759D1">
      <w:pPr>
        <w:pStyle w:val="Heading1"/>
        <w:rPr>
          <w:rFonts w:eastAsia="Times New Roman"/>
        </w:rPr>
      </w:pPr>
      <w:bookmarkStart w:id="0" w:name="_Toc435454464"/>
      <w:r>
        <w:rPr>
          <w:rFonts w:eastAsia="Times New Roman"/>
        </w:rPr>
        <w:lastRenderedPageBreak/>
        <w:t>Uvodne napomene</w:t>
      </w:r>
      <w:bookmarkEnd w:id="0"/>
    </w:p>
    <w:p w:rsidR="009759D1" w:rsidRDefault="009759D1" w:rsidP="009759D1">
      <w:pPr>
        <w:rPr>
          <w:rFonts w:eastAsiaTheme="minorHAnsi"/>
          <w:lang w:val="en-US"/>
        </w:rPr>
      </w:pPr>
    </w:p>
    <w:p w:rsidR="009759D1" w:rsidRDefault="009759D1" w:rsidP="009759D1">
      <w:pPr>
        <w:spacing w:after="200"/>
        <w:jc w:val="both"/>
        <w:rPr>
          <w:rFonts w:ascii="Times New Roman" w:hAnsi="Times New Roman"/>
          <w:sz w:val="24"/>
          <w:szCs w:val="24"/>
          <w:lang w:val="pl-PL"/>
        </w:rPr>
      </w:pPr>
      <w:r>
        <w:rPr>
          <w:rFonts w:ascii="Times New Roman" w:hAnsi="Times New Roman"/>
          <w:sz w:val="24"/>
          <w:szCs w:val="24"/>
          <w:lang w:val="pl-PL"/>
        </w:rPr>
        <w:t xml:space="preserve">Crna Gora kao zemlja kandidat za članstvo u Evropskoj uniji čvrsto je opredijeljena prema suštinskoj primjeni evropskih vrijednosti i standarda. U tom smislu, zaposlenost se mora sagledavati kao ključni cilj društvenog i ekonomskog razvoja, koji neposredno utiče na kvalitet života stanovništva. </w:t>
      </w:r>
    </w:p>
    <w:p w:rsidR="009759D1" w:rsidRDefault="009759D1" w:rsidP="009759D1">
      <w:pPr>
        <w:jc w:val="both"/>
        <w:rPr>
          <w:rFonts w:ascii="Times New Roman" w:hAnsi="Times New Roman"/>
          <w:sz w:val="24"/>
          <w:szCs w:val="24"/>
          <w:lang w:val="pl-PL"/>
        </w:rPr>
      </w:pPr>
      <w:r>
        <w:rPr>
          <w:rFonts w:ascii="Times New Roman" w:hAnsi="Times New Roman"/>
          <w:sz w:val="24"/>
          <w:szCs w:val="24"/>
          <w:lang w:val="pl-PL"/>
        </w:rPr>
        <w:t xml:space="preserve">Širi pristup </w:t>
      </w:r>
      <w:r w:rsidR="00CD1E42">
        <w:rPr>
          <w:rFonts w:ascii="Times New Roman" w:hAnsi="Times New Roman"/>
          <w:sz w:val="24"/>
          <w:szCs w:val="24"/>
          <w:lang w:val="pl-PL"/>
        </w:rPr>
        <w:t>realizacije</w:t>
      </w:r>
      <w:r>
        <w:rPr>
          <w:rFonts w:ascii="Times New Roman" w:hAnsi="Times New Roman"/>
          <w:sz w:val="24"/>
          <w:szCs w:val="24"/>
          <w:lang w:val="pl-PL"/>
        </w:rPr>
        <w:t xml:space="preserve"> politike zapošljavanja podrazumijeva sprovođenje  strukturn</w:t>
      </w:r>
      <w:r w:rsidR="00096D52">
        <w:rPr>
          <w:rFonts w:ascii="Times New Roman" w:hAnsi="Times New Roman"/>
          <w:sz w:val="24"/>
          <w:szCs w:val="24"/>
          <w:lang w:val="pl-PL"/>
        </w:rPr>
        <w:t xml:space="preserve">ih reformi, sektorskih politika, </w:t>
      </w:r>
      <w:r>
        <w:rPr>
          <w:rFonts w:ascii="Times New Roman" w:hAnsi="Times New Roman"/>
          <w:sz w:val="24"/>
          <w:szCs w:val="24"/>
          <w:lang w:val="pl-PL"/>
        </w:rPr>
        <w:t xml:space="preserve">pojedinačnih mjera, koje za cilj imaju uklanjanje prepreka i stvaranje uslova za ekonomski rast, otvaranje mogućnosti za nova radna mjesta, </w:t>
      </w:r>
      <w:r w:rsidR="00CD1E42">
        <w:rPr>
          <w:rFonts w:ascii="Times New Roman" w:hAnsi="Times New Roman"/>
          <w:sz w:val="24"/>
          <w:szCs w:val="24"/>
          <w:lang w:val="pl-PL"/>
        </w:rPr>
        <w:t xml:space="preserve">a </w:t>
      </w:r>
      <w:r>
        <w:rPr>
          <w:rFonts w:ascii="Times New Roman" w:hAnsi="Times New Roman"/>
          <w:sz w:val="24"/>
          <w:szCs w:val="24"/>
          <w:lang w:val="pl-PL"/>
        </w:rPr>
        <w:t>time i rast  zaposlenosti.</w:t>
      </w:r>
    </w:p>
    <w:p w:rsidR="009759D1" w:rsidRDefault="009759D1" w:rsidP="009759D1">
      <w:pPr>
        <w:jc w:val="both"/>
        <w:rPr>
          <w:rFonts w:ascii="Times New Roman" w:hAnsi="Times New Roman"/>
          <w:sz w:val="24"/>
          <w:szCs w:val="24"/>
          <w:lang w:val="pl-PL"/>
        </w:rPr>
      </w:pPr>
      <w:r>
        <w:rPr>
          <w:rFonts w:ascii="Times New Roman" w:hAnsi="Times New Roman"/>
          <w:sz w:val="24"/>
          <w:szCs w:val="24"/>
          <w:lang w:val="pl-PL"/>
        </w:rPr>
        <w:t>Nacionalna strategija zapošljavanja i razvoja ljudskih resursa 2016-2020 predstavlja sektorski, doprinos otklanjanju prepreka privrednom rastu Crne Gore i direktan je nastavak  strateškog okvira koji je postavljen Nacionalnom strategijom zapošljavanja i razvoja ljudskih resursa za period 2012-2015. godine. Ovo iz razloga što je postojeći strateški okvir zasnovan na međsektorskoj definiciji politike zapošljavanja, koja ouhvata mjere kako na strani ponude tako i na strani tražnje, razvojne ciljeve zapošljavanja i opšteg razvoja ljudskih resursa.</w:t>
      </w:r>
    </w:p>
    <w:p w:rsidR="0043596D" w:rsidRDefault="000000A3" w:rsidP="009759D1">
      <w:pPr>
        <w:jc w:val="both"/>
        <w:rPr>
          <w:rFonts w:ascii="Times New Roman" w:hAnsi="Times New Roman"/>
          <w:sz w:val="24"/>
          <w:szCs w:val="24"/>
          <w:lang w:val="pl-PL"/>
        </w:rPr>
      </w:pPr>
      <w:r>
        <w:rPr>
          <w:rFonts w:ascii="Times New Roman" w:hAnsi="Times New Roman"/>
          <w:sz w:val="24"/>
          <w:szCs w:val="24"/>
          <w:lang w:val="pl-PL"/>
        </w:rPr>
        <w:t xml:space="preserve">Okvir za </w:t>
      </w:r>
      <w:r w:rsidR="0094121F">
        <w:rPr>
          <w:rFonts w:ascii="Times New Roman" w:hAnsi="Times New Roman"/>
          <w:sz w:val="24"/>
          <w:szCs w:val="24"/>
          <w:lang w:val="pl-PL"/>
        </w:rPr>
        <w:t>izrad</w:t>
      </w:r>
      <w:r>
        <w:rPr>
          <w:rFonts w:ascii="Times New Roman" w:hAnsi="Times New Roman"/>
          <w:sz w:val="24"/>
          <w:szCs w:val="24"/>
          <w:lang w:val="pl-PL"/>
        </w:rPr>
        <w:t>u</w:t>
      </w:r>
      <w:r w:rsidR="00CB7CC2">
        <w:rPr>
          <w:rFonts w:ascii="Times New Roman" w:hAnsi="Times New Roman"/>
          <w:sz w:val="24"/>
          <w:szCs w:val="24"/>
          <w:lang w:val="pl-PL"/>
        </w:rPr>
        <w:t xml:space="preserve"> ovog dokumenta</w:t>
      </w:r>
      <w:r w:rsidR="0094121F">
        <w:rPr>
          <w:rFonts w:ascii="Times New Roman" w:hAnsi="Times New Roman"/>
          <w:sz w:val="24"/>
          <w:szCs w:val="24"/>
          <w:lang w:val="pl-PL"/>
        </w:rPr>
        <w:t xml:space="preserve"> </w:t>
      </w:r>
      <w:r>
        <w:rPr>
          <w:rFonts w:ascii="Times New Roman" w:hAnsi="Times New Roman"/>
          <w:sz w:val="24"/>
          <w:szCs w:val="24"/>
          <w:lang w:val="pl-PL"/>
        </w:rPr>
        <w:t xml:space="preserve">predstavljala su </w:t>
      </w:r>
      <w:r w:rsidR="00CB7CC2">
        <w:rPr>
          <w:rFonts w:ascii="Times New Roman" w:hAnsi="Times New Roman"/>
          <w:sz w:val="24"/>
          <w:szCs w:val="24"/>
          <w:lang w:val="pl-PL"/>
        </w:rPr>
        <w:t>ključna nacionalna</w:t>
      </w:r>
      <w:r>
        <w:rPr>
          <w:rFonts w:ascii="Times New Roman" w:hAnsi="Times New Roman"/>
          <w:sz w:val="24"/>
          <w:szCs w:val="24"/>
          <w:lang w:val="pl-PL"/>
        </w:rPr>
        <w:t xml:space="preserve"> i evropska dokumenta: Program ekonomskih reformi za Crnu Goru 2015-2017, Pravci razvoja Crne Gore 2015-2018, Program reforme politike zapošljavanja i socijalne politike 2015-2020; Strate</w:t>
      </w:r>
      <w:r w:rsidR="00CB7CC2">
        <w:rPr>
          <w:rFonts w:ascii="Times New Roman" w:hAnsi="Times New Roman"/>
          <w:sz w:val="24"/>
          <w:szCs w:val="24"/>
          <w:lang w:val="pl-PL"/>
        </w:rPr>
        <w:t>gija Evropa 2020 i revidirani set Smjernica politika zapošljavanja država članica iz 2015. godine.</w:t>
      </w:r>
    </w:p>
    <w:p w:rsidR="009759D1" w:rsidRDefault="009759D1" w:rsidP="000F45AB">
      <w:pPr>
        <w:pStyle w:val="Heading1"/>
      </w:pPr>
    </w:p>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Default="009759D1" w:rsidP="009759D1"/>
    <w:p w:rsidR="009759D1" w:rsidRPr="009759D1" w:rsidRDefault="000F45AB" w:rsidP="009759D1">
      <w:pPr>
        <w:pStyle w:val="Heading1"/>
      </w:pPr>
      <w:bookmarkStart w:id="1" w:name="_Toc435454465"/>
      <w:r>
        <w:lastRenderedPageBreak/>
        <w:t>D</w:t>
      </w:r>
      <w:r w:rsidRPr="00802429">
        <w:t>IO I: UVOD</w:t>
      </w:r>
      <w:bookmarkEnd w:id="1"/>
      <w:r w:rsidRPr="00802429">
        <w:t xml:space="preserve"> </w:t>
      </w:r>
    </w:p>
    <w:p w:rsidR="00B21EF9" w:rsidRPr="00802429" w:rsidRDefault="00B21EF9" w:rsidP="00385DEC">
      <w:pPr>
        <w:pStyle w:val="Heading2"/>
      </w:pPr>
      <w:bookmarkStart w:id="2" w:name="_Toc435454466"/>
      <w:r w:rsidRPr="00802429">
        <w:t xml:space="preserve">1.1 </w:t>
      </w:r>
      <w:r w:rsidRPr="00802429">
        <w:rPr>
          <w:lang w:val="pl-PL"/>
        </w:rPr>
        <w:t>Rezultati</w:t>
      </w:r>
      <w:r w:rsidRPr="00802429">
        <w:t xml:space="preserve"> </w:t>
      </w:r>
      <w:r w:rsidRPr="00802429">
        <w:rPr>
          <w:lang w:val="pl-PL"/>
        </w:rPr>
        <w:t>sprovedene</w:t>
      </w:r>
      <w:r w:rsidRPr="00802429">
        <w:t xml:space="preserve"> „</w:t>
      </w:r>
      <w:r w:rsidRPr="00802429">
        <w:rPr>
          <w:lang w:val="pl-PL"/>
        </w:rPr>
        <w:t>Nacionalne</w:t>
      </w:r>
      <w:r w:rsidRPr="00802429">
        <w:t xml:space="preserve"> </w:t>
      </w:r>
      <w:r w:rsidRPr="00802429">
        <w:rPr>
          <w:lang w:val="pl-PL"/>
        </w:rPr>
        <w:t>strategije</w:t>
      </w:r>
      <w:r w:rsidRPr="00802429">
        <w:t xml:space="preserve"> </w:t>
      </w:r>
      <w:r w:rsidRPr="00802429">
        <w:rPr>
          <w:lang w:val="pl-PL"/>
        </w:rPr>
        <w:t>zapo</w:t>
      </w:r>
      <w:r w:rsidRPr="00802429">
        <w:t>š</w:t>
      </w:r>
      <w:r w:rsidRPr="00802429">
        <w:rPr>
          <w:lang w:val="pl-PL"/>
        </w:rPr>
        <w:t>ljavanja</w:t>
      </w:r>
      <w:r w:rsidRPr="00802429">
        <w:t xml:space="preserve"> </w:t>
      </w:r>
      <w:r w:rsidRPr="00802429">
        <w:rPr>
          <w:lang w:val="pl-PL"/>
        </w:rPr>
        <w:t>i</w:t>
      </w:r>
      <w:r w:rsidRPr="00802429">
        <w:t xml:space="preserve"> </w:t>
      </w:r>
      <w:r w:rsidRPr="00802429">
        <w:rPr>
          <w:lang w:val="pl-PL"/>
        </w:rPr>
        <w:t>razvoja</w:t>
      </w:r>
      <w:r w:rsidRPr="00802429">
        <w:t xml:space="preserve"> </w:t>
      </w:r>
      <w:r w:rsidRPr="00802429">
        <w:rPr>
          <w:lang w:val="pl-PL"/>
        </w:rPr>
        <w:t>ljudskih</w:t>
      </w:r>
      <w:r w:rsidRPr="00802429">
        <w:t xml:space="preserve"> </w:t>
      </w:r>
      <w:r w:rsidRPr="00802429">
        <w:rPr>
          <w:lang w:val="pl-PL"/>
        </w:rPr>
        <w:t>resursa</w:t>
      </w:r>
      <w:r w:rsidRPr="00802429">
        <w:t xml:space="preserve"> </w:t>
      </w:r>
      <w:r w:rsidRPr="00802429">
        <w:rPr>
          <w:lang w:val="pl-PL"/>
        </w:rPr>
        <w:t>za</w:t>
      </w:r>
      <w:r w:rsidRPr="00802429">
        <w:t xml:space="preserve"> </w:t>
      </w:r>
      <w:r w:rsidRPr="00802429">
        <w:rPr>
          <w:lang w:val="pl-PL"/>
        </w:rPr>
        <w:t>period</w:t>
      </w:r>
      <w:r w:rsidRPr="00802429">
        <w:t xml:space="preserve"> 2012-2015“</w:t>
      </w:r>
      <w:bookmarkEnd w:id="2"/>
    </w:p>
    <w:p w:rsidR="00B21EF9" w:rsidRPr="00802429" w:rsidRDefault="00B21EF9" w:rsidP="005A04CB">
      <w:pPr>
        <w:autoSpaceDE w:val="0"/>
        <w:autoSpaceDN w:val="0"/>
        <w:adjustRightInd w:val="0"/>
        <w:spacing w:after="0" w:line="240" w:lineRule="auto"/>
        <w:rPr>
          <w:rFonts w:ascii="Times New Roman" w:hAnsi="Times New Roman"/>
          <w:b/>
          <w:bCs/>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r w:rsidRPr="00802429">
        <w:rPr>
          <w:rFonts w:ascii="Times New Roman" w:hAnsi="Times New Roman"/>
          <w:b/>
          <w:bCs/>
          <w:sz w:val="24"/>
          <w:szCs w:val="24"/>
          <w:lang w:val="pl-PL"/>
        </w:rPr>
        <w:t>Nacionalna</w:t>
      </w:r>
      <w:r w:rsidRPr="00802429">
        <w:rPr>
          <w:rFonts w:ascii="Times New Roman" w:hAnsi="Times New Roman"/>
          <w:b/>
          <w:bCs/>
          <w:sz w:val="24"/>
          <w:szCs w:val="24"/>
        </w:rPr>
        <w:t xml:space="preserve"> </w:t>
      </w:r>
      <w:r w:rsidRPr="00802429">
        <w:rPr>
          <w:rFonts w:ascii="Times New Roman" w:hAnsi="Times New Roman"/>
          <w:b/>
          <w:bCs/>
          <w:sz w:val="24"/>
          <w:szCs w:val="24"/>
          <w:lang w:val="pl-PL"/>
        </w:rPr>
        <w:t>strategija</w:t>
      </w:r>
      <w:r w:rsidRPr="00802429">
        <w:rPr>
          <w:rFonts w:ascii="Times New Roman" w:hAnsi="Times New Roman"/>
          <w:b/>
          <w:bCs/>
          <w:sz w:val="24"/>
          <w:szCs w:val="24"/>
        </w:rPr>
        <w:t xml:space="preserve"> </w:t>
      </w:r>
      <w:r w:rsidRPr="00802429">
        <w:rPr>
          <w:rFonts w:ascii="Times New Roman" w:hAnsi="Times New Roman"/>
          <w:b/>
          <w:bCs/>
          <w:sz w:val="24"/>
          <w:szCs w:val="24"/>
          <w:lang w:val="pl-PL"/>
        </w:rPr>
        <w:t>zapo</w:t>
      </w:r>
      <w:r w:rsidRPr="00802429">
        <w:rPr>
          <w:rFonts w:ascii="Times New Roman" w:hAnsi="Times New Roman"/>
          <w:b/>
          <w:bCs/>
          <w:sz w:val="24"/>
          <w:szCs w:val="24"/>
        </w:rPr>
        <w:t>š</w:t>
      </w:r>
      <w:r w:rsidRPr="00802429">
        <w:rPr>
          <w:rFonts w:ascii="Times New Roman" w:hAnsi="Times New Roman"/>
          <w:b/>
          <w:bCs/>
          <w:sz w:val="24"/>
          <w:szCs w:val="24"/>
          <w:lang w:val="pl-PL"/>
        </w:rPr>
        <w:t>ljavanja</w:t>
      </w:r>
      <w:r w:rsidRPr="00802429">
        <w:rPr>
          <w:rFonts w:ascii="Times New Roman" w:hAnsi="Times New Roman"/>
          <w:b/>
          <w:bCs/>
          <w:sz w:val="24"/>
          <w:szCs w:val="24"/>
        </w:rPr>
        <w:t xml:space="preserve"> </w:t>
      </w:r>
      <w:r w:rsidRPr="00802429">
        <w:rPr>
          <w:rFonts w:ascii="Times New Roman" w:hAnsi="Times New Roman"/>
          <w:b/>
          <w:bCs/>
          <w:sz w:val="24"/>
          <w:szCs w:val="24"/>
          <w:lang w:val="pl-PL"/>
        </w:rPr>
        <w:t>i</w:t>
      </w:r>
      <w:r w:rsidRPr="00802429">
        <w:rPr>
          <w:rFonts w:ascii="Times New Roman" w:hAnsi="Times New Roman"/>
          <w:b/>
          <w:bCs/>
          <w:sz w:val="24"/>
          <w:szCs w:val="24"/>
        </w:rPr>
        <w:t xml:space="preserve"> </w:t>
      </w:r>
      <w:r w:rsidRPr="00802429">
        <w:rPr>
          <w:rFonts w:ascii="Times New Roman" w:hAnsi="Times New Roman"/>
          <w:b/>
          <w:bCs/>
          <w:sz w:val="24"/>
          <w:szCs w:val="24"/>
          <w:lang w:val="pl-PL"/>
        </w:rPr>
        <w:t>razvoja</w:t>
      </w:r>
      <w:r w:rsidRPr="00802429">
        <w:rPr>
          <w:rFonts w:ascii="Times New Roman" w:hAnsi="Times New Roman"/>
          <w:b/>
          <w:bCs/>
          <w:sz w:val="24"/>
          <w:szCs w:val="24"/>
        </w:rPr>
        <w:t xml:space="preserve"> </w:t>
      </w:r>
      <w:r w:rsidRPr="00802429">
        <w:rPr>
          <w:rFonts w:ascii="Times New Roman" w:hAnsi="Times New Roman"/>
          <w:b/>
          <w:bCs/>
          <w:sz w:val="24"/>
          <w:szCs w:val="24"/>
          <w:lang w:val="pl-PL"/>
        </w:rPr>
        <w:t>ljudskih</w:t>
      </w:r>
      <w:r w:rsidRPr="00802429">
        <w:rPr>
          <w:rFonts w:ascii="Times New Roman" w:hAnsi="Times New Roman"/>
          <w:b/>
          <w:bCs/>
          <w:sz w:val="24"/>
          <w:szCs w:val="24"/>
        </w:rPr>
        <w:t xml:space="preserve"> </w:t>
      </w:r>
      <w:r w:rsidRPr="00802429">
        <w:rPr>
          <w:rFonts w:ascii="Times New Roman" w:hAnsi="Times New Roman"/>
          <w:b/>
          <w:bCs/>
          <w:sz w:val="24"/>
          <w:szCs w:val="24"/>
          <w:lang w:val="pl-PL"/>
        </w:rPr>
        <w:t>resursa</w:t>
      </w:r>
      <w:r w:rsidRPr="00802429">
        <w:rPr>
          <w:rFonts w:ascii="Times New Roman" w:hAnsi="Times New Roman"/>
          <w:b/>
          <w:bCs/>
          <w:sz w:val="24"/>
          <w:szCs w:val="24"/>
        </w:rPr>
        <w:t xml:space="preserve"> </w:t>
      </w:r>
      <w:r w:rsidRPr="00802429">
        <w:rPr>
          <w:rFonts w:ascii="Times New Roman" w:hAnsi="Times New Roman"/>
          <w:b/>
          <w:bCs/>
          <w:sz w:val="24"/>
          <w:szCs w:val="24"/>
          <w:lang w:val="pl-PL"/>
        </w:rPr>
        <w:t>za</w:t>
      </w:r>
      <w:r w:rsidRPr="00802429">
        <w:rPr>
          <w:rFonts w:ascii="Times New Roman" w:hAnsi="Times New Roman"/>
          <w:b/>
          <w:bCs/>
          <w:sz w:val="24"/>
          <w:szCs w:val="24"/>
        </w:rPr>
        <w:t xml:space="preserve"> </w:t>
      </w:r>
      <w:r w:rsidRPr="00802429">
        <w:rPr>
          <w:rFonts w:ascii="Times New Roman" w:hAnsi="Times New Roman"/>
          <w:b/>
          <w:bCs/>
          <w:sz w:val="24"/>
          <w:szCs w:val="24"/>
          <w:lang w:val="pl-PL"/>
        </w:rPr>
        <w:t>period</w:t>
      </w:r>
      <w:r w:rsidRPr="00802429">
        <w:rPr>
          <w:rFonts w:ascii="Times New Roman" w:hAnsi="Times New Roman"/>
          <w:b/>
          <w:bCs/>
          <w:sz w:val="24"/>
          <w:szCs w:val="24"/>
        </w:rPr>
        <w:t xml:space="preserve"> 2012-2015. </w:t>
      </w:r>
      <w:r w:rsidRPr="00802429">
        <w:rPr>
          <w:rFonts w:ascii="Times New Roman" w:hAnsi="Times New Roman"/>
          <w:b/>
          <w:bCs/>
          <w:sz w:val="24"/>
          <w:szCs w:val="24"/>
          <w:lang w:val="pl-PL"/>
        </w:rPr>
        <w:t>godine</w:t>
      </w:r>
      <w:r w:rsidRPr="00802429">
        <w:rPr>
          <w:rFonts w:ascii="Times New Roman" w:hAnsi="Times New Roman"/>
          <w:b/>
          <w:bCs/>
          <w:sz w:val="24"/>
          <w:szCs w:val="24"/>
        </w:rPr>
        <w:t xml:space="preserve">, </w:t>
      </w:r>
      <w:r w:rsidRPr="00802429">
        <w:rPr>
          <w:rFonts w:ascii="Times New Roman" w:hAnsi="Times New Roman"/>
          <w:sz w:val="24"/>
          <w:szCs w:val="24"/>
          <w:lang w:val="pl-PL"/>
        </w:rPr>
        <w:t>koju</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Vlada</w:t>
      </w:r>
      <w:r w:rsidRPr="00802429">
        <w:rPr>
          <w:rFonts w:ascii="Times New Roman" w:hAnsi="Times New Roman"/>
          <w:sz w:val="24"/>
          <w:szCs w:val="24"/>
        </w:rPr>
        <w:t xml:space="preserve"> </w:t>
      </w:r>
      <w:r w:rsidRPr="00802429">
        <w:rPr>
          <w:rFonts w:ascii="Times New Roman" w:hAnsi="Times New Roman"/>
          <w:sz w:val="24"/>
          <w:szCs w:val="24"/>
          <w:lang w:val="pl-PL"/>
        </w:rPr>
        <w:t>usvojila</w:t>
      </w:r>
      <w:r w:rsidRPr="00802429">
        <w:rPr>
          <w:rFonts w:ascii="Times New Roman" w:hAnsi="Times New Roman"/>
          <w:sz w:val="24"/>
          <w:szCs w:val="24"/>
        </w:rPr>
        <w:t xml:space="preserve"> </w:t>
      </w:r>
      <w:r w:rsidRPr="00802429">
        <w:rPr>
          <w:rFonts w:ascii="Times New Roman" w:hAnsi="Times New Roman"/>
          <w:sz w:val="24"/>
          <w:szCs w:val="24"/>
          <w:lang w:val="pl-PL"/>
        </w:rPr>
        <w:t>krajem</w:t>
      </w:r>
      <w:r w:rsidRPr="00802429">
        <w:rPr>
          <w:rFonts w:ascii="Times New Roman" w:hAnsi="Times New Roman"/>
          <w:sz w:val="24"/>
          <w:szCs w:val="24"/>
        </w:rPr>
        <w:t xml:space="preserve"> 2011. </w:t>
      </w:r>
      <w:r w:rsidRPr="00802429">
        <w:rPr>
          <w:rFonts w:ascii="Times New Roman" w:hAnsi="Times New Roman"/>
          <w:sz w:val="24"/>
          <w:szCs w:val="24"/>
          <w:lang w:val="pl-PL"/>
        </w:rPr>
        <w:t>godine</w:t>
      </w:r>
      <w:r w:rsidRPr="00802429">
        <w:rPr>
          <w:rFonts w:ascii="Times New Roman" w:hAnsi="Times New Roman"/>
          <w:sz w:val="24"/>
          <w:szCs w:val="24"/>
        </w:rPr>
        <w:t xml:space="preserve">, </w:t>
      </w:r>
      <w:r w:rsidRPr="00802429">
        <w:rPr>
          <w:rFonts w:ascii="Times New Roman" w:hAnsi="Times New Roman"/>
          <w:sz w:val="24"/>
          <w:szCs w:val="24"/>
          <w:lang w:val="pl-PL"/>
        </w:rPr>
        <w:t>predstavljala</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strate</w:t>
      </w:r>
      <w:r w:rsidRPr="00802429">
        <w:rPr>
          <w:rFonts w:ascii="Times New Roman" w:hAnsi="Times New Roman"/>
          <w:sz w:val="24"/>
          <w:szCs w:val="24"/>
        </w:rPr>
        <w:t>š</w:t>
      </w:r>
      <w:r w:rsidRPr="00802429">
        <w:rPr>
          <w:rFonts w:ascii="Times New Roman" w:hAnsi="Times New Roman"/>
          <w:sz w:val="24"/>
          <w:szCs w:val="24"/>
          <w:lang w:val="pl-PL"/>
        </w:rPr>
        <w:t>ki</w:t>
      </w:r>
      <w:r w:rsidRPr="00802429">
        <w:rPr>
          <w:rFonts w:ascii="Times New Roman" w:hAnsi="Times New Roman"/>
          <w:sz w:val="24"/>
          <w:szCs w:val="24"/>
        </w:rPr>
        <w:t xml:space="preserve"> </w:t>
      </w:r>
      <w:r w:rsidRPr="00802429">
        <w:rPr>
          <w:rFonts w:ascii="Times New Roman" w:eastAsia="ArialMT" w:hAnsi="Times New Roman"/>
          <w:sz w:val="24"/>
          <w:szCs w:val="24"/>
          <w:lang w:val="pl-PL"/>
        </w:rPr>
        <w:t>okvir</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za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sprovo</w:t>
      </w:r>
      <w:r w:rsidRPr="00802429">
        <w:rPr>
          <w:rFonts w:ascii="Times New Roman" w:eastAsia="ArialMT" w:hAnsi="Times New Roman"/>
          <w:sz w:val="24"/>
          <w:szCs w:val="24"/>
        </w:rPr>
        <w:t>đ</w:t>
      </w:r>
      <w:r w:rsidRPr="00802429">
        <w:rPr>
          <w:rFonts w:ascii="Times New Roman" w:eastAsia="ArialMT" w:hAnsi="Times New Roman"/>
          <w:sz w:val="24"/>
          <w:szCs w:val="24"/>
          <w:lang w:val="pl-PL"/>
        </w:rPr>
        <w:t>enje</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reformi</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na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tr</w:t>
      </w:r>
      <w:r w:rsidRPr="00802429">
        <w:rPr>
          <w:rFonts w:ascii="Times New Roman" w:eastAsia="ArialMT" w:hAnsi="Times New Roman"/>
          <w:sz w:val="24"/>
          <w:szCs w:val="24"/>
        </w:rPr>
        <w:t>ž</w:t>
      </w:r>
      <w:r w:rsidRPr="00802429">
        <w:rPr>
          <w:rFonts w:ascii="Times New Roman" w:eastAsia="ArialMT" w:hAnsi="Times New Roman"/>
          <w:sz w:val="24"/>
          <w:szCs w:val="24"/>
          <w:lang w:val="pl-PL"/>
        </w:rPr>
        <w:t>i</w:t>
      </w:r>
      <w:r w:rsidRPr="00802429">
        <w:rPr>
          <w:rFonts w:ascii="Times New Roman" w:eastAsia="ArialMT" w:hAnsi="Times New Roman"/>
          <w:sz w:val="24"/>
          <w:szCs w:val="24"/>
        </w:rPr>
        <w:t>š</w:t>
      </w:r>
      <w:r w:rsidRPr="00802429">
        <w:rPr>
          <w:rFonts w:ascii="Times New Roman" w:eastAsia="ArialMT" w:hAnsi="Times New Roman"/>
          <w:sz w:val="24"/>
          <w:szCs w:val="24"/>
          <w:lang w:val="pl-PL"/>
        </w:rPr>
        <w:t>tu</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rada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i</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bila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je</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uskla</w:t>
      </w:r>
      <w:r w:rsidRPr="00802429">
        <w:rPr>
          <w:rFonts w:ascii="Times New Roman" w:eastAsia="ArialMT" w:hAnsi="Times New Roman"/>
          <w:sz w:val="24"/>
          <w:szCs w:val="24"/>
        </w:rPr>
        <w:t>đ</w:t>
      </w:r>
      <w:r w:rsidRPr="00802429">
        <w:rPr>
          <w:rFonts w:ascii="Times New Roman" w:eastAsia="ArialMT" w:hAnsi="Times New Roman"/>
          <w:sz w:val="24"/>
          <w:szCs w:val="24"/>
          <w:lang w:val="pl-PL"/>
        </w:rPr>
        <w:t>ena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sa</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evropskom</w:t>
      </w:r>
      <w:r w:rsidRPr="00802429">
        <w:rPr>
          <w:rFonts w:ascii="Times New Roman" w:eastAsia="ArialMT" w:hAnsi="Times New Roman"/>
          <w:sz w:val="24"/>
          <w:szCs w:val="24"/>
        </w:rPr>
        <w:t xml:space="preserve"> </w:t>
      </w:r>
      <w:r w:rsidRPr="00802429">
        <w:rPr>
          <w:rFonts w:ascii="Times New Roman" w:eastAsia="ArialMT" w:hAnsi="Times New Roman"/>
          <w:sz w:val="24"/>
          <w:szCs w:val="24"/>
          <w:lang w:val="pl-PL"/>
        </w:rPr>
        <w:t>pol</w:t>
      </w:r>
      <w:r w:rsidRPr="00802429">
        <w:rPr>
          <w:rFonts w:ascii="Times New Roman" w:hAnsi="Times New Roman"/>
          <w:sz w:val="24"/>
          <w:szCs w:val="24"/>
          <w:lang w:val="pl-PL"/>
        </w:rPr>
        <w:t>itikom</w:t>
      </w:r>
      <w:r w:rsidRPr="00802429">
        <w:rPr>
          <w:rFonts w:ascii="Times New Roman" w:hAnsi="Times New Roman"/>
          <w:b/>
          <w:bCs/>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to</w:t>
      </w:r>
      <w:r w:rsidRPr="00802429">
        <w:rPr>
          <w:rFonts w:ascii="Times New Roman" w:hAnsi="Times New Roman"/>
          <w:sz w:val="24"/>
          <w:szCs w:val="24"/>
        </w:rPr>
        <w:t xml:space="preserve"> </w:t>
      </w:r>
      <w:r w:rsidRPr="00802429">
        <w:rPr>
          <w:rFonts w:ascii="Times New Roman" w:hAnsi="Times New Roman"/>
          <w:sz w:val="24"/>
          <w:szCs w:val="24"/>
          <w:lang w:val="pl-PL"/>
        </w:rPr>
        <w:t>vrijeme</w:t>
      </w:r>
      <w:r w:rsidRPr="00802429">
        <w:rPr>
          <w:rFonts w:ascii="Times New Roman" w:hAnsi="Times New Roman"/>
          <w:sz w:val="24"/>
          <w:szCs w:val="24"/>
        </w:rPr>
        <w:t xml:space="preserve"> </w:t>
      </w:r>
      <w:r w:rsidRPr="00802429">
        <w:rPr>
          <w:rFonts w:ascii="Times New Roman" w:hAnsi="Times New Roman"/>
          <w:sz w:val="24"/>
          <w:szCs w:val="24"/>
          <w:lang w:val="pl-PL"/>
        </w:rPr>
        <w:t>najnovijim</w:t>
      </w:r>
      <w:r w:rsidRPr="00802429">
        <w:rPr>
          <w:rFonts w:ascii="Times New Roman" w:hAnsi="Times New Roman"/>
          <w:sz w:val="24"/>
          <w:szCs w:val="24"/>
        </w:rPr>
        <w:t xml:space="preserve"> </w:t>
      </w:r>
      <w:r w:rsidRPr="00802429">
        <w:rPr>
          <w:rFonts w:ascii="Times New Roman" w:hAnsi="Times New Roman"/>
          <w:sz w:val="24"/>
          <w:szCs w:val="24"/>
          <w:lang w:val="pl-PL"/>
        </w:rPr>
        <w:t>integrisanim</w:t>
      </w:r>
      <w:r w:rsidRPr="00802429">
        <w:rPr>
          <w:rFonts w:ascii="Times New Roman" w:hAnsi="Times New Roman"/>
          <w:sz w:val="24"/>
          <w:szCs w:val="24"/>
        </w:rPr>
        <w:t xml:space="preserve"> </w:t>
      </w:r>
      <w:r w:rsidRPr="00802429">
        <w:rPr>
          <w:rFonts w:ascii="Times New Roman" w:hAnsi="Times New Roman"/>
          <w:sz w:val="24"/>
          <w:szCs w:val="24"/>
          <w:lang w:val="pl-PL"/>
        </w:rPr>
        <w:t>smjernicama</w:t>
      </w:r>
      <w:r w:rsidRPr="00802429">
        <w:rPr>
          <w:rFonts w:ascii="Times New Roman" w:hAnsi="Times New Roman"/>
          <w:sz w:val="24"/>
          <w:szCs w:val="24"/>
        </w:rPr>
        <w:t xml:space="preserve"> </w:t>
      </w:r>
      <w:r w:rsidRPr="00802429">
        <w:rPr>
          <w:rFonts w:ascii="Times New Roman" w:hAnsi="Times New Roman"/>
          <w:sz w:val="24"/>
          <w:szCs w:val="24"/>
          <w:lang w:val="pl-PL"/>
        </w:rPr>
        <w:t>za</w:t>
      </w:r>
      <w:r w:rsidRPr="00802429">
        <w:rPr>
          <w:rFonts w:ascii="Times New Roman" w:hAnsi="Times New Roman"/>
          <w:sz w:val="24"/>
          <w:szCs w:val="24"/>
        </w:rPr>
        <w:t xml:space="preserve"> </w:t>
      </w:r>
      <w:r w:rsidRPr="00802429">
        <w:rPr>
          <w:rFonts w:ascii="Times New Roman" w:hAnsi="Times New Roman"/>
          <w:sz w:val="24"/>
          <w:szCs w:val="24"/>
          <w:lang w:val="pl-PL"/>
        </w:rPr>
        <w:t>politike</w:t>
      </w:r>
      <w:r w:rsidRPr="00802429">
        <w:rPr>
          <w:rFonts w:ascii="Times New Roman" w:hAnsi="Times New Roman"/>
          <w:b/>
          <w:bCs/>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ljavanja</w:t>
      </w:r>
      <w:r w:rsidRPr="00802429">
        <w:rPr>
          <w:rFonts w:ascii="Times New Roman" w:hAnsi="Times New Roman"/>
          <w:sz w:val="24"/>
          <w:szCs w:val="24"/>
        </w:rPr>
        <w:t>.</w:t>
      </w:r>
      <w:r w:rsidR="000F7A99">
        <w:rPr>
          <w:rFonts w:ascii="Times New Roman" w:hAnsi="Times New Roman"/>
          <w:sz w:val="24"/>
          <w:szCs w:val="24"/>
        </w:rPr>
        <w:t xml:space="preserve"> </w:t>
      </w:r>
      <w:r w:rsidRPr="00802429">
        <w:rPr>
          <w:rFonts w:ascii="Times New Roman" w:hAnsi="Times New Roman"/>
          <w:sz w:val="24"/>
          <w:szCs w:val="24"/>
          <w:lang w:val="pl-PL"/>
        </w:rPr>
        <w:t>Op</w:t>
      </w:r>
      <w:r w:rsidRPr="00802429">
        <w:rPr>
          <w:rFonts w:ascii="Times New Roman" w:hAnsi="Times New Roman"/>
          <w:sz w:val="24"/>
          <w:szCs w:val="24"/>
        </w:rPr>
        <w:t>š</w:t>
      </w:r>
      <w:r w:rsidRPr="00802429">
        <w:rPr>
          <w:rFonts w:ascii="Times New Roman" w:hAnsi="Times New Roman"/>
          <w:sz w:val="24"/>
          <w:szCs w:val="24"/>
          <w:lang w:val="pl-PL"/>
        </w:rPr>
        <w:t>ti</w:t>
      </w:r>
      <w:r w:rsidRPr="00802429">
        <w:rPr>
          <w:rFonts w:ascii="Times New Roman" w:hAnsi="Times New Roman"/>
          <w:sz w:val="24"/>
          <w:szCs w:val="24"/>
        </w:rPr>
        <w:t xml:space="preserve"> </w:t>
      </w:r>
      <w:r w:rsidRPr="00802429">
        <w:rPr>
          <w:rFonts w:ascii="Times New Roman" w:hAnsi="Times New Roman"/>
          <w:sz w:val="24"/>
          <w:szCs w:val="24"/>
          <w:lang w:val="pl-PL"/>
        </w:rPr>
        <w:t>cilj</w:t>
      </w:r>
      <w:r w:rsidRPr="00802429">
        <w:rPr>
          <w:rFonts w:ascii="Times New Roman" w:hAnsi="Times New Roman"/>
          <w:sz w:val="24"/>
          <w:szCs w:val="24"/>
        </w:rPr>
        <w:t xml:space="preserve"> </w:t>
      </w:r>
      <w:r w:rsidRPr="00802429">
        <w:rPr>
          <w:rFonts w:ascii="Times New Roman" w:hAnsi="Times New Roman"/>
          <w:sz w:val="24"/>
          <w:szCs w:val="24"/>
          <w:lang w:val="pl-PL"/>
        </w:rPr>
        <w:t>Nacionalne</w:t>
      </w:r>
      <w:r w:rsidRPr="00802429">
        <w:rPr>
          <w:rFonts w:ascii="Times New Roman" w:hAnsi="Times New Roman"/>
          <w:sz w:val="24"/>
          <w:szCs w:val="24"/>
        </w:rPr>
        <w:t xml:space="preserve"> </w:t>
      </w:r>
      <w:r w:rsidRPr="00802429">
        <w:rPr>
          <w:rFonts w:ascii="Times New Roman" w:hAnsi="Times New Roman"/>
          <w:sz w:val="24"/>
          <w:szCs w:val="24"/>
          <w:lang w:val="pl-PL"/>
        </w:rPr>
        <w:t>strategije</w:t>
      </w:r>
      <w:r w:rsidRPr="00802429">
        <w:rPr>
          <w:rFonts w:ascii="Times New Roman" w:hAnsi="Times New Roman"/>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razvoja</w:t>
      </w:r>
      <w:r w:rsidRPr="00802429">
        <w:rPr>
          <w:rFonts w:ascii="Times New Roman" w:hAnsi="Times New Roman"/>
          <w:sz w:val="24"/>
          <w:szCs w:val="24"/>
        </w:rPr>
        <w:t xml:space="preserve"> </w:t>
      </w:r>
      <w:r w:rsidRPr="00802429">
        <w:rPr>
          <w:rFonts w:ascii="Times New Roman" w:hAnsi="Times New Roman"/>
          <w:sz w:val="24"/>
          <w:szCs w:val="24"/>
          <w:lang w:val="pl-PL"/>
        </w:rPr>
        <w:t>ljudskih</w:t>
      </w:r>
      <w:r w:rsidRPr="00802429">
        <w:rPr>
          <w:rFonts w:ascii="Times New Roman" w:hAnsi="Times New Roman"/>
          <w:sz w:val="24"/>
          <w:szCs w:val="24"/>
        </w:rPr>
        <w:t xml:space="preserve"> </w:t>
      </w:r>
      <w:r w:rsidRPr="00802429">
        <w:rPr>
          <w:rFonts w:ascii="Times New Roman" w:hAnsi="Times New Roman"/>
          <w:sz w:val="24"/>
          <w:szCs w:val="24"/>
          <w:lang w:val="pl-PL"/>
        </w:rPr>
        <w:t>resursa</w:t>
      </w:r>
      <w:r w:rsidRPr="00802429">
        <w:rPr>
          <w:rFonts w:ascii="Times New Roman" w:hAnsi="Times New Roman"/>
          <w:sz w:val="24"/>
          <w:szCs w:val="24"/>
        </w:rPr>
        <w:t xml:space="preserve"> </w:t>
      </w:r>
      <w:r w:rsidRPr="00802429">
        <w:rPr>
          <w:rFonts w:ascii="Times New Roman" w:hAnsi="Times New Roman"/>
          <w:sz w:val="24"/>
          <w:szCs w:val="24"/>
          <w:lang w:val="pl-PL"/>
        </w:rPr>
        <w:t>za</w:t>
      </w:r>
      <w:r w:rsidRPr="00802429">
        <w:rPr>
          <w:rFonts w:ascii="Times New Roman" w:hAnsi="Times New Roman"/>
          <w:sz w:val="24"/>
          <w:szCs w:val="24"/>
        </w:rPr>
        <w:t xml:space="preserve"> </w:t>
      </w:r>
      <w:r w:rsidRPr="00802429">
        <w:rPr>
          <w:rFonts w:ascii="Times New Roman" w:hAnsi="Times New Roman"/>
          <w:sz w:val="24"/>
          <w:szCs w:val="24"/>
          <w:lang w:val="pl-PL"/>
        </w:rPr>
        <w:t>period</w:t>
      </w:r>
      <w:r w:rsidR="000F7A99">
        <w:rPr>
          <w:rFonts w:ascii="Times New Roman" w:hAnsi="Times New Roman"/>
          <w:sz w:val="24"/>
          <w:szCs w:val="24"/>
        </w:rPr>
        <w:t xml:space="preserve"> 2012-2015. </w:t>
      </w:r>
      <w:r w:rsidRPr="00802429">
        <w:rPr>
          <w:rFonts w:ascii="Times New Roman" w:hAnsi="Times New Roman"/>
          <w:sz w:val="24"/>
          <w:szCs w:val="24"/>
          <w:lang w:val="pl-PL"/>
        </w:rPr>
        <w:t>godine</w:t>
      </w:r>
      <w:r w:rsidRPr="00802429">
        <w:rPr>
          <w:rFonts w:ascii="Times New Roman" w:hAnsi="Times New Roman"/>
          <w:sz w:val="24"/>
          <w:szCs w:val="24"/>
        </w:rPr>
        <w:t xml:space="preserve"> </w:t>
      </w:r>
      <w:r w:rsidRPr="00802429">
        <w:rPr>
          <w:rFonts w:ascii="Times New Roman" w:hAnsi="Times New Roman"/>
          <w:sz w:val="24"/>
          <w:szCs w:val="24"/>
          <w:lang w:val="pl-PL"/>
        </w:rPr>
        <w:t>bio</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podizanje</w:t>
      </w:r>
      <w:r w:rsidRPr="00802429">
        <w:rPr>
          <w:rFonts w:ascii="Times New Roman" w:hAnsi="Times New Roman"/>
          <w:sz w:val="24"/>
          <w:szCs w:val="24"/>
        </w:rPr>
        <w:t xml:space="preserve"> </w:t>
      </w:r>
      <w:r w:rsidRPr="00802429">
        <w:rPr>
          <w:rFonts w:ascii="Times New Roman" w:hAnsi="Times New Roman"/>
          <w:sz w:val="24"/>
          <w:szCs w:val="24"/>
          <w:lang w:val="pl-PL"/>
        </w:rPr>
        <w:t>nivoa</w:t>
      </w:r>
      <w:r w:rsidRPr="00802429">
        <w:rPr>
          <w:rFonts w:ascii="Times New Roman" w:hAnsi="Times New Roman"/>
          <w:sz w:val="24"/>
          <w:szCs w:val="24"/>
        </w:rPr>
        <w:t xml:space="preserve"> zaposlenosti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kvaliteta</w:t>
      </w:r>
      <w:r w:rsidRPr="00802429">
        <w:rPr>
          <w:rFonts w:ascii="Times New Roman" w:hAnsi="Times New Roman"/>
          <w:sz w:val="24"/>
          <w:szCs w:val="24"/>
        </w:rPr>
        <w:t xml:space="preserve"> </w:t>
      </w:r>
      <w:r w:rsidRPr="00802429">
        <w:rPr>
          <w:rFonts w:ascii="Times New Roman" w:hAnsi="Times New Roman"/>
          <w:sz w:val="24"/>
          <w:szCs w:val="24"/>
          <w:lang w:val="pl-PL"/>
        </w:rPr>
        <w:t>ljudskih</w:t>
      </w:r>
      <w:r w:rsidR="00901384" w:rsidRPr="00901384">
        <w:rPr>
          <w:rFonts w:ascii="Times New Roman" w:hAnsi="Times New Roman"/>
          <w:sz w:val="24"/>
          <w:szCs w:val="24"/>
        </w:rPr>
        <w:t xml:space="preserve"> </w:t>
      </w:r>
      <w:r w:rsidRPr="00802429">
        <w:rPr>
          <w:rFonts w:ascii="Times New Roman" w:hAnsi="Times New Roman"/>
          <w:sz w:val="24"/>
          <w:szCs w:val="24"/>
          <w:lang w:val="pl-PL"/>
        </w:rPr>
        <w:t>resursa</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Crnoj</w:t>
      </w:r>
      <w:r w:rsidRPr="00802429">
        <w:rPr>
          <w:rFonts w:ascii="Times New Roman" w:hAnsi="Times New Roman"/>
          <w:sz w:val="24"/>
          <w:szCs w:val="24"/>
        </w:rPr>
        <w:t xml:space="preserve"> </w:t>
      </w:r>
      <w:r w:rsidRPr="00802429">
        <w:rPr>
          <w:rFonts w:ascii="Times New Roman" w:hAnsi="Times New Roman"/>
          <w:sz w:val="24"/>
          <w:szCs w:val="24"/>
          <w:lang w:val="pl-PL"/>
        </w:rPr>
        <w:t>Gori</w:t>
      </w:r>
      <w:r w:rsidRPr="00802429">
        <w:rPr>
          <w:rFonts w:ascii="Times New Roman" w:hAnsi="Times New Roman"/>
          <w:sz w:val="24"/>
          <w:szCs w:val="24"/>
        </w:rPr>
        <w:t xml:space="preserve">. </w:t>
      </w:r>
      <w:r w:rsidRPr="00802429">
        <w:rPr>
          <w:rFonts w:ascii="Times New Roman" w:hAnsi="Times New Roman"/>
          <w:sz w:val="24"/>
          <w:szCs w:val="24"/>
          <w:lang w:val="pl-PL"/>
        </w:rPr>
        <w:t>Strategijom</w:t>
      </w:r>
      <w:r w:rsidRPr="00802429">
        <w:rPr>
          <w:rFonts w:ascii="Times New Roman" w:hAnsi="Times New Roman"/>
          <w:sz w:val="24"/>
          <w:szCs w:val="24"/>
        </w:rPr>
        <w:t xml:space="preserve"> </w:t>
      </w:r>
      <w:r w:rsidRPr="00802429">
        <w:rPr>
          <w:rFonts w:ascii="Times New Roman" w:hAnsi="Times New Roman"/>
          <w:sz w:val="24"/>
          <w:szCs w:val="24"/>
          <w:lang w:val="pl-PL"/>
        </w:rPr>
        <w:t>su</w:t>
      </w:r>
      <w:r w:rsidRPr="00802429">
        <w:rPr>
          <w:rFonts w:ascii="Times New Roman" w:hAnsi="Times New Roman"/>
          <w:sz w:val="24"/>
          <w:szCs w:val="24"/>
        </w:rPr>
        <w:t xml:space="preserve"> </w:t>
      </w:r>
      <w:r w:rsidRPr="00802429">
        <w:rPr>
          <w:rFonts w:ascii="Times New Roman" w:hAnsi="Times New Roman"/>
          <w:sz w:val="24"/>
          <w:szCs w:val="24"/>
          <w:lang w:val="pl-PL"/>
        </w:rPr>
        <w:t>definisana</w:t>
      </w:r>
      <w:r w:rsidRPr="00802429">
        <w:rPr>
          <w:rFonts w:ascii="Times New Roman" w:hAnsi="Times New Roman"/>
          <w:sz w:val="24"/>
          <w:szCs w:val="24"/>
        </w:rPr>
        <w:t xml:space="preserve"> </w:t>
      </w:r>
      <w:r w:rsidRPr="00802429">
        <w:rPr>
          <w:rFonts w:ascii="Times New Roman" w:hAnsi="Times New Roman"/>
          <w:sz w:val="24"/>
          <w:szCs w:val="24"/>
          <w:lang w:val="pl-PL"/>
        </w:rPr>
        <w:t>tri</w:t>
      </w:r>
      <w:r w:rsidRPr="00802429">
        <w:rPr>
          <w:rFonts w:ascii="Times New Roman" w:hAnsi="Times New Roman"/>
          <w:sz w:val="24"/>
          <w:szCs w:val="24"/>
        </w:rPr>
        <w:t xml:space="preserve"> </w:t>
      </w:r>
      <w:r w:rsidRPr="00802429">
        <w:rPr>
          <w:rFonts w:ascii="Times New Roman" w:hAnsi="Times New Roman"/>
          <w:sz w:val="24"/>
          <w:szCs w:val="24"/>
          <w:lang w:val="pl-PL"/>
        </w:rPr>
        <w:t>glavna</w:t>
      </w:r>
      <w:r w:rsidRPr="00802429">
        <w:rPr>
          <w:rFonts w:ascii="Times New Roman" w:hAnsi="Times New Roman"/>
          <w:sz w:val="24"/>
          <w:szCs w:val="24"/>
        </w:rPr>
        <w:t xml:space="preserve"> </w:t>
      </w:r>
      <w:r w:rsidRPr="00802429">
        <w:rPr>
          <w:rFonts w:ascii="Times New Roman" w:hAnsi="Times New Roman"/>
          <w:sz w:val="24"/>
          <w:szCs w:val="24"/>
          <w:lang w:val="pl-PL"/>
        </w:rPr>
        <w:t>prioriteta</w:t>
      </w:r>
      <w:r w:rsidRPr="00802429">
        <w:rPr>
          <w:rFonts w:ascii="Times New Roman" w:hAnsi="Times New Roman"/>
          <w:sz w:val="24"/>
          <w:szCs w:val="24"/>
        </w:rPr>
        <w:t xml:space="preserve">, kao i </w:t>
      </w:r>
      <w:r w:rsidRPr="00802429">
        <w:rPr>
          <w:rFonts w:ascii="Times New Roman" w:hAnsi="Times New Roman"/>
          <w:sz w:val="24"/>
          <w:szCs w:val="24"/>
          <w:lang w:val="pl-PL"/>
        </w:rPr>
        <w:t>ciljevi</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mjere</w:t>
      </w:r>
      <w:r w:rsidRPr="00802429">
        <w:rPr>
          <w:rFonts w:ascii="Times New Roman" w:hAnsi="Times New Roman"/>
          <w:sz w:val="24"/>
          <w:szCs w:val="24"/>
        </w:rPr>
        <w:t xml:space="preserve"> </w:t>
      </w:r>
      <w:r w:rsidRPr="00802429">
        <w:rPr>
          <w:rFonts w:ascii="Times New Roman" w:hAnsi="Times New Roman"/>
          <w:sz w:val="24"/>
          <w:szCs w:val="24"/>
          <w:lang w:val="pl-PL"/>
        </w:rPr>
        <w:t>za</w:t>
      </w:r>
      <w:r w:rsidRPr="00802429">
        <w:rPr>
          <w:rFonts w:ascii="Times New Roman" w:hAnsi="Times New Roman"/>
          <w:sz w:val="24"/>
          <w:szCs w:val="24"/>
        </w:rPr>
        <w:t xml:space="preserve"> </w:t>
      </w:r>
      <w:r w:rsidRPr="00802429">
        <w:rPr>
          <w:rFonts w:ascii="Times New Roman" w:hAnsi="Times New Roman"/>
          <w:sz w:val="24"/>
          <w:szCs w:val="24"/>
          <w:lang w:val="pl-PL"/>
        </w:rPr>
        <w:t>njihovo</w:t>
      </w:r>
      <w:r w:rsidRPr="00802429">
        <w:rPr>
          <w:rFonts w:ascii="Times New Roman" w:hAnsi="Times New Roman"/>
          <w:sz w:val="24"/>
          <w:szCs w:val="24"/>
        </w:rPr>
        <w:t xml:space="preserve"> </w:t>
      </w:r>
      <w:r w:rsidRPr="00802429">
        <w:rPr>
          <w:rFonts w:ascii="Times New Roman" w:hAnsi="Times New Roman"/>
          <w:sz w:val="24"/>
          <w:szCs w:val="24"/>
          <w:lang w:val="pl-PL"/>
        </w:rPr>
        <w:t>ostvarenje</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svrhu</w:t>
      </w:r>
      <w:r w:rsidRPr="00802429">
        <w:rPr>
          <w:rFonts w:ascii="Times New Roman" w:hAnsi="Times New Roman"/>
          <w:sz w:val="24"/>
          <w:szCs w:val="24"/>
        </w:rPr>
        <w:t xml:space="preserve"> </w:t>
      </w:r>
      <w:r w:rsidRPr="00802429">
        <w:rPr>
          <w:rFonts w:ascii="Times New Roman" w:hAnsi="Times New Roman"/>
          <w:sz w:val="24"/>
          <w:szCs w:val="24"/>
          <w:lang w:val="pl-PL"/>
        </w:rPr>
        <w:t>rje</w:t>
      </w:r>
      <w:r w:rsidRPr="00802429">
        <w:rPr>
          <w:rFonts w:ascii="Times New Roman" w:hAnsi="Times New Roman"/>
          <w:sz w:val="24"/>
          <w:szCs w:val="24"/>
        </w:rPr>
        <w:t>š</w:t>
      </w:r>
      <w:r w:rsidRPr="00802429">
        <w:rPr>
          <w:rFonts w:ascii="Times New Roman" w:hAnsi="Times New Roman"/>
          <w:sz w:val="24"/>
          <w:szCs w:val="24"/>
          <w:lang w:val="pl-PL"/>
        </w:rPr>
        <w:t>avanja</w:t>
      </w:r>
      <w:r w:rsidRPr="00802429">
        <w:rPr>
          <w:rFonts w:ascii="Times New Roman" w:hAnsi="Times New Roman"/>
          <w:sz w:val="24"/>
          <w:szCs w:val="24"/>
        </w:rPr>
        <w:t xml:space="preserve"> </w:t>
      </w:r>
      <w:r w:rsidRPr="00802429">
        <w:rPr>
          <w:rFonts w:ascii="Times New Roman" w:hAnsi="Times New Roman"/>
          <w:sz w:val="24"/>
          <w:szCs w:val="24"/>
          <w:lang w:val="pl-PL"/>
        </w:rPr>
        <w:t>glavnih</w:t>
      </w:r>
      <w:r w:rsidRPr="00802429">
        <w:rPr>
          <w:rFonts w:ascii="Times New Roman" w:hAnsi="Times New Roman"/>
          <w:sz w:val="24"/>
          <w:szCs w:val="24"/>
        </w:rPr>
        <w:t xml:space="preserve"> </w:t>
      </w:r>
      <w:r w:rsidRPr="00802429">
        <w:rPr>
          <w:rFonts w:ascii="Times New Roman" w:hAnsi="Times New Roman"/>
          <w:sz w:val="24"/>
          <w:szCs w:val="24"/>
          <w:lang w:val="pl-PL"/>
        </w:rPr>
        <w:t>izazova</w:t>
      </w:r>
      <w:r w:rsidRPr="00802429">
        <w:rPr>
          <w:rFonts w:ascii="Times New Roman" w:hAnsi="Times New Roman"/>
          <w:sz w:val="24"/>
          <w:szCs w:val="24"/>
        </w:rPr>
        <w:t xml:space="preserve"> </w:t>
      </w:r>
      <w:r w:rsidRPr="00802429">
        <w:rPr>
          <w:rFonts w:ascii="Times New Roman" w:hAnsi="Times New Roman"/>
          <w:sz w:val="24"/>
          <w:szCs w:val="24"/>
          <w:lang w:val="pl-PL"/>
        </w:rPr>
        <w:t>tr</w:t>
      </w:r>
      <w:r w:rsidRPr="00802429">
        <w:rPr>
          <w:rFonts w:ascii="Times New Roman" w:hAnsi="Times New Roman"/>
          <w:sz w:val="24"/>
          <w:szCs w:val="24"/>
        </w:rPr>
        <w:t>ž</w:t>
      </w:r>
      <w:r w:rsidRPr="00802429">
        <w:rPr>
          <w:rFonts w:ascii="Times New Roman" w:hAnsi="Times New Roman"/>
          <w:sz w:val="24"/>
          <w:szCs w:val="24"/>
          <w:lang w:val="pl-PL"/>
        </w:rPr>
        <w:t>i</w:t>
      </w:r>
      <w:r w:rsidRPr="00802429">
        <w:rPr>
          <w:rFonts w:ascii="Times New Roman" w:hAnsi="Times New Roman"/>
          <w:sz w:val="24"/>
          <w:szCs w:val="24"/>
        </w:rPr>
        <w:t>š</w:t>
      </w:r>
      <w:r w:rsidRPr="00802429">
        <w:rPr>
          <w:rFonts w:ascii="Times New Roman" w:hAnsi="Times New Roman"/>
          <w:sz w:val="24"/>
          <w:szCs w:val="24"/>
          <w:lang w:val="pl-PL"/>
        </w:rPr>
        <w:t>ta</w:t>
      </w:r>
      <w:r w:rsidRPr="00802429">
        <w:rPr>
          <w:rFonts w:ascii="Times New Roman" w:hAnsi="Times New Roman"/>
          <w:sz w:val="24"/>
          <w:szCs w:val="24"/>
        </w:rPr>
        <w:t xml:space="preserve"> </w:t>
      </w:r>
      <w:r w:rsidRPr="00802429">
        <w:rPr>
          <w:rFonts w:ascii="Times New Roman" w:hAnsi="Times New Roman"/>
          <w:sz w:val="24"/>
          <w:szCs w:val="24"/>
          <w:lang w:val="pl-PL"/>
        </w:rPr>
        <w:t>rada</w:t>
      </w:r>
      <w:r w:rsidRPr="00802429">
        <w:rPr>
          <w:rFonts w:ascii="Times New Roman" w:hAnsi="Times New Roman"/>
          <w:sz w:val="24"/>
          <w:szCs w:val="24"/>
        </w:rPr>
        <w:t>.</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okviru</w:t>
      </w:r>
      <w:r w:rsidRPr="00802429">
        <w:rPr>
          <w:rFonts w:ascii="Times New Roman" w:hAnsi="Times New Roman"/>
          <w:sz w:val="24"/>
          <w:szCs w:val="24"/>
        </w:rPr>
        <w:t xml:space="preserve"> </w:t>
      </w:r>
      <w:r w:rsidRPr="00802429">
        <w:rPr>
          <w:rFonts w:ascii="Times New Roman" w:hAnsi="Times New Roman"/>
          <w:sz w:val="24"/>
          <w:szCs w:val="24"/>
          <w:lang w:val="pl-PL"/>
        </w:rPr>
        <w:t>prioriteta</w:t>
      </w:r>
      <w:r w:rsidRPr="00802429">
        <w:rPr>
          <w:rFonts w:ascii="Times New Roman" w:hAnsi="Times New Roman"/>
          <w:sz w:val="24"/>
          <w:szCs w:val="24"/>
        </w:rPr>
        <w:t xml:space="preserve"> </w:t>
      </w:r>
      <w:r w:rsidRPr="00802429">
        <w:rPr>
          <w:rFonts w:ascii="Times New Roman" w:hAnsi="Times New Roman"/>
          <w:b/>
          <w:sz w:val="24"/>
          <w:szCs w:val="24"/>
          <w:lang w:val="pl-PL"/>
        </w:rPr>
        <w:t>pove</w:t>
      </w:r>
      <w:r w:rsidRPr="00802429">
        <w:rPr>
          <w:rFonts w:ascii="Times New Roman" w:hAnsi="Times New Roman"/>
          <w:b/>
          <w:sz w:val="24"/>
          <w:szCs w:val="24"/>
        </w:rPr>
        <w:t>ć</w:t>
      </w:r>
      <w:r w:rsidRPr="00802429">
        <w:rPr>
          <w:rFonts w:ascii="Times New Roman" w:hAnsi="Times New Roman"/>
          <w:b/>
          <w:sz w:val="24"/>
          <w:szCs w:val="24"/>
          <w:lang w:val="pl-PL"/>
        </w:rPr>
        <w:t>anje</w:t>
      </w:r>
      <w:r w:rsidRPr="00802429">
        <w:rPr>
          <w:rFonts w:ascii="Times New Roman" w:hAnsi="Times New Roman"/>
          <w:b/>
          <w:sz w:val="24"/>
          <w:szCs w:val="24"/>
        </w:rPr>
        <w:t xml:space="preserve"> </w:t>
      </w:r>
      <w:r w:rsidRPr="00802429">
        <w:rPr>
          <w:rFonts w:ascii="Times New Roman" w:hAnsi="Times New Roman"/>
          <w:b/>
          <w:sz w:val="24"/>
          <w:szCs w:val="24"/>
          <w:lang w:val="pl-PL"/>
        </w:rPr>
        <w:t>zaposlenosti</w:t>
      </w:r>
      <w:r w:rsidRPr="00802429">
        <w:rPr>
          <w:rFonts w:ascii="Times New Roman" w:hAnsi="Times New Roman"/>
          <w:b/>
          <w:sz w:val="24"/>
          <w:szCs w:val="24"/>
        </w:rPr>
        <w:t xml:space="preserve"> </w:t>
      </w:r>
      <w:r w:rsidRPr="00802429">
        <w:rPr>
          <w:rFonts w:ascii="Times New Roman" w:hAnsi="Times New Roman"/>
          <w:b/>
          <w:sz w:val="24"/>
          <w:szCs w:val="24"/>
          <w:lang w:val="pl-PL"/>
        </w:rPr>
        <w:t>i</w:t>
      </w:r>
      <w:r w:rsidRPr="00802429">
        <w:rPr>
          <w:rFonts w:ascii="Times New Roman" w:hAnsi="Times New Roman"/>
          <w:b/>
          <w:sz w:val="24"/>
          <w:szCs w:val="24"/>
        </w:rPr>
        <w:t xml:space="preserve"> </w:t>
      </w:r>
      <w:r w:rsidRPr="00802429">
        <w:rPr>
          <w:rFonts w:ascii="Times New Roman" w:hAnsi="Times New Roman"/>
          <w:b/>
          <w:sz w:val="24"/>
          <w:szCs w:val="24"/>
          <w:lang w:val="pl-PL"/>
        </w:rPr>
        <w:t>smanjenje</w:t>
      </w:r>
      <w:r w:rsidRPr="00802429">
        <w:rPr>
          <w:rFonts w:ascii="Times New Roman" w:hAnsi="Times New Roman"/>
          <w:b/>
          <w:sz w:val="24"/>
          <w:szCs w:val="24"/>
        </w:rPr>
        <w:t xml:space="preserve"> </w:t>
      </w:r>
      <w:r w:rsidRPr="00802429">
        <w:rPr>
          <w:rFonts w:ascii="Times New Roman" w:hAnsi="Times New Roman"/>
          <w:b/>
          <w:sz w:val="24"/>
          <w:szCs w:val="24"/>
          <w:lang w:val="pl-PL"/>
        </w:rPr>
        <w:t>stope</w:t>
      </w:r>
      <w:r w:rsidRPr="00802429">
        <w:rPr>
          <w:rFonts w:ascii="Times New Roman" w:hAnsi="Times New Roman"/>
          <w:b/>
          <w:sz w:val="24"/>
          <w:szCs w:val="24"/>
        </w:rPr>
        <w:t xml:space="preserve"> </w:t>
      </w:r>
      <w:r w:rsidRPr="00802429">
        <w:rPr>
          <w:rFonts w:ascii="Times New Roman" w:hAnsi="Times New Roman"/>
          <w:b/>
          <w:sz w:val="24"/>
          <w:szCs w:val="24"/>
          <w:lang w:val="pl-PL"/>
        </w:rPr>
        <w:t>nezaposlenosti</w:t>
      </w:r>
      <w:r w:rsidRPr="00802429">
        <w:rPr>
          <w:rFonts w:ascii="Times New Roman" w:hAnsi="Times New Roman"/>
          <w:sz w:val="24"/>
          <w:szCs w:val="24"/>
        </w:rPr>
        <w:t xml:space="preserve"> </w:t>
      </w:r>
      <w:r w:rsidRPr="00802429">
        <w:rPr>
          <w:rFonts w:ascii="Times New Roman" w:hAnsi="Times New Roman"/>
          <w:sz w:val="24"/>
          <w:szCs w:val="24"/>
          <w:lang w:val="pl-PL"/>
        </w:rPr>
        <w:t>ciljevi</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mjere</w:t>
      </w:r>
      <w:r w:rsidRPr="00802429">
        <w:rPr>
          <w:rFonts w:ascii="Times New Roman" w:hAnsi="Times New Roman"/>
          <w:sz w:val="24"/>
          <w:szCs w:val="24"/>
        </w:rPr>
        <w:t xml:space="preserve"> </w:t>
      </w:r>
      <w:r w:rsidRPr="00802429">
        <w:rPr>
          <w:rFonts w:ascii="Times New Roman" w:hAnsi="Times New Roman"/>
          <w:sz w:val="24"/>
          <w:szCs w:val="24"/>
          <w:lang w:val="pl-PL"/>
        </w:rPr>
        <w:t>bili</w:t>
      </w:r>
      <w:r w:rsidRPr="00802429">
        <w:rPr>
          <w:rFonts w:ascii="Times New Roman" w:hAnsi="Times New Roman"/>
          <w:sz w:val="24"/>
          <w:szCs w:val="24"/>
        </w:rPr>
        <w:t xml:space="preserve"> </w:t>
      </w:r>
      <w:r w:rsidRPr="00802429">
        <w:rPr>
          <w:rFonts w:ascii="Times New Roman" w:hAnsi="Times New Roman"/>
          <w:sz w:val="24"/>
          <w:szCs w:val="24"/>
          <w:lang w:val="pl-PL"/>
        </w:rPr>
        <w:t>su</w:t>
      </w:r>
      <w:r w:rsidRPr="00802429">
        <w:rPr>
          <w:rFonts w:ascii="Times New Roman" w:hAnsi="Times New Roman"/>
          <w:sz w:val="24"/>
          <w:szCs w:val="24"/>
        </w:rPr>
        <w:t xml:space="preserve"> </w:t>
      </w:r>
      <w:r w:rsidRPr="00802429">
        <w:rPr>
          <w:rFonts w:ascii="Times New Roman" w:hAnsi="Times New Roman"/>
          <w:sz w:val="24"/>
          <w:szCs w:val="24"/>
          <w:lang w:val="pl-PL"/>
        </w:rPr>
        <w:t>usmjereni</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stimulisanje</w:t>
      </w:r>
      <w:r w:rsidRPr="00802429">
        <w:rPr>
          <w:rFonts w:ascii="Times New Roman" w:hAnsi="Times New Roman"/>
          <w:sz w:val="24"/>
          <w:szCs w:val="24"/>
        </w:rPr>
        <w:t xml:space="preserve"> </w:t>
      </w:r>
      <w:r w:rsidRPr="00802429">
        <w:rPr>
          <w:rFonts w:ascii="Times New Roman" w:hAnsi="Times New Roman"/>
          <w:sz w:val="24"/>
          <w:szCs w:val="24"/>
          <w:lang w:val="pl-PL"/>
        </w:rPr>
        <w:t>generisanja</w:t>
      </w:r>
      <w:r w:rsidRPr="00802429">
        <w:rPr>
          <w:rFonts w:ascii="Times New Roman" w:hAnsi="Times New Roman"/>
          <w:sz w:val="24"/>
          <w:szCs w:val="24"/>
        </w:rPr>
        <w:t xml:space="preserve"> </w:t>
      </w:r>
      <w:r w:rsidRPr="00802429">
        <w:rPr>
          <w:rFonts w:ascii="Times New Roman" w:hAnsi="Times New Roman"/>
          <w:sz w:val="24"/>
          <w:szCs w:val="24"/>
          <w:lang w:val="pl-PL"/>
        </w:rPr>
        <w:t>zaposlenosti</w:t>
      </w:r>
      <w:r w:rsidRPr="00802429">
        <w:rPr>
          <w:rFonts w:ascii="Times New Roman" w:hAnsi="Times New Roman"/>
          <w:sz w:val="24"/>
          <w:szCs w:val="24"/>
        </w:rPr>
        <w:t xml:space="preserve"> </w:t>
      </w:r>
      <w:r w:rsidRPr="00802429">
        <w:rPr>
          <w:rFonts w:ascii="Times New Roman" w:hAnsi="Times New Roman"/>
          <w:sz w:val="24"/>
          <w:szCs w:val="24"/>
          <w:lang w:val="pl-PL"/>
        </w:rPr>
        <w:t>pobolj</w:t>
      </w:r>
      <w:r w:rsidRPr="00802429">
        <w:rPr>
          <w:rFonts w:ascii="Times New Roman" w:hAnsi="Times New Roman"/>
          <w:sz w:val="24"/>
          <w:szCs w:val="24"/>
        </w:rPr>
        <w:t>š</w:t>
      </w:r>
      <w:r w:rsidRPr="00802429">
        <w:rPr>
          <w:rFonts w:ascii="Times New Roman" w:hAnsi="Times New Roman"/>
          <w:sz w:val="24"/>
          <w:szCs w:val="24"/>
          <w:lang w:val="pl-PL"/>
        </w:rPr>
        <w:t>anjem</w:t>
      </w:r>
      <w:r w:rsidRPr="00802429">
        <w:rPr>
          <w:rFonts w:ascii="Times New Roman" w:hAnsi="Times New Roman"/>
          <w:sz w:val="24"/>
          <w:szCs w:val="24"/>
        </w:rPr>
        <w:t xml:space="preserve"> </w:t>
      </w:r>
      <w:r w:rsidRPr="00802429">
        <w:rPr>
          <w:rFonts w:ascii="Times New Roman" w:hAnsi="Times New Roman"/>
          <w:sz w:val="24"/>
          <w:szCs w:val="24"/>
          <w:lang w:val="pl-PL"/>
        </w:rPr>
        <w:t>biznis</w:t>
      </w:r>
      <w:r w:rsidRPr="00802429">
        <w:rPr>
          <w:rFonts w:ascii="Times New Roman" w:hAnsi="Times New Roman"/>
          <w:sz w:val="24"/>
          <w:szCs w:val="24"/>
        </w:rPr>
        <w:t xml:space="preserve"> </w:t>
      </w:r>
      <w:r w:rsidRPr="00802429">
        <w:rPr>
          <w:rFonts w:ascii="Times New Roman" w:hAnsi="Times New Roman"/>
          <w:sz w:val="24"/>
          <w:szCs w:val="24"/>
          <w:lang w:val="pl-PL"/>
        </w:rPr>
        <w:t>okru</w:t>
      </w:r>
      <w:r w:rsidRPr="00802429">
        <w:rPr>
          <w:rFonts w:ascii="Times New Roman" w:hAnsi="Times New Roman"/>
          <w:sz w:val="24"/>
          <w:szCs w:val="24"/>
        </w:rPr>
        <w:t>ž</w:t>
      </w:r>
      <w:r w:rsidRPr="00802429">
        <w:rPr>
          <w:rFonts w:ascii="Times New Roman" w:hAnsi="Times New Roman"/>
          <w:sz w:val="24"/>
          <w:szCs w:val="24"/>
          <w:lang w:val="pl-PL"/>
        </w:rPr>
        <w:t>enja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upravljanja</w:t>
      </w:r>
      <w:r w:rsidRPr="00802429">
        <w:rPr>
          <w:rFonts w:ascii="Times New Roman" w:hAnsi="Times New Roman"/>
          <w:sz w:val="24"/>
          <w:szCs w:val="24"/>
        </w:rPr>
        <w:t xml:space="preserve"> </w:t>
      </w:r>
      <w:r w:rsidRPr="00802429">
        <w:rPr>
          <w:rFonts w:ascii="Times New Roman" w:hAnsi="Times New Roman"/>
          <w:sz w:val="24"/>
          <w:szCs w:val="24"/>
          <w:lang w:val="pl-PL"/>
        </w:rPr>
        <w:t>tr</w:t>
      </w:r>
      <w:r w:rsidRPr="00802429">
        <w:rPr>
          <w:rFonts w:ascii="Times New Roman" w:hAnsi="Times New Roman"/>
          <w:sz w:val="24"/>
          <w:szCs w:val="24"/>
        </w:rPr>
        <w:t>ž</w:t>
      </w:r>
      <w:r w:rsidRPr="00802429">
        <w:rPr>
          <w:rFonts w:ascii="Times New Roman" w:hAnsi="Times New Roman"/>
          <w:sz w:val="24"/>
          <w:szCs w:val="24"/>
          <w:lang w:val="pl-PL"/>
        </w:rPr>
        <w:t>i</w:t>
      </w:r>
      <w:r w:rsidRPr="00802429">
        <w:rPr>
          <w:rFonts w:ascii="Times New Roman" w:hAnsi="Times New Roman"/>
          <w:sz w:val="24"/>
          <w:szCs w:val="24"/>
        </w:rPr>
        <w:t>š</w:t>
      </w:r>
      <w:r w:rsidRPr="00802429">
        <w:rPr>
          <w:rFonts w:ascii="Times New Roman" w:hAnsi="Times New Roman"/>
          <w:sz w:val="24"/>
          <w:szCs w:val="24"/>
          <w:lang w:val="pl-PL"/>
        </w:rPr>
        <w:t>tem</w:t>
      </w:r>
      <w:r w:rsidRPr="00802429">
        <w:rPr>
          <w:rFonts w:ascii="Times New Roman" w:hAnsi="Times New Roman"/>
          <w:sz w:val="24"/>
          <w:szCs w:val="24"/>
        </w:rPr>
        <w:t xml:space="preserve"> </w:t>
      </w:r>
      <w:r w:rsidRPr="00802429">
        <w:rPr>
          <w:rFonts w:ascii="Times New Roman" w:hAnsi="Times New Roman"/>
          <w:sz w:val="24"/>
          <w:szCs w:val="24"/>
          <w:lang w:val="pl-PL"/>
        </w:rPr>
        <w:t>rada</w:t>
      </w:r>
      <w:r w:rsidRPr="00802429">
        <w:rPr>
          <w:rFonts w:ascii="Times New Roman" w:hAnsi="Times New Roman"/>
          <w:sz w:val="24"/>
          <w:szCs w:val="24"/>
        </w:rPr>
        <w:t xml:space="preserve">, </w:t>
      </w:r>
      <w:r w:rsidRPr="00802429">
        <w:rPr>
          <w:rFonts w:ascii="Times New Roman" w:hAnsi="Times New Roman"/>
          <w:sz w:val="24"/>
          <w:szCs w:val="24"/>
          <w:lang w:val="pl-PL"/>
        </w:rPr>
        <w:t>pronala</w:t>
      </w:r>
      <w:r w:rsidRPr="00802429">
        <w:rPr>
          <w:rFonts w:ascii="Times New Roman" w:hAnsi="Times New Roman"/>
          <w:sz w:val="24"/>
          <w:szCs w:val="24"/>
        </w:rPr>
        <w:t>ž</w:t>
      </w:r>
      <w:r w:rsidRPr="00802429">
        <w:rPr>
          <w:rFonts w:ascii="Times New Roman" w:hAnsi="Times New Roman"/>
          <w:sz w:val="24"/>
          <w:szCs w:val="24"/>
          <w:lang w:val="pl-PL"/>
        </w:rPr>
        <w:t>enje</w:t>
      </w:r>
      <w:r w:rsidRPr="00802429">
        <w:rPr>
          <w:rFonts w:ascii="Times New Roman" w:hAnsi="Times New Roman"/>
          <w:sz w:val="24"/>
          <w:szCs w:val="24"/>
        </w:rPr>
        <w:t xml:space="preserve"> </w:t>
      </w:r>
      <w:r w:rsidRPr="00802429">
        <w:rPr>
          <w:rFonts w:ascii="Times New Roman" w:hAnsi="Times New Roman"/>
          <w:sz w:val="24"/>
          <w:szCs w:val="24"/>
          <w:lang w:val="pl-PL"/>
        </w:rPr>
        <w:t>odgovaraju</w:t>
      </w:r>
      <w:r w:rsidRPr="00802429">
        <w:rPr>
          <w:rFonts w:ascii="Times New Roman" w:hAnsi="Times New Roman"/>
          <w:sz w:val="24"/>
          <w:szCs w:val="24"/>
        </w:rPr>
        <w:t>ć</w:t>
      </w:r>
      <w:r w:rsidRPr="00802429">
        <w:rPr>
          <w:rFonts w:ascii="Times New Roman" w:hAnsi="Times New Roman"/>
          <w:sz w:val="24"/>
          <w:szCs w:val="24"/>
          <w:lang w:val="pl-PL"/>
        </w:rPr>
        <w:t>e</w:t>
      </w:r>
      <w:r w:rsidRPr="00802429">
        <w:rPr>
          <w:rFonts w:ascii="Times New Roman" w:hAnsi="Times New Roman"/>
          <w:sz w:val="24"/>
          <w:szCs w:val="24"/>
        </w:rPr>
        <w:t xml:space="preserve"> </w:t>
      </w:r>
      <w:r w:rsidRPr="00802429">
        <w:rPr>
          <w:rFonts w:ascii="Times New Roman" w:hAnsi="Times New Roman"/>
          <w:sz w:val="24"/>
          <w:szCs w:val="24"/>
          <w:lang w:val="pl-PL"/>
        </w:rPr>
        <w:t>ravnote</w:t>
      </w:r>
      <w:r w:rsidRPr="00802429">
        <w:rPr>
          <w:rFonts w:ascii="Times New Roman" w:hAnsi="Times New Roman"/>
          <w:sz w:val="24"/>
          <w:szCs w:val="24"/>
        </w:rPr>
        <w:t>ž</w:t>
      </w:r>
      <w:r w:rsidRPr="00802429">
        <w:rPr>
          <w:rFonts w:ascii="Times New Roman" w:hAnsi="Times New Roman"/>
          <w:sz w:val="24"/>
          <w:szCs w:val="24"/>
          <w:lang w:val="pl-PL"/>
        </w:rPr>
        <w:t>e</w:t>
      </w:r>
      <w:r w:rsidRPr="00802429">
        <w:rPr>
          <w:rFonts w:ascii="Times New Roman" w:hAnsi="Times New Roman"/>
          <w:sz w:val="24"/>
          <w:szCs w:val="24"/>
        </w:rPr>
        <w:t xml:space="preserve"> </w:t>
      </w:r>
      <w:r w:rsidRPr="00802429">
        <w:rPr>
          <w:rFonts w:ascii="Times New Roman" w:hAnsi="Times New Roman"/>
          <w:sz w:val="24"/>
          <w:szCs w:val="24"/>
          <w:lang w:val="pl-PL"/>
        </w:rPr>
        <w:t>izme</w:t>
      </w:r>
      <w:r w:rsidRPr="00802429">
        <w:rPr>
          <w:rFonts w:ascii="Times New Roman" w:hAnsi="Times New Roman"/>
          <w:sz w:val="24"/>
          <w:szCs w:val="24"/>
        </w:rPr>
        <w:t>đ</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fleksibilnosti</w:t>
      </w:r>
      <w:r w:rsidRPr="00802429">
        <w:rPr>
          <w:rFonts w:ascii="Times New Roman" w:hAnsi="Times New Roman"/>
          <w:sz w:val="24"/>
          <w:szCs w:val="24"/>
        </w:rPr>
        <w:t xml:space="preserve">, </w:t>
      </w:r>
      <w:r w:rsidRPr="00802429">
        <w:rPr>
          <w:rFonts w:ascii="Times New Roman" w:hAnsi="Times New Roman"/>
          <w:sz w:val="24"/>
          <w:szCs w:val="24"/>
          <w:lang w:val="pl-PL"/>
        </w:rPr>
        <w:t>produktivnosti</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sigurnosti</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tr</w:t>
      </w:r>
      <w:r w:rsidRPr="00802429">
        <w:rPr>
          <w:rFonts w:ascii="Times New Roman" w:hAnsi="Times New Roman"/>
          <w:sz w:val="24"/>
          <w:szCs w:val="24"/>
        </w:rPr>
        <w:t>ž</w:t>
      </w:r>
      <w:r w:rsidRPr="00802429">
        <w:rPr>
          <w:rFonts w:ascii="Times New Roman" w:hAnsi="Times New Roman"/>
          <w:sz w:val="24"/>
          <w:szCs w:val="24"/>
          <w:lang w:val="pl-PL"/>
        </w:rPr>
        <w:t>i</w:t>
      </w:r>
      <w:r w:rsidRPr="00802429">
        <w:rPr>
          <w:rFonts w:ascii="Times New Roman" w:hAnsi="Times New Roman"/>
          <w:sz w:val="24"/>
          <w:szCs w:val="24"/>
        </w:rPr>
        <w:t>š</w:t>
      </w:r>
      <w:r w:rsidRPr="00802429">
        <w:rPr>
          <w:rFonts w:ascii="Times New Roman" w:hAnsi="Times New Roman"/>
          <w:sz w:val="24"/>
          <w:szCs w:val="24"/>
          <w:lang w:val="pl-PL"/>
        </w:rPr>
        <w:t>tu</w:t>
      </w:r>
      <w:r w:rsidRPr="00802429">
        <w:rPr>
          <w:rFonts w:ascii="Times New Roman" w:hAnsi="Times New Roman"/>
          <w:sz w:val="24"/>
          <w:szCs w:val="24"/>
        </w:rPr>
        <w:t xml:space="preserve"> </w:t>
      </w:r>
      <w:r w:rsidRPr="00802429">
        <w:rPr>
          <w:rFonts w:ascii="Times New Roman" w:hAnsi="Times New Roman"/>
          <w:sz w:val="24"/>
          <w:szCs w:val="24"/>
          <w:lang w:val="pl-PL"/>
        </w:rPr>
        <w:t>rada</w:t>
      </w:r>
      <w:r w:rsidRPr="00802429">
        <w:rPr>
          <w:rFonts w:ascii="Times New Roman" w:hAnsi="Times New Roman"/>
          <w:sz w:val="24"/>
          <w:szCs w:val="24"/>
        </w:rPr>
        <w:t xml:space="preserve">, </w:t>
      </w:r>
      <w:r w:rsidRPr="00802429">
        <w:rPr>
          <w:rFonts w:ascii="Times New Roman" w:hAnsi="Times New Roman"/>
          <w:sz w:val="24"/>
          <w:szCs w:val="24"/>
          <w:lang w:val="pl-PL"/>
        </w:rPr>
        <w:t>pove</w:t>
      </w:r>
      <w:r w:rsidRPr="00802429">
        <w:rPr>
          <w:rFonts w:ascii="Times New Roman" w:hAnsi="Times New Roman"/>
          <w:sz w:val="24"/>
          <w:szCs w:val="24"/>
        </w:rPr>
        <w:t>ć</w:t>
      </w:r>
      <w:r w:rsidRPr="00802429">
        <w:rPr>
          <w:rFonts w:ascii="Times New Roman" w:hAnsi="Times New Roman"/>
          <w:sz w:val="24"/>
          <w:szCs w:val="24"/>
          <w:lang w:val="pl-PL"/>
        </w:rPr>
        <w:t>anje</w:t>
      </w:r>
      <w:r w:rsidRPr="00802429">
        <w:rPr>
          <w:rFonts w:ascii="Times New Roman" w:hAnsi="Times New Roman"/>
          <w:sz w:val="24"/>
          <w:szCs w:val="24"/>
        </w:rPr>
        <w:t xml:space="preserve"> </w:t>
      </w:r>
      <w:r w:rsidRPr="00802429">
        <w:rPr>
          <w:rFonts w:ascii="Times New Roman" w:hAnsi="Times New Roman"/>
          <w:sz w:val="24"/>
          <w:szCs w:val="24"/>
          <w:lang w:val="pl-PL"/>
        </w:rPr>
        <w:t>efikasnosti</w:t>
      </w:r>
      <w:r w:rsidRPr="00802429">
        <w:rPr>
          <w:rFonts w:ascii="Times New Roman" w:hAnsi="Times New Roman"/>
          <w:sz w:val="24"/>
          <w:szCs w:val="24"/>
        </w:rPr>
        <w:t xml:space="preserve"> </w:t>
      </w:r>
      <w:r w:rsidRPr="00802429">
        <w:rPr>
          <w:rFonts w:ascii="Times New Roman" w:hAnsi="Times New Roman"/>
          <w:sz w:val="24"/>
          <w:szCs w:val="24"/>
          <w:lang w:val="pl-PL"/>
        </w:rPr>
        <w:t>mjera</w:t>
      </w:r>
      <w:r w:rsidRPr="00802429">
        <w:rPr>
          <w:rFonts w:ascii="Times New Roman" w:hAnsi="Times New Roman"/>
          <w:sz w:val="24"/>
          <w:szCs w:val="24"/>
        </w:rPr>
        <w:t xml:space="preserve"> </w:t>
      </w:r>
      <w:r w:rsidRPr="00802429">
        <w:rPr>
          <w:rFonts w:ascii="Times New Roman" w:hAnsi="Times New Roman"/>
          <w:sz w:val="24"/>
          <w:szCs w:val="24"/>
          <w:lang w:val="pl-PL"/>
        </w:rPr>
        <w:t>aktivne</w:t>
      </w:r>
      <w:r w:rsidRPr="00802429">
        <w:rPr>
          <w:rFonts w:ascii="Times New Roman" w:hAnsi="Times New Roman"/>
          <w:sz w:val="24"/>
          <w:szCs w:val="24"/>
        </w:rPr>
        <w:t xml:space="preserve"> </w:t>
      </w:r>
      <w:r w:rsidRPr="00802429">
        <w:rPr>
          <w:rFonts w:ascii="Times New Roman" w:hAnsi="Times New Roman"/>
          <w:sz w:val="24"/>
          <w:szCs w:val="24"/>
          <w:lang w:val="pl-PL"/>
        </w:rPr>
        <w:t>politike</w:t>
      </w:r>
      <w:r w:rsidRPr="00802429">
        <w:rPr>
          <w:rFonts w:ascii="Times New Roman" w:hAnsi="Times New Roman"/>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ljavanja</w:t>
      </w:r>
      <w:r w:rsidRPr="00802429">
        <w:rPr>
          <w:rFonts w:ascii="Times New Roman" w:hAnsi="Times New Roman"/>
          <w:sz w:val="24"/>
          <w:szCs w:val="24"/>
        </w:rPr>
        <w:t xml:space="preserve"> – </w:t>
      </w:r>
      <w:r w:rsidRPr="00802429">
        <w:rPr>
          <w:rFonts w:ascii="Times New Roman" w:hAnsi="Times New Roman"/>
          <w:sz w:val="24"/>
          <w:szCs w:val="24"/>
          <w:lang w:val="pl-PL"/>
        </w:rPr>
        <w:t>sa</w:t>
      </w:r>
      <w:r w:rsidRPr="00802429">
        <w:rPr>
          <w:rFonts w:ascii="Times New Roman" w:hAnsi="Times New Roman"/>
          <w:sz w:val="24"/>
          <w:szCs w:val="24"/>
        </w:rPr>
        <w:t xml:space="preserve"> </w:t>
      </w:r>
      <w:r w:rsidRPr="00802429">
        <w:rPr>
          <w:rFonts w:ascii="Times New Roman" w:hAnsi="Times New Roman"/>
          <w:sz w:val="24"/>
          <w:szCs w:val="24"/>
          <w:lang w:val="pl-PL"/>
        </w:rPr>
        <w:t>posebnim</w:t>
      </w:r>
      <w:r w:rsidRPr="00802429">
        <w:rPr>
          <w:rFonts w:ascii="Times New Roman" w:hAnsi="Times New Roman"/>
          <w:sz w:val="24"/>
          <w:szCs w:val="24"/>
        </w:rPr>
        <w:t xml:space="preserve"> </w:t>
      </w:r>
      <w:r w:rsidRPr="00802429">
        <w:rPr>
          <w:rFonts w:ascii="Times New Roman" w:hAnsi="Times New Roman"/>
          <w:sz w:val="24"/>
          <w:szCs w:val="24"/>
          <w:lang w:val="pl-PL"/>
        </w:rPr>
        <w:t>naglaskom</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integraciju</w:t>
      </w:r>
      <w:r w:rsidRPr="00802429">
        <w:rPr>
          <w:rFonts w:ascii="Times New Roman" w:hAnsi="Times New Roman"/>
          <w:sz w:val="24"/>
          <w:szCs w:val="24"/>
        </w:rPr>
        <w:t xml:space="preserve"> </w:t>
      </w:r>
      <w:r w:rsidRPr="00802429">
        <w:rPr>
          <w:rFonts w:ascii="Times New Roman" w:hAnsi="Times New Roman"/>
          <w:sz w:val="24"/>
          <w:szCs w:val="24"/>
          <w:lang w:val="pl-PL"/>
        </w:rPr>
        <w:t>dugoro</w:t>
      </w:r>
      <w:r w:rsidRPr="00802429">
        <w:rPr>
          <w:rFonts w:ascii="Times New Roman" w:hAnsi="Times New Roman"/>
          <w:sz w:val="24"/>
          <w:szCs w:val="24"/>
        </w:rPr>
        <w:t>č</w:t>
      </w:r>
      <w:r w:rsidRPr="00802429">
        <w:rPr>
          <w:rFonts w:ascii="Times New Roman" w:hAnsi="Times New Roman"/>
          <w:sz w:val="24"/>
          <w:szCs w:val="24"/>
          <w:lang w:val="pl-PL"/>
        </w:rPr>
        <w:t>no</w:t>
      </w:r>
      <w:r w:rsidRPr="00802429">
        <w:rPr>
          <w:rFonts w:ascii="Times New Roman" w:hAnsi="Times New Roman"/>
          <w:sz w:val="24"/>
          <w:szCs w:val="24"/>
        </w:rPr>
        <w:t xml:space="preserve"> </w:t>
      </w:r>
      <w:r w:rsidRPr="00802429">
        <w:rPr>
          <w:rFonts w:ascii="Times New Roman" w:hAnsi="Times New Roman"/>
          <w:sz w:val="24"/>
          <w:szCs w:val="24"/>
          <w:lang w:val="pl-PL"/>
        </w:rPr>
        <w:t>nezaposlenih</w:t>
      </w:r>
      <w:r w:rsidRPr="00802429">
        <w:rPr>
          <w:rFonts w:ascii="Times New Roman" w:hAnsi="Times New Roman"/>
          <w:sz w:val="24"/>
          <w:szCs w:val="24"/>
        </w:rPr>
        <w:t xml:space="preserve"> </w:t>
      </w:r>
      <w:r w:rsidRPr="00802429">
        <w:rPr>
          <w:rFonts w:ascii="Times New Roman" w:hAnsi="Times New Roman"/>
          <w:sz w:val="24"/>
          <w:szCs w:val="24"/>
          <w:lang w:val="pl-PL"/>
        </w:rPr>
        <w:t>lica</w:t>
      </w:r>
      <w:r w:rsidRPr="00802429">
        <w:rPr>
          <w:rFonts w:ascii="Times New Roman" w:hAnsi="Times New Roman"/>
          <w:sz w:val="24"/>
          <w:szCs w:val="24"/>
        </w:rPr>
        <w:t xml:space="preserve">, </w:t>
      </w:r>
      <w:r w:rsidRPr="00802429">
        <w:rPr>
          <w:rFonts w:ascii="Times New Roman" w:hAnsi="Times New Roman"/>
          <w:sz w:val="24"/>
          <w:szCs w:val="24"/>
          <w:lang w:val="pl-PL"/>
        </w:rPr>
        <w:t>mladih</w:t>
      </w:r>
      <w:r w:rsidRPr="00802429">
        <w:rPr>
          <w:rFonts w:ascii="Times New Roman" w:hAnsi="Times New Roman"/>
          <w:sz w:val="24"/>
          <w:szCs w:val="24"/>
        </w:rPr>
        <w:t xml:space="preserve"> </w:t>
      </w:r>
      <w:r w:rsidRPr="00802429">
        <w:rPr>
          <w:rFonts w:ascii="Times New Roman" w:hAnsi="Times New Roman"/>
          <w:sz w:val="24"/>
          <w:szCs w:val="24"/>
          <w:lang w:val="pl-PL"/>
        </w:rPr>
        <w:t>nezaposlenih</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nezaposlenih</w:t>
      </w:r>
      <w:r w:rsidRPr="00802429">
        <w:rPr>
          <w:rFonts w:ascii="Times New Roman" w:hAnsi="Times New Roman"/>
          <w:sz w:val="24"/>
          <w:szCs w:val="24"/>
        </w:rPr>
        <w:t xml:space="preserve"> ž</w:t>
      </w:r>
      <w:r w:rsidRPr="00802429">
        <w:rPr>
          <w:rFonts w:ascii="Times New Roman" w:hAnsi="Times New Roman"/>
          <w:sz w:val="24"/>
          <w:szCs w:val="24"/>
          <w:lang w:val="pl-PL"/>
        </w:rPr>
        <w:t>ena</w:t>
      </w:r>
      <w:r w:rsidRPr="00802429">
        <w:rPr>
          <w:rFonts w:ascii="Times New Roman" w:hAnsi="Times New Roman"/>
          <w:sz w:val="24"/>
          <w:szCs w:val="24"/>
        </w:rPr>
        <w:t xml:space="preserve">, </w:t>
      </w:r>
      <w:r w:rsidRPr="00802429">
        <w:rPr>
          <w:rFonts w:ascii="Times New Roman" w:hAnsi="Times New Roman"/>
          <w:sz w:val="24"/>
          <w:szCs w:val="24"/>
          <w:lang w:val="pl-PL"/>
        </w:rPr>
        <w:t>pove</w:t>
      </w:r>
      <w:r w:rsidRPr="00802429">
        <w:rPr>
          <w:rFonts w:ascii="Times New Roman" w:hAnsi="Times New Roman"/>
          <w:sz w:val="24"/>
          <w:szCs w:val="24"/>
        </w:rPr>
        <w:t>ć</w:t>
      </w:r>
      <w:r w:rsidRPr="00802429">
        <w:rPr>
          <w:rFonts w:ascii="Times New Roman" w:hAnsi="Times New Roman"/>
          <w:sz w:val="24"/>
          <w:szCs w:val="24"/>
          <w:lang w:val="pl-PL"/>
        </w:rPr>
        <w:t>anje</w:t>
      </w:r>
      <w:r w:rsidRPr="00802429">
        <w:rPr>
          <w:rFonts w:ascii="Times New Roman" w:hAnsi="Times New Roman"/>
          <w:sz w:val="24"/>
          <w:szCs w:val="24"/>
        </w:rPr>
        <w:t xml:space="preserve"> </w:t>
      </w:r>
      <w:r w:rsidRPr="00802429">
        <w:rPr>
          <w:rFonts w:ascii="Times New Roman" w:hAnsi="Times New Roman"/>
          <w:sz w:val="24"/>
          <w:szCs w:val="24"/>
          <w:lang w:val="pl-PL"/>
        </w:rPr>
        <w:t>samozapo</w:t>
      </w:r>
      <w:r w:rsidRPr="00802429">
        <w:rPr>
          <w:rFonts w:ascii="Times New Roman" w:hAnsi="Times New Roman"/>
          <w:sz w:val="24"/>
          <w:szCs w:val="24"/>
        </w:rPr>
        <w:t>š</w:t>
      </w:r>
      <w:r w:rsidRPr="00802429">
        <w:rPr>
          <w:rFonts w:ascii="Times New Roman" w:hAnsi="Times New Roman"/>
          <w:sz w:val="24"/>
          <w:szCs w:val="24"/>
          <w:lang w:val="pl-PL"/>
        </w:rPr>
        <w:t>ljavanja</w:t>
      </w:r>
      <w:r w:rsidRPr="00802429">
        <w:rPr>
          <w:rFonts w:ascii="Times New Roman" w:hAnsi="Times New Roman"/>
          <w:sz w:val="24"/>
          <w:szCs w:val="24"/>
        </w:rPr>
        <w:t xml:space="preserve">, </w:t>
      </w:r>
      <w:r w:rsidRPr="00802429">
        <w:rPr>
          <w:rFonts w:ascii="Times New Roman" w:hAnsi="Times New Roman"/>
          <w:sz w:val="24"/>
          <w:szCs w:val="24"/>
          <w:lang w:val="pl-PL"/>
        </w:rPr>
        <w:t>kao</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podsticanje</w:t>
      </w:r>
      <w:r w:rsidRPr="00802429">
        <w:rPr>
          <w:rFonts w:ascii="Times New Roman" w:hAnsi="Times New Roman"/>
          <w:sz w:val="24"/>
          <w:szCs w:val="24"/>
        </w:rPr>
        <w:t xml:space="preserve"> </w:t>
      </w:r>
      <w:r w:rsidRPr="00802429">
        <w:rPr>
          <w:rFonts w:ascii="Times New Roman" w:hAnsi="Times New Roman"/>
          <w:sz w:val="24"/>
          <w:szCs w:val="24"/>
          <w:lang w:val="pl-PL"/>
        </w:rPr>
        <w:t>preduzetni</w:t>
      </w:r>
      <w:r w:rsidRPr="00802429">
        <w:rPr>
          <w:rFonts w:ascii="Times New Roman" w:hAnsi="Times New Roman"/>
          <w:sz w:val="24"/>
          <w:szCs w:val="24"/>
        </w:rPr>
        <w:t>š</w:t>
      </w:r>
      <w:r w:rsidRPr="00802429">
        <w:rPr>
          <w:rFonts w:ascii="Times New Roman" w:hAnsi="Times New Roman"/>
          <w:sz w:val="24"/>
          <w:szCs w:val="24"/>
          <w:lang w:val="pl-PL"/>
        </w:rPr>
        <w:t>tva</w:t>
      </w:r>
      <w:r w:rsidRPr="00802429">
        <w:rPr>
          <w:rFonts w:ascii="Times New Roman" w:hAnsi="Times New Roman"/>
          <w:sz w:val="24"/>
          <w:szCs w:val="24"/>
        </w:rPr>
        <w:t xml:space="preserve">, </w:t>
      </w:r>
      <w:r w:rsidRPr="00802429">
        <w:rPr>
          <w:rFonts w:ascii="Times New Roman" w:hAnsi="Times New Roman"/>
          <w:sz w:val="24"/>
          <w:szCs w:val="24"/>
          <w:lang w:val="pl-PL"/>
        </w:rPr>
        <w:t>posebno</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nerazvijenim</w:t>
      </w:r>
      <w:r w:rsidRPr="00802429">
        <w:rPr>
          <w:rFonts w:ascii="Times New Roman" w:hAnsi="Times New Roman"/>
          <w:sz w:val="24"/>
          <w:szCs w:val="24"/>
        </w:rPr>
        <w:t xml:space="preserve"> </w:t>
      </w:r>
      <w:r w:rsidRPr="00802429">
        <w:rPr>
          <w:rFonts w:ascii="Times New Roman" w:hAnsi="Times New Roman"/>
          <w:sz w:val="24"/>
          <w:szCs w:val="24"/>
          <w:lang w:val="pl-PL"/>
        </w:rPr>
        <w:t>podru</w:t>
      </w:r>
      <w:r w:rsidRPr="00802429">
        <w:rPr>
          <w:rFonts w:ascii="Times New Roman" w:hAnsi="Times New Roman"/>
          <w:sz w:val="24"/>
          <w:szCs w:val="24"/>
        </w:rPr>
        <w:t>č</w:t>
      </w:r>
      <w:r w:rsidRPr="00802429">
        <w:rPr>
          <w:rFonts w:ascii="Times New Roman" w:hAnsi="Times New Roman"/>
          <w:sz w:val="24"/>
          <w:szCs w:val="24"/>
          <w:lang w:val="pl-PL"/>
        </w:rPr>
        <w:t>jima</w:t>
      </w:r>
      <w:r w:rsidRPr="00802429">
        <w:rPr>
          <w:rFonts w:ascii="Times New Roman" w:hAnsi="Times New Roman"/>
          <w:sz w:val="24"/>
          <w:szCs w:val="24"/>
        </w:rPr>
        <w:t xml:space="preserve"> </w:t>
      </w:r>
      <w:r w:rsidRPr="00802429">
        <w:rPr>
          <w:rFonts w:ascii="Times New Roman" w:hAnsi="Times New Roman"/>
          <w:sz w:val="24"/>
          <w:szCs w:val="24"/>
          <w:lang w:val="pl-PL"/>
        </w:rPr>
        <w:t>Crne</w:t>
      </w:r>
      <w:r w:rsidRPr="00802429">
        <w:rPr>
          <w:rFonts w:ascii="Times New Roman" w:hAnsi="Times New Roman"/>
          <w:sz w:val="24"/>
          <w:szCs w:val="24"/>
        </w:rPr>
        <w:t xml:space="preserve"> </w:t>
      </w:r>
      <w:r w:rsidRPr="00802429">
        <w:rPr>
          <w:rFonts w:ascii="Times New Roman" w:hAnsi="Times New Roman"/>
          <w:sz w:val="24"/>
          <w:szCs w:val="24"/>
          <w:lang w:val="pl-PL"/>
        </w:rPr>
        <w:t>Gore</w:t>
      </w:r>
      <w:r w:rsidRPr="00802429">
        <w:rPr>
          <w:rFonts w:ascii="Times New Roman" w:hAnsi="Times New Roman"/>
          <w:sz w:val="24"/>
          <w:szCs w:val="24"/>
        </w:rPr>
        <w:t>.</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r w:rsidRPr="00802429">
        <w:rPr>
          <w:rFonts w:ascii="Times New Roman" w:hAnsi="Times New Roman"/>
          <w:sz w:val="24"/>
          <w:szCs w:val="24"/>
        </w:rPr>
        <w:t xml:space="preserve">- </w:t>
      </w:r>
      <w:r w:rsidRPr="00802429">
        <w:rPr>
          <w:rFonts w:ascii="Times New Roman" w:hAnsi="Times New Roman"/>
          <w:sz w:val="24"/>
          <w:szCs w:val="24"/>
          <w:lang w:val="pl-PL"/>
        </w:rPr>
        <w:t>Realizacijom</w:t>
      </w:r>
      <w:r w:rsidRPr="00802429">
        <w:rPr>
          <w:rFonts w:ascii="Times New Roman" w:hAnsi="Times New Roman"/>
          <w:sz w:val="24"/>
          <w:szCs w:val="24"/>
        </w:rPr>
        <w:t xml:space="preserve"> </w:t>
      </w:r>
      <w:r w:rsidRPr="00802429">
        <w:rPr>
          <w:rFonts w:ascii="Times New Roman" w:hAnsi="Times New Roman"/>
          <w:sz w:val="24"/>
          <w:szCs w:val="24"/>
          <w:lang w:val="pl-PL"/>
        </w:rPr>
        <w:t>ciljeva</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okviru</w:t>
      </w:r>
      <w:r w:rsidRPr="00802429">
        <w:rPr>
          <w:rFonts w:ascii="Times New Roman" w:hAnsi="Times New Roman"/>
          <w:sz w:val="24"/>
          <w:szCs w:val="24"/>
        </w:rPr>
        <w:t xml:space="preserve"> </w:t>
      </w:r>
      <w:r w:rsidRPr="00802429">
        <w:rPr>
          <w:rFonts w:ascii="Times New Roman" w:hAnsi="Times New Roman"/>
          <w:sz w:val="24"/>
          <w:szCs w:val="24"/>
          <w:lang w:val="pl-PL"/>
        </w:rPr>
        <w:t>prioriteta</w:t>
      </w:r>
      <w:r w:rsidRPr="00802429">
        <w:rPr>
          <w:rFonts w:ascii="Times New Roman" w:hAnsi="Times New Roman"/>
          <w:sz w:val="24"/>
          <w:szCs w:val="24"/>
        </w:rPr>
        <w:t xml:space="preserve"> </w:t>
      </w:r>
      <w:r w:rsidRPr="00802429">
        <w:rPr>
          <w:rFonts w:ascii="Times New Roman" w:hAnsi="Times New Roman"/>
          <w:b/>
          <w:sz w:val="24"/>
          <w:szCs w:val="24"/>
          <w:lang w:val="pl-PL"/>
        </w:rPr>
        <w:t>unapre</w:t>
      </w:r>
      <w:r w:rsidRPr="00802429">
        <w:rPr>
          <w:rFonts w:ascii="Times New Roman" w:hAnsi="Times New Roman"/>
          <w:b/>
          <w:sz w:val="24"/>
          <w:szCs w:val="24"/>
        </w:rPr>
        <w:t>đ</w:t>
      </w:r>
      <w:r w:rsidRPr="00802429">
        <w:rPr>
          <w:rFonts w:ascii="Times New Roman" w:hAnsi="Times New Roman"/>
          <w:b/>
          <w:sz w:val="24"/>
          <w:szCs w:val="24"/>
          <w:lang w:val="pl-PL"/>
        </w:rPr>
        <w:t>enje</w:t>
      </w:r>
      <w:r w:rsidRPr="00802429">
        <w:rPr>
          <w:rFonts w:ascii="Times New Roman" w:hAnsi="Times New Roman"/>
          <w:b/>
          <w:sz w:val="24"/>
          <w:szCs w:val="24"/>
        </w:rPr>
        <w:t xml:space="preserve"> </w:t>
      </w:r>
      <w:r w:rsidRPr="00802429">
        <w:rPr>
          <w:rFonts w:ascii="Times New Roman" w:hAnsi="Times New Roman"/>
          <w:b/>
          <w:sz w:val="24"/>
          <w:szCs w:val="24"/>
          <w:lang w:val="pl-PL"/>
        </w:rPr>
        <w:t>znanja</w:t>
      </w:r>
      <w:r w:rsidRPr="00802429">
        <w:rPr>
          <w:rFonts w:ascii="Times New Roman" w:hAnsi="Times New Roman"/>
          <w:b/>
          <w:sz w:val="24"/>
          <w:szCs w:val="24"/>
        </w:rPr>
        <w:t xml:space="preserve">, </w:t>
      </w:r>
      <w:r w:rsidRPr="00802429">
        <w:rPr>
          <w:rFonts w:ascii="Times New Roman" w:hAnsi="Times New Roman"/>
          <w:b/>
          <w:sz w:val="24"/>
          <w:szCs w:val="24"/>
          <w:lang w:val="pl-PL"/>
        </w:rPr>
        <w:t>vje</w:t>
      </w:r>
      <w:r w:rsidRPr="00802429">
        <w:rPr>
          <w:rFonts w:ascii="Times New Roman" w:hAnsi="Times New Roman"/>
          <w:b/>
          <w:sz w:val="24"/>
          <w:szCs w:val="24"/>
        </w:rPr>
        <w:t>š</w:t>
      </w:r>
      <w:r w:rsidRPr="00802429">
        <w:rPr>
          <w:rFonts w:ascii="Times New Roman" w:hAnsi="Times New Roman"/>
          <w:b/>
          <w:sz w:val="24"/>
          <w:szCs w:val="24"/>
          <w:lang w:val="pl-PL"/>
        </w:rPr>
        <w:t>tina</w:t>
      </w:r>
      <w:r w:rsidRPr="00802429">
        <w:rPr>
          <w:rFonts w:ascii="Times New Roman" w:hAnsi="Times New Roman"/>
          <w:b/>
          <w:sz w:val="24"/>
          <w:szCs w:val="24"/>
        </w:rPr>
        <w:t xml:space="preserve"> </w:t>
      </w:r>
      <w:r w:rsidRPr="00802429">
        <w:rPr>
          <w:rFonts w:ascii="Times New Roman" w:hAnsi="Times New Roman"/>
          <w:b/>
          <w:sz w:val="24"/>
          <w:szCs w:val="24"/>
          <w:lang w:val="pl-PL"/>
        </w:rPr>
        <w:t>i</w:t>
      </w:r>
      <w:r w:rsidRPr="00802429">
        <w:rPr>
          <w:rFonts w:ascii="Times New Roman" w:hAnsi="Times New Roman"/>
          <w:b/>
          <w:sz w:val="24"/>
          <w:szCs w:val="24"/>
        </w:rPr>
        <w:t xml:space="preserve"> </w:t>
      </w:r>
      <w:r w:rsidRPr="00802429">
        <w:rPr>
          <w:rFonts w:ascii="Times New Roman" w:hAnsi="Times New Roman"/>
          <w:b/>
          <w:sz w:val="24"/>
          <w:szCs w:val="24"/>
          <w:lang w:val="pl-PL"/>
        </w:rPr>
        <w:t>kompetencija</w:t>
      </w:r>
      <w:r w:rsidRPr="00802429">
        <w:rPr>
          <w:rFonts w:ascii="Times New Roman" w:hAnsi="Times New Roman"/>
          <w:sz w:val="24"/>
          <w:szCs w:val="24"/>
        </w:rPr>
        <w:t xml:space="preserve"> </w:t>
      </w:r>
      <w:r w:rsidRPr="00802429">
        <w:rPr>
          <w:rFonts w:ascii="Times New Roman" w:hAnsi="Times New Roman"/>
          <w:sz w:val="24"/>
          <w:szCs w:val="24"/>
          <w:lang w:val="pl-PL"/>
        </w:rPr>
        <w:t>bilo</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predvi</w:t>
      </w:r>
      <w:r w:rsidRPr="00802429">
        <w:rPr>
          <w:rFonts w:ascii="Times New Roman" w:hAnsi="Times New Roman"/>
          <w:sz w:val="24"/>
          <w:szCs w:val="24"/>
        </w:rPr>
        <w:t>đ</w:t>
      </w:r>
      <w:r w:rsidRPr="00802429">
        <w:rPr>
          <w:rFonts w:ascii="Times New Roman" w:hAnsi="Times New Roman"/>
          <w:sz w:val="24"/>
          <w:szCs w:val="24"/>
          <w:lang w:val="pl-PL"/>
        </w:rPr>
        <w:t>eno</w:t>
      </w:r>
      <w:r w:rsidRPr="00802429">
        <w:rPr>
          <w:rFonts w:ascii="Times New Roman" w:hAnsi="Times New Roman"/>
          <w:sz w:val="24"/>
          <w:szCs w:val="24"/>
        </w:rPr>
        <w:t xml:space="preserve">: </w:t>
      </w:r>
      <w:r w:rsidRPr="00802429">
        <w:rPr>
          <w:rFonts w:ascii="Times New Roman" w:hAnsi="Times New Roman"/>
          <w:sz w:val="24"/>
          <w:szCs w:val="24"/>
          <w:lang w:val="pl-PL"/>
        </w:rPr>
        <w:t>promovisanje</w:t>
      </w:r>
      <w:r w:rsidRPr="00802429">
        <w:rPr>
          <w:rFonts w:ascii="Times New Roman" w:hAnsi="Times New Roman"/>
          <w:sz w:val="24"/>
          <w:szCs w:val="24"/>
        </w:rPr>
        <w:t xml:space="preserve"> </w:t>
      </w:r>
      <w:r w:rsidRPr="00802429">
        <w:rPr>
          <w:rFonts w:ascii="Times New Roman" w:hAnsi="Times New Roman"/>
          <w:sz w:val="24"/>
          <w:szCs w:val="24"/>
          <w:lang w:val="pl-PL"/>
        </w:rPr>
        <w:t>pristupa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č</w:t>
      </w:r>
      <w:r w:rsidRPr="00802429">
        <w:rPr>
          <w:rFonts w:ascii="Times New Roman" w:hAnsi="Times New Roman"/>
          <w:sz w:val="24"/>
          <w:szCs w:val="24"/>
          <w:lang w:val="pl-PL"/>
        </w:rPr>
        <w:t>e</w:t>
      </w:r>
      <w:r w:rsidRPr="00802429">
        <w:rPr>
          <w:rFonts w:ascii="Times New Roman" w:hAnsi="Times New Roman"/>
          <w:sz w:val="24"/>
          <w:szCs w:val="24"/>
        </w:rPr>
        <w:t>šć</w:t>
      </w:r>
      <w:r w:rsidRPr="00802429">
        <w:rPr>
          <w:rFonts w:ascii="Times New Roman" w:hAnsi="Times New Roman"/>
          <w:sz w:val="24"/>
          <w:szCs w:val="24"/>
          <w:lang w:val="pl-PL"/>
        </w:rPr>
        <w:t>a</w:t>
      </w:r>
      <w:r w:rsidRPr="00802429">
        <w:rPr>
          <w:rFonts w:ascii="Times New Roman" w:hAnsi="Times New Roman"/>
          <w:sz w:val="24"/>
          <w:szCs w:val="24"/>
        </w:rPr>
        <w:t xml:space="preserve"> </w:t>
      </w:r>
      <w:r w:rsidRPr="00802429">
        <w:rPr>
          <w:rFonts w:ascii="Times New Roman" w:hAnsi="Times New Roman"/>
          <w:sz w:val="24"/>
          <w:szCs w:val="24"/>
          <w:lang w:val="pl-PL"/>
        </w:rPr>
        <w:t>odraslih</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cjelo</w:t>
      </w:r>
      <w:r w:rsidRPr="00802429">
        <w:rPr>
          <w:rFonts w:ascii="Times New Roman" w:hAnsi="Times New Roman"/>
          <w:sz w:val="24"/>
          <w:szCs w:val="24"/>
        </w:rPr>
        <w:t>ž</w:t>
      </w:r>
      <w:r w:rsidRPr="00802429">
        <w:rPr>
          <w:rFonts w:ascii="Times New Roman" w:hAnsi="Times New Roman"/>
          <w:sz w:val="24"/>
          <w:szCs w:val="24"/>
          <w:lang w:val="pl-PL"/>
        </w:rPr>
        <w:t>ivotnom</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č</w:t>
      </w:r>
      <w:r w:rsidRPr="00802429">
        <w:rPr>
          <w:rFonts w:ascii="Times New Roman" w:hAnsi="Times New Roman"/>
          <w:sz w:val="24"/>
          <w:szCs w:val="24"/>
          <w:lang w:val="pl-PL"/>
        </w:rPr>
        <w:t>enju</w:t>
      </w:r>
      <w:r w:rsidRPr="00802429">
        <w:rPr>
          <w:rFonts w:ascii="Times New Roman" w:hAnsi="Times New Roman"/>
          <w:sz w:val="24"/>
          <w:szCs w:val="24"/>
        </w:rPr>
        <w:t xml:space="preserve">, </w:t>
      </w:r>
      <w:r w:rsidRPr="00802429">
        <w:rPr>
          <w:rFonts w:ascii="Times New Roman" w:hAnsi="Times New Roman"/>
          <w:sz w:val="24"/>
          <w:szCs w:val="24"/>
          <w:lang w:val="pl-PL"/>
        </w:rPr>
        <w:t>podizanje</w:t>
      </w:r>
      <w:r w:rsidRPr="00802429">
        <w:rPr>
          <w:rFonts w:ascii="Times New Roman" w:hAnsi="Times New Roman"/>
          <w:sz w:val="24"/>
          <w:szCs w:val="24"/>
        </w:rPr>
        <w:t xml:space="preserve"> </w:t>
      </w:r>
      <w:r w:rsidRPr="00802429">
        <w:rPr>
          <w:rFonts w:ascii="Times New Roman" w:hAnsi="Times New Roman"/>
          <w:sz w:val="24"/>
          <w:szCs w:val="24"/>
          <w:lang w:val="pl-PL"/>
        </w:rPr>
        <w:t>svijesti</w:t>
      </w:r>
      <w:r w:rsidRPr="00802429">
        <w:rPr>
          <w:rFonts w:ascii="Times New Roman" w:hAnsi="Times New Roman"/>
          <w:sz w:val="24"/>
          <w:szCs w:val="24"/>
        </w:rPr>
        <w:t xml:space="preserve"> </w:t>
      </w:r>
      <w:r w:rsidRPr="00802429">
        <w:rPr>
          <w:rFonts w:ascii="Times New Roman" w:hAnsi="Times New Roman"/>
          <w:sz w:val="24"/>
          <w:szCs w:val="24"/>
          <w:lang w:val="pl-PL"/>
        </w:rPr>
        <w:t>o</w:t>
      </w:r>
      <w:r w:rsidRPr="00802429">
        <w:rPr>
          <w:rFonts w:ascii="Times New Roman" w:hAnsi="Times New Roman"/>
          <w:sz w:val="24"/>
          <w:szCs w:val="24"/>
        </w:rPr>
        <w:t xml:space="preserve"> </w:t>
      </w:r>
      <w:r w:rsidRPr="00802429">
        <w:rPr>
          <w:rFonts w:ascii="Times New Roman" w:hAnsi="Times New Roman"/>
          <w:sz w:val="24"/>
          <w:szCs w:val="24"/>
          <w:lang w:val="pl-PL"/>
        </w:rPr>
        <w:t>zna</w:t>
      </w:r>
      <w:r w:rsidRPr="00802429">
        <w:rPr>
          <w:rFonts w:ascii="Times New Roman" w:hAnsi="Times New Roman"/>
          <w:sz w:val="24"/>
          <w:szCs w:val="24"/>
        </w:rPr>
        <w:t>č</w:t>
      </w:r>
      <w:r w:rsidRPr="00802429">
        <w:rPr>
          <w:rFonts w:ascii="Times New Roman" w:hAnsi="Times New Roman"/>
          <w:sz w:val="24"/>
          <w:szCs w:val="24"/>
          <w:lang w:val="pl-PL"/>
        </w:rPr>
        <w:t>aju</w:t>
      </w:r>
      <w:r w:rsidRPr="00802429">
        <w:rPr>
          <w:rFonts w:ascii="Times New Roman" w:hAnsi="Times New Roman"/>
          <w:sz w:val="24"/>
          <w:szCs w:val="24"/>
        </w:rPr>
        <w:t xml:space="preserve"> </w:t>
      </w:r>
      <w:r w:rsidRPr="00802429">
        <w:rPr>
          <w:rFonts w:ascii="Times New Roman" w:hAnsi="Times New Roman"/>
          <w:sz w:val="24"/>
          <w:szCs w:val="24"/>
          <w:lang w:val="pl-PL"/>
        </w:rPr>
        <w:t>cjelo</w:t>
      </w:r>
      <w:r w:rsidRPr="00802429">
        <w:rPr>
          <w:rFonts w:ascii="Times New Roman" w:hAnsi="Times New Roman"/>
          <w:sz w:val="24"/>
          <w:szCs w:val="24"/>
        </w:rPr>
        <w:t>ž</w:t>
      </w:r>
      <w:r w:rsidRPr="00802429">
        <w:rPr>
          <w:rFonts w:ascii="Times New Roman" w:hAnsi="Times New Roman"/>
          <w:sz w:val="24"/>
          <w:szCs w:val="24"/>
          <w:lang w:val="pl-PL"/>
        </w:rPr>
        <w:t>ivotnog</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č</w:t>
      </w:r>
      <w:r w:rsidRPr="00802429">
        <w:rPr>
          <w:rFonts w:ascii="Times New Roman" w:hAnsi="Times New Roman"/>
          <w:sz w:val="24"/>
          <w:szCs w:val="24"/>
          <w:lang w:val="pl-PL"/>
        </w:rPr>
        <w:t>enja</w:t>
      </w:r>
      <w:r w:rsidRPr="00802429">
        <w:rPr>
          <w:rFonts w:ascii="Times New Roman" w:hAnsi="Times New Roman"/>
          <w:sz w:val="24"/>
          <w:szCs w:val="24"/>
        </w:rPr>
        <w:t xml:space="preserve">, </w:t>
      </w:r>
      <w:r w:rsidRPr="00802429">
        <w:rPr>
          <w:rFonts w:ascii="Times New Roman" w:hAnsi="Times New Roman"/>
          <w:sz w:val="24"/>
          <w:szCs w:val="24"/>
          <w:lang w:val="pl-PL"/>
        </w:rPr>
        <w:t>unapre</w:t>
      </w:r>
      <w:r w:rsidRPr="00802429">
        <w:rPr>
          <w:rFonts w:ascii="Times New Roman" w:hAnsi="Times New Roman"/>
          <w:sz w:val="24"/>
          <w:szCs w:val="24"/>
        </w:rPr>
        <w:t>đ</w:t>
      </w:r>
      <w:r w:rsidRPr="00802429">
        <w:rPr>
          <w:rFonts w:ascii="Times New Roman" w:hAnsi="Times New Roman"/>
          <w:sz w:val="24"/>
          <w:szCs w:val="24"/>
          <w:lang w:val="pl-PL"/>
        </w:rPr>
        <w:t>enje</w:t>
      </w:r>
      <w:r w:rsidRPr="00802429">
        <w:rPr>
          <w:rFonts w:ascii="Times New Roman" w:hAnsi="Times New Roman"/>
          <w:sz w:val="24"/>
          <w:szCs w:val="24"/>
        </w:rPr>
        <w:t xml:space="preserve"> </w:t>
      </w:r>
      <w:r w:rsidRPr="00802429">
        <w:rPr>
          <w:rFonts w:ascii="Times New Roman" w:hAnsi="Times New Roman"/>
          <w:sz w:val="24"/>
          <w:szCs w:val="24"/>
          <w:lang w:val="pl-PL"/>
        </w:rPr>
        <w:t>kvaliteta</w:t>
      </w:r>
      <w:r w:rsidRPr="00802429">
        <w:rPr>
          <w:rFonts w:ascii="Times New Roman" w:hAnsi="Times New Roman"/>
          <w:sz w:val="24"/>
          <w:szCs w:val="24"/>
        </w:rPr>
        <w:t xml:space="preserve"> </w:t>
      </w:r>
      <w:r w:rsidRPr="00802429">
        <w:rPr>
          <w:rFonts w:ascii="Times New Roman" w:hAnsi="Times New Roman"/>
          <w:sz w:val="24"/>
          <w:szCs w:val="24"/>
          <w:lang w:val="pl-PL"/>
        </w:rPr>
        <w:t>obrazovanja</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svim</w:t>
      </w:r>
      <w:r w:rsidRPr="00802429">
        <w:rPr>
          <w:rFonts w:ascii="Times New Roman" w:hAnsi="Times New Roman"/>
          <w:sz w:val="24"/>
          <w:szCs w:val="24"/>
        </w:rPr>
        <w:t xml:space="preserve"> </w:t>
      </w:r>
      <w:r w:rsidRPr="00802429">
        <w:rPr>
          <w:rFonts w:ascii="Times New Roman" w:hAnsi="Times New Roman"/>
          <w:sz w:val="24"/>
          <w:szCs w:val="24"/>
          <w:lang w:val="pl-PL"/>
        </w:rPr>
        <w:t>nivoima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usagla</w:t>
      </w:r>
      <w:r w:rsidRPr="00802429">
        <w:rPr>
          <w:rFonts w:ascii="Times New Roman" w:hAnsi="Times New Roman"/>
          <w:sz w:val="24"/>
          <w:szCs w:val="24"/>
        </w:rPr>
        <w:t>š</w:t>
      </w:r>
      <w:r w:rsidRPr="00802429">
        <w:rPr>
          <w:rFonts w:ascii="Times New Roman" w:hAnsi="Times New Roman"/>
          <w:sz w:val="24"/>
          <w:szCs w:val="24"/>
          <w:lang w:val="pl-PL"/>
        </w:rPr>
        <w:t>avanje</w:t>
      </w:r>
      <w:r w:rsidRPr="00802429">
        <w:rPr>
          <w:rFonts w:ascii="Times New Roman" w:hAnsi="Times New Roman"/>
          <w:sz w:val="24"/>
          <w:szCs w:val="24"/>
        </w:rPr>
        <w:t xml:space="preserve"> </w:t>
      </w:r>
      <w:r w:rsidRPr="00802429">
        <w:rPr>
          <w:rFonts w:ascii="Times New Roman" w:hAnsi="Times New Roman"/>
          <w:sz w:val="24"/>
          <w:szCs w:val="24"/>
          <w:lang w:val="pl-PL"/>
        </w:rPr>
        <w:t>sa</w:t>
      </w:r>
      <w:r w:rsidRPr="00802429">
        <w:rPr>
          <w:rFonts w:ascii="Times New Roman" w:hAnsi="Times New Roman"/>
          <w:sz w:val="24"/>
          <w:szCs w:val="24"/>
        </w:rPr>
        <w:t xml:space="preserve"> </w:t>
      </w:r>
      <w:r w:rsidRPr="00802429">
        <w:rPr>
          <w:rFonts w:ascii="Times New Roman" w:hAnsi="Times New Roman"/>
          <w:sz w:val="24"/>
          <w:szCs w:val="24"/>
          <w:lang w:val="pl-PL"/>
        </w:rPr>
        <w:t>potrebama</w:t>
      </w:r>
      <w:r w:rsidRPr="00802429">
        <w:rPr>
          <w:rFonts w:ascii="Times New Roman" w:hAnsi="Times New Roman"/>
          <w:sz w:val="24"/>
          <w:szCs w:val="24"/>
        </w:rPr>
        <w:t xml:space="preserve"> </w:t>
      </w:r>
      <w:r w:rsidRPr="00802429">
        <w:rPr>
          <w:rFonts w:ascii="Times New Roman" w:hAnsi="Times New Roman"/>
          <w:sz w:val="24"/>
          <w:szCs w:val="24"/>
          <w:lang w:val="pl-PL"/>
        </w:rPr>
        <w:t>tr</w:t>
      </w:r>
      <w:r w:rsidRPr="00802429">
        <w:rPr>
          <w:rFonts w:ascii="Times New Roman" w:hAnsi="Times New Roman"/>
          <w:sz w:val="24"/>
          <w:szCs w:val="24"/>
        </w:rPr>
        <w:t>ž</w:t>
      </w:r>
      <w:r w:rsidRPr="00802429">
        <w:rPr>
          <w:rFonts w:ascii="Times New Roman" w:hAnsi="Times New Roman"/>
          <w:sz w:val="24"/>
          <w:szCs w:val="24"/>
          <w:lang w:val="pl-PL"/>
        </w:rPr>
        <w:t>i</w:t>
      </w:r>
      <w:r w:rsidRPr="00802429">
        <w:rPr>
          <w:rFonts w:ascii="Times New Roman" w:hAnsi="Times New Roman"/>
          <w:sz w:val="24"/>
          <w:szCs w:val="24"/>
        </w:rPr>
        <w:t>š</w:t>
      </w:r>
      <w:r w:rsidRPr="00802429">
        <w:rPr>
          <w:rFonts w:ascii="Times New Roman" w:hAnsi="Times New Roman"/>
          <w:sz w:val="24"/>
          <w:szCs w:val="24"/>
          <w:lang w:val="pl-PL"/>
        </w:rPr>
        <w:t>ta</w:t>
      </w:r>
      <w:r w:rsidRPr="00802429">
        <w:rPr>
          <w:rFonts w:ascii="Times New Roman" w:hAnsi="Times New Roman"/>
          <w:sz w:val="24"/>
          <w:szCs w:val="24"/>
        </w:rPr>
        <w:t xml:space="preserve"> </w:t>
      </w:r>
      <w:r w:rsidRPr="00802429">
        <w:rPr>
          <w:rFonts w:ascii="Times New Roman" w:hAnsi="Times New Roman"/>
          <w:sz w:val="24"/>
          <w:szCs w:val="24"/>
          <w:lang w:val="pl-PL"/>
        </w:rPr>
        <w:t>rada</w:t>
      </w:r>
      <w:r w:rsidRPr="00802429">
        <w:rPr>
          <w:rFonts w:ascii="Times New Roman" w:hAnsi="Times New Roman"/>
          <w:sz w:val="24"/>
          <w:szCs w:val="24"/>
        </w:rPr>
        <w:t>.</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r w:rsidRPr="00802429">
        <w:rPr>
          <w:rFonts w:ascii="Times New Roman" w:hAnsi="Times New Roman"/>
          <w:sz w:val="24"/>
          <w:szCs w:val="24"/>
        </w:rPr>
        <w:t xml:space="preserve">- </w:t>
      </w:r>
      <w:r w:rsidRPr="00802429">
        <w:rPr>
          <w:rFonts w:ascii="Times New Roman" w:hAnsi="Times New Roman"/>
          <w:sz w:val="24"/>
          <w:szCs w:val="24"/>
          <w:lang w:val="pl-PL"/>
        </w:rPr>
        <w:t>Ciljevi</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mjere</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okviru</w:t>
      </w:r>
      <w:r w:rsidRPr="00802429">
        <w:rPr>
          <w:rFonts w:ascii="Times New Roman" w:hAnsi="Times New Roman"/>
          <w:sz w:val="24"/>
          <w:szCs w:val="24"/>
        </w:rPr>
        <w:t xml:space="preserve"> </w:t>
      </w:r>
      <w:r w:rsidRPr="00802429">
        <w:rPr>
          <w:rFonts w:ascii="Times New Roman" w:hAnsi="Times New Roman"/>
          <w:sz w:val="24"/>
          <w:szCs w:val="24"/>
          <w:lang w:val="pl-PL"/>
        </w:rPr>
        <w:t>prioriteta</w:t>
      </w:r>
      <w:r w:rsidRPr="00802429">
        <w:rPr>
          <w:rFonts w:ascii="Times New Roman" w:hAnsi="Times New Roman"/>
          <w:sz w:val="24"/>
          <w:szCs w:val="24"/>
        </w:rPr>
        <w:t xml:space="preserve"> </w:t>
      </w:r>
      <w:r w:rsidRPr="00802429">
        <w:rPr>
          <w:rFonts w:ascii="Times New Roman" w:hAnsi="Times New Roman"/>
          <w:b/>
          <w:sz w:val="24"/>
          <w:szCs w:val="24"/>
          <w:lang w:val="pl-PL"/>
        </w:rPr>
        <w:t>promovisanje</w:t>
      </w:r>
      <w:r w:rsidRPr="00802429">
        <w:rPr>
          <w:rFonts w:ascii="Times New Roman" w:hAnsi="Times New Roman"/>
          <w:b/>
          <w:sz w:val="24"/>
          <w:szCs w:val="24"/>
        </w:rPr>
        <w:t xml:space="preserve"> </w:t>
      </w:r>
      <w:r w:rsidRPr="00802429">
        <w:rPr>
          <w:rFonts w:ascii="Times New Roman" w:hAnsi="Times New Roman"/>
          <w:b/>
          <w:sz w:val="24"/>
          <w:szCs w:val="24"/>
          <w:lang w:val="pl-PL"/>
        </w:rPr>
        <w:t>socijalne</w:t>
      </w:r>
      <w:r w:rsidRPr="00802429">
        <w:rPr>
          <w:rFonts w:ascii="Times New Roman" w:hAnsi="Times New Roman"/>
          <w:b/>
          <w:sz w:val="24"/>
          <w:szCs w:val="24"/>
        </w:rPr>
        <w:t xml:space="preserve"> </w:t>
      </w:r>
      <w:r w:rsidRPr="00802429">
        <w:rPr>
          <w:rFonts w:ascii="Times New Roman" w:hAnsi="Times New Roman"/>
          <w:b/>
          <w:sz w:val="24"/>
          <w:szCs w:val="24"/>
          <w:lang w:val="pl-PL"/>
        </w:rPr>
        <w:t>inkluzije</w:t>
      </w:r>
      <w:r w:rsidRPr="00802429">
        <w:rPr>
          <w:rFonts w:ascii="Times New Roman" w:hAnsi="Times New Roman"/>
          <w:b/>
          <w:sz w:val="24"/>
          <w:szCs w:val="24"/>
        </w:rPr>
        <w:t xml:space="preserve"> </w:t>
      </w:r>
      <w:r w:rsidRPr="00802429">
        <w:rPr>
          <w:rFonts w:ascii="Times New Roman" w:hAnsi="Times New Roman"/>
          <w:b/>
          <w:sz w:val="24"/>
          <w:szCs w:val="24"/>
          <w:lang w:val="pl-PL"/>
        </w:rPr>
        <w:t>i</w:t>
      </w:r>
      <w:r w:rsidRPr="00802429">
        <w:rPr>
          <w:rFonts w:ascii="Times New Roman" w:hAnsi="Times New Roman"/>
          <w:b/>
          <w:sz w:val="24"/>
          <w:szCs w:val="24"/>
        </w:rPr>
        <w:t xml:space="preserve"> </w:t>
      </w:r>
      <w:r w:rsidRPr="00802429">
        <w:rPr>
          <w:rFonts w:ascii="Times New Roman" w:hAnsi="Times New Roman"/>
          <w:b/>
          <w:sz w:val="24"/>
          <w:szCs w:val="24"/>
          <w:lang w:val="pl-PL"/>
        </w:rPr>
        <w:t>smanjenje</w:t>
      </w:r>
      <w:r w:rsidRPr="00802429">
        <w:rPr>
          <w:rFonts w:ascii="Times New Roman" w:hAnsi="Times New Roman"/>
          <w:b/>
          <w:sz w:val="24"/>
          <w:szCs w:val="24"/>
        </w:rPr>
        <w:t xml:space="preserve"> </w:t>
      </w:r>
      <w:r w:rsidRPr="00802429">
        <w:rPr>
          <w:rFonts w:ascii="Times New Roman" w:hAnsi="Times New Roman"/>
          <w:b/>
          <w:sz w:val="24"/>
          <w:szCs w:val="24"/>
          <w:lang w:val="pl-PL"/>
        </w:rPr>
        <w:t>siroma</w:t>
      </w:r>
      <w:r w:rsidRPr="00802429">
        <w:rPr>
          <w:rFonts w:ascii="Times New Roman" w:hAnsi="Times New Roman"/>
          <w:b/>
          <w:sz w:val="24"/>
          <w:szCs w:val="24"/>
        </w:rPr>
        <w:t>š</w:t>
      </w:r>
      <w:r w:rsidRPr="00802429">
        <w:rPr>
          <w:rFonts w:ascii="Times New Roman" w:hAnsi="Times New Roman"/>
          <w:b/>
          <w:sz w:val="24"/>
          <w:szCs w:val="24"/>
          <w:lang w:val="pl-PL"/>
        </w:rPr>
        <w:t>tva</w:t>
      </w:r>
      <w:r w:rsidRPr="00802429">
        <w:rPr>
          <w:rFonts w:ascii="Times New Roman" w:hAnsi="Times New Roman"/>
          <w:sz w:val="24"/>
          <w:szCs w:val="24"/>
        </w:rPr>
        <w:t xml:space="preserve"> </w:t>
      </w:r>
      <w:r w:rsidRPr="00802429">
        <w:rPr>
          <w:rFonts w:ascii="Times New Roman" w:hAnsi="Times New Roman"/>
          <w:sz w:val="24"/>
          <w:szCs w:val="24"/>
          <w:lang w:val="pl-PL"/>
        </w:rPr>
        <w:t>bili</w:t>
      </w:r>
      <w:r w:rsidRPr="00802429">
        <w:rPr>
          <w:rFonts w:ascii="Times New Roman" w:hAnsi="Times New Roman"/>
          <w:sz w:val="24"/>
          <w:szCs w:val="24"/>
        </w:rPr>
        <w:t xml:space="preserve"> </w:t>
      </w:r>
      <w:r w:rsidRPr="00802429">
        <w:rPr>
          <w:rFonts w:ascii="Times New Roman" w:hAnsi="Times New Roman"/>
          <w:sz w:val="24"/>
          <w:szCs w:val="24"/>
          <w:lang w:val="pl-PL"/>
        </w:rPr>
        <w:t>su</w:t>
      </w:r>
      <w:r w:rsidRPr="00802429">
        <w:rPr>
          <w:rFonts w:ascii="Times New Roman" w:hAnsi="Times New Roman"/>
          <w:sz w:val="24"/>
          <w:szCs w:val="24"/>
        </w:rPr>
        <w:t xml:space="preserve"> </w:t>
      </w:r>
      <w:r w:rsidRPr="00802429">
        <w:rPr>
          <w:rFonts w:ascii="Times New Roman" w:hAnsi="Times New Roman"/>
          <w:sz w:val="24"/>
          <w:szCs w:val="24"/>
          <w:lang w:val="pl-PL"/>
        </w:rPr>
        <w:t>usmjereni</w:t>
      </w:r>
      <w:r w:rsidRPr="00802429">
        <w:rPr>
          <w:rFonts w:ascii="Times New Roman" w:hAnsi="Times New Roman"/>
          <w:sz w:val="24"/>
          <w:szCs w:val="24"/>
        </w:rPr>
        <w:t xml:space="preserve"> </w:t>
      </w:r>
      <w:r w:rsidRPr="00802429">
        <w:rPr>
          <w:rFonts w:ascii="Times New Roman" w:hAnsi="Times New Roman"/>
          <w:sz w:val="24"/>
          <w:szCs w:val="24"/>
          <w:lang w:val="pl-PL"/>
        </w:rPr>
        <w:t>ka</w:t>
      </w:r>
      <w:r w:rsidRPr="00802429">
        <w:rPr>
          <w:rFonts w:ascii="Times New Roman" w:hAnsi="Times New Roman"/>
          <w:sz w:val="24"/>
          <w:szCs w:val="24"/>
        </w:rPr>
        <w:t xml:space="preserve">: </w:t>
      </w:r>
      <w:r w:rsidRPr="00802429">
        <w:rPr>
          <w:rFonts w:ascii="Times New Roman" w:hAnsi="Times New Roman"/>
          <w:sz w:val="24"/>
          <w:szCs w:val="24"/>
          <w:lang w:val="pl-PL"/>
        </w:rPr>
        <w:t>unapre</w:t>
      </w:r>
      <w:r w:rsidRPr="00802429">
        <w:rPr>
          <w:rFonts w:ascii="Times New Roman" w:hAnsi="Times New Roman"/>
          <w:sz w:val="24"/>
          <w:szCs w:val="24"/>
        </w:rPr>
        <w:t>đ</w:t>
      </w:r>
      <w:r w:rsidRPr="00802429">
        <w:rPr>
          <w:rFonts w:ascii="Times New Roman" w:hAnsi="Times New Roman"/>
          <w:sz w:val="24"/>
          <w:szCs w:val="24"/>
          <w:lang w:val="pl-PL"/>
        </w:rPr>
        <w:t>enju</w:t>
      </w:r>
      <w:r w:rsidRPr="00802429">
        <w:rPr>
          <w:rFonts w:ascii="Times New Roman" w:hAnsi="Times New Roman"/>
          <w:sz w:val="24"/>
          <w:szCs w:val="24"/>
        </w:rPr>
        <w:t xml:space="preserve"> </w:t>
      </w:r>
      <w:r w:rsidRPr="00802429">
        <w:rPr>
          <w:rFonts w:ascii="Times New Roman" w:hAnsi="Times New Roman"/>
          <w:sz w:val="24"/>
          <w:szCs w:val="24"/>
          <w:lang w:val="pl-PL"/>
        </w:rPr>
        <w:t>sistema</w:t>
      </w:r>
      <w:r w:rsidRPr="00802429">
        <w:rPr>
          <w:rFonts w:ascii="Times New Roman" w:hAnsi="Times New Roman"/>
          <w:sz w:val="24"/>
          <w:szCs w:val="24"/>
        </w:rPr>
        <w:t xml:space="preserve"> </w:t>
      </w:r>
      <w:r w:rsidRPr="00802429">
        <w:rPr>
          <w:rFonts w:ascii="Times New Roman" w:hAnsi="Times New Roman"/>
          <w:sz w:val="24"/>
          <w:szCs w:val="24"/>
          <w:lang w:val="pl-PL"/>
        </w:rPr>
        <w:t>socijalnih</w:t>
      </w:r>
      <w:r w:rsidRPr="00802429">
        <w:rPr>
          <w:rFonts w:ascii="Times New Roman" w:hAnsi="Times New Roman"/>
          <w:sz w:val="24"/>
          <w:szCs w:val="24"/>
        </w:rPr>
        <w:t xml:space="preserve"> </w:t>
      </w:r>
      <w:r w:rsidRPr="00802429">
        <w:rPr>
          <w:rFonts w:ascii="Times New Roman" w:hAnsi="Times New Roman"/>
          <w:sz w:val="24"/>
          <w:szCs w:val="24"/>
          <w:lang w:val="pl-PL"/>
        </w:rPr>
        <w:t>davanja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socijalnih</w:t>
      </w:r>
      <w:r w:rsidRPr="00802429">
        <w:rPr>
          <w:rFonts w:ascii="Times New Roman" w:hAnsi="Times New Roman"/>
          <w:sz w:val="24"/>
          <w:szCs w:val="24"/>
        </w:rPr>
        <w:t xml:space="preserve"> </w:t>
      </w:r>
      <w:r w:rsidRPr="00802429">
        <w:rPr>
          <w:rFonts w:ascii="Times New Roman" w:hAnsi="Times New Roman"/>
          <w:sz w:val="24"/>
          <w:szCs w:val="24"/>
          <w:lang w:val="pl-PL"/>
        </w:rPr>
        <w:t>usluga</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cilju</w:t>
      </w:r>
      <w:r w:rsidRPr="00802429">
        <w:rPr>
          <w:rFonts w:ascii="Times New Roman" w:hAnsi="Times New Roman"/>
          <w:sz w:val="24"/>
          <w:szCs w:val="24"/>
        </w:rPr>
        <w:t xml:space="preserve"> </w:t>
      </w:r>
      <w:r w:rsidRPr="00802429">
        <w:rPr>
          <w:rFonts w:ascii="Times New Roman" w:hAnsi="Times New Roman"/>
          <w:sz w:val="24"/>
          <w:szCs w:val="24"/>
          <w:lang w:val="pl-PL"/>
        </w:rPr>
        <w:t>bolje</w:t>
      </w:r>
      <w:r w:rsidRPr="00802429">
        <w:rPr>
          <w:rFonts w:ascii="Times New Roman" w:hAnsi="Times New Roman"/>
          <w:sz w:val="24"/>
          <w:szCs w:val="24"/>
        </w:rPr>
        <w:t xml:space="preserve"> </w:t>
      </w:r>
      <w:r w:rsidRPr="00802429">
        <w:rPr>
          <w:rFonts w:ascii="Times New Roman" w:hAnsi="Times New Roman"/>
          <w:sz w:val="24"/>
          <w:szCs w:val="24"/>
          <w:lang w:val="pl-PL"/>
        </w:rPr>
        <w:t>usmjerenosti</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pokrivenosti</w:t>
      </w:r>
      <w:r w:rsidRPr="00802429">
        <w:rPr>
          <w:rFonts w:ascii="Times New Roman" w:hAnsi="Times New Roman"/>
          <w:sz w:val="24"/>
          <w:szCs w:val="24"/>
        </w:rPr>
        <w:t xml:space="preserve"> </w:t>
      </w:r>
      <w:r w:rsidRPr="00802429">
        <w:rPr>
          <w:rFonts w:ascii="Times New Roman" w:hAnsi="Times New Roman"/>
          <w:sz w:val="24"/>
          <w:szCs w:val="24"/>
          <w:lang w:val="pl-PL"/>
        </w:rPr>
        <w:t>ranjivih</w:t>
      </w:r>
      <w:r w:rsidRPr="00802429">
        <w:rPr>
          <w:rFonts w:ascii="Times New Roman" w:hAnsi="Times New Roman"/>
          <w:sz w:val="24"/>
          <w:szCs w:val="24"/>
        </w:rPr>
        <w:t xml:space="preserve"> </w:t>
      </w:r>
      <w:r w:rsidRPr="00802429">
        <w:rPr>
          <w:rFonts w:ascii="Times New Roman" w:hAnsi="Times New Roman"/>
          <w:sz w:val="24"/>
          <w:szCs w:val="24"/>
          <w:lang w:val="pl-PL"/>
        </w:rPr>
        <w:t>grupa</w:t>
      </w:r>
      <w:r w:rsidRPr="00802429">
        <w:rPr>
          <w:rFonts w:ascii="Times New Roman" w:hAnsi="Times New Roman"/>
          <w:sz w:val="24"/>
          <w:szCs w:val="24"/>
        </w:rPr>
        <w:t xml:space="preserve">, </w:t>
      </w:r>
      <w:r w:rsidRPr="00802429">
        <w:rPr>
          <w:rFonts w:ascii="Times New Roman" w:hAnsi="Times New Roman"/>
          <w:sz w:val="24"/>
          <w:szCs w:val="24"/>
          <w:lang w:val="pl-PL"/>
        </w:rPr>
        <w:t>integraciji</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ljavanju</w:t>
      </w:r>
      <w:r w:rsidRPr="00802429">
        <w:rPr>
          <w:rFonts w:ascii="Times New Roman" w:hAnsi="Times New Roman"/>
          <w:sz w:val="24"/>
          <w:szCs w:val="24"/>
        </w:rPr>
        <w:t xml:space="preserve"> </w:t>
      </w:r>
      <w:r w:rsidRPr="00802429">
        <w:rPr>
          <w:rFonts w:ascii="Times New Roman" w:hAnsi="Times New Roman"/>
          <w:sz w:val="24"/>
          <w:szCs w:val="24"/>
          <w:lang w:val="pl-PL"/>
        </w:rPr>
        <w:t>lica</w:t>
      </w:r>
      <w:r w:rsidRPr="00802429">
        <w:rPr>
          <w:rFonts w:ascii="Times New Roman" w:hAnsi="Times New Roman"/>
          <w:sz w:val="24"/>
          <w:szCs w:val="24"/>
        </w:rPr>
        <w:t xml:space="preserve"> </w:t>
      </w:r>
      <w:r w:rsidRPr="00802429">
        <w:rPr>
          <w:rFonts w:ascii="Times New Roman" w:hAnsi="Times New Roman"/>
          <w:sz w:val="24"/>
          <w:szCs w:val="24"/>
          <w:lang w:val="pl-PL"/>
        </w:rPr>
        <w:t>sa</w:t>
      </w:r>
      <w:r w:rsidRPr="00802429">
        <w:rPr>
          <w:rFonts w:ascii="Times New Roman" w:hAnsi="Times New Roman"/>
          <w:sz w:val="24"/>
          <w:szCs w:val="24"/>
        </w:rPr>
        <w:t xml:space="preserve"> </w:t>
      </w:r>
      <w:r w:rsidRPr="00802429">
        <w:rPr>
          <w:rFonts w:ascii="Times New Roman" w:hAnsi="Times New Roman"/>
          <w:sz w:val="24"/>
          <w:szCs w:val="24"/>
          <w:lang w:val="pl-PL"/>
        </w:rPr>
        <w:t>invaliditetom</w:t>
      </w:r>
      <w:r w:rsidRPr="00802429">
        <w:rPr>
          <w:rFonts w:ascii="Times New Roman" w:hAnsi="Times New Roman"/>
          <w:sz w:val="24"/>
          <w:szCs w:val="24"/>
        </w:rPr>
        <w:t xml:space="preserve"> </w:t>
      </w:r>
      <w:r w:rsidRPr="00802429">
        <w:rPr>
          <w:rFonts w:ascii="Times New Roman" w:hAnsi="Times New Roman"/>
          <w:sz w:val="24"/>
          <w:szCs w:val="24"/>
          <w:lang w:val="pl-PL"/>
        </w:rPr>
        <w:t>kao</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integraciji</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zapo</w:t>
      </w:r>
      <w:r w:rsidRPr="00802429">
        <w:rPr>
          <w:rFonts w:ascii="Times New Roman" w:hAnsi="Times New Roman"/>
          <w:sz w:val="24"/>
          <w:szCs w:val="24"/>
        </w:rPr>
        <w:t>š</w:t>
      </w:r>
      <w:r w:rsidRPr="00802429">
        <w:rPr>
          <w:rFonts w:ascii="Times New Roman" w:hAnsi="Times New Roman"/>
          <w:sz w:val="24"/>
          <w:szCs w:val="24"/>
          <w:lang w:val="pl-PL"/>
        </w:rPr>
        <w:t>ljavanju</w:t>
      </w:r>
      <w:r w:rsidRPr="00802429">
        <w:rPr>
          <w:rFonts w:ascii="Times New Roman" w:hAnsi="Times New Roman"/>
          <w:sz w:val="24"/>
          <w:szCs w:val="24"/>
        </w:rPr>
        <w:t xml:space="preserve"> </w:t>
      </w:r>
      <w:r w:rsidRPr="00802429">
        <w:rPr>
          <w:rFonts w:ascii="Times New Roman" w:hAnsi="Times New Roman"/>
          <w:sz w:val="24"/>
          <w:szCs w:val="24"/>
          <w:lang w:val="pl-PL"/>
        </w:rPr>
        <w:t>RAE</w:t>
      </w:r>
      <w:r w:rsidRPr="00802429">
        <w:rPr>
          <w:rFonts w:ascii="Times New Roman" w:hAnsi="Times New Roman"/>
          <w:sz w:val="24"/>
          <w:szCs w:val="24"/>
        </w:rPr>
        <w:t xml:space="preserve"> </w:t>
      </w:r>
      <w:r w:rsidRPr="00802429">
        <w:rPr>
          <w:rFonts w:ascii="Times New Roman" w:hAnsi="Times New Roman"/>
          <w:sz w:val="24"/>
          <w:szCs w:val="24"/>
          <w:lang w:val="pl-PL"/>
        </w:rPr>
        <w:t>populacije</w:t>
      </w:r>
      <w:r w:rsidRPr="00802429">
        <w:rPr>
          <w:rFonts w:ascii="Times New Roman" w:hAnsi="Times New Roman"/>
          <w:sz w:val="24"/>
          <w:szCs w:val="24"/>
        </w:rPr>
        <w:t xml:space="preserve">, </w:t>
      </w:r>
      <w:r w:rsidRPr="00802429">
        <w:rPr>
          <w:rFonts w:ascii="Times New Roman" w:hAnsi="Times New Roman"/>
          <w:sz w:val="24"/>
          <w:szCs w:val="24"/>
          <w:lang w:val="pl-PL"/>
        </w:rPr>
        <w:t>izbjeglica</w:t>
      </w:r>
      <w:r w:rsidRPr="00802429">
        <w:rPr>
          <w:rFonts w:ascii="Times New Roman" w:hAnsi="Times New Roman"/>
          <w:sz w:val="24"/>
          <w:szCs w:val="24"/>
        </w:rPr>
        <w:t xml:space="preserve"> </w:t>
      </w:r>
      <w:r w:rsidRPr="00802429">
        <w:rPr>
          <w:rFonts w:ascii="Times New Roman" w:hAnsi="Times New Roman"/>
          <w:sz w:val="24"/>
          <w:szCs w:val="24"/>
          <w:lang w:val="pl-PL"/>
        </w:rPr>
        <w:t>i</w:t>
      </w:r>
      <w:r w:rsidRPr="00802429">
        <w:rPr>
          <w:rFonts w:ascii="Times New Roman" w:hAnsi="Times New Roman"/>
          <w:sz w:val="24"/>
          <w:szCs w:val="24"/>
        </w:rPr>
        <w:t xml:space="preserve"> </w:t>
      </w:r>
      <w:r w:rsidRPr="00802429">
        <w:rPr>
          <w:rFonts w:ascii="Times New Roman" w:hAnsi="Times New Roman"/>
          <w:sz w:val="24"/>
          <w:szCs w:val="24"/>
          <w:lang w:val="pl-PL"/>
        </w:rPr>
        <w:t>raseljenih</w:t>
      </w:r>
      <w:r w:rsidRPr="00802429">
        <w:rPr>
          <w:rFonts w:ascii="Times New Roman" w:hAnsi="Times New Roman"/>
          <w:sz w:val="24"/>
          <w:szCs w:val="24"/>
        </w:rPr>
        <w:t xml:space="preserve"> </w:t>
      </w:r>
      <w:r w:rsidRPr="00802429">
        <w:rPr>
          <w:rFonts w:ascii="Times New Roman" w:hAnsi="Times New Roman"/>
          <w:sz w:val="24"/>
          <w:szCs w:val="24"/>
          <w:lang w:val="pl-PL"/>
        </w:rPr>
        <w:t>lica</w:t>
      </w:r>
      <w:r w:rsidRPr="00802429">
        <w:rPr>
          <w:rFonts w:ascii="Times New Roman" w:hAnsi="Times New Roman"/>
          <w:sz w:val="24"/>
          <w:szCs w:val="24"/>
        </w:rPr>
        <w:t>.</w:t>
      </w:r>
    </w:p>
    <w:p w:rsidR="00B21EF9" w:rsidRPr="00AA6A3B"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rPr>
      </w:pPr>
      <w:r w:rsidRPr="00802429">
        <w:rPr>
          <w:rFonts w:ascii="Times New Roman" w:hAnsi="Times New Roman"/>
          <w:sz w:val="24"/>
          <w:szCs w:val="24"/>
          <w:lang w:val="pl-PL"/>
        </w:rPr>
        <w:t>S</w:t>
      </w:r>
      <w:r w:rsidRPr="00802429">
        <w:rPr>
          <w:rFonts w:ascii="Times New Roman" w:hAnsi="Times New Roman"/>
          <w:sz w:val="24"/>
          <w:szCs w:val="24"/>
        </w:rPr>
        <w:t xml:space="preserve"> </w:t>
      </w:r>
      <w:r w:rsidRPr="00802429">
        <w:rPr>
          <w:rFonts w:ascii="Times New Roman" w:hAnsi="Times New Roman"/>
          <w:sz w:val="24"/>
          <w:szCs w:val="24"/>
          <w:lang w:val="pl-PL"/>
        </w:rPr>
        <w:t>obzirom</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to</w:t>
      </w:r>
      <w:r w:rsidRPr="00802429">
        <w:rPr>
          <w:rFonts w:ascii="Times New Roman" w:hAnsi="Times New Roman"/>
          <w:sz w:val="24"/>
          <w:szCs w:val="24"/>
        </w:rPr>
        <w:t xml:space="preserve"> </w:t>
      </w:r>
      <w:r w:rsidRPr="00802429">
        <w:rPr>
          <w:rFonts w:ascii="Times New Roman" w:hAnsi="Times New Roman"/>
          <w:sz w:val="24"/>
          <w:szCs w:val="24"/>
          <w:lang w:val="pl-PL"/>
        </w:rPr>
        <w:t>da</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Strategija</w:t>
      </w:r>
      <w:r w:rsidRPr="00802429">
        <w:rPr>
          <w:rFonts w:ascii="Times New Roman" w:hAnsi="Times New Roman"/>
          <w:sz w:val="24"/>
          <w:szCs w:val="24"/>
        </w:rPr>
        <w:t xml:space="preserve"> </w:t>
      </w:r>
      <w:r w:rsidRPr="00802429">
        <w:rPr>
          <w:rFonts w:ascii="Times New Roman" w:hAnsi="Times New Roman"/>
          <w:sz w:val="24"/>
          <w:szCs w:val="24"/>
          <w:lang w:val="pl-PL"/>
        </w:rPr>
        <w:t>usvojena</w:t>
      </w:r>
      <w:r w:rsidRPr="00802429">
        <w:rPr>
          <w:rFonts w:ascii="Times New Roman" w:hAnsi="Times New Roman"/>
          <w:sz w:val="24"/>
          <w:szCs w:val="24"/>
        </w:rPr>
        <w:t xml:space="preserve"> </w:t>
      </w:r>
      <w:r w:rsidRPr="00802429">
        <w:rPr>
          <w:rFonts w:ascii="Times New Roman" w:hAnsi="Times New Roman"/>
          <w:sz w:val="24"/>
          <w:szCs w:val="24"/>
          <w:lang w:val="pl-PL"/>
        </w:rPr>
        <w:t>krajem</w:t>
      </w:r>
      <w:r w:rsidRPr="00802429">
        <w:rPr>
          <w:rFonts w:ascii="Times New Roman" w:hAnsi="Times New Roman"/>
          <w:sz w:val="24"/>
          <w:szCs w:val="24"/>
        </w:rPr>
        <w:t xml:space="preserve"> 2011. </w:t>
      </w:r>
      <w:r w:rsidRPr="00802429">
        <w:rPr>
          <w:rFonts w:ascii="Times New Roman" w:hAnsi="Times New Roman"/>
          <w:sz w:val="24"/>
          <w:szCs w:val="24"/>
          <w:lang w:val="pl-PL"/>
        </w:rPr>
        <w:t>godine</w:t>
      </w:r>
      <w:r w:rsidRPr="00802429">
        <w:rPr>
          <w:rFonts w:ascii="Times New Roman" w:hAnsi="Times New Roman"/>
          <w:sz w:val="24"/>
          <w:szCs w:val="24"/>
        </w:rPr>
        <w:t xml:space="preserve">, </w:t>
      </w:r>
      <w:r w:rsidRPr="00802429">
        <w:rPr>
          <w:rFonts w:ascii="Times New Roman" w:hAnsi="Times New Roman"/>
          <w:sz w:val="24"/>
          <w:szCs w:val="24"/>
          <w:lang w:val="pl-PL"/>
        </w:rPr>
        <w:t>prakti</w:t>
      </w:r>
      <w:r w:rsidRPr="00802429">
        <w:rPr>
          <w:rFonts w:ascii="Times New Roman" w:hAnsi="Times New Roman"/>
          <w:sz w:val="24"/>
          <w:szCs w:val="24"/>
        </w:rPr>
        <w:t>č</w:t>
      </w:r>
      <w:r w:rsidRPr="00802429">
        <w:rPr>
          <w:rFonts w:ascii="Times New Roman" w:hAnsi="Times New Roman"/>
          <w:sz w:val="24"/>
          <w:szCs w:val="24"/>
          <w:lang w:val="pl-PL"/>
        </w:rPr>
        <w:t>no</w:t>
      </w:r>
      <w:r w:rsidRPr="00802429">
        <w:rPr>
          <w:rFonts w:ascii="Times New Roman" w:hAnsi="Times New Roman"/>
          <w:sz w:val="24"/>
          <w:szCs w:val="24"/>
        </w:rPr>
        <w:t xml:space="preserve"> </w:t>
      </w:r>
      <w:r w:rsidRPr="00802429">
        <w:rPr>
          <w:rFonts w:ascii="Times New Roman" w:hAnsi="Times New Roman"/>
          <w:sz w:val="24"/>
          <w:szCs w:val="24"/>
          <w:lang w:val="pl-PL"/>
        </w:rPr>
        <w:t>ve</w:t>
      </w:r>
      <w:r w:rsidRPr="00802429">
        <w:rPr>
          <w:rFonts w:ascii="Times New Roman" w:hAnsi="Times New Roman"/>
          <w:sz w:val="24"/>
          <w:szCs w:val="24"/>
        </w:rPr>
        <w:t xml:space="preserve">ć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prvoj</w:t>
      </w:r>
      <w:r w:rsidRPr="00802429">
        <w:rPr>
          <w:rFonts w:ascii="Times New Roman" w:hAnsi="Times New Roman"/>
          <w:sz w:val="24"/>
          <w:szCs w:val="24"/>
        </w:rPr>
        <w:t xml:space="preserve"> </w:t>
      </w:r>
      <w:r w:rsidRPr="00802429">
        <w:rPr>
          <w:rFonts w:ascii="Times New Roman" w:hAnsi="Times New Roman"/>
          <w:sz w:val="24"/>
          <w:szCs w:val="24"/>
          <w:lang w:val="pl-PL"/>
        </w:rPr>
        <w:t>godini</w:t>
      </w:r>
      <w:r w:rsidRPr="00802429">
        <w:rPr>
          <w:rFonts w:ascii="Times New Roman" w:hAnsi="Times New Roman"/>
          <w:sz w:val="24"/>
          <w:szCs w:val="24"/>
        </w:rPr>
        <w:t xml:space="preserve"> </w:t>
      </w:r>
      <w:r w:rsidRPr="00802429">
        <w:rPr>
          <w:rFonts w:ascii="Times New Roman" w:hAnsi="Times New Roman"/>
          <w:sz w:val="24"/>
          <w:szCs w:val="24"/>
          <w:lang w:val="pl-PL"/>
        </w:rPr>
        <w:t>njene</w:t>
      </w:r>
      <w:r w:rsidRPr="00802429">
        <w:rPr>
          <w:rFonts w:ascii="Times New Roman" w:hAnsi="Times New Roman"/>
          <w:sz w:val="24"/>
          <w:szCs w:val="24"/>
        </w:rPr>
        <w:t xml:space="preserve"> </w:t>
      </w:r>
      <w:r w:rsidRPr="00802429">
        <w:rPr>
          <w:rFonts w:ascii="Times New Roman" w:hAnsi="Times New Roman"/>
          <w:sz w:val="24"/>
          <w:szCs w:val="24"/>
          <w:lang w:val="pl-PL"/>
        </w:rPr>
        <w:t>primjene</w:t>
      </w:r>
      <w:r w:rsidRPr="00802429">
        <w:rPr>
          <w:rFonts w:ascii="Times New Roman" w:hAnsi="Times New Roman"/>
          <w:sz w:val="24"/>
          <w:szCs w:val="24"/>
        </w:rPr>
        <w:t xml:space="preserve">, </w:t>
      </w:r>
      <w:r w:rsidRPr="00802429">
        <w:rPr>
          <w:rFonts w:ascii="Times New Roman" w:hAnsi="Times New Roman"/>
          <w:sz w:val="24"/>
          <w:szCs w:val="24"/>
          <w:lang w:val="pl-PL"/>
        </w:rPr>
        <w:t>nakon</w:t>
      </w:r>
      <w:r w:rsidRPr="00802429">
        <w:rPr>
          <w:rFonts w:ascii="Times New Roman" w:hAnsi="Times New Roman"/>
          <w:sz w:val="24"/>
          <w:szCs w:val="24"/>
        </w:rPr>
        <w:t xml:space="preserve"> </w:t>
      </w:r>
      <w:r w:rsidRPr="00802429">
        <w:rPr>
          <w:rFonts w:ascii="Times New Roman" w:hAnsi="Times New Roman"/>
          <w:sz w:val="24"/>
          <w:szCs w:val="24"/>
          <w:lang w:val="pl-PL"/>
        </w:rPr>
        <w:t>dvogodi</w:t>
      </w:r>
      <w:r w:rsidRPr="00802429">
        <w:rPr>
          <w:rFonts w:ascii="Times New Roman" w:hAnsi="Times New Roman"/>
          <w:sz w:val="24"/>
          <w:szCs w:val="24"/>
        </w:rPr>
        <w:t>š</w:t>
      </w:r>
      <w:r w:rsidRPr="00802429">
        <w:rPr>
          <w:rFonts w:ascii="Times New Roman" w:hAnsi="Times New Roman"/>
          <w:sz w:val="24"/>
          <w:szCs w:val="24"/>
          <w:lang w:val="pl-PL"/>
        </w:rPr>
        <w:t>njeg</w:t>
      </w:r>
      <w:r w:rsidRPr="00802429">
        <w:rPr>
          <w:rFonts w:ascii="Times New Roman" w:hAnsi="Times New Roman"/>
          <w:sz w:val="24"/>
          <w:szCs w:val="24"/>
        </w:rPr>
        <w:t xml:space="preserve"> </w:t>
      </w:r>
      <w:r w:rsidRPr="00802429">
        <w:rPr>
          <w:rFonts w:ascii="Times New Roman" w:hAnsi="Times New Roman"/>
          <w:sz w:val="24"/>
          <w:szCs w:val="24"/>
          <w:lang w:val="pl-PL"/>
        </w:rPr>
        <w:t>perioda</w:t>
      </w:r>
      <w:r w:rsidRPr="00802429">
        <w:rPr>
          <w:rFonts w:ascii="Times New Roman" w:hAnsi="Times New Roman"/>
          <w:sz w:val="24"/>
          <w:szCs w:val="24"/>
        </w:rPr>
        <w:t xml:space="preserve"> </w:t>
      </w:r>
      <w:r w:rsidRPr="00802429">
        <w:rPr>
          <w:rFonts w:ascii="Times New Roman" w:hAnsi="Times New Roman"/>
          <w:sz w:val="24"/>
          <w:szCs w:val="24"/>
          <w:lang w:val="pl-PL"/>
        </w:rPr>
        <w:t>ekonomskog</w:t>
      </w:r>
      <w:r w:rsidRPr="00802429">
        <w:rPr>
          <w:rFonts w:ascii="Times New Roman" w:hAnsi="Times New Roman"/>
          <w:sz w:val="24"/>
          <w:szCs w:val="24"/>
        </w:rPr>
        <w:t xml:space="preserve"> </w:t>
      </w:r>
      <w:r w:rsidRPr="00802429">
        <w:rPr>
          <w:rFonts w:ascii="Times New Roman" w:hAnsi="Times New Roman"/>
          <w:sz w:val="24"/>
          <w:szCs w:val="24"/>
          <w:lang w:val="pl-PL"/>
        </w:rPr>
        <w:t>rasta</w:t>
      </w:r>
      <w:r w:rsidRPr="00802429">
        <w:rPr>
          <w:rFonts w:ascii="Times New Roman" w:hAnsi="Times New Roman"/>
          <w:sz w:val="24"/>
          <w:szCs w:val="24"/>
        </w:rPr>
        <w:t xml:space="preserve">, </w:t>
      </w:r>
      <w:r w:rsidRPr="00802429">
        <w:rPr>
          <w:rFonts w:ascii="Times New Roman" w:hAnsi="Times New Roman"/>
          <w:sz w:val="24"/>
          <w:szCs w:val="24"/>
          <w:lang w:val="pl-PL"/>
        </w:rPr>
        <w:t>privreda</w:t>
      </w:r>
      <w:r w:rsidRPr="00802429">
        <w:rPr>
          <w:rFonts w:ascii="Times New Roman" w:hAnsi="Times New Roman"/>
          <w:sz w:val="24"/>
          <w:szCs w:val="24"/>
        </w:rPr>
        <w:t xml:space="preserve"> </w:t>
      </w:r>
      <w:r w:rsidRPr="00802429">
        <w:rPr>
          <w:rFonts w:ascii="Times New Roman" w:hAnsi="Times New Roman"/>
          <w:sz w:val="24"/>
          <w:szCs w:val="24"/>
          <w:lang w:val="pl-PL"/>
        </w:rPr>
        <w:t>Crne</w:t>
      </w:r>
      <w:r w:rsidRPr="00802429">
        <w:rPr>
          <w:rFonts w:ascii="Times New Roman" w:hAnsi="Times New Roman"/>
          <w:sz w:val="24"/>
          <w:szCs w:val="24"/>
        </w:rPr>
        <w:t xml:space="preserve"> </w:t>
      </w:r>
      <w:r w:rsidRPr="00802429">
        <w:rPr>
          <w:rFonts w:ascii="Times New Roman" w:hAnsi="Times New Roman"/>
          <w:sz w:val="24"/>
          <w:szCs w:val="24"/>
          <w:lang w:val="pl-PL"/>
        </w:rPr>
        <w:t>Gore</w:t>
      </w:r>
      <w:r w:rsidRPr="00802429">
        <w:rPr>
          <w:rFonts w:ascii="Times New Roman" w:hAnsi="Times New Roman"/>
          <w:sz w:val="24"/>
          <w:szCs w:val="24"/>
        </w:rPr>
        <w:t xml:space="preserve"> </w:t>
      </w:r>
      <w:r w:rsidRPr="00802429">
        <w:rPr>
          <w:rFonts w:ascii="Times New Roman" w:hAnsi="Times New Roman"/>
          <w:sz w:val="24"/>
          <w:szCs w:val="24"/>
          <w:lang w:val="pl-PL"/>
        </w:rPr>
        <w:t>zabilje</w:t>
      </w:r>
      <w:r w:rsidRPr="00802429">
        <w:rPr>
          <w:rFonts w:ascii="Times New Roman" w:hAnsi="Times New Roman"/>
          <w:sz w:val="24"/>
          <w:szCs w:val="24"/>
        </w:rPr>
        <w:t>ž</w:t>
      </w:r>
      <w:r w:rsidRPr="00802429">
        <w:rPr>
          <w:rFonts w:ascii="Times New Roman" w:hAnsi="Times New Roman"/>
          <w:sz w:val="24"/>
          <w:szCs w:val="24"/>
          <w:lang w:val="pl-PL"/>
        </w:rPr>
        <w:t>ila</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pad</w:t>
      </w:r>
      <w:r w:rsidRPr="00802429">
        <w:rPr>
          <w:rFonts w:ascii="Times New Roman" w:hAnsi="Times New Roman"/>
          <w:sz w:val="24"/>
          <w:szCs w:val="24"/>
        </w:rPr>
        <w:t xml:space="preserve"> aktivnosti. </w:t>
      </w:r>
      <w:r w:rsidRPr="00802429">
        <w:rPr>
          <w:rFonts w:ascii="Times New Roman" w:hAnsi="Times New Roman"/>
          <w:sz w:val="24"/>
          <w:szCs w:val="24"/>
          <w:lang w:val="pl-PL"/>
        </w:rPr>
        <w:t>Iako</w:t>
      </w:r>
      <w:r w:rsidRPr="00802429">
        <w:rPr>
          <w:rFonts w:ascii="Times New Roman" w:hAnsi="Times New Roman"/>
          <w:sz w:val="24"/>
          <w:szCs w:val="24"/>
        </w:rPr>
        <w:t xml:space="preserve"> </w:t>
      </w:r>
      <w:r w:rsidRPr="00802429">
        <w:rPr>
          <w:rFonts w:ascii="Times New Roman" w:hAnsi="Times New Roman"/>
          <w:sz w:val="24"/>
          <w:szCs w:val="24"/>
          <w:lang w:val="pl-PL"/>
        </w:rPr>
        <w:t>se</w:t>
      </w:r>
      <w:r w:rsidRPr="00802429">
        <w:rPr>
          <w:rFonts w:ascii="Times New Roman" w:hAnsi="Times New Roman"/>
          <w:sz w:val="24"/>
          <w:szCs w:val="24"/>
        </w:rPr>
        <w:t xml:space="preserve"> </w:t>
      </w:r>
      <w:r w:rsidRPr="00802429">
        <w:rPr>
          <w:rFonts w:ascii="Times New Roman" w:hAnsi="Times New Roman"/>
          <w:sz w:val="24"/>
          <w:szCs w:val="24"/>
          <w:lang w:val="pl-PL"/>
        </w:rPr>
        <w:t>kod</w:t>
      </w:r>
      <w:r w:rsidRPr="00802429">
        <w:rPr>
          <w:rFonts w:ascii="Times New Roman" w:hAnsi="Times New Roman"/>
          <w:sz w:val="24"/>
          <w:szCs w:val="24"/>
        </w:rPr>
        <w:t xml:space="preserve"> </w:t>
      </w:r>
      <w:r w:rsidRPr="00802429">
        <w:rPr>
          <w:rFonts w:ascii="Times New Roman" w:hAnsi="Times New Roman"/>
          <w:sz w:val="24"/>
          <w:szCs w:val="24"/>
          <w:lang w:val="pl-PL"/>
        </w:rPr>
        <w:t>ve</w:t>
      </w:r>
      <w:r w:rsidRPr="00802429">
        <w:rPr>
          <w:rFonts w:ascii="Times New Roman" w:hAnsi="Times New Roman"/>
          <w:sz w:val="24"/>
          <w:szCs w:val="24"/>
        </w:rPr>
        <w:t>ć</w:t>
      </w:r>
      <w:r w:rsidRPr="00802429">
        <w:rPr>
          <w:rFonts w:ascii="Times New Roman" w:hAnsi="Times New Roman"/>
          <w:sz w:val="24"/>
          <w:szCs w:val="24"/>
          <w:lang w:val="pl-PL"/>
        </w:rPr>
        <w:t>ine</w:t>
      </w:r>
      <w:r w:rsidRPr="00802429">
        <w:rPr>
          <w:rFonts w:ascii="Times New Roman" w:hAnsi="Times New Roman"/>
          <w:sz w:val="24"/>
          <w:szCs w:val="24"/>
        </w:rPr>
        <w:t xml:space="preserve"> </w:t>
      </w:r>
      <w:r w:rsidRPr="00802429">
        <w:rPr>
          <w:rFonts w:ascii="Times New Roman" w:hAnsi="Times New Roman"/>
          <w:sz w:val="24"/>
          <w:szCs w:val="24"/>
          <w:lang w:val="pl-PL"/>
        </w:rPr>
        <w:t>pokazatelja</w:t>
      </w:r>
      <w:r w:rsidRPr="00802429">
        <w:rPr>
          <w:rFonts w:ascii="Times New Roman" w:hAnsi="Times New Roman"/>
          <w:sz w:val="24"/>
          <w:szCs w:val="24"/>
        </w:rPr>
        <w:t xml:space="preserve"> i </w:t>
      </w:r>
      <w:r w:rsidRPr="00802429">
        <w:rPr>
          <w:rFonts w:ascii="Times New Roman" w:hAnsi="Times New Roman"/>
          <w:sz w:val="24"/>
          <w:szCs w:val="24"/>
          <w:lang w:val="pl-PL"/>
        </w:rPr>
        <w:t>u</w:t>
      </w:r>
      <w:r w:rsidRPr="00802429">
        <w:rPr>
          <w:rFonts w:ascii="Times New Roman" w:hAnsi="Times New Roman"/>
          <w:sz w:val="24"/>
          <w:szCs w:val="24"/>
        </w:rPr>
        <w:t xml:space="preserve"> 2012. </w:t>
      </w:r>
      <w:r w:rsidRPr="00802429">
        <w:rPr>
          <w:rFonts w:ascii="Times New Roman" w:hAnsi="Times New Roman"/>
          <w:sz w:val="24"/>
          <w:szCs w:val="24"/>
          <w:lang w:val="pl-PL"/>
        </w:rPr>
        <w:t>godini</w:t>
      </w:r>
      <w:r w:rsidRPr="00802429">
        <w:rPr>
          <w:rFonts w:ascii="Times New Roman" w:hAnsi="Times New Roman"/>
          <w:sz w:val="24"/>
          <w:szCs w:val="24"/>
        </w:rPr>
        <w:t xml:space="preserve"> </w:t>
      </w:r>
      <w:r w:rsidRPr="00802429">
        <w:rPr>
          <w:rFonts w:ascii="Times New Roman" w:hAnsi="Times New Roman"/>
          <w:sz w:val="24"/>
          <w:szCs w:val="24"/>
          <w:lang w:val="pl-PL"/>
        </w:rPr>
        <w:t>mogu</w:t>
      </w:r>
      <w:r w:rsidRPr="00802429">
        <w:rPr>
          <w:rFonts w:ascii="Times New Roman" w:hAnsi="Times New Roman"/>
          <w:sz w:val="24"/>
          <w:szCs w:val="24"/>
        </w:rPr>
        <w:t xml:space="preserve"> </w:t>
      </w:r>
      <w:r w:rsidRPr="00802429">
        <w:rPr>
          <w:rFonts w:ascii="Times New Roman" w:hAnsi="Times New Roman"/>
          <w:sz w:val="24"/>
          <w:szCs w:val="24"/>
          <w:lang w:val="pl-PL"/>
        </w:rPr>
        <w:t>primjetiti</w:t>
      </w:r>
      <w:r w:rsidRPr="00802429">
        <w:rPr>
          <w:rFonts w:ascii="Times New Roman" w:hAnsi="Times New Roman"/>
          <w:sz w:val="24"/>
          <w:szCs w:val="24"/>
        </w:rPr>
        <w:t xml:space="preserve"> </w:t>
      </w:r>
      <w:r w:rsidRPr="00802429">
        <w:rPr>
          <w:rFonts w:ascii="Times New Roman" w:hAnsi="Times New Roman"/>
          <w:sz w:val="24"/>
          <w:szCs w:val="24"/>
          <w:lang w:val="pl-PL"/>
        </w:rPr>
        <w:t>konvergentna</w:t>
      </w:r>
      <w:r w:rsidRPr="00802429">
        <w:rPr>
          <w:rFonts w:ascii="Times New Roman" w:hAnsi="Times New Roman"/>
          <w:sz w:val="24"/>
          <w:szCs w:val="24"/>
        </w:rPr>
        <w:t xml:space="preserve"> </w:t>
      </w:r>
      <w:r w:rsidRPr="00802429">
        <w:rPr>
          <w:rFonts w:ascii="Times New Roman" w:hAnsi="Times New Roman"/>
          <w:sz w:val="24"/>
          <w:szCs w:val="24"/>
          <w:lang w:val="pl-PL"/>
        </w:rPr>
        <w:t>kretanja</w:t>
      </w:r>
      <w:r w:rsidRPr="00802429">
        <w:rPr>
          <w:rFonts w:ascii="Times New Roman" w:hAnsi="Times New Roman"/>
          <w:sz w:val="24"/>
          <w:szCs w:val="24"/>
        </w:rPr>
        <w:t xml:space="preserve"> </w:t>
      </w:r>
      <w:r w:rsidRPr="00802429">
        <w:rPr>
          <w:rFonts w:ascii="Times New Roman" w:hAnsi="Times New Roman"/>
          <w:sz w:val="24"/>
          <w:szCs w:val="24"/>
          <w:lang w:val="pl-PL"/>
        </w:rPr>
        <w:t>ka</w:t>
      </w:r>
      <w:r w:rsidRPr="00802429">
        <w:rPr>
          <w:rFonts w:ascii="Times New Roman" w:hAnsi="Times New Roman"/>
          <w:sz w:val="24"/>
          <w:szCs w:val="24"/>
        </w:rPr>
        <w:t xml:space="preserve"> </w:t>
      </w:r>
      <w:r w:rsidRPr="00802429">
        <w:rPr>
          <w:rFonts w:ascii="Times New Roman" w:hAnsi="Times New Roman"/>
          <w:sz w:val="24"/>
          <w:szCs w:val="24"/>
          <w:lang w:val="pl-PL"/>
        </w:rPr>
        <w:t>ciljnim</w:t>
      </w:r>
      <w:r w:rsidRPr="00802429">
        <w:rPr>
          <w:rFonts w:ascii="Times New Roman" w:hAnsi="Times New Roman"/>
          <w:sz w:val="24"/>
          <w:szCs w:val="24"/>
        </w:rPr>
        <w:t xml:space="preserve"> </w:t>
      </w:r>
      <w:r w:rsidRPr="00802429">
        <w:rPr>
          <w:rFonts w:ascii="Times New Roman" w:hAnsi="Times New Roman"/>
          <w:sz w:val="24"/>
          <w:szCs w:val="24"/>
          <w:lang w:val="pl-PL"/>
        </w:rPr>
        <w:t>vrijednostima</w:t>
      </w:r>
      <w:r w:rsidRPr="00802429">
        <w:rPr>
          <w:rFonts w:ascii="Times New Roman" w:hAnsi="Times New Roman"/>
          <w:sz w:val="24"/>
          <w:szCs w:val="24"/>
        </w:rPr>
        <w:t xml:space="preserve">, </w:t>
      </w:r>
      <w:r w:rsidRPr="00802429">
        <w:rPr>
          <w:rFonts w:ascii="Times New Roman" w:hAnsi="Times New Roman"/>
          <w:sz w:val="24"/>
          <w:szCs w:val="24"/>
          <w:lang w:val="pl-PL"/>
        </w:rPr>
        <w:t>upravo</w:t>
      </w:r>
      <w:r w:rsidRPr="00802429">
        <w:rPr>
          <w:rFonts w:ascii="Times New Roman" w:hAnsi="Times New Roman"/>
          <w:sz w:val="24"/>
          <w:szCs w:val="24"/>
        </w:rPr>
        <w:t xml:space="preserve"> </w:t>
      </w:r>
      <w:r w:rsidRPr="00802429">
        <w:rPr>
          <w:rFonts w:ascii="Times New Roman" w:hAnsi="Times New Roman"/>
          <w:sz w:val="24"/>
          <w:szCs w:val="24"/>
          <w:lang w:val="pl-PL"/>
        </w:rPr>
        <w:t>ovakva</w:t>
      </w:r>
      <w:r w:rsidRPr="00802429">
        <w:rPr>
          <w:rFonts w:ascii="Times New Roman" w:hAnsi="Times New Roman"/>
          <w:sz w:val="24"/>
          <w:szCs w:val="24"/>
        </w:rPr>
        <w:t xml:space="preserve"> </w:t>
      </w:r>
      <w:r w:rsidRPr="00802429">
        <w:rPr>
          <w:rFonts w:ascii="Times New Roman" w:hAnsi="Times New Roman"/>
          <w:sz w:val="24"/>
          <w:szCs w:val="24"/>
          <w:lang w:val="pl-PL"/>
        </w:rPr>
        <w:t>promjena</w:t>
      </w:r>
      <w:r w:rsidRPr="00802429">
        <w:rPr>
          <w:rFonts w:ascii="Times New Roman" w:hAnsi="Times New Roman"/>
          <w:sz w:val="24"/>
          <w:szCs w:val="24"/>
        </w:rPr>
        <w:t xml:space="preserve"> </w:t>
      </w:r>
      <w:r w:rsidRPr="00802429">
        <w:rPr>
          <w:rFonts w:ascii="Times New Roman" w:hAnsi="Times New Roman"/>
          <w:sz w:val="24"/>
          <w:szCs w:val="24"/>
          <w:lang w:val="pl-PL"/>
        </w:rPr>
        <w:t>trenda</w:t>
      </w:r>
      <w:r w:rsidRPr="00802429">
        <w:rPr>
          <w:rFonts w:ascii="Times New Roman" w:hAnsi="Times New Roman"/>
          <w:sz w:val="24"/>
          <w:szCs w:val="24"/>
        </w:rPr>
        <w:t xml:space="preserve"> </w:t>
      </w:r>
      <w:r w:rsidRPr="00802429">
        <w:rPr>
          <w:rFonts w:ascii="Times New Roman" w:hAnsi="Times New Roman"/>
          <w:sz w:val="24"/>
          <w:szCs w:val="24"/>
          <w:lang w:val="pl-PL"/>
        </w:rPr>
        <w:t>uticala</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na</w:t>
      </w:r>
      <w:r w:rsidRPr="00802429">
        <w:rPr>
          <w:rFonts w:ascii="Times New Roman" w:hAnsi="Times New Roman"/>
          <w:sz w:val="24"/>
          <w:szCs w:val="24"/>
        </w:rPr>
        <w:t xml:space="preserve"> </w:t>
      </w:r>
      <w:r w:rsidRPr="00802429">
        <w:rPr>
          <w:rFonts w:ascii="Times New Roman" w:hAnsi="Times New Roman"/>
          <w:sz w:val="24"/>
          <w:szCs w:val="24"/>
          <w:lang w:val="pl-PL"/>
        </w:rPr>
        <w:t>to</w:t>
      </w:r>
      <w:r w:rsidRPr="00802429">
        <w:rPr>
          <w:rFonts w:ascii="Times New Roman" w:hAnsi="Times New Roman"/>
          <w:sz w:val="24"/>
          <w:szCs w:val="24"/>
        </w:rPr>
        <w:t xml:space="preserve"> </w:t>
      </w:r>
      <w:r w:rsidRPr="00802429">
        <w:rPr>
          <w:rFonts w:ascii="Times New Roman" w:hAnsi="Times New Roman"/>
          <w:sz w:val="24"/>
          <w:szCs w:val="24"/>
          <w:lang w:val="pl-PL"/>
        </w:rPr>
        <w:t>da</w:t>
      </w:r>
      <w:r w:rsidRPr="00802429">
        <w:rPr>
          <w:rFonts w:ascii="Times New Roman" w:hAnsi="Times New Roman"/>
          <w:sz w:val="24"/>
          <w:szCs w:val="24"/>
        </w:rPr>
        <w:t xml:space="preserve"> </w:t>
      </w:r>
      <w:r w:rsidRPr="00802429">
        <w:rPr>
          <w:rFonts w:ascii="Times New Roman" w:hAnsi="Times New Roman"/>
          <w:sz w:val="24"/>
          <w:szCs w:val="24"/>
          <w:lang w:val="pl-PL"/>
        </w:rPr>
        <w:t>se</w:t>
      </w:r>
      <w:r w:rsidRPr="00802429">
        <w:rPr>
          <w:rFonts w:ascii="Times New Roman" w:hAnsi="Times New Roman"/>
          <w:sz w:val="24"/>
          <w:szCs w:val="24"/>
        </w:rPr>
        <w:t xml:space="preserve"> </w:t>
      </w:r>
      <w:r w:rsidRPr="00802429">
        <w:rPr>
          <w:rFonts w:ascii="Times New Roman" w:hAnsi="Times New Roman"/>
          <w:sz w:val="24"/>
          <w:szCs w:val="24"/>
          <w:lang w:val="pl-PL"/>
        </w:rPr>
        <w:t>neki</w:t>
      </w:r>
      <w:r w:rsidRPr="00802429">
        <w:rPr>
          <w:rFonts w:ascii="Times New Roman" w:hAnsi="Times New Roman"/>
          <w:sz w:val="24"/>
          <w:szCs w:val="24"/>
        </w:rPr>
        <w:t xml:space="preserve"> </w:t>
      </w:r>
      <w:r w:rsidRPr="00802429">
        <w:rPr>
          <w:rFonts w:ascii="Times New Roman" w:hAnsi="Times New Roman"/>
          <w:sz w:val="24"/>
          <w:szCs w:val="24"/>
          <w:lang w:val="pl-PL"/>
        </w:rPr>
        <w:t>indikatori</w:t>
      </w:r>
      <w:r w:rsidRPr="00802429">
        <w:rPr>
          <w:rFonts w:ascii="Times New Roman" w:hAnsi="Times New Roman"/>
          <w:sz w:val="24"/>
          <w:szCs w:val="24"/>
        </w:rPr>
        <w:t xml:space="preserve"> </w:t>
      </w:r>
      <w:r w:rsidRPr="00802429">
        <w:rPr>
          <w:rFonts w:ascii="Times New Roman" w:hAnsi="Times New Roman"/>
          <w:sz w:val="24"/>
          <w:szCs w:val="24"/>
          <w:lang w:val="pl-PL"/>
        </w:rPr>
        <w:t>kre</w:t>
      </w:r>
      <w:r w:rsidRPr="00802429">
        <w:rPr>
          <w:rFonts w:ascii="Times New Roman" w:hAnsi="Times New Roman"/>
          <w:sz w:val="24"/>
          <w:szCs w:val="24"/>
        </w:rPr>
        <w:t>ć</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u</w:t>
      </w:r>
      <w:r w:rsidRPr="00802429">
        <w:rPr>
          <w:rFonts w:ascii="Times New Roman" w:hAnsi="Times New Roman"/>
          <w:sz w:val="24"/>
          <w:szCs w:val="24"/>
        </w:rPr>
        <w:t xml:space="preserve"> </w:t>
      </w:r>
      <w:r w:rsidRPr="00802429">
        <w:rPr>
          <w:rFonts w:ascii="Times New Roman" w:hAnsi="Times New Roman"/>
          <w:sz w:val="24"/>
          <w:szCs w:val="24"/>
          <w:lang w:val="pl-PL"/>
        </w:rPr>
        <w:t>suprotnom</w:t>
      </w:r>
      <w:r w:rsidRPr="00802429">
        <w:rPr>
          <w:rFonts w:ascii="Times New Roman" w:hAnsi="Times New Roman"/>
          <w:sz w:val="24"/>
          <w:szCs w:val="24"/>
        </w:rPr>
        <w:t xml:space="preserve"> </w:t>
      </w:r>
      <w:r w:rsidRPr="00802429">
        <w:rPr>
          <w:rFonts w:ascii="Times New Roman" w:hAnsi="Times New Roman"/>
          <w:sz w:val="24"/>
          <w:szCs w:val="24"/>
          <w:lang w:val="pl-PL"/>
        </w:rPr>
        <w:t>sm</w:t>
      </w:r>
      <w:r w:rsidR="00FC3F47">
        <w:rPr>
          <w:rFonts w:ascii="Times New Roman" w:hAnsi="Times New Roman"/>
          <w:sz w:val="24"/>
          <w:szCs w:val="24"/>
          <w:lang w:val="pl-PL"/>
        </w:rPr>
        <w:t>j</w:t>
      </w:r>
      <w:r w:rsidRPr="00802429">
        <w:rPr>
          <w:rFonts w:ascii="Times New Roman" w:hAnsi="Times New Roman"/>
          <w:sz w:val="24"/>
          <w:szCs w:val="24"/>
          <w:lang w:val="pl-PL"/>
        </w:rPr>
        <w:t>eru</w:t>
      </w:r>
      <w:r w:rsidRPr="00802429">
        <w:rPr>
          <w:rFonts w:ascii="Times New Roman" w:hAnsi="Times New Roman"/>
          <w:sz w:val="24"/>
          <w:szCs w:val="24"/>
        </w:rPr>
        <w:t xml:space="preserve"> </w:t>
      </w:r>
      <w:r w:rsidRPr="00802429">
        <w:rPr>
          <w:rFonts w:ascii="Times New Roman" w:hAnsi="Times New Roman"/>
          <w:sz w:val="24"/>
          <w:szCs w:val="24"/>
          <w:lang w:val="pl-PL"/>
        </w:rPr>
        <w:t>od</w:t>
      </w:r>
      <w:r w:rsidRPr="00802429">
        <w:rPr>
          <w:rFonts w:ascii="Times New Roman" w:hAnsi="Times New Roman"/>
          <w:sz w:val="24"/>
          <w:szCs w:val="24"/>
        </w:rPr>
        <w:t xml:space="preserve"> </w:t>
      </w:r>
      <w:r w:rsidRPr="00802429">
        <w:rPr>
          <w:rFonts w:ascii="Times New Roman" w:hAnsi="Times New Roman"/>
          <w:sz w:val="24"/>
          <w:szCs w:val="24"/>
          <w:lang w:val="pl-PL"/>
        </w:rPr>
        <w:t>onog</w:t>
      </w:r>
      <w:r w:rsidRPr="00802429">
        <w:rPr>
          <w:rFonts w:ascii="Times New Roman" w:hAnsi="Times New Roman"/>
          <w:sz w:val="24"/>
          <w:szCs w:val="24"/>
        </w:rPr>
        <w:t xml:space="preserve"> </w:t>
      </w:r>
      <w:r w:rsidRPr="00802429">
        <w:rPr>
          <w:rFonts w:ascii="Times New Roman" w:hAnsi="Times New Roman"/>
          <w:sz w:val="24"/>
          <w:szCs w:val="24"/>
          <w:lang w:val="pl-PL"/>
        </w:rPr>
        <w:t>koji</w:t>
      </w:r>
      <w:r w:rsidRPr="00802429">
        <w:rPr>
          <w:rFonts w:ascii="Times New Roman" w:hAnsi="Times New Roman"/>
          <w:sz w:val="24"/>
          <w:szCs w:val="24"/>
        </w:rPr>
        <w:t xml:space="preserve"> </w:t>
      </w:r>
      <w:r w:rsidRPr="00802429">
        <w:rPr>
          <w:rFonts w:ascii="Times New Roman" w:hAnsi="Times New Roman"/>
          <w:sz w:val="24"/>
          <w:szCs w:val="24"/>
          <w:lang w:val="pl-PL"/>
        </w:rPr>
        <w:t>je</w:t>
      </w:r>
      <w:r w:rsidRPr="00802429">
        <w:rPr>
          <w:rFonts w:ascii="Times New Roman" w:hAnsi="Times New Roman"/>
          <w:sz w:val="24"/>
          <w:szCs w:val="24"/>
        </w:rPr>
        <w:t xml:space="preserve"> </w:t>
      </w:r>
      <w:r w:rsidRPr="00802429">
        <w:rPr>
          <w:rFonts w:ascii="Times New Roman" w:hAnsi="Times New Roman"/>
          <w:sz w:val="24"/>
          <w:szCs w:val="24"/>
          <w:lang w:val="pl-PL"/>
        </w:rPr>
        <w:t>ciljevima</w:t>
      </w:r>
      <w:r w:rsidRPr="00802429">
        <w:rPr>
          <w:rFonts w:ascii="Times New Roman" w:hAnsi="Times New Roman"/>
          <w:sz w:val="24"/>
          <w:szCs w:val="24"/>
        </w:rPr>
        <w:t xml:space="preserve"> </w:t>
      </w:r>
      <w:r w:rsidRPr="00802429">
        <w:rPr>
          <w:rFonts w:ascii="Times New Roman" w:hAnsi="Times New Roman"/>
          <w:sz w:val="24"/>
          <w:szCs w:val="24"/>
          <w:lang w:val="pl-PL"/>
        </w:rPr>
        <w:t>predvi</w:t>
      </w:r>
      <w:r w:rsidRPr="00802429">
        <w:rPr>
          <w:rFonts w:ascii="Times New Roman" w:hAnsi="Times New Roman"/>
          <w:sz w:val="24"/>
          <w:szCs w:val="24"/>
        </w:rPr>
        <w:t>đ</w:t>
      </w:r>
      <w:r w:rsidRPr="00802429">
        <w:rPr>
          <w:rFonts w:ascii="Times New Roman" w:hAnsi="Times New Roman"/>
          <w:sz w:val="24"/>
          <w:szCs w:val="24"/>
          <w:lang w:val="pl-PL"/>
        </w:rPr>
        <w:t>en</w:t>
      </w:r>
      <w:r w:rsidRPr="00802429">
        <w:rPr>
          <w:rFonts w:ascii="Times New Roman" w:hAnsi="Times New Roman"/>
          <w:sz w:val="24"/>
          <w:szCs w:val="24"/>
        </w:rPr>
        <w:t>.</w:t>
      </w:r>
    </w:p>
    <w:p w:rsidR="00B21EF9" w:rsidRPr="00AA6A3B"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Posmatrano prema stopi zaposlenosti, u odnosu na 2011. godinu, koja se može smatrati baznom za poređenje indikatora, napredak je vidljiv već u 2012. godini, kao prvoj godini sprovođenja Strategije. Kao što se iz Tabele 1 može primjetiti, stopa zaposlenosti populacije od 15-64 godine povećana je sa 45,9% na 47%, dok je sličan pomak ostvaren i u stopi zaposlenosti žena iste starosne dobi koja je porasla sa 40,7% na 41,6%. Kod ob</w:t>
      </w:r>
      <w:r w:rsidR="00305A25">
        <w:rPr>
          <w:rFonts w:ascii="Times New Roman" w:hAnsi="Times New Roman"/>
          <w:sz w:val="24"/>
          <w:szCs w:val="24"/>
          <w:lang w:val="pl-PL"/>
        </w:rPr>
        <w:t>j</w:t>
      </w:r>
      <w:r w:rsidRPr="00802429">
        <w:rPr>
          <w:rFonts w:ascii="Times New Roman" w:hAnsi="Times New Roman"/>
          <w:sz w:val="24"/>
          <w:szCs w:val="24"/>
          <w:lang w:val="pl-PL"/>
        </w:rPr>
        <w:t xml:space="preserve">e referentne grupe zabilježen je trend kontinuiranog rasta stope zaposlenosti u posmatranom periodu, te je tako ova stopa kod stanovništva uzrasta 15-64 godine u 2014. dostigla vrijednost od 50,4%, a kod ženskog stanovništva radnog uzrasta nivo od 45,3%, što sugeriše da je došlo i do izvjesnog smanjivanja rodnog jaza zaposlenosti.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Evidentno je da usl</w:t>
      </w:r>
      <w:r w:rsidR="00D25F74">
        <w:rPr>
          <w:rFonts w:ascii="Times New Roman" w:hAnsi="Times New Roman"/>
          <w:sz w:val="24"/>
          <w:szCs w:val="24"/>
          <w:lang w:val="pl-PL"/>
        </w:rPr>
        <w:t>ij</w:t>
      </w:r>
      <w:r w:rsidRPr="00802429">
        <w:rPr>
          <w:rFonts w:ascii="Times New Roman" w:hAnsi="Times New Roman"/>
          <w:sz w:val="24"/>
          <w:szCs w:val="24"/>
          <w:lang w:val="pl-PL"/>
        </w:rPr>
        <w:t xml:space="preserve">ed negativnih </w:t>
      </w:r>
      <w:r w:rsidR="00B36624">
        <w:rPr>
          <w:rFonts w:ascii="Times New Roman" w:hAnsi="Times New Roman"/>
          <w:sz w:val="24"/>
          <w:szCs w:val="24"/>
          <w:lang w:val="pl-PL"/>
        </w:rPr>
        <w:t>spoljnih</w:t>
      </w:r>
      <w:r w:rsidRPr="00802429">
        <w:rPr>
          <w:rFonts w:ascii="Times New Roman" w:hAnsi="Times New Roman"/>
          <w:sz w:val="24"/>
          <w:szCs w:val="24"/>
          <w:lang w:val="pl-PL"/>
        </w:rPr>
        <w:t xml:space="preserve"> šokova vrijednosti iz 2014. godine nisu na nivou onih koje su bile zacrtane ciljevima Strategije, kao i to da do ovih ciljnih vrijednosti neće doći </w:t>
      </w:r>
      <w:r w:rsidRPr="00802429">
        <w:rPr>
          <w:rFonts w:ascii="Times New Roman" w:hAnsi="Times New Roman"/>
          <w:sz w:val="24"/>
          <w:szCs w:val="24"/>
          <w:lang w:val="pl-PL"/>
        </w:rPr>
        <w:lastRenderedPageBreak/>
        <w:t>u poslednjoj godini njene realizacije. S druge strane, mora se primjetiti da je ciljna vrijednost prije svega stope zaposlenosti, ali i ostalih osnovnih indikatora, bila preambiciozno postavljena. Ipak, permanentna poboljšanja stopa zaposlenosti dovela su do smanjenje jaza između baznog i ciljanog nivoa usl</w:t>
      </w:r>
      <w:r w:rsidR="00D25F74">
        <w:rPr>
          <w:rFonts w:ascii="Times New Roman" w:hAnsi="Times New Roman"/>
          <w:sz w:val="24"/>
          <w:szCs w:val="24"/>
          <w:lang w:val="pl-PL"/>
        </w:rPr>
        <w:t>ij</w:t>
      </w:r>
      <w:r w:rsidRPr="00802429">
        <w:rPr>
          <w:rFonts w:ascii="Times New Roman" w:hAnsi="Times New Roman"/>
          <w:sz w:val="24"/>
          <w:szCs w:val="24"/>
          <w:lang w:val="pl-PL"/>
        </w:rPr>
        <w:t>ed kumulativnog rasta stope zaposlenosti ukupnog stanovištva radnog uzrasta od 9,8% (4,5 procentnih poena) i još značajnijeg kumulativnog rasta ovog pokazatelja kod ženskog stanovništva radnog uzrasta od 11,3% (4,6 procentnih poena). S obzirom na to da je Strategijom upravo povećanje stope zaposlenosti identifikovano kao jedan od prioriteta, ovakve tendencije govore u prilog usp</w:t>
      </w:r>
      <w:r w:rsidR="000F7A99">
        <w:rPr>
          <w:rFonts w:ascii="Times New Roman" w:hAnsi="Times New Roman"/>
          <w:sz w:val="24"/>
          <w:szCs w:val="24"/>
          <w:lang w:val="pl-PL"/>
        </w:rPr>
        <w:t>j</w:t>
      </w:r>
      <w:r w:rsidRPr="00802429">
        <w:rPr>
          <w:rFonts w:ascii="Times New Roman" w:hAnsi="Times New Roman"/>
          <w:sz w:val="24"/>
          <w:szCs w:val="24"/>
          <w:lang w:val="pl-PL"/>
        </w:rPr>
        <w:t>ešnosti njenog sprovođenja.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Kada je u pitanju stopa nezaposlenosti, mogu se primjetiti </w:t>
      </w:r>
      <w:r w:rsidR="00B36624">
        <w:rPr>
          <w:rFonts w:ascii="Times New Roman" w:hAnsi="Times New Roman"/>
          <w:sz w:val="24"/>
          <w:szCs w:val="24"/>
          <w:lang w:val="pl-PL"/>
        </w:rPr>
        <w:t>različiti</w:t>
      </w:r>
      <w:r w:rsidRPr="00802429">
        <w:rPr>
          <w:rFonts w:ascii="Times New Roman" w:hAnsi="Times New Roman"/>
          <w:sz w:val="24"/>
          <w:szCs w:val="24"/>
          <w:lang w:val="pl-PL"/>
        </w:rPr>
        <w:t xml:space="preserve"> trendovi u zavisnosti od izvora podataka. Posmatrano prema Anketi o radnoj snazi koju sprovodi MONSTAT i koja je međunarodno uporediva, primjećuje se pozititivan pomak, odnosno smanjenje vrijednosti ovog indikatora. Bez obzira</w:t>
      </w:r>
      <w:r w:rsidR="00052519">
        <w:rPr>
          <w:rFonts w:ascii="Times New Roman" w:hAnsi="Times New Roman"/>
          <w:sz w:val="24"/>
          <w:szCs w:val="24"/>
          <w:lang w:val="pl-PL"/>
        </w:rPr>
        <w:t xml:space="preserve"> na to</w:t>
      </w:r>
      <w:r w:rsidRPr="00802429">
        <w:rPr>
          <w:rFonts w:ascii="Times New Roman" w:hAnsi="Times New Roman"/>
          <w:sz w:val="24"/>
          <w:szCs w:val="24"/>
          <w:lang w:val="pl-PL"/>
        </w:rPr>
        <w:t xml:space="preserve"> što ciljni nivo stope nezaposlenosti kod osoba uzrasta 15-64 godine od 15% nije dostignut, kontinuirani pad ovog pokazatelja uticao je na to da njegova vrijednost sa gotovo 20% opadne na nivo od 18,2%. Sa druge strane, za razliku od anketnih podataka koji ukazuju na pad u stopi nezaposlenosti, registrovana nezaposlenost iz administrativnih izvora bilježila je rast do 2014. godine kada se konačno stabilizovala na vrijednosti od 15%. Ovako visok nivo gotovo je dvostruko veći od planiranih 8%, te je neispunjenje cilja i više nego očigledno. Ipak, različita kretanja istog pokazatelja d</w:t>
      </w:r>
      <w:r w:rsidR="00305A25">
        <w:rPr>
          <w:rFonts w:ascii="Times New Roman" w:hAnsi="Times New Roman"/>
          <w:sz w:val="24"/>
          <w:szCs w:val="24"/>
          <w:lang w:val="pl-PL"/>
        </w:rPr>
        <w:t>j</w:t>
      </w:r>
      <w:r w:rsidRPr="00802429">
        <w:rPr>
          <w:rFonts w:ascii="Times New Roman" w:hAnsi="Times New Roman"/>
          <w:sz w:val="24"/>
          <w:szCs w:val="24"/>
          <w:lang w:val="pl-PL"/>
        </w:rPr>
        <w:t xml:space="preserve">elimično se mogu opravdati time što anketni pristup bilježi i neformalnu i formalnu zaposlenost, a administrativni pristup samo </w:t>
      </w:r>
      <w:r w:rsidR="00B36624">
        <w:rPr>
          <w:rFonts w:ascii="Times New Roman" w:hAnsi="Times New Roman"/>
          <w:sz w:val="24"/>
          <w:szCs w:val="24"/>
          <w:lang w:val="pl-PL"/>
        </w:rPr>
        <w:t>poslednju</w:t>
      </w:r>
      <w:r w:rsidRPr="00802429">
        <w:rPr>
          <w:rFonts w:ascii="Times New Roman" w:hAnsi="Times New Roman"/>
          <w:sz w:val="24"/>
          <w:szCs w:val="24"/>
          <w:lang w:val="pl-PL"/>
        </w:rPr>
        <w:t>, te je različit smjer kretanja u pogledu stope nezaposlenosti sasvim moguć. Dobro je poznato da na veličinu registrovane zaposlenosti mogu da utiču i specifični administrativni kriterijumi evidentiranja i različiti podsticaji, te stoga uvijek prednost treba dati stopi nezaposlenosti izvedenoj iz ekonomskih kriterijuma, a to je anketna stopa.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Takođe, stopa nezaposlenosti mladog stanovništva uzrasta 15-24 godine nije ostvarila svoju ciljnu vrijednost od 28%. Glavni uzrok tome jesu nepovoljna kretanja u prvim godinama primjene strategije kada je ova stopa porasla iznad 40%. Ipak u 2014. godini došlo je do pada vrijednosti ovog pokazatelja na nivo od 35,8%, koji, iako prilično udaljen od predviđene vrijednosti, predstavlja smanjenje stope nezaposlenosti mladih od 3,5% u odnosu na baznu 2011. godinu.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Predviđeno je da ciljna vrijednost učešća dugoročno nezaposlenih lica u ukupnom broju nezaposlenih na kraju implementacionog perioda iznosi 55%. Ipak, ovako ambiciozan cilj nije mogao biti ostvaren u uslovima globalne ekonomske krize, prilikom koje se prilivi u nezaposlenost dodatno povećavaju, a odlivi iz nezaposlenosti redukuju. Negativna makroekonomska kretanja otežala su pronalaženje posla svima, a posebno onima koji su za istim tragali u dužem vremenskom periodu i vremenima ekonomskog napretka. Učešće nezaposlenih koji traže posao više od godinu dana oscilirala je oko bazne </w:t>
      </w:r>
      <w:r w:rsidR="00B17660" w:rsidRPr="00802429">
        <w:rPr>
          <w:rFonts w:ascii="Times New Roman" w:hAnsi="Times New Roman"/>
          <w:sz w:val="24"/>
          <w:szCs w:val="24"/>
          <w:lang w:val="pl-PL"/>
        </w:rPr>
        <w:t>vr</w:t>
      </w:r>
      <w:r w:rsidR="00B17660">
        <w:rPr>
          <w:rFonts w:ascii="Times New Roman" w:hAnsi="Times New Roman"/>
          <w:sz w:val="24"/>
          <w:szCs w:val="24"/>
          <w:lang w:val="pl-PL"/>
        </w:rPr>
        <w:t>ije</w:t>
      </w:r>
      <w:r w:rsidR="00B17660" w:rsidRPr="00802429">
        <w:rPr>
          <w:rFonts w:ascii="Times New Roman" w:hAnsi="Times New Roman"/>
          <w:sz w:val="24"/>
          <w:szCs w:val="24"/>
          <w:lang w:val="pl-PL"/>
        </w:rPr>
        <w:t xml:space="preserve">dnosti </w:t>
      </w:r>
      <w:r w:rsidRPr="00802429">
        <w:rPr>
          <w:rFonts w:ascii="Times New Roman" w:hAnsi="Times New Roman"/>
          <w:sz w:val="24"/>
          <w:szCs w:val="24"/>
          <w:lang w:val="pl-PL"/>
        </w:rPr>
        <w:t xml:space="preserve">od 79,6%, ali je u 2014. godini, prema podacima Ankete o radnoj snazi, ono ipak </w:t>
      </w:r>
      <w:r w:rsidR="00B17660">
        <w:rPr>
          <w:rFonts w:ascii="Times New Roman" w:hAnsi="Times New Roman"/>
          <w:sz w:val="24"/>
          <w:szCs w:val="24"/>
          <w:lang w:val="pl-PL"/>
        </w:rPr>
        <w:t>sniženo</w:t>
      </w:r>
      <w:r w:rsidR="00B17660" w:rsidRPr="00802429">
        <w:rPr>
          <w:rFonts w:ascii="Times New Roman" w:hAnsi="Times New Roman"/>
          <w:sz w:val="24"/>
          <w:szCs w:val="24"/>
          <w:lang w:val="pl-PL"/>
        </w:rPr>
        <w:t xml:space="preserve"> </w:t>
      </w:r>
      <w:r w:rsidRPr="00802429">
        <w:rPr>
          <w:rFonts w:ascii="Times New Roman" w:hAnsi="Times New Roman"/>
          <w:sz w:val="24"/>
          <w:szCs w:val="24"/>
          <w:lang w:val="pl-PL"/>
        </w:rPr>
        <w:t xml:space="preserve">na 77,5% što se može ocijeniti kao mali pozitivan pomak u suzbijanju dugoročne nezaposlenosti.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Kad je r</w:t>
      </w:r>
      <w:r w:rsidR="00B17660">
        <w:rPr>
          <w:rFonts w:ascii="Times New Roman" w:hAnsi="Times New Roman"/>
          <w:sz w:val="24"/>
          <w:szCs w:val="24"/>
          <w:lang w:val="pl-PL"/>
        </w:rPr>
        <w:t>ij</w:t>
      </w:r>
      <w:r w:rsidRPr="00802429">
        <w:rPr>
          <w:rFonts w:ascii="Times New Roman" w:hAnsi="Times New Roman"/>
          <w:sz w:val="24"/>
          <w:szCs w:val="24"/>
          <w:lang w:val="pl-PL"/>
        </w:rPr>
        <w:t xml:space="preserve">eč o rezultatima obrazovnog sistema, došlo je do porasta broja visokoškolaca u uzrastu 25-34 godine. </w:t>
      </w:r>
      <w:r w:rsidR="00332046">
        <w:rPr>
          <w:rFonts w:ascii="Times New Roman" w:hAnsi="Times New Roman"/>
          <w:sz w:val="24"/>
          <w:szCs w:val="24"/>
          <w:lang w:val="pl-PL"/>
        </w:rPr>
        <w:t xml:space="preserve"> Prema podacima MONSTAT-a, u</w:t>
      </w:r>
      <w:r w:rsidRPr="00802429">
        <w:rPr>
          <w:rFonts w:ascii="Times New Roman" w:hAnsi="Times New Roman"/>
          <w:sz w:val="24"/>
          <w:szCs w:val="24"/>
          <w:lang w:val="pl-PL"/>
        </w:rPr>
        <w:t>češće viso</w:t>
      </w:r>
      <w:r w:rsidR="000F7A99">
        <w:rPr>
          <w:rFonts w:ascii="Times New Roman" w:hAnsi="Times New Roman"/>
          <w:sz w:val="24"/>
          <w:szCs w:val="24"/>
          <w:lang w:val="pl-PL"/>
        </w:rPr>
        <w:t>koobrazovanih lica u ukupnom bro</w:t>
      </w:r>
      <w:r w:rsidRPr="00802429">
        <w:rPr>
          <w:rFonts w:ascii="Times New Roman" w:hAnsi="Times New Roman"/>
          <w:sz w:val="24"/>
          <w:szCs w:val="24"/>
          <w:lang w:val="pl-PL"/>
        </w:rPr>
        <w:t>ju lica ove starosne dobi naraslo je sa baznih 25,9% na 32,4% koliko iznosi u 2014. godini. Kumulativni porast od oko 26% nagovještava da je ispunjenje ciljane vrijednosti od 35% u 2015. veoma moguće ukoliko se nastavi pozitivan trend iz prethodnog perioda.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lastRenderedPageBreak/>
        <w:t>Učešće upisane djece u predškolskim ustanovama u odnosu na ukupan broj djece starosti 0-6 godina u konstantnom je porastu. Stalan rast broja novoupisane djece sa jedne, i blagi pad broja stanovnika ovog uzrasta sa druge, glavni su razlozi zbog čega je Strategijom predviđen cilj za 2015. od 30% ispunjen već u 2014. godini. Naime</w:t>
      </w:r>
      <w:r w:rsidR="00B17660">
        <w:rPr>
          <w:rFonts w:ascii="Times New Roman" w:hAnsi="Times New Roman"/>
          <w:sz w:val="24"/>
          <w:szCs w:val="24"/>
          <w:lang w:val="pl-PL"/>
        </w:rPr>
        <w:t>,</w:t>
      </w:r>
      <w:r w:rsidRPr="00802429">
        <w:rPr>
          <w:rFonts w:ascii="Times New Roman" w:hAnsi="Times New Roman"/>
          <w:sz w:val="24"/>
          <w:szCs w:val="24"/>
          <w:lang w:val="pl-PL"/>
        </w:rPr>
        <w:t xml:space="preserve"> pomenuto učešće je sa inicijalnih 25,1% u baznoj 2011. poraslo na 31,1% u 2014. godini. Drugim </w:t>
      </w:r>
      <w:r w:rsidR="00B17660" w:rsidRPr="00802429">
        <w:rPr>
          <w:rFonts w:ascii="Times New Roman" w:hAnsi="Times New Roman"/>
          <w:sz w:val="24"/>
          <w:szCs w:val="24"/>
          <w:lang w:val="pl-PL"/>
        </w:rPr>
        <w:t>r</w:t>
      </w:r>
      <w:r w:rsidR="00B17660">
        <w:rPr>
          <w:rFonts w:ascii="Times New Roman" w:hAnsi="Times New Roman"/>
          <w:sz w:val="24"/>
          <w:szCs w:val="24"/>
          <w:lang w:val="pl-PL"/>
        </w:rPr>
        <w:t>ije</w:t>
      </w:r>
      <w:r w:rsidR="00B17660" w:rsidRPr="00802429">
        <w:rPr>
          <w:rFonts w:ascii="Times New Roman" w:hAnsi="Times New Roman"/>
          <w:sz w:val="24"/>
          <w:szCs w:val="24"/>
          <w:lang w:val="pl-PL"/>
        </w:rPr>
        <w:t>čima</w:t>
      </w:r>
      <w:r w:rsidRPr="00802429">
        <w:rPr>
          <w:rFonts w:ascii="Times New Roman" w:hAnsi="Times New Roman"/>
          <w:sz w:val="24"/>
          <w:szCs w:val="24"/>
          <w:lang w:val="pl-PL"/>
        </w:rPr>
        <w:t>, ostvaren je zapažen kumulativni rast od skoro 24%, koji je sigurno mogao doprin</w:t>
      </w:r>
      <w:r w:rsidR="00B17660">
        <w:rPr>
          <w:rFonts w:ascii="Times New Roman" w:hAnsi="Times New Roman"/>
          <w:sz w:val="24"/>
          <w:szCs w:val="24"/>
          <w:lang w:val="pl-PL"/>
        </w:rPr>
        <w:t>ij</w:t>
      </w:r>
      <w:r w:rsidRPr="00802429">
        <w:rPr>
          <w:rFonts w:ascii="Times New Roman" w:hAnsi="Times New Roman"/>
          <w:sz w:val="24"/>
          <w:szCs w:val="24"/>
          <w:lang w:val="pl-PL"/>
        </w:rPr>
        <w:t xml:space="preserve">eti boljem kombinovanju porodičnih i radnih obaveza i tako </w:t>
      </w:r>
      <w:r w:rsidR="00B17660" w:rsidRPr="00802429">
        <w:rPr>
          <w:rFonts w:ascii="Times New Roman" w:hAnsi="Times New Roman"/>
          <w:sz w:val="24"/>
          <w:szCs w:val="24"/>
          <w:lang w:val="pl-PL"/>
        </w:rPr>
        <w:t>doprin</w:t>
      </w:r>
      <w:r w:rsidR="00B17660">
        <w:rPr>
          <w:rFonts w:ascii="Times New Roman" w:hAnsi="Times New Roman"/>
          <w:sz w:val="24"/>
          <w:szCs w:val="24"/>
          <w:lang w:val="pl-PL"/>
        </w:rPr>
        <w:t>ije</w:t>
      </w:r>
      <w:r w:rsidR="00B17660" w:rsidRPr="00802429">
        <w:rPr>
          <w:rFonts w:ascii="Times New Roman" w:hAnsi="Times New Roman"/>
          <w:sz w:val="24"/>
          <w:szCs w:val="24"/>
          <w:lang w:val="pl-PL"/>
        </w:rPr>
        <w:t xml:space="preserve">ti </w:t>
      </w:r>
      <w:r w:rsidRPr="00802429">
        <w:rPr>
          <w:rFonts w:ascii="Times New Roman" w:hAnsi="Times New Roman"/>
          <w:sz w:val="24"/>
          <w:szCs w:val="24"/>
          <w:lang w:val="pl-PL"/>
        </w:rPr>
        <w:t>i smanjivanju jaza u zaposlenosti žena i muškaraca.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Stopa siromaštva u prvoj godini implementacije zabilježila je znatan porast u odnosu na baznu godinu, najviše zahvaljujući ukupnom padu ekonomske aktivnosti u 2012. godini, međutim iako Strategijom predviđen cilj od 5% u 2015. v</w:t>
      </w:r>
      <w:r w:rsidR="00B15301">
        <w:rPr>
          <w:rFonts w:ascii="Times New Roman" w:hAnsi="Times New Roman"/>
          <w:sz w:val="24"/>
          <w:szCs w:val="24"/>
          <w:lang w:val="pl-PL"/>
        </w:rPr>
        <w:t>j</w:t>
      </w:r>
      <w:r w:rsidRPr="00802429">
        <w:rPr>
          <w:rFonts w:ascii="Times New Roman" w:hAnsi="Times New Roman"/>
          <w:sz w:val="24"/>
          <w:szCs w:val="24"/>
          <w:lang w:val="pl-PL"/>
        </w:rPr>
        <w:t xml:space="preserve">erovatno neće biti dostignut, vrijednost ovog pokazatelja u 2013. godini iznosila je 8,6% što je za oko 7,5% niže od baznog nivoa, tako da se pomak na ovom planu može </w:t>
      </w:r>
      <w:r w:rsidR="00B15301" w:rsidRPr="00802429">
        <w:rPr>
          <w:rFonts w:ascii="Times New Roman" w:hAnsi="Times New Roman"/>
          <w:sz w:val="24"/>
          <w:szCs w:val="24"/>
          <w:lang w:val="pl-PL"/>
        </w:rPr>
        <w:t>oc</w:t>
      </w:r>
      <w:r w:rsidR="00B15301">
        <w:rPr>
          <w:rFonts w:ascii="Times New Roman" w:hAnsi="Times New Roman"/>
          <w:sz w:val="24"/>
          <w:szCs w:val="24"/>
          <w:lang w:val="pl-PL"/>
        </w:rPr>
        <w:t>ije</w:t>
      </w:r>
      <w:r w:rsidR="00B15301" w:rsidRPr="00802429">
        <w:rPr>
          <w:rFonts w:ascii="Times New Roman" w:hAnsi="Times New Roman"/>
          <w:sz w:val="24"/>
          <w:szCs w:val="24"/>
          <w:lang w:val="pl-PL"/>
        </w:rPr>
        <w:t xml:space="preserve">niti </w:t>
      </w:r>
      <w:r w:rsidRPr="00802429">
        <w:rPr>
          <w:rFonts w:ascii="Times New Roman" w:hAnsi="Times New Roman"/>
          <w:sz w:val="24"/>
          <w:szCs w:val="24"/>
          <w:lang w:val="pl-PL"/>
        </w:rPr>
        <w:t>pozitivno.</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Imajući u vidu sve navedeno, može se zaključiti da je opšta ocjena uspješnosti implementacije Strategije</w:t>
      </w:r>
      <w:r w:rsidR="00537360">
        <w:rPr>
          <w:rFonts w:ascii="Times New Roman" w:hAnsi="Times New Roman"/>
          <w:sz w:val="24"/>
          <w:szCs w:val="24"/>
          <w:lang w:val="pl-PL"/>
        </w:rPr>
        <w:t xml:space="preserve"> u osnovi </w:t>
      </w:r>
      <w:r w:rsidRPr="00802429">
        <w:rPr>
          <w:rFonts w:ascii="Times New Roman" w:hAnsi="Times New Roman"/>
          <w:sz w:val="24"/>
          <w:szCs w:val="24"/>
          <w:lang w:val="pl-PL"/>
        </w:rPr>
        <w:t>pozitivna. Tom prilikom treba imati u vidu i činjenicu da je smanjenje agregatne tražnje, kako inostrane tako i domaće, u velikoj m</w:t>
      </w:r>
      <w:r w:rsidR="00B15301">
        <w:rPr>
          <w:rFonts w:ascii="Times New Roman" w:hAnsi="Times New Roman"/>
          <w:sz w:val="24"/>
          <w:szCs w:val="24"/>
          <w:lang w:val="pl-PL"/>
        </w:rPr>
        <w:t>j</w:t>
      </w:r>
      <w:r w:rsidRPr="00802429">
        <w:rPr>
          <w:rFonts w:ascii="Times New Roman" w:hAnsi="Times New Roman"/>
          <w:sz w:val="24"/>
          <w:szCs w:val="24"/>
          <w:lang w:val="pl-PL"/>
        </w:rPr>
        <w:t>eri otežalo realizaciju planiranih ciljeva, koji su i sami bili često preambiciozno, a ponekad i nerealno visoko postavljeni. Takođe, ova konstatacija dobija na značaju posebno ukoliko se uzme u obzir period implementacije strategije i činjenica da je ona kreirana u periodu kada su, nakon inicijalnog pada stope privrednog rasta usl</w:t>
      </w:r>
      <w:r w:rsidR="00D25F74">
        <w:rPr>
          <w:rFonts w:ascii="Times New Roman" w:hAnsi="Times New Roman"/>
          <w:sz w:val="24"/>
          <w:szCs w:val="24"/>
          <w:lang w:val="pl-PL"/>
        </w:rPr>
        <w:t>ij</w:t>
      </w:r>
      <w:r w:rsidRPr="00802429">
        <w:rPr>
          <w:rFonts w:ascii="Times New Roman" w:hAnsi="Times New Roman"/>
          <w:sz w:val="24"/>
          <w:szCs w:val="24"/>
          <w:lang w:val="pl-PL"/>
        </w:rPr>
        <w:t>ed globalne ekonomske krize u 2009, ostvarivane pozitivne stope rasta BDP od 2,5% i 3,2%. Jenjavanje negativnih uticaja koji su dolazili spolja, doprin</w:t>
      </w:r>
      <w:r w:rsidR="00B15301">
        <w:rPr>
          <w:rFonts w:ascii="Times New Roman" w:hAnsi="Times New Roman"/>
          <w:sz w:val="24"/>
          <w:szCs w:val="24"/>
          <w:lang w:val="pl-PL"/>
        </w:rPr>
        <w:t>ij</w:t>
      </w:r>
      <w:r w:rsidRPr="00802429">
        <w:rPr>
          <w:rFonts w:ascii="Times New Roman" w:hAnsi="Times New Roman"/>
          <w:sz w:val="24"/>
          <w:szCs w:val="24"/>
          <w:lang w:val="pl-PL"/>
        </w:rPr>
        <w:t>elo je tome da ciljevi u okviru Strategije budu ambiciozno i d</w:t>
      </w:r>
      <w:r w:rsidR="00B15301">
        <w:rPr>
          <w:rFonts w:ascii="Times New Roman" w:hAnsi="Times New Roman"/>
          <w:sz w:val="24"/>
          <w:szCs w:val="24"/>
          <w:lang w:val="pl-PL"/>
        </w:rPr>
        <w:t>j</w:t>
      </w:r>
      <w:r w:rsidRPr="00802429">
        <w:rPr>
          <w:rFonts w:ascii="Times New Roman" w:hAnsi="Times New Roman"/>
          <w:sz w:val="24"/>
          <w:szCs w:val="24"/>
          <w:lang w:val="pl-PL"/>
        </w:rPr>
        <w:t>elimično ner</w:t>
      </w:r>
      <w:r w:rsidR="00B826C5">
        <w:rPr>
          <w:rFonts w:ascii="Times New Roman" w:hAnsi="Times New Roman"/>
          <w:sz w:val="24"/>
          <w:szCs w:val="24"/>
          <w:lang w:val="pl-PL"/>
        </w:rPr>
        <w:t>e</w:t>
      </w:r>
      <w:r w:rsidRPr="00802429">
        <w:rPr>
          <w:rFonts w:ascii="Times New Roman" w:hAnsi="Times New Roman"/>
          <w:sz w:val="24"/>
          <w:szCs w:val="24"/>
          <w:lang w:val="pl-PL"/>
        </w:rPr>
        <w:t xml:space="preserve">alno postavljeni. Ipak, drugi talas globalne ekonomske krize, koji je već u 2012. godini uticao na to da privreda Crne Gore ponovo zabilježi negativnu stopu ekonomskog rasta, imao je veliki negativan uticaj na ostvarivanje strategijom zacrtanih ciljeva.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Isto tako</w:t>
      </w:r>
      <w:r w:rsidR="00B15301">
        <w:rPr>
          <w:rFonts w:ascii="Times New Roman" w:hAnsi="Times New Roman"/>
          <w:sz w:val="24"/>
          <w:szCs w:val="24"/>
          <w:lang w:val="pl-PL"/>
        </w:rPr>
        <w:t>,</w:t>
      </w:r>
      <w:r w:rsidRPr="00802429">
        <w:rPr>
          <w:rFonts w:ascii="Times New Roman" w:hAnsi="Times New Roman"/>
          <w:sz w:val="24"/>
          <w:szCs w:val="24"/>
          <w:lang w:val="pl-PL"/>
        </w:rPr>
        <w:t xml:space="preserve"> neophodno je uzeti u obzir i ograničenost primjene aktivne politike tržišta rada u periodu sprovođenja Strategije. Naime, fiskalna ograničenja, koja su proistekla usl</w:t>
      </w:r>
      <w:r w:rsidR="00D25F74">
        <w:rPr>
          <w:rFonts w:ascii="Times New Roman" w:hAnsi="Times New Roman"/>
          <w:sz w:val="24"/>
          <w:szCs w:val="24"/>
          <w:lang w:val="pl-PL"/>
        </w:rPr>
        <w:t>ij</w:t>
      </w:r>
      <w:r w:rsidRPr="00802429">
        <w:rPr>
          <w:rFonts w:ascii="Times New Roman" w:hAnsi="Times New Roman"/>
          <w:sz w:val="24"/>
          <w:szCs w:val="24"/>
          <w:lang w:val="pl-PL"/>
        </w:rPr>
        <w:t>ed ekonomske krize, u značajnoj mjeri smanjila su obim sredstava za standardne aktivne mjere zapošljavanja koje sprovodi Zavod za zapošljavanje, tako da je u 2012. godini za ove svrhe bilo opredijeljeno svega 3,575 mililona eura, u 2013. godini 2,775 miliona eura, a u 2014. 2,856 miliona eura. Dakle, sredstva su bila višestruko manja u odnosu na godine iz pretkriznog perioda, kada se obim sredstava za aktivne mjere kretao i do 12,5 miliona eura.</w:t>
      </w:r>
      <w:r w:rsidR="00053771">
        <w:rPr>
          <w:rFonts w:ascii="Times New Roman" w:hAnsi="Times New Roman"/>
          <w:sz w:val="24"/>
          <w:szCs w:val="24"/>
          <w:lang w:val="pl-PL"/>
        </w:rPr>
        <w:t xml:space="preserve"> S druge strane, uveden je novi </w:t>
      </w:r>
      <w:r w:rsidRPr="00802429">
        <w:rPr>
          <w:rFonts w:ascii="Times New Roman" w:hAnsi="Times New Roman"/>
          <w:sz w:val="24"/>
          <w:szCs w:val="24"/>
          <w:lang w:val="pl-PL"/>
        </w:rPr>
        <w:t>Program stručnog osposobljavanja visokoškolaca, ali je on fokusiran samo na jednu, ma koliko bitnu, od mnogih kategorija nezaposlenih kojima je potrebna podrška aktivne politike zapošljavanja.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Nedavni oporavak i povratak na staze pozitivnog privrednog rasta nagovještava i poboljšanje na tržištu rada, što je posebno vidljivo iz trendova tokom 2014. godine, ali kako se ovo tržište po pravilu sporije oporavlja od ostatka ekonomije, može se očekivati da će efekti krize biti prisutni na crnogorskom tržištu rada i tokom narednog perioda.</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p>
    <w:p w:rsidR="003A3F7F" w:rsidRDefault="003A3F7F" w:rsidP="00A04DFB">
      <w:pPr>
        <w:autoSpaceDE w:val="0"/>
        <w:autoSpaceDN w:val="0"/>
        <w:adjustRightInd w:val="0"/>
        <w:spacing w:after="0" w:line="240" w:lineRule="auto"/>
        <w:jc w:val="center"/>
        <w:rPr>
          <w:rFonts w:ascii="Times New Roman" w:hAnsi="Times New Roman"/>
          <w:sz w:val="24"/>
          <w:szCs w:val="24"/>
          <w:lang w:val="pl-PL"/>
        </w:rPr>
      </w:pPr>
    </w:p>
    <w:p w:rsidR="003A3F7F" w:rsidRDefault="003A3F7F" w:rsidP="00A04DFB">
      <w:pPr>
        <w:autoSpaceDE w:val="0"/>
        <w:autoSpaceDN w:val="0"/>
        <w:adjustRightInd w:val="0"/>
        <w:spacing w:after="0" w:line="240" w:lineRule="auto"/>
        <w:jc w:val="center"/>
        <w:rPr>
          <w:rFonts w:ascii="Times New Roman" w:hAnsi="Times New Roman"/>
          <w:sz w:val="24"/>
          <w:szCs w:val="24"/>
          <w:lang w:val="pl-PL"/>
        </w:rPr>
      </w:pPr>
    </w:p>
    <w:p w:rsidR="003A3F7F" w:rsidRDefault="003A3F7F" w:rsidP="00A04DFB">
      <w:pPr>
        <w:autoSpaceDE w:val="0"/>
        <w:autoSpaceDN w:val="0"/>
        <w:adjustRightInd w:val="0"/>
        <w:spacing w:after="0" w:line="240" w:lineRule="auto"/>
        <w:jc w:val="center"/>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lastRenderedPageBreak/>
        <w:t xml:space="preserve">Tabela 1 - Pokazatelji uspješnosti sprovođenja NSZ 2012-2015. </w:t>
      </w:r>
      <w:r w:rsidRPr="00802429">
        <w:rPr>
          <w:rStyle w:val="FootnoteReference"/>
          <w:rFonts w:ascii="Times New Roman" w:hAnsi="Times New Roman"/>
          <w:sz w:val="24"/>
          <w:szCs w:val="24"/>
          <w:lang w:val="pl-PL"/>
        </w:rPr>
        <w:footnoteReference w:id="2"/>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990"/>
        <w:gridCol w:w="990"/>
        <w:gridCol w:w="990"/>
        <w:gridCol w:w="1080"/>
        <w:gridCol w:w="1080"/>
      </w:tblGrid>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Pokazatelj iz Strategije</w:t>
            </w:r>
          </w:p>
        </w:tc>
        <w:tc>
          <w:tcPr>
            <w:tcW w:w="990"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Cilj</w:t>
            </w:r>
          </w:p>
        </w:tc>
        <w:tc>
          <w:tcPr>
            <w:tcW w:w="990"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2011.</w:t>
            </w:r>
          </w:p>
        </w:tc>
        <w:tc>
          <w:tcPr>
            <w:tcW w:w="990"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2012.</w:t>
            </w:r>
          </w:p>
        </w:tc>
        <w:tc>
          <w:tcPr>
            <w:tcW w:w="1080"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2013.</w:t>
            </w:r>
          </w:p>
        </w:tc>
        <w:tc>
          <w:tcPr>
            <w:tcW w:w="1080"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2014.</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 xml:space="preserve">Stopa zaposlenosti </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(15-64)</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60%</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45,9%</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47%</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47,4%</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50,4%</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 xml:space="preserve">Stopa zaposlenosti žena </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(15-64)</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50%</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40,7%</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41,6%</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42,8%</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45,3%</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Stopa nezaposlenosti</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(15-64)</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19,9%</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19,7%</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19,6%</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18,2%</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Stopa registrovane</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nezaposlenosti</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8%</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11,6%</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13,5%</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14,9%</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Stopa nezaposlenosti</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mladih (15-24)</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28%</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37,1%</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40,8%</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41,6%</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35,8%</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rPr>
            </w:pPr>
            <w:r w:rsidRPr="00802429">
              <w:rPr>
                <w:rFonts w:ascii="Times New Roman" w:hAnsi="Times New Roman"/>
                <w:sz w:val="24"/>
                <w:szCs w:val="24"/>
              </w:rPr>
              <w:t>Učešće dugoročno nezaposlenih lica u ukupnom broju nezaposlenih</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55%</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79,6%</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79,1%</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82,3%</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77,5%</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Učešće broja samozaposlenih u</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ukupnoj zaposlenosti</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20%</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15,5%</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16,1%</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14,8%</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16,8%</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Učešće visokoškolaca u</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starosnoj grupi od 25-34</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35%</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25,9%</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26,4%</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31.3%</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32,7%</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Broj djece upisane u predškolske ustanove od ukupnog broja djece</w:t>
            </w:r>
          </w:p>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starosti do 6 godina</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30%</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25,1%</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26,2%</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28,7%</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31,1%</w:t>
            </w:r>
          </w:p>
        </w:tc>
      </w:tr>
      <w:tr w:rsidR="00B21EF9" w:rsidRPr="00802429" w:rsidTr="00F46F59">
        <w:tc>
          <w:tcPr>
            <w:tcW w:w="3708" w:type="dxa"/>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Stopa siromaštva</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5%</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9,3%</w:t>
            </w:r>
          </w:p>
        </w:tc>
        <w:tc>
          <w:tcPr>
            <w:tcW w:w="99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11,3%</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r w:rsidRPr="00802429">
              <w:rPr>
                <w:rFonts w:ascii="Times New Roman" w:hAnsi="Times New Roman"/>
                <w:sz w:val="24"/>
                <w:szCs w:val="24"/>
                <w:lang w:val="pl-PL"/>
              </w:rPr>
              <w:t>8,6%</w:t>
            </w:r>
          </w:p>
        </w:tc>
        <w:tc>
          <w:tcPr>
            <w:tcW w:w="1080" w:type="dxa"/>
            <w:vAlign w:val="center"/>
          </w:tcPr>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p>
        </w:tc>
      </w:tr>
    </w:tbl>
    <w:p w:rsidR="00B21EF9" w:rsidRPr="00802429" w:rsidRDefault="00B21EF9" w:rsidP="00A04DFB">
      <w:pPr>
        <w:autoSpaceDE w:val="0"/>
        <w:autoSpaceDN w:val="0"/>
        <w:adjustRightInd w:val="0"/>
        <w:spacing w:after="0" w:line="240" w:lineRule="auto"/>
        <w:jc w:val="center"/>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Najva</w:t>
      </w:r>
      <w:r w:rsidRPr="00802429">
        <w:rPr>
          <w:rFonts w:ascii="Times New Roman" w:hAnsi="Times New Roman"/>
          <w:sz w:val="24"/>
          <w:szCs w:val="24"/>
        </w:rPr>
        <w:t xml:space="preserve">žniji problem s kojim se suočava crnogorsko tržište rada </w:t>
      </w:r>
      <w:r w:rsidRPr="00802429">
        <w:rPr>
          <w:rFonts w:ascii="Times New Roman" w:hAnsi="Times New Roman"/>
          <w:sz w:val="24"/>
          <w:szCs w:val="24"/>
          <w:lang w:val="pl-PL"/>
        </w:rPr>
        <w:t xml:space="preserve"> svakako je niska stopa zaposlenosti koja je uzrokovana visokom stopom nezaposlenosti i izrazito niskom stopom aktivnosti. Štaviše, određene studije</w:t>
      </w:r>
      <w:r w:rsidRPr="00802429">
        <w:rPr>
          <w:rStyle w:val="FootnoteReference"/>
          <w:rFonts w:ascii="Times New Roman" w:hAnsi="Times New Roman"/>
          <w:sz w:val="24"/>
          <w:szCs w:val="24"/>
          <w:lang w:val="pl-PL"/>
        </w:rPr>
        <w:footnoteReference w:id="3"/>
      </w:r>
      <w:r w:rsidRPr="00802429">
        <w:rPr>
          <w:rFonts w:ascii="Times New Roman" w:hAnsi="Times New Roman"/>
          <w:sz w:val="24"/>
          <w:szCs w:val="24"/>
          <w:lang w:val="pl-PL"/>
        </w:rPr>
        <w:t xml:space="preserve"> pokazuju da bi porast stope aktivnosti imao višestruko veće pozitivne efekte na povećanje zaposlenosti od smanjenja stope nezaposlenosti. Prostor za ovakvo poboljšanje postoji, s obzirom na to da je Crna Gora zemlja sa jednom od najmanjih stopa </w:t>
      </w:r>
      <w:r w:rsidR="00537360">
        <w:rPr>
          <w:rFonts w:ascii="Times New Roman" w:hAnsi="Times New Roman"/>
          <w:sz w:val="24"/>
          <w:szCs w:val="24"/>
          <w:lang w:val="pl-PL"/>
        </w:rPr>
        <w:t>aktivnosti</w:t>
      </w:r>
      <w:r w:rsidRPr="00802429">
        <w:rPr>
          <w:rFonts w:ascii="Times New Roman" w:hAnsi="Times New Roman"/>
          <w:sz w:val="24"/>
          <w:szCs w:val="24"/>
          <w:lang w:val="pl-PL"/>
        </w:rPr>
        <w:t xml:space="preserve"> u Evropi.</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Nedovoljna dinamika tržišta rada koja se odlikuje visokim barijerama za ulazak, glavni je razlog visoke nezaposlenosti u Crnoj Gori, što je suprotno uobičajenom mišljenju da je otpuštanje usl</w:t>
      </w:r>
      <w:r w:rsidR="00D25F74">
        <w:rPr>
          <w:rFonts w:ascii="Times New Roman" w:hAnsi="Times New Roman"/>
          <w:sz w:val="24"/>
          <w:szCs w:val="24"/>
          <w:lang w:val="pl-PL"/>
        </w:rPr>
        <w:t>ij</w:t>
      </w:r>
      <w:r w:rsidRPr="00802429">
        <w:rPr>
          <w:rFonts w:ascii="Times New Roman" w:hAnsi="Times New Roman"/>
          <w:sz w:val="24"/>
          <w:szCs w:val="24"/>
          <w:lang w:val="pl-PL"/>
        </w:rPr>
        <w:t>ed recesionih tendencija njen glavni uzrok. Svakako da otpuštanje ima značajnu ulogu, ali je broj onih koji su u Crnoj Gori izgubili posao (ili svojevoljno dali otkaz), manji od broja onih koji prvi put traže posao</w:t>
      </w:r>
      <w:r w:rsidR="00537360">
        <w:rPr>
          <w:rStyle w:val="FootnoteReference"/>
          <w:rFonts w:ascii="Times New Roman" w:hAnsi="Times New Roman"/>
          <w:sz w:val="24"/>
          <w:szCs w:val="24"/>
          <w:lang w:val="pl-PL"/>
        </w:rPr>
        <w:footnoteReference w:id="4"/>
      </w:r>
      <w:r w:rsidRPr="00802429">
        <w:rPr>
          <w:rFonts w:ascii="Times New Roman" w:hAnsi="Times New Roman"/>
          <w:sz w:val="24"/>
          <w:szCs w:val="24"/>
          <w:lang w:val="pl-PL"/>
        </w:rPr>
        <w:t>. Posebno treba istaći problem predugog vremenskog perioda koji je neophodan onima koji prvi put traže posao da ga i pronađu. U ovoj grupi je više od 90% lica koja prvi posao traže duže od godinu dana, a čak 75% onih koji traže posao više od dv</w:t>
      </w:r>
      <w:r w:rsidR="00B15301">
        <w:rPr>
          <w:rFonts w:ascii="Times New Roman" w:hAnsi="Times New Roman"/>
          <w:sz w:val="24"/>
          <w:szCs w:val="24"/>
          <w:lang w:val="pl-PL"/>
        </w:rPr>
        <w:t>ij</w:t>
      </w:r>
      <w:r w:rsidRPr="00802429">
        <w:rPr>
          <w:rFonts w:ascii="Times New Roman" w:hAnsi="Times New Roman"/>
          <w:sz w:val="24"/>
          <w:szCs w:val="24"/>
          <w:lang w:val="pl-PL"/>
        </w:rPr>
        <w:t>e godine.</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Problem neaktivnosti dodatno komplikuje visoko učešće mladih u ovoj kategoriji. Prirodno je da su mladi neaktivni prevashodno zbog školovanja i studiranja, međutim u Crnoj Gori slika je malo kompleksnija. Procenat mladih koji nisu zaposleni, a koji se pritom ne nalaze ni u procesu školovanja, ni u procesu obuke (NEET) iznosi 17%, što je za 5 procentnih poena više nego što iznosi pros</w:t>
      </w:r>
      <w:r w:rsidR="00B15301">
        <w:rPr>
          <w:rFonts w:ascii="Times New Roman" w:hAnsi="Times New Roman"/>
          <w:sz w:val="24"/>
          <w:szCs w:val="24"/>
          <w:lang w:val="pl-PL"/>
        </w:rPr>
        <w:t>j</w:t>
      </w:r>
      <w:r w:rsidRPr="00802429">
        <w:rPr>
          <w:rFonts w:ascii="Times New Roman" w:hAnsi="Times New Roman"/>
          <w:sz w:val="24"/>
          <w:szCs w:val="24"/>
          <w:lang w:val="pl-PL"/>
        </w:rPr>
        <w:t xml:space="preserve">ek EU. </w:t>
      </w:r>
    </w:p>
    <w:p w:rsidR="00B21EF9" w:rsidRPr="00802429" w:rsidRDefault="00B21EF9" w:rsidP="00A04DFB">
      <w:pPr>
        <w:spacing w:after="0" w:line="240" w:lineRule="auto"/>
        <w:jc w:val="both"/>
        <w:rPr>
          <w:rFonts w:ascii="Times New Roman" w:hAnsi="Times New Roman"/>
          <w:i/>
          <w:sz w:val="24"/>
          <w:szCs w:val="24"/>
        </w:rPr>
      </w:pPr>
    </w:p>
    <w:p w:rsidR="00B21EF9" w:rsidRPr="00802429" w:rsidRDefault="00B21EF9" w:rsidP="00A04DFB">
      <w:pPr>
        <w:spacing w:after="0" w:line="240" w:lineRule="auto"/>
        <w:jc w:val="both"/>
        <w:rPr>
          <w:rFonts w:ascii="Times New Roman" w:hAnsi="Times New Roman"/>
          <w:i/>
          <w:sz w:val="24"/>
          <w:szCs w:val="24"/>
        </w:rPr>
      </w:pPr>
    </w:p>
    <w:p w:rsidR="00B21EF9" w:rsidRDefault="006F0FE8" w:rsidP="005343B9">
      <w:pPr>
        <w:pStyle w:val="Heading2"/>
        <w:jc w:val="both"/>
      </w:pPr>
      <w:bookmarkStart w:id="3" w:name="_Toc435454467"/>
      <w:r>
        <w:t xml:space="preserve">1.2 </w:t>
      </w:r>
      <w:r w:rsidR="00B21EF9" w:rsidRPr="00802429">
        <w:t>N</w:t>
      </w:r>
      <w:r w:rsidR="005343B9">
        <w:t>acionalna s</w:t>
      </w:r>
      <w:r w:rsidR="00B21EF9" w:rsidRPr="00802429">
        <w:t>trategija</w:t>
      </w:r>
      <w:r w:rsidR="005343B9">
        <w:t xml:space="preserve"> zapošljavanja i razvoja ljudskih resursa</w:t>
      </w:r>
      <w:r w:rsidR="00B21EF9" w:rsidRPr="00802429">
        <w:t xml:space="preserve"> 2016 -</w:t>
      </w:r>
      <w:r w:rsidR="008B43CD">
        <w:t xml:space="preserve"> </w:t>
      </w:r>
      <w:r w:rsidR="00B21EF9" w:rsidRPr="00802429">
        <w:t>2020</w:t>
      </w:r>
      <w:bookmarkEnd w:id="3"/>
      <w:r w:rsidR="00B21EF9" w:rsidRPr="00802429">
        <w:t xml:space="preserve"> </w:t>
      </w:r>
    </w:p>
    <w:p w:rsidR="00CB4E3F" w:rsidRDefault="00CB4E3F" w:rsidP="00CB4E3F">
      <w:pPr>
        <w:jc w:val="both"/>
        <w:rPr>
          <w:rFonts w:ascii="Times New Roman" w:hAnsi="Times New Roman"/>
          <w:sz w:val="24"/>
          <w:szCs w:val="24"/>
          <w:lang w:val="pl-PL"/>
        </w:rPr>
      </w:pPr>
    </w:p>
    <w:p w:rsidR="00CB4E3F" w:rsidRDefault="00CB4E3F" w:rsidP="00CB4E3F">
      <w:pPr>
        <w:jc w:val="both"/>
        <w:rPr>
          <w:rFonts w:ascii="Times New Roman" w:hAnsi="Times New Roman"/>
          <w:sz w:val="24"/>
          <w:szCs w:val="24"/>
          <w:lang w:val="pl-PL"/>
        </w:rPr>
      </w:pPr>
      <w:r>
        <w:rPr>
          <w:rFonts w:ascii="Times New Roman" w:hAnsi="Times New Roman"/>
          <w:sz w:val="24"/>
          <w:szCs w:val="24"/>
          <w:lang w:val="pl-PL"/>
        </w:rPr>
        <w:t>Nacionalna strategija zapošljavanja i razvoja ljudskih resursa 2016-2020 predstavlja sektorski, doprinos otklanjanju prepreka privrednom rastu Crne Gore i direktan je nastavak  strateškog okvira koji je postavljen Nacionalnom strategijom zapošljavanja i razvoja ljudskih resursa za period 2012-2015. godine. Ovo iz razloga št</w:t>
      </w:r>
      <w:r w:rsidR="002A62B5">
        <w:rPr>
          <w:rFonts w:ascii="Times New Roman" w:hAnsi="Times New Roman"/>
          <w:sz w:val="24"/>
          <w:szCs w:val="24"/>
          <w:lang w:val="pl-PL"/>
        </w:rPr>
        <w:t xml:space="preserve">o je postojeći strateški okvir </w:t>
      </w:r>
      <w:r>
        <w:rPr>
          <w:rFonts w:ascii="Times New Roman" w:hAnsi="Times New Roman"/>
          <w:sz w:val="24"/>
          <w:szCs w:val="24"/>
          <w:lang w:val="pl-PL"/>
        </w:rPr>
        <w:t>zasnovan na međsektorskoj definiciji politike zapošljavanja, koja o</w:t>
      </w:r>
      <w:r w:rsidR="002A62B5">
        <w:rPr>
          <w:rFonts w:ascii="Times New Roman" w:hAnsi="Times New Roman"/>
          <w:sz w:val="24"/>
          <w:szCs w:val="24"/>
          <w:lang w:val="pl-PL"/>
        </w:rPr>
        <w:t>b</w:t>
      </w:r>
      <w:r>
        <w:rPr>
          <w:rFonts w:ascii="Times New Roman" w:hAnsi="Times New Roman"/>
          <w:sz w:val="24"/>
          <w:szCs w:val="24"/>
          <w:lang w:val="pl-PL"/>
        </w:rPr>
        <w:t xml:space="preserve">hvata mjere kako na strani ponude tako i na strani tražnje, razvojne ciljeve </w:t>
      </w:r>
      <w:r w:rsidR="002A62B5">
        <w:rPr>
          <w:rFonts w:ascii="Times New Roman" w:hAnsi="Times New Roman"/>
          <w:sz w:val="24"/>
          <w:szCs w:val="24"/>
          <w:lang w:val="pl-PL"/>
        </w:rPr>
        <w:t xml:space="preserve">politike </w:t>
      </w:r>
      <w:r>
        <w:rPr>
          <w:rFonts w:ascii="Times New Roman" w:hAnsi="Times New Roman"/>
          <w:sz w:val="24"/>
          <w:szCs w:val="24"/>
          <w:lang w:val="pl-PL"/>
        </w:rPr>
        <w:t>zapošljavanja i opšteg razvoja ljudskih resursa.</w:t>
      </w:r>
    </w:p>
    <w:p w:rsidR="00CB4E3F" w:rsidRDefault="003764DE" w:rsidP="00CB4E3F">
      <w:pPr>
        <w:jc w:val="both"/>
        <w:rPr>
          <w:rFonts w:ascii="Times New Roman" w:hAnsi="Times New Roman"/>
          <w:sz w:val="24"/>
          <w:szCs w:val="24"/>
          <w:lang w:val="pl-PL"/>
        </w:rPr>
      </w:pPr>
      <w:r>
        <w:rPr>
          <w:rFonts w:ascii="Times New Roman" w:hAnsi="Times New Roman"/>
          <w:sz w:val="24"/>
          <w:szCs w:val="24"/>
          <w:lang w:val="pl-PL"/>
        </w:rPr>
        <w:t>Strukturno gledano, Nacionalna strategija zapošljavanja i razvoja ljudskih resursa 2016-2020 sadrži četiri prioriteta koji su usko povezani i sprovođenje svakog pojedinačnog prioriteta u velikoj mjeri zavisi od uspjeha ostalih prioriteta.</w:t>
      </w:r>
    </w:p>
    <w:p w:rsidR="00CB4E3F" w:rsidRPr="00CB4E3F" w:rsidRDefault="00CB4E3F" w:rsidP="00CB4E3F"/>
    <w:p w:rsidR="00B21EF9" w:rsidRPr="00802429" w:rsidRDefault="00B21EF9" w:rsidP="00385DEC">
      <w:pPr>
        <w:pStyle w:val="Heading2"/>
      </w:pPr>
      <w:bookmarkStart w:id="4" w:name="_Toc435454468"/>
      <w:r w:rsidRPr="00802429">
        <w:t>1.</w:t>
      </w:r>
      <w:r w:rsidR="00CD3084">
        <w:t>2.1</w:t>
      </w:r>
      <w:r w:rsidRPr="00802429">
        <w:t xml:space="preserve"> Opšti cilj Nacionalne strategije zapošljavanja i razvoja ljudskih resursa za period 2016-2020 i njeni prioriteti</w:t>
      </w:r>
      <w:bookmarkEnd w:id="4"/>
    </w:p>
    <w:p w:rsidR="00B21EF9" w:rsidRPr="003764DE" w:rsidRDefault="00B21EF9" w:rsidP="00A04DFB">
      <w:pPr>
        <w:spacing w:after="0" w:line="240" w:lineRule="auto"/>
        <w:jc w:val="both"/>
        <w:rPr>
          <w:rFonts w:ascii="Times New Roman" w:hAnsi="Times New Roman"/>
          <w:sz w:val="24"/>
          <w:szCs w:val="24"/>
        </w:rPr>
      </w:pPr>
    </w:p>
    <w:p w:rsidR="00B21EF9" w:rsidRPr="003764DE" w:rsidRDefault="003764DE" w:rsidP="00A04DFB">
      <w:pPr>
        <w:spacing w:after="0" w:line="240" w:lineRule="auto"/>
        <w:jc w:val="both"/>
        <w:rPr>
          <w:rFonts w:ascii="Times New Roman" w:hAnsi="Times New Roman"/>
          <w:sz w:val="24"/>
          <w:szCs w:val="24"/>
        </w:rPr>
      </w:pPr>
      <w:r w:rsidRPr="003764DE">
        <w:rPr>
          <w:rFonts w:ascii="Times New Roman" w:hAnsi="Times New Roman"/>
          <w:sz w:val="24"/>
          <w:szCs w:val="24"/>
        </w:rPr>
        <w:t>Opšti cilj strategije je</w:t>
      </w:r>
      <w:r>
        <w:rPr>
          <w:rFonts w:ascii="Times New Roman" w:hAnsi="Times New Roman"/>
          <w:sz w:val="24"/>
          <w:szCs w:val="24"/>
        </w:rPr>
        <w:t xml:space="preserve"> </w:t>
      </w:r>
      <w:r w:rsidR="00B21EF9" w:rsidRPr="00960630">
        <w:rPr>
          <w:rFonts w:ascii="Times New Roman" w:hAnsi="Times New Roman"/>
          <w:b/>
          <w:sz w:val="24"/>
          <w:szCs w:val="24"/>
        </w:rPr>
        <w:t>„Stvaranje optimalnih uslova za rast zaposlenosti i unapređenje ljudskih resursa u Crnoj Gori“</w:t>
      </w:r>
      <w:r w:rsidR="00806F8D" w:rsidRPr="00960630">
        <w:rPr>
          <w:rFonts w:ascii="Times New Roman" w:hAnsi="Times New Roman"/>
          <w:b/>
          <w:sz w:val="24"/>
          <w:szCs w:val="24"/>
        </w:rPr>
        <w:t>,</w:t>
      </w:r>
      <w:r w:rsidR="00806F8D">
        <w:rPr>
          <w:rFonts w:ascii="Times New Roman" w:hAnsi="Times New Roman"/>
          <w:sz w:val="24"/>
          <w:szCs w:val="24"/>
        </w:rPr>
        <w:t xml:space="preserve"> </w:t>
      </w:r>
      <w:r w:rsidR="002247E3">
        <w:rPr>
          <w:rFonts w:ascii="Times New Roman" w:hAnsi="Times New Roman"/>
          <w:sz w:val="24"/>
          <w:szCs w:val="24"/>
        </w:rPr>
        <w:t xml:space="preserve">i za </w:t>
      </w:r>
      <w:r w:rsidR="00E35B41">
        <w:rPr>
          <w:rFonts w:ascii="Times New Roman" w:hAnsi="Times New Roman"/>
          <w:sz w:val="24"/>
          <w:szCs w:val="24"/>
        </w:rPr>
        <w:t>njegovu realizaciju definisana četiri prioriteta.</w:t>
      </w:r>
      <w:r w:rsidR="00806F8D">
        <w:rPr>
          <w:rFonts w:ascii="Times New Roman" w:hAnsi="Times New Roman"/>
          <w:sz w:val="24"/>
          <w:szCs w:val="24"/>
        </w:rPr>
        <w:t xml:space="preserve"> </w:t>
      </w:r>
    </w:p>
    <w:p w:rsidR="0043596D" w:rsidRDefault="0043596D" w:rsidP="00A04DFB">
      <w:pPr>
        <w:spacing w:after="0" w:line="240" w:lineRule="auto"/>
        <w:jc w:val="both"/>
        <w:rPr>
          <w:rFonts w:ascii="Times New Roman" w:hAnsi="Times New Roman"/>
          <w:b/>
          <w:i/>
          <w:sz w:val="24"/>
          <w:szCs w:val="24"/>
        </w:rPr>
      </w:pPr>
    </w:p>
    <w:p w:rsidR="0043596D" w:rsidRPr="00802429" w:rsidRDefault="0043596D" w:rsidP="00A04DFB">
      <w:pPr>
        <w:spacing w:after="0" w:line="240" w:lineRule="auto"/>
        <w:jc w:val="both"/>
        <w:rPr>
          <w:rFonts w:ascii="Times New Roman" w:hAnsi="Times New Roman"/>
          <w:b/>
          <w:i/>
          <w:sz w:val="24"/>
          <w:szCs w:val="24"/>
        </w:rPr>
      </w:pPr>
    </w:p>
    <w:p w:rsidR="00B21EF9" w:rsidRPr="00802429" w:rsidRDefault="00823FF9" w:rsidP="00A04DFB">
      <w:pPr>
        <w:spacing w:after="0" w:line="240" w:lineRule="auto"/>
        <w:jc w:val="both"/>
        <w:rPr>
          <w:rFonts w:ascii="Times New Roman" w:hAnsi="Times New Roman"/>
          <w:i/>
          <w:sz w:val="24"/>
          <w:szCs w:val="24"/>
        </w:rPr>
      </w:pPr>
      <w:r w:rsidRPr="00823FF9">
        <w:rPr>
          <w:rFonts w:ascii="Times New Roman" w:hAnsi="Times New Roman"/>
          <w:b/>
          <w:i/>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1.2pt;margin-top:6pt;width:423.75pt;height:48.75pt;z-index:251658240;mso-width-relative:margin;mso-height-relative:margin" fillcolor="#92cddc [1944]" strokecolor="#4bacc6 [3208]" strokeweight="1pt">
            <v:fill color2="#4bacc6 [3208]" focus="50%" type="gradient"/>
            <v:imagedata embosscolor="shadow add(51)"/>
            <v:shadow on="t" type="perspective" color="#205867 [1608]" offset="1pt" offset2="-3pt"/>
            <v:textbox style="mso-next-textbox:#_x0000_s1026">
              <w:txbxContent>
                <w:p w:rsidR="008862B3" w:rsidRPr="00186199" w:rsidRDefault="008862B3" w:rsidP="008862B3">
                  <w:pPr>
                    <w:spacing w:after="200" w:line="276" w:lineRule="auto"/>
                    <w:jc w:val="center"/>
                    <w:rPr>
                      <w:b/>
                      <w:sz w:val="28"/>
                      <w:szCs w:val="28"/>
                    </w:rPr>
                  </w:pPr>
                  <w:r w:rsidRPr="00186199">
                    <w:rPr>
                      <w:b/>
                      <w:bCs/>
                      <w:i/>
                      <w:iCs/>
                      <w:sz w:val="28"/>
                      <w:szCs w:val="28"/>
                    </w:rPr>
                    <w:t>Stvaranje optimalnih uslova za rast zaposlenosti i unapređenje ljudskih resursa u Crnoj Gori</w:t>
                  </w:r>
                </w:p>
                <w:p w:rsidR="008862B3" w:rsidRPr="00867BF5" w:rsidRDefault="008862B3" w:rsidP="008862B3"/>
              </w:txbxContent>
            </v:textbox>
          </v:shape>
        </w:pict>
      </w:r>
    </w:p>
    <w:p w:rsidR="00E35B41" w:rsidRDefault="00E35B41" w:rsidP="00E35B41">
      <w:pPr>
        <w:spacing w:after="0"/>
        <w:jc w:val="both"/>
        <w:rPr>
          <w:rFonts w:ascii="Times New Roman" w:hAnsi="Times New Roman"/>
          <w:i/>
          <w:sz w:val="24"/>
          <w:szCs w:val="24"/>
        </w:rPr>
      </w:pPr>
    </w:p>
    <w:p w:rsidR="00E35B41" w:rsidRDefault="00E35B41" w:rsidP="00E35B41">
      <w:pPr>
        <w:spacing w:after="0"/>
        <w:jc w:val="both"/>
        <w:rPr>
          <w:rFonts w:ascii="Times New Roman" w:hAnsi="Times New Roman"/>
          <w:i/>
          <w:sz w:val="24"/>
          <w:szCs w:val="24"/>
        </w:rPr>
      </w:pPr>
    </w:p>
    <w:p w:rsidR="008862B3" w:rsidRDefault="008862B3" w:rsidP="00E35B41">
      <w:pPr>
        <w:spacing w:after="0"/>
        <w:jc w:val="both"/>
        <w:rPr>
          <w:rFonts w:ascii="Times New Roman" w:hAnsi="Times New Roman"/>
          <w:sz w:val="24"/>
          <w:szCs w:val="24"/>
        </w:rPr>
      </w:pPr>
    </w:p>
    <w:p w:rsidR="008862B3" w:rsidRDefault="00823FF9" w:rsidP="00E35B41">
      <w:pPr>
        <w:spacing w:after="0"/>
        <w:jc w:val="both"/>
        <w:rPr>
          <w:rFonts w:ascii="Times New Roman" w:hAnsi="Times New Roman"/>
          <w:sz w:val="24"/>
          <w:szCs w:val="24"/>
        </w:rPr>
      </w:pPr>
      <w:r>
        <w:rPr>
          <w:rFonts w:ascii="Times New Roman" w:hAnsi="Times New Roman"/>
          <w:noProof/>
          <w:sz w:val="24"/>
          <w:szCs w:val="24"/>
          <w:lang w:val="en-US"/>
        </w:rPr>
        <w:pict>
          <v:shape id="_x0000_s1028" type="#_x0000_t202" style="position:absolute;left:0;text-align:left;margin-left:225.7pt;margin-top:14.3pt;width:157.05pt;height:89.25pt;z-index:251660288;mso-width-relative:margin;mso-height-relative:margin" fillcolor="#92cddc [1944]" strokecolor="#92cddc [1944]" strokeweight="1pt">
            <v:fill color2="#daeef3 [664]" angle="-45" focus="-50%" type="gradient"/>
            <v:shadow on="t" type="perspective" color="#205867 [1608]" opacity=".5" offset="1pt" offset2="-3pt"/>
            <v:textbox>
              <w:txbxContent>
                <w:p w:rsidR="008862B3" w:rsidRPr="00925200" w:rsidRDefault="008862B3" w:rsidP="008862B3">
                  <w:pPr>
                    <w:spacing w:after="200" w:line="276" w:lineRule="auto"/>
                    <w:ind w:left="720"/>
                    <w:rPr>
                      <w:rFonts w:asciiTheme="minorHAnsi" w:eastAsiaTheme="minorEastAsia" w:hAnsiTheme="minorHAnsi" w:cstheme="minorBidi"/>
                      <w:sz w:val="24"/>
                      <w:szCs w:val="24"/>
                    </w:rPr>
                  </w:pPr>
                  <w:r w:rsidRPr="00925200">
                    <w:rPr>
                      <w:rFonts w:asciiTheme="minorHAnsi" w:eastAsiaTheme="minorEastAsia" w:hAnsiTheme="minorHAnsi" w:cstheme="minorBidi"/>
                      <w:b/>
                      <w:bCs/>
                      <w:sz w:val="24"/>
                      <w:szCs w:val="24"/>
                    </w:rPr>
                    <w:t>Prioritet 2:</w:t>
                  </w:r>
                </w:p>
                <w:p w:rsidR="008862B3" w:rsidRPr="00186199" w:rsidRDefault="008862B3" w:rsidP="008862B3">
                  <w:pPr>
                    <w:spacing w:after="200" w:line="276" w:lineRule="auto"/>
                    <w:ind w:left="360"/>
                    <w:jc w:val="center"/>
                    <w:rPr>
                      <w:sz w:val="24"/>
                      <w:szCs w:val="24"/>
                    </w:rPr>
                  </w:pPr>
                  <w:r w:rsidRPr="00186199">
                    <w:rPr>
                      <w:bCs/>
                      <w:sz w:val="24"/>
                      <w:szCs w:val="24"/>
                    </w:rPr>
                    <w:t>Efikasno funkcionisanje tržišta rada</w:t>
                  </w:r>
                </w:p>
                <w:p w:rsidR="008862B3" w:rsidRPr="00186199" w:rsidRDefault="008862B3" w:rsidP="008862B3"/>
              </w:txbxContent>
            </v:textbox>
          </v:shape>
        </w:pict>
      </w:r>
      <w:r>
        <w:rPr>
          <w:rFonts w:ascii="Times New Roman" w:hAnsi="Times New Roman"/>
          <w:noProof/>
          <w:sz w:val="24"/>
          <w:szCs w:val="24"/>
          <w:lang w:val="en-US"/>
        </w:rPr>
        <w:pict>
          <v:shape id="_x0000_s1027" type="#_x0000_t202" style="position:absolute;left:0;text-align:left;margin-left:29.7pt;margin-top:14.3pt;width:157.05pt;height:89.25pt;z-index:251659264;mso-width-relative:margin;mso-height-relative:margin" fillcolor="#92cddc [1944]" strokecolor="#92cddc [1944]" strokeweight="1pt">
            <v:fill color2="#daeef3 [664]" angle="-45" focus="-50%" type="gradient"/>
            <v:shadow on="t" type="perspective" color="#205867 [1608]" opacity=".5" offset="1pt" offset2="-3pt"/>
            <v:textbox style="mso-next-textbox:#_x0000_s1027">
              <w:txbxContent>
                <w:p w:rsidR="008862B3" w:rsidRPr="00925200" w:rsidRDefault="008862B3" w:rsidP="008862B3">
                  <w:pPr>
                    <w:spacing w:after="200" w:line="276" w:lineRule="auto"/>
                    <w:jc w:val="center"/>
                    <w:rPr>
                      <w:rFonts w:asciiTheme="minorHAnsi" w:eastAsiaTheme="minorEastAsia" w:hAnsiTheme="minorHAnsi" w:cstheme="minorBidi"/>
                      <w:sz w:val="24"/>
                      <w:szCs w:val="24"/>
                    </w:rPr>
                  </w:pPr>
                  <w:r w:rsidRPr="00925200">
                    <w:rPr>
                      <w:rFonts w:asciiTheme="minorHAnsi" w:eastAsiaTheme="minorEastAsia" w:hAnsiTheme="minorHAnsi" w:cstheme="minorBidi"/>
                      <w:b/>
                      <w:bCs/>
                      <w:sz w:val="24"/>
                      <w:szCs w:val="24"/>
                    </w:rPr>
                    <w:t>Prioritet 1:</w:t>
                  </w:r>
                </w:p>
                <w:p w:rsidR="008862B3" w:rsidRPr="00186199" w:rsidRDefault="008862B3" w:rsidP="008862B3">
                  <w:pPr>
                    <w:spacing w:after="200" w:line="276" w:lineRule="auto"/>
                    <w:ind w:left="360"/>
                    <w:jc w:val="center"/>
                    <w:rPr>
                      <w:sz w:val="24"/>
                      <w:szCs w:val="24"/>
                    </w:rPr>
                  </w:pPr>
                  <w:r w:rsidRPr="00186199">
                    <w:rPr>
                      <w:bCs/>
                      <w:sz w:val="24"/>
                      <w:szCs w:val="24"/>
                    </w:rPr>
                    <w:t>Povećanje zaposlenosti. Smanjenje stope nezaposlenosti</w:t>
                  </w:r>
                </w:p>
                <w:p w:rsidR="008862B3" w:rsidRDefault="008862B3" w:rsidP="008862B3"/>
              </w:txbxContent>
            </v:textbox>
          </v:shape>
        </w:pict>
      </w: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23FF9" w:rsidP="00E35B41">
      <w:pPr>
        <w:spacing w:after="0"/>
        <w:jc w:val="both"/>
        <w:rPr>
          <w:rFonts w:ascii="Times New Roman" w:hAnsi="Times New Roman"/>
          <w:sz w:val="24"/>
          <w:szCs w:val="24"/>
        </w:rPr>
      </w:pPr>
      <w:r>
        <w:rPr>
          <w:rFonts w:ascii="Times New Roman" w:hAnsi="Times New Roman"/>
          <w:noProof/>
          <w:sz w:val="24"/>
          <w:szCs w:val="24"/>
          <w:lang w:val="en-US"/>
        </w:rPr>
        <w:pict>
          <v:shape id="_x0000_s1030" type="#_x0000_t202" style="position:absolute;left:0;text-align:left;margin-left:225.7pt;margin-top:6.9pt;width:157.05pt;height:89.25pt;z-index:251662336;mso-width-relative:margin;mso-height-relative:margin" fillcolor="#92cddc [1944]" strokecolor="#92cddc [1944]" strokeweight="1pt">
            <v:fill color2="#daeef3 [664]" angle="-45" focus="-50%" type="gradient"/>
            <v:shadow on="t" type="perspective" color="#205867 [1608]" opacity=".5" offset="1pt" offset2="-3pt"/>
            <v:textbox style="mso-next-textbox:#_x0000_s1030">
              <w:txbxContent>
                <w:p w:rsidR="008862B3" w:rsidRPr="00925200" w:rsidRDefault="008862B3" w:rsidP="008862B3">
                  <w:pPr>
                    <w:spacing w:after="200" w:line="276" w:lineRule="auto"/>
                    <w:ind w:left="720"/>
                    <w:rPr>
                      <w:rFonts w:asciiTheme="minorHAnsi" w:eastAsiaTheme="minorEastAsia" w:hAnsiTheme="minorHAnsi" w:cstheme="minorBidi"/>
                      <w:sz w:val="24"/>
                      <w:szCs w:val="24"/>
                    </w:rPr>
                  </w:pPr>
                  <w:r w:rsidRPr="00925200">
                    <w:rPr>
                      <w:rFonts w:asciiTheme="minorHAnsi" w:eastAsiaTheme="minorEastAsia" w:hAnsiTheme="minorHAnsi" w:cstheme="minorBidi"/>
                      <w:b/>
                      <w:bCs/>
                      <w:sz w:val="24"/>
                      <w:szCs w:val="24"/>
                    </w:rPr>
                    <w:t>Prioritet 4.</w:t>
                  </w:r>
                </w:p>
                <w:p w:rsidR="008862B3" w:rsidRPr="00186199" w:rsidRDefault="008862B3" w:rsidP="008862B3">
                  <w:pPr>
                    <w:spacing w:after="200" w:line="276" w:lineRule="auto"/>
                    <w:jc w:val="center"/>
                    <w:rPr>
                      <w:sz w:val="24"/>
                      <w:szCs w:val="24"/>
                    </w:rPr>
                  </w:pPr>
                  <w:r w:rsidRPr="00186199">
                    <w:rPr>
                      <w:bCs/>
                      <w:sz w:val="24"/>
                      <w:szCs w:val="24"/>
                    </w:rPr>
                    <w:t>Promovisanje socijalne inkluzije i  smanjenje siromaštva</w:t>
                  </w:r>
                </w:p>
                <w:p w:rsidR="008862B3" w:rsidRDefault="008862B3" w:rsidP="008862B3"/>
              </w:txbxContent>
            </v:textbox>
          </v:shape>
        </w:pict>
      </w:r>
      <w:r>
        <w:rPr>
          <w:rFonts w:ascii="Times New Roman" w:hAnsi="Times New Roman"/>
          <w:noProof/>
          <w:sz w:val="24"/>
          <w:szCs w:val="24"/>
          <w:lang w:val="en-US"/>
        </w:rPr>
        <w:pict>
          <v:shape id="_x0000_s1029" type="#_x0000_t202" style="position:absolute;left:0;text-align:left;margin-left:29.7pt;margin-top:6.9pt;width:157.05pt;height:89.25pt;z-index:251661312;mso-width-relative:margin;mso-height-relative:margin" fillcolor="#92cddc [1944]" strokecolor="#92cddc [1944]" strokeweight="1pt">
            <v:fill color2="#daeef3 [664]" angle="-45" focus="-50%" type="gradient"/>
            <v:shadow on="t" type="perspective" color="#205867 [1608]" opacity=".5" offset="1pt" offset2="-3pt"/>
            <v:textbox>
              <w:txbxContent>
                <w:p w:rsidR="008862B3" w:rsidRPr="00925200" w:rsidRDefault="008862B3" w:rsidP="008862B3">
                  <w:pPr>
                    <w:spacing w:after="200" w:line="276" w:lineRule="auto"/>
                    <w:jc w:val="center"/>
                    <w:rPr>
                      <w:rFonts w:asciiTheme="minorHAnsi" w:eastAsiaTheme="minorEastAsia" w:hAnsiTheme="minorHAnsi" w:cstheme="minorBidi"/>
                      <w:sz w:val="24"/>
                      <w:szCs w:val="24"/>
                    </w:rPr>
                  </w:pPr>
                  <w:r w:rsidRPr="00925200">
                    <w:rPr>
                      <w:rFonts w:asciiTheme="minorHAnsi" w:eastAsiaTheme="minorEastAsia" w:hAnsiTheme="minorHAnsi" w:cstheme="minorBidi"/>
                      <w:b/>
                      <w:bCs/>
                      <w:sz w:val="24"/>
                      <w:szCs w:val="24"/>
                    </w:rPr>
                    <w:t>Prioritet 3:</w:t>
                  </w:r>
                </w:p>
                <w:p w:rsidR="008862B3" w:rsidRPr="00186199" w:rsidRDefault="008862B3" w:rsidP="008862B3">
                  <w:pPr>
                    <w:spacing w:after="200" w:line="276" w:lineRule="auto"/>
                    <w:jc w:val="both"/>
                    <w:rPr>
                      <w:sz w:val="24"/>
                      <w:szCs w:val="24"/>
                    </w:rPr>
                  </w:pPr>
                  <w:r w:rsidRPr="00186199">
                    <w:rPr>
                      <w:bCs/>
                      <w:sz w:val="24"/>
                      <w:szCs w:val="24"/>
                    </w:rPr>
                    <w:t>Unapređenje kvalifikacija i kompetencija usklađenih sa potrebama tržišta rada</w:t>
                  </w:r>
                </w:p>
                <w:p w:rsidR="008862B3" w:rsidRDefault="008862B3" w:rsidP="008862B3"/>
              </w:txbxContent>
            </v:textbox>
          </v:shape>
        </w:pict>
      </w: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8862B3" w:rsidRDefault="008862B3" w:rsidP="00E35B41">
      <w:pPr>
        <w:spacing w:after="0"/>
        <w:jc w:val="both"/>
        <w:rPr>
          <w:rFonts w:ascii="Times New Roman" w:hAnsi="Times New Roman"/>
          <w:sz w:val="24"/>
          <w:szCs w:val="24"/>
        </w:rPr>
      </w:pPr>
    </w:p>
    <w:p w:rsidR="00E35B41" w:rsidRPr="00E35B41" w:rsidRDefault="00E35B41" w:rsidP="00E35B41">
      <w:pPr>
        <w:spacing w:after="0"/>
        <w:jc w:val="both"/>
        <w:rPr>
          <w:rFonts w:ascii="Times New Roman" w:hAnsi="Times New Roman"/>
          <w:sz w:val="24"/>
          <w:szCs w:val="24"/>
        </w:rPr>
      </w:pPr>
      <w:r w:rsidRPr="00E35B41">
        <w:rPr>
          <w:rFonts w:ascii="Times New Roman" w:hAnsi="Times New Roman"/>
          <w:sz w:val="24"/>
          <w:szCs w:val="24"/>
        </w:rPr>
        <w:lastRenderedPageBreak/>
        <w:t xml:space="preserve">Prvi prioritet,  </w:t>
      </w:r>
      <w:r w:rsidRPr="00E35B41">
        <w:rPr>
          <w:rFonts w:ascii="Times New Roman" w:hAnsi="Times New Roman"/>
          <w:b/>
          <w:i/>
          <w:sz w:val="24"/>
          <w:szCs w:val="24"/>
        </w:rPr>
        <w:t>Povećanje zaposlenosti. Smanjenje stope nezaposlenosti</w:t>
      </w:r>
      <w:r w:rsidRPr="00E35B41">
        <w:rPr>
          <w:rFonts w:ascii="Times New Roman" w:hAnsi="Times New Roman"/>
          <w:sz w:val="24"/>
          <w:szCs w:val="24"/>
        </w:rPr>
        <w:t>, odnosi se na unapređenje poslovnog okruženja, porast konkurentnosti i jačanje makroekonomske stabilnosti u cilju ubrzanja privrednog rasta kao glavnog generatora rasta zaposlenosti. Takođe, odnosi se na mjere aktivne politike zapošljavanja koje su usmjerene prema većoj efikasnosti tržišta rada, uključujući i jačanje kapaciteta Zavoda za zapošljavanje.</w:t>
      </w:r>
    </w:p>
    <w:p w:rsidR="00AF447C" w:rsidRDefault="00E35B41" w:rsidP="00AF447C">
      <w:pPr>
        <w:jc w:val="both"/>
        <w:rPr>
          <w:rFonts w:ascii="Times New Roman" w:hAnsi="Times New Roman"/>
          <w:sz w:val="24"/>
          <w:szCs w:val="24"/>
        </w:rPr>
      </w:pPr>
      <w:r w:rsidRPr="00E35B41">
        <w:rPr>
          <w:rFonts w:ascii="Times New Roman" w:hAnsi="Times New Roman"/>
          <w:sz w:val="24"/>
          <w:szCs w:val="24"/>
        </w:rPr>
        <w:t>Drugi</w:t>
      </w:r>
      <w:r>
        <w:rPr>
          <w:rFonts w:ascii="Times New Roman" w:hAnsi="Times New Roman"/>
          <w:sz w:val="24"/>
          <w:szCs w:val="24"/>
        </w:rPr>
        <w:t xml:space="preserve"> prioritet,</w:t>
      </w:r>
      <w:r w:rsidRPr="00E35B41">
        <w:t xml:space="preserve"> </w:t>
      </w:r>
      <w:r w:rsidRPr="00E35B41">
        <w:rPr>
          <w:rFonts w:ascii="Times New Roman" w:hAnsi="Times New Roman"/>
          <w:b/>
          <w:i/>
          <w:sz w:val="24"/>
          <w:szCs w:val="24"/>
        </w:rPr>
        <w:t>Efikasno funkcionisanje tržišta rada</w:t>
      </w:r>
      <w:r>
        <w:rPr>
          <w:rFonts w:ascii="Times New Roman" w:hAnsi="Times New Roman"/>
          <w:sz w:val="24"/>
          <w:szCs w:val="24"/>
        </w:rPr>
        <w:t xml:space="preserve">, </w:t>
      </w:r>
      <w:r w:rsidRPr="00E35B41">
        <w:rPr>
          <w:rFonts w:ascii="Times New Roman" w:hAnsi="Times New Roman"/>
          <w:sz w:val="24"/>
          <w:szCs w:val="24"/>
        </w:rPr>
        <w:t>odnosi se na promovisanje fleksigurnosti i smanjivanje rigidnosti zakonodavne zaštite zaposlenja, usaglašavanje sa evropskom regulativom politike zapošljavanja i socijalne politike,</w:t>
      </w:r>
      <w:r>
        <w:rPr>
          <w:rFonts w:ascii="Times New Roman" w:hAnsi="Times New Roman"/>
          <w:sz w:val="24"/>
          <w:szCs w:val="24"/>
        </w:rPr>
        <w:t xml:space="preserve"> </w:t>
      </w:r>
      <w:r w:rsidRPr="00E35B41">
        <w:rPr>
          <w:rFonts w:ascii="Times New Roman" w:hAnsi="Times New Roman"/>
          <w:sz w:val="24"/>
          <w:szCs w:val="24"/>
        </w:rPr>
        <w:t>kao i podsticanje formalizacije neformalne zaposlenosti kroz dobro odmjeren balans podsticaja, prevencija i sankcija.</w:t>
      </w:r>
    </w:p>
    <w:p w:rsidR="00E35B41" w:rsidRPr="00E35B41" w:rsidRDefault="00E35B41" w:rsidP="00AF447C">
      <w:pPr>
        <w:jc w:val="both"/>
        <w:rPr>
          <w:rFonts w:ascii="Times New Roman" w:hAnsi="Times New Roman"/>
          <w:sz w:val="24"/>
          <w:szCs w:val="24"/>
        </w:rPr>
      </w:pPr>
      <w:r>
        <w:rPr>
          <w:rFonts w:ascii="Times New Roman" w:hAnsi="Times New Roman"/>
          <w:sz w:val="24"/>
          <w:szCs w:val="24"/>
        </w:rPr>
        <w:t xml:space="preserve">Prioritet </w:t>
      </w:r>
      <w:r w:rsidRPr="00E35B41">
        <w:rPr>
          <w:rFonts w:ascii="Times New Roman" w:hAnsi="Times New Roman"/>
          <w:b/>
          <w:i/>
          <w:sz w:val="24"/>
          <w:szCs w:val="24"/>
        </w:rPr>
        <w:t>Unapređenje kvalifikacija i kompetencija usklađenih sa potrebama tržišta rada</w:t>
      </w:r>
      <w:r>
        <w:rPr>
          <w:rFonts w:ascii="Times New Roman" w:hAnsi="Times New Roman"/>
          <w:b/>
          <w:i/>
          <w:sz w:val="24"/>
          <w:szCs w:val="24"/>
        </w:rPr>
        <w:t xml:space="preserve">, </w:t>
      </w:r>
      <w:r w:rsidRPr="00E35B41">
        <w:rPr>
          <w:rFonts w:ascii="Times New Roman" w:hAnsi="Times New Roman"/>
          <w:sz w:val="24"/>
          <w:szCs w:val="24"/>
        </w:rPr>
        <w:t>odnosi se na rast produktivnosti i razvoj ljudskih resursa kroz unapređenje znanja, vještina i kompetencija u cilju povećanja mogućnosti zapošljavanja i povećanja konkurentnosti kroz formalno obrazovanje, neformalno učenje i osposobljavanje. Implementacija strateškog cilja trebalo bi da doprinese smanjenju kvalifikacionog jaza (između tekuće tražnje na tržištu rada i znanja i vještina na strani ponude rada).</w:t>
      </w:r>
    </w:p>
    <w:p w:rsidR="00E35B41" w:rsidRPr="00E35B41" w:rsidRDefault="003C3004" w:rsidP="00E35B41">
      <w:pPr>
        <w:spacing w:after="0"/>
        <w:jc w:val="both"/>
        <w:rPr>
          <w:rFonts w:ascii="Times New Roman" w:hAnsi="Times New Roman"/>
          <w:sz w:val="24"/>
          <w:szCs w:val="24"/>
        </w:rPr>
      </w:pPr>
      <w:r w:rsidRPr="003C3004">
        <w:rPr>
          <w:rFonts w:ascii="Times New Roman" w:hAnsi="Times New Roman"/>
          <w:sz w:val="24"/>
          <w:szCs w:val="24"/>
        </w:rPr>
        <w:t>Kroz prioritet</w:t>
      </w:r>
      <w:r>
        <w:rPr>
          <w:rFonts w:ascii="Times New Roman" w:hAnsi="Times New Roman"/>
          <w:b/>
          <w:i/>
          <w:sz w:val="24"/>
          <w:szCs w:val="24"/>
        </w:rPr>
        <w:t xml:space="preserve"> </w:t>
      </w:r>
      <w:r w:rsidRPr="003C3004">
        <w:rPr>
          <w:rFonts w:ascii="Times New Roman" w:hAnsi="Times New Roman"/>
          <w:b/>
          <w:i/>
          <w:sz w:val="24"/>
          <w:szCs w:val="24"/>
        </w:rPr>
        <w:t>Promovisanje socijalne inkluzije i  smanjenje siromaštva</w:t>
      </w:r>
      <w:r>
        <w:rPr>
          <w:rFonts w:ascii="Times New Roman" w:hAnsi="Times New Roman"/>
          <w:sz w:val="24"/>
          <w:szCs w:val="24"/>
        </w:rPr>
        <w:t xml:space="preserve"> </w:t>
      </w:r>
      <w:r w:rsidR="00E35B41" w:rsidRPr="00E35B41">
        <w:rPr>
          <w:rFonts w:ascii="Times New Roman" w:hAnsi="Times New Roman"/>
          <w:sz w:val="24"/>
          <w:szCs w:val="24"/>
        </w:rPr>
        <w:t>djelovaće se na unapređenje sistema socijalnih davanja i socijalnih usluga u cilju bolje pokrivenosti i aktivacije ranjivih grupa, integracije u obrazovanju i zapošljavanju lica sa invaliditetom, kao i na podsticanju uključivanja pripradnika ranjivih grupa na tržište rada.</w:t>
      </w:r>
    </w:p>
    <w:p w:rsidR="0043596D" w:rsidRDefault="0043596D" w:rsidP="00A04DFB">
      <w:pPr>
        <w:spacing w:after="0" w:line="240" w:lineRule="auto"/>
        <w:jc w:val="both"/>
        <w:rPr>
          <w:rFonts w:ascii="Times New Roman" w:hAnsi="Times New Roman"/>
          <w:b/>
          <w:sz w:val="24"/>
          <w:szCs w:val="24"/>
        </w:rPr>
      </w:pPr>
    </w:p>
    <w:p w:rsidR="003764DE" w:rsidRDefault="003764DE" w:rsidP="00A04DFB">
      <w:pPr>
        <w:spacing w:after="0" w:line="240" w:lineRule="auto"/>
        <w:jc w:val="both"/>
        <w:rPr>
          <w:rFonts w:ascii="Times New Roman" w:hAnsi="Times New Roman"/>
          <w:b/>
          <w:sz w:val="24"/>
          <w:szCs w:val="24"/>
        </w:rPr>
      </w:pPr>
    </w:p>
    <w:p w:rsidR="00B21EF9" w:rsidRPr="00802429" w:rsidRDefault="00211C0E" w:rsidP="00211C0E">
      <w:pPr>
        <w:pStyle w:val="Heading2"/>
      </w:pPr>
      <w:bookmarkStart w:id="5" w:name="_Toc435454469"/>
      <w:r>
        <w:t>1.2.2</w:t>
      </w:r>
      <w:r w:rsidR="00CD3084" w:rsidRPr="00CD3084">
        <w:t>:</w:t>
      </w:r>
      <w:r w:rsidR="00B21EF9" w:rsidRPr="00CD3084">
        <w:t xml:space="preserve"> Pokazatelji</w:t>
      </w:r>
      <w:r w:rsidR="00B21EF9" w:rsidRPr="00802429">
        <w:t xml:space="preserve"> uspjeha u cilju mjerenja implementacije Strategije</w:t>
      </w:r>
      <w:bookmarkEnd w:id="5"/>
    </w:p>
    <w:p w:rsidR="00B21EF9" w:rsidRPr="00802429" w:rsidRDefault="00B21EF9" w:rsidP="00A04DFB">
      <w:pPr>
        <w:spacing w:after="0" w:line="240" w:lineRule="auto"/>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7"/>
        <w:gridCol w:w="1415"/>
        <w:gridCol w:w="1553"/>
        <w:gridCol w:w="2262"/>
      </w:tblGrid>
      <w:tr w:rsidR="00B21EF9" w:rsidRPr="00802429" w:rsidTr="009169F6">
        <w:trPr>
          <w:trHeight w:val="107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Pokazatelj</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Početna vrijednost (2014)</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Ciljna vrijednost (2020)</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Izvor podataka</w:t>
            </w:r>
          </w:p>
        </w:tc>
      </w:tr>
      <w:tr w:rsidR="00B21EF9" w:rsidRPr="00802429" w:rsidTr="009169F6">
        <w:trPr>
          <w:trHeight w:val="35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zaposlenosti (15-64)</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50,4%</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56%</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35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zaposlenosti žena (15-64)</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45,3%</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51%</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35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nezaposlenosti (15-64)</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18,2%</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14%</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35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nezaposlenosti mladih (15-24)</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35,8%</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29%</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72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Učešće dugoročno nezaposlenih u ukupnoj nezaposlenosti</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77,5%</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60%</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72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Učešće visokoškolaca u starosnoj grupi 25-34</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32,7%</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40%</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70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Koeficijent varijacije nezaposlenosti po regionima</w:t>
            </w:r>
          </w:p>
        </w:tc>
        <w:tc>
          <w:tcPr>
            <w:tcW w:w="1415" w:type="dxa"/>
          </w:tcPr>
          <w:p w:rsidR="00B21EF9" w:rsidRPr="00802429" w:rsidRDefault="00B21EF9" w:rsidP="00A04DFB">
            <w:pPr>
              <w:spacing w:after="0" w:line="240" w:lineRule="auto"/>
              <w:jc w:val="both"/>
              <w:rPr>
                <w:rFonts w:ascii="Times New Roman" w:hAnsi="Times New Roman"/>
                <w:sz w:val="24"/>
                <w:szCs w:val="24"/>
              </w:rPr>
            </w:pPr>
          </w:p>
        </w:tc>
        <w:tc>
          <w:tcPr>
            <w:tcW w:w="1553" w:type="dxa"/>
          </w:tcPr>
          <w:p w:rsidR="00B21EF9" w:rsidRPr="00802429" w:rsidRDefault="00B21EF9" w:rsidP="00A04DFB">
            <w:pPr>
              <w:spacing w:after="0" w:line="240" w:lineRule="auto"/>
              <w:jc w:val="both"/>
              <w:rPr>
                <w:rFonts w:ascii="Times New Roman" w:hAnsi="Times New Roman"/>
                <w:sz w:val="24"/>
                <w:szCs w:val="24"/>
              </w:rPr>
            </w:pP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ARS</w:t>
            </w:r>
          </w:p>
        </w:tc>
      </w:tr>
      <w:tr w:rsidR="00B21EF9" w:rsidRPr="00802429" w:rsidTr="009169F6">
        <w:trPr>
          <w:trHeight w:val="701"/>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siromaštva</w:t>
            </w:r>
          </w:p>
        </w:tc>
        <w:tc>
          <w:tcPr>
            <w:tcW w:w="1415"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8,6%</w:t>
            </w: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7%</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Istraživanje o siromaštvu</w:t>
            </w:r>
          </w:p>
        </w:tc>
      </w:tr>
      <w:tr w:rsidR="00B21EF9" w:rsidRPr="00802429" w:rsidTr="009169F6">
        <w:trPr>
          <w:trHeight w:val="370"/>
        </w:trPr>
        <w:tc>
          <w:tcPr>
            <w:tcW w:w="3817"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Stopa rizika od siromaštva</w:t>
            </w:r>
          </w:p>
        </w:tc>
        <w:tc>
          <w:tcPr>
            <w:tcW w:w="1415" w:type="dxa"/>
          </w:tcPr>
          <w:p w:rsidR="00B21EF9" w:rsidRPr="00802429" w:rsidRDefault="00B21EF9" w:rsidP="00A04DFB">
            <w:pPr>
              <w:spacing w:after="0" w:line="240" w:lineRule="auto"/>
              <w:jc w:val="both"/>
              <w:rPr>
                <w:rFonts w:ascii="Times New Roman" w:hAnsi="Times New Roman"/>
                <w:sz w:val="24"/>
                <w:szCs w:val="24"/>
              </w:rPr>
            </w:pPr>
          </w:p>
        </w:tc>
        <w:tc>
          <w:tcPr>
            <w:tcW w:w="1553"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20%</w:t>
            </w: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Monstat, SILC</w:t>
            </w:r>
          </w:p>
        </w:tc>
      </w:tr>
      <w:tr w:rsidR="00B21EF9" w:rsidRPr="00802429" w:rsidTr="009169F6">
        <w:trPr>
          <w:trHeight w:val="370"/>
        </w:trPr>
        <w:tc>
          <w:tcPr>
            <w:tcW w:w="3817" w:type="dxa"/>
          </w:tcPr>
          <w:p w:rsidR="00B21EF9" w:rsidRPr="00802429" w:rsidRDefault="00CF35DE" w:rsidP="00A04DFB">
            <w:pPr>
              <w:spacing w:after="0" w:line="240" w:lineRule="auto"/>
              <w:jc w:val="both"/>
              <w:rPr>
                <w:rFonts w:ascii="Times New Roman" w:hAnsi="Times New Roman"/>
                <w:sz w:val="24"/>
                <w:szCs w:val="24"/>
              </w:rPr>
            </w:pPr>
            <w:r>
              <w:rPr>
                <w:rFonts w:ascii="Times New Roman" w:hAnsi="Times New Roman"/>
                <w:sz w:val="24"/>
                <w:szCs w:val="24"/>
              </w:rPr>
              <w:t>Stopa registrovane zaposlenosti</w:t>
            </w:r>
          </w:p>
        </w:tc>
        <w:tc>
          <w:tcPr>
            <w:tcW w:w="1415" w:type="dxa"/>
          </w:tcPr>
          <w:p w:rsidR="00B21EF9" w:rsidRPr="00802429" w:rsidRDefault="00CF35DE" w:rsidP="00A04DFB">
            <w:pPr>
              <w:spacing w:after="0" w:line="240" w:lineRule="auto"/>
              <w:jc w:val="both"/>
              <w:rPr>
                <w:rFonts w:ascii="Times New Roman" w:hAnsi="Times New Roman"/>
                <w:sz w:val="24"/>
                <w:szCs w:val="24"/>
              </w:rPr>
            </w:pPr>
            <w:r>
              <w:rPr>
                <w:rFonts w:ascii="Times New Roman" w:hAnsi="Times New Roman"/>
                <w:sz w:val="24"/>
                <w:szCs w:val="24"/>
              </w:rPr>
              <w:t>14,95</w:t>
            </w:r>
          </w:p>
        </w:tc>
        <w:tc>
          <w:tcPr>
            <w:tcW w:w="1553" w:type="dxa"/>
          </w:tcPr>
          <w:p w:rsidR="00B21EF9" w:rsidRPr="00802429" w:rsidRDefault="00B21EF9" w:rsidP="00A04DFB">
            <w:pPr>
              <w:spacing w:after="0" w:line="240" w:lineRule="auto"/>
              <w:jc w:val="both"/>
              <w:rPr>
                <w:rFonts w:ascii="Times New Roman" w:hAnsi="Times New Roman"/>
                <w:sz w:val="24"/>
                <w:szCs w:val="24"/>
              </w:rPr>
            </w:pPr>
          </w:p>
        </w:tc>
        <w:tc>
          <w:tcPr>
            <w:tcW w:w="2262" w:type="dxa"/>
          </w:tcPr>
          <w:p w:rsidR="00B21EF9" w:rsidRPr="00802429" w:rsidRDefault="00B21EF9" w:rsidP="00A04DFB">
            <w:pPr>
              <w:spacing w:after="0" w:line="240" w:lineRule="auto"/>
              <w:jc w:val="both"/>
              <w:rPr>
                <w:rFonts w:ascii="Times New Roman" w:hAnsi="Times New Roman"/>
                <w:sz w:val="24"/>
                <w:szCs w:val="24"/>
              </w:rPr>
            </w:pPr>
            <w:r w:rsidRPr="00802429">
              <w:rPr>
                <w:rFonts w:ascii="Times New Roman" w:hAnsi="Times New Roman"/>
                <w:sz w:val="24"/>
                <w:szCs w:val="24"/>
              </w:rPr>
              <w:t>ZZZ Crne Gore</w:t>
            </w:r>
          </w:p>
        </w:tc>
      </w:tr>
    </w:tbl>
    <w:p w:rsidR="000F7A99" w:rsidRDefault="00B21EF9" w:rsidP="00385DEC">
      <w:pPr>
        <w:pStyle w:val="Heading1"/>
      </w:pPr>
      <w:bookmarkStart w:id="6" w:name="_Toc435454470"/>
      <w:r w:rsidRPr="00802429">
        <w:lastRenderedPageBreak/>
        <w:t xml:space="preserve">DIO II: </w:t>
      </w:r>
      <w:r w:rsidR="00537360">
        <w:t>ANALIZA POSTOJEĆEG STANJA</w:t>
      </w:r>
      <w:bookmarkEnd w:id="6"/>
    </w:p>
    <w:p w:rsidR="000F7A99" w:rsidRDefault="000F7A99">
      <w:pPr>
        <w:spacing w:after="0" w:line="240" w:lineRule="auto"/>
        <w:jc w:val="both"/>
        <w:rPr>
          <w:rFonts w:ascii="Times New Roman" w:hAnsi="Times New Roman"/>
          <w:b/>
          <w:bCs/>
          <w:sz w:val="24"/>
          <w:szCs w:val="24"/>
        </w:rPr>
      </w:pPr>
    </w:p>
    <w:p w:rsidR="00B21EF9" w:rsidRPr="00E10E61" w:rsidRDefault="00B21EF9" w:rsidP="00385DEC">
      <w:pPr>
        <w:pStyle w:val="Heading2"/>
      </w:pPr>
      <w:bookmarkStart w:id="7" w:name="_Toc435454471"/>
      <w:r w:rsidRPr="00E10E61">
        <w:t xml:space="preserve">2.1. </w:t>
      </w:r>
      <w:r w:rsidRPr="00802429">
        <w:rPr>
          <w:lang w:val="pl-PL"/>
        </w:rPr>
        <w:t>Makroekonomski</w:t>
      </w:r>
      <w:r w:rsidRPr="00E10E61">
        <w:t xml:space="preserve"> </w:t>
      </w:r>
      <w:r w:rsidRPr="00802429">
        <w:rPr>
          <w:lang w:val="pl-PL"/>
        </w:rPr>
        <w:t>kontekst</w:t>
      </w:r>
      <w:bookmarkEnd w:id="7"/>
    </w:p>
    <w:p w:rsidR="00B21EF9" w:rsidRPr="00E10E61" w:rsidRDefault="00B21EF9" w:rsidP="00A04DFB">
      <w:pPr>
        <w:autoSpaceDE w:val="0"/>
        <w:autoSpaceDN w:val="0"/>
        <w:adjustRightInd w:val="0"/>
        <w:spacing w:after="0" w:line="240" w:lineRule="auto"/>
        <w:jc w:val="both"/>
        <w:rPr>
          <w:rFonts w:ascii="Times New Roman" w:hAnsi="Times New Roman"/>
          <w:sz w:val="24"/>
          <w:szCs w:val="24"/>
        </w:rPr>
      </w:pPr>
    </w:p>
    <w:p w:rsidR="00B21EF9" w:rsidRPr="00E10E61" w:rsidRDefault="00B21EF9" w:rsidP="00A04DFB">
      <w:pPr>
        <w:autoSpaceDE w:val="0"/>
        <w:autoSpaceDN w:val="0"/>
        <w:adjustRightInd w:val="0"/>
        <w:spacing w:after="0" w:line="240" w:lineRule="auto"/>
        <w:jc w:val="both"/>
        <w:rPr>
          <w:rFonts w:ascii="Times New Roman" w:hAnsi="Times New Roman"/>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Period</w:t>
      </w:r>
      <w:r w:rsidRPr="00E10E61">
        <w:rPr>
          <w:rFonts w:ascii="Times New Roman" w:hAnsi="Times New Roman"/>
          <w:sz w:val="24"/>
          <w:szCs w:val="24"/>
        </w:rPr>
        <w:t xml:space="preserve"> </w:t>
      </w:r>
      <w:r w:rsidRPr="00802429">
        <w:rPr>
          <w:rFonts w:ascii="Times New Roman" w:hAnsi="Times New Roman"/>
          <w:sz w:val="24"/>
          <w:szCs w:val="24"/>
          <w:lang w:val="pl-PL"/>
        </w:rPr>
        <w:t>primjene</w:t>
      </w:r>
      <w:r w:rsidRPr="00E10E61">
        <w:rPr>
          <w:rFonts w:ascii="Times New Roman" w:hAnsi="Times New Roman"/>
          <w:sz w:val="24"/>
          <w:szCs w:val="24"/>
        </w:rPr>
        <w:t xml:space="preserve"> </w:t>
      </w:r>
      <w:r w:rsidRPr="00802429">
        <w:rPr>
          <w:rFonts w:ascii="Times New Roman" w:hAnsi="Times New Roman"/>
          <w:sz w:val="24"/>
          <w:szCs w:val="24"/>
          <w:lang w:val="pl-PL"/>
        </w:rPr>
        <w:t>prethodne</w:t>
      </w:r>
      <w:r w:rsidRPr="00E10E61">
        <w:rPr>
          <w:rFonts w:ascii="Times New Roman" w:hAnsi="Times New Roman"/>
          <w:sz w:val="24"/>
          <w:szCs w:val="24"/>
        </w:rPr>
        <w:t xml:space="preserve"> </w:t>
      </w:r>
      <w:r w:rsidRPr="00802429">
        <w:rPr>
          <w:rFonts w:ascii="Times New Roman" w:hAnsi="Times New Roman"/>
          <w:sz w:val="24"/>
          <w:szCs w:val="24"/>
          <w:lang w:val="pl-PL"/>
        </w:rPr>
        <w:t>Strategije</w:t>
      </w:r>
      <w:r w:rsidRPr="00E10E61">
        <w:rPr>
          <w:rFonts w:ascii="Times New Roman" w:hAnsi="Times New Roman"/>
          <w:sz w:val="24"/>
          <w:szCs w:val="24"/>
        </w:rPr>
        <w:t xml:space="preserve"> </w:t>
      </w:r>
      <w:r w:rsidRPr="00802429">
        <w:rPr>
          <w:rFonts w:ascii="Times New Roman" w:hAnsi="Times New Roman"/>
          <w:sz w:val="24"/>
          <w:szCs w:val="24"/>
          <w:lang w:val="pl-PL"/>
        </w:rPr>
        <w:t>jo</w:t>
      </w:r>
      <w:r w:rsidRPr="00E10E61">
        <w:rPr>
          <w:rFonts w:ascii="Times New Roman" w:hAnsi="Times New Roman"/>
          <w:sz w:val="24"/>
          <w:szCs w:val="24"/>
        </w:rPr>
        <w:t xml:space="preserve">š </w:t>
      </w:r>
      <w:r w:rsidRPr="00802429">
        <w:rPr>
          <w:rFonts w:ascii="Times New Roman" w:hAnsi="Times New Roman"/>
          <w:sz w:val="24"/>
          <w:szCs w:val="24"/>
          <w:lang w:val="pl-PL"/>
        </w:rPr>
        <w:t>je</w:t>
      </w:r>
      <w:r w:rsidRPr="00E10E61">
        <w:rPr>
          <w:rFonts w:ascii="Times New Roman" w:hAnsi="Times New Roman"/>
          <w:sz w:val="24"/>
          <w:szCs w:val="24"/>
        </w:rPr>
        <w:t xml:space="preserve"> </w:t>
      </w:r>
      <w:r w:rsidRPr="00802429">
        <w:rPr>
          <w:rFonts w:ascii="Times New Roman" w:hAnsi="Times New Roman"/>
          <w:sz w:val="24"/>
          <w:szCs w:val="24"/>
          <w:lang w:val="pl-PL"/>
        </w:rPr>
        <w:t>bio</w:t>
      </w:r>
      <w:r w:rsidRPr="00E10E61">
        <w:rPr>
          <w:rFonts w:ascii="Times New Roman" w:hAnsi="Times New Roman"/>
          <w:sz w:val="24"/>
          <w:szCs w:val="24"/>
        </w:rPr>
        <w:t xml:space="preserve"> </w:t>
      </w:r>
      <w:r w:rsidRPr="00802429">
        <w:rPr>
          <w:rFonts w:ascii="Times New Roman" w:hAnsi="Times New Roman"/>
          <w:sz w:val="24"/>
          <w:szCs w:val="24"/>
          <w:lang w:val="pl-PL"/>
        </w:rPr>
        <w:t>obilje</w:t>
      </w:r>
      <w:r w:rsidRPr="00E10E61">
        <w:rPr>
          <w:rFonts w:ascii="Times New Roman" w:hAnsi="Times New Roman"/>
          <w:sz w:val="24"/>
          <w:szCs w:val="24"/>
        </w:rPr>
        <w:t>ž</w:t>
      </w:r>
      <w:r w:rsidRPr="00802429">
        <w:rPr>
          <w:rFonts w:ascii="Times New Roman" w:hAnsi="Times New Roman"/>
          <w:sz w:val="24"/>
          <w:szCs w:val="24"/>
          <w:lang w:val="pl-PL"/>
        </w:rPr>
        <w:t>en</w:t>
      </w:r>
      <w:r w:rsidRPr="00E10E61">
        <w:rPr>
          <w:rFonts w:ascii="Times New Roman" w:hAnsi="Times New Roman"/>
          <w:sz w:val="24"/>
          <w:szCs w:val="24"/>
        </w:rPr>
        <w:t xml:space="preserve"> </w:t>
      </w:r>
      <w:r w:rsidRPr="00802429">
        <w:rPr>
          <w:rFonts w:ascii="Times New Roman" w:hAnsi="Times New Roman"/>
          <w:sz w:val="24"/>
          <w:szCs w:val="24"/>
          <w:lang w:val="pl-PL"/>
        </w:rPr>
        <w:t>posljedicama</w:t>
      </w:r>
      <w:r w:rsidRPr="00E10E61">
        <w:rPr>
          <w:rFonts w:ascii="Times New Roman" w:hAnsi="Times New Roman"/>
          <w:sz w:val="24"/>
          <w:szCs w:val="24"/>
        </w:rPr>
        <w:t xml:space="preserve"> </w:t>
      </w:r>
      <w:r w:rsidRPr="00802429">
        <w:rPr>
          <w:rFonts w:ascii="Times New Roman" w:hAnsi="Times New Roman"/>
          <w:sz w:val="24"/>
          <w:szCs w:val="24"/>
          <w:lang w:val="pl-PL"/>
        </w:rPr>
        <w:t>svjetske</w:t>
      </w:r>
      <w:r w:rsidRPr="00E10E61">
        <w:rPr>
          <w:rFonts w:ascii="Times New Roman" w:hAnsi="Times New Roman"/>
          <w:sz w:val="24"/>
          <w:szCs w:val="24"/>
        </w:rPr>
        <w:t xml:space="preserve"> </w:t>
      </w:r>
      <w:r w:rsidRPr="00802429">
        <w:rPr>
          <w:rFonts w:ascii="Times New Roman" w:hAnsi="Times New Roman"/>
          <w:sz w:val="24"/>
          <w:szCs w:val="24"/>
          <w:lang w:val="pl-PL"/>
        </w:rPr>
        <w:t>finansijske</w:t>
      </w:r>
      <w:r w:rsidRPr="00E10E61">
        <w:rPr>
          <w:rFonts w:ascii="Times New Roman" w:hAnsi="Times New Roman"/>
          <w:sz w:val="24"/>
          <w:szCs w:val="24"/>
        </w:rPr>
        <w:t xml:space="preserve"> </w:t>
      </w:r>
      <w:r w:rsidRPr="00802429">
        <w:rPr>
          <w:rFonts w:ascii="Times New Roman" w:hAnsi="Times New Roman"/>
          <w:sz w:val="24"/>
          <w:szCs w:val="24"/>
          <w:lang w:val="pl-PL"/>
        </w:rPr>
        <w:t>krize</w:t>
      </w:r>
      <w:r w:rsidRPr="00E10E61">
        <w:rPr>
          <w:rFonts w:ascii="Times New Roman" w:hAnsi="Times New Roman"/>
          <w:sz w:val="24"/>
          <w:szCs w:val="24"/>
        </w:rPr>
        <w:t xml:space="preserve"> </w:t>
      </w:r>
      <w:r w:rsidRPr="00802429">
        <w:rPr>
          <w:rFonts w:ascii="Times New Roman" w:hAnsi="Times New Roman"/>
          <w:sz w:val="24"/>
          <w:szCs w:val="24"/>
          <w:lang w:val="pl-PL"/>
        </w:rPr>
        <w:t>koja</w:t>
      </w:r>
      <w:r w:rsidRPr="00E10E61">
        <w:rPr>
          <w:rFonts w:ascii="Times New Roman" w:hAnsi="Times New Roman"/>
          <w:sz w:val="24"/>
          <w:szCs w:val="24"/>
        </w:rPr>
        <w:t xml:space="preserve"> </w:t>
      </w:r>
      <w:r w:rsidRPr="00802429">
        <w:rPr>
          <w:rFonts w:ascii="Times New Roman" w:hAnsi="Times New Roman"/>
          <w:sz w:val="24"/>
          <w:szCs w:val="24"/>
          <w:lang w:val="pl-PL"/>
        </w:rPr>
        <w:t>je</w:t>
      </w:r>
      <w:r w:rsidRPr="00E10E61">
        <w:rPr>
          <w:rFonts w:ascii="Times New Roman" w:hAnsi="Times New Roman"/>
          <w:sz w:val="24"/>
          <w:szCs w:val="24"/>
        </w:rPr>
        <w:t xml:space="preserve"> </w:t>
      </w:r>
      <w:r w:rsidRPr="00802429">
        <w:rPr>
          <w:rFonts w:ascii="Times New Roman" w:hAnsi="Times New Roman"/>
          <w:sz w:val="24"/>
          <w:szCs w:val="24"/>
          <w:lang w:val="pl-PL"/>
        </w:rPr>
        <w:t>zahvatila</w:t>
      </w:r>
      <w:r w:rsidRPr="00E10E61">
        <w:rPr>
          <w:rFonts w:ascii="Times New Roman" w:hAnsi="Times New Roman"/>
          <w:sz w:val="24"/>
          <w:szCs w:val="24"/>
        </w:rPr>
        <w:t xml:space="preserve"> </w:t>
      </w:r>
      <w:r w:rsidRPr="00802429">
        <w:rPr>
          <w:rFonts w:ascii="Times New Roman" w:hAnsi="Times New Roman"/>
          <w:sz w:val="24"/>
          <w:szCs w:val="24"/>
          <w:lang w:val="pl-PL"/>
        </w:rPr>
        <w:t>u</w:t>
      </w:r>
      <w:r w:rsidRPr="00E10E61">
        <w:rPr>
          <w:rFonts w:ascii="Times New Roman" w:hAnsi="Times New Roman"/>
          <w:sz w:val="24"/>
          <w:szCs w:val="24"/>
        </w:rPr>
        <w:t xml:space="preserve"> </w:t>
      </w:r>
      <w:r w:rsidRPr="00802429">
        <w:rPr>
          <w:rFonts w:ascii="Times New Roman" w:hAnsi="Times New Roman"/>
          <w:sz w:val="24"/>
          <w:szCs w:val="24"/>
          <w:lang w:val="pl-PL"/>
        </w:rPr>
        <w:t>Crnu</w:t>
      </w:r>
      <w:r w:rsidRPr="00E10E61">
        <w:rPr>
          <w:rFonts w:ascii="Times New Roman" w:hAnsi="Times New Roman"/>
          <w:sz w:val="24"/>
          <w:szCs w:val="24"/>
        </w:rPr>
        <w:t xml:space="preserve"> </w:t>
      </w:r>
      <w:r w:rsidRPr="00802429">
        <w:rPr>
          <w:rFonts w:ascii="Times New Roman" w:hAnsi="Times New Roman"/>
          <w:sz w:val="24"/>
          <w:szCs w:val="24"/>
          <w:lang w:val="pl-PL"/>
        </w:rPr>
        <w:t>Goru</w:t>
      </w:r>
      <w:r w:rsidRPr="00E10E61">
        <w:rPr>
          <w:rFonts w:ascii="Times New Roman" w:hAnsi="Times New Roman"/>
          <w:sz w:val="24"/>
          <w:szCs w:val="24"/>
        </w:rPr>
        <w:t xml:space="preserve"> </w:t>
      </w:r>
      <w:r w:rsidRPr="00802429">
        <w:rPr>
          <w:rFonts w:ascii="Times New Roman" w:hAnsi="Times New Roman"/>
          <w:sz w:val="24"/>
          <w:szCs w:val="24"/>
          <w:lang w:val="pl-PL"/>
        </w:rPr>
        <w:t>po</w:t>
      </w:r>
      <w:r w:rsidRPr="00E10E61">
        <w:rPr>
          <w:rFonts w:ascii="Times New Roman" w:hAnsi="Times New Roman"/>
          <w:sz w:val="24"/>
          <w:szCs w:val="24"/>
        </w:rPr>
        <w:t>č</w:t>
      </w:r>
      <w:r w:rsidRPr="00802429">
        <w:rPr>
          <w:rFonts w:ascii="Times New Roman" w:hAnsi="Times New Roman"/>
          <w:sz w:val="24"/>
          <w:szCs w:val="24"/>
          <w:lang w:val="pl-PL"/>
        </w:rPr>
        <w:t>ev</w:t>
      </w:r>
      <w:r w:rsidRPr="00E10E61">
        <w:rPr>
          <w:rFonts w:ascii="Times New Roman" w:hAnsi="Times New Roman"/>
          <w:sz w:val="24"/>
          <w:szCs w:val="24"/>
        </w:rPr>
        <w:t xml:space="preserve"> </w:t>
      </w:r>
      <w:r w:rsidRPr="00802429">
        <w:rPr>
          <w:rFonts w:ascii="Times New Roman" w:hAnsi="Times New Roman"/>
          <w:sz w:val="24"/>
          <w:szCs w:val="24"/>
          <w:lang w:val="pl-PL"/>
        </w:rPr>
        <w:t>od</w:t>
      </w:r>
      <w:r w:rsidRPr="00E10E61">
        <w:rPr>
          <w:rFonts w:ascii="Times New Roman" w:hAnsi="Times New Roman"/>
          <w:sz w:val="24"/>
          <w:szCs w:val="24"/>
        </w:rPr>
        <w:t xml:space="preserve"> </w:t>
      </w:r>
      <w:r w:rsidRPr="00802429">
        <w:rPr>
          <w:rFonts w:ascii="Times New Roman" w:hAnsi="Times New Roman"/>
          <w:sz w:val="24"/>
          <w:szCs w:val="24"/>
          <w:lang w:val="pl-PL"/>
        </w:rPr>
        <w:t>posljednjeg</w:t>
      </w:r>
      <w:r w:rsidRPr="00E10E61">
        <w:rPr>
          <w:rFonts w:ascii="Times New Roman" w:hAnsi="Times New Roman"/>
          <w:sz w:val="24"/>
          <w:szCs w:val="24"/>
        </w:rPr>
        <w:t xml:space="preserve"> </w:t>
      </w:r>
      <w:r w:rsidRPr="00802429">
        <w:rPr>
          <w:rFonts w:ascii="Times New Roman" w:hAnsi="Times New Roman"/>
          <w:sz w:val="24"/>
          <w:szCs w:val="24"/>
          <w:lang w:val="pl-PL"/>
        </w:rPr>
        <w:t>kvartala</w:t>
      </w:r>
      <w:r w:rsidRPr="00E10E61">
        <w:rPr>
          <w:rFonts w:ascii="Times New Roman" w:hAnsi="Times New Roman"/>
          <w:sz w:val="24"/>
          <w:szCs w:val="24"/>
        </w:rPr>
        <w:t xml:space="preserve"> 2008. </w:t>
      </w:r>
      <w:r w:rsidRPr="00802429">
        <w:rPr>
          <w:rFonts w:ascii="Times New Roman" w:hAnsi="Times New Roman"/>
          <w:sz w:val="24"/>
          <w:szCs w:val="24"/>
          <w:lang w:val="pl-PL"/>
        </w:rPr>
        <w:t>godine</w:t>
      </w:r>
      <w:r w:rsidRPr="00E10E61">
        <w:rPr>
          <w:rFonts w:ascii="Times New Roman" w:hAnsi="Times New Roman"/>
          <w:sz w:val="24"/>
          <w:szCs w:val="24"/>
        </w:rPr>
        <w:t xml:space="preserve">. </w:t>
      </w:r>
      <w:r w:rsidRPr="00802429">
        <w:rPr>
          <w:rFonts w:ascii="Times New Roman" w:hAnsi="Times New Roman"/>
          <w:sz w:val="24"/>
          <w:szCs w:val="24"/>
          <w:lang w:val="pl-PL"/>
        </w:rPr>
        <w:t>Finansijska kriza je prvenstveno uticala na dešavanja u bankarskom sektoru u kojem je došlo do smanjenja kreditne aktivnosti, odnosno njenog potpunog prekida, kao i do značajnog povlačenja depozita. Kao posljedica toga, došlo je do smanjenja likvidnosti u privredi, smanjenja ekonomske aktivnosti u gotovo svim sektorima a posebno u sektoru industrije kao i smanjenja uvoza. Tako je u 2009. godini crnogorska ekonomija zabilježila realan pad od 5,7% BDP-a</w:t>
      </w:r>
      <w:r w:rsidRPr="00802429">
        <w:rPr>
          <w:rStyle w:val="FootnoteReference"/>
          <w:rFonts w:ascii="Times New Roman" w:hAnsi="Times New Roman"/>
          <w:sz w:val="24"/>
          <w:szCs w:val="24"/>
          <w:lang w:val="pl-PL"/>
        </w:rPr>
        <w:footnoteReference w:id="5"/>
      </w:r>
      <w:r w:rsidRPr="00802429">
        <w:rPr>
          <w:rFonts w:ascii="Times New Roman" w:hAnsi="Times New Roman"/>
          <w:sz w:val="24"/>
          <w:szCs w:val="24"/>
          <w:lang w:val="pl-PL"/>
        </w:rPr>
        <w:t>. Preduzimanjem odgovarajućih antikriznih mjera u realnom i finansijskom sektoru, ali i procesom privatizacije energetskog sektora, ublaženi su nepovoljni efekti krize i omogućen je proces oporavka. Zahvaljujući ovim mjerama, privreda Crne Gore zabilježila je um</w:t>
      </w:r>
      <w:r w:rsidR="00214885">
        <w:rPr>
          <w:rFonts w:ascii="Times New Roman" w:hAnsi="Times New Roman"/>
          <w:sz w:val="24"/>
          <w:szCs w:val="24"/>
          <w:lang w:val="pl-PL"/>
        </w:rPr>
        <w:t>j</w:t>
      </w:r>
      <w:r w:rsidRPr="00802429">
        <w:rPr>
          <w:rFonts w:ascii="Times New Roman" w:hAnsi="Times New Roman"/>
          <w:sz w:val="24"/>
          <w:szCs w:val="24"/>
          <w:lang w:val="pl-PL"/>
        </w:rPr>
        <w:t xml:space="preserve">erene pozitivne stope rasta od 2,5% i 3,3% u 2010. i 2011. godini, respektivno.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Međutim, kako se globalna ekonomska kriza sa određen</w:t>
      </w:r>
      <w:r w:rsidR="00484C14">
        <w:rPr>
          <w:rFonts w:ascii="Times New Roman" w:hAnsi="Times New Roman"/>
          <w:sz w:val="24"/>
          <w:szCs w:val="24"/>
          <w:lang w:val="pl-PL"/>
        </w:rPr>
        <w:t xml:space="preserve">im kašnjenjem </w:t>
      </w:r>
      <w:r w:rsidRPr="00802429">
        <w:rPr>
          <w:rFonts w:ascii="Times New Roman" w:hAnsi="Times New Roman"/>
          <w:sz w:val="24"/>
          <w:szCs w:val="24"/>
          <w:lang w:val="pl-PL"/>
        </w:rPr>
        <w:t>pretvorila u dužničku krizu na tlu Evrope, ponovne recesivne tendencije nije bilo moguće izb</w:t>
      </w:r>
      <w:r w:rsidR="00B15301">
        <w:rPr>
          <w:rFonts w:ascii="Times New Roman" w:hAnsi="Times New Roman"/>
          <w:sz w:val="24"/>
          <w:szCs w:val="24"/>
          <w:lang w:val="pl-PL"/>
        </w:rPr>
        <w:t>j</w:t>
      </w:r>
      <w:r w:rsidRPr="00802429">
        <w:rPr>
          <w:rFonts w:ascii="Times New Roman" w:hAnsi="Times New Roman"/>
          <w:sz w:val="24"/>
          <w:szCs w:val="24"/>
          <w:lang w:val="pl-PL"/>
        </w:rPr>
        <w:t>eći, te je tako usl</w:t>
      </w:r>
      <w:r w:rsidR="00D25F74">
        <w:rPr>
          <w:rFonts w:ascii="Times New Roman" w:hAnsi="Times New Roman"/>
          <w:sz w:val="24"/>
          <w:szCs w:val="24"/>
          <w:lang w:val="pl-PL"/>
        </w:rPr>
        <w:t>ij</w:t>
      </w:r>
      <w:r w:rsidRPr="00802429">
        <w:rPr>
          <w:rFonts w:ascii="Times New Roman" w:hAnsi="Times New Roman"/>
          <w:sz w:val="24"/>
          <w:szCs w:val="24"/>
          <w:lang w:val="pl-PL"/>
        </w:rPr>
        <w:t xml:space="preserve">ed pada agregatne tražnje, kako domaće, tako i inostrane, u 2012. godini ostvarena negativna stopa ekonomskog rasta od oko 2,5%, što je obilježilo prvu godinu implementacije Strategije.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Nakon kratkog iskoraka, privreda Crne Gore ubrzo se vratila na putanju pozitivnih stopa rasta, zabilježivši porast bruto domaćeg proizvoda od skoro 3,4% u 2013. godini.</w:t>
      </w:r>
      <w:r w:rsidRPr="00802429">
        <w:rPr>
          <w:rFonts w:ascii="Times New Roman" w:hAnsi="Times New Roman"/>
          <w:sz w:val="24"/>
          <w:szCs w:val="24"/>
        </w:rPr>
        <w:t xml:space="preserve"> </w:t>
      </w:r>
      <w:r w:rsidRPr="00802429">
        <w:rPr>
          <w:rFonts w:ascii="Times New Roman" w:hAnsi="Times New Roman"/>
          <w:sz w:val="24"/>
          <w:szCs w:val="24"/>
          <w:lang w:val="pl-PL"/>
        </w:rPr>
        <w:t xml:space="preserve">Sve navedeno uticalo je na to da ekonomija Crne Gore tek u 2013. godini dostigne nivo BDP-a koji je ostvaren još 2008. godine, što ukazuje da je dvostruka recesija od početka ekonomske krize anulirala ekonomski rast koji je ostvaren u tom periodu. Indikatori aktivnosti realnog sektora pokazuju da je u 2013. godini u odnosu na 2012. godinu industrijska proizvodnja ostvarila rast od 10,6%. Promet u trgovini na malo bio je veći za 11,3%, vrijednost izvršenih građevinskih radova za 9,7%, dok je većina vidova saobraćaja bilježila rast u odnosu na uporedni period (drumski, željeznički). Bez obzira što je sektor turizma (dolasci i noćenja) imao nešto skromniji rast (3,6 i 2,8%) u 2013. godini, važno je napomenuti da se ovaj sektor, uz sektor usluga, znatno uspješnije izborio sa ekonomskom i finansijskom krizom od prerađivačke industrije, građevinarstva i poljoprivrede. Deficit tekućeg računa platnog bilansa u 2013. je bio manji za 17,1% u odnosu na 2012. godinu, dok je neto prilivom stranih direktnih investicija bilo pokriveno 66,5% deficita tekućeg računa. </w:t>
      </w:r>
      <w:r w:rsidR="00593CCF" w:rsidRPr="00AF05B3">
        <w:rPr>
          <w:rFonts w:ascii="Times New Roman" w:hAnsi="Times New Roman"/>
          <w:sz w:val="24"/>
          <w:szCs w:val="24"/>
          <w:lang w:val="pl-PL"/>
        </w:rPr>
        <w:t>Učešće spoljnotrgovinskog deficita roba u BDP-u za 2013 iznosi</w:t>
      </w:r>
      <w:r w:rsidR="005A0F17">
        <w:rPr>
          <w:rFonts w:ascii="Times New Roman" w:hAnsi="Times New Roman"/>
          <w:sz w:val="24"/>
          <w:szCs w:val="24"/>
          <w:lang w:val="pl-PL"/>
        </w:rPr>
        <w:t>l</w:t>
      </w:r>
      <w:r w:rsidR="00593CCF" w:rsidRPr="00AF05B3">
        <w:rPr>
          <w:rFonts w:ascii="Times New Roman" w:hAnsi="Times New Roman"/>
          <w:sz w:val="24"/>
          <w:szCs w:val="24"/>
          <w:lang w:val="pl-PL"/>
        </w:rPr>
        <w:t>o je 39,9%, i smanjen</w:t>
      </w:r>
      <w:r w:rsidR="005A0F17">
        <w:rPr>
          <w:rFonts w:ascii="Times New Roman" w:hAnsi="Times New Roman"/>
          <w:sz w:val="24"/>
          <w:szCs w:val="24"/>
          <w:lang w:val="pl-PL"/>
        </w:rPr>
        <w:t>o</w:t>
      </w:r>
      <w:r w:rsidR="00593CCF" w:rsidRPr="00AF05B3">
        <w:rPr>
          <w:rFonts w:ascii="Times New Roman" w:hAnsi="Times New Roman"/>
          <w:sz w:val="24"/>
          <w:szCs w:val="24"/>
          <w:lang w:val="pl-PL"/>
        </w:rPr>
        <w:t xml:space="preserve"> je za 4,3% u odnosu na 2012 godinu</w:t>
      </w:r>
      <w:r w:rsidR="005A0F17">
        <w:rPr>
          <w:rFonts w:ascii="Times New Roman" w:hAnsi="Times New Roman"/>
          <w:sz w:val="24"/>
          <w:szCs w:val="24"/>
          <w:lang w:val="pl-PL"/>
        </w:rPr>
        <w:t>.</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Posle ostvarenog pozitivnog pomaka u 2013, trend rasta je nastavljen i u 2014. godini. Prema podacima Monstat-a, u prvom kvartalu 2014. BDP je rastao po realnoj stopi od 1,5%, u drugom kvartalu je zabilježen slabiji rast od 0,3%, dok je u trećem i četvrtom kvartalu ostvaren relativno veći rast od 1,3% i 2,6%. Prema ovim podacima stopa privrednog rasta u  2014. godini iznosila je 1,5%.</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Najvažniji uticaj na formiranje BDP-a u 2014. godini dolazio je od sektora (1) Turizma koji sa vezanim sektorima čini oko 20% BDP-a. Ipak, kumulativni pokazatelji turističkog prometa za period januar-oktobar 2014. godine, ukazuju na nešto slabiji rast sektora u odnosu na </w:t>
      </w:r>
      <w:r w:rsidRPr="00802429">
        <w:rPr>
          <w:rFonts w:ascii="Times New Roman" w:hAnsi="Times New Roman"/>
          <w:sz w:val="24"/>
          <w:szCs w:val="24"/>
          <w:lang w:val="pl-PL"/>
        </w:rPr>
        <w:lastRenderedPageBreak/>
        <w:t>prethodne godine uz zabilježeni rast od 1,4% za oba indikatora g-n-g. Na nešto niže stope rasta uticale su nepovoljne vremenske prilike u julu mjesecu, kada se ostvaruje prosječno 25% prihoda; (2) Industrije koja čini oko 9,8% BDP-a. Međutim, u periodu januar-oktobar 2014. godine ona je bilježila pad od 11% u odnosu na isti period prošle godine, prvenstveno usl</w:t>
      </w:r>
      <w:r w:rsidR="007D0823">
        <w:rPr>
          <w:rFonts w:ascii="Times New Roman" w:hAnsi="Times New Roman"/>
          <w:sz w:val="24"/>
          <w:szCs w:val="24"/>
          <w:lang w:val="pl-PL"/>
        </w:rPr>
        <w:t>i</w:t>
      </w:r>
      <w:r w:rsidRPr="00802429">
        <w:rPr>
          <w:rFonts w:ascii="Times New Roman" w:hAnsi="Times New Roman"/>
          <w:sz w:val="24"/>
          <w:szCs w:val="24"/>
          <w:lang w:val="pl-PL"/>
        </w:rPr>
        <w:t>jed pada proizvodnje električne energije. Gledano po sektorima, rast je ostvaren u sektoru “vađenje rude i kamena” (8,6%), dok je pad ostvaren u sektorima “prerađivačka industrija” (3,3%) i “snabdijevanje električnom energijom, gasom i parom”</w:t>
      </w:r>
      <w:r w:rsidR="0085354F">
        <w:rPr>
          <w:rFonts w:ascii="Times New Roman" w:hAnsi="Times New Roman"/>
          <w:sz w:val="24"/>
          <w:szCs w:val="24"/>
          <w:lang w:val="pl-PL"/>
        </w:rPr>
        <w:t xml:space="preserve"> </w:t>
      </w:r>
      <w:r w:rsidRPr="00802429">
        <w:rPr>
          <w:rFonts w:ascii="Times New Roman" w:hAnsi="Times New Roman"/>
          <w:sz w:val="24"/>
          <w:szCs w:val="24"/>
          <w:lang w:val="pl-PL"/>
        </w:rPr>
        <w:t>(21,6%); (3) Prometa u maloprodaji koji čini 12,9% BDP-a i koji je za deset mjeseci 2014. bilježio niske, ali stabilne stope rasta. Ukupan promet (tekuće cijene) za deset mjeseci bio je viši za 2,7% g-n-g. U stalnim cijenama realni rast je bio 4,2%. Iako rast prometa u maloprodaji ne korenspondira sa stagnacijom penzija i zarada, on se može pripisati rastu u sektoru turizma, kao i blagom rastu kredita fizičkim licima.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Kretanje cijena u periodu januar-oktobar 2014. godine obilježio je deflatorni trend. Pad godišnje stope inflacije, započet u 2013. godini nastavlja se i u 2014</w:t>
      </w:r>
      <w:r w:rsidR="00DF142A">
        <w:rPr>
          <w:rFonts w:ascii="Times New Roman" w:hAnsi="Times New Roman"/>
          <w:sz w:val="24"/>
          <w:szCs w:val="24"/>
          <w:lang w:val="pl-PL"/>
        </w:rPr>
        <w:t>.</w:t>
      </w:r>
      <w:r w:rsidRPr="00802429">
        <w:rPr>
          <w:rFonts w:ascii="Times New Roman" w:hAnsi="Times New Roman"/>
          <w:sz w:val="24"/>
          <w:szCs w:val="24"/>
          <w:lang w:val="pl-PL"/>
        </w:rPr>
        <w:t>, prvenstveno kao rezultat pada cijena hrane sa visokog nivoa iz 2013. godine, dok cijene energenata tokom perioda bilježe blaže oscilacije i blagi pad. Deflacija je posljedica uvezene inflacije kombinovane sa slabim rastom raspoloživog dohotka. Godišnja stopa inflacije, mjerena indeksom potrošačkih cijena (CPI) u oktobru 2014. godine iznosila je -0,5%. Takođe, prosječna stopa inflacije za period januar-oktobar iznosila je -0,8%.</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Bankarski sektor je za prvih deset mjeseci 2014. godine očuvao stabilnost, iako je i dalje prisutno visoko učešće nekvalitetnih kredita i nedovoljna kreditna aktivnost banaka. Poslovanje banaka karakteriše rast kapitala i depozita na godišnjem nivou, i izostanak oživljavanja kreditnih plasmana zbog visokog kreditnog rizika, kao i slabog rasta ekonomske aktivnosti. Ukupni depoziti su u oktobru iznosili 2.251,5 mil.€, što predstavlja rast od 7,3% u odnosu na kraj 2013. godine, odnosno 7,0% na godišnjem nivou.</w:t>
      </w:r>
      <w:r w:rsidRPr="00802429">
        <w:rPr>
          <w:rFonts w:ascii="Times New Roman" w:hAnsi="Times New Roman"/>
          <w:sz w:val="24"/>
          <w:szCs w:val="24"/>
        </w:rPr>
        <w:t xml:space="preserve"> </w:t>
      </w:r>
      <w:r w:rsidRPr="00802429">
        <w:rPr>
          <w:rFonts w:ascii="Times New Roman" w:hAnsi="Times New Roman"/>
          <w:sz w:val="24"/>
          <w:szCs w:val="24"/>
          <w:lang w:val="pl-PL"/>
        </w:rPr>
        <w:t>Nekvalitetni krediti su u oktobru iznosili 398,9 mil.€ (16,46% ukupnih kredita), što je za 5,7% niže u odnosu na kraj 2013. godine, odnosno 9,1% na godišnjem nivou.</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Tokom devet mjeseci 2014. godine zabilježen je rast deficita tekućeg računa za 16,4% zbog povećanja spoljnotrgovinskog deficita, kao i pada suficita na računima primarnih i sekundarnih dohodaka. Izvoz roba je smanjen za 10,3% zbog smanjenja proizvodnje, a sa tim i izvoza električne energije i aluminijuma.</w:t>
      </w:r>
      <w:r w:rsidRPr="00802429">
        <w:rPr>
          <w:rFonts w:ascii="Times New Roman" w:hAnsi="Times New Roman"/>
          <w:sz w:val="24"/>
          <w:szCs w:val="24"/>
        </w:rPr>
        <w:t xml:space="preserve"> </w:t>
      </w:r>
      <w:r w:rsidRPr="00802429">
        <w:rPr>
          <w:rFonts w:ascii="Times New Roman" w:hAnsi="Times New Roman"/>
          <w:sz w:val="24"/>
          <w:szCs w:val="24"/>
          <w:lang w:val="pl-PL"/>
        </w:rPr>
        <w:t>Ostvareni suficit na računu usluga veći je za 5,4% nego u istom periodu 2013. godine, što je rezultat rasta prihoda od usluga za 2,8% ali i pada rashoda za 3,5%. Prihodi od usluga su porasli, prvenstveno, zbog rasta prihoda ostvarenih u oblasti turizma.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U periodu januar - oktobar 2014. godine neto priliv stranih direktnih investicija viši je za 12,4% u odnosu na isti period prethodne godine. Mjesečni priliv stranih direktnih investicija bio je izuzetno visok u septembru (55,6 mil.€) i oktobru (59,4 mil.€).</w:t>
      </w:r>
    </w:p>
    <w:p w:rsidR="00B21EF9" w:rsidRPr="00802429" w:rsidRDefault="00B21EF9" w:rsidP="00A04DFB">
      <w:pPr>
        <w:spacing w:after="0" w:line="240" w:lineRule="auto"/>
        <w:jc w:val="both"/>
        <w:rPr>
          <w:rFonts w:ascii="Times New Roman" w:hAnsi="Times New Roman"/>
          <w:b/>
          <w:sz w:val="24"/>
          <w:szCs w:val="24"/>
        </w:rPr>
      </w:pPr>
    </w:p>
    <w:p w:rsidR="00B21EF9" w:rsidRPr="00802429" w:rsidRDefault="00B21EF9" w:rsidP="00385DEC">
      <w:pPr>
        <w:pStyle w:val="Heading2"/>
      </w:pPr>
      <w:bookmarkStart w:id="8" w:name="_Toc435454472"/>
      <w:r w:rsidRPr="00802429">
        <w:t>2.2  Stanovništvo i aktivnost</w:t>
      </w:r>
      <w:bookmarkEnd w:id="8"/>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7D0823" w:rsidP="00A04DFB">
      <w:pPr>
        <w:autoSpaceDE w:val="0"/>
        <w:autoSpaceDN w:val="0"/>
        <w:adjustRightInd w:val="0"/>
        <w:spacing w:after="0" w:line="240" w:lineRule="auto"/>
        <w:jc w:val="both"/>
        <w:rPr>
          <w:rFonts w:ascii="Times New Roman" w:hAnsi="Times New Roman"/>
          <w:sz w:val="24"/>
          <w:szCs w:val="24"/>
          <w:lang w:val="pl-PL"/>
        </w:rPr>
      </w:pPr>
      <w:r>
        <w:rPr>
          <w:rFonts w:ascii="Times New Roman" w:hAnsi="Times New Roman"/>
          <w:sz w:val="24"/>
          <w:szCs w:val="24"/>
          <w:lang w:val="pl-PL"/>
        </w:rPr>
        <w:t>Ukupan</w:t>
      </w:r>
      <w:r w:rsidR="00B21EF9" w:rsidRPr="00802429">
        <w:rPr>
          <w:rFonts w:ascii="Times New Roman" w:hAnsi="Times New Roman"/>
          <w:sz w:val="24"/>
          <w:szCs w:val="24"/>
          <w:lang w:val="pl-PL"/>
        </w:rPr>
        <w:t xml:space="preserve"> broj stanovnika u Crnoj Gori nije se značajnije pro</w:t>
      </w:r>
      <w:r w:rsidR="00B15301">
        <w:rPr>
          <w:rFonts w:ascii="Times New Roman" w:hAnsi="Times New Roman"/>
          <w:sz w:val="24"/>
          <w:szCs w:val="24"/>
          <w:lang w:val="pl-PL"/>
        </w:rPr>
        <w:t>i</w:t>
      </w:r>
      <w:r w:rsidR="00B21EF9" w:rsidRPr="00802429">
        <w:rPr>
          <w:rFonts w:ascii="Times New Roman" w:hAnsi="Times New Roman"/>
          <w:sz w:val="24"/>
          <w:szCs w:val="24"/>
          <w:lang w:val="pl-PL"/>
        </w:rPr>
        <w:t xml:space="preserve">mjenio od 2003 godine. Tako je po rezultatima popisa iz 2003. </w:t>
      </w:r>
      <w:r w:rsidR="00C37F32">
        <w:rPr>
          <w:rFonts w:ascii="Times New Roman" w:hAnsi="Times New Roman"/>
          <w:sz w:val="24"/>
          <w:szCs w:val="24"/>
          <w:lang w:val="pl-PL"/>
        </w:rPr>
        <w:t>godine</w:t>
      </w:r>
      <w:r w:rsidR="00C37F32" w:rsidRPr="00802429">
        <w:rPr>
          <w:rFonts w:ascii="Times New Roman" w:hAnsi="Times New Roman"/>
          <w:sz w:val="24"/>
          <w:szCs w:val="24"/>
          <w:lang w:val="pl-PL"/>
        </w:rPr>
        <w:t xml:space="preserve"> </w:t>
      </w:r>
      <w:r w:rsidR="00C37F32">
        <w:rPr>
          <w:rFonts w:ascii="Times New Roman" w:hAnsi="Times New Roman"/>
          <w:sz w:val="24"/>
          <w:szCs w:val="24"/>
          <w:lang w:val="pl-PL"/>
        </w:rPr>
        <w:t xml:space="preserve">prilagođeno metodologiji popisa 2011. </w:t>
      </w:r>
      <w:r w:rsidR="00B21EF9" w:rsidRPr="00802429">
        <w:rPr>
          <w:rFonts w:ascii="Times New Roman" w:hAnsi="Times New Roman"/>
          <w:sz w:val="24"/>
          <w:szCs w:val="24"/>
          <w:lang w:val="pl-PL"/>
        </w:rPr>
        <w:t xml:space="preserve">godine u Crnoj </w:t>
      </w:r>
      <w:r w:rsidR="00B21EF9" w:rsidRPr="00802429">
        <w:rPr>
          <w:rFonts w:ascii="Times New Roman" w:hAnsi="Times New Roman"/>
          <w:sz w:val="24"/>
          <w:szCs w:val="24"/>
          <w:lang w:val="pl-PL"/>
        </w:rPr>
        <w:lastRenderedPageBreak/>
        <w:t xml:space="preserve">Gori živjelo </w:t>
      </w:r>
      <w:r w:rsidR="00C37F32">
        <w:rPr>
          <w:rFonts w:ascii="Times New Roman" w:hAnsi="Times New Roman"/>
          <w:sz w:val="24"/>
          <w:szCs w:val="24"/>
          <w:lang w:val="pl-PL"/>
        </w:rPr>
        <w:t>612.267</w:t>
      </w:r>
      <w:r w:rsidR="00B21EF9" w:rsidRPr="00802429">
        <w:rPr>
          <w:rFonts w:ascii="Times New Roman" w:hAnsi="Times New Roman"/>
          <w:sz w:val="24"/>
          <w:szCs w:val="24"/>
          <w:lang w:val="pl-PL"/>
        </w:rPr>
        <w:t xml:space="preserve"> stanov</w:t>
      </w:r>
      <w:r w:rsidR="005A0F17">
        <w:rPr>
          <w:rFonts w:ascii="Times New Roman" w:hAnsi="Times New Roman"/>
          <w:sz w:val="24"/>
          <w:szCs w:val="24"/>
          <w:lang w:val="pl-PL"/>
        </w:rPr>
        <w:t>n</w:t>
      </w:r>
      <w:r w:rsidR="00B21EF9" w:rsidRPr="00802429">
        <w:rPr>
          <w:rFonts w:ascii="Times New Roman" w:hAnsi="Times New Roman"/>
          <w:sz w:val="24"/>
          <w:szCs w:val="24"/>
          <w:lang w:val="pl-PL"/>
        </w:rPr>
        <w:t>ika</w:t>
      </w:r>
      <w:r w:rsidR="00C37F32">
        <w:rPr>
          <w:rStyle w:val="FootnoteReference"/>
          <w:rFonts w:ascii="Times New Roman" w:hAnsi="Times New Roman"/>
          <w:sz w:val="24"/>
          <w:szCs w:val="24"/>
          <w:lang w:val="pl-PL"/>
        </w:rPr>
        <w:footnoteReference w:id="6"/>
      </w:r>
      <w:r w:rsidR="00B21EF9" w:rsidRPr="00802429">
        <w:rPr>
          <w:rFonts w:ascii="Times New Roman" w:hAnsi="Times New Roman"/>
          <w:sz w:val="24"/>
          <w:szCs w:val="24"/>
          <w:lang w:val="pl-PL"/>
        </w:rPr>
        <w:t>, a prema popisu iz 2011. godine 620.029. Prema najnovijim podacima 64,2% stanovnika živi u urbanim naseljima, dok je 2003. ovaj procenat bio na nivou od 62%. Poslednjih decenija najznačajniji trend koji karakteriše demografsku sliku Crne Gore je starenje stanovništva. Prosječna starost stanovništva Crne Gore je 37 godina po popisu iz 2011. godine. Podaci iz prethodnih popisa pokazuju da je prosječna starost u 2003. godini iznosila 35,9 godina, dok je 1991. godine ona iznosila samo 32,7. godina. Struktura stanovništva po polu nije se značajnije izmjenila između dva poslednja popisa. Prema popisu iz 2003. godine žene činile 50,7%, dok u 2011. godini one čine 50,6% ukupnog stanovništva.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Prema podacima iz najnovijeg popisa (2011. godina) stanovništvo od 0 do 14 godina starosti čini 19,2% od ukupnog stanovništva. Stanovništvo radnog uzrasta  (15-64 godine) čini 68%, dok stanovništva sa 65 i više ima 12,8%. Djeca starosti od 0-5 godina, koja predstavljaju predškolski uzrast čine 7,4 % od ukupnog stanovništva. Osnovno</w:t>
      </w:r>
      <w:r w:rsidR="002B7A1A">
        <w:rPr>
          <w:rFonts w:ascii="Times New Roman" w:hAnsi="Times New Roman"/>
          <w:sz w:val="24"/>
          <w:szCs w:val="24"/>
          <w:lang w:val="pl-PL"/>
        </w:rPr>
        <w:t xml:space="preserve"> </w:t>
      </w:r>
      <w:r w:rsidRPr="00802429">
        <w:rPr>
          <w:rFonts w:ascii="Times New Roman" w:hAnsi="Times New Roman"/>
          <w:sz w:val="24"/>
          <w:szCs w:val="24"/>
          <w:lang w:val="pl-PL"/>
        </w:rPr>
        <w:t>školskog uzrasta, starosti od 6-15 godina, ima 13,2 %, dok srednjoškolskog uzrasta, 15-19 godina, ima 7,1% u ukupnom stanovništvu.</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Jedna od karakteristika Crne Gore je i niska stopa aktivnosti. Prema Anketi o radnoj snazi za 2014. godinu, prosječna stopa aktivnosti odraslog stanovništva u Crnoj Gori iznosila je 52,7%. Što se tiče stope aktivnosti po regionima, u 2014. godini stopa aktivnosti za</w:t>
      </w:r>
      <w:r w:rsidR="00ED1A3D">
        <w:rPr>
          <w:rFonts w:ascii="Times New Roman" w:hAnsi="Times New Roman"/>
          <w:sz w:val="24"/>
          <w:szCs w:val="24"/>
          <w:lang w:val="pl-PL"/>
        </w:rPr>
        <w:t xml:space="preserve"> lica stara 15 i više godina u S</w:t>
      </w:r>
      <w:r w:rsidRPr="00802429">
        <w:rPr>
          <w:rFonts w:ascii="Times New Roman" w:hAnsi="Times New Roman"/>
          <w:sz w:val="24"/>
          <w:szCs w:val="24"/>
          <w:lang w:val="pl-PL"/>
        </w:rPr>
        <w:t xml:space="preserve">jevernom regionu iznosila je 45,2%, u </w:t>
      </w:r>
      <w:r w:rsidR="00ED1A3D">
        <w:rPr>
          <w:rFonts w:ascii="Times New Roman" w:hAnsi="Times New Roman"/>
          <w:sz w:val="24"/>
          <w:szCs w:val="24"/>
          <w:lang w:val="pl-PL"/>
        </w:rPr>
        <w:t>Središnjem</w:t>
      </w:r>
      <w:r w:rsidRPr="00802429">
        <w:rPr>
          <w:rFonts w:ascii="Times New Roman" w:hAnsi="Times New Roman"/>
          <w:sz w:val="24"/>
          <w:szCs w:val="24"/>
          <w:lang w:val="pl-PL"/>
        </w:rPr>
        <w:t xml:space="preserve"> regionu 56,8% i u </w:t>
      </w:r>
      <w:r w:rsidR="00ED1A3D">
        <w:rPr>
          <w:rFonts w:ascii="Times New Roman" w:hAnsi="Times New Roman"/>
          <w:sz w:val="24"/>
          <w:szCs w:val="24"/>
          <w:lang w:val="pl-PL"/>
        </w:rPr>
        <w:t>Primorskom</w:t>
      </w:r>
      <w:r w:rsidRPr="00802429">
        <w:rPr>
          <w:rFonts w:ascii="Times New Roman" w:hAnsi="Times New Roman"/>
          <w:sz w:val="24"/>
          <w:szCs w:val="24"/>
          <w:lang w:val="pl-PL"/>
        </w:rPr>
        <w:t xml:space="preserve"> 53,6%.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Najniža stopa aktivnosti je među stanovništvom starosti od 15 do 24 godine (u prosjeku 29,2%) i među stanovništvom starosti od 55 do 64 godine (u prosjeku 43,4%). Stopa aktivnosti je u 2014. godini bila najviša među stanovništvom visokog obrazovanja, bečelora (diplomiranih studenata), magistara ili doktora nauka 82,4%, a najniža kod lica bez formalnog obrazovanja (10%). Izražen je disparitet u pogledu stope aktivnosti po polu (stopa aktivnosti za odrasle muškarce u 2014. bila je 59,5%, a za odrasle žene 46,2%).</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Prema Anketi o radnoj snazi, stopa neaktivnosti odraslog stanovništva iznosila je 47,3% u 2014. godini. Oko 40,6% neaktivnog stanovništva su penzioneri, 25,2% studenti dok je 15,7% neaktivnog stanovništva zbog ličnih ili porodičnih razloga. Najveće učešće u neaktivnom stanovništvu ima starosna grupa od 15-24 (26,5%), zatim grupa 50-64 (23,5%).</w:t>
      </w:r>
    </w:p>
    <w:p w:rsidR="00B21EF9" w:rsidRPr="00802429" w:rsidRDefault="00B21EF9" w:rsidP="00A04DFB">
      <w:pPr>
        <w:spacing w:after="0" w:line="240" w:lineRule="auto"/>
        <w:jc w:val="both"/>
        <w:rPr>
          <w:rFonts w:ascii="Times New Roman" w:hAnsi="Times New Roman"/>
          <w:i/>
          <w:sz w:val="24"/>
          <w:szCs w:val="24"/>
        </w:rPr>
      </w:pPr>
    </w:p>
    <w:p w:rsidR="00B21EF9" w:rsidRPr="00802429" w:rsidRDefault="00B21EF9" w:rsidP="00A04DFB">
      <w:pPr>
        <w:spacing w:after="0" w:line="240" w:lineRule="auto"/>
        <w:jc w:val="both"/>
        <w:rPr>
          <w:rFonts w:ascii="Times New Roman" w:hAnsi="Times New Roman"/>
          <w:i/>
          <w:sz w:val="24"/>
          <w:szCs w:val="24"/>
        </w:rPr>
      </w:pPr>
    </w:p>
    <w:p w:rsidR="00B21EF9" w:rsidRPr="00802429" w:rsidRDefault="00B21EF9" w:rsidP="00385DEC">
      <w:pPr>
        <w:pStyle w:val="Heading2"/>
      </w:pPr>
      <w:bookmarkStart w:id="9" w:name="_Toc435454473"/>
      <w:r w:rsidRPr="00802429">
        <w:t>2.3  Trendovi na tržištu rada</w:t>
      </w:r>
      <w:bookmarkEnd w:id="9"/>
      <w:r w:rsidRPr="00802429">
        <w:t xml:space="preserve"> </w:t>
      </w:r>
    </w:p>
    <w:p w:rsidR="00B21EF9" w:rsidRPr="00802429" w:rsidRDefault="00B21EF9" w:rsidP="00A04DFB">
      <w:pPr>
        <w:autoSpaceDE w:val="0"/>
        <w:autoSpaceDN w:val="0"/>
        <w:adjustRightInd w:val="0"/>
        <w:spacing w:after="0" w:line="240" w:lineRule="auto"/>
        <w:ind w:firstLine="720"/>
        <w:jc w:val="both"/>
        <w:rPr>
          <w:rFonts w:ascii="Times New Roman" w:hAnsi="Times New Roman"/>
          <w:b/>
          <w:sz w:val="24"/>
          <w:szCs w:val="24"/>
          <w:lang w:val="pl-PL"/>
        </w:rPr>
      </w:pPr>
    </w:p>
    <w:p w:rsidR="00B21EF9" w:rsidRPr="00802429" w:rsidRDefault="00B21EF9" w:rsidP="00385DEC">
      <w:pPr>
        <w:pStyle w:val="Heading3"/>
        <w:rPr>
          <w:lang w:val="pl-PL"/>
        </w:rPr>
      </w:pPr>
      <w:bookmarkStart w:id="10" w:name="_Toc435454474"/>
      <w:r w:rsidRPr="00802429">
        <w:rPr>
          <w:lang w:val="pl-PL"/>
        </w:rPr>
        <w:t>2.3.1. Kretanje osnovnih pokazatelja tržišta rada u periodu 2011–2014. godine</w:t>
      </w:r>
      <w:bookmarkEnd w:id="10"/>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Prema podacima iz Ankete o radnoj snazi, koju sprovodi MONSTAT, zaposlenost je na većem nivou i ona je u 2011. godini iznosila 196.000</w:t>
      </w:r>
      <w:r w:rsidRPr="00802429">
        <w:rPr>
          <w:rStyle w:val="FootnoteReference"/>
          <w:rFonts w:ascii="Times New Roman" w:hAnsi="Times New Roman"/>
          <w:sz w:val="24"/>
          <w:szCs w:val="24"/>
          <w:lang w:val="pl-PL"/>
        </w:rPr>
        <w:footnoteReference w:id="7"/>
      </w:r>
      <w:r w:rsidRPr="00802429">
        <w:rPr>
          <w:rFonts w:ascii="Times New Roman" w:hAnsi="Times New Roman"/>
          <w:sz w:val="24"/>
          <w:szCs w:val="24"/>
          <w:lang w:val="pl-PL"/>
        </w:rPr>
        <w:t xml:space="preserve">, dok se u 2014. na tržištu rada Crne Gore nalazilo 216.300 zaposlenih lica. Godišnje stope rasta zaposlenosti u periodu od 2011. do 2014. godine, iznosile su 2,5%, 0,4% i 7,1%. Stopa zaposlenosti stanovništva radnog </w:t>
      </w:r>
      <w:r w:rsidRPr="00802429">
        <w:rPr>
          <w:rFonts w:ascii="Times New Roman" w:hAnsi="Times New Roman"/>
          <w:sz w:val="24"/>
          <w:szCs w:val="24"/>
          <w:lang w:val="pl-PL"/>
        </w:rPr>
        <w:lastRenderedPageBreak/>
        <w:t>uzrasta prema podacima ARS-a u posmatranom periodu bila je 45,9% u 2011. godini, 47% u 2012. godini 47,4% u 2013. godini, dok je u 2014. godini ona iznosila 50,4%. Odnos broja zaposlenih i broja odraslog stanovništva (preko 15 godina starosti) je prema podacima za 2014. godinu na nivou od 43,2%, što je ispod prosjeka.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Prema podacima Zavoda za zapošljavanje, nezaposlenost se konstantno povećavala u periodu 2011-2014. Broj registrovanih nezaposlenih porastao je sa 30.521 u 2011. na 34.687 u 2014. godini, bilježeći tako godišnje stope rasta od 2,3%, 10,5% i 0,5% u 2012, 2013 i 2014. godini, respektivno.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Prema podacima ARS-a u 2011. bilo je 48.100 nezaposlenih dok je u 2014. godini nezaposlenost bila na nešto nižem nivou i iznosila je 47.500. Godišnje stope rasta nezaposlenosti prema ovom izvoru u posmatranom periodu iznosile su 2,7% (2012.godina), -1% (2013. godina) i -2,9% (2014. godina). Kao što podaci pokazuju broj nezaposlenih prema ARS-u je u 2014. godini za oko 37% veći nego broj nezaposlenih prema evidenciji Zavoda.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Stopa nezaposlenosti je prema podacima ZZCG neprekidno rasla do 2014. godine. Tako, podaci pokazuju da je stopa bila na nivou od 11,6% (2011. godine), 13,5% (2012. godine), 14,9% u 2013. godini i 15% u 2014. godini. Podaci o stopi nezaposlenosti iz ARS-a u potpunosti su drugačiji i ukazuju na blago ali konstantno smanjenje vrijednosti ovog pokazatelja. Tako je u 2011. godini stopa iznosila 19,9%, 19,7% u 2012. godini, 19,6% u 2013. godini i konačno 18,2% u 2014. </w:t>
      </w:r>
    </w:p>
    <w:p w:rsidR="00B21EF9" w:rsidRPr="00802429" w:rsidRDefault="00B21EF9" w:rsidP="00A04DFB">
      <w:pPr>
        <w:autoSpaceDE w:val="0"/>
        <w:autoSpaceDN w:val="0"/>
        <w:adjustRightInd w:val="0"/>
        <w:spacing w:after="0" w:line="240" w:lineRule="auto"/>
        <w:jc w:val="both"/>
        <w:rPr>
          <w:rFonts w:ascii="Times New Roman" w:hAnsi="Times New Roman"/>
          <w:b/>
          <w:sz w:val="24"/>
          <w:szCs w:val="24"/>
          <w:lang w:val="pl-PL"/>
        </w:rPr>
      </w:pPr>
    </w:p>
    <w:p w:rsidR="00B21EF9" w:rsidRPr="00802429" w:rsidRDefault="00B21EF9" w:rsidP="00385DEC">
      <w:pPr>
        <w:pStyle w:val="Heading3"/>
        <w:rPr>
          <w:lang w:val="pl-PL"/>
        </w:rPr>
      </w:pPr>
      <w:bookmarkStart w:id="11" w:name="_Toc435454475"/>
      <w:r w:rsidRPr="00802429">
        <w:rPr>
          <w:lang w:val="pl-PL"/>
        </w:rPr>
        <w:t>2.3.2. Uticaj krize na tržište rada</w:t>
      </w:r>
      <w:bookmarkEnd w:id="11"/>
    </w:p>
    <w:p w:rsidR="00B21EF9" w:rsidRPr="00802429" w:rsidRDefault="00B21EF9" w:rsidP="00A04DFB">
      <w:pPr>
        <w:autoSpaceDE w:val="0"/>
        <w:autoSpaceDN w:val="0"/>
        <w:adjustRightInd w:val="0"/>
        <w:spacing w:after="0" w:line="240" w:lineRule="auto"/>
        <w:ind w:firstLine="720"/>
        <w:jc w:val="both"/>
        <w:rPr>
          <w:rFonts w:ascii="Times New Roman" w:hAnsi="Times New Roman"/>
          <w:b/>
          <w:sz w:val="24"/>
          <w:szCs w:val="24"/>
          <w:lang w:val="pl-PL"/>
        </w:rPr>
      </w:pPr>
    </w:p>
    <w:p w:rsidR="00B21EF9"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 xml:space="preserve">Globalna ekonomska kriza je negativno uticala na tržište rada u Crnoj Gori, a prvenstveno je pogodila industrijski sektor. Još tokom 2009. godine KAP, Željezara Nikšić, Rudnici boksita Nikšić, Rudnik uglja Pljevlja počeli su da smanjuju broj radnika kroz program restrukturiranja, ali zbog uticaja globalne krize, samnjenje broja zaposlenih se nastavilo i tokom 2010. godine. </w:t>
      </w:r>
    </w:p>
    <w:p w:rsidR="00FD12BF" w:rsidRPr="00F32641" w:rsidRDefault="00FD12BF" w:rsidP="00A04DFB">
      <w:pPr>
        <w:autoSpaceDE w:val="0"/>
        <w:autoSpaceDN w:val="0"/>
        <w:adjustRightInd w:val="0"/>
        <w:spacing w:after="0" w:line="240" w:lineRule="auto"/>
        <w:jc w:val="both"/>
        <w:rPr>
          <w:rFonts w:ascii="Times New Roman" w:hAnsi="Times New Roman"/>
          <w:sz w:val="24"/>
          <w:szCs w:val="24"/>
          <w:lang w:val="pl-PL"/>
        </w:rPr>
      </w:pP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U Crnoj Gori kriza nije uticala intenzivnije na žene nego na muškarce po pitanju gubitka radnih mjesta, s obzirom na to da je njihovo učešće u ukupnoj nezaposlenosti opalo sa 46,9% u 2009. godini na 44,9% u 2011. godini, da bi ponovo poraslo na 45,5% u 2014. godini, ali ipak znatno niže od inicijalnog nivoa.</w:t>
      </w: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Analiza nezaposlenosti po godinama starosti pokazuje da je nezaposlenost najviše porasla kod pripadnika starosne grupe 15-24. Stopa nezaposlenosti kod mladih je u 2013. godini porasla na 41,6%, što je rast od oko 12% u odnosu na nivo iz 2011. Nakon kontinuiranog rasta, stopa nezaposlenosti za ovu starosnu kategoriju drastično je opala u 2014. godini kada je iznosila 35,8%. Takođe, u prvom talasu krize značajno je poraslo učešće onih koji na zaposlenje čekaju preko jedne godine, što sugeriše da su dugoročno nezaposlena lica među najizloženijim uticajima krize. Ipak u 2014. godini došlo je do zaustavljanja negativnog trenda i smanjenja učešća dugoročno nezaposlenih u ukupnom broju nezaposlenih.</w:t>
      </w: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Ukoliko se posmatra uticaj krize na zaposlene prema nivou obrazovanja, zaključuje se da su osobe sa srednjim i visokim obrazovanjem najviše izložene uticaju krize, što se može objasniti činjenicom da je smanjeno otvaranje novih radnih mjesta, a broj onih koji su završili srednje i visoko obrazovanje je porastao u odnosu na period prije krize.</w:t>
      </w: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lastRenderedPageBreak/>
        <w:t>Regionalne razlike su u Crnoj Gori bile veoma izrazite i prije krize, tako da kriza nije uticala</w:t>
      </w: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na dalje produbljivanje tih razlika, ali nije došlo ni do njihovog smanjivanja.</w:t>
      </w:r>
    </w:p>
    <w:p w:rsidR="00B21EF9" w:rsidRPr="00F32641"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F32641">
        <w:rPr>
          <w:rFonts w:ascii="Times New Roman" w:hAnsi="Times New Roman"/>
          <w:sz w:val="24"/>
          <w:szCs w:val="24"/>
          <w:lang w:val="pl-PL"/>
        </w:rPr>
        <w:t>Negativni efekti krize se u prvim godinama njenog nastanka nijesu znatnije odrazili na nivo zarada u Crnoj Gori s obzirom na to da su prosječne bruto i neto zarade rasle. Nakon 2011. godine došlo je do pada kako neto tako i bruto zarada, a najveći kumulativni pad neto zarada po sektorima u periodu 2012-2014, zabilježen je u sektoru Poljoprivrede šumarstva i ribarstva (oko 20%) i Poslovanju sa nekretninama (oko 17,4%).</w:t>
      </w:r>
    </w:p>
    <w:p w:rsidR="00B21EF9" w:rsidRPr="00802429" w:rsidRDefault="00B21EF9" w:rsidP="00A04DFB">
      <w:pPr>
        <w:autoSpaceDE w:val="0"/>
        <w:autoSpaceDN w:val="0"/>
        <w:adjustRightInd w:val="0"/>
        <w:spacing w:after="0" w:line="240" w:lineRule="auto"/>
        <w:ind w:firstLine="720"/>
        <w:jc w:val="both"/>
        <w:rPr>
          <w:rFonts w:ascii="Times New Roman" w:hAnsi="Times New Roman"/>
          <w:b/>
          <w:sz w:val="24"/>
          <w:szCs w:val="24"/>
          <w:lang w:val="pl-PL"/>
        </w:rPr>
      </w:pPr>
    </w:p>
    <w:p w:rsidR="00B21EF9" w:rsidRPr="00802429" w:rsidRDefault="00B21EF9" w:rsidP="00385DEC">
      <w:pPr>
        <w:pStyle w:val="Heading3"/>
        <w:rPr>
          <w:lang w:val="pl-PL"/>
        </w:rPr>
      </w:pPr>
      <w:bookmarkStart w:id="12" w:name="_Toc435454476"/>
      <w:r w:rsidRPr="00802429">
        <w:rPr>
          <w:lang w:val="pl-PL"/>
        </w:rPr>
        <w:t>2.3.3. Karakteristike zaposlenosti</w:t>
      </w:r>
      <w:bookmarkEnd w:id="12"/>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 xml:space="preserve">Analiza zaposlenosti po sektorima pokazuje sličan obrazac kao i u drugim tranzicionim ekonomijama, kod kojih zaposlenost u sektoru usluga raste, a na račun smanjenja zaposlenosti u sektoru industrije. Prema podacima za 2010. godinu 20% od ukupno zaposlenih u Crnoj Gori </w:t>
      </w:r>
      <w:r w:rsidR="005A0F17" w:rsidRPr="0011486C">
        <w:rPr>
          <w:rFonts w:ascii="Times New Roman" w:hAnsi="Times New Roman"/>
          <w:sz w:val="24"/>
          <w:szCs w:val="24"/>
          <w:lang w:val="pl-PL"/>
        </w:rPr>
        <w:t>bilo je</w:t>
      </w:r>
      <w:r w:rsidRPr="0011486C">
        <w:rPr>
          <w:rFonts w:ascii="Times New Roman" w:hAnsi="Times New Roman"/>
          <w:sz w:val="24"/>
          <w:szCs w:val="24"/>
          <w:lang w:val="pl-PL"/>
        </w:rPr>
        <w:t xml:space="preserve"> zaposleno u sektoru industrije, 6,2% u sektoru poljoprivrede a 73,9% u uslužnim sektorima, uključujući i javni sektor, dok je u 2014. godini ta</w:t>
      </w:r>
      <w:r w:rsidR="005A0F17" w:rsidRPr="0011486C">
        <w:rPr>
          <w:rFonts w:ascii="Times New Roman" w:hAnsi="Times New Roman"/>
          <w:sz w:val="24"/>
          <w:szCs w:val="24"/>
          <w:lang w:val="pl-PL"/>
        </w:rPr>
        <w:t xml:space="preserve"> struktura</w:t>
      </w:r>
      <w:r w:rsidRPr="0011486C">
        <w:rPr>
          <w:rFonts w:ascii="Times New Roman" w:hAnsi="Times New Roman"/>
          <w:sz w:val="24"/>
          <w:szCs w:val="24"/>
          <w:lang w:val="pl-PL"/>
        </w:rPr>
        <w:t xml:space="preserve"> još više na strani uslužnog sektora, tako da je 17,6% od ukupno zaposlenih zaposleno u sektoru industrije, 5,7% u sektoru poljoprivrede a 76,8%</w:t>
      </w:r>
      <w:r w:rsidRPr="0011486C">
        <w:rPr>
          <w:rStyle w:val="FootnoteReference"/>
          <w:rFonts w:ascii="Times New Roman" w:hAnsi="Times New Roman"/>
          <w:sz w:val="24"/>
          <w:szCs w:val="24"/>
          <w:lang w:val="pl-PL"/>
        </w:rPr>
        <w:footnoteReference w:id="8"/>
      </w:r>
      <w:r w:rsidRPr="0011486C">
        <w:rPr>
          <w:rFonts w:ascii="Times New Roman" w:hAnsi="Times New Roman"/>
          <w:sz w:val="24"/>
          <w:szCs w:val="24"/>
          <w:lang w:val="pl-PL"/>
        </w:rPr>
        <w:t xml:space="preserve"> u uslužnim sektorima, takođe  uključujući i javni sektor. Povećanje zaposlenih u sektoru usluga je prvenstveno uslovljeno razvojem turizma kao i rastom zaposlenosti u trgovini, poslovima sa nekretninama i poslovima finansijskog posredovanja.</w:t>
      </w: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Regionalne razlike jedna su od karakteristika tržišta rada. Stopa zaposlenosti odraslog stanovništva u 2014. godini u sjevernom regionu (27,5%) je za oko 15 procentnih poena niža od prosjeka u Crnoj Gori i za oko 20</w:t>
      </w:r>
      <w:r w:rsidR="005A0F17" w:rsidRPr="0011486C">
        <w:rPr>
          <w:rFonts w:ascii="Times New Roman" w:hAnsi="Times New Roman"/>
          <w:sz w:val="24"/>
          <w:szCs w:val="24"/>
          <w:lang w:val="pl-PL"/>
        </w:rPr>
        <w:t xml:space="preserve"> poena niža</w:t>
      </w:r>
      <w:r w:rsidRPr="0011486C">
        <w:rPr>
          <w:rFonts w:ascii="Times New Roman" w:hAnsi="Times New Roman"/>
          <w:sz w:val="24"/>
          <w:szCs w:val="24"/>
          <w:lang w:val="pl-PL"/>
        </w:rPr>
        <w:t xml:space="preserve"> od stope u druga dva regiona. Takođe, prema podacima za 2014. godinu od ukupnog broja zaposlenih 28,2% zaposleno je u </w:t>
      </w:r>
      <w:r w:rsidR="00484C14" w:rsidRPr="0011486C">
        <w:rPr>
          <w:rFonts w:ascii="Times New Roman" w:hAnsi="Times New Roman"/>
          <w:sz w:val="24"/>
          <w:szCs w:val="24"/>
          <w:lang w:val="pl-PL"/>
        </w:rPr>
        <w:t>Primorskom</w:t>
      </w:r>
      <w:r w:rsidRPr="0011486C">
        <w:rPr>
          <w:rFonts w:ascii="Times New Roman" w:hAnsi="Times New Roman"/>
          <w:sz w:val="24"/>
          <w:szCs w:val="24"/>
          <w:lang w:val="pl-PL"/>
        </w:rPr>
        <w:t xml:space="preserve"> regionu, 53,7% u </w:t>
      </w:r>
      <w:r w:rsidR="00ED1A3D" w:rsidRPr="0011486C">
        <w:rPr>
          <w:rFonts w:ascii="Times New Roman" w:hAnsi="Times New Roman"/>
          <w:sz w:val="24"/>
          <w:szCs w:val="24"/>
          <w:lang w:val="pl-PL"/>
        </w:rPr>
        <w:t>Središnjem</w:t>
      </w:r>
      <w:r w:rsidRPr="0011486C">
        <w:rPr>
          <w:rFonts w:ascii="Times New Roman" w:hAnsi="Times New Roman"/>
          <w:sz w:val="24"/>
          <w:szCs w:val="24"/>
          <w:lang w:val="pl-PL"/>
        </w:rPr>
        <w:t xml:space="preserve"> i svega 18,1% u </w:t>
      </w:r>
      <w:r w:rsidR="00484C14" w:rsidRPr="0011486C">
        <w:rPr>
          <w:rFonts w:ascii="Times New Roman" w:hAnsi="Times New Roman"/>
          <w:sz w:val="24"/>
          <w:szCs w:val="24"/>
          <w:lang w:val="pl-PL"/>
        </w:rPr>
        <w:t>S</w:t>
      </w:r>
      <w:r w:rsidRPr="0011486C">
        <w:rPr>
          <w:rFonts w:ascii="Times New Roman" w:hAnsi="Times New Roman"/>
          <w:sz w:val="24"/>
          <w:szCs w:val="24"/>
          <w:lang w:val="pl-PL"/>
        </w:rPr>
        <w:t>jevernom regionu.</w:t>
      </w: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Starosna struktura zaposlenih je nepovoljna. Tako, zaposleni starosti između 25 i 49 godina imaju najveću stopu zaposlenosti od 64,9%, dok u slučaju mladih, ona iznosi svega 18,8%. Takodje, prema podacima za 2014. godinu mladi starosti između 15 i 24 godine čine svega 7,7% ukupnog broja zaposlenih u Crnoj Gori dok grupa od 55 do 64 godine starosti učestvuje u ukupnoj zaposlenosti sa 13,4%.</w:t>
      </w: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Struktura zaposlenih po polu pokazuje da od ukupnih zaposlenih 55% čine muškarci, dok ostalih 4</w:t>
      </w:r>
      <w:r w:rsidR="005B5982" w:rsidRPr="0011486C">
        <w:rPr>
          <w:rFonts w:ascii="Times New Roman" w:hAnsi="Times New Roman"/>
          <w:sz w:val="24"/>
          <w:szCs w:val="24"/>
          <w:lang w:val="pl-PL"/>
        </w:rPr>
        <w:t>5</w:t>
      </w:r>
      <w:r w:rsidRPr="0011486C">
        <w:rPr>
          <w:rFonts w:ascii="Times New Roman" w:hAnsi="Times New Roman"/>
          <w:sz w:val="24"/>
          <w:szCs w:val="24"/>
          <w:lang w:val="pl-PL"/>
        </w:rPr>
        <w:t>% zaposlenih čine žene. Takođe, stopa zaposlenosti kod žena je za oko 5 procentnih poena niža od prosječne stope zaposlenosti.</w:t>
      </w: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Od ukupnog broja zaposlenih u Crnoj Gori u 2014. godini 40,7% imaju završeno srednje stručno obrazovanje, što je za čak 10 procentnih poena manje nego prije samo četiri godine</w:t>
      </w:r>
      <w:r w:rsidRPr="00802429">
        <w:rPr>
          <w:rFonts w:ascii="Times New Roman" w:hAnsi="Times New Roman"/>
          <w:sz w:val="24"/>
          <w:szCs w:val="24"/>
          <w:lang w:val="pl-PL"/>
        </w:rPr>
        <w:t xml:space="preserve">. Ovo smanjenje učešća zaposlenih sa srednjim obrazovanjem propraćeno je većom zastupljenošću  onih koji imaju završeno visoko obrazovanje, te je tako sa nivoa od 18% u 2010. učešće zaposlenih sa završenim visokim obrazovanjem naraslo na 24,7%. Ukoliko analiziramo stope zaposlenosti prema stepenu obrazovanja, zaključujemo da je stopa najveća kod onih sa visokim obrazovanjem, 70,5% a najniža kod osoba bez škole ili sa nepotpunom </w:t>
      </w:r>
      <w:r w:rsidRPr="00802429">
        <w:rPr>
          <w:rFonts w:ascii="Times New Roman" w:hAnsi="Times New Roman"/>
          <w:sz w:val="24"/>
          <w:szCs w:val="24"/>
          <w:lang w:val="pl-PL"/>
        </w:rPr>
        <w:lastRenderedPageBreak/>
        <w:t xml:space="preserve">osnovnom školom. Takođe, stopa zaposlenosti je uveliko iznad prosjeka i kod onih osoba sa završenim srednjim stručnim </w:t>
      </w:r>
      <w:r w:rsidRPr="0011486C">
        <w:rPr>
          <w:rFonts w:ascii="Times New Roman" w:hAnsi="Times New Roman"/>
          <w:sz w:val="24"/>
          <w:szCs w:val="24"/>
          <w:lang w:val="pl-PL"/>
        </w:rPr>
        <w:t>obrazovanjem (56%).</w:t>
      </w:r>
    </w:p>
    <w:p w:rsidR="00B21EF9" w:rsidRPr="0011486C"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11486C">
        <w:rPr>
          <w:rFonts w:ascii="Times New Roman" w:hAnsi="Times New Roman"/>
          <w:sz w:val="24"/>
          <w:szCs w:val="24"/>
          <w:lang w:val="pl-PL"/>
        </w:rPr>
        <w:t>Jedna od karakteristika tr</w:t>
      </w:r>
      <w:r w:rsidRPr="0011486C">
        <w:rPr>
          <w:rFonts w:ascii="Times New Roman" w:hAnsi="Times New Roman"/>
          <w:sz w:val="24"/>
          <w:szCs w:val="24"/>
        </w:rPr>
        <w:t>ž</w:t>
      </w:r>
      <w:r w:rsidRPr="0011486C">
        <w:rPr>
          <w:rFonts w:ascii="Times New Roman" w:hAnsi="Times New Roman"/>
          <w:sz w:val="24"/>
          <w:szCs w:val="24"/>
          <w:lang w:val="pl-PL"/>
        </w:rPr>
        <w:t>ista rada u Crnoj Gori je i značajan nivo zapošljavanja stranaca posebno u vrijeme turističke sezone. Tako je, prema podacima Zavoda za zapošljavanje u 2013. zaposleno 22.498, a u 2014. godini 23.061 stranaca. Većina sezonskih radnika u 2014. godini je dolazila iz zemalja Zapadnog Balkana, i to Srbije (44,6%), Bosne i Hercegovine (20%) i Makedonije (6,2%</w:t>
      </w:r>
      <w:r w:rsidR="00595A0C" w:rsidRPr="0011486C">
        <w:rPr>
          <w:rFonts w:ascii="Times New Roman" w:hAnsi="Times New Roman"/>
          <w:sz w:val="24"/>
          <w:szCs w:val="24"/>
          <w:lang w:val="pl-PL"/>
        </w:rPr>
        <w:t>), sa naglaskom da je pos</w:t>
      </w:r>
      <w:r w:rsidRPr="0011486C">
        <w:rPr>
          <w:rFonts w:ascii="Times New Roman" w:hAnsi="Times New Roman"/>
          <w:sz w:val="24"/>
          <w:szCs w:val="24"/>
          <w:lang w:val="pl-PL"/>
        </w:rPr>
        <w:t>l</w:t>
      </w:r>
      <w:r w:rsidR="00595A0C" w:rsidRPr="0011486C">
        <w:rPr>
          <w:rFonts w:ascii="Times New Roman" w:hAnsi="Times New Roman"/>
          <w:sz w:val="24"/>
          <w:szCs w:val="24"/>
          <w:lang w:val="pl-PL"/>
        </w:rPr>
        <w:t>e</w:t>
      </w:r>
      <w:r w:rsidRPr="0011486C">
        <w:rPr>
          <w:rFonts w:ascii="Times New Roman" w:hAnsi="Times New Roman"/>
          <w:sz w:val="24"/>
          <w:szCs w:val="24"/>
          <w:lang w:val="pl-PL"/>
        </w:rPr>
        <w:t>dnjih godina</w:t>
      </w:r>
      <w:r w:rsidRPr="00802429">
        <w:rPr>
          <w:rFonts w:ascii="Times New Roman" w:hAnsi="Times New Roman"/>
          <w:sz w:val="24"/>
          <w:szCs w:val="24"/>
          <w:lang w:val="pl-PL"/>
        </w:rPr>
        <w:t xml:space="preserve"> sve veći broj zaposlenih koji dolaze iz Rusije. Deficitarni sezonski poslovi su u oblasti turizma, hotelskom i restoranskom menadžmentu i građevinarstvu.</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385DEC">
      <w:pPr>
        <w:pStyle w:val="Heading3"/>
        <w:rPr>
          <w:lang w:val="pl-PL"/>
        </w:rPr>
      </w:pPr>
      <w:bookmarkStart w:id="13" w:name="_Toc435454477"/>
      <w:r w:rsidRPr="00802429">
        <w:rPr>
          <w:lang w:val="pl-PL"/>
        </w:rPr>
        <w:t>2.3.4.Karakteristike nezaposlenosti</w:t>
      </w:r>
      <w:bookmarkEnd w:id="13"/>
    </w:p>
    <w:p w:rsidR="00B21EF9" w:rsidRPr="00802429" w:rsidRDefault="00B21EF9" w:rsidP="00A04DFB">
      <w:pPr>
        <w:autoSpaceDE w:val="0"/>
        <w:autoSpaceDN w:val="0"/>
        <w:adjustRightInd w:val="0"/>
        <w:spacing w:after="0" w:line="240" w:lineRule="auto"/>
        <w:ind w:firstLine="720"/>
        <w:jc w:val="both"/>
        <w:rPr>
          <w:rFonts w:ascii="Times New Roman" w:hAnsi="Times New Roman"/>
          <w:b/>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Problem nezaposlenosti mladih jedan je od dominantnih problema ukupne nezaposlenosti u Crnoj Gori. Iako je u 2014. godini ostvaren značajan pad stope nezaposlenosti lica uzrasta 15-24 godine, ona je još uv</w:t>
      </w:r>
      <w:r w:rsidR="00BC0370">
        <w:rPr>
          <w:rFonts w:ascii="Times New Roman" w:hAnsi="Times New Roman"/>
          <w:sz w:val="24"/>
          <w:szCs w:val="24"/>
          <w:lang w:val="pl-PL"/>
        </w:rPr>
        <w:t>ij</w:t>
      </w:r>
      <w:r w:rsidRPr="00802429">
        <w:rPr>
          <w:rFonts w:ascii="Times New Roman" w:hAnsi="Times New Roman"/>
          <w:sz w:val="24"/>
          <w:szCs w:val="24"/>
          <w:lang w:val="pl-PL"/>
        </w:rPr>
        <w:t>ek na visokom nivou od 35,8%, a učešće mladih u ukupnoj nezaposlenosti na nivou je od 19,6%. Dodatno, mladi su starosna grupa koja ima stopu nezaposlenosti veću od prosjeka populacije (18,2% u 2014.) i više nego dvostruko veću nego kod odraslih (za starosnu grupu od 25-64 godine – 16,2%).</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C0370" w:rsidP="00A04DFB">
      <w:pPr>
        <w:autoSpaceDE w:val="0"/>
        <w:autoSpaceDN w:val="0"/>
        <w:adjustRightInd w:val="0"/>
        <w:spacing w:after="0" w:line="240" w:lineRule="auto"/>
        <w:jc w:val="both"/>
        <w:rPr>
          <w:rFonts w:ascii="Times New Roman" w:hAnsi="Times New Roman"/>
          <w:sz w:val="24"/>
          <w:szCs w:val="24"/>
          <w:lang w:val="pl-PL"/>
        </w:rPr>
      </w:pPr>
      <w:r>
        <w:rPr>
          <w:rFonts w:ascii="Times New Roman" w:hAnsi="Times New Roman"/>
          <w:sz w:val="24"/>
          <w:szCs w:val="24"/>
          <w:lang w:val="pl-PL"/>
        </w:rPr>
        <w:t>Dugoročna ne</w:t>
      </w:r>
      <w:r w:rsidR="00B21EF9" w:rsidRPr="00802429">
        <w:rPr>
          <w:rFonts w:ascii="Times New Roman" w:hAnsi="Times New Roman"/>
          <w:sz w:val="24"/>
          <w:szCs w:val="24"/>
          <w:lang w:val="pl-PL"/>
        </w:rPr>
        <w:t xml:space="preserve">zaposlenost se takođe smanjila u 2014. godini ali je ona i dalje na veoma visokom nivou (77,5% prema podacima ARS-a i 55,8% prema podacima ZZCG). Najveće učešće među dugoročno nezaposlenima (više od 1/3) čine osobe koje traže posao do 1 do 3 godine.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 xml:space="preserve">Posmatrano prema regionima, nezaposlenost je najniža u </w:t>
      </w:r>
      <w:r w:rsidR="00290AAB">
        <w:rPr>
          <w:rFonts w:ascii="Times New Roman" w:hAnsi="Times New Roman"/>
          <w:sz w:val="24"/>
          <w:szCs w:val="24"/>
          <w:lang w:val="pl-PL"/>
        </w:rPr>
        <w:t>Primorskom</w:t>
      </w:r>
      <w:r w:rsidRPr="00802429">
        <w:rPr>
          <w:rFonts w:ascii="Times New Roman" w:hAnsi="Times New Roman"/>
          <w:sz w:val="24"/>
          <w:szCs w:val="24"/>
          <w:lang w:val="pl-PL"/>
        </w:rPr>
        <w:t xml:space="preserve"> regionu, a najviša u </w:t>
      </w:r>
      <w:r w:rsidR="00290AAB">
        <w:rPr>
          <w:rFonts w:ascii="Times New Roman" w:hAnsi="Times New Roman"/>
          <w:sz w:val="24"/>
          <w:szCs w:val="24"/>
          <w:lang w:val="pl-PL"/>
        </w:rPr>
        <w:t>S</w:t>
      </w:r>
      <w:r w:rsidRPr="00802429">
        <w:rPr>
          <w:rFonts w:ascii="Times New Roman" w:hAnsi="Times New Roman"/>
          <w:sz w:val="24"/>
          <w:szCs w:val="24"/>
          <w:lang w:val="pl-PL"/>
        </w:rPr>
        <w:t xml:space="preserve">jevernom regionu. </w:t>
      </w:r>
      <w:r w:rsidR="00290AAB">
        <w:rPr>
          <w:rFonts w:ascii="Times New Roman" w:hAnsi="Times New Roman"/>
          <w:sz w:val="24"/>
          <w:szCs w:val="24"/>
          <w:lang w:val="pl-PL"/>
        </w:rPr>
        <w:t>Primorski</w:t>
      </w:r>
      <w:r w:rsidRPr="00802429">
        <w:rPr>
          <w:rFonts w:ascii="Times New Roman" w:hAnsi="Times New Roman"/>
          <w:sz w:val="24"/>
          <w:szCs w:val="24"/>
          <w:lang w:val="pl-PL"/>
        </w:rPr>
        <w:t xml:space="preserve"> region bilježi prosjek nezaposlenosti od oko 6,7%, </w:t>
      </w:r>
      <w:r w:rsidR="00290AAB">
        <w:rPr>
          <w:rFonts w:ascii="Times New Roman" w:hAnsi="Times New Roman"/>
          <w:sz w:val="24"/>
          <w:szCs w:val="24"/>
          <w:lang w:val="pl-PL"/>
        </w:rPr>
        <w:t>Središnji</w:t>
      </w:r>
      <w:r w:rsidRPr="00802429">
        <w:rPr>
          <w:rFonts w:ascii="Times New Roman" w:hAnsi="Times New Roman"/>
          <w:sz w:val="24"/>
          <w:szCs w:val="24"/>
          <w:lang w:val="pl-PL"/>
        </w:rPr>
        <w:t xml:space="preserve"> oko 13,4% (sama Podgorica je oko 12,5%) dok sjeverni region bilježi prosječnu stopu nezaposlenosti od čak 39%.</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Prema nivou obrazovanja najmanje učešće u nezaposlenosti bilježe nezaposleni iz grupe sa VI, VII i VIII stepenom obrazovanja, dok najveće učešće bilježe oni sa III, IV i V stepenom obrazovanja. Struktura nezaposlenosti prema radnom iskustvu ukazuje da oni koji po prvi put traže posao čine jednu četvrtinu ukupno nezaposlenih u 2014. godini. U strukturi ovih lica najviše je onih sa srednjom školskom spremom dok je najmanje onih sa univerzitetskom diplomom. Među nezaposlenim sa radnim iskustvom dominiraju lica sa stažom od 20-30 godina kao i oni sa stažom od 10-20 godina.</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Jedan od pozitivnih trendova je smanjenje učešća žena u ukupnoj nezaposlenosti koje je evidentno poslednjih godina, čemu je značajno doprinjelo otv</w:t>
      </w:r>
      <w:r w:rsidR="00AB7C61">
        <w:rPr>
          <w:rFonts w:ascii="Times New Roman" w:hAnsi="Times New Roman"/>
          <w:sz w:val="24"/>
          <w:szCs w:val="24"/>
          <w:lang w:val="pl-PL"/>
        </w:rPr>
        <w:t>a</w:t>
      </w:r>
      <w:r w:rsidRPr="00802429">
        <w:rPr>
          <w:rFonts w:ascii="Times New Roman" w:hAnsi="Times New Roman"/>
          <w:sz w:val="24"/>
          <w:szCs w:val="24"/>
          <w:lang w:val="pl-PL"/>
        </w:rPr>
        <w:t xml:space="preserve">ranje novih radnih mjesta posebno u sektorima u kojima su žene </w:t>
      </w:r>
      <w:r w:rsidR="00996BA9">
        <w:rPr>
          <w:rFonts w:ascii="Times New Roman" w:hAnsi="Times New Roman"/>
          <w:sz w:val="24"/>
          <w:szCs w:val="24"/>
          <w:lang w:val="pl-PL"/>
        </w:rPr>
        <w:t>zastupljenije</w:t>
      </w:r>
      <w:r w:rsidRPr="00802429">
        <w:rPr>
          <w:rFonts w:ascii="Times New Roman" w:hAnsi="Times New Roman"/>
          <w:sz w:val="24"/>
          <w:szCs w:val="24"/>
          <w:lang w:val="pl-PL"/>
        </w:rPr>
        <w:t>, kao što su trgovina, turizam i sl. Najviša stopa nezaposlenosti zabilježena je kod žena sa završenom osnovnom školom (gotovo 34%) dok je najniža stopa zabilježena kod žena sa visokim obrazovanjem.</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Nezaposlenost je i karakteristika ranjivih grupa. U Crnoj Gori, prema širem pristupu, to su slabo obrazovani i oni bez kompetencija za određene vrste poslova, lica sa invaliditetom, Romi, Aškalije, Egipćani, izbjeglice i interno raseljena lica, dugoročno nezaposleni, nezaposleni u manje razvijenim oblastima itd. Indikativan je rast učešća ovih grupa u ukupnoj nezaposlenosti. Istovremeno, oni su dugoročno u lošoj materijalnoj situaciji i imaju male šanse da nađu posao uslijed manjka vještina i češće su zavisni od socijalne pomoći.</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385DEC">
      <w:pPr>
        <w:pStyle w:val="Heading3"/>
        <w:rPr>
          <w:lang w:val="pl-PL"/>
        </w:rPr>
      </w:pPr>
      <w:bookmarkStart w:id="14" w:name="_Toc435454478"/>
      <w:r w:rsidRPr="00802429">
        <w:rPr>
          <w:lang w:val="pl-PL"/>
        </w:rPr>
        <w:t>2.3.5. Ponuda i tražnja za radnom snagom</w:t>
      </w:r>
      <w:bookmarkEnd w:id="14"/>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Tržište rada u Crnoj Gori je do 2008. godine karakterisala relativno visoka tražnja zahvaljujući privrednom rastu. Međutim, ekonomsko-finansijska kriza uticala je na znatan pad tražnje za radom. Evidentna je i promjena strukure tražnje i to smanjenje tražnje u sektorima trgovine i industrije, a povećanje u sektorima građevinarstva i turizma i ugostiteljstva. U pogledu kvalifikacione strukture tražnje, prema podacima za 2014. godinu, učešće nekvalifikovane i polukvalifikovane radne snage u ukupnoj tražnji bilo je na nivou od 60,6%, tražnja za srednjom stručnom spremom svedena je na 23,5%, a tražnja za visokim obrazovanjem iznosila je 15,8% ukupne tražnje.</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Ukupna ponuda radne snage u 2014. je za 0,5% veća u odnosu na 2013. godinu. Ponuda visoko obrazovane radne snage ima znatan trend rasta, što je posljedica velikog povećanja broja studenata na visokoškolskim ustanovama. S obzirom na to da se očekuje nastavak trenda rasta priliva diplomiranih visokoškolaca može se očekivati i povećanje broja nezaposlenih lica sa visokim obrazovanjem.</w:t>
      </w:r>
      <w:r w:rsidR="00996BA9">
        <w:rPr>
          <w:rFonts w:ascii="Times New Roman" w:hAnsi="Times New Roman"/>
          <w:sz w:val="24"/>
          <w:szCs w:val="24"/>
          <w:lang w:val="pl-PL"/>
        </w:rPr>
        <w:t xml:space="preserve"> </w:t>
      </w: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O neusklađenosti ponude i tražnje najbolje govori podatak da je u 2014. godini ponuda bila za 24,6% veća od tražnje. Takodje, kod niskokvailifikovanih (NK i PK) radnika ponuda je bila niža od tražnje, dok je kod svih ostalih stepena obrazovanja tražnja bila niža od ponude. Najviše slobodnih radnih mjesta bilježe sektori trgovine,</w:t>
      </w:r>
      <w:r w:rsidRPr="00802429">
        <w:rPr>
          <w:rFonts w:ascii="Times New Roman" w:hAnsi="Times New Roman"/>
          <w:sz w:val="24"/>
          <w:szCs w:val="24"/>
        </w:rPr>
        <w:t xml:space="preserve"> </w:t>
      </w:r>
      <w:r w:rsidRPr="00802429">
        <w:rPr>
          <w:rFonts w:ascii="Times New Roman" w:hAnsi="Times New Roman"/>
          <w:sz w:val="24"/>
          <w:szCs w:val="24"/>
          <w:lang w:val="pl-PL"/>
        </w:rPr>
        <w:t>administrativnih pomoćnih i uslužnih djelatnosti, turizma i ugostiteljstva pri čemu se najčešće radi o stručnim obrazovnim profilima sekundarnog obrazovanja.</w:t>
      </w:r>
    </w:p>
    <w:p w:rsidR="00B21EF9" w:rsidRPr="00802429" w:rsidRDefault="00B21EF9" w:rsidP="00A04DFB">
      <w:pPr>
        <w:autoSpaceDE w:val="0"/>
        <w:autoSpaceDN w:val="0"/>
        <w:adjustRightInd w:val="0"/>
        <w:spacing w:after="0" w:line="240" w:lineRule="auto"/>
        <w:jc w:val="both"/>
        <w:rPr>
          <w:rFonts w:ascii="Times New Roman" w:hAnsi="Times New Roman"/>
          <w:b/>
          <w:bCs/>
          <w:sz w:val="24"/>
          <w:szCs w:val="24"/>
          <w:lang w:val="pl-PL"/>
        </w:rPr>
      </w:pPr>
    </w:p>
    <w:p w:rsidR="00B21EF9" w:rsidRPr="00802429" w:rsidRDefault="00B21EF9" w:rsidP="00385DEC">
      <w:pPr>
        <w:pStyle w:val="Heading2"/>
        <w:rPr>
          <w:lang w:val="pl-PL"/>
        </w:rPr>
      </w:pPr>
      <w:bookmarkStart w:id="15" w:name="_Toc435454479"/>
      <w:r w:rsidRPr="00802429">
        <w:rPr>
          <w:lang w:val="pl-PL"/>
        </w:rPr>
        <w:t>2.4. Obrazovanje</w:t>
      </w:r>
      <w:bookmarkEnd w:id="15"/>
      <w:r w:rsidRPr="00802429">
        <w:rPr>
          <w:lang w:val="pl-PL"/>
        </w:rPr>
        <w:t xml:space="preserve"> </w:t>
      </w:r>
    </w:p>
    <w:p w:rsidR="00B21EF9" w:rsidRPr="00802429" w:rsidRDefault="00B21EF9" w:rsidP="00385DEC">
      <w:pPr>
        <w:pStyle w:val="Heading2"/>
        <w:rPr>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 xml:space="preserve">Obrazovni sistem Crne Gore obuhvata predškolsko vaspitanje i obrazovanje, osnovno obrazovanje i vaspitanje, srednje opšte obrazovanje (gimnazija), stručno obrazovanje, vaspitanje i obrazovanje lica s posebnim potrebama, obrazovanje odraslih i visoko obrazovanje. Ministarstvo prosvjete nadležno je za cjelokupnu oblast obrazovanja. Izdvajanje iz Budžeta za potrebe obrazovanja u 2014. godini iznosilo je nešto više od 4% BDP-a. </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Obuhvat djece u predškolskim ustanovama u Crnoj Gori do 7 godina konstantno je u porastu i u školskoj 2013/2014.</w:t>
      </w:r>
      <w:r w:rsidR="00BC505F">
        <w:rPr>
          <w:rFonts w:ascii="Times New Roman" w:hAnsi="Times New Roman"/>
          <w:bCs/>
          <w:sz w:val="24"/>
          <w:szCs w:val="24"/>
          <w:lang w:val="pl-PL"/>
        </w:rPr>
        <w:t xml:space="preserve"> godini</w:t>
      </w:r>
      <w:r w:rsidRPr="00802429">
        <w:rPr>
          <w:rFonts w:ascii="Times New Roman" w:hAnsi="Times New Roman"/>
          <w:bCs/>
          <w:sz w:val="24"/>
          <w:szCs w:val="24"/>
          <w:lang w:val="pl-PL"/>
        </w:rPr>
        <w:t xml:space="preserve"> iznosi 31,1%, što je za 6 procentnih poena viš</w:t>
      </w:r>
      <w:r w:rsidR="00B45110">
        <w:rPr>
          <w:rFonts w:ascii="Times New Roman" w:hAnsi="Times New Roman"/>
          <w:bCs/>
          <w:sz w:val="24"/>
          <w:szCs w:val="24"/>
          <w:lang w:val="pl-PL"/>
        </w:rPr>
        <w:t xml:space="preserve">e nego samo tri godine ranije. </w:t>
      </w:r>
      <w:r w:rsidRPr="00802429">
        <w:rPr>
          <w:rFonts w:ascii="Times New Roman" w:hAnsi="Times New Roman"/>
          <w:bCs/>
          <w:sz w:val="24"/>
          <w:szCs w:val="24"/>
          <w:lang w:val="pl-PL"/>
        </w:rPr>
        <w:t>U poslednjoj godini posmatranja stopa rasta upisa u predškolske ustanove iznosila je oko 7,5% u odnosu na školsku 2012/2013. godinu. Međutim, prim</w:t>
      </w:r>
      <w:r w:rsidR="00EF2C71">
        <w:rPr>
          <w:rFonts w:ascii="Times New Roman" w:hAnsi="Times New Roman"/>
          <w:bCs/>
          <w:sz w:val="24"/>
          <w:szCs w:val="24"/>
          <w:lang w:val="pl-PL"/>
        </w:rPr>
        <w:t>j</w:t>
      </w:r>
      <w:r w:rsidRPr="00802429">
        <w:rPr>
          <w:rFonts w:ascii="Times New Roman" w:hAnsi="Times New Roman"/>
          <w:bCs/>
          <w:sz w:val="24"/>
          <w:szCs w:val="24"/>
          <w:lang w:val="pl-PL"/>
        </w:rPr>
        <w:t>etan je disbalans među regionima, pri čemu je najmanji obuhvat djece u sjevernom regionu.</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 xml:space="preserve">Učešće djece od 6 do 14 godina koje pohadjaju školu u ukupnoj populaciji te dobi je 99,6%, a stopa završetka osnovne škole je oko 99%. Prema podacima za školsku 2013/2014. godinu osnovnu školu pohađa 68.310 učenika, dok je upis u prvi razred povećan u odnosu na prethodnu godinu za 3,4%. </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Broj upisanih učenika u srednje škole je u školskoj 2013/2014.</w:t>
      </w:r>
      <w:r w:rsidR="00BC505F">
        <w:rPr>
          <w:rFonts w:ascii="Times New Roman" w:hAnsi="Times New Roman"/>
          <w:bCs/>
          <w:sz w:val="24"/>
          <w:szCs w:val="24"/>
          <w:lang w:val="pl-PL"/>
        </w:rPr>
        <w:t xml:space="preserve"> godini</w:t>
      </w:r>
      <w:r w:rsidRPr="00802429">
        <w:rPr>
          <w:rFonts w:ascii="Times New Roman" w:hAnsi="Times New Roman"/>
          <w:bCs/>
          <w:sz w:val="24"/>
          <w:szCs w:val="24"/>
          <w:lang w:val="pl-PL"/>
        </w:rPr>
        <w:t xml:space="preserve"> manji za 6,7% u odnosu na prethodnu godinu. U gimnazijama se školuje 33%, a u stručnim srednjim školama 67% srednjoškolske djece (od čega 16,3% izučava ekonomiju, pravo i administraciju a 15,4% trgovinu, ugostiteljstvo i turizam). </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Sistem stručnog obrazovanja i obuke u Crnoj Gori obuhvata programe na tri različita nivoa, u okviru kojih se svake školske godine učenicima nudi blizu 82 obrazovna profila – dva dvogodišnja, 35 trogodišnja i oko 45 četvorogodišnjih programa. Infrastrukturu srednjeg stručnog obrazovanja čini 26 stručnih i 11 mješovitih škola. Stručne škole trenutno pružaju obrazovanje u 14 sektora zanimanja.</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U zimskom semestru akademske 2013/2014. godine na osnovne studije u Crnoj Gori upisalo se ukupno 23.442 studenta, što je za 5,2% više u odnosu na zimski semestar prethodne akademske godine (udio studentkinja je 52,9%). Od ovog broja studenata 90% je upisano na redovne studije. Tokom 2013. godine, na visokoškolskim ustanovama u Crnoj Gori na osnovnim studijama, diplomiralo je 3.073 studenta, što je za 5,1% više u odnosu na prethodnu kalendarsku godinu. Od ukupnog broja diplomiranih studenata na osnovnim studijama 58,9% je ženskog, a 41,1% muškog pola.</w:t>
      </w:r>
      <w:r w:rsidRPr="00802429">
        <w:rPr>
          <w:rFonts w:ascii="Times New Roman" w:hAnsi="Times New Roman"/>
          <w:sz w:val="24"/>
          <w:szCs w:val="24"/>
        </w:rPr>
        <w:t xml:space="preserve"> </w:t>
      </w:r>
      <w:r w:rsidRPr="00802429">
        <w:rPr>
          <w:rFonts w:ascii="Times New Roman" w:hAnsi="Times New Roman"/>
          <w:bCs/>
          <w:sz w:val="24"/>
          <w:szCs w:val="24"/>
          <w:lang w:val="pl-PL"/>
        </w:rPr>
        <w:t xml:space="preserve">U akademskoj 2014/2015. godini, na visokoškolskim ustanovama u Crnoj Gori, postdiplomske studije upisalo je 2.346 studenta i to: specijalističke studije 1.903, magistarske studije 443, a udio studentkinja je 59%. Smanjenje broja studenata upisanih na specijalističke studije u odnosu na prethodnu akademsku godinu je 5,5%. Studijski programi </w:t>
      </w:r>
      <w:r w:rsidR="00BC505F">
        <w:rPr>
          <w:rFonts w:ascii="Times New Roman" w:hAnsi="Times New Roman"/>
          <w:bCs/>
          <w:sz w:val="24"/>
          <w:szCs w:val="24"/>
          <w:lang w:val="pl-PL"/>
        </w:rPr>
        <w:t>na kojima studira</w:t>
      </w:r>
      <w:r w:rsidRPr="00802429">
        <w:rPr>
          <w:rFonts w:ascii="Times New Roman" w:hAnsi="Times New Roman"/>
          <w:bCs/>
          <w:sz w:val="24"/>
          <w:szCs w:val="24"/>
          <w:lang w:val="pl-PL"/>
        </w:rPr>
        <w:t xml:space="preserve"> najveći broj studenata su ekonomija, pravo i elektrotehnika.</w:t>
      </w:r>
    </w:p>
    <w:p w:rsidR="00B21EF9" w:rsidRPr="00802429" w:rsidRDefault="00B21EF9" w:rsidP="00A04DFB">
      <w:pPr>
        <w:autoSpaceDE w:val="0"/>
        <w:autoSpaceDN w:val="0"/>
        <w:adjustRightInd w:val="0"/>
        <w:spacing w:after="0" w:line="240" w:lineRule="auto"/>
        <w:jc w:val="both"/>
        <w:rPr>
          <w:rFonts w:ascii="Times New Roman" w:hAnsi="Times New Roman"/>
          <w:b/>
          <w:bCs/>
          <w:sz w:val="24"/>
          <w:szCs w:val="24"/>
          <w:lang w:val="pl-PL"/>
        </w:rPr>
      </w:pPr>
    </w:p>
    <w:p w:rsidR="00B21EF9" w:rsidRPr="00802429" w:rsidRDefault="00B21EF9" w:rsidP="00385DEC">
      <w:pPr>
        <w:pStyle w:val="Heading2"/>
        <w:rPr>
          <w:lang w:val="pl-PL"/>
        </w:rPr>
      </w:pPr>
      <w:bookmarkStart w:id="16" w:name="_Toc435454480"/>
      <w:r w:rsidRPr="00802429">
        <w:rPr>
          <w:lang w:val="pl-PL"/>
        </w:rPr>
        <w:t>2.5. Siromaštvo i socijalna isključenost</w:t>
      </w:r>
      <w:bookmarkEnd w:id="16"/>
    </w:p>
    <w:p w:rsidR="00B21EF9" w:rsidRPr="00802429" w:rsidRDefault="00B21EF9" w:rsidP="00A04DFB">
      <w:pPr>
        <w:spacing w:after="0" w:line="240" w:lineRule="auto"/>
        <w:jc w:val="both"/>
        <w:rPr>
          <w:rFonts w:ascii="Times New Roman" w:hAnsi="Times New Roman"/>
          <w:i/>
          <w:sz w:val="24"/>
          <w:szCs w:val="24"/>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Prema podacima Monstat</w:t>
      </w:r>
      <w:r w:rsidR="00EF2C71">
        <w:rPr>
          <w:rFonts w:ascii="Times New Roman" w:hAnsi="Times New Roman"/>
          <w:bCs/>
          <w:sz w:val="24"/>
          <w:szCs w:val="24"/>
          <w:lang w:val="pl-PL"/>
        </w:rPr>
        <w:t>-</w:t>
      </w:r>
      <w:r w:rsidRPr="00802429">
        <w:rPr>
          <w:rFonts w:ascii="Times New Roman" w:hAnsi="Times New Roman"/>
          <w:bCs/>
          <w:sz w:val="24"/>
          <w:szCs w:val="24"/>
          <w:lang w:val="pl-PL"/>
        </w:rPr>
        <w:t>a ukupna stopa siromaštva je u 2013. godini u odnosu na prethodnu godinu opala za 2,7 procentnih poena, čime se ona  našla na nižem nivou od onog iz bazne 2011. godine. Dodatno, jaz siromaštva i oštrina siromaštva su se u 2013. takođe smanjili u odnosu na prethodnu godinu za 0,4 i 0,3 procentna poena respektivno, ali su ipak veći od nivoa iz referentne 2011. godine. Potpuno istu putanju sl</w:t>
      </w:r>
      <w:r w:rsidR="00EF2C71">
        <w:rPr>
          <w:rFonts w:ascii="Times New Roman" w:hAnsi="Times New Roman"/>
          <w:bCs/>
          <w:sz w:val="24"/>
          <w:szCs w:val="24"/>
          <w:lang w:val="pl-PL"/>
        </w:rPr>
        <w:t>ij</w:t>
      </w:r>
      <w:r w:rsidRPr="00802429">
        <w:rPr>
          <w:rFonts w:ascii="Times New Roman" w:hAnsi="Times New Roman"/>
          <w:bCs/>
          <w:sz w:val="24"/>
          <w:szCs w:val="24"/>
          <w:lang w:val="pl-PL"/>
        </w:rPr>
        <w:t>edio je i Gini koeficijent</w:t>
      </w:r>
      <w:r w:rsidRPr="00802429">
        <w:rPr>
          <w:rStyle w:val="FootnoteReference"/>
          <w:rFonts w:ascii="Times New Roman" w:hAnsi="Times New Roman"/>
          <w:bCs/>
          <w:sz w:val="24"/>
          <w:szCs w:val="24"/>
          <w:lang w:val="pl-PL"/>
        </w:rPr>
        <w:footnoteReference w:id="9"/>
      </w:r>
      <w:r w:rsidRPr="00802429">
        <w:rPr>
          <w:rFonts w:ascii="Times New Roman" w:hAnsi="Times New Roman"/>
          <w:bCs/>
          <w:sz w:val="24"/>
          <w:szCs w:val="24"/>
          <w:lang w:val="pl-PL"/>
        </w:rPr>
        <w:t xml:space="preserve"> koji ukazuje na blago smanjenje nejednakosti u Crnoj Gori jer je njegova vrijednost opala za 0,3 procentna poena na 26,2% u 2013. godini, što je neznatno veći nivo od onog koji</w:t>
      </w:r>
      <w:r w:rsidR="003D0E01">
        <w:rPr>
          <w:rFonts w:ascii="Times New Roman" w:hAnsi="Times New Roman"/>
          <w:bCs/>
          <w:sz w:val="24"/>
          <w:szCs w:val="24"/>
          <w:lang w:val="pl-PL"/>
        </w:rPr>
        <w:t xml:space="preserve"> je zabilježen u 2011. godini. Primjećuje se</w:t>
      </w:r>
      <w:r w:rsidRPr="00802429">
        <w:rPr>
          <w:rFonts w:ascii="Times New Roman" w:hAnsi="Times New Roman"/>
          <w:bCs/>
          <w:sz w:val="24"/>
          <w:szCs w:val="24"/>
          <w:lang w:val="pl-PL"/>
        </w:rPr>
        <w:t xml:space="preserve"> da je ovde riječ o Gini koeficijentu zasnovanom na analizi potrošnje i da bi vrijednosti zasnovane na analizi distribucije dohodaka zasigurno bile dosta veće.</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U 2013. godini siromaštvo je smanjeno i u urbanim i u ruralnim oblastima. Gledajući urbane oblasti, stopa siromaštva je 2013. godine bila 7,9%, dok je u 2012. godini bila 8,1%, odnosno došlo je do smanjenja stope za 0,2 procentna poena. U ruralnim oblastima najmanja stopa siromaštva bila je 2013. godine (9,7%), dok je 2012. godine iznosila 18,1%. Drugim r</w:t>
      </w:r>
      <w:r w:rsidR="007008E0">
        <w:rPr>
          <w:rFonts w:ascii="Times New Roman" w:hAnsi="Times New Roman"/>
          <w:bCs/>
          <w:sz w:val="24"/>
          <w:szCs w:val="24"/>
          <w:lang w:val="pl-PL"/>
        </w:rPr>
        <w:t>ije</w:t>
      </w:r>
      <w:r w:rsidRPr="00802429">
        <w:rPr>
          <w:rFonts w:ascii="Times New Roman" w:hAnsi="Times New Roman"/>
          <w:bCs/>
          <w:sz w:val="24"/>
          <w:szCs w:val="24"/>
          <w:lang w:val="pl-PL"/>
        </w:rPr>
        <w:t>čima, u 2013. godini u odnosu na 2012. godinu stopa siromaštva u ruralnim oblastima se smanjila za čak 8,4 procentna poena i iznosila je 9,7%. Takođe, seosko stanovništvo ima veći rizik siromaštva u odnosu na gradsko stanovništvo, dok je dubina i oštrina siromaštva veća u urbanim oblastima. Postoji značajna raz</w:t>
      </w:r>
      <w:r w:rsidR="00ED1A3D">
        <w:rPr>
          <w:rFonts w:ascii="Times New Roman" w:hAnsi="Times New Roman"/>
          <w:bCs/>
          <w:sz w:val="24"/>
          <w:szCs w:val="24"/>
          <w:lang w:val="pl-PL"/>
        </w:rPr>
        <w:t>lika u obimu siromaštva između Primorskog</w:t>
      </w:r>
      <w:r w:rsidRPr="00802429">
        <w:rPr>
          <w:rFonts w:ascii="Times New Roman" w:hAnsi="Times New Roman"/>
          <w:bCs/>
          <w:sz w:val="24"/>
          <w:szCs w:val="24"/>
          <w:lang w:val="pl-PL"/>
        </w:rPr>
        <w:t xml:space="preserve"> regiona i drugih djelova države. Stopa siromaštva u Sjevernom regionu je skoro tri puta veća od stope siromaštva u </w:t>
      </w:r>
      <w:r w:rsidR="00ED1A3D">
        <w:rPr>
          <w:rFonts w:ascii="Times New Roman" w:hAnsi="Times New Roman"/>
          <w:bCs/>
          <w:sz w:val="24"/>
          <w:szCs w:val="24"/>
          <w:lang w:val="pl-PL"/>
        </w:rPr>
        <w:t>Primorskom</w:t>
      </w:r>
      <w:r w:rsidRPr="00802429">
        <w:rPr>
          <w:rFonts w:ascii="Times New Roman" w:hAnsi="Times New Roman"/>
          <w:bCs/>
          <w:sz w:val="24"/>
          <w:szCs w:val="24"/>
          <w:lang w:val="pl-PL"/>
        </w:rPr>
        <w:t xml:space="preserve"> regionu. Ona je 2013. godine u Sjevernom regionu iznosila 10,3%. U tom regionu živi 25,0% stanovništva Crne Gore, ali i 30,1% svih siromašnih. Stopa siromaštva u </w:t>
      </w:r>
      <w:r w:rsidR="00ED1A3D">
        <w:rPr>
          <w:rFonts w:ascii="Times New Roman" w:hAnsi="Times New Roman"/>
          <w:bCs/>
          <w:sz w:val="24"/>
          <w:szCs w:val="24"/>
          <w:lang w:val="pl-PL"/>
        </w:rPr>
        <w:t>Središnjem regionu iznosi 10,3%, a u Primorskom</w:t>
      </w:r>
      <w:r w:rsidRPr="00802429">
        <w:rPr>
          <w:rFonts w:ascii="Times New Roman" w:hAnsi="Times New Roman"/>
          <w:bCs/>
          <w:sz w:val="24"/>
          <w:szCs w:val="24"/>
          <w:lang w:val="pl-PL"/>
        </w:rPr>
        <w:t xml:space="preserve"> 3,8%. </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lastRenderedPageBreak/>
        <w:t>Siromaštvo je snažno povezano sa statusom na tržištu rada. Najveći rizik od siromaštva imaju lica koja su nezaposlena i djeca do 15 godina. Stopa siromaštva je najveća kod lica koja su nezaposlena 13,4%, dok je kod djece do 15 godina 13,2%. Kod ostalih neaktivnih lica od ukupnog stanovništva (17,5%) udio siromašnih iznosi 22,2%, a stopa siromaštva 10,9%. Kod samozaposlenih lica (npr. bavljenje poljoprivredom za sopstvene potrebe ili vođenje malog privatnog biznisa) stopa siromaštva je iznosila 9,5%. Najmanja stopa siromaštva je među penzionisanim licima (5,2%) i zaposlenim licima (3,1%).</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Na status siromaštva snažno utiče i nivo obrazovanja. Stopa siromaštva je manja što je nivo obrazovanja veći. Najveću stopu siromaštva (17,1%) imaju lica sa završenom osnovnom školom (99% iznad prosjeka). Lica sa završenom trogodišnjom srednjom školom su u boljem položaju sa stopom siromaštva od 5,6%, a rizik od siromaštva je za 65% veći od prosjeka.</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Prema Nacionalnom izvještaju o razvoju po mjeri čovjeka UNDP za 2013. godinu, RAE populacija, korisnici prava iz socijalne i dječje zaštite, dugoročno nezaposleni, raseljena lica i lica sa invaliditetom su posebno socijalno ugrožene grupe, usljed siromaštva i društvene iskjučenosti. Svega 13,81% djece Roma, Aškalija i Egipćana upisuje se u predškolske institucije, što je dva puta manje od prosječne stope upisa na nivou države (27%). Uključivanje učenika Roma, Aškalija i Egipćana u formalni obrazovni sistem</w:t>
      </w:r>
      <w:r w:rsidR="007008E0">
        <w:rPr>
          <w:rFonts w:ascii="Times New Roman" w:hAnsi="Times New Roman"/>
          <w:bCs/>
          <w:sz w:val="24"/>
          <w:szCs w:val="24"/>
          <w:lang w:val="pl-PL"/>
        </w:rPr>
        <w:t xml:space="preserve"> </w:t>
      </w:r>
      <w:r w:rsidRPr="00802429">
        <w:rPr>
          <w:rFonts w:ascii="Times New Roman" w:hAnsi="Times New Roman"/>
          <w:bCs/>
          <w:sz w:val="24"/>
          <w:szCs w:val="24"/>
          <w:lang w:val="pl-PL"/>
        </w:rPr>
        <w:t>treba uvijek biti nešto čemu se istinski teži. U 2014. godini broj RE djece obuhvaćen  predškolskim obrazovanjem  bio je 119 u pripremnim predškolskim ustanovama i oko 80 RE djece u poludnevnim programima. Školske 2014/2015 osnovno obrazovanje pohađa 1.883 RE djece i taj broj je utrostručen u odnosu na 2001/2002 školsku godinu kada je iznosio 536 RE djece. Srednje obrazovanje 2013. godine pohađalo je 81 RE učenika, dok je univerzitetskim obrazovanjem bilo obuhvaćeno 15 RE studenata.</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Slično istraživanje iz 2009. pokazalo je da stopa socijalne isključenosti na nacionalnom nivou iznosi 3,5%. Najveće odstupanje od prosjeka zabilježeno je kod RAE populacije, kod koje je 14,1% domaćinstava je društveno isključeno. Svega oko 20% populacije RAE je zaposleno, 36% nema obrazovanje i ovu grupu karakteriše visoka stopa nepismenosti (72%).</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Kod korisnika prava iz socijalne i dječje zaštite, stopa društvene isključenosti iznosi 11,9%. Većinu korisnika prava iz socijalne i dječje zaštite čine mlađe osobe (43%), dok stara lica čine svega 14%. Stopa zaposlenosti u ovoj grupi veoma je mala i iznosi 6,5%, dok svaki deseti korisnik nema nikakvo obrazovanje.</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Dugoročno nezaposleni se takođe suočavaju sa problemom socijalne isključenosti, 10% domaćinstava je društveno isključeno. Zaposlenje se u prosjeku traži 38 mjeseci, dok jedna trećina dugotrajno nezaposlenih lica posao traži još duže. Dodatno, 82% dugotrajno nezaposlenih lica trenutno ne pohađa nikakvu obuku ili školu. Kada je riječ o raseljenim licima, kod ove grupe 8,3% domaćinstava je društveno isključeno. Ključni problem za raseljena lica je njihov neregulisan pravni status, zbog čega nemaju pravo na pristup socijalnim uslugama, zapošljavanju, zaduživanju itd.</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Kod lica sa invaliditetom, čiji se broj procenjuje na 7-10% ukupnog broja stanovnika, smatra se da je 5% domaćinstava društveno isključeno. Kod ove grupa je posebno kvalitet zdravstvene zaštite ocijenjen kao veoma nizak.</w:t>
      </w:r>
    </w:p>
    <w:p w:rsidR="00B21EF9" w:rsidRPr="00802429" w:rsidRDefault="00B21EF9" w:rsidP="00A04DFB">
      <w:pPr>
        <w:autoSpaceDE w:val="0"/>
        <w:autoSpaceDN w:val="0"/>
        <w:adjustRightInd w:val="0"/>
        <w:spacing w:after="0" w:line="240" w:lineRule="auto"/>
        <w:jc w:val="both"/>
        <w:rPr>
          <w:rFonts w:ascii="Times New Roman" w:hAnsi="Times New Roman"/>
          <w:b/>
          <w:bCs/>
          <w:sz w:val="24"/>
          <w:szCs w:val="24"/>
          <w:lang w:val="pl-PL"/>
        </w:rPr>
      </w:pPr>
    </w:p>
    <w:p w:rsidR="00B21EF9" w:rsidRPr="00802429" w:rsidRDefault="00B21EF9" w:rsidP="00385DEC">
      <w:pPr>
        <w:pStyle w:val="Heading2"/>
        <w:rPr>
          <w:lang w:val="pl-PL"/>
        </w:rPr>
      </w:pPr>
      <w:bookmarkStart w:id="17" w:name="_Toc435454481"/>
      <w:r w:rsidRPr="00802429">
        <w:rPr>
          <w:lang w:val="pl-PL"/>
        </w:rPr>
        <w:lastRenderedPageBreak/>
        <w:t>2.6. Ekonomski rast i razvoj Crne Gore u kontekstu odmaklih evropskih integracija 2016 - 2020. godine</w:t>
      </w:r>
      <w:bookmarkEnd w:id="17"/>
    </w:p>
    <w:p w:rsidR="00B21EF9" w:rsidRPr="00802429" w:rsidRDefault="00B21EF9" w:rsidP="00A04DFB">
      <w:pPr>
        <w:autoSpaceDE w:val="0"/>
        <w:autoSpaceDN w:val="0"/>
        <w:adjustRightInd w:val="0"/>
        <w:spacing w:after="0" w:line="240" w:lineRule="auto"/>
        <w:ind w:left="576" w:hanging="576"/>
        <w:jc w:val="both"/>
        <w:rPr>
          <w:rFonts w:ascii="Times New Roman" w:hAnsi="Times New Roman"/>
          <w:b/>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 xml:space="preserve">Prema podacima </w:t>
      </w:r>
      <w:r w:rsidR="00B1653B">
        <w:rPr>
          <w:rFonts w:ascii="Times New Roman" w:hAnsi="Times New Roman"/>
          <w:bCs/>
          <w:sz w:val="24"/>
          <w:szCs w:val="24"/>
          <w:lang w:val="pl-PL"/>
        </w:rPr>
        <w:t>Ministarstva finansija</w:t>
      </w:r>
      <w:r w:rsidRPr="00802429">
        <w:rPr>
          <w:rFonts w:ascii="Times New Roman" w:hAnsi="Times New Roman"/>
          <w:bCs/>
          <w:sz w:val="24"/>
          <w:szCs w:val="24"/>
          <w:lang w:val="pl-PL"/>
        </w:rPr>
        <w:t>, makroekonomske projekcije za period 2015-2017. predviđaju realni rast BDP-a: 3,5% u 2015, 3,8% u 2016. i 4.0% u 2017. godini. U periodu 2015-2017. godine doći će do bržeg rasta crnogorske ekonomije, usl</w:t>
      </w:r>
      <w:r w:rsidR="00EF2C71">
        <w:rPr>
          <w:rFonts w:ascii="Times New Roman" w:hAnsi="Times New Roman"/>
          <w:bCs/>
          <w:sz w:val="24"/>
          <w:szCs w:val="24"/>
          <w:lang w:val="pl-PL"/>
        </w:rPr>
        <w:t>i</w:t>
      </w:r>
      <w:r w:rsidRPr="00802429">
        <w:rPr>
          <w:rFonts w:ascii="Times New Roman" w:hAnsi="Times New Roman"/>
          <w:bCs/>
          <w:sz w:val="24"/>
          <w:szCs w:val="24"/>
          <w:lang w:val="pl-PL"/>
        </w:rPr>
        <w:t>jed rasta investicione aktivnosti i angažovanja domaćih potencijala, prvenstveno u sektoru građevinarstva. Procjenjuje se da bi realizacija investicionih projekata u vrijednosti od 100 mil.€ imala pozitivan efekat na stopu rasta BDP-a od 1,7-2,0% kroz direktne, indirektne i imputirane efekte. U ovom periodu se predviđa snažan doprinos sektora turizma i komplementarnih sektora trgovine, transporta, vađenje ruda i kamena, uz oslanjanje na poljoprivredu kao faktora supstitucije uvoza hrane i povećanog izvoza. Prosječna projektovana stopa rasta BDP-a za period 2015-2017. iznosi 3,8%.</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U ovom periodu predviđen je i rast stranih direktnih investicija (ulaganje u preduzeća, banke i nekretnine), koji će prosječno iznositi oko 13,4% BDP-a. Ovako visoke stope SDI bazirane su na realizaciji dijela najavljenih investicija u oblasti infrastrukture, turizma, energetike i poljoprivrede. Izvoz roba i usluga će rasti po prosječnoj stopi od 5,1% u periodu 2015-2017, pri čemu se projektuje brži rast izvoza usluga (potrošnja stranih turista) od rasta izvoza roba. Rast izvoza roba bi trebalo da bude podstaknut oporavkom u sektoru metalske industrije, kao i rastom izvoza poljoprivrednih proizvoda uz stabilnu proizvodnju struje.</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Predviđa se da će zaposlenost postepeno rasti tokom čitavog perioda (prosječno 1% godišnje) kao posljedica rasta ekonomske aktivnosti. Slično tome, nezaposlenost, mjerena metodologijom ILO, postepeno će se smanjivati, da bi se sa 18,2% u 2014. smanjila na 17,2% u 2017. godini, takođe kao rezultat rasta ekonomske aktivnosti, posebno u sektorima građevinarstva i vađenje ruda i kamena.</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Nakon deflacije koja je zabilježena u 2014. godini, može se očekivati uzlazna putanja stope inflacije, koja bi već u 2015. iznosila 1%, a zatim 1,5% i 2% na kraju 2017. godine.</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Sa druge strane, najnovije projekcije MMF-a za privredu Crne Gore pokrivaju c</w:t>
      </w:r>
      <w:r w:rsidR="002A5A5C">
        <w:rPr>
          <w:rFonts w:ascii="Times New Roman" w:hAnsi="Times New Roman"/>
          <w:bCs/>
          <w:sz w:val="24"/>
          <w:szCs w:val="24"/>
          <w:lang w:val="pl-PL"/>
        </w:rPr>
        <w:t>ijeli</w:t>
      </w:r>
      <w:r w:rsidRPr="00802429">
        <w:rPr>
          <w:rFonts w:ascii="Times New Roman" w:hAnsi="Times New Roman"/>
          <w:bCs/>
          <w:sz w:val="24"/>
          <w:szCs w:val="24"/>
          <w:lang w:val="pl-PL"/>
        </w:rPr>
        <w:t xml:space="preserve"> period implementacije Strategije i delimično su saglasne sa predviđanjima Vlade. Slično prethodnim projekcijama, MMF na početku narednog perioda predviđa um</w:t>
      </w:r>
      <w:r w:rsidR="00214885">
        <w:rPr>
          <w:rFonts w:ascii="Times New Roman" w:hAnsi="Times New Roman"/>
          <w:bCs/>
          <w:sz w:val="24"/>
          <w:szCs w:val="24"/>
          <w:lang w:val="pl-PL"/>
        </w:rPr>
        <w:t>j</w:t>
      </w:r>
      <w:r w:rsidRPr="00802429">
        <w:rPr>
          <w:rFonts w:ascii="Times New Roman" w:hAnsi="Times New Roman"/>
          <w:bCs/>
          <w:sz w:val="24"/>
          <w:szCs w:val="24"/>
          <w:lang w:val="pl-PL"/>
        </w:rPr>
        <w:t>ereno visoke stope rasta realnog BDP-a od 4,7% u 2015. i 3,6% u 2016. Međutim, u 2017. godini stopa rasta je znatno manja od projekcija vlade i ona iznosi 2,7%, i dalje je pozitivna, ali nastavlja sa padom u 2018. (1,6%), a zatim se ponovo povećava na 2,6% u 2019. i 3,3% u 2020. godini. Projektovani rast inflacije za ovaj period je nešto um</w:t>
      </w:r>
      <w:r w:rsidR="00214885">
        <w:rPr>
          <w:rFonts w:ascii="Times New Roman" w:hAnsi="Times New Roman"/>
          <w:bCs/>
          <w:sz w:val="24"/>
          <w:szCs w:val="24"/>
          <w:lang w:val="pl-PL"/>
        </w:rPr>
        <w:t>j</w:t>
      </w:r>
      <w:r w:rsidRPr="00802429">
        <w:rPr>
          <w:rFonts w:ascii="Times New Roman" w:hAnsi="Times New Roman"/>
          <w:bCs/>
          <w:sz w:val="24"/>
          <w:szCs w:val="24"/>
          <w:lang w:val="pl-PL"/>
        </w:rPr>
        <w:t>ereniji, tako da se očekuje da ova stopa sa nivoa 0,5% u 2015, uz konstantan, ali blag rast, tek na kraju šestogodišnjeg pe</w:t>
      </w:r>
      <w:r w:rsidR="007008E0">
        <w:rPr>
          <w:rFonts w:ascii="Times New Roman" w:hAnsi="Times New Roman"/>
          <w:bCs/>
          <w:sz w:val="24"/>
          <w:szCs w:val="24"/>
          <w:lang w:val="pl-PL"/>
        </w:rPr>
        <w:t>r</w:t>
      </w:r>
      <w:r w:rsidRPr="00802429">
        <w:rPr>
          <w:rFonts w:ascii="Times New Roman" w:hAnsi="Times New Roman"/>
          <w:bCs/>
          <w:sz w:val="24"/>
          <w:szCs w:val="24"/>
          <w:lang w:val="pl-PL"/>
        </w:rPr>
        <w:t xml:space="preserve">ioda dostigne vrijednost od 1,5%. </w:t>
      </w: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p>
    <w:p w:rsidR="00B21EF9" w:rsidRPr="00802429" w:rsidRDefault="00B21EF9" w:rsidP="00A04DFB">
      <w:pPr>
        <w:autoSpaceDE w:val="0"/>
        <w:autoSpaceDN w:val="0"/>
        <w:adjustRightInd w:val="0"/>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Nakon rasta javnog duga, koji bi trebalo da svoj maksimum dostigne u 2017. godini, očekuje se njegov pad u daljem periodu i to pr</w:t>
      </w:r>
      <w:r w:rsidR="00BB0805">
        <w:rPr>
          <w:rFonts w:ascii="Times New Roman" w:hAnsi="Times New Roman"/>
          <w:bCs/>
          <w:sz w:val="24"/>
          <w:szCs w:val="24"/>
          <w:lang w:val="pl-PL"/>
        </w:rPr>
        <w:t>ij</w:t>
      </w:r>
      <w:r w:rsidRPr="00802429">
        <w:rPr>
          <w:rFonts w:ascii="Times New Roman" w:hAnsi="Times New Roman"/>
          <w:bCs/>
          <w:sz w:val="24"/>
          <w:szCs w:val="24"/>
          <w:lang w:val="pl-PL"/>
        </w:rPr>
        <w:t>e svega usl</w:t>
      </w:r>
      <w:r w:rsidR="00D25F74">
        <w:rPr>
          <w:rFonts w:ascii="Times New Roman" w:hAnsi="Times New Roman"/>
          <w:bCs/>
          <w:sz w:val="24"/>
          <w:szCs w:val="24"/>
          <w:lang w:val="pl-PL"/>
        </w:rPr>
        <w:t>ij</w:t>
      </w:r>
      <w:r w:rsidRPr="00802429">
        <w:rPr>
          <w:rFonts w:ascii="Times New Roman" w:hAnsi="Times New Roman"/>
          <w:bCs/>
          <w:sz w:val="24"/>
          <w:szCs w:val="24"/>
          <w:lang w:val="pl-PL"/>
        </w:rPr>
        <w:t>ed oporavka ekonomske aktivnosti. Ovo smanjenje javnog duga trebalo bi da učini da njegovo učešće u BDP-u na kraju perioda bude na nivou onog iz 2013. godine. Slična putanja predviđena je i za deficit tekućeg računa, koji će tek nakon 2017. početi da opada kako bi u 2020. dostigao nivo od oko 17% BDP-a.</w:t>
      </w:r>
    </w:p>
    <w:p w:rsidR="00B21EF9" w:rsidRPr="00802429" w:rsidRDefault="00B21EF9" w:rsidP="005A04CB">
      <w:pPr>
        <w:spacing w:after="0"/>
        <w:jc w:val="both"/>
        <w:rPr>
          <w:rFonts w:ascii="Times New Roman" w:hAnsi="Times New Roman"/>
          <w:i/>
          <w:sz w:val="24"/>
          <w:szCs w:val="24"/>
        </w:rPr>
      </w:pPr>
    </w:p>
    <w:p w:rsidR="00B21EF9" w:rsidRPr="00802429" w:rsidRDefault="00B21EF9" w:rsidP="00385DEC">
      <w:pPr>
        <w:pStyle w:val="Heading1"/>
      </w:pPr>
      <w:bookmarkStart w:id="18" w:name="_Toc435454482"/>
      <w:r w:rsidRPr="00802429">
        <w:lastRenderedPageBreak/>
        <w:t>DIO III: PRIORITETI I CILJEVI</w:t>
      </w:r>
      <w:bookmarkEnd w:id="18"/>
    </w:p>
    <w:p w:rsidR="00F6710F" w:rsidRDefault="00F6710F" w:rsidP="00F6710F">
      <w:pPr>
        <w:pStyle w:val="Heading2"/>
      </w:pPr>
    </w:p>
    <w:p w:rsidR="00B21EF9" w:rsidRPr="00802429" w:rsidRDefault="00B21EF9" w:rsidP="00F6710F">
      <w:pPr>
        <w:pStyle w:val="Heading2"/>
      </w:pPr>
      <w:bookmarkStart w:id="19" w:name="_Toc435454483"/>
      <w:r w:rsidRPr="00802429">
        <w:t>PRIORITET 1: Povećanje zaposlenosti. Smanjenje stope nezaposlenosti</w:t>
      </w:r>
      <w:bookmarkEnd w:id="19"/>
      <w:r w:rsidRPr="00802429">
        <w:t xml:space="preserve"> </w:t>
      </w:r>
    </w:p>
    <w:p w:rsidR="00B21EF9" w:rsidRPr="00802429" w:rsidRDefault="00B21EF9" w:rsidP="005A04CB">
      <w:pPr>
        <w:spacing w:after="0"/>
        <w:jc w:val="both"/>
        <w:rPr>
          <w:rFonts w:ascii="Times New Roman" w:hAnsi="Times New Roman"/>
          <w:i/>
          <w:sz w:val="24"/>
          <w:szCs w:val="24"/>
        </w:rPr>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Ovaj prioritet odnosi se na unapređenje poslovnog okruženja, porast konkurentnosti i jačanje makroekonomske stabilnosti u cilju ubrzanja privrednog rasta kao glavnog generatora rasta zaposlenosti. Takođe, odnosi se na mjere aktivne politike zapošljavanja koje su usmjerene prema većoj efikasnosti tržišta rada, uključujući i jačanje kapaciteta Zavoda za zapošljavanje.</w:t>
      </w:r>
    </w:p>
    <w:p w:rsidR="00B21EF9" w:rsidRPr="00802429" w:rsidRDefault="00B21EF9" w:rsidP="005A04CB">
      <w:pPr>
        <w:spacing w:after="0"/>
        <w:jc w:val="both"/>
        <w:rPr>
          <w:rFonts w:ascii="Times New Roman" w:hAnsi="Times New Roman"/>
          <w:i/>
          <w:sz w:val="24"/>
          <w:szCs w:val="24"/>
        </w:rPr>
      </w:pPr>
    </w:p>
    <w:p w:rsidR="00B21EF9" w:rsidRPr="00E87CD8" w:rsidRDefault="00B21EF9" w:rsidP="00E87CD8">
      <w:pPr>
        <w:pStyle w:val="Heading3"/>
      </w:pPr>
      <w:bookmarkStart w:id="20" w:name="_Toc435454484"/>
      <w:r w:rsidRPr="00E87CD8">
        <w:t>Cilj 1:</w:t>
      </w:r>
      <w:r w:rsidR="000A4262">
        <w:t xml:space="preserve"> </w:t>
      </w:r>
      <w:r w:rsidRPr="00E87CD8">
        <w:t>Stimulisanje kreiranja zaposlenosti i podsticanje konkurentnosti unapređenjem poslovnog okruženja</w:t>
      </w:r>
      <w:bookmarkEnd w:id="20"/>
    </w:p>
    <w:p w:rsidR="00B21EF9" w:rsidRPr="00802429" w:rsidRDefault="00B21EF9" w:rsidP="005A04CB">
      <w:pPr>
        <w:spacing w:after="0"/>
        <w:jc w:val="both"/>
        <w:rPr>
          <w:rFonts w:ascii="Times New Roman" w:hAnsi="Times New Roman"/>
          <w:i/>
          <w:sz w:val="24"/>
          <w:szCs w:val="24"/>
        </w:rPr>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Sadašnje stanje</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Tokom primjene prethodne Strategije u periodu do 2015. godine došlo je do značajnog unapređenja poslovnog okruženja u Crnoj Gori, premda ostaju još mnogi izazovi. Prema referentnom istraživanju Svjetske banke, </w:t>
      </w:r>
      <w:r w:rsidRPr="00802429">
        <w:rPr>
          <w:rFonts w:ascii="Times New Roman" w:hAnsi="Times New Roman"/>
          <w:i/>
          <w:sz w:val="24"/>
          <w:szCs w:val="24"/>
        </w:rPr>
        <w:t>Doing Business</w:t>
      </w:r>
      <w:r w:rsidRPr="00802429">
        <w:rPr>
          <w:rFonts w:ascii="Times New Roman" w:hAnsi="Times New Roman"/>
          <w:sz w:val="24"/>
          <w:szCs w:val="24"/>
        </w:rPr>
        <w:t>,  koje ima u fokusu otklanjanje prepreka otvaranju i rastu privatnih firmi, Crna Gora je napredovala sa 57. mjesta 2012. godine na 36. mjesto u svijetu 2015. godine.</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Kad je riječ o podsticanju konkurentnosti, prema referentnom istraživanju Svjetskog ekonomskog foruma, </w:t>
      </w:r>
      <w:r w:rsidRPr="00802429">
        <w:rPr>
          <w:rFonts w:ascii="Times New Roman" w:hAnsi="Times New Roman"/>
          <w:i/>
          <w:sz w:val="24"/>
          <w:szCs w:val="24"/>
        </w:rPr>
        <w:t>Globalnom indeksu konkurentnosti</w:t>
      </w:r>
      <w:r w:rsidRPr="00802429">
        <w:rPr>
          <w:rFonts w:ascii="Times New Roman" w:hAnsi="Times New Roman"/>
          <w:sz w:val="24"/>
          <w:szCs w:val="24"/>
        </w:rPr>
        <w:t>, u 2014-15 Crna Gora je bila na 67. mjestu od ukupno 144 zemlje, što predstavlja izvjesno poboljšanje u relativnom rangu u odnosu na 2012-13. godinu kada je bila na 72. mjestu, ali ne i najbolji dosadašnji rezultat (npr. 2010-11. Crna Gora je bila na 49. mjestu). Ipak, ohrabrujuće je da se konstantno najbolje oc</w:t>
      </w:r>
      <w:r w:rsidR="00B15301">
        <w:rPr>
          <w:rFonts w:ascii="Times New Roman" w:hAnsi="Times New Roman"/>
          <w:sz w:val="24"/>
          <w:szCs w:val="24"/>
        </w:rPr>
        <w:t>j</w:t>
      </w:r>
      <w:r w:rsidRPr="00802429">
        <w:rPr>
          <w:rFonts w:ascii="Times New Roman" w:hAnsi="Times New Roman"/>
          <w:sz w:val="24"/>
          <w:szCs w:val="24"/>
        </w:rPr>
        <w:t xml:space="preserve">ene postižu u stubovima konkurentnosti koji se odnose na ljudske resurse – zdravlje i osnovno obrazovanje, te na visoko obrazovanje i obučavanje. </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Osim stalnih napora da se unaprijede ekonomske institucije i pojednostave procedure u poslovanju, čine se i posebni dodatni napori da se podstaknu investicije i zapošljavanje.  To je </w:t>
      </w:r>
      <w:r w:rsidR="00484C14">
        <w:rPr>
          <w:rFonts w:ascii="Times New Roman" w:hAnsi="Times New Roman"/>
          <w:sz w:val="24"/>
          <w:szCs w:val="24"/>
        </w:rPr>
        <w:t>vidljivo u nekim važnim aspektima</w:t>
      </w:r>
      <w:r w:rsidRPr="00802429">
        <w:rPr>
          <w:rFonts w:ascii="Times New Roman" w:hAnsi="Times New Roman"/>
          <w:sz w:val="24"/>
          <w:szCs w:val="24"/>
        </w:rPr>
        <w:t xml:space="preserve"> poresk</w:t>
      </w:r>
      <w:r w:rsidR="00484C14">
        <w:rPr>
          <w:rFonts w:ascii="Times New Roman" w:hAnsi="Times New Roman"/>
          <w:sz w:val="24"/>
          <w:szCs w:val="24"/>
        </w:rPr>
        <w:t>e</w:t>
      </w:r>
      <w:r w:rsidRPr="00802429">
        <w:rPr>
          <w:rFonts w:ascii="Times New Roman" w:hAnsi="Times New Roman"/>
          <w:sz w:val="24"/>
          <w:szCs w:val="24"/>
        </w:rPr>
        <w:t xml:space="preserve"> politi</w:t>
      </w:r>
      <w:r w:rsidR="00484C14">
        <w:rPr>
          <w:rFonts w:ascii="Times New Roman" w:hAnsi="Times New Roman"/>
          <w:sz w:val="24"/>
          <w:szCs w:val="24"/>
        </w:rPr>
        <w:t>ke</w:t>
      </w:r>
      <w:r w:rsidRPr="00802429">
        <w:rPr>
          <w:rFonts w:ascii="Times New Roman" w:hAnsi="Times New Roman"/>
          <w:sz w:val="24"/>
          <w:szCs w:val="24"/>
        </w:rPr>
        <w:t>. Stopa poreza na dobit preduzeća je najniža u regionu, dok su poreske olakšice za nove investicije posebno visoke u nerazvijenim regionima. Uredb</w:t>
      </w:r>
      <w:r w:rsidR="00996BA9">
        <w:rPr>
          <w:rFonts w:ascii="Times New Roman" w:hAnsi="Times New Roman"/>
          <w:sz w:val="24"/>
          <w:szCs w:val="24"/>
        </w:rPr>
        <w:t>a o podsticanju direktnih investicija usvojena je početkom 2015. godine.</w:t>
      </w:r>
      <w:r w:rsidRPr="00802429">
        <w:rPr>
          <w:rFonts w:ascii="Times New Roman" w:hAnsi="Times New Roman"/>
          <w:sz w:val="24"/>
          <w:szCs w:val="24"/>
        </w:rPr>
        <w:t>.</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Okvirno, prepreke bržem privrednom rastu i njime indukovanom rastu zaposlenosti mogu se klasifikovati u dvije grupe. Prvu grupu čine makroekonomske prepreke, kao što su one u oblasti javnih finansija i finansijskog sistema, te prepreke horizontalnog tipa, kao što su, prije svega, prepreke u oblasti poslovnog ambijenta i konkurentnosti. Drugu grupu prepreka predstavljaju one koje su više sektorskog ili pak mikroekonomskog karaktera. Ključni izazovi sa kojima se suočava Crna Gora na makroekonomskom nivou, te u drugim horizontalnim oblastima, odnose se na fiskalnu stabilnost i stabilnost finansijskog i, u tom okviru, posebno bankarskog sektora. Osim toga, dalja poboljšanja moguća </w:t>
      </w:r>
      <w:r w:rsidR="00484C14">
        <w:rPr>
          <w:rFonts w:ascii="Times New Roman" w:hAnsi="Times New Roman"/>
          <w:sz w:val="24"/>
          <w:szCs w:val="24"/>
        </w:rPr>
        <w:t xml:space="preserve">su </w:t>
      </w:r>
      <w:r w:rsidRPr="00802429">
        <w:rPr>
          <w:rFonts w:ascii="Times New Roman" w:hAnsi="Times New Roman"/>
          <w:sz w:val="24"/>
          <w:szCs w:val="24"/>
        </w:rPr>
        <w:t xml:space="preserve">i poželjna i u oblastima koje se odnose na poslovni ambijent i na konkurentnost. </w:t>
      </w:r>
    </w:p>
    <w:p w:rsidR="00B21EF9" w:rsidRPr="00802429" w:rsidRDefault="00B21EF9" w:rsidP="005A04CB">
      <w:pPr>
        <w:spacing w:after="0"/>
        <w:jc w:val="both"/>
        <w:rPr>
          <w:rFonts w:ascii="Times New Roman" w:hAnsi="Times New Roman"/>
          <w:i/>
          <w:sz w:val="24"/>
          <w:szCs w:val="24"/>
        </w:rPr>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Način implementacije strateškog cilja</w:t>
      </w:r>
    </w:p>
    <w:p w:rsidR="00B21EF9" w:rsidRPr="00802429" w:rsidRDefault="00B21EF9" w:rsidP="005A04CB">
      <w:pPr>
        <w:spacing w:after="0"/>
        <w:jc w:val="both"/>
        <w:rPr>
          <w:rFonts w:ascii="Times New Roman" w:hAnsi="Times New Roman"/>
          <w:i/>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Strateški cilj će biti implementiran kontinuiranim otklanjanjem prepreka bržem privrednom rastu i razvoju privatnog sektora, kroz dosl</w:t>
      </w:r>
      <w:r w:rsidR="00EF2C71">
        <w:rPr>
          <w:rFonts w:ascii="Times New Roman" w:hAnsi="Times New Roman"/>
          <w:sz w:val="24"/>
          <w:szCs w:val="24"/>
        </w:rPr>
        <w:t>j</w:t>
      </w:r>
      <w:r w:rsidRPr="00802429">
        <w:rPr>
          <w:rFonts w:ascii="Times New Roman" w:hAnsi="Times New Roman"/>
          <w:sz w:val="24"/>
          <w:szCs w:val="24"/>
        </w:rPr>
        <w:t>ednu primjenu Programa ekonomskih reformi i velikog broja strategija od neposrednog uticaja na privredni rast i društveni razvoj čija će se primjena odvijati paralelno sa sprovođenjem ove Strategije.</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U cilju dostizanja pune makroekonomske stabilnosti, neophodno je jačanje napora za fiskalnu konsolidaciju, uz stvaranje uslova za uspostavljanje trenda smanjenja javnog duga. Iako će deficit budžeta u neposrednom narednom periodu zbog izgradnje prioritetne dionice autoputa biti relativno visok, radi se o ključnoj investiciji koja će se valorizovati povećanjem privrednog rasta i zaposlenosti na duži rok. Istovremeno, njenom realizacijom doprinijeće se ravnomjernijem razvoju zemlje i boljoj povezanosti sa zemljama regiona.</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Fiskalna stabilnost predstavlja izazov za Crnu Goru, ne samo na srednji nego i na dugi rok. S tim u vezi, neophodno je pristupiti reformi penzijskog sistema, čiji ključni cilj treba da bude smanjenje pritisaka koje isplata penzija predstavlja za državni budžet. Na ovaj način bi se stvorilo više prostora u budžetu za investicije, koje imaju ključnu ulogu za povećanje privrednog rasta zemlje na dugi rok. Reforma penzijskog sistema je, s obzirom na starenje stanovništva Crne Gore, </w:t>
      </w:r>
      <w:r w:rsidR="0090781B">
        <w:rPr>
          <w:rFonts w:ascii="Times New Roman" w:hAnsi="Times New Roman"/>
          <w:sz w:val="24"/>
          <w:szCs w:val="24"/>
        </w:rPr>
        <w:t>će biti neophodna</w:t>
      </w:r>
      <w:r w:rsidRPr="00802429">
        <w:rPr>
          <w:rFonts w:ascii="Times New Roman" w:hAnsi="Times New Roman"/>
          <w:sz w:val="24"/>
          <w:szCs w:val="24"/>
        </w:rPr>
        <w:t xml:space="preserve"> i sa stanovišta dugoročne održivosti javnih finansija. U mjeri u kojoj ona bude produžavala radni vijek, uticaće pozitivno i na stope zaposlenosti i aktivnosti, posebno starijeg stanovništva.</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Iako je ostvaren značajan napredak u okviru indikatora „izdavanje građevinskih dozvola“, globalni rang po ovom indikatoru ostao je nizak, 138 mjesto od 189 zemalja.  Iako su verifikovane reforme sprovedene na polju smanjenja naknada za pružanje komunalnih usluga, te ukidanja naknada opštinama za dobijanje urbanističko-tehničkih uslova, još uvijek postoji značajan prostor za unapređenje. U tom smislu, u narednom periodu biće potrebno intenzivirati aktivnosti na pojednostavljivanju procedura i kreiranju i implementiranju “one stop shop” za izdavanje građevinskih dozvola u jedinicama lokalnih samouprava.</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Imajući u vidu potrebu osiguranja fiskalne održivosti opština i, istovremeno, potrebu unapređenja investicionog ambijenta, naknada za komunalno opremanje građevinskog zemljišta, kao ključni fiskalitet, će se postepeno ukidati, u periodu od 2016. do 2020. godine. Do ukidanja naknada, utvrdiće se kriterijumi i limiti za njihov iznos, čime će se ostaviti prostor opštinama za konsolidaciju i nadomještanje prihoda. U cilju unapređenja finansija na lokalnom nivou, povećaće se porez na nepokretnosti, kao porez koji ima najniži negativan efekat na privredni rast i zaposlenost. </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Pored toga, prostor za unapređenje identifikovan je i kod indikatora poštovanje ugovora (50 od 100 mogućih poena; 136 mjesto). U prilog kvalitetnog biznis ambijenta ne idu ni dosta kompleksna legislativa u nekim oblastima, kao ni njene česte promjene.</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Od usvajanja Akcionog plana za implementaciju preporuka Giljotine propisa maja 2012. godine, zaključno sa III kvartalom 2014. godine, realizovano je 987 preporuka, od ukupno </w:t>
      </w:r>
      <w:r w:rsidRPr="00802429">
        <w:rPr>
          <w:rFonts w:ascii="Times New Roman" w:hAnsi="Times New Roman"/>
          <w:sz w:val="24"/>
          <w:szCs w:val="24"/>
        </w:rPr>
        <w:lastRenderedPageBreak/>
        <w:t>prihvaćenih 1.446 (stepen realizacije je 68,3%). Tokom 2015. godine predviđena je realizacija 172 preporuke, dok će ostale preporuke biti realizovane u 2016. i 2017. godini.</w:t>
      </w:r>
    </w:p>
    <w:p w:rsidR="00B21EF9" w:rsidRPr="00802429" w:rsidRDefault="00B21EF9" w:rsidP="005A04CB">
      <w:pPr>
        <w:spacing w:after="0"/>
        <w:jc w:val="both"/>
        <w:rPr>
          <w:rFonts w:ascii="Times New Roman" w:hAnsi="Times New Roman"/>
          <w:sz w:val="24"/>
          <w:szCs w:val="24"/>
        </w:rPr>
      </w:pPr>
    </w:p>
    <w:p w:rsidR="00B21EF9" w:rsidRPr="00802429" w:rsidRDefault="00BD7E4C" w:rsidP="005A04CB">
      <w:pPr>
        <w:spacing w:after="0"/>
        <w:jc w:val="both"/>
        <w:rPr>
          <w:rFonts w:ascii="Times New Roman" w:hAnsi="Times New Roman"/>
          <w:sz w:val="24"/>
          <w:szCs w:val="24"/>
        </w:rPr>
      </w:pPr>
      <w:r>
        <w:rPr>
          <w:rFonts w:ascii="Times New Roman" w:hAnsi="Times New Roman"/>
          <w:sz w:val="24"/>
          <w:szCs w:val="24"/>
        </w:rPr>
        <w:t>Poseban naglasak je kod</w:t>
      </w:r>
      <w:r w:rsidR="00B21EF9" w:rsidRPr="00802429">
        <w:rPr>
          <w:rFonts w:ascii="Times New Roman" w:hAnsi="Times New Roman"/>
          <w:sz w:val="24"/>
          <w:szCs w:val="24"/>
        </w:rPr>
        <w:t xml:space="preserve"> Investiciono razvojnog fonda Crne Gore je da </w:t>
      </w:r>
      <w:r>
        <w:rPr>
          <w:rFonts w:ascii="Times New Roman" w:hAnsi="Times New Roman"/>
          <w:sz w:val="24"/>
          <w:szCs w:val="24"/>
        </w:rPr>
        <w:t xml:space="preserve">se </w:t>
      </w:r>
      <w:r w:rsidR="00B21EF9" w:rsidRPr="00802429">
        <w:rPr>
          <w:rFonts w:ascii="Times New Roman" w:hAnsi="Times New Roman"/>
          <w:sz w:val="24"/>
          <w:szCs w:val="24"/>
        </w:rPr>
        <w:t xml:space="preserve">što aktivnije angažuje na pružanju različitih vidova finansijske i nefinansijske podrške </w:t>
      </w:r>
      <w:r w:rsidR="00584C12">
        <w:rPr>
          <w:rFonts w:ascii="Times New Roman" w:hAnsi="Times New Roman"/>
          <w:sz w:val="24"/>
          <w:szCs w:val="24"/>
        </w:rPr>
        <w:t>usmjerene ka</w:t>
      </w:r>
      <w:r w:rsidR="00B21EF9" w:rsidRPr="00802429">
        <w:rPr>
          <w:rFonts w:ascii="Times New Roman" w:hAnsi="Times New Roman"/>
          <w:sz w:val="24"/>
          <w:szCs w:val="24"/>
        </w:rPr>
        <w:t xml:space="preserve"> razvoju MSP sektora i preduzetništva. Omogućene su dvije osnovne kreditne linije – posredstvom i uz garancije banaka i direktni krediti aranžmani, diferencirane zavisno od oblika organizacije korisnika sredstava, kao i dvije posebne kreditne linije – za žene nosice biznisa i za mlade. Opšti uslovi kredita, koji će važiti za posebne kreditne linije biće povoljniji u odnosu na standardne uslove kreditiranja koje IRF propisuje.   </w:t>
      </w:r>
    </w:p>
    <w:p w:rsidR="00B21EF9" w:rsidRPr="00802429" w:rsidRDefault="00B21EF9" w:rsidP="005A04CB">
      <w:pPr>
        <w:spacing w:after="0"/>
        <w:jc w:val="both"/>
        <w:rPr>
          <w:rFonts w:ascii="Times New Roman" w:hAnsi="Times New Roman"/>
          <w:sz w:val="24"/>
          <w:szCs w:val="24"/>
        </w:rPr>
      </w:pPr>
    </w:p>
    <w:p w:rsidR="00F6710F"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   </w:t>
      </w:r>
    </w:p>
    <w:p w:rsidR="00B21EF9" w:rsidRPr="00E87CD8" w:rsidRDefault="00B21EF9" w:rsidP="00E87CD8">
      <w:pPr>
        <w:pStyle w:val="Heading3"/>
      </w:pPr>
      <w:bookmarkStart w:id="21" w:name="_Toc435454485"/>
      <w:r w:rsidRPr="00E87CD8">
        <w:t>Cilj 2:</w:t>
      </w:r>
      <w:r w:rsidR="00E87CD8" w:rsidRPr="00E87CD8">
        <w:t xml:space="preserve"> </w:t>
      </w:r>
      <w:r w:rsidRPr="00E87CD8">
        <w:t>Povećanje efikasnosti mjera aktivne politike zapošljavanja sa posebnim naglaskom na uključivanje na tržište rada mladih, žena i dugoročno nezaposlenih lica</w:t>
      </w:r>
      <w:bookmarkEnd w:id="21"/>
    </w:p>
    <w:p w:rsidR="00B21EF9" w:rsidRPr="00802429" w:rsidRDefault="00E87CD8" w:rsidP="00E87CD8">
      <w:pPr>
        <w:tabs>
          <w:tab w:val="left" w:pos="3465"/>
        </w:tabs>
        <w:spacing w:after="0"/>
        <w:jc w:val="both"/>
        <w:rPr>
          <w:rFonts w:ascii="Times New Roman" w:hAnsi="Times New Roman"/>
          <w:b/>
          <w:sz w:val="24"/>
          <w:szCs w:val="24"/>
        </w:rPr>
      </w:pPr>
      <w:r>
        <w:rPr>
          <w:rFonts w:ascii="Times New Roman" w:hAnsi="Times New Roman"/>
          <w:b/>
          <w:sz w:val="24"/>
          <w:szCs w:val="24"/>
        </w:rPr>
        <w:tab/>
      </w: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jc w:val="both"/>
        <w:rPr>
          <w:rFonts w:ascii="Times New Roman" w:hAnsi="Times New Roman"/>
          <w:sz w:val="24"/>
          <w:szCs w:val="24"/>
        </w:rPr>
      </w:pPr>
    </w:p>
    <w:p w:rsidR="00B21EF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U periodu primjene prethodne Strategije došlo je do bitnih promjena u strukturi mjera aktivne politike zapošljavanja i u načinu njihovog sprovođenja. Godišnja vrijednost standardnog portfolija programa Zavoda za zapošljavanje oštro je smanjivana kao dio mjera budžetske konsolidacije na početku perioda da bi se stabilizovala na oko 3 miliona eura u 2013 godini. Međutim, u 2013. godini počeo je da se inter-resorno sprovodi </w:t>
      </w:r>
      <w:r w:rsidR="00386B1C">
        <w:rPr>
          <w:rFonts w:ascii="Times New Roman" w:hAnsi="Times New Roman"/>
          <w:sz w:val="24"/>
          <w:szCs w:val="24"/>
          <w:lang w:val="hr-HR"/>
        </w:rPr>
        <w:t>P</w:t>
      </w:r>
      <w:r w:rsidRPr="00802429">
        <w:rPr>
          <w:rFonts w:ascii="Times New Roman" w:hAnsi="Times New Roman"/>
          <w:sz w:val="24"/>
          <w:szCs w:val="24"/>
          <w:lang w:val="hr-HR"/>
        </w:rPr>
        <w:t>rogram stručnog osposobljavanja visokoškolaca, koji je sam angažovao trostruko veća sredstva od svih drugih aktivnih programa uzetih zajedno. To je naravno uticalo na povećanje ukupnih izdataka na aktivne programe tržišta rada u BDP-u i na velike promjene u strukturi tih izdataka prema krajnjim korisnicima. Dok je na početku primjene Strategije učešće izdataka na aktivne programe bilo relativno balansirano u odnosu na nivo obrazovanja korisnika, u 2013. i 2014. godini oko četiri petine svih izdataka odnosilo se na osobe sa visokim obrazovanjem</w:t>
      </w:r>
      <w:r w:rsidR="00C72E96">
        <w:rPr>
          <w:rFonts w:ascii="Times New Roman" w:hAnsi="Times New Roman"/>
          <w:sz w:val="24"/>
          <w:szCs w:val="24"/>
          <w:lang w:val="hr-HR"/>
        </w:rPr>
        <w:t>.</w:t>
      </w:r>
    </w:p>
    <w:p w:rsidR="00C72E96" w:rsidRPr="00802429" w:rsidRDefault="00C72E96" w:rsidP="005A04CB">
      <w:pPr>
        <w:spacing w:after="0" w:line="240" w:lineRule="auto"/>
        <w:jc w:val="both"/>
        <w:rPr>
          <w:rFonts w:ascii="Times New Roman" w:hAnsi="Times New Roman"/>
          <w:sz w:val="24"/>
          <w:szCs w:val="24"/>
          <w:lang w:val="hr-HR"/>
        </w:rPr>
      </w:pPr>
    </w:p>
    <w:p w:rsidR="00B21EF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Uredba o subvencijama za zapošljavanje određenih kategorija nezaposlenih lica koja je u nekoliko varijanata bila na snazi tokom primjene prethodne Strategije, a i dalje je na snazi, takođe se može smatrati specifičnom aktivnom mjerom tržišta rada, koja pripada kategoriji subvencija poslodavcima za kreiranje novih radnih mjesta. </w:t>
      </w:r>
    </w:p>
    <w:p w:rsidR="00843FB6" w:rsidRPr="00802429" w:rsidRDefault="00843FB6"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Program stručnog osposobljavanja visokoškolaca razvijen je kao snažan odgovor na rastuću krizu nezaposlenosti mladih, posebno visokoobrazovanih lica bez bitnog radnog iskustva. Prema podacima Zavoda za zapošljavanje, broj nezaposlenih lica do 25 godina starosti  krajem  2014. godine iznosi 9.541 ili 27,47% od ukupnog broja nezaposlenih (34.728), dok je to učešće u istom periodu 2006. godine iznosilo 20,04%. Prije svega zbog uticaja ekonomske krize, obim novog zapošljavanja u poslednjim godinama bio je gotovo dvostruko niži u odnosu na pretkrizni period. </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U prethodnih nekoliko godina prisutan je stalni trend rasta broja nezaposlenih visokoškolaca na evidenciji Zavoda za zapošljavanje. Na evidenciji Zavoda za zapošljavanje n</w:t>
      </w:r>
      <w:r w:rsidR="00E50269">
        <w:rPr>
          <w:rFonts w:ascii="Times New Roman" w:hAnsi="Times New Roman"/>
          <w:sz w:val="24"/>
          <w:szCs w:val="24"/>
          <w:lang w:val="hr-HR"/>
        </w:rPr>
        <w:t>a kraju 2006. godine je</w:t>
      </w:r>
      <w:r w:rsidRPr="00802429">
        <w:rPr>
          <w:rFonts w:ascii="Times New Roman" w:hAnsi="Times New Roman"/>
          <w:sz w:val="24"/>
          <w:szCs w:val="24"/>
          <w:lang w:val="hr-HR"/>
        </w:rPr>
        <w:t xml:space="preserve"> bilo 2.369 visokoškolaca što je predstavljalo 6% ukupnog broja nezaposlenih (39.480), da bi krajem 2014. godine to učešće iznosilo 29,63% (10.291). Istovremeno, svake godine rastao je broj novoprijavljenih visokoškolaca (sa 4.228 u 2006. godini na 8003 krajem </w:t>
      </w:r>
      <w:r w:rsidRPr="00802429">
        <w:rPr>
          <w:rFonts w:ascii="Times New Roman" w:hAnsi="Times New Roman"/>
          <w:sz w:val="24"/>
          <w:szCs w:val="24"/>
          <w:lang w:val="hr-HR"/>
        </w:rPr>
        <w:lastRenderedPageBreak/>
        <w:t>2014. godine), a posebno onih bez radnog staža (sa 1.135 u 2006. godini na 3.266 krajem 2014. godine) odnosno onih koji dolaze iz sistema redovnog obrazovanja.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U narednom periodu treba očekivati dalje povećanje broja visokoškolaca na evidenciji nezaposlenih iz razloga što se u poslednjih nekoliko godina stalno povećava broj srednjoškolaca koji se upisuju na visokoobrazovne ustanove (u školskoj 2013/14 njih preko 80%). Takođe, prisutna je povećana produkcija iz sistema visokog o</w:t>
      </w:r>
      <w:r w:rsidR="00C17937">
        <w:rPr>
          <w:rFonts w:ascii="Times New Roman" w:hAnsi="Times New Roman"/>
          <w:sz w:val="24"/>
          <w:szCs w:val="24"/>
          <w:lang w:val="hr-HR"/>
        </w:rPr>
        <w:t xml:space="preserve">brazovanja imajući u vidu </w:t>
      </w:r>
      <w:r w:rsidRPr="00802429">
        <w:rPr>
          <w:rFonts w:ascii="Times New Roman" w:hAnsi="Times New Roman"/>
          <w:sz w:val="24"/>
          <w:szCs w:val="24"/>
          <w:lang w:val="hr-HR"/>
        </w:rPr>
        <w:t xml:space="preserve">da se na završnim godinama studija osnovnih (III i IV godina), specijalističkih i magistarskih  nalazi preko 9000 studenata, dok raste broj diplomiranih studenata (broj diplomiranih studenata u 2013. je u odnosu na 2006. godinu veći za 64,6%). U kratkom roku, tražnja za visokoškolcima ostaje stabilna, čime se povećava raskorak između ponude i tražnje. </w:t>
      </w:r>
      <w:r w:rsidR="00D2292D">
        <w:rPr>
          <w:rFonts w:ascii="Times New Roman" w:hAnsi="Times New Roman"/>
          <w:sz w:val="24"/>
          <w:szCs w:val="24"/>
          <w:lang w:val="pl-PL"/>
        </w:rPr>
        <w:t>Međutim, njihovi izgledi na tržištu rada i dalje će ostati povoljniji u odnosu na lica bez visokog obrazovanja.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Evropska unija je pokrenula niz inicijativa, potput Inicijative za mlade i Garancije za mlade, kojima se u zemljama članicama osiguravaju dodatni izvori finansiranja za mjere za mlade osobe, te je nužno i za zemlje u pretpristupnom procesu osigurati podršku zapošljavanju mladih, jer dovođenje mladih u kategoriju dugotrajno nezaposlenih može imati dugoročne posljedice za svaku ekonomiju. Stoga je važno djelovati u nekoliko smjerova: olakšavati prelazak iz sistema obrazovanja na tržište rada, kroz razvoj i promociju pripravništva i obuka, ali i osiguranje usklađivanja obrazovnih programa sa stvarnim potrebama tržišta rada.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Kad je riječ o aktivnim mjerama zapošljavanja namenjenim ženama, </w:t>
      </w:r>
      <w:r w:rsidR="004F15EB">
        <w:rPr>
          <w:rFonts w:ascii="Times New Roman" w:hAnsi="Times New Roman"/>
          <w:sz w:val="24"/>
          <w:szCs w:val="24"/>
          <w:lang w:val="hr-HR"/>
        </w:rPr>
        <w:t>relativno mali broj</w:t>
      </w:r>
      <w:r w:rsidRPr="00802429">
        <w:rPr>
          <w:rFonts w:ascii="Times New Roman" w:hAnsi="Times New Roman"/>
          <w:sz w:val="24"/>
          <w:szCs w:val="24"/>
          <w:lang w:val="hr-HR"/>
        </w:rPr>
        <w:t xml:space="preserve"> programa namjenjen</w:t>
      </w:r>
      <w:r w:rsidR="004F15EB">
        <w:rPr>
          <w:rFonts w:ascii="Times New Roman" w:hAnsi="Times New Roman"/>
          <w:sz w:val="24"/>
          <w:szCs w:val="24"/>
          <w:lang w:val="hr-HR"/>
        </w:rPr>
        <w:t xml:space="preserve"> je</w:t>
      </w:r>
      <w:r w:rsidRPr="00802429">
        <w:rPr>
          <w:rFonts w:ascii="Times New Roman" w:hAnsi="Times New Roman"/>
          <w:sz w:val="24"/>
          <w:szCs w:val="24"/>
          <w:lang w:val="hr-HR"/>
        </w:rPr>
        <w:t xml:space="preserve"> isključivo ovoj ciljnoj grupi, i oni se uglavnom svode na podsticanje preduzetništva kod žena u manje razvijenim i ruralnim sredinama. Ipak, učešće žena u aktivnim mjerama zapošljavanja i u ovom periodu ostalo je srazmjerno veće u odnosu na učešće muškaraca, što je vjerovatno barem u izvjesnoj mjeri doprin</w:t>
      </w:r>
      <w:r w:rsidR="00C97D92">
        <w:rPr>
          <w:rFonts w:ascii="Times New Roman" w:hAnsi="Times New Roman"/>
          <w:sz w:val="24"/>
          <w:szCs w:val="24"/>
          <w:lang w:val="hr-HR"/>
        </w:rPr>
        <w:t>ij</w:t>
      </w:r>
      <w:r w:rsidRPr="00802429">
        <w:rPr>
          <w:rFonts w:ascii="Times New Roman" w:hAnsi="Times New Roman"/>
          <w:sz w:val="24"/>
          <w:szCs w:val="24"/>
          <w:lang w:val="hr-HR"/>
        </w:rPr>
        <w:t>elo smanjivanju jaza u stopama zaposlenosti muškaraca i žena.</w:t>
      </w:r>
    </w:p>
    <w:p w:rsidR="00B21EF9" w:rsidRPr="00802429" w:rsidRDefault="00B21EF9" w:rsidP="005A04CB">
      <w:pPr>
        <w:spacing w:after="0" w:line="240" w:lineRule="auto"/>
        <w:jc w:val="both"/>
        <w:rPr>
          <w:rFonts w:ascii="Times New Roman" w:hAnsi="Times New Roman"/>
          <w:sz w:val="24"/>
          <w:szCs w:val="24"/>
          <w:lang w:val="hr-HR"/>
        </w:rPr>
      </w:pPr>
    </w:p>
    <w:p w:rsidR="00B21EF9" w:rsidRPr="00AA6A3B" w:rsidRDefault="00B21EF9" w:rsidP="00C57113">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Dugoročna nezaposlenost se nešto smanjila u 2014. godini, ali je ona i dalje na veoma visokom nivou od 77,5% prema podacima ARS i 55,8% prema podacima ZZZCG. Najveće učešće među dugoročno nezaposlenima, više od trećine, čine osobe koje traže posao od 1 do 3 godine. Svakako da je smanjivanje sredstava za standardne programe ZZZCG uticalo i na sporije smanjivanje dugoročne nezaposlenosti, mada su glavni uzroci pr</w:t>
      </w:r>
      <w:r w:rsidR="00BB0805">
        <w:rPr>
          <w:rFonts w:ascii="Times New Roman" w:hAnsi="Times New Roman"/>
          <w:sz w:val="24"/>
          <w:szCs w:val="24"/>
          <w:lang w:val="hr-HR"/>
        </w:rPr>
        <w:t>ij</w:t>
      </w:r>
      <w:r w:rsidRPr="00802429">
        <w:rPr>
          <w:rFonts w:ascii="Times New Roman" w:hAnsi="Times New Roman"/>
          <w:sz w:val="24"/>
          <w:szCs w:val="24"/>
          <w:lang w:val="hr-HR"/>
        </w:rPr>
        <w:t>e svega strukturne (neusklađenost ponude i tražnje) i institucionalne prirode.</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p>
    <w:p w:rsidR="00B21EF9" w:rsidRPr="000A6DF8" w:rsidRDefault="00B21EF9" w:rsidP="005A04CB">
      <w:pPr>
        <w:spacing w:after="0" w:line="240" w:lineRule="auto"/>
        <w:jc w:val="both"/>
        <w:rPr>
          <w:rFonts w:ascii="Times New Roman" w:hAnsi="Times New Roman"/>
          <w:i/>
          <w:sz w:val="24"/>
          <w:szCs w:val="24"/>
          <w:lang w:val="hr-HR"/>
        </w:rPr>
      </w:pPr>
      <w:r w:rsidRPr="000A6DF8">
        <w:rPr>
          <w:rFonts w:ascii="Times New Roman" w:hAnsi="Times New Roman"/>
          <w:i/>
          <w:sz w:val="24"/>
          <w:szCs w:val="24"/>
          <w:lang w:val="hr-HR"/>
        </w:rPr>
        <w:t>Način implementacije strateškog cilja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0615B2" w:rsidP="005A04CB">
      <w:pPr>
        <w:spacing w:after="0" w:line="240" w:lineRule="auto"/>
        <w:jc w:val="both"/>
        <w:rPr>
          <w:rFonts w:ascii="Times New Roman" w:hAnsi="Times New Roman"/>
          <w:sz w:val="24"/>
          <w:szCs w:val="24"/>
          <w:lang w:val="hr-HR"/>
        </w:rPr>
      </w:pPr>
      <w:r>
        <w:rPr>
          <w:rFonts w:ascii="Times New Roman" w:hAnsi="Times New Roman"/>
          <w:sz w:val="24"/>
          <w:szCs w:val="24"/>
          <w:lang w:val="hr-HR"/>
        </w:rPr>
        <w:t>Potrebno je d</w:t>
      </w:r>
      <w:r w:rsidR="00B21EF9" w:rsidRPr="00802429">
        <w:rPr>
          <w:rFonts w:ascii="Times New Roman" w:hAnsi="Times New Roman"/>
          <w:sz w:val="24"/>
          <w:szCs w:val="24"/>
          <w:lang w:val="hr-HR"/>
        </w:rPr>
        <w:t>alje unapređenje rada Zavoda za zapošljavanje u domenu njegove posredničko – sav</w:t>
      </w:r>
      <w:r w:rsidR="00211E80">
        <w:rPr>
          <w:rFonts w:ascii="Times New Roman" w:hAnsi="Times New Roman"/>
          <w:sz w:val="24"/>
          <w:szCs w:val="24"/>
          <w:lang w:val="hr-HR"/>
        </w:rPr>
        <w:t>j</w:t>
      </w:r>
      <w:r w:rsidR="00B21EF9" w:rsidRPr="00802429">
        <w:rPr>
          <w:rFonts w:ascii="Times New Roman" w:hAnsi="Times New Roman"/>
          <w:sz w:val="24"/>
          <w:szCs w:val="24"/>
          <w:lang w:val="hr-HR"/>
        </w:rPr>
        <w:t>etodavne funkcije, koj</w:t>
      </w:r>
      <w:r w:rsidR="00211E80">
        <w:rPr>
          <w:rFonts w:ascii="Times New Roman" w:hAnsi="Times New Roman"/>
          <w:sz w:val="24"/>
          <w:szCs w:val="24"/>
          <w:lang w:val="hr-HR"/>
        </w:rPr>
        <w:t>e</w:t>
      </w:r>
      <w:r w:rsidR="0090317A">
        <w:rPr>
          <w:rFonts w:ascii="Times New Roman" w:hAnsi="Times New Roman"/>
          <w:sz w:val="24"/>
          <w:szCs w:val="24"/>
          <w:lang w:val="hr-HR"/>
        </w:rPr>
        <w:t xml:space="preserve"> uključuju</w:t>
      </w:r>
      <w:r w:rsidR="00B21EF9" w:rsidRPr="00802429">
        <w:rPr>
          <w:rFonts w:ascii="Times New Roman" w:hAnsi="Times New Roman"/>
          <w:sz w:val="24"/>
          <w:szCs w:val="24"/>
          <w:lang w:val="hr-HR"/>
        </w:rPr>
        <w:t xml:space="preserve"> informisanje, savetovanje, posredovanje u zapošljavanju, i rad sa poslodavcima.</w:t>
      </w:r>
      <w:r w:rsidR="00843C69">
        <w:rPr>
          <w:rFonts w:ascii="Times New Roman" w:hAnsi="Times New Roman"/>
          <w:sz w:val="24"/>
          <w:szCs w:val="24"/>
          <w:lang w:val="hr-HR"/>
        </w:rPr>
        <w:t xml:space="preserve"> </w:t>
      </w:r>
      <w:r w:rsidR="00B21EF9" w:rsidRPr="00802429">
        <w:rPr>
          <w:rFonts w:ascii="Times New Roman" w:hAnsi="Times New Roman"/>
          <w:sz w:val="24"/>
          <w:szCs w:val="24"/>
          <w:lang w:val="hr-HR"/>
        </w:rPr>
        <w:t>Posebno je važno uspostavljanje sistema monitoringa izvršavanja programa i sprovođenje procesnih evaluacija i naučnih evaluacija neto uticaja, koje do sada nisu rađene, a predstavljaju nezam</w:t>
      </w:r>
      <w:r w:rsidR="00211E80">
        <w:rPr>
          <w:rFonts w:ascii="Times New Roman" w:hAnsi="Times New Roman"/>
          <w:sz w:val="24"/>
          <w:szCs w:val="24"/>
          <w:lang w:val="hr-HR"/>
        </w:rPr>
        <w:t>j</w:t>
      </w:r>
      <w:r w:rsidR="00B21EF9" w:rsidRPr="00802429">
        <w:rPr>
          <w:rFonts w:ascii="Times New Roman" w:hAnsi="Times New Roman"/>
          <w:sz w:val="24"/>
          <w:szCs w:val="24"/>
          <w:lang w:val="hr-HR"/>
        </w:rPr>
        <w:t>enljiv izvor informacija o pravoj efektivnosti i efikasnosti programa aktivne politike zapošljavanja.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U pogledu finansijskih sredstava, biće potrebno zadržavanje ili blago povećavanje postojećih ukupnih sredstava za aktivne programe tržišta rada uz restrukturiranje programskog portfolija. Potrebno je postepeno racionalizovanje programa stručnog osposobljavanja. Paralelno, treba ići na povećanje sredstava za programe koji su namjenjeni dugoročno nezaposlenima i </w:t>
      </w:r>
      <w:r w:rsidRPr="00802429">
        <w:rPr>
          <w:rFonts w:ascii="Times New Roman" w:hAnsi="Times New Roman"/>
          <w:sz w:val="24"/>
          <w:szCs w:val="24"/>
          <w:lang w:val="hr-HR"/>
        </w:rPr>
        <w:lastRenderedPageBreak/>
        <w:t>posebno osjetljivim grupama kako bi se postigla bolja ravnoteža između ciljeva podsticanja efikasnosti i podsticanja uključivanja i veće pravičnosti na tržištu rada.</w:t>
      </w:r>
    </w:p>
    <w:p w:rsidR="00B21EF9" w:rsidRPr="00802429" w:rsidRDefault="00B21EF9" w:rsidP="005A04CB">
      <w:pPr>
        <w:spacing w:after="0" w:line="240" w:lineRule="auto"/>
        <w:jc w:val="both"/>
        <w:rPr>
          <w:rFonts w:ascii="Times New Roman" w:hAnsi="Times New Roman"/>
          <w:sz w:val="24"/>
          <w:szCs w:val="24"/>
          <w:lang w:val="hr-HR"/>
        </w:rPr>
      </w:pPr>
    </w:p>
    <w:p w:rsidR="00B21EF9" w:rsidRPr="00802429" w:rsidRDefault="00B21EF9" w:rsidP="005A04CB">
      <w:pPr>
        <w:spacing w:after="0" w:line="240" w:lineRule="auto"/>
        <w:jc w:val="both"/>
        <w:rPr>
          <w:rFonts w:ascii="Times New Roman" w:hAnsi="Times New Roman"/>
          <w:sz w:val="24"/>
          <w:szCs w:val="24"/>
          <w:lang w:val="hr-HR"/>
        </w:rPr>
      </w:pPr>
      <w:r w:rsidRPr="00802429">
        <w:rPr>
          <w:rFonts w:ascii="Times New Roman" w:hAnsi="Times New Roman"/>
          <w:sz w:val="24"/>
          <w:szCs w:val="24"/>
          <w:lang w:val="hr-HR"/>
        </w:rPr>
        <w:t xml:space="preserve">U sklopu usaglašavanja sa evropskom praksom, potrebno je uspostavljanje </w:t>
      </w:r>
      <w:r w:rsidRPr="00802429">
        <w:rPr>
          <w:rFonts w:ascii="Times New Roman" w:hAnsi="Times New Roman"/>
          <w:b/>
          <w:sz w:val="24"/>
          <w:szCs w:val="24"/>
          <w:lang w:val="hr-HR"/>
        </w:rPr>
        <w:t>garancije za mlade</w:t>
      </w:r>
      <w:r w:rsidRPr="00802429">
        <w:rPr>
          <w:rFonts w:ascii="Times New Roman" w:hAnsi="Times New Roman"/>
          <w:sz w:val="24"/>
          <w:szCs w:val="24"/>
          <w:lang w:val="hr-HR"/>
        </w:rPr>
        <w:t xml:space="preserve"> kroz konsolidaciju postojećih programa i eventualno uvođenje novih programa kako bi se obezbjedila suštinska ponuda zaposlenja ili obuke svakoj nezaposlenoj mladoj osobi pr</w:t>
      </w:r>
      <w:r w:rsidR="00BB0805">
        <w:rPr>
          <w:rFonts w:ascii="Times New Roman" w:hAnsi="Times New Roman"/>
          <w:sz w:val="24"/>
          <w:szCs w:val="24"/>
          <w:lang w:val="hr-HR"/>
        </w:rPr>
        <w:t>ij</w:t>
      </w:r>
      <w:r w:rsidRPr="00802429">
        <w:rPr>
          <w:rFonts w:ascii="Times New Roman" w:hAnsi="Times New Roman"/>
          <w:sz w:val="24"/>
          <w:szCs w:val="24"/>
          <w:lang w:val="hr-HR"/>
        </w:rPr>
        <w:t>e isteka četiri ili šest m</w:t>
      </w:r>
      <w:r w:rsidR="00DF19BF">
        <w:rPr>
          <w:rFonts w:ascii="Times New Roman" w:hAnsi="Times New Roman"/>
          <w:sz w:val="24"/>
          <w:szCs w:val="24"/>
          <w:lang w:val="hr-HR"/>
        </w:rPr>
        <w:t>j</w:t>
      </w:r>
      <w:r w:rsidRPr="00802429">
        <w:rPr>
          <w:rFonts w:ascii="Times New Roman" w:hAnsi="Times New Roman"/>
          <w:sz w:val="24"/>
          <w:szCs w:val="24"/>
          <w:lang w:val="hr-HR"/>
        </w:rPr>
        <w:t xml:space="preserve">eseci od registrovanja kod Zavoda za zapošljavanje. </w:t>
      </w:r>
    </w:p>
    <w:p w:rsidR="00B21EF9" w:rsidRPr="00802429" w:rsidRDefault="00B21EF9" w:rsidP="005A04CB">
      <w:pPr>
        <w:spacing w:after="0" w:line="240" w:lineRule="auto"/>
        <w:jc w:val="both"/>
        <w:rPr>
          <w:rFonts w:ascii="Times New Roman" w:hAnsi="Times New Roman"/>
          <w:sz w:val="24"/>
          <w:szCs w:val="24"/>
          <w:lang w:val="hr-HR"/>
        </w:rPr>
      </w:pPr>
    </w:p>
    <w:p w:rsidR="00B21EF9" w:rsidRPr="00E87CD8" w:rsidRDefault="00B21EF9" w:rsidP="00E87CD8">
      <w:pPr>
        <w:pStyle w:val="Heading3"/>
      </w:pPr>
      <w:bookmarkStart w:id="22" w:name="_Toc435454486"/>
      <w:r w:rsidRPr="00E87CD8">
        <w:t>Cilj 3:</w:t>
      </w:r>
      <w:r w:rsidR="00E87CD8" w:rsidRPr="00E87CD8">
        <w:t xml:space="preserve"> </w:t>
      </w:r>
      <w:r w:rsidRPr="00E87CD8">
        <w:t xml:space="preserve">Obezbjeđivanje </w:t>
      </w:r>
      <w:r w:rsidR="00CB1E90">
        <w:t>već</w:t>
      </w:r>
      <w:r w:rsidR="003810FD">
        <w:t xml:space="preserve">e </w:t>
      </w:r>
      <w:r w:rsidRPr="00E87CD8">
        <w:t>zaposlenosti u nerazvijenim područjima Crne Gore</w:t>
      </w:r>
      <w:bookmarkEnd w:id="22"/>
    </w:p>
    <w:p w:rsidR="00B21EF9" w:rsidRPr="00802429" w:rsidRDefault="00B21EF9" w:rsidP="005A04CB">
      <w:pPr>
        <w:spacing w:after="0"/>
        <w:jc w:val="both"/>
        <w:rPr>
          <w:rFonts w:ascii="Times New Roman" w:hAnsi="Times New Roman"/>
          <w:b/>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Neujednačen razvoj tri geografska regiona Crne Gore (</w:t>
      </w:r>
      <w:r w:rsidR="00B952FC">
        <w:rPr>
          <w:rFonts w:ascii="Times New Roman" w:hAnsi="Times New Roman"/>
          <w:sz w:val="24"/>
          <w:szCs w:val="24"/>
        </w:rPr>
        <w:t>S</w:t>
      </w:r>
      <w:r w:rsidRPr="00802429">
        <w:rPr>
          <w:rFonts w:ascii="Times New Roman" w:hAnsi="Times New Roman"/>
          <w:sz w:val="24"/>
          <w:szCs w:val="24"/>
        </w:rPr>
        <w:t xml:space="preserve">jeverni, </w:t>
      </w:r>
      <w:r w:rsidR="00B952FC">
        <w:rPr>
          <w:rFonts w:ascii="Times New Roman" w:hAnsi="Times New Roman"/>
          <w:sz w:val="24"/>
          <w:szCs w:val="24"/>
        </w:rPr>
        <w:t>Središnji</w:t>
      </w:r>
      <w:r w:rsidRPr="00802429">
        <w:rPr>
          <w:rFonts w:ascii="Times New Roman" w:hAnsi="Times New Roman"/>
          <w:sz w:val="24"/>
          <w:szCs w:val="24"/>
        </w:rPr>
        <w:t xml:space="preserve"> i </w:t>
      </w:r>
      <w:r w:rsidR="00B952FC">
        <w:rPr>
          <w:rFonts w:ascii="Times New Roman" w:hAnsi="Times New Roman"/>
          <w:sz w:val="24"/>
          <w:szCs w:val="24"/>
        </w:rPr>
        <w:t>Primorski</w:t>
      </w:r>
      <w:r w:rsidRPr="00802429">
        <w:rPr>
          <w:rFonts w:ascii="Times New Roman" w:hAnsi="Times New Roman"/>
          <w:sz w:val="24"/>
          <w:szCs w:val="24"/>
        </w:rPr>
        <w:t>) ima za posljedicu naglašene regionalne razlike u nivoima zaposlenosti i nezaposlenosti. Razlike su naročito izražene kada je u pitanju Sjeverni region, koji zauzima 52,8% teritorije Crne Gore, i čini jednu trećinu njenog stanovništva. Prema godišnjim podacima ARS iz 201</w:t>
      </w:r>
      <w:r w:rsidR="00342046">
        <w:rPr>
          <w:rFonts w:ascii="Times New Roman" w:hAnsi="Times New Roman"/>
          <w:sz w:val="24"/>
          <w:szCs w:val="24"/>
        </w:rPr>
        <w:t>4</w:t>
      </w:r>
      <w:r w:rsidRPr="00802429">
        <w:rPr>
          <w:rFonts w:ascii="Times New Roman" w:hAnsi="Times New Roman"/>
          <w:sz w:val="24"/>
          <w:szCs w:val="24"/>
        </w:rPr>
        <w:t xml:space="preserve">. godine, stopa zaposlenosti u </w:t>
      </w:r>
      <w:r w:rsidR="00342046">
        <w:rPr>
          <w:rFonts w:ascii="Times New Roman" w:hAnsi="Times New Roman"/>
          <w:sz w:val="24"/>
          <w:szCs w:val="24"/>
        </w:rPr>
        <w:t>Sjevernom regionu za populaciji 15+ iznosila je 27,5</w:t>
      </w:r>
      <w:r w:rsidRPr="00802429">
        <w:rPr>
          <w:rFonts w:ascii="Times New Roman" w:hAnsi="Times New Roman"/>
          <w:sz w:val="24"/>
          <w:szCs w:val="24"/>
        </w:rPr>
        <w:t>%  što je daleko ispod prosjeka na nivou Crne Gore (</w:t>
      </w:r>
      <w:r w:rsidR="0035467B">
        <w:rPr>
          <w:rFonts w:ascii="Times New Roman" w:hAnsi="Times New Roman"/>
          <w:sz w:val="24"/>
          <w:szCs w:val="24"/>
        </w:rPr>
        <w:t>43,2</w:t>
      </w:r>
      <w:r w:rsidRPr="00802429">
        <w:rPr>
          <w:rFonts w:ascii="Times New Roman" w:hAnsi="Times New Roman"/>
          <w:sz w:val="24"/>
          <w:szCs w:val="24"/>
        </w:rPr>
        <w:t>%). Stopa zaposlenosti u sjevernom regionu, prema podacim</w:t>
      </w:r>
      <w:r w:rsidR="003D5D11">
        <w:rPr>
          <w:rFonts w:ascii="Times New Roman" w:hAnsi="Times New Roman"/>
          <w:sz w:val="24"/>
          <w:szCs w:val="24"/>
        </w:rPr>
        <w:t>a iz A</w:t>
      </w:r>
      <w:r w:rsidRPr="00802429">
        <w:rPr>
          <w:rFonts w:ascii="Times New Roman" w:hAnsi="Times New Roman"/>
          <w:sz w:val="24"/>
          <w:szCs w:val="24"/>
        </w:rPr>
        <w:t>nkete o radnoj snazi u pretkriznoj 2008. godini je za populaciju 15-64 godine iznosila 81,6% crnogorskog prosjeka, dok je za 2013. godini iznosila 62,2% prosjeka. Slična je situacija i sa stopom nezaposlenosti. Ona je u 2008. godini bila 46,4 indeksna poena veća u odnosu na prosječnu stopu nezaposlenosti, dok je u 2013. godini razlika udvostručena (indeks 208).</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B121C6">
        <w:rPr>
          <w:rFonts w:ascii="Times New Roman" w:hAnsi="Times New Roman"/>
          <w:sz w:val="24"/>
          <w:szCs w:val="24"/>
        </w:rPr>
        <w:t>Implementacija Strategije regionalnog razvoja</w:t>
      </w:r>
      <w:r w:rsidR="00F64B74" w:rsidRPr="00B121C6">
        <w:rPr>
          <w:rFonts w:ascii="Times New Roman" w:hAnsi="Times New Roman"/>
          <w:sz w:val="24"/>
          <w:szCs w:val="24"/>
        </w:rPr>
        <w:t xml:space="preserve"> Crne Gore</w:t>
      </w:r>
      <w:r w:rsidRPr="00B121C6">
        <w:rPr>
          <w:rFonts w:ascii="Times New Roman" w:hAnsi="Times New Roman"/>
          <w:sz w:val="24"/>
          <w:szCs w:val="24"/>
        </w:rPr>
        <w:t xml:space="preserve"> u periodu 2010–2014 bila je dominantno usmjerena na doprinos ravnomje</w:t>
      </w:r>
      <w:r w:rsidR="00C81706" w:rsidRPr="00B121C6">
        <w:rPr>
          <w:rFonts w:ascii="Times New Roman" w:hAnsi="Times New Roman"/>
          <w:sz w:val="24"/>
          <w:szCs w:val="24"/>
        </w:rPr>
        <w:t>r</w:t>
      </w:r>
      <w:r w:rsidRPr="00B121C6">
        <w:rPr>
          <w:rFonts w:ascii="Times New Roman" w:hAnsi="Times New Roman"/>
          <w:sz w:val="24"/>
          <w:szCs w:val="24"/>
        </w:rPr>
        <w:t>nijem regionalnom razvoju kroz ulaganje u infrastrukturu, a mnogo manje na jačanje ljudskih resursa i konkurentnosti i na inovacije. U tom smislu, realizacijom Strategije regionalnog razvoja</w:t>
      </w:r>
      <w:r w:rsidR="00907A3D" w:rsidRPr="00B121C6">
        <w:rPr>
          <w:rFonts w:ascii="Times New Roman" w:hAnsi="Times New Roman"/>
          <w:sz w:val="24"/>
          <w:szCs w:val="24"/>
        </w:rPr>
        <w:t xml:space="preserve"> Crne Gore</w:t>
      </w:r>
      <w:r w:rsidRPr="00B121C6">
        <w:rPr>
          <w:rFonts w:ascii="Times New Roman" w:hAnsi="Times New Roman"/>
          <w:sz w:val="24"/>
          <w:szCs w:val="24"/>
        </w:rPr>
        <w:t xml:space="preserve"> u prethodnom periodu se nije doprinijelo smanjenju nezaposlenosti, kao jednom od glavnih indikatora razvijenosti</w:t>
      </w:r>
      <w:r w:rsidR="00F64B74" w:rsidRPr="00B121C6">
        <w:rPr>
          <w:rFonts w:ascii="Times New Roman" w:hAnsi="Times New Roman"/>
          <w:sz w:val="24"/>
          <w:szCs w:val="24"/>
        </w:rPr>
        <w:t>, s obzirom na uslove perioda realiazacije pozitivno je što se spriječilo produbljivanje regionalnih razlika</w:t>
      </w:r>
      <w:r w:rsidRPr="00B121C6">
        <w:rPr>
          <w:rFonts w:ascii="Times New Roman" w:hAnsi="Times New Roman"/>
          <w:sz w:val="24"/>
          <w:szCs w:val="24"/>
        </w:rPr>
        <w:t>. Ipak, njena dosadašnja doprinijela je povećanju stepena razvijenosti i konkurentnosti u nekoliko opština Sjevernog regiona, što se ogleda u povećanju broja malih i srednjih preduzeća i preduzetnika, povećanju zarada, kao i budžetskih prihoda JLS,  povećanju udjela obrazovanog stanovništva u ukupnom stanovništvu,  naročito na sjeveru. Sa intenziviranjem rada na primjeni Strategije regionalnog razvoja u narednom periodu može se očekivati i preokret u pogledu poboljšanja indikatora tržišta rada u Sjevernom regionu.</w:t>
      </w:r>
    </w:p>
    <w:p w:rsidR="00B21EF9" w:rsidRPr="00802429" w:rsidRDefault="00B21EF9" w:rsidP="005A04CB">
      <w:pPr>
        <w:spacing w:after="0"/>
        <w:jc w:val="both"/>
        <w:rPr>
          <w:rFonts w:ascii="Times New Roman" w:hAnsi="Times New Roman"/>
          <w:b/>
          <w:sz w:val="24"/>
          <w:szCs w:val="24"/>
        </w:rPr>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Način implementacije strateškog cilja</w:t>
      </w:r>
    </w:p>
    <w:p w:rsidR="00B21EF9" w:rsidRPr="00802429" w:rsidRDefault="00B21EF9" w:rsidP="005A04CB">
      <w:pPr>
        <w:spacing w:after="0"/>
        <w:jc w:val="both"/>
        <w:rPr>
          <w:rFonts w:ascii="Times New Roman" w:hAnsi="Times New Roman"/>
          <w:b/>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U periodu do kraja 2020. godine, da bi se ostvario strateški cilj regionalnog razvoja Crne Gore, a to je postizanje ravnomjernijeg socio-ekonomskog razvoja svih jedinica lokalne samouprave i regiona, zasnovanog na konkurentnosti, inovativnosti i zapošljavanju, potrebno je, paralelno sa ulaganjem u osnovnu infrastrukturu, realizovati i niz mjera koje se odnose na podizanje stepena konkurentnosti manje razvijenog regiona, kao i na jačanje ljudskih resursa i zapošljavanje.  </w:t>
      </w:r>
    </w:p>
    <w:p w:rsidR="00B21EF9" w:rsidRPr="00802429" w:rsidRDefault="00B21EF9" w:rsidP="005A04CB">
      <w:pPr>
        <w:spacing w:after="0"/>
        <w:jc w:val="both"/>
        <w:rPr>
          <w:rFonts w:ascii="Times New Roman" w:hAnsi="Times New Roman"/>
          <w:sz w:val="24"/>
          <w:szCs w:val="24"/>
        </w:rPr>
      </w:pPr>
    </w:p>
    <w:p w:rsidR="00B21EF9" w:rsidRPr="00802429" w:rsidRDefault="003A188E" w:rsidP="005A04CB">
      <w:pPr>
        <w:spacing w:after="0"/>
        <w:jc w:val="both"/>
        <w:rPr>
          <w:rFonts w:ascii="Times New Roman" w:hAnsi="Times New Roman"/>
          <w:sz w:val="24"/>
          <w:szCs w:val="24"/>
        </w:rPr>
      </w:pPr>
      <w:r>
        <w:rPr>
          <w:rFonts w:ascii="Times New Roman" w:hAnsi="Times New Roman"/>
          <w:sz w:val="24"/>
          <w:szCs w:val="24"/>
        </w:rPr>
        <w:lastRenderedPageBreak/>
        <w:t>S tim u vezi</w:t>
      </w:r>
      <w:r w:rsidR="00635C5C">
        <w:rPr>
          <w:rFonts w:ascii="Times New Roman" w:hAnsi="Times New Roman"/>
          <w:sz w:val="24"/>
          <w:szCs w:val="24"/>
        </w:rPr>
        <w:t>,</w:t>
      </w:r>
      <w:r w:rsidR="00822C80">
        <w:rPr>
          <w:rFonts w:ascii="Times New Roman" w:hAnsi="Times New Roman"/>
          <w:sz w:val="24"/>
          <w:szCs w:val="24"/>
        </w:rPr>
        <w:t xml:space="preserve"> postoji potreba za unapređenjem </w:t>
      </w:r>
      <w:r w:rsidR="00B21EF9" w:rsidRPr="00802429">
        <w:rPr>
          <w:rFonts w:ascii="Times New Roman" w:hAnsi="Times New Roman"/>
          <w:sz w:val="24"/>
          <w:szCs w:val="24"/>
        </w:rPr>
        <w:t>koordinacije u realizaciji polit</w:t>
      </w:r>
      <w:r w:rsidR="00822C80">
        <w:rPr>
          <w:rFonts w:ascii="Times New Roman" w:hAnsi="Times New Roman"/>
          <w:sz w:val="24"/>
          <w:szCs w:val="24"/>
        </w:rPr>
        <w:t>ike regionalnog razvoja i jačanjem</w:t>
      </w:r>
      <w:r w:rsidR="00B21EF9" w:rsidRPr="00802429">
        <w:rPr>
          <w:rFonts w:ascii="Times New Roman" w:hAnsi="Times New Roman"/>
          <w:sz w:val="24"/>
          <w:szCs w:val="24"/>
        </w:rPr>
        <w:t xml:space="preserve"> međuopštinsk</w:t>
      </w:r>
      <w:r w:rsidR="00822C80">
        <w:rPr>
          <w:rFonts w:ascii="Times New Roman" w:hAnsi="Times New Roman"/>
          <w:sz w:val="24"/>
          <w:szCs w:val="24"/>
        </w:rPr>
        <w:t>e</w:t>
      </w:r>
      <w:r w:rsidR="00B21EF9" w:rsidRPr="00802429">
        <w:rPr>
          <w:rFonts w:ascii="Times New Roman" w:hAnsi="Times New Roman"/>
          <w:sz w:val="24"/>
          <w:szCs w:val="24"/>
        </w:rPr>
        <w:t xml:space="preserve"> saradnj</w:t>
      </w:r>
      <w:r w:rsidR="00822C80">
        <w:rPr>
          <w:rFonts w:ascii="Times New Roman" w:hAnsi="Times New Roman"/>
          <w:sz w:val="24"/>
          <w:szCs w:val="24"/>
        </w:rPr>
        <w:t>e</w:t>
      </w:r>
      <w:r w:rsidR="00B21EF9" w:rsidRPr="00802429">
        <w:rPr>
          <w:rFonts w:ascii="Times New Roman" w:hAnsi="Times New Roman"/>
          <w:sz w:val="24"/>
          <w:szCs w:val="24"/>
        </w:rPr>
        <w:t xml:space="preserve"> kao važne za realizaciju razvojnih projekata na nivou regiona, a naro</w:t>
      </w:r>
      <w:r w:rsidR="00321673">
        <w:rPr>
          <w:rFonts w:ascii="Times New Roman" w:hAnsi="Times New Roman"/>
          <w:sz w:val="24"/>
          <w:szCs w:val="24"/>
        </w:rPr>
        <w:t>č</w:t>
      </w:r>
      <w:r w:rsidR="00B21EF9" w:rsidRPr="00802429">
        <w:rPr>
          <w:rFonts w:ascii="Times New Roman" w:hAnsi="Times New Roman"/>
          <w:sz w:val="24"/>
          <w:szCs w:val="24"/>
        </w:rPr>
        <w:t>ito u Sjevernom regionu</w:t>
      </w:r>
      <w:r w:rsidR="00822C80">
        <w:rPr>
          <w:rFonts w:ascii="Times New Roman" w:hAnsi="Times New Roman"/>
          <w:sz w:val="24"/>
          <w:szCs w:val="24"/>
        </w:rPr>
        <w:t xml:space="preserve">. Unapređenje </w:t>
      </w:r>
      <w:r w:rsidR="00B21EF9" w:rsidRPr="00802429">
        <w:rPr>
          <w:rFonts w:ascii="Times New Roman" w:hAnsi="Times New Roman"/>
          <w:sz w:val="24"/>
          <w:szCs w:val="24"/>
        </w:rPr>
        <w:t>sistem</w:t>
      </w:r>
      <w:r w:rsidR="00822C80">
        <w:rPr>
          <w:rFonts w:ascii="Times New Roman" w:hAnsi="Times New Roman"/>
          <w:sz w:val="24"/>
          <w:szCs w:val="24"/>
        </w:rPr>
        <w:t>a</w:t>
      </w:r>
      <w:r w:rsidR="00B21EF9" w:rsidRPr="00802429">
        <w:rPr>
          <w:rFonts w:ascii="Times New Roman" w:hAnsi="Times New Roman"/>
          <w:sz w:val="24"/>
          <w:szCs w:val="24"/>
        </w:rPr>
        <w:t xml:space="preserve"> monitoringa realizacije Strategije regionalnog razvoja, kao i izrad</w:t>
      </w:r>
      <w:r w:rsidR="00822C80">
        <w:rPr>
          <w:rFonts w:ascii="Times New Roman" w:hAnsi="Times New Roman"/>
          <w:sz w:val="24"/>
          <w:szCs w:val="24"/>
        </w:rPr>
        <w:t>a</w:t>
      </w:r>
      <w:r w:rsidR="00B21EF9" w:rsidRPr="00802429">
        <w:rPr>
          <w:rFonts w:ascii="Times New Roman" w:hAnsi="Times New Roman"/>
          <w:sz w:val="24"/>
          <w:szCs w:val="24"/>
        </w:rPr>
        <w:t xml:space="preserve"> statističkih pokazatelja</w:t>
      </w:r>
      <w:r w:rsidR="00822C80">
        <w:rPr>
          <w:rFonts w:ascii="Times New Roman" w:hAnsi="Times New Roman"/>
          <w:sz w:val="24"/>
          <w:szCs w:val="24"/>
        </w:rPr>
        <w:t xml:space="preserve"> na nivou regiona, naročito BDP-a, imali bi značajnu ulogu.</w:t>
      </w:r>
      <w:r w:rsidR="00B21EF9" w:rsidRPr="00802429">
        <w:rPr>
          <w:rFonts w:ascii="Times New Roman" w:hAnsi="Times New Roman"/>
          <w:sz w:val="24"/>
          <w:szCs w:val="24"/>
        </w:rPr>
        <w:t xml:space="preserve"> </w:t>
      </w:r>
      <w:r w:rsidR="00822C80">
        <w:rPr>
          <w:rFonts w:ascii="Times New Roman" w:hAnsi="Times New Roman"/>
          <w:sz w:val="24"/>
          <w:szCs w:val="24"/>
        </w:rPr>
        <w:t>Takođe, veliku ulogu će imati r</w:t>
      </w:r>
      <w:r w:rsidR="00635C5C">
        <w:rPr>
          <w:rFonts w:ascii="Times New Roman" w:hAnsi="Times New Roman"/>
          <w:sz w:val="24"/>
          <w:szCs w:val="24"/>
        </w:rPr>
        <w:t>ealiz</w:t>
      </w:r>
      <w:r w:rsidR="00822C80">
        <w:rPr>
          <w:rFonts w:ascii="Times New Roman" w:hAnsi="Times New Roman"/>
          <w:sz w:val="24"/>
          <w:szCs w:val="24"/>
        </w:rPr>
        <w:t>acija ključnih kapitalnih</w:t>
      </w:r>
      <w:r w:rsidR="00B21EF9" w:rsidRPr="00802429">
        <w:rPr>
          <w:rFonts w:ascii="Times New Roman" w:hAnsi="Times New Roman"/>
          <w:sz w:val="24"/>
          <w:szCs w:val="24"/>
        </w:rPr>
        <w:t xml:space="preserve"> projek</w:t>
      </w:r>
      <w:r w:rsidR="00822C80">
        <w:rPr>
          <w:rFonts w:ascii="Times New Roman" w:hAnsi="Times New Roman"/>
          <w:sz w:val="24"/>
          <w:szCs w:val="24"/>
        </w:rPr>
        <w:t>ata</w:t>
      </w:r>
      <w:r w:rsidR="00B21EF9" w:rsidRPr="00802429">
        <w:rPr>
          <w:rFonts w:ascii="Times New Roman" w:hAnsi="Times New Roman"/>
          <w:sz w:val="24"/>
          <w:szCs w:val="24"/>
        </w:rPr>
        <w:t xml:space="preserve"> od kojih je najvažniji auto-put Bar–Boljare, i paralelno sa tim, dalje unapređ</w:t>
      </w:r>
      <w:r w:rsidR="00822C80">
        <w:rPr>
          <w:rFonts w:ascii="Times New Roman" w:hAnsi="Times New Roman"/>
          <w:sz w:val="24"/>
          <w:szCs w:val="24"/>
        </w:rPr>
        <w:t>enje poslovnog</w:t>
      </w:r>
      <w:r w:rsidR="00B21EF9" w:rsidRPr="00802429">
        <w:rPr>
          <w:rFonts w:ascii="Times New Roman" w:hAnsi="Times New Roman"/>
          <w:sz w:val="24"/>
          <w:szCs w:val="24"/>
        </w:rPr>
        <w:t xml:space="preserve"> ambijent</w:t>
      </w:r>
      <w:r w:rsidR="00822C80">
        <w:rPr>
          <w:rFonts w:ascii="Times New Roman" w:hAnsi="Times New Roman"/>
          <w:sz w:val="24"/>
          <w:szCs w:val="24"/>
        </w:rPr>
        <w:t>a</w:t>
      </w:r>
      <w:r w:rsidR="00B21EF9" w:rsidRPr="00802429">
        <w:rPr>
          <w:rFonts w:ascii="Times New Roman" w:hAnsi="Times New Roman"/>
          <w:sz w:val="24"/>
          <w:szCs w:val="24"/>
        </w:rPr>
        <w:t>, razm</w:t>
      </w:r>
      <w:r w:rsidR="00822C80">
        <w:rPr>
          <w:rFonts w:ascii="Times New Roman" w:hAnsi="Times New Roman"/>
          <w:sz w:val="24"/>
          <w:szCs w:val="24"/>
        </w:rPr>
        <w:t>atranje</w:t>
      </w:r>
      <w:r w:rsidR="00B21EF9" w:rsidRPr="00802429">
        <w:rPr>
          <w:rFonts w:ascii="Times New Roman" w:hAnsi="Times New Roman"/>
          <w:sz w:val="24"/>
          <w:szCs w:val="24"/>
        </w:rPr>
        <w:t xml:space="preserve"> uvođenj</w:t>
      </w:r>
      <w:r w:rsidR="00822C80">
        <w:rPr>
          <w:rFonts w:ascii="Times New Roman" w:hAnsi="Times New Roman"/>
          <w:sz w:val="24"/>
          <w:szCs w:val="24"/>
        </w:rPr>
        <w:t>a potencijalnih</w:t>
      </w:r>
      <w:r w:rsidR="00B21EF9" w:rsidRPr="00802429">
        <w:rPr>
          <w:rFonts w:ascii="Times New Roman" w:hAnsi="Times New Roman"/>
          <w:sz w:val="24"/>
          <w:szCs w:val="24"/>
        </w:rPr>
        <w:t xml:space="preserve"> poreskih olakšica i razvi</w:t>
      </w:r>
      <w:r w:rsidR="00822C80">
        <w:rPr>
          <w:rFonts w:ascii="Times New Roman" w:hAnsi="Times New Roman"/>
          <w:sz w:val="24"/>
          <w:szCs w:val="24"/>
        </w:rPr>
        <w:t>janja</w:t>
      </w:r>
      <w:r w:rsidR="00B21EF9" w:rsidRPr="00802429">
        <w:rPr>
          <w:rFonts w:ascii="Times New Roman" w:hAnsi="Times New Roman"/>
          <w:sz w:val="24"/>
          <w:szCs w:val="24"/>
        </w:rPr>
        <w:t xml:space="preserve"> sistem</w:t>
      </w:r>
      <w:r w:rsidR="00822C80">
        <w:rPr>
          <w:rFonts w:ascii="Times New Roman" w:hAnsi="Times New Roman"/>
          <w:sz w:val="24"/>
          <w:szCs w:val="24"/>
        </w:rPr>
        <w:t>a</w:t>
      </w:r>
      <w:r w:rsidR="00B21EF9" w:rsidRPr="00802429">
        <w:rPr>
          <w:rFonts w:ascii="Times New Roman" w:hAnsi="Times New Roman"/>
          <w:sz w:val="24"/>
          <w:szCs w:val="24"/>
        </w:rPr>
        <w:t xml:space="preserve"> podsticaja u Sjevernom regionu radi povećanja investicija u ovaj region (naročito u oblastima turizma, poljoprivrede, energetike i drvoprerade). Ovo je u cilju povećanja dodate vrijednosti u proizvodnji i otvaranja novih radnih mjesta, imajući u vidu da je nezaposlenost jedan od klju</w:t>
      </w:r>
      <w:r w:rsidR="00822C80">
        <w:rPr>
          <w:rFonts w:ascii="Times New Roman" w:hAnsi="Times New Roman"/>
          <w:sz w:val="24"/>
          <w:szCs w:val="24"/>
        </w:rPr>
        <w:t>č</w:t>
      </w:r>
      <w:r w:rsidR="00B21EF9" w:rsidRPr="00802429">
        <w:rPr>
          <w:rFonts w:ascii="Times New Roman" w:hAnsi="Times New Roman"/>
          <w:sz w:val="24"/>
          <w:szCs w:val="24"/>
        </w:rPr>
        <w:t>nih elemenata nižeg</w:t>
      </w:r>
      <w:r w:rsidR="00751068">
        <w:rPr>
          <w:rFonts w:ascii="Times New Roman" w:hAnsi="Times New Roman"/>
          <w:sz w:val="24"/>
          <w:szCs w:val="24"/>
        </w:rPr>
        <w:t xml:space="preserve"> stepena razvijenosti Sjevera</w:t>
      </w:r>
      <w:r w:rsidR="00822C80">
        <w:rPr>
          <w:rFonts w:ascii="Times New Roman" w:hAnsi="Times New Roman"/>
          <w:sz w:val="24"/>
          <w:szCs w:val="24"/>
        </w:rPr>
        <w:t>.</w:t>
      </w:r>
      <w:r w:rsidR="00751068">
        <w:rPr>
          <w:rFonts w:ascii="Times New Roman" w:hAnsi="Times New Roman"/>
          <w:sz w:val="24"/>
          <w:szCs w:val="24"/>
        </w:rPr>
        <w:t xml:space="preserve"> Pomenuto ide u kora k sa </w:t>
      </w:r>
      <w:r w:rsidR="00B21EF9" w:rsidRPr="00802429">
        <w:rPr>
          <w:rFonts w:ascii="Times New Roman" w:hAnsi="Times New Roman"/>
          <w:sz w:val="24"/>
          <w:szCs w:val="24"/>
        </w:rPr>
        <w:t>unaprije</w:t>
      </w:r>
      <w:r w:rsidR="00751068">
        <w:rPr>
          <w:rFonts w:ascii="Times New Roman" w:hAnsi="Times New Roman"/>
          <w:sz w:val="24"/>
          <w:szCs w:val="24"/>
        </w:rPr>
        <w:t>đenjem</w:t>
      </w:r>
      <w:r w:rsidR="00B21EF9" w:rsidRPr="00802429">
        <w:rPr>
          <w:rFonts w:ascii="Times New Roman" w:hAnsi="Times New Roman"/>
          <w:sz w:val="24"/>
          <w:szCs w:val="24"/>
        </w:rPr>
        <w:t xml:space="preserve"> ostal</w:t>
      </w:r>
      <w:r w:rsidR="00751068">
        <w:rPr>
          <w:rFonts w:ascii="Times New Roman" w:hAnsi="Times New Roman"/>
          <w:sz w:val="24"/>
          <w:szCs w:val="24"/>
        </w:rPr>
        <w:t>ih</w:t>
      </w:r>
      <w:r w:rsidR="00B21EF9" w:rsidRPr="00802429">
        <w:rPr>
          <w:rFonts w:ascii="Times New Roman" w:hAnsi="Times New Roman"/>
          <w:sz w:val="24"/>
          <w:szCs w:val="24"/>
        </w:rPr>
        <w:t xml:space="preserve"> elemen</w:t>
      </w:r>
      <w:r w:rsidR="00751068">
        <w:rPr>
          <w:rFonts w:ascii="Times New Roman" w:hAnsi="Times New Roman"/>
          <w:sz w:val="24"/>
          <w:szCs w:val="24"/>
        </w:rPr>
        <w:t>ata</w:t>
      </w:r>
      <w:r w:rsidR="00B21EF9" w:rsidRPr="00802429">
        <w:rPr>
          <w:rFonts w:ascii="Times New Roman" w:hAnsi="Times New Roman"/>
          <w:sz w:val="24"/>
          <w:szCs w:val="24"/>
        </w:rPr>
        <w:t xml:space="preserve"> konkurentnosti i razvijenosti regiona, naročito Sjevernog regiona, prvenstveno u oblasti obrazovanja u skladu sa potrebama tržišta rada, jačanja saradnje javnog i privatnog sektora, kao i u dijelu podrške razvoju MSP u poljoprivredi, turizmu, drvopreradi, energetici kroz podršku razvoju MSP (poput umrežavanja MSP u klastere, podrške uvođenju međunarodnih standarda poslovanja, povećanje dodatne vrijednosti u proizvodnji, promociju izvoza itd).  </w:t>
      </w:r>
      <w:r w:rsidR="00751068">
        <w:rPr>
          <w:rFonts w:ascii="Times New Roman" w:hAnsi="Times New Roman"/>
          <w:sz w:val="24"/>
          <w:szCs w:val="24"/>
        </w:rPr>
        <w:t xml:space="preserve">Takođe, potrebno je u narednom periodu </w:t>
      </w:r>
      <w:r w:rsidR="00B21EF9" w:rsidRPr="00802429">
        <w:rPr>
          <w:rFonts w:ascii="Times New Roman" w:hAnsi="Times New Roman"/>
          <w:sz w:val="24"/>
          <w:szCs w:val="24"/>
        </w:rPr>
        <w:t>jačati apsorpcione kapacitete jedinica lokalne samouprave, centralne vlasti, kao i privrede, radi ostv</w:t>
      </w:r>
      <w:r w:rsidR="00CF453B">
        <w:rPr>
          <w:rFonts w:ascii="Times New Roman" w:hAnsi="Times New Roman"/>
          <w:sz w:val="24"/>
          <w:szCs w:val="24"/>
        </w:rPr>
        <w:t>arenja što većeg procenta korišć</w:t>
      </w:r>
      <w:r w:rsidR="00B21EF9" w:rsidRPr="00802429">
        <w:rPr>
          <w:rFonts w:ascii="Times New Roman" w:hAnsi="Times New Roman"/>
          <w:sz w:val="24"/>
          <w:szCs w:val="24"/>
        </w:rPr>
        <w:t xml:space="preserve">enja sredstava iz EU fondova za realizaciju razvojnih projekata. </w:t>
      </w:r>
    </w:p>
    <w:p w:rsidR="00B21EF9" w:rsidRPr="00802429" w:rsidRDefault="00B21EF9" w:rsidP="005A04CB">
      <w:pPr>
        <w:spacing w:after="0"/>
        <w:jc w:val="both"/>
        <w:rPr>
          <w:rFonts w:ascii="Times New Roman" w:hAnsi="Times New Roman"/>
          <w:sz w:val="24"/>
          <w:szCs w:val="24"/>
        </w:rPr>
      </w:pPr>
    </w:p>
    <w:p w:rsidR="00B21EF9" w:rsidRPr="00802429" w:rsidRDefault="00B21EF9" w:rsidP="00F6710F">
      <w:pPr>
        <w:pStyle w:val="Heading2"/>
      </w:pPr>
      <w:bookmarkStart w:id="23" w:name="_Toc435454487"/>
      <w:r w:rsidRPr="00802429">
        <w:t>PRIORITET 2: Efikasno funkcionisanje tržišta rada</w:t>
      </w:r>
      <w:bookmarkEnd w:id="23"/>
      <w:r w:rsidRPr="00802429">
        <w:t xml:space="preserve"> </w:t>
      </w:r>
    </w:p>
    <w:p w:rsidR="00B21EF9" w:rsidRPr="00802429" w:rsidRDefault="00B21EF9" w:rsidP="005A04CB">
      <w:pPr>
        <w:spacing w:after="0"/>
        <w:jc w:val="both"/>
        <w:rPr>
          <w:rFonts w:ascii="Times New Roman" w:hAnsi="Times New Roman"/>
          <w:b/>
          <w:sz w:val="24"/>
          <w:szCs w:val="24"/>
        </w:rPr>
      </w:pPr>
    </w:p>
    <w:p w:rsidR="00B21EF9" w:rsidRPr="00802429" w:rsidRDefault="00B21EF9" w:rsidP="00C57113">
      <w:pPr>
        <w:jc w:val="both"/>
        <w:rPr>
          <w:rFonts w:ascii="Times New Roman" w:hAnsi="Times New Roman"/>
          <w:i/>
          <w:sz w:val="24"/>
          <w:szCs w:val="24"/>
        </w:rPr>
      </w:pPr>
      <w:r w:rsidRPr="00802429">
        <w:rPr>
          <w:rFonts w:ascii="Times New Roman" w:hAnsi="Times New Roman"/>
          <w:i/>
          <w:sz w:val="24"/>
          <w:szCs w:val="24"/>
        </w:rPr>
        <w:t>Ov</w:t>
      </w:r>
      <w:r w:rsidR="00031595">
        <w:rPr>
          <w:rFonts w:ascii="Times New Roman" w:hAnsi="Times New Roman"/>
          <w:i/>
          <w:sz w:val="24"/>
          <w:szCs w:val="24"/>
        </w:rPr>
        <w:t>aj novi prioritet odnosi se na p</w:t>
      </w:r>
      <w:r w:rsidRPr="00802429">
        <w:rPr>
          <w:rFonts w:ascii="Times New Roman" w:hAnsi="Times New Roman"/>
          <w:i/>
          <w:sz w:val="24"/>
          <w:szCs w:val="24"/>
        </w:rPr>
        <w:t xml:space="preserve">romovisanje fleksigurnosti i smanjivanje rigidnosti zakonodavne zaštite zaposlenja, </w:t>
      </w:r>
      <w:r w:rsidR="00031595">
        <w:rPr>
          <w:rFonts w:ascii="Times New Roman" w:hAnsi="Times New Roman"/>
          <w:i/>
          <w:sz w:val="24"/>
          <w:szCs w:val="24"/>
        </w:rPr>
        <w:t>u</w:t>
      </w:r>
      <w:r w:rsidRPr="00802429">
        <w:rPr>
          <w:rFonts w:ascii="Times New Roman" w:hAnsi="Times New Roman"/>
          <w:i/>
          <w:sz w:val="24"/>
          <w:szCs w:val="24"/>
        </w:rPr>
        <w:t>saglašavanje sa evropskom regulativom politike zapo</w:t>
      </w:r>
      <w:r w:rsidR="000A4D06">
        <w:rPr>
          <w:rFonts w:ascii="Times New Roman" w:hAnsi="Times New Roman"/>
          <w:i/>
          <w:sz w:val="24"/>
          <w:szCs w:val="24"/>
        </w:rPr>
        <w:t>šljavanja i socijalne politike,</w:t>
      </w:r>
      <w:r w:rsidR="00CA3112">
        <w:rPr>
          <w:rFonts w:ascii="Times New Roman" w:hAnsi="Times New Roman"/>
          <w:i/>
          <w:sz w:val="24"/>
          <w:szCs w:val="24"/>
        </w:rPr>
        <w:t>,</w:t>
      </w:r>
      <w:r w:rsidRPr="00802429">
        <w:rPr>
          <w:rFonts w:ascii="Times New Roman" w:hAnsi="Times New Roman"/>
          <w:i/>
          <w:sz w:val="24"/>
          <w:szCs w:val="24"/>
        </w:rPr>
        <w:t xml:space="preserve">kao i </w:t>
      </w:r>
      <w:r w:rsidR="00031595">
        <w:rPr>
          <w:rFonts w:ascii="Times New Roman" w:hAnsi="Times New Roman"/>
          <w:i/>
          <w:sz w:val="24"/>
          <w:szCs w:val="24"/>
        </w:rPr>
        <w:t>p</w:t>
      </w:r>
      <w:r w:rsidRPr="00802429">
        <w:rPr>
          <w:rFonts w:ascii="Times New Roman" w:hAnsi="Times New Roman"/>
          <w:i/>
          <w:sz w:val="24"/>
          <w:szCs w:val="24"/>
        </w:rPr>
        <w:t>odsticanje formalizacije neformalne zaposlenosti kroz dobro odm</w:t>
      </w:r>
      <w:r w:rsidR="00211E80">
        <w:rPr>
          <w:rFonts w:ascii="Times New Roman" w:hAnsi="Times New Roman"/>
          <w:i/>
          <w:sz w:val="24"/>
          <w:szCs w:val="24"/>
        </w:rPr>
        <w:t>j</w:t>
      </w:r>
      <w:r w:rsidRPr="00802429">
        <w:rPr>
          <w:rFonts w:ascii="Times New Roman" w:hAnsi="Times New Roman"/>
          <w:i/>
          <w:sz w:val="24"/>
          <w:szCs w:val="24"/>
        </w:rPr>
        <w:t>eren balans podsticaja, prevencija i sankcija.</w:t>
      </w:r>
    </w:p>
    <w:p w:rsidR="00B21EF9" w:rsidRPr="00802429" w:rsidRDefault="00B21EF9" w:rsidP="005A04CB">
      <w:pPr>
        <w:autoSpaceDE w:val="0"/>
        <w:autoSpaceDN w:val="0"/>
        <w:adjustRightInd w:val="0"/>
        <w:spacing w:after="0" w:line="240" w:lineRule="auto"/>
        <w:jc w:val="both"/>
        <w:rPr>
          <w:rFonts w:ascii="Times New Roman" w:hAnsi="Times New Roman"/>
          <w:i/>
          <w:sz w:val="24"/>
          <w:szCs w:val="24"/>
        </w:rPr>
      </w:pPr>
      <w:r w:rsidRPr="00802429">
        <w:rPr>
          <w:rFonts w:ascii="Times New Roman" w:hAnsi="Times New Roman"/>
          <w:i/>
          <w:sz w:val="24"/>
          <w:szCs w:val="24"/>
        </w:rPr>
        <w:t xml:space="preserve">U pogledu zakonodavnog okvira, oblast tržišta rada i zapošljavanja uređena je setom zakona kojim je obuhvaćeno: radno pravo, socijalni dijalog, zaštita radnika u slučaju nezaposlenosti, preduzeća, mirno rješavanje radnih sporova, zdravlje i zaštita na radu, zapošljavanje i osiguranje od nezaposlenosti, profesionalna rehabilitacija i zapošljavanje lica sa invaliditetom, zapošljavanje i rad stranaca u Crnoj Gori. U cjelini gledano, zakonodavni okvir je značajno rekonstruisan sa ciljem veće harmonizacije sa EU standardima. Dalji proces usaglašavanja će teći u skladu sa tokom pregovora vezanih za poglavlje 19 - Socijalna politika i zapošljavanje i Akcionim planom za ovo poglavlje koji </w:t>
      </w:r>
      <w:r w:rsidR="00E75FE4">
        <w:rPr>
          <w:rFonts w:ascii="Times New Roman" w:hAnsi="Times New Roman"/>
          <w:i/>
          <w:sz w:val="24"/>
          <w:szCs w:val="24"/>
        </w:rPr>
        <w:t xml:space="preserve">je Vlada usvojila u martu </w:t>
      </w:r>
      <w:r w:rsidRPr="00802429">
        <w:rPr>
          <w:rFonts w:ascii="Times New Roman" w:hAnsi="Times New Roman"/>
          <w:i/>
          <w:sz w:val="24"/>
          <w:szCs w:val="24"/>
        </w:rPr>
        <w:t>2015. godine.</w:t>
      </w:r>
    </w:p>
    <w:p w:rsidR="00B21EF9" w:rsidRPr="00802429" w:rsidRDefault="00B21EF9" w:rsidP="005A04CB">
      <w:pPr>
        <w:autoSpaceDE w:val="0"/>
        <w:autoSpaceDN w:val="0"/>
        <w:adjustRightInd w:val="0"/>
        <w:spacing w:after="0" w:line="240" w:lineRule="auto"/>
        <w:jc w:val="both"/>
        <w:rPr>
          <w:rFonts w:ascii="Times New Roman" w:hAnsi="Times New Roman"/>
          <w:i/>
          <w:sz w:val="24"/>
          <w:szCs w:val="24"/>
        </w:rPr>
      </w:pPr>
    </w:p>
    <w:p w:rsidR="00B21EF9" w:rsidRPr="00802429" w:rsidRDefault="00B21EF9" w:rsidP="005A04CB">
      <w:pPr>
        <w:autoSpaceDE w:val="0"/>
        <w:autoSpaceDN w:val="0"/>
        <w:adjustRightInd w:val="0"/>
        <w:spacing w:after="0" w:line="240" w:lineRule="auto"/>
        <w:jc w:val="both"/>
        <w:rPr>
          <w:rFonts w:ascii="Times New Roman" w:hAnsi="Times New Roman"/>
          <w:i/>
          <w:sz w:val="24"/>
          <w:szCs w:val="24"/>
        </w:rPr>
      </w:pPr>
      <w:r w:rsidRPr="00802429">
        <w:rPr>
          <w:rFonts w:ascii="Times New Roman" w:hAnsi="Times New Roman"/>
          <w:i/>
          <w:sz w:val="24"/>
          <w:szCs w:val="24"/>
        </w:rPr>
        <w:t>Institucionalno, tržište rada primarno “pokrivaju” Ministarstvo rada i socijalnog staranja, Zavod za zapošljavanje, Fond rada, Agencija za mirno rješavanje radnih sporova, Uprava za inspekcijske poslova (Inspekcija rada i zaštite</w:t>
      </w:r>
      <w:r w:rsidR="00211E80">
        <w:rPr>
          <w:rFonts w:ascii="Times New Roman" w:hAnsi="Times New Roman"/>
          <w:i/>
          <w:sz w:val="24"/>
          <w:szCs w:val="24"/>
        </w:rPr>
        <w:t xml:space="preserve"> i</w:t>
      </w:r>
      <w:r w:rsidRPr="00802429">
        <w:rPr>
          <w:rFonts w:ascii="Times New Roman" w:hAnsi="Times New Roman"/>
          <w:i/>
          <w:sz w:val="24"/>
          <w:szCs w:val="24"/>
        </w:rPr>
        <w:t xml:space="preserve"> zdravlja na radu), dok se tripartitni socijalni dijalog odvija u okviru Socijalnog savjeta Crne Gore i lokalnih socijalnih savjeta. </w:t>
      </w:r>
    </w:p>
    <w:p w:rsidR="00830F8B" w:rsidRDefault="00830F8B" w:rsidP="00F6710F">
      <w:pPr>
        <w:pStyle w:val="Heading3"/>
      </w:pPr>
    </w:p>
    <w:p w:rsidR="00B21EF9" w:rsidRPr="00E87CD8" w:rsidRDefault="00B21EF9" w:rsidP="00E87CD8">
      <w:pPr>
        <w:pStyle w:val="Heading3"/>
      </w:pPr>
      <w:bookmarkStart w:id="24" w:name="_Toc435454488"/>
      <w:r w:rsidRPr="00E87CD8">
        <w:t>Cilj 1:</w:t>
      </w:r>
      <w:r w:rsidR="00E87CD8" w:rsidRPr="00E87CD8">
        <w:t xml:space="preserve"> </w:t>
      </w:r>
      <w:r w:rsidRPr="00E87CD8">
        <w:t>Usaglašavanje sa evropskom regulativom politike zapošljavanja i socijalne politike</w:t>
      </w:r>
      <w:bookmarkEnd w:id="24"/>
    </w:p>
    <w:p w:rsidR="00830F8B" w:rsidRDefault="00830F8B" w:rsidP="005A04CB">
      <w:pPr>
        <w:spacing w:after="0"/>
        <w:jc w:val="both"/>
        <w:rPr>
          <w:rFonts w:ascii="Times New Roman" w:hAnsi="Times New Roman"/>
          <w:sz w:val="24"/>
          <w:szCs w:val="24"/>
        </w:rPr>
      </w:pPr>
    </w:p>
    <w:p w:rsidR="00E87CD8" w:rsidRDefault="00E87CD8" w:rsidP="005A04CB">
      <w:pPr>
        <w:spacing w:after="0"/>
        <w:jc w:val="both"/>
        <w:rPr>
          <w:rFonts w:ascii="Times New Roman" w:hAnsi="Times New Roman"/>
        </w:rPr>
      </w:pPr>
    </w:p>
    <w:p w:rsidR="00B21EF9" w:rsidRPr="0066459C" w:rsidRDefault="00B21EF9" w:rsidP="00D850D7">
      <w:pPr>
        <w:rPr>
          <w:rStyle w:val="Emphasis"/>
          <w:rFonts w:ascii="Times New Roman" w:hAnsi="Times New Roman"/>
          <w:i w:val="0"/>
          <w:sz w:val="24"/>
          <w:szCs w:val="24"/>
        </w:rPr>
      </w:pPr>
      <w:r w:rsidRPr="0066459C">
        <w:rPr>
          <w:rStyle w:val="Emphasis"/>
          <w:rFonts w:ascii="Times New Roman" w:hAnsi="Times New Roman"/>
          <w:i w:val="0"/>
          <w:sz w:val="24"/>
          <w:szCs w:val="24"/>
        </w:rPr>
        <w:lastRenderedPageBreak/>
        <w:t>Ocjena stanja</w:t>
      </w:r>
    </w:p>
    <w:p w:rsidR="00B21EF9" w:rsidRPr="0066459C" w:rsidRDefault="00B21EF9" w:rsidP="00D850D7">
      <w:pPr>
        <w:rPr>
          <w:rStyle w:val="Emphasis"/>
          <w:rFonts w:ascii="Times New Roman" w:hAnsi="Times New Roman"/>
          <w:i w:val="0"/>
          <w:sz w:val="24"/>
          <w:szCs w:val="24"/>
        </w:rPr>
      </w:pPr>
    </w:p>
    <w:p w:rsidR="00B21EF9" w:rsidRPr="0066459C" w:rsidRDefault="00B21EF9" w:rsidP="00031595">
      <w:pPr>
        <w:jc w:val="both"/>
        <w:rPr>
          <w:rStyle w:val="Emphasis"/>
          <w:rFonts w:ascii="Times New Roman" w:hAnsi="Times New Roman"/>
          <w:i w:val="0"/>
          <w:sz w:val="24"/>
          <w:szCs w:val="24"/>
        </w:rPr>
      </w:pPr>
      <w:r w:rsidRPr="0066459C">
        <w:rPr>
          <w:rStyle w:val="Emphasis"/>
          <w:rFonts w:ascii="Times New Roman" w:hAnsi="Times New Roman"/>
          <w:i w:val="0"/>
          <w:sz w:val="24"/>
          <w:szCs w:val="24"/>
        </w:rPr>
        <w:t xml:space="preserve">Evropske integracije predstavljaju jedan od značajnih aspekata u dijelu politike zapošljavanja i razvoja ljudskih resursa. Dva poglavlja koja se direktno odnose na ovu oblast su poglavlje </w:t>
      </w:r>
      <w:r w:rsidR="00B34C76" w:rsidRPr="0066459C">
        <w:rPr>
          <w:rStyle w:val="Emphasis"/>
          <w:rFonts w:ascii="Times New Roman" w:hAnsi="Times New Roman"/>
          <w:i w:val="0"/>
          <w:sz w:val="24"/>
          <w:szCs w:val="24"/>
        </w:rPr>
        <w:t>2 -</w:t>
      </w:r>
      <w:r w:rsidRPr="0066459C">
        <w:rPr>
          <w:rStyle w:val="Emphasis"/>
          <w:rFonts w:ascii="Times New Roman" w:hAnsi="Times New Roman"/>
          <w:i w:val="0"/>
          <w:sz w:val="24"/>
          <w:szCs w:val="24"/>
        </w:rPr>
        <w:t xml:space="preserve"> Slobodno kretanje radnika i poglavlje </w:t>
      </w:r>
      <w:r w:rsidR="00B34C76" w:rsidRPr="0066459C">
        <w:rPr>
          <w:rStyle w:val="Emphasis"/>
          <w:rFonts w:ascii="Times New Roman" w:hAnsi="Times New Roman"/>
          <w:i w:val="0"/>
          <w:sz w:val="24"/>
          <w:szCs w:val="24"/>
        </w:rPr>
        <w:t>19 -</w:t>
      </w:r>
      <w:r w:rsidRPr="0066459C">
        <w:rPr>
          <w:rStyle w:val="Emphasis"/>
          <w:rFonts w:ascii="Times New Roman" w:hAnsi="Times New Roman"/>
          <w:i w:val="0"/>
          <w:sz w:val="24"/>
          <w:szCs w:val="24"/>
        </w:rPr>
        <w:t xml:space="preserve"> Zapošljavanje i socijalna politika. </w:t>
      </w:r>
    </w:p>
    <w:p w:rsidR="00D640A8" w:rsidRDefault="00B21EF9" w:rsidP="00031595">
      <w:pPr>
        <w:jc w:val="both"/>
        <w:rPr>
          <w:rStyle w:val="Emphasis"/>
          <w:rFonts w:ascii="Times New Roman" w:hAnsi="Times New Roman"/>
          <w:i w:val="0"/>
          <w:sz w:val="24"/>
          <w:szCs w:val="24"/>
        </w:rPr>
      </w:pPr>
      <w:r w:rsidRPr="0066459C">
        <w:rPr>
          <w:rStyle w:val="Emphasis"/>
          <w:rFonts w:ascii="Times New Roman" w:hAnsi="Times New Roman"/>
          <w:i w:val="0"/>
          <w:sz w:val="24"/>
          <w:szCs w:val="24"/>
        </w:rPr>
        <w:t>Slobodno kretanje radnika jedna je od četiri osnovne slobode EU, sastavni dio politike jedinstvenog tržišta i središnji element njegovog uspjeha: ono podstiče ekonomski razvoj omogućujući ljudima da putuju, rade i kupuju preko granice. Takođe, doprinosi razvoju privreda država članica jer omogućuje spajanje vještina i slobodnih radnih mjesta na tržištu rada EU</w:t>
      </w:r>
      <w:r w:rsidR="00D640A8">
        <w:rPr>
          <w:rStyle w:val="Emphasis"/>
          <w:rFonts w:ascii="Times New Roman" w:hAnsi="Times New Roman"/>
          <w:i w:val="0"/>
          <w:sz w:val="24"/>
          <w:szCs w:val="24"/>
        </w:rPr>
        <w:t xml:space="preserve"> posredstvom EURES-a</w:t>
      </w:r>
      <w:r w:rsidRPr="0066459C">
        <w:rPr>
          <w:rStyle w:val="Emphasis"/>
          <w:rFonts w:ascii="Times New Roman" w:hAnsi="Times New Roman"/>
          <w:i w:val="0"/>
          <w:sz w:val="24"/>
          <w:szCs w:val="24"/>
        </w:rPr>
        <w:t>.</w:t>
      </w:r>
      <w:r w:rsidR="00D640A8" w:rsidRPr="00D640A8">
        <w:rPr>
          <w:rStyle w:val="Emphasis"/>
          <w:rFonts w:ascii="Times New Roman" w:hAnsi="Times New Roman"/>
          <w:i w:val="0"/>
          <w:sz w:val="24"/>
          <w:szCs w:val="24"/>
        </w:rPr>
        <w:t xml:space="preserve"> </w:t>
      </w:r>
      <w:r w:rsidR="00D640A8" w:rsidRPr="0066459C">
        <w:rPr>
          <w:rStyle w:val="Emphasis"/>
          <w:rFonts w:ascii="Times New Roman" w:hAnsi="Times New Roman"/>
          <w:i w:val="0"/>
          <w:sz w:val="24"/>
          <w:szCs w:val="24"/>
        </w:rPr>
        <w:t>EURES (European Employment Service) je mreža javnih zavoda za zapošljavanje zemalja članica Evropskog ekonomskog prostora u koje spada 28 država članica EU, kao i Norveška, Lihtenštajn, Island i Švajcarska. EURES mreža pokrenuta je 1993. godine i instrument je poboljšanja mobilnosti odnosno prostorne i profesionalne pokretljivosti radne snage na evropskom tržištu rada.</w:t>
      </w:r>
      <w:r w:rsidR="00D640A8" w:rsidRPr="00D640A8">
        <w:rPr>
          <w:rStyle w:val="Emphasis"/>
          <w:rFonts w:ascii="Times New Roman" w:hAnsi="Times New Roman"/>
          <w:i w:val="0"/>
          <w:sz w:val="24"/>
          <w:szCs w:val="24"/>
        </w:rPr>
        <w:t xml:space="preserve"> </w:t>
      </w:r>
      <w:r w:rsidR="00D640A8">
        <w:rPr>
          <w:rStyle w:val="Emphasis"/>
          <w:rFonts w:ascii="Times New Roman" w:hAnsi="Times New Roman"/>
          <w:i w:val="0"/>
          <w:sz w:val="24"/>
          <w:szCs w:val="24"/>
        </w:rPr>
        <w:t xml:space="preserve">Zavod </w:t>
      </w:r>
      <w:r w:rsidR="00D640A8" w:rsidRPr="0066459C">
        <w:rPr>
          <w:rStyle w:val="Emphasis"/>
          <w:rFonts w:ascii="Times New Roman" w:hAnsi="Times New Roman"/>
          <w:i w:val="0"/>
          <w:sz w:val="24"/>
          <w:szCs w:val="24"/>
        </w:rPr>
        <w:t xml:space="preserve">za zapošljavanje je u cilju potpune harmonizacije svoje metodologije rada sa metodologijama rada javnih službi za zapošljavanje EU formirao Odsjek za EURES i međunarodno posredovanje.  </w:t>
      </w:r>
    </w:p>
    <w:p w:rsidR="00FF23F3" w:rsidRDefault="00E154A0" w:rsidP="00031595">
      <w:pPr>
        <w:jc w:val="both"/>
        <w:rPr>
          <w:rStyle w:val="Emphasis"/>
          <w:rFonts w:ascii="Times New Roman" w:hAnsi="Times New Roman"/>
          <w:i w:val="0"/>
          <w:sz w:val="24"/>
          <w:szCs w:val="24"/>
        </w:rPr>
      </w:pPr>
      <w:r w:rsidRPr="0066459C">
        <w:rPr>
          <w:rStyle w:val="Emphasis"/>
          <w:rFonts w:ascii="Times New Roman" w:hAnsi="Times New Roman"/>
          <w:i w:val="0"/>
          <w:sz w:val="24"/>
          <w:szCs w:val="24"/>
        </w:rPr>
        <w:t xml:space="preserve"> </w:t>
      </w:r>
      <w:r w:rsidR="00B21EF9" w:rsidRPr="0066459C">
        <w:rPr>
          <w:rStyle w:val="Emphasis"/>
          <w:rFonts w:ascii="Times New Roman" w:hAnsi="Times New Roman"/>
          <w:i w:val="0"/>
          <w:sz w:val="24"/>
          <w:szCs w:val="24"/>
        </w:rPr>
        <w:t>Područje slobode kretanja radnika povezano je sa svim granama socijalne sigurnosti kao što su zdravstveno osiguranje, penzijsko osiguranje, osiguranje za slučaj nezaposlenosti i pravima na porodična davanja.</w:t>
      </w:r>
      <w:r w:rsidR="00A27F61">
        <w:rPr>
          <w:rStyle w:val="Emphasis"/>
          <w:rFonts w:ascii="Times New Roman" w:hAnsi="Times New Roman"/>
          <w:i w:val="0"/>
          <w:sz w:val="24"/>
          <w:szCs w:val="24"/>
        </w:rPr>
        <w:t xml:space="preserve"> Postojeća</w:t>
      </w:r>
      <w:r w:rsidR="00B21EF9" w:rsidRPr="0066459C">
        <w:rPr>
          <w:rStyle w:val="Emphasis"/>
          <w:rFonts w:ascii="Times New Roman" w:hAnsi="Times New Roman"/>
          <w:i w:val="0"/>
          <w:sz w:val="24"/>
          <w:szCs w:val="24"/>
        </w:rPr>
        <w:t xml:space="preserve"> regulativa naknada za nezaposlenost po osnovu osiguranja za slučaj nezaposlenosti nije u potpunosti usaglašena sa evropskom praksom u ovoj oblasti. </w:t>
      </w:r>
    </w:p>
    <w:p w:rsidR="005457F9" w:rsidRDefault="00274417" w:rsidP="00031595">
      <w:pPr>
        <w:jc w:val="both"/>
        <w:rPr>
          <w:rStyle w:val="Emphasis"/>
          <w:rFonts w:ascii="Times New Roman" w:hAnsi="Times New Roman"/>
          <w:i w:val="0"/>
          <w:sz w:val="24"/>
          <w:szCs w:val="24"/>
        </w:rPr>
      </w:pPr>
      <w:r>
        <w:rPr>
          <w:rStyle w:val="Emphasis"/>
          <w:rFonts w:ascii="Times New Roman" w:hAnsi="Times New Roman"/>
          <w:i w:val="0"/>
          <w:sz w:val="24"/>
          <w:szCs w:val="24"/>
        </w:rPr>
        <w:t>P</w:t>
      </w:r>
      <w:r w:rsidRPr="0066459C">
        <w:rPr>
          <w:rStyle w:val="Emphasis"/>
          <w:rFonts w:ascii="Times New Roman" w:hAnsi="Times New Roman"/>
          <w:i w:val="0"/>
          <w:sz w:val="24"/>
          <w:szCs w:val="24"/>
        </w:rPr>
        <w:t>oglavlje 19 - Zapošljavanje i socijalna politika</w:t>
      </w:r>
      <w:r>
        <w:rPr>
          <w:rStyle w:val="Emphasis"/>
          <w:rFonts w:ascii="Times New Roman" w:hAnsi="Times New Roman"/>
          <w:i w:val="0"/>
          <w:sz w:val="24"/>
          <w:szCs w:val="24"/>
        </w:rPr>
        <w:t>, bavi se pitanjima radnog pava, zdravlja i sigurnosti na radu i jednakog tretmana muškaraca i žena po pitanju zapošljavanja i socijalne sigurnosti te razvoju socijalnog dijaloga.</w:t>
      </w:r>
      <w:r w:rsidR="0065566A">
        <w:rPr>
          <w:rStyle w:val="Emphasis"/>
          <w:rFonts w:ascii="Times New Roman" w:hAnsi="Times New Roman"/>
          <w:i w:val="0"/>
          <w:sz w:val="24"/>
          <w:szCs w:val="24"/>
        </w:rPr>
        <w:t xml:space="preserve"> U ovom pogleavlju početno mjerilo je ispunjeno donošenjem Akcionog plana za postepeno usklađivanje pravne tekovine EU i izgradnju neophodnih kapaciteta za implementaciju i sprovođenje pravne tekovine EU.</w:t>
      </w:r>
    </w:p>
    <w:p w:rsidR="009B0125" w:rsidRPr="0033069B" w:rsidRDefault="009B0125" w:rsidP="0033069B">
      <w:pPr>
        <w:jc w:val="both"/>
        <w:rPr>
          <w:rFonts w:ascii="Times New Roman" w:hAnsi="Times New Roman"/>
          <w:iCs/>
          <w:sz w:val="24"/>
          <w:szCs w:val="24"/>
        </w:rPr>
      </w:pPr>
    </w:p>
    <w:p w:rsidR="00B21EF9" w:rsidRPr="00692217" w:rsidRDefault="00B21EF9" w:rsidP="005A04CB">
      <w:pPr>
        <w:spacing w:after="0"/>
        <w:jc w:val="both"/>
        <w:rPr>
          <w:rFonts w:ascii="Times New Roman" w:hAnsi="Times New Roman"/>
          <w:i/>
          <w:sz w:val="24"/>
          <w:szCs w:val="24"/>
        </w:rPr>
      </w:pPr>
      <w:r w:rsidRPr="00692217">
        <w:rPr>
          <w:rFonts w:ascii="Times New Roman" w:hAnsi="Times New Roman"/>
          <w:i/>
          <w:sz w:val="24"/>
          <w:szCs w:val="24"/>
        </w:rPr>
        <w:t>Način implementacije strateškog cilja</w:t>
      </w:r>
    </w:p>
    <w:p w:rsidR="00B21EF9" w:rsidRPr="00692217" w:rsidRDefault="00B21EF9" w:rsidP="005A04CB">
      <w:pPr>
        <w:spacing w:after="0"/>
        <w:jc w:val="both"/>
        <w:rPr>
          <w:rFonts w:ascii="Times New Roman" w:hAnsi="Times New Roman"/>
          <w:i/>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 xml:space="preserve">Mora se imati u vidu da se puno usaglašavanje u poglavlju II u velikoj mjeri očekuje tek par godina prije samog pristupanja. To se naročito odnosi na EURES - mrežu javnih zavoda za zapošljavanje zemalja članica. Crna Gora treba </w:t>
      </w:r>
      <w:r w:rsidR="00BA3389">
        <w:rPr>
          <w:rFonts w:ascii="Times New Roman" w:hAnsi="Times New Roman"/>
          <w:sz w:val="24"/>
          <w:szCs w:val="24"/>
        </w:rPr>
        <w:t xml:space="preserve">da počne sa primjenom EURES-a </w:t>
      </w:r>
      <w:r w:rsidRPr="00802429">
        <w:rPr>
          <w:rFonts w:ascii="Times New Roman" w:hAnsi="Times New Roman"/>
          <w:sz w:val="24"/>
          <w:szCs w:val="24"/>
        </w:rPr>
        <w:t>tek u trenutku kada postane članica E</w:t>
      </w:r>
      <w:r w:rsidR="00BA3389">
        <w:rPr>
          <w:rFonts w:ascii="Times New Roman" w:hAnsi="Times New Roman"/>
          <w:sz w:val="24"/>
          <w:szCs w:val="24"/>
        </w:rPr>
        <w:t>U, ali pripreme za uvođenje ovog</w:t>
      </w:r>
      <w:r w:rsidRPr="00802429">
        <w:rPr>
          <w:rFonts w:ascii="Times New Roman" w:hAnsi="Times New Roman"/>
          <w:sz w:val="24"/>
          <w:szCs w:val="24"/>
        </w:rPr>
        <w:t xml:space="preserve"> sistema su već započete i biće intenzivirane tokom implementacije ove Strategije. Pristupanjem Crne Gore EU zaživjeće slobodno kretanje radnika, odnosno mogućnost da se radnici iz EU zaposle na teritoriji Crne Gore bez radne dozvole i obrnuto.</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pStyle w:val="yiv2203099428msonormal"/>
        <w:shd w:val="clear" w:color="auto" w:fill="FFFFFF"/>
        <w:spacing w:before="0" w:beforeAutospacing="0" w:after="0" w:afterAutospacing="0"/>
        <w:jc w:val="both"/>
        <w:rPr>
          <w:color w:val="000000"/>
        </w:rPr>
      </w:pPr>
      <w:r w:rsidRPr="00802429">
        <w:rPr>
          <w:color w:val="000000"/>
        </w:rPr>
        <w:t>Akcionim planom za poglavlje 19 Socijalna politika i zapošljavanje i PPCG predviđeno je donošenje novog Zakona o radu za IV kvartal 2017.godine, u cilju usklađivanja sa pravnom tekovinom Evropske unije i standardima Međunarodne organizacije rada.</w:t>
      </w:r>
    </w:p>
    <w:p w:rsidR="00B21EF9" w:rsidRPr="00802429" w:rsidRDefault="00B21EF9" w:rsidP="005A04CB">
      <w:pPr>
        <w:pStyle w:val="yiv2203099428msonormal"/>
        <w:shd w:val="clear" w:color="auto" w:fill="FFFFFF"/>
        <w:spacing w:before="0" w:beforeAutospacing="0" w:after="0" w:afterAutospacing="0"/>
        <w:jc w:val="both"/>
        <w:rPr>
          <w:color w:val="000000"/>
        </w:rPr>
      </w:pPr>
    </w:p>
    <w:p w:rsidR="00B21EF9" w:rsidRPr="00802429" w:rsidRDefault="00B21EF9" w:rsidP="005A04CB">
      <w:pPr>
        <w:pStyle w:val="yiv2203099428msonormal"/>
        <w:shd w:val="clear" w:color="auto" w:fill="FFFFFF"/>
        <w:spacing w:before="0" w:beforeAutospacing="0" w:after="0" w:afterAutospacing="0"/>
        <w:jc w:val="both"/>
        <w:rPr>
          <w:color w:val="000000"/>
        </w:rPr>
      </w:pPr>
      <w:r w:rsidRPr="00802429">
        <w:rPr>
          <w:color w:val="000000"/>
        </w:rPr>
        <w:t>Kad je riječ o prom</w:t>
      </w:r>
      <w:r w:rsidR="00211E80">
        <w:rPr>
          <w:color w:val="000000"/>
        </w:rPr>
        <w:t>j</w:t>
      </w:r>
      <w:r w:rsidRPr="00802429">
        <w:rPr>
          <w:color w:val="000000"/>
        </w:rPr>
        <w:t xml:space="preserve">enama Zakona o zapošljavanju i ostvarivanju prava iz osiguranja od nezaposlenosti, potrebno je pripremiti izmjene koje bi u određenoj mjeri povezale iznos </w:t>
      </w:r>
      <w:r w:rsidRPr="00802429">
        <w:rPr>
          <w:color w:val="000000"/>
        </w:rPr>
        <w:lastRenderedPageBreak/>
        <w:t xml:space="preserve">naknade sa iznosom prethodnih uplata osiguranja, te omogućile očuvanje minimalnog nivoa životnog standarda za korisnike tokom primanja naknade. </w:t>
      </w:r>
    </w:p>
    <w:p w:rsidR="00B21EF9" w:rsidRPr="006E29E7" w:rsidRDefault="00B21EF9" w:rsidP="006E29E7">
      <w:pPr>
        <w:pStyle w:val="yiv2203099428msonormal"/>
        <w:shd w:val="clear" w:color="auto" w:fill="FFFFFF"/>
        <w:spacing w:before="0" w:beforeAutospacing="0" w:after="0" w:afterAutospacing="0"/>
        <w:rPr>
          <w:color w:val="000000"/>
        </w:rPr>
      </w:pPr>
      <w:r w:rsidRPr="00802429">
        <w:rPr>
          <w:color w:val="000000"/>
        </w:rPr>
        <w:t> </w:t>
      </w:r>
    </w:p>
    <w:p w:rsidR="00B21EF9" w:rsidRPr="00E87CD8" w:rsidRDefault="00B21EF9" w:rsidP="00E87CD8">
      <w:pPr>
        <w:pStyle w:val="Heading3"/>
      </w:pPr>
      <w:bookmarkStart w:id="25" w:name="_Toc435454489"/>
      <w:r w:rsidRPr="00E87CD8">
        <w:t>Cilj 2:</w:t>
      </w:r>
      <w:r w:rsidR="00E87CD8" w:rsidRPr="00E87CD8">
        <w:t xml:space="preserve"> </w:t>
      </w:r>
      <w:r w:rsidRPr="00E87CD8">
        <w:t>Promovisanje fleksigurnosti i smanjivanje rigidnosti zakonodavne zaštite zaposlenja</w:t>
      </w:r>
      <w:bookmarkEnd w:id="25"/>
    </w:p>
    <w:p w:rsidR="00B21EF9" w:rsidRPr="00802429" w:rsidRDefault="00B21EF9" w:rsidP="00F6710F">
      <w:pPr>
        <w:pStyle w:val="Heading3"/>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r w:rsidRPr="00802429">
        <w:rPr>
          <w:color w:val="000000"/>
          <w:lang w:val="pl-PL"/>
        </w:rPr>
        <w:t>Fleksigurnost je zasnovana na sigurnosti zaposlenja, a ne na sigurnosti samog radnog mjesta. Ona podrazumijeva umjeren nivo zaštite zaposlenja, uz široke mogućnosti uključivanja u aktivne programe tržišta rada, dobar pristup programima cjeloživotnog učenja, kao i puni pristup socijalno</w:t>
      </w:r>
      <w:r w:rsidR="00ED494C">
        <w:rPr>
          <w:color w:val="000000"/>
          <w:lang w:val="pl-PL"/>
        </w:rPr>
        <w:t>j zaštiti, uključujući i naknadu</w:t>
      </w:r>
      <w:r w:rsidRPr="00802429">
        <w:rPr>
          <w:color w:val="000000"/>
          <w:lang w:val="pl-PL"/>
        </w:rPr>
        <w:t xml:space="preserve"> za nezaposlenost, </w:t>
      </w:r>
      <w:r w:rsidR="00B952FC">
        <w:rPr>
          <w:color w:val="000000"/>
          <w:lang w:val="pl-PL"/>
        </w:rPr>
        <w:t xml:space="preserve">u periodu </w:t>
      </w:r>
      <w:r w:rsidRPr="00802429">
        <w:rPr>
          <w:color w:val="000000"/>
          <w:lang w:val="pl-PL"/>
        </w:rPr>
        <w:t xml:space="preserve">dok </w:t>
      </w:r>
      <w:r w:rsidR="00B952FC">
        <w:rPr>
          <w:color w:val="000000"/>
          <w:lang w:val="pl-PL"/>
        </w:rPr>
        <w:t>se osoba nalazi između dva posla i aktivno traži zaposlenje</w:t>
      </w:r>
      <w:r w:rsidRPr="00802429">
        <w:rPr>
          <w:color w:val="000000"/>
          <w:lang w:val="pl-PL"/>
        </w:rPr>
        <w:t>. Na različitim mjestima u ovoj Strategiji razmatraju se i adresiraju aspekti razvoja i primjene koncepta fleksigurnosti u Crnoj Gori. U okviru ovog cilja Strategijom se nastoji da se optimizira odnos fleksibilnosti i sigurnosti kroz prilagođavanja u radnom zakonodavstvu</w:t>
      </w:r>
      <w:r w:rsidR="00F41EE1">
        <w:rPr>
          <w:color w:val="000000"/>
          <w:lang w:val="pl-PL"/>
        </w:rPr>
        <w:t>.</w:t>
      </w:r>
    </w:p>
    <w:p w:rsidR="00B21EF9" w:rsidRPr="00802429" w:rsidRDefault="00B21EF9" w:rsidP="005A04CB">
      <w:pPr>
        <w:spacing w:after="0"/>
        <w:jc w:val="both"/>
        <w:rPr>
          <w:rFonts w:ascii="Times New Roman" w:hAnsi="Times New Roman"/>
          <w:sz w:val="24"/>
          <w:szCs w:val="24"/>
        </w:rPr>
      </w:pPr>
    </w:p>
    <w:p w:rsidR="00B21EF9" w:rsidRPr="00802429" w:rsidRDefault="00B21EF9" w:rsidP="00F641A4">
      <w:pPr>
        <w:pStyle w:val="yiv2203099428msonormal"/>
        <w:shd w:val="clear" w:color="auto" w:fill="FFFFFF"/>
        <w:spacing w:before="0" w:beforeAutospacing="0" w:after="0" w:afterAutospacing="0"/>
        <w:jc w:val="both"/>
        <w:rPr>
          <w:color w:val="000000"/>
          <w:lang w:val="pl-PL"/>
        </w:rPr>
      </w:pPr>
      <w:r w:rsidRPr="00802429">
        <w:rPr>
          <w:color w:val="000000"/>
          <w:lang w:val="pl-PL"/>
        </w:rPr>
        <w:t>Zakon o radu je u primjeni od avgusta 2008. godine, sa odre</w:t>
      </w:r>
      <w:r w:rsidRPr="00802429">
        <w:rPr>
          <w:color w:val="000000"/>
          <w:lang w:val="es-ES"/>
        </w:rPr>
        <w:t>đenim izmjenama u 2011</w:t>
      </w:r>
      <w:r w:rsidR="00C60101">
        <w:rPr>
          <w:color w:val="000000"/>
          <w:lang w:val="es-ES"/>
        </w:rPr>
        <w:t>.</w:t>
      </w:r>
      <w:r w:rsidRPr="00802429">
        <w:rPr>
          <w:color w:val="000000"/>
          <w:lang w:val="es-ES"/>
        </w:rPr>
        <w:t>, 2012. i 2014. godini.</w:t>
      </w:r>
      <w:r w:rsidRPr="00802429">
        <w:rPr>
          <w:rStyle w:val="apple-converted-space"/>
          <w:color w:val="000000"/>
          <w:lang w:val="es-ES"/>
        </w:rPr>
        <w:t> </w:t>
      </w:r>
      <w:r w:rsidRPr="00802429">
        <w:rPr>
          <w:color w:val="000000"/>
          <w:lang w:val="pl-PL"/>
        </w:rPr>
        <w:t xml:space="preserve">Njime su definisana prava i obaveze kako zaposlenih, tako i poslodavaca koja se odnose na obaveze i prava iz rada. Generalna je ocjena da Zakon pruža u osnovi dobar balans u pogledu odnosa fleksibilnosti i sigurnosti, premda su potrebna poboljšanja u pojedinim njegovim odredbama. </w:t>
      </w: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r w:rsidRPr="00802429">
        <w:rPr>
          <w:color w:val="000000"/>
          <w:lang w:val="pl-PL"/>
        </w:rPr>
        <w:t>Međutim, pored Zakona o rada u Crnoj Gori je na snazi Opšti kolektivni ugovor. Opštim kolektivnim ugovorom koji je ponovo zaključen 20. marta 2014. godine u tripartitnom socijalnom dijalogu razrađuju se detaljnije pojedine odredbe Zakona o radu. Time Zakon o radu i Opšti kolektivni ugovor predstavljaju cjelinu i moraju se zajedno posmatrati. Prema analizama Svjetske banke, neke odredbe Opšteg kolektivnog ugovora dodatno podižu rigidnost regulative tržišta rada, posebno kreirajući dualnost na tržištu kroz dodatnu zaštitu i uvećana prava radnicima sa</w:t>
      </w:r>
      <w:r w:rsidR="0022311C">
        <w:rPr>
          <w:color w:val="000000"/>
          <w:lang w:val="pl-PL"/>
        </w:rPr>
        <w:t xml:space="preserve"> ugovorima o radu na neodređeno vrijeme</w:t>
      </w:r>
      <w:r w:rsidRPr="00802429">
        <w:rPr>
          <w:color w:val="000000"/>
          <w:lang w:val="pl-PL"/>
        </w:rPr>
        <w:t xml:space="preserve">. </w:t>
      </w: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p>
    <w:p w:rsidR="00B21EF9" w:rsidRPr="00802429" w:rsidRDefault="00B21EF9" w:rsidP="005A04CB">
      <w:pPr>
        <w:spacing w:after="0"/>
        <w:jc w:val="both"/>
        <w:rPr>
          <w:rFonts w:ascii="Times New Roman" w:hAnsi="Times New Roman"/>
          <w:sz w:val="24"/>
          <w:szCs w:val="24"/>
        </w:rPr>
      </w:pPr>
    </w:p>
    <w:p w:rsidR="00B21EF9" w:rsidRPr="00D97139" w:rsidRDefault="00B21EF9" w:rsidP="005A04CB">
      <w:pPr>
        <w:spacing w:after="0"/>
        <w:jc w:val="both"/>
        <w:rPr>
          <w:rFonts w:ascii="Times New Roman" w:hAnsi="Times New Roman"/>
          <w:i/>
          <w:sz w:val="24"/>
          <w:szCs w:val="24"/>
        </w:rPr>
      </w:pPr>
      <w:r w:rsidRPr="00D97139">
        <w:rPr>
          <w:rFonts w:ascii="Times New Roman" w:hAnsi="Times New Roman"/>
          <w:i/>
          <w:sz w:val="24"/>
          <w:szCs w:val="24"/>
        </w:rPr>
        <w:t>Način implementacije strateškog cilja</w:t>
      </w:r>
    </w:p>
    <w:p w:rsidR="00B21EF9" w:rsidRPr="00AA6A3B" w:rsidRDefault="00B21EF9" w:rsidP="005A04CB">
      <w:pPr>
        <w:pStyle w:val="yiv2203099428msonormal"/>
        <w:shd w:val="clear" w:color="auto" w:fill="FFFFFF"/>
        <w:spacing w:before="0" w:beforeAutospacing="0" w:after="0" w:afterAutospacing="0"/>
        <w:jc w:val="both"/>
        <w:rPr>
          <w:color w:val="000000"/>
        </w:rPr>
      </w:pP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r w:rsidRPr="00802429">
        <w:rPr>
          <w:color w:val="000000"/>
          <w:lang w:val="pl-PL"/>
        </w:rPr>
        <w:t>S</w:t>
      </w:r>
      <w:r w:rsidR="000805DC" w:rsidRPr="000805DC">
        <w:rPr>
          <w:color w:val="000000"/>
        </w:rPr>
        <w:t xml:space="preserve"> </w:t>
      </w:r>
      <w:r w:rsidRPr="00802429">
        <w:rPr>
          <w:color w:val="000000"/>
          <w:lang w:val="pl-PL"/>
        </w:rPr>
        <w:t>obzirom</w:t>
      </w:r>
      <w:r w:rsidR="000805DC" w:rsidRPr="000805DC">
        <w:rPr>
          <w:color w:val="000000"/>
        </w:rPr>
        <w:t xml:space="preserve"> </w:t>
      </w:r>
      <w:r w:rsidRPr="00802429">
        <w:rPr>
          <w:color w:val="000000"/>
          <w:lang w:val="pl-PL"/>
        </w:rPr>
        <w:t>da</w:t>
      </w:r>
      <w:r w:rsidR="000805DC" w:rsidRPr="000805DC">
        <w:rPr>
          <w:color w:val="000000"/>
        </w:rPr>
        <w:t xml:space="preserve"> </w:t>
      </w:r>
      <w:r w:rsidRPr="00802429">
        <w:rPr>
          <w:color w:val="000000"/>
          <w:lang w:val="pl-PL"/>
        </w:rPr>
        <w:t>opseg</w:t>
      </w:r>
      <w:r w:rsidR="000805DC" w:rsidRPr="000805DC">
        <w:rPr>
          <w:color w:val="000000"/>
        </w:rPr>
        <w:t xml:space="preserve"> </w:t>
      </w:r>
      <w:r w:rsidRPr="00802429">
        <w:rPr>
          <w:color w:val="000000"/>
          <w:lang w:val="pl-PL"/>
        </w:rPr>
        <w:t>Op</w:t>
      </w:r>
      <w:r w:rsidR="000805DC" w:rsidRPr="000805DC">
        <w:rPr>
          <w:color w:val="000000"/>
        </w:rPr>
        <w:t>š</w:t>
      </w:r>
      <w:r w:rsidRPr="00802429">
        <w:rPr>
          <w:color w:val="000000"/>
          <w:lang w:val="pl-PL"/>
        </w:rPr>
        <w:t>teg</w:t>
      </w:r>
      <w:r w:rsidR="000805DC" w:rsidRPr="000805DC">
        <w:rPr>
          <w:color w:val="000000"/>
        </w:rPr>
        <w:t xml:space="preserve"> </w:t>
      </w:r>
      <w:r w:rsidRPr="00802429">
        <w:rPr>
          <w:color w:val="000000"/>
          <w:lang w:val="pl-PL"/>
        </w:rPr>
        <w:t>kolektivnog</w:t>
      </w:r>
      <w:r w:rsidR="000805DC" w:rsidRPr="000805DC">
        <w:rPr>
          <w:color w:val="000000"/>
        </w:rPr>
        <w:t xml:space="preserve"> </w:t>
      </w:r>
      <w:r w:rsidRPr="00802429">
        <w:rPr>
          <w:color w:val="000000"/>
          <w:lang w:val="pl-PL"/>
        </w:rPr>
        <w:t>ugovora</w:t>
      </w:r>
      <w:r w:rsidR="000805DC" w:rsidRPr="000805DC">
        <w:rPr>
          <w:color w:val="000000"/>
        </w:rPr>
        <w:t xml:space="preserve"> </w:t>
      </w:r>
      <w:r w:rsidRPr="00802429">
        <w:rPr>
          <w:color w:val="000000"/>
          <w:lang w:val="pl-PL"/>
        </w:rPr>
        <w:t>u</w:t>
      </w:r>
      <w:r w:rsidR="000805DC" w:rsidRPr="000805DC">
        <w:rPr>
          <w:color w:val="000000"/>
        </w:rPr>
        <w:t xml:space="preserve"> </w:t>
      </w:r>
      <w:r w:rsidRPr="00802429">
        <w:rPr>
          <w:color w:val="000000"/>
          <w:lang w:val="pl-PL"/>
        </w:rPr>
        <w:t>Crnoj</w:t>
      </w:r>
      <w:r w:rsidR="000805DC" w:rsidRPr="000805DC">
        <w:rPr>
          <w:color w:val="000000"/>
        </w:rPr>
        <w:t xml:space="preserve"> </w:t>
      </w:r>
      <w:r w:rsidRPr="00802429">
        <w:rPr>
          <w:color w:val="000000"/>
          <w:lang w:val="pl-PL"/>
        </w:rPr>
        <w:t>Gori</w:t>
      </w:r>
      <w:r w:rsidR="000805DC" w:rsidRPr="000805DC">
        <w:rPr>
          <w:color w:val="000000"/>
        </w:rPr>
        <w:t xml:space="preserve"> </w:t>
      </w:r>
      <w:r w:rsidRPr="00802429">
        <w:rPr>
          <w:color w:val="000000"/>
          <w:lang w:val="pl-PL"/>
        </w:rPr>
        <w:t>pre</w:t>
      </w:r>
      <w:r w:rsidR="000805DC" w:rsidRPr="000805DC">
        <w:rPr>
          <w:color w:val="000000"/>
        </w:rPr>
        <w:t>š</w:t>
      </w:r>
      <w:r w:rsidRPr="00802429">
        <w:rPr>
          <w:color w:val="000000"/>
          <w:lang w:val="pl-PL"/>
        </w:rPr>
        <w:t>irok</w:t>
      </w:r>
      <w:r w:rsidR="000805DC" w:rsidRPr="000805DC">
        <w:rPr>
          <w:color w:val="000000"/>
        </w:rPr>
        <w:t xml:space="preserve">, </w:t>
      </w:r>
      <w:r w:rsidRPr="00802429">
        <w:rPr>
          <w:color w:val="000000"/>
          <w:lang w:val="pl-PL"/>
        </w:rPr>
        <w:t>te</w:t>
      </w:r>
      <w:r w:rsidR="000805DC" w:rsidRPr="000805DC">
        <w:rPr>
          <w:color w:val="000000"/>
        </w:rPr>
        <w:t xml:space="preserve"> </w:t>
      </w:r>
      <w:r w:rsidRPr="00802429">
        <w:rPr>
          <w:color w:val="000000"/>
          <w:lang w:val="pl-PL"/>
        </w:rPr>
        <w:t>da</w:t>
      </w:r>
      <w:r w:rsidR="000805DC" w:rsidRPr="000805DC">
        <w:rPr>
          <w:color w:val="000000"/>
        </w:rPr>
        <w:t xml:space="preserve"> </w:t>
      </w:r>
      <w:r w:rsidRPr="00802429">
        <w:rPr>
          <w:color w:val="000000"/>
          <w:lang w:val="pl-PL"/>
        </w:rPr>
        <w:t>neke</w:t>
      </w:r>
      <w:r w:rsidR="000805DC" w:rsidRPr="000805DC">
        <w:rPr>
          <w:color w:val="000000"/>
        </w:rPr>
        <w:t xml:space="preserve"> </w:t>
      </w:r>
      <w:r w:rsidRPr="00802429">
        <w:rPr>
          <w:color w:val="000000"/>
          <w:lang w:val="pl-PL"/>
        </w:rPr>
        <w:t>njegove</w:t>
      </w:r>
      <w:r w:rsidR="000805DC" w:rsidRPr="000805DC">
        <w:rPr>
          <w:color w:val="000000"/>
        </w:rPr>
        <w:t xml:space="preserve"> </w:t>
      </w:r>
      <w:r w:rsidRPr="00802429">
        <w:rPr>
          <w:color w:val="000000"/>
          <w:lang w:val="pl-PL"/>
        </w:rPr>
        <w:t>odredbe</w:t>
      </w:r>
      <w:r w:rsidR="000805DC" w:rsidRPr="000805DC">
        <w:rPr>
          <w:color w:val="000000"/>
        </w:rPr>
        <w:t xml:space="preserve"> </w:t>
      </w:r>
      <w:r w:rsidR="004D6A92">
        <w:rPr>
          <w:color w:val="000000"/>
          <w:lang w:val="pl-PL"/>
        </w:rPr>
        <w:t>utiču na</w:t>
      </w:r>
      <w:r w:rsidR="000805DC" w:rsidRPr="000805DC">
        <w:rPr>
          <w:color w:val="000000"/>
        </w:rPr>
        <w:t xml:space="preserve"> </w:t>
      </w:r>
      <w:r w:rsidRPr="00802429">
        <w:rPr>
          <w:color w:val="000000"/>
          <w:lang w:val="pl-PL"/>
        </w:rPr>
        <w:t>balans</w:t>
      </w:r>
      <w:r w:rsidR="000805DC" w:rsidRPr="000805DC">
        <w:rPr>
          <w:color w:val="000000"/>
        </w:rPr>
        <w:t xml:space="preserve"> </w:t>
      </w:r>
      <w:r w:rsidRPr="00802429">
        <w:rPr>
          <w:color w:val="000000"/>
          <w:lang w:val="pl-PL"/>
        </w:rPr>
        <w:t>izme</w:t>
      </w:r>
      <w:r w:rsidR="000805DC" w:rsidRPr="000805DC">
        <w:rPr>
          <w:color w:val="000000"/>
        </w:rPr>
        <w:t>đ</w:t>
      </w:r>
      <w:r w:rsidRPr="00802429">
        <w:rPr>
          <w:color w:val="000000"/>
          <w:lang w:val="pl-PL"/>
        </w:rPr>
        <w:t>u</w:t>
      </w:r>
      <w:r w:rsidR="000805DC" w:rsidRPr="000805DC">
        <w:rPr>
          <w:color w:val="000000"/>
        </w:rPr>
        <w:t xml:space="preserve"> </w:t>
      </w:r>
      <w:r w:rsidRPr="00802429">
        <w:rPr>
          <w:color w:val="000000"/>
          <w:lang w:val="pl-PL"/>
        </w:rPr>
        <w:t>interesa</w:t>
      </w:r>
      <w:r w:rsidR="000805DC" w:rsidRPr="000805DC">
        <w:rPr>
          <w:color w:val="000000"/>
        </w:rPr>
        <w:t xml:space="preserve"> </w:t>
      </w:r>
      <w:r w:rsidRPr="00802429">
        <w:rPr>
          <w:color w:val="000000"/>
          <w:lang w:val="pl-PL"/>
        </w:rPr>
        <w:t>poslodavaca</w:t>
      </w:r>
      <w:r w:rsidR="000805DC" w:rsidRPr="000805DC">
        <w:rPr>
          <w:color w:val="000000"/>
        </w:rPr>
        <w:t xml:space="preserve">, </w:t>
      </w:r>
      <w:r w:rsidRPr="00802429">
        <w:rPr>
          <w:color w:val="000000"/>
          <w:lang w:val="pl-PL"/>
        </w:rPr>
        <w:t>zaposlenih</w:t>
      </w:r>
      <w:r w:rsidR="000805DC" w:rsidRPr="000805DC">
        <w:rPr>
          <w:color w:val="000000"/>
        </w:rPr>
        <w:t xml:space="preserve"> </w:t>
      </w:r>
      <w:r w:rsidRPr="00802429">
        <w:rPr>
          <w:color w:val="000000"/>
          <w:lang w:val="pl-PL"/>
        </w:rPr>
        <w:t>i</w:t>
      </w:r>
      <w:r w:rsidR="000805DC" w:rsidRPr="000805DC">
        <w:rPr>
          <w:color w:val="000000"/>
        </w:rPr>
        <w:t xml:space="preserve"> </w:t>
      </w:r>
      <w:r w:rsidRPr="00802429">
        <w:rPr>
          <w:color w:val="000000"/>
          <w:lang w:val="pl-PL"/>
        </w:rPr>
        <w:t>javnog</w:t>
      </w:r>
      <w:r w:rsidR="000805DC" w:rsidRPr="000805DC">
        <w:rPr>
          <w:color w:val="000000"/>
        </w:rPr>
        <w:t xml:space="preserve"> </w:t>
      </w:r>
      <w:r w:rsidRPr="00802429">
        <w:rPr>
          <w:color w:val="000000"/>
          <w:lang w:val="pl-PL"/>
        </w:rPr>
        <w:t>interesa</w:t>
      </w:r>
      <w:r w:rsidR="000805DC" w:rsidRPr="000805DC">
        <w:rPr>
          <w:color w:val="000000"/>
        </w:rPr>
        <w:t xml:space="preserve">, </w:t>
      </w:r>
      <w:r w:rsidR="00FA5142">
        <w:rPr>
          <w:color w:val="000000"/>
          <w:lang w:val="pl-PL"/>
        </w:rPr>
        <w:t>namjera</w:t>
      </w:r>
      <w:r w:rsidR="000805DC" w:rsidRPr="000805DC">
        <w:rPr>
          <w:color w:val="000000"/>
        </w:rPr>
        <w:t xml:space="preserve"> </w:t>
      </w:r>
      <w:r w:rsidRPr="00802429">
        <w:rPr>
          <w:color w:val="000000"/>
          <w:lang w:val="pl-PL"/>
        </w:rPr>
        <w:t>je</w:t>
      </w:r>
      <w:r w:rsidR="000805DC" w:rsidRPr="000805DC">
        <w:rPr>
          <w:color w:val="000000"/>
        </w:rPr>
        <w:t xml:space="preserve"> </w:t>
      </w:r>
      <w:r w:rsidRPr="00802429">
        <w:rPr>
          <w:color w:val="000000"/>
          <w:lang w:val="pl-PL"/>
        </w:rPr>
        <w:t>da</w:t>
      </w:r>
      <w:r w:rsidR="000805DC" w:rsidRPr="000805DC">
        <w:rPr>
          <w:color w:val="000000"/>
        </w:rPr>
        <w:t xml:space="preserve"> </w:t>
      </w:r>
      <w:r w:rsidRPr="00802429">
        <w:rPr>
          <w:color w:val="000000"/>
          <w:lang w:val="pl-PL"/>
        </w:rPr>
        <w:t>u</w:t>
      </w:r>
      <w:r w:rsidR="000805DC" w:rsidRPr="000805DC">
        <w:rPr>
          <w:color w:val="000000"/>
        </w:rPr>
        <w:t xml:space="preserve"> </w:t>
      </w:r>
      <w:r w:rsidRPr="00802429">
        <w:rPr>
          <w:color w:val="000000"/>
          <w:lang w:val="pl-PL"/>
        </w:rPr>
        <w:t>budu</w:t>
      </w:r>
      <w:r w:rsidR="000805DC" w:rsidRPr="000805DC">
        <w:rPr>
          <w:color w:val="000000"/>
        </w:rPr>
        <w:t>ć</w:t>
      </w:r>
      <w:r w:rsidRPr="00802429">
        <w:rPr>
          <w:color w:val="000000"/>
          <w:lang w:val="pl-PL"/>
        </w:rPr>
        <w:t>em</w:t>
      </w:r>
      <w:r w:rsidR="000805DC" w:rsidRPr="000805DC">
        <w:rPr>
          <w:color w:val="000000"/>
        </w:rPr>
        <w:t xml:space="preserve"> </w:t>
      </w:r>
      <w:r w:rsidRPr="00802429">
        <w:rPr>
          <w:color w:val="000000"/>
          <w:lang w:val="pl-PL"/>
        </w:rPr>
        <w:t>periodu</w:t>
      </w:r>
      <w:r w:rsidR="000805DC" w:rsidRPr="000805DC">
        <w:rPr>
          <w:color w:val="000000"/>
        </w:rPr>
        <w:t xml:space="preserve"> </w:t>
      </w:r>
      <w:r w:rsidRPr="00802429">
        <w:rPr>
          <w:color w:val="000000"/>
          <w:lang w:val="pl-PL"/>
        </w:rPr>
        <w:t>takve</w:t>
      </w:r>
      <w:r w:rsidR="000805DC" w:rsidRPr="000805DC">
        <w:rPr>
          <w:color w:val="000000"/>
        </w:rPr>
        <w:t xml:space="preserve"> </w:t>
      </w:r>
      <w:r w:rsidRPr="00802429">
        <w:rPr>
          <w:color w:val="000000"/>
          <w:lang w:val="pl-PL"/>
        </w:rPr>
        <w:t>odredbe</w:t>
      </w:r>
      <w:r w:rsidR="000805DC" w:rsidRPr="000805DC">
        <w:rPr>
          <w:color w:val="000000"/>
        </w:rPr>
        <w:t xml:space="preserve"> </w:t>
      </w:r>
      <w:r w:rsidRPr="00802429">
        <w:rPr>
          <w:color w:val="000000"/>
          <w:lang w:val="pl-PL"/>
        </w:rPr>
        <w:t>Op</w:t>
      </w:r>
      <w:r w:rsidR="000805DC" w:rsidRPr="000805DC">
        <w:rPr>
          <w:color w:val="000000"/>
        </w:rPr>
        <w:t>š</w:t>
      </w:r>
      <w:r w:rsidRPr="00802429">
        <w:rPr>
          <w:color w:val="000000"/>
          <w:lang w:val="pl-PL"/>
        </w:rPr>
        <w:t>teg</w:t>
      </w:r>
      <w:r w:rsidR="000805DC" w:rsidRPr="000805DC">
        <w:rPr>
          <w:color w:val="000000"/>
        </w:rPr>
        <w:t xml:space="preserve"> </w:t>
      </w:r>
      <w:r w:rsidRPr="00802429">
        <w:rPr>
          <w:color w:val="000000"/>
          <w:lang w:val="pl-PL"/>
        </w:rPr>
        <w:t>kolektivnog</w:t>
      </w:r>
      <w:r w:rsidR="000805DC" w:rsidRPr="000805DC">
        <w:rPr>
          <w:color w:val="000000"/>
        </w:rPr>
        <w:t xml:space="preserve"> </w:t>
      </w:r>
      <w:r w:rsidRPr="00802429">
        <w:rPr>
          <w:color w:val="000000"/>
          <w:lang w:val="pl-PL"/>
        </w:rPr>
        <w:t>ugovora</w:t>
      </w:r>
      <w:r w:rsidR="000805DC" w:rsidRPr="000805DC">
        <w:rPr>
          <w:color w:val="000000"/>
        </w:rPr>
        <w:t xml:space="preserve"> </w:t>
      </w:r>
      <w:r w:rsidRPr="00802429">
        <w:rPr>
          <w:color w:val="000000"/>
          <w:lang w:val="pl-PL"/>
        </w:rPr>
        <w:t>postanu</w:t>
      </w:r>
      <w:r w:rsidR="000805DC" w:rsidRPr="000805DC">
        <w:rPr>
          <w:color w:val="000000"/>
        </w:rPr>
        <w:t xml:space="preserve"> </w:t>
      </w:r>
      <w:r w:rsidRPr="00802429">
        <w:rPr>
          <w:color w:val="000000"/>
          <w:lang w:val="pl-PL"/>
        </w:rPr>
        <w:t>sastavni</w:t>
      </w:r>
      <w:r w:rsidR="000805DC" w:rsidRPr="000805DC">
        <w:rPr>
          <w:color w:val="000000"/>
        </w:rPr>
        <w:t xml:space="preserve"> </w:t>
      </w:r>
      <w:r w:rsidRPr="00802429">
        <w:rPr>
          <w:color w:val="000000"/>
          <w:lang w:val="pl-PL"/>
        </w:rPr>
        <w:t>dio</w:t>
      </w:r>
      <w:r w:rsidR="000805DC" w:rsidRPr="000805DC">
        <w:rPr>
          <w:color w:val="000000"/>
        </w:rPr>
        <w:t xml:space="preserve"> </w:t>
      </w:r>
      <w:r w:rsidRPr="00802429">
        <w:rPr>
          <w:color w:val="000000"/>
          <w:lang w:val="pl-PL"/>
        </w:rPr>
        <w:t>Zakona</w:t>
      </w:r>
      <w:r w:rsidR="000805DC" w:rsidRPr="000805DC">
        <w:rPr>
          <w:color w:val="000000"/>
        </w:rPr>
        <w:t xml:space="preserve"> </w:t>
      </w:r>
      <w:r w:rsidRPr="00802429">
        <w:rPr>
          <w:color w:val="000000"/>
          <w:lang w:val="pl-PL"/>
        </w:rPr>
        <w:t>o</w:t>
      </w:r>
      <w:r w:rsidR="000805DC" w:rsidRPr="000805DC">
        <w:rPr>
          <w:color w:val="000000"/>
        </w:rPr>
        <w:t xml:space="preserve"> </w:t>
      </w:r>
      <w:r w:rsidRPr="00802429">
        <w:rPr>
          <w:color w:val="000000"/>
          <w:lang w:val="pl-PL"/>
        </w:rPr>
        <w:t>radu</w:t>
      </w:r>
      <w:r w:rsidR="000805DC" w:rsidRPr="000805DC">
        <w:rPr>
          <w:color w:val="000000"/>
        </w:rPr>
        <w:t xml:space="preserve">. </w:t>
      </w:r>
      <w:r w:rsidRPr="00802429">
        <w:rPr>
          <w:color w:val="000000"/>
          <w:lang w:val="pl-PL"/>
        </w:rPr>
        <w:t xml:space="preserve">Ovo je naročito važno ako se zna da je Opšti kolektivni ugovor oročen na dvije godine, te da česte izmjene regulative mogu negativno da utiču na rast i zapošljavanje. </w:t>
      </w:r>
    </w:p>
    <w:p w:rsidR="00B21EF9" w:rsidRPr="00802429" w:rsidRDefault="00B21EF9" w:rsidP="005A04CB">
      <w:pPr>
        <w:pStyle w:val="yiv2203099428msonormal"/>
        <w:shd w:val="clear" w:color="auto" w:fill="FFFFFF"/>
        <w:spacing w:before="0" w:beforeAutospacing="0" w:after="0" w:afterAutospacing="0"/>
        <w:jc w:val="both"/>
        <w:rPr>
          <w:color w:val="000000"/>
          <w:lang w:val="pl-PL"/>
        </w:rPr>
      </w:pPr>
    </w:p>
    <w:p w:rsidR="00B21EF9" w:rsidRPr="00802429" w:rsidRDefault="00B21EF9" w:rsidP="00F641A4">
      <w:pPr>
        <w:pStyle w:val="yiv2203099428msonormal"/>
        <w:shd w:val="clear" w:color="auto" w:fill="FFFFFF"/>
        <w:spacing w:before="0" w:beforeAutospacing="0" w:after="0" w:afterAutospacing="0"/>
        <w:jc w:val="both"/>
        <w:rPr>
          <w:color w:val="000000"/>
        </w:rPr>
      </w:pPr>
      <w:r w:rsidRPr="00802429">
        <w:rPr>
          <w:color w:val="000000"/>
          <w:lang w:val="pl-PL"/>
        </w:rPr>
        <w:t xml:space="preserve">U cilju da prava i obaveze radnika budu u potpunosti definisana jednim konzistentnim zakonskim rješenjem u kojem su prava i obaveze poslodavaca i zaposlenih izbalansirani u skladu sa standardima EU i MOR-a, ali i usklađeni sa ekonomskom realnošću zemlje, </w:t>
      </w:r>
      <w:r w:rsidR="00407B91">
        <w:rPr>
          <w:color w:val="000000"/>
          <w:lang w:val="pl-PL"/>
        </w:rPr>
        <w:t xml:space="preserve">potrebno je razmotriti mogućnost </w:t>
      </w:r>
      <w:r w:rsidRPr="00802429">
        <w:rPr>
          <w:color w:val="000000"/>
          <w:lang w:val="pl-PL"/>
        </w:rPr>
        <w:t xml:space="preserve">da odredbe Opšteg kolektivnog ugovora radno-pravnog karaktera ubuduće postanu sastavni dio Zakona o radu. </w:t>
      </w:r>
    </w:p>
    <w:p w:rsidR="00B21EF9" w:rsidRPr="00802429" w:rsidRDefault="00B21EF9" w:rsidP="00F641A4">
      <w:pPr>
        <w:pStyle w:val="yiv2203099428msonormal"/>
        <w:shd w:val="clear" w:color="auto" w:fill="FFFFFF"/>
        <w:spacing w:before="0" w:beforeAutospacing="0" w:after="0" w:afterAutospacing="0"/>
        <w:jc w:val="both"/>
        <w:rPr>
          <w:color w:val="000000"/>
        </w:rPr>
      </w:pPr>
    </w:p>
    <w:p w:rsidR="00B21EF9" w:rsidRPr="00802429" w:rsidRDefault="00B21EF9" w:rsidP="00F641A4">
      <w:pPr>
        <w:pStyle w:val="yiv2203099428msonormal"/>
        <w:shd w:val="clear" w:color="auto" w:fill="FFFFFF"/>
        <w:spacing w:before="0" w:beforeAutospacing="0" w:after="0" w:afterAutospacing="0"/>
        <w:jc w:val="both"/>
        <w:rPr>
          <w:color w:val="000000"/>
        </w:rPr>
      </w:pPr>
      <w:r w:rsidRPr="00802429">
        <w:rPr>
          <w:color w:val="000000"/>
        </w:rPr>
        <w:t xml:space="preserve">S obzirom da donošenje Zakona o radu podrazumijeva ne samo usklađivanje sa pravnom tekovinom Evropske unije i standardima MOR-a već i usaglašavanje u okviru socijalnog </w:t>
      </w:r>
      <w:r w:rsidRPr="00802429">
        <w:rPr>
          <w:color w:val="000000"/>
        </w:rPr>
        <w:lastRenderedPageBreak/>
        <w:t>dijaloga sa socijalnim partnerima, u trenutku donošenja Strategije ne može se prejudicirati njegov konkretan sadržaj.</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p>
    <w:p w:rsidR="00B21EF9" w:rsidRPr="00E87CD8" w:rsidRDefault="00B21EF9" w:rsidP="00E87CD8">
      <w:pPr>
        <w:pStyle w:val="Heading3"/>
      </w:pPr>
      <w:bookmarkStart w:id="26" w:name="_Toc435454490"/>
      <w:r w:rsidRPr="00E87CD8">
        <w:t xml:space="preserve">Cilj </w:t>
      </w:r>
      <w:r w:rsidR="006935FB" w:rsidRPr="00E87CD8">
        <w:t>3</w:t>
      </w:r>
      <w:r w:rsidRPr="00E87CD8">
        <w:t>: Podsticanje formalizacije neformalne zaposlenosti</w:t>
      </w:r>
      <w:bookmarkEnd w:id="26"/>
    </w:p>
    <w:p w:rsidR="00B21EF9" w:rsidRPr="00802429" w:rsidRDefault="00B21EF9" w:rsidP="005A04CB">
      <w:pPr>
        <w:spacing w:after="0"/>
        <w:jc w:val="both"/>
        <w:rPr>
          <w:rFonts w:ascii="Times New Roman" w:hAnsi="Times New Roman"/>
          <w:b/>
          <w:sz w:val="24"/>
          <w:szCs w:val="24"/>
        </w:rPr>
      </w:pPr>
    </w:p>
    <w:p w:rsidR="00B21EF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843F33" w:rsidRPr="00802429" w:rsidRDefault="00843F33" w:rsidP="005A04CB">
      <w:pPr>
        <w:spacing w:after="0"/>
        <w:jc w:val="both"/>
        <w:rPr>
          <w:rFonts w:ascii="Times New Roman" w:hAnsi="Times New Roman"/>
          <w:sz w:val="24"/>
          <w:szCs w:val="24"/>
        </w:rPr>
      </w:pPr>
    </w:p>
    <w:p w:rsidR="00843F33" w:rsidRPr="003972D7" w:rsidRDefault="00843F33" w:rsidP="00843F33">
      <w:pPr>
        <w:spacing w:after="120" w:line="240" w:lineRule="auto"/>
        <w:jc w:val="both"/>
        <w:rPr>
          <w:rFonts w:ascii="Cambria" w:hAnsi="Cambria"/>
          <w:color w:val="000000"/>
          <w:sz w:val="24"/>
          <w:szCs w:val="24"/>
        </w:rPr>
      </w:pPr>
      <w:r w:rsidRPr="003972D7">
        <w:rPr>
          <w:rFonts w:ascii="Cambria" w:hAnsi="Cambria"/>
          <w:color w:val="000000"/>
          <w:sz w:val="24"/>
          <w:szCs w:val="24"/>
        </w:rPr>
        <w:t>Neprijavljen rad ili rad na crno, kao paralelna (ili dopunska) aktivnost regularnom radu, prisutna je kako u razvijenom, tako i nerazvijenom dijelu svijeta, odnosno ova pojava predstavlja globalni problem.</w:t>
      </w:r>
    </w:p>
    <w:p w:rsidR="00843F33" w:rsidRPr="003972D7" w:rsidRDefault="00843F33" w:rsidP="00843F33">
      <w:pPr>
        <w:spacing w:after="120" w:line="240" w:lineRule="auto"/>
        <w:jc w:val="both"/>
        <w:rPr>
          <w:rFonts w:ascii="Cambria" w:hAnsi="Cambria"/>
          <w:color w:val="000000"/>
          <w:sz w:val="24"/>
          <w:szCs w:val="24"/>
        </w:rPr>
      </w:pPr>
      <w:r w:rsidRPr="003972D7">
        <w:rPr>
          <w:rFonts w:ascii="Cambria" w:hAnsi="Cambria"/>
          <w:color w:val="000000"/>
          <w:sz w:val="24"/>
          <w:szCs w:val="24"/>
        </w:rPr>
        <w:t>Visok nivo rada na crno u Crnoj Gori je posljedica dvodecenijskog procesa tranzicije u okviru kojeg se malo pažnje posvećivalo suzbijanju rada na crno.</w:t>
      </w:r>
    </w:p>
    <w:p w:rsidR="00843F33" w:rsidRDefault="00843F33" w:rsidP="00843F33">
      <w:pPr>
        <w:spacing w:after="120" w:line="240" w:lineRule="auto"/>
        <w:jc w:val="both"/>
        <w:rPr>
          <w:rFonts w:ascii="Cambria" w:hAnsi="Cambria"/>
          <w:color w:val="000000"/>
          <w:sz w:val="24"/>
          <w:szCs w:val="24"/>
        </w:rPr>
      </w:pPr>
      <w:r w:rsidRPr="00843F33">
        <w:rPr>
          <w:rFonts w:ascii="Cambria" w:hAnsi="Cambria"/>
          <w:color w:val="000000"/>
          <w:sz w:val="24"/>
          <w:szCs w:val="24"/>
        </w:rPr>
        <w:t>Prema nalazima Istraživanja urađenog za potrebe “Izvještaja o razvoju po mjeri čovjeka – Neformalna ekonomija: prevazilaženje isključenosti i marginalizacije”, u Crnoj Gori je u 2014. godini petina (22,3%) ukupnog broja zaposlenih bilo neformalno zaposleno, dok se za jednu šestinu (10,3%) formalno zaposlenih plaćao samo dio pripadajućih poreza i doprinosa (dio zarade se “isplaćuje na ruke”). To znači da je ukupno učešće onih koji su potpuno ili djelimično neformalno radno angažovani (potpuno ili djelimično uključeni u neformalnu ekonomiju) na nivou od oko jedne trećine (32,7%) ukupnog broja zaposlenih.  Najčešći oblici neprijavljenog rada odnose se na rad bez zasnivanja formalnog radnog odnosa a vezani su za sezonski karakter crnogorske privrede, uključujući nezakonito zapošljavanja stranaca (neprijavljivanje ili nepravilno prijavljivanje) i isplatu plate ili dijela plate “na ruke”, kao i eventualni drugi oblici neprijavljenog rada.</w:t>
      </w:r>
    </w:p>
    <w:p w:rsidR="00843F33" w:rsidRPr="003972D7" w:rsidRDefault="00843F33" w:rsidP="00843F33">
      <w:pPr>
        <w:spacing w:after="120" w:line="240" w:lineRule="auto"/>
        <w:jc w:val="both"/>
        <w:rPr>
          <w:rFonts w:ascii="Cambria" w:hAnsi="Cambria"/>
          <w:color w:val="000000"/>
          <w:sz w:val="24"/>
          <w:szCs w:val="24"/>
        </w:rPr>
      </w:pPr>
      <w:r w:rsidRPr="003972D7">
        <w:rPr>
          <w:rFonts w:ascii="Cambria" w:hAnsi="Cambria"/>
          <w:color w:val="000000"/>
          <w:sz w:val="24"/>
          <w:szCs w:val="24"/>
        </w:rPr>
        <w:t>Rad na crno najviše je zastupljen u trgovini, građevinarstvu, turizmu i ugostiteljstvu, zanatskim i industrijskim pogonima srednjih i malih preduzeća, firmama  koje se bave obezbjeđenjem imovine i lica, odnosno na onim poslovima koji su sezonskog karaktera.</w:t>
      </w:r>
    </w:p>
    <w:p w:rsidR="00843F33" w:rsidRPr="003972D7" w:rsidRDefault="00843F33" w:rsidP="00843F33">
      <w:pPr>
        <w:spacing w:after="120" w:line="240" w:lineRule="auto"/>
        <w:jc w:val="both"/>
        <w:rPr>
          <w:rFonts w:ascii="Cambria" w:hAnsi="Cambria"/>
          <w:color w:val="000000"/>
          <w:sz w:val="24"/>
          <w:szCs w:val="24"/>
        </w:rPr>
      </w:pPr>
      <w:r w:rsidRPr="003972D7">
        <w:rPr>
          <w:rFonts w:ascii="Cambria" w:hAnsi="Cambria"/>
          <w:color w:val="000000"/>
          <w:sz w:val="24"/>
          <w:szCs w:val="24"/>
        </w:rPr>
        <w:t>Radu na crno najviše su podložni mladi, bez obzira na kvalifikaciju i diplomu koju posjeduju, nekvalifikovanai radnici i nezaposleni starije životne dobi, koji su u procesu tranzicije ostajali bez posla, pa i penzioneri.</w:t>
      </w:r>
    </w:p>
    <w:p w:rsidR="00B21EF9" w:rsidRPr="00843F33" w:rsidRDefault="00843F33" w:rsidP="00843F33">
      <w:pPr>
        <w:spacing w:after="120" w:line="240" w:lineRule="auto"/>
        <w:jc w:val="both"/>
        <w:rPr>
          <w:rFonts w:ascii="Cambria" w:hAnsi="Cambria"/>
          <w:color w:val="000000"/>
          <w:sz w:val="24"/>
          <w:szCs w:val="24"/>
        </w:rPr>
      </w:pPr>
      <w:r w:rsidRPr="003972D7">
        <w:rPr>
          <w:rFonts w:ascii="Cambria" w:hAnsi="Cambria"/>
          <w:color w:val="000000"/>
          <w:sz w:val="24"/>
          <w:szCs w:val="24"/>
        </w:rPr>
        <w:t>Glavni uzroci izraženog rada na crno ogledaju se u: nefleksibilnosti tržišta rada, visokoj stopi nezaposlenosti, niskoj profitnoj stopi, visokim poreskim opterećenjima poslodavaca,  ali i u ukupnoj kulturi neformalnog poslovanja razvijenoj tokom posljednjih decenija.</w:t>
      </w:r>
    </w:p>
    <w:p w:rsidR="00B60A77" w:rsidRDefault="00B60A77" w:rsidP="005A04CB">
      <w:pPr>
        <w:spacing w:after="0"/>
        <w:jc w:val="both"/>
        <w:rPr>
          <w:rFonts w:ascii="Times New Roman" w:hAnsi="Times New Roman"/>
          <w:sz w:val="24"/>
          <w:szCs w:val="24"/>
        </w:rPr>
      </w:pPr>
    </w:p>
    <w:p w:rsidR="00B21EF9" w:rsidRPr="00B60A77" w:rsidRDefault="00B21EF9" w:rsidP="005A04CB">
      <w:pPr>
        <w:spacing w:after="0"/>
        <w:jc w:val="both"/>
        <w:rPr>
          <w:rFonts w:ascii="Times New Roman" w:hAnsi="Times New Roman"/>
          <w:i/>
          <w:sz w:val="24"/>
          <w:szCs w:val="24"/>
        </w:rPr>
      </w:pPr>
      <w:r w:rsidRPr="00B60A77">
        <w:rPr>
          <w:rFonts w:ascii="Times New Roman" w:hAnsi="Times New Roman"/>
          <w:i/>
          <w:sz w:val="24"/>
          <w:szCs w:val="24"/>
        </w:rPr>
        <w:t>Način implementacije strateškog cilja</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Sveobuhvatan pristup ovom problemu nije moguć bez temeljne analize stanja i prikupljanja relevantnih podataka za mjerenje rada na crno, a spektar mjera treba biti dobro odmjeren balans između podsticajnih, preventivnih i kaznenih mjera. S obzirom da se podsticajne mjere uglavnom odnose na kreiranje povoljnijeg poslovnog ambijenta i na kreiranje poreskih podsticaja i drugih olakšica za for</w:t>
      </w:r>
      <w:r w:rsidR="00905407">
        <w:rPr>
          <w:rFonts w:ascii="Times New Roman" w:hAnsi="Times New Roman"/>
          <w:sz w:val="24"/>
          <w:szCs w:val="24"/>
        </w:rPr>
        <w:t>malizaciju, kojima se bave druge sektorske politike</w:t>
      </w:r>
      <w:r w:rsidRPr="00802429">
        <w:rPr>
          <w:rFonts w:ascii="Times New Roman" w:hAnsi="Times New Roman"/>
          <w:sz w:val="24"/>
          <w:szCs w:val="24"/>
        </w:rPr>
        <w:t>, ovdje će naglasak biti na preventivnim i kaznenim mjera</w:t>
      </w:r>
      <w:r w:rsidR="004C3726">
        <w:rPr>
          <w:rFonts w:ascii="Times New Roman" w:hAnsi="Times New Roman"/>
          <w:sz w:val="24"/>
          <w:szCs w:val="24"/>
        </w:rPr>
        <w:t>ma sa posebnim naglas</w:t>
      </w:r>
      <w:r w:rsidRPr="00802429">
        <w:rPr>
          <w:rFonts w:ascii="Times New Roman" w:hAnsi="Times New Roman"/>
          <w:sz w:val="24"/>
          <w:szCs w:val="24"/>
        </w:rPr>
        <w:t>k</w:t>
      </w:r>
      <w:r w:rsidR="004C3726">
        <w:rPr>
          <w:rFonts w:ascii="Times New Roman" w:hAnsi="Times New Roman"/>
          <w:sz w:val="24"/>
          <w:szCs w:val="24"/>
        </w:rPr>
        <w:t>om</w:t>
      </w:r>
      <w:r w:rsidRPr="00802429">
        <w:rPr>
          <w:rFonts w:ascii="Times New Roman" w:hAnsi="Times New Roman"/>
          <w:sz w:val="24"/>
          <w:szCs w:val="24"/>
        </w:rPr>
        <w:t xml:space="preserve"> na jačanju Inspekcije rada, kako u ljudskim kapacitetima, tako i u stručnom usavršavanju.</w:t>
      </w:r>
    </w:p>
    <w:p w:rsidR="00B21EF9" w:rsidRPr="00F6710F" w:rsidRDefault="00B21EF9" w:rsidP="00F6710F">
      <w:pPr>
        <w:spacing w:after="0"/>
        <w:jc w:val="both"/>
        <w:rPr>
          <w:rFonts w:ascii="Times New Roman" w:hAnsi="Times New Roman"/>
          <w:color w:val="FF0000"/>
          <w:sz w:val="24"/>
          <w:szCs w:val="24"/>
        </w:rPr>
      </w:pPr>
    </w:p>
    <w:p w:rsidR="00B21EF9" w:rsidRPr="00802429" w:rsidRDefault="00B21EF9" w:rsidP="00F6710F">
      <w:pPr>
        <w:pStyle w:val="Heading2"/>
      </w:pPr>
      <w:bookmarkStart w:id="27" w:name="_Toc435454491"/>
      <w:r w:rsidRPr="00802429">
        <w:lastRenderedPageBreak/>
        <w:t>PRIORITET 3:  Unapređenje kvalifikacija i kompetencija usklađenih sa potrebama tržišta rada</w:t>
      </w:r>
      <w:bookmarkEnd w:id="27"/>
    </w:p>
    <w:p w:rsidR="00B21EF9" w:rsidRPr="00802429" w:rsidRDefault="00B21EF9" w:rsidP="00F6710F">
      <w:pPr>
        <w:pStyle w:val="Heading2"/>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 xml:space="preserve">Ovaj prioritet odnosi se na rast produktivnosti i razvoj ljudskih resursa kroz unapređenje znanja, vještina i kompetencija u cilju povećanja mogućnosti zapošljavanja i povećanja konkurentnosti kroz formalno obrazovanje, neformalno učenje i osposobljavanje. </w:t>
      </w:r>
      <w:r w:rsidR="00280D83">
        <w:rPr>
          <w:rFonts w:ascii="Times New Roman" w:hAnsi="Times New Roman"/>
          <w:i/>
          <w:sz w:val="24"/>
          <w:szCs w:val="24"/>
        </w:rPr>
        <w:t>Implementacija strateškog cilja</w:t>
      </w:r>
      <w:r w:rsidRPr="00802429">
        <w:rPr>
          <w:rFonts w:ascii="Times New Roman" w:hAnsi="Times New Roman"/>
          <w:i/>
          <w:sz w:val="24"/>
          <w:szCs w:val="24"/>
        </w:rPr>
        <w:t xml:space="preserve"> trebalo bi da doprinese smanjenju kvalifikacionog jaza (između tekuće tražnje na tržištu rada i znanja i vještina na strani ponude rada).</w:t>
      </w:r>
    </w:p>
    <w:p w:rsidR="00B21EF9" w:rsidRPr="00802429" w:rsidRDefault="00B21EF9" w:rsidP="005A04CB">
      <w:pPr>
        <w:spacing w:after="0"/>
        <w:jc w:val="both"/>
        <w:rPr>
          <w:rFonts w:ascii="Times New Roman" w:hAnsi="Times New Roman"/>
          <w:sz w:val="24"/>
          <w:szCs w:val="24"/>
        </w:rPr>
      </w:pPr>
    </w:p>
    <w:p w:rsidR="00B21EF9" w:rsidRPr="00E87CD8" w:rsidRDefault="00B21EF9" w:rsidP="00E87CD8">
      <w:pPr>
        <w:pStyle w:val="Heading3"/>
      </w:pPr>
      <w:bookmarkStart w:id="28" w:name="_Toc435454492"/>
      <w:r w:rsidRPr="00E87CD8">
        <w:t>Cilj 1:</w:t>
      </w:r>
      <w:r w:rsidR="00E87CD8" w:rsidRPr="00E87CD8">
        <w:t xml:space="preserve"> </w:t>
      </w:r>
      <w:r w:rsidRPr="00E87CD8">
        <w:t>Promovisanje pristupa i učešća odraslih u cjeloživotnom učenju</w:t>
      </w:r>
      <w:bookmarkEnd w:id="28"/>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jc w:val="both"/>
        <w:rPr>
          <w:rFonts w:ascii="Times New Roman" w:hAnsi="Times New Roman"/>
          <w:color w:val="000000"/>
          <w:sz w:val="24"/>
          <w:szCs w:val="24"/>
        </w:rPr>
      </w:pPr>
    </w:p>
    <w:p w:rsidR="00B21EF9" w:rsidRPr="00802429" w:rsidRDefault="00B21EF9" w:rsidP="005A04CB">
      <w:pPr>
        <w:spacing w:after="0"/>
        <w:jc w:val="both"/>
        <w:rPr>
          <w:rFonts w:ascii="Times New Roman" w:hAnsi="Times New Roman"/>
          <w:color w:val="000000"/>
          <w:sz w:val="24"/>
          <w:szCs w:val="24"/>
          <w:lang w:val="sl-SI"/>
        </w:rPr>
      </w:pPr>
      <w:r w:rsidRPr="00802429">
        <w:rPr>
          <w:rFonts w:ascii="Times New Roman" w:hAnsi="Times New Roman"/>
          <w:color w:val="000000"/>
          <w:sz w:val="24"/>
          <w:szCs w:val="24"/>
        </w:rPr>
        <w:t>Izazovi brzog razvoja novih znanja i tehnologija, proces globalizacije, demografski trendovi, česte promjene potreba tržišta rada, rastuća težnja za visokokvalifikovanom radnom snagom i pristupanje Crne Gore Evropskoj uniji nameću nužnost cjeloživotnog učenja i uspostavljanja fleksibilnog, otvorenog, prohodnog sistema obrazovanja, koji će svakom pojedincu ponuditi različite mogućnosti za obrazovanje, napredovanje i priznavanje prethodno stečenih znanja obrazovnog sistema, u kome će pored sticanja kvalifikacija u formalnom obrazovanju, svakom pojedincu biti omogućeno da stiče i vrednuje svoja stečena znanja i vještine i tako poboljšava svoj položaj na tržištu rada. U svim strateškim dokumentima iz oblasti obrazovanja, uključuj</w:t>
      </w:r>
      <w:r w:rsidR="00EA6415">
        <w:rPr>
          <w:rFonts w:ascii="Times New Roman" w:hAnsi="Times New Roman"/>
          <w:color w:val="000000"/>
          <w:sz w:val="24"/>
          <w:szCs w:val="24"/>
        </w:rPr>
        <w:t>ući i stručno obrazovanje,</w:t>
      </w:r>
      <w:r w:rsidRPr="00802429">
        <w:rPr>
          <w:rFonts w:ascii="Times New Roman" w:hAnsi="Times New Roman"/>
          <w:color w:val="000000"/>
          <w:sz w:val="24"/>
          <w:szCs w:val="24"/>
        </w:rPr>
        <w:t xml:space="preserve"> u Crnoj Gori obrazovanje se zasniva na konceptu cjeloživotnog učenja jer je </w:t>
      </w:r>
      <w:r w:rsidRPr="00802429">
        <w:rPr>
          <w:rFonts w:ascii="Times New Roman" w:hAnsi="Times New Roman"/>
          <w:color w:val="000000"/>
          <w:sz w:val="24"/>
          <w:szCs w:val="24"/>
          <w:lang w:val="sl-SI"/>
        </w:rPr>
        <w:t>učenje tokom čitavog života potreba savremenog čovjeka.</w:t>
      </w:r>
    </w:p>
    <w:p w:rsidR="00B21EF9" w:rsidRPr="00AA6A3B"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Cjelo</w:t>
      </w:r>
      <w:r w:rsidR="000805DC" w:rsidRPr="000805DC">
        <w:rPr>
          <w:rFonts w:ascii="Times New Roman" w:hAnsi="Times New Roman"/>
          <w:sz w:val="24"/>
          <w:szCs w:val="24"/>
        </w:rPr>
        <w:t>ž</w:t>
      </w:r>
      <w:r w:rsidRPr="00802429">
        <w:rPr>
          <w:rFonts w:ascii="Times New Roman" w:hAnsi="Times New Roman"/>
          <w:sz w:val="24"/>
          <w:szCs w:val="24"/>
          <w:lang w:val="pl-PL"/>
        </w:rPr>
        <w:t>ivotno</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č</w:t>
      </w:r>
      <w:r w:rsidRPr="00802429">
        <w:rPr>
          <w:rFonts w:ascii="Times New Roman" w:hAnsi="Times New Roman"/>
          <w:sz w:val="24"/>
          <w:szCs w:val="24"/>
          <w:lang w:val="pl-PL"/>
        </w:rPr>
        <w:t>enje</w:t>
      </w:r>
      <w:r w:rsidR="000805DC" w:rsidRPr="000805DC">
        <w:rPr>
          <w:rFonts w:ascii="Times New Roman" w:hAnsi="Times New Roman"/>
          <w:sz w:val="24"/>
          <w:szCs w:val="24"/>
        </w:rPr>
        <w:t xml:space="preserve"> </w:t>
      </w:r>
      <w:r w:rsidRPr="00802429">
        <w:rPr>
          <w:rFonts w:ascii="Times New Roman" w:hAnsi="Times New Roman"/>
          <w:sz w:val="24"/>
          <w:szCs w:val="24"/>
          <w:lang w:val="pl-PL"/>
        </w:rPr>
        <w:t>smatra</w:t>
      </w:r>
      <w:r w:rsidR="000805DC" w:rsidRPr="000805DC">
        <w:rPr>
          <w:rFonts w:ascii="Times New Roman" w:hAnsi="Times New Roman"/>
          <w:sz w:val="24"/>
          <w:szCs w:val="24"/>
        </w:rPr>
        <w:t xml:space="preserve"> </w:t>
      </w:r>
      <w:r w:rsidRPr="00802429">
        <w:rPr>
          <w:rFonts w:ascii="Times New Roman" w:hAnsi="Times New Roman"/>
          <w:sz w:val="24"/>
          <w:szCs w:val="24"/>
          <w:lang w:val="pl-PL"/>
        </w:rPr>
        <w:t>se</w:t>
      </w:r>
      <w:r w:rsidR="000805DC" w:rsidRPr="000805DC">
        <w:rPr>
          <w:rFonts w:ascii="Times New Roman" w:hAnsi="Times New Roman"/>
          <w:sz w:val="24"/>
          <w:szCs w:val="24"/>
        </w:rPr>
        <w:t xml:space="preserve"> </w:t>
      </w:r>
      <w:r w:rsidRPr="00802429">
        <w:rPr>
          <w:rFonts w:ascii="Times New Roman" w:hAnsi="Times New Roman"/>
          <w:sz w:val="24"/>
          <w:szCs w:val="24"/>
          <w:lang w:val="pl-PL"/>
        </w:rPr>
        <w:t>klju</w:t>
      </w:r>
      <w:r w:rsidR="000805DC" w:rsidRPr="000805DC">
        <w:rPr>
          <w:rFonts w:ascii="Times New Roman" w:hAnsi="Times New Roman"/>
          <w:sz w:val="24"/>
          <w:szCs w:val="24"/>
        </w:rPr>
        <w:t>č</w:t>
      </w:r>
      <w:r w:rsidRPr="00802429">
        <w:rPr>
          <w:rFonts w:ascii="Times New Roman" w:hAnsi="Times New Roman"/>
          <w:sz w:val="24"/>
          <w:szCs w:val="24"/>
          <w:lang w:val="pl-PL"/>
        </w:rPr>
        <w:t>nim</w:t>
      </w:r>
      <w:r w:rsidR="000805DC" w:rsidRPr="000805DC">
        <w:rPr>
          <w:rFonts w:ascii="Times New Roman" w:hAnsi="Times New Roman"/>
          <w:sz w:val="24"/>
          <w:szCs w:val="24"/>
        </w:rPr>
        <w:t xml:space="preserve"> č</w:t>
      </w:r>
      <w:r w:rsidRPr="00802429">
        <w:rPr>
          <w:rFonts w:ascii="Times New Roman" w:hAnsi="Times New Roman"/>
          <w:sz w:val="24"/>
          <w:szCs w:val="24"/>
          <w:lang w:val="pl-PL"/>
        </w:rPr>
        <w:t>iniocem</w:t>
      </w:r>
      <w:r w:rsidR="000805DC" w:rsidRPr="000805DC">
        <w:rPr>
          <w:rFonts w:ascii="Times New Roman" w:hAnsi="Times New Roman"/>
          <w:sz w:val="24"/>
          <w:szCs w:val="24"/>
        </w:rPr>
        <w:t xml:space="preserve"> </w:t>
      </w:r>
      <w:r w:rsidRPr="00802429">
        <w:rPr>
          <w:rFonts w:ascii="Times New Roman" w:hAnsi="Times New Roman"/>
          <w:sz w:val="24"/>
          <w:szCs w:val="24"/>
          <w:lang w:val="pl-PL"/>
        </w:rPr>
        <w:t>ekonomsko</w:t>
      </w:r>
      <w:r w:rsidR="000805DC" w:rsidRPr="000805DC">
        <w:rPr>
          <w:rFonts w:ascii="Times New Roman" w:hAnsi="Times New Roman"/>
          <w:sz w:val="24"/>
          <w:szCs w:val="24"/>
        </w:rPr>
        <w:t>-</w:t>
      </w:r>
      <w:r w:rsidRPr="00802429">
        <w:rPr>
          <w:rFonts w:ascii="Times New Roman" w:hAnsi="Times New Roman"/>
          <w:sz w:val="24"/>
          <w:szCs w:val="24"/>
          <w:lang w:val="pl-PL"/>
        </w:rPr>
        <w:t>socijalnog</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individualnog</w:t>
      </w:r>
      <w:r w:rsidR="000805DC" w:rsidRPr="000805DC">
        <w:rPr>
          <w:rFonts w:ascii="Times New Roman" w:hAnsi="Times New Roman"/>
          <w:sz w:val="24"/>
          <w:szCs w:val="24"/>
        </w:rPr>
        <w:t xml:space="preserve"> </w:t>
      </w:r>
      <w:r w:rsidRPr="00802429">
        <w:rPr>
          <w:rFonts w:ascii="Times New Roman" w:hAnsi="Times New Roman"/>
          <w:sz w:val="24"/>
          <w:szCs w:val="24"/>
          <w:lang w:val="pl-PL"/>
        </w:rPr>
        <w:t>razvoja</w:t>
      </w:r>
      <w:r w:rsidR="000805DC" w:rsidRPr="000805DC">
        <w:rPr>
          <w:rFonts w:ascii="Times New Roman" w:hAnsi="Times New Roman"/>
          <w:sz w:val="24"/>
          <w:szCs w:val="24"/>
        </w:rPr>
        <w:t xml:space="preserve">, </w:t>
      </w:r>
      <w:r w:rsidRPr="00802429">
        <w:rPr>
          <w:rFonts w:ascii="Times New Roman" w:hAnsi="Times New Roman"/>
          <w:sz w:val="24"/>
          <w:szCs w:val="24"/>
          <w:lang w:val="pl-PL"/>
        </w:rPr>
        <w:t>kao</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jednim</w:t>
      </w:r>
      <w:r w:rsidR="000805DC" w:rsidRPr="000805DC">
        <w:rPr>
          <w:rFonts w:ascii="Times New Roman" w:hAnsi="Times New Roman"/>
          <w:sz w:val="24"/>
          <w:szCs w:val="24"/>
        </w:rPr>
        <w:t xml:space="preserve"> </w:t>
      </w:r>
      <w:r w:rsidRPr="00802429">
        <w:rPr>
          <w:rFonts w:ascii="Times New Roman" w:hAnsi="Times New Roman"/>
          <w:sz w:val="24"/>
          <w:szCs w:val="24"/>
          <w:lang w:val="pl-PL"/>
        </w:rPr>
        <w:t>od</w:t>
      </w:r>
      <w:r w:rsidR="000805DC" w:rsidRPr="000805DC">
        <w:rPr>
          <w:rFonts w:ascii="Times New Roman" w:hAnsi="Times New Roman"/>
          <w:sz w:val="24"/>
          <w:szCs w:val="24"/>
        </w:rPr>
        <w:t xml:space="preserve"> </w:t>
      </w:r>
      <w:r w:rsidRPr="00802429">
        <w:rPr>
          <w:rFonts w:ascii="Times New Roman" w:hAnsi="Times New Roman"/>
          <w:sz w:val="24"/>
          <w:szCs w:val="24"/>
          <w:lang w:val="pl-PL"/>
        </w:rPr>
        <w:t>centralnih</w:t>
      </w:r>
      <w:r w:rsidR="000805DC" w:rsidRPr="000805DC">
        <w:rPr>
          <w:rFonts w:ascii="Times New Roman" w:hAnsi="Times New Roman"/>
          <w:sz w:val="24"/>
          <w:szCs w:val="24"/>
        </w:rPr>
        <w:t xml:space="preserve"> </w:t>
      </w:r>
      <w:r w:rsidRPr="00802429">
        <w:rPr>
          <w:rFonts w:ascii="Times New Roman" w:hAnsi="Times New Roman"/>
          <w:sz w:val="24"/>
          <w:szCs w:val="24"/>
          <w:lang w:val="pl-PL"/>
        </w:rPr>
        <w:t>principa</w:t>
      </w:r>
      <w:r w:rsidR="000805DC" w:rsidRPr="000805DC">
        <w:rPr>
          <w:rFonts w:ascii="Times New Roman" w:hAnsi="Times New Roman"/>
          <w:sz w:val="24"/>
          <w:szCs w:val="24"/>
        </w:rPr>
        <w:t xml:space="preserve"> </w:t>
      </w:r>
      <w:r w:rsidRPr="00802429">
        <w:rPr>
          <w:rFonts w:ascii="Times New Roman" w:hAnsi="Times New Roman"/>
          <w:sz w:val="24"/>
          <w:szCs w:val="24"/>
          <w:lang w:val="pl-PL"/>
        </w:rPr>
        <w:t>politike</w:t>
      </w:r>
      <w:r w:rsidR="000805DC" w:rsidRPr="000805DC">
        <w:rPr>
          <w:rFonts w:ascii="Times New Roman" w:hAnsi="Times New Roman"/>
          <w:sz w:val="24"/>
          <w:szCs w:val="24"/>
        </w:rPr>
        <w:t xml:space="preserve"> </w:t>
      </w:r>
      <w:r w:rsidRPr="00802429">
        <w:rPr>
          <w:rFonts w:ascii="Times New Roman" w:hAnsi="Times New Roman"/>
          <w:sz w:val="24"/>
          <w:szCs w:val="24"/>
          <w:lang w:val="pl-PL"/>
        </w:rPr>
        <w:t>Evropske</w:t>
      </w:r>
      <w:r w:rsidR="000805DC" w:rsidRPr="000805DC">
        <w:rPr>
          <w:rFonts w:ascii="Times New Roman" w:hAnsi="Times New Roman"/>
          <w:sz w:val="24"/>
          <w:szCs w:val="24"/>
        </w:rPr>
        <w:t xml:space="preserve"> </w:t>
      </w:r>
      <w:r w:rsidRPr="00802429">
        <w:rPr>
          <w:rFonts w:ascii="Times New Roman" w:hAnsi="Times New Roman"/>
          <w:sz w:val="24"/>
          <w:szCs w:val="24"/>
          <w:lang w:val="pl-PL"/>
        </w:rPr>
        <w:t>unije</w:t>
      </w:r>
      <w:r w:rsidR="000805DC" w:rsidRPr="000805DC">
        <w:rPr>
          <w:rFonts w:ascii="Times New Roman" w:hAnsi="Times New Roman"/>
          <w:sz w:val="24"/>
          <w:szCs w:val="24"/>
        </w:rPr>
        <w:t xml:space="preserve">. </w:t>
      </w:r>
      <w:r w:rsidRPr="00802429">
        <w:rPr>
          <w:rFonts w:ascii="Times New Roman" w:hAnsi="Times New Roman"/>
          <w:sz w:val="24"/>
          <w:szCs w:val="24"/>
          <w:lang w:val="pl-PL"/>
        </w:rPr>
        <w:t>Me</w:t>
      </w:r>
      <w:r w:rsidR="000805DC" w:rsidRPr="000805DC">
        <w:rPr>
          <w:rFonts w:ascii="Times New Roman" w:hAnsi="Times New Roman"/>
          <w:sz w:val="24"/>
          <w:szCs w:val="24"/>
        </w:rPr>
        <w:t>đ</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prioritetnim</w:t>
      </w:r>
      <w:r w:rsidR="000805DC" w:rsidRPr="000805DC">
        <w:rPr>
          <w:rFonts w:ascii="Times New Roman" w:hAnsi="Times New Roman"/>
          <w:sz w:val="24"/>
          <w:szCs w:val="24"/>
        </w:rPr>
        <w:t xml:space="preserve"> </w:t>
      </w:r>
      <w:r w:rsidRPr="00802429">
        <w:rPr>
          <w:rFonts w:ascii="Times New Roman" w:hAnsi="Times New Roman"/>
          <w:sz w:val="24"/>
          <w:szCs w:val="24"/>
          <w:lang w:val="pl-PL"/>
        </w:rPr>
        <w:t>ciljevima</w:t>
      </w:r>
      <w:r w:rsidR="000805DC" w:rsidRPr="000805DC">
        <w:rPr>
          <w:rFonts w:ascii="Times New Roman" w:hAnsi="Times New Roman"/>
          <w:sz w:val="24"/>
          <w:szCs w:val="24"/>
        </w:rPr>
        <w:t xml:space="preserve"> </w:t>
      </w:r>
      <w:r w:rsidRPr="00802429">
        <w:rPr>
          <w:rFonts w:ascii="Times New Roman" w:hAnsi="Times New Roman"/>
          <w:sz w:val="24"/>
          <w:szCs w:val="24"/>
          <w:lang w:val="pl-PL"/>
        </w:rPr>
        <w:t>dokumenta</w:t>
      </w:r>
      <w:r w:rsidR="000805DC" w:rsidRPr="000805DC">
        <w:rPr>
          <w:rFonts w:ascii="Times New Roman" w:hAnsi="Times New Roman"/>
          <w:sz w:val="24"/>
          <w:szCs w:val="24"/>
        </w:rPr>
        <w:t xml:space="preserve"> „</w:t>
      </w:r>
      <w:r w:rsidRPr="00802429">
        <w:rPr>
          <w:rFonts w:ascii="Times New Roman" w:hAnsi="Times New Roman"/>
          <w:sz w:val="24"/>
          <w:szCs w:val="24"/>
          <w:lang w:val="pl-PL"/>
        </w:rPr>
        <w:t>Rezolucija</w:t>
      </w:r>
      <w:r w:rsidR="000805DC" w:rsidRPr="000805DC">
        <w:rPr>
          <w:rFonts w:ascii="Times New Roman" w:hAnsi="Times New Roman"/>
          <w:sz w:val="24"/>
          <w:szCs w:val="24"/>
        </w:rPr>
        <w:t xml:space="preserve"> </w:t>
      </w:r>
      <w:r w:rsidRPr="00802429">
        <w:rPr>
          <w:rFonts w:ascii="Times New Roman" w:hAnsi="Times New Roman"/>
          <w:sz w:val="24"/>
          <w:szCs w:val="24"/>
          <w:lang w:val="pl-PL"/>
        </w:rPr>
        <w:t>o</w:t>
      </w:r>
      <w:r w:rsidR="000805DC" w:rsidRPr="000805DC">
        <w:rPr>
          <w:rFonts w:ascii="Times New Roman" w:hAnsi="Times New Roman"/>
          <w:sz w:val="24"/>
          <w:szCs w:val="24"/>
        </w:rPr>
        <w:t xml:space="preserve"> </w:t>
      </w:r>
      <w:r w:rsidRPr="00802429">
        <w:rPr>
          <w:rFonts w:ascii="Times New Roman" w:hAnsi="Times New Roman"/>
          <w:sz w:val="24"/>
          <w:szCs w:val="24"/>
          <w:lang w:val="pl-PL"/>
        </w:rPr>
        <w:t>strate</w:t>
      </w:r>
      <w:r w:rsidR="000805DC" w:rsidRPr="000805DC">
        <w:rPr>
          <w:rFonts w:ascii="Times New Roman" w:hAnsi="Times New Roman"/>
          <w:sz w:val="24"/>
          <w:szCs w:val="24"/>
        </w:rPr>
        <w:t>š</w:t>
      </w:r>
      <w:r w:rsidRPr="00802429">
        <w:rPr>
          <w:rFonts w:ascii="Times New Roman" w:hAnsi="Times New Roman"/>
          <w:sz w:val="24"/>
          <w:szCs w:val="24"/>
          <w:lang w:val="pl-PL"/>
        </w:rPr>
        <w:t>kom</w:t>
      </w:r>
      <w:r w:rsidR="000805DC" w:rsidRPr="000805DC">
        <w:rPr>
          <w:rFonts w:ascii="Times New Roman" w:hAnsi="Times New Roman"/>
          <w:sz w:val="24"/>
          <w:szCs w:val="24"/>
        </w:rPr>
        <w:t xml:space="preserve"> </w:t>
      </w:r>
      <w:r w:rsidRPr="00802429">
        <w:rPr>
          <w:rFonts w:ascii="Times New Roman" w:hAnsi="Times New Roman"/>
          <w:sz w:val="24"/>
          <w:szCs w:val="24"/>
          <w:lang w:val="pl-PL"/>
        </w:rPr>
        <w:t>okviru</w:t>
      </w:r>
      <w:r w:rsidR="000805DC" w:rsidRPr="000805DC">
        <w:rPr>
          <w:rFonts w:ascii="Times New Roman" w:hAnsi="Times New Roman"/>
          <w:sz w:val="24"/>
          <w:szCs w:val="24"/>
        </w:rPr>
        <w:t xml:space="preserve"> </w:t>
      </w:r>
      <w:r w:rsidRPr="00802429">
        <w:rPr>
          <w:rFonts w:ascii="Times New Roman" w:hAnsi="Times New Roman"/>
          <w:sz w:val="24"/>
          <w:szCs w:val="24"/>
          <w:lang w:val="pl-PL"/>
        </w:rPr>
        <w:t>za</w:t>
      </w:r>
      <w:r w:rsidR="000805DC" w:rsidRPr="000805DC">
        <w:rPr>
          <w:rFonts w:ascii="Times New Roman" w:hAnsi="Times New Roman"/>
          <w:sz w:val="24"/>
          <w:szCs w:val="24"/>
        </w:rPr>
        <w:t xml:space="preserve"> </w:t>
      </w:r>
      <w:r w:rsidRPr="00802429">
        <w:rPr>
          <w:rFonts w:ascii="Times New Roman" w:hAnsi="Times New Roman"/>
          <w:sz w:val="24"/>
          <w:szCs w:val="24"/>
          <w:lang w:val="pl-PL"/>
        </w:rPr>
        <w:t>saradnju</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Evropi</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obrazovanju</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osposobljavanju</w:t>
      </w:r>
      <w:r w:rsidR="000805DC" w:rsidRPr="000805DC">
        <w:rPr>
          <w:rFonts w:ascii="Times New Roman" w:hAnsi="Times New Roman"/>
          <w:sz w:val="24"/>
          <w:szCs w:val="24"/>
        </w:rPr>
        <w:t xml:space="preserve"> 2020“ (</w:t>
      </w:r>
      <w:r w:rsidRPr="00802429">
        <w:rPr>
          <w:rFonts w:ascii="Times New Roman" w:hAnsi="Times New Roman"/>
          <w:i/>
          <w:sz w:val="24"/>
          <w:szCs w:val="24"/>
          <w:lang w:val="pl-PL"/>
        </w:rPr>
        <w:t>Education</w:t>
      </w:r>
      <w:r w:rsidR="000805DC" w:rsidRPr="000805DC">
        <w:rPr>
          <w:rFonts w:ascii="Times New Roman" w:hAnsi="Times New Roman"/>
          <w:i/>
          <w:sz w:val="24"/>
          <w:szCs w:val="24"/>
        </w:rPr>
        <w:t xml:space="preserve"> </w:t>
      </w:r>
      <w:r w:rsidRPr="00802429">
        <w:rPr>
          <w:rFonts w:ascii="Times New Roman" w:hAnsi="Times New Roman"/>
          <w:i/>
          <w:sz w:val="24"/>
          <w:szCs w:val="24"/>
          <w:lang w:val="pl-PL"/>
        </w:rPr>
        <w:t>and</w:t>
      </w:r>
      <w:r w:rsidR="000805DC" w:rsidRPr="000805DC">
        <w:rPr>
          <w:rFonts w:ascii="Times New Roman" w:hAnsi="Times New Roman"/>
          <w:i/>
          <w:sz w:val="24"/>
          <w:szCs w:val="24"/>
        </w:rPr>
        <w:t xml:space="preserve"> </w:t>
      </w:r>
      <w:r w:rsidRPr="00802429">
        <w:rPr>
          <w:rFonts w:ascii="Times New Roman" w:hAnsi="Times New Roman"/>
          <w:i/>
          <w:sz w:val="24"/>
          <w:szCs w:val="24"/>
          <w:lang w:val="pl-PL"/>
        </w:rPr>
        <w:t>Training</w:t>
      </w:r>
      <w:r w:rsidR="000805DC" w:rsidRPr="000805DC">
        <w:rPr>
          <w:rFonts w:ascii="Times New Roman" w:hAnsi="Times New Roman"/>
          <w:i/>
          <w:sz w:val="24"/>
          <w:szCs w:val="24"/>
        </w:rPr>
        <w:t xml:space="preserve"> 2020) </w:t>
      </w:r>
      <w:r w:rsidRPr="00802429">
        <w:rPr>
          <w:rFonts w:ascii="Times New Roman" w:hAnsi="Times New Roman"/>
          <w:sz w:val="24"/>
          <w:szCs w:val="24"/>
          <w:lang w:val="pl-PL"/>
        </w:rPr>
        <w:t>su</w:t>
      </w:r>
      <w:r w:rsidR="000805DC" w:rsidRPr="000805DC">
        <w:rPr>
          <w:rFonts w:ascii="Times New Roman" w:hAnsi="Times New Roman"/>
          <w:sz w:val="24"/>
          <w:szCs w:val="24"/>
        </w:rPr>
        <w:t xml:space="preserve"> </w:t>
      </w:r>
      <w:r w:rsidRPr="00802429">
        <w:rPr>
          <w:rFonts w:ascii="Times New Roman" w:hAnsi="Times New Roman"/>
          <w:sz w:val="24"/>
          <w:szCs w:val="24"/>
          <w:lang w:val="pl-PL"/>
        </w:rPr>
        <w:t>cjelo</w:t>
      </w:r>
      <w:r w:rsidR="000805DC" w:rsidRPr="000805DC">
        <w:rPr>
          <w:rFonts w:ascii="Times New Roman" w:hAnsi="Times New Roman"/>
          <w:sz w:val="24"/>
          <w:szCs w:val="24"/>
        </w:rPr>
        <w:t>ž</w:t>
      </w:r>
      <w:r w:rsidRPr="00802429">
        <w:rPr>
          <w:rFonts w:ascii="Times New Roman" w:hAnsi="Times New Roman"/>
          <w:sz w:val="24"/>
          <w:szCs w:val="24"/>
          <w:lang w:val="pl-PL"/>
        </w:rPr>
        <w:t>ivotno</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č</w:t>
      </w:r>
      <w:r w:rsidRPr="00802429">
        <w:rPr>
          <w:rFonts w:ascii="Times New Roman" w:hAnsi="Times New Roman"/>
          <w:sz w:val="24"/>
          <w:szCs w:val="24"/>
          <w:lang w:val="pl-PL"/>
        </w:rPr>
        <w:t>enje</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mobilnost</w:t>
      </w:r>
      <w:r w:rsidR="000805DC" w:rsidRPr="000805DC">
        <w:rPr>
          <w:rFonts w:ascii="Times New Roman" w:hAnsi="Times New Roman"/>
          <w:sz w:val="24"/>
          <w:szCs w:val="24"/>
        </w:rPr>
        <w:t xml:space="preserve">. </w:t>
      </w:r>
      <w:r w:rsidRPr="00802429">
        <w:rPr>
          <w:rFonts w:ascii="Times New Roman" w:hAnsi="Times New Roman"/>
          <w:sz w:val="24"/>
          <w:szCs w:val="24"/>
          <w:lang w:val="pl-PL"/>
        </w:rPr>
        <w:t>Ovu</w:t>
      </w:r>
      <w:r w:rsidR="000805DC" w:rsidRPr="000805DC">
        <w:rPr>
          <w:rFonts w:ascii="Times New Roman" w:hAnsi="Times New Roman"/>
          <w:sz w:val="24"/>
          <w:szCs w:val="24"/>
        </w:rPr>
        <w:t xml:space="preserve"> </w:t>
      </w:r>
      <w:r w:rsidRPr="00802429">
        <w:rPr>
          <w:rFonts w:ascii="Times New Roman" w:hAnsi="Times New Roman"/>
          <w:sz w:val="24"/>
          <w:szCs w:val="24"/>
          <w:lang w:val="pl-PL"/>
        </w:rPr>
        <w:t>rezoluciju</w:t>
      </w:r>
      <w:r w:rsidR="000805DC" w:rsidRPr="000805DC">
        <w:rPr>
          <w:rFonts w:ascii="Times New Roman" w:hAnsi="Times New Roman"/>
          <w:sz w:val="24"/>
          <w:szCs w:val="24"/>
        </w:rPr>
        <w:t xml:space="preserve"> </w:t>
      </w:r>
      <w:r w:rsidRPr="00802429">
        <w:rPr>
          <w:rFonts w:ascii="Times New Roman" w:hAnsi="Times New Roman"/>
          <w:sz w:val="24"/>
          <w:szCs w:val="24"/>
          <w:lang w:val="pl-PL"/>
        </w:rPr>
        <w:t>potpisale</w:t>
      </w:r>
      <w:r w:rsidR="000805DC" w:rsidRPr="000805DC">
        <w:rPr>
          <w:rFonts w:ascii="Times New Roman" w:hAnsi="Times New Roman"/>
          <w:sz w:val="24"/>
          <w:szCs w:val="24"/>
        </w:rPr>
        <w:t xml:space="preserve"> </w:t>
      </w:r>
      <w:r w:rsidRPr="00802429">
        <w:rPr>
          <w:rFonts w:ascii="Times New Roman" w:hAnsi="Times New Roman"/>
          <w:sz w:val="24"/>
          <w:szCs w:val="24"/>
          <w:lang w:val="pl-PL"/>
        </w:rPr>
        <w:t>su</w:t>
      </w:r>
      <w:r w:rsidR="000805DC" w:rsidRPr="000805DC">
        <w:rPr>
          <w:rFonts w:ascii="Times New Roman" w:hAnsi="Times New Roman"/>
          <w:sz w:val="24"/>
          <w:szCs w:val="24"/>
        </w:rPr>
        <w:t xml:space="preserve"> </w:t>
      </w:r>
      <w:r w:rsidRPr="00802429">
        <w:rPr>
          <w:rFonts w:ascii="Times New Roman" w:hAnsi="Times New Roman"/>
          <w:sz w:val="24"/>
          <w:szCs w:val="24"/>
          <w:lang w:val="pl-PL"/>
        </w:rPr>
        <w:t>zemlje</w:t>
      </w:r>
      <w:r w:rsidR="000805DC" w:rsidRPr="000805DC">
        <w:rPr>
          <w:rFonts w:ascii="Times New Roman" w:hAnsi="Times New Roman"/>
          <w:sz w:val="24"/>
          <w:szCs w:val="24"/>
        </w:rPr>
        <w:t xml:space="preserve"> č</w:t>
      </w:r>
      <w:r w:rsidRPr="00802429">
        <w:rPr>
          <w:rFonts w:ascii="Times New Roman" w:hAnsi="Times New Roman"/>
          <w:sz w:val="24"/>
          <w:szCs w:val="24"/>
          <w:lang w:val="pl-PL"/>
        </w:rPr>
        <w:t>lanice</w:t>
      </w:r>
      <w:r w:rsidR="000805DC" w:rsidRPr="000805DC">
        <w:rPr>
          <w:rFonts w:ascii="Times New Roman" w:hAnsi="Times New Roman"/>
          <w:sz w:val="24"/>
          <w:szCs w:val="24"/>
        </w:rPr>
        <w:t xml:space="preserve"> </w:t>
      </w:r>
      <w:r w:rsidRPr="00802429">
        <w:rPr>
          <w:rFonts w:ascii="Times New Roman" w:hAnsi="Times New Roman"/>
          <w:sz w:val="24"/>
          <w:szCs w:val="24"/>
          <w:lang w:val="pl-PL"/>
        </w:rPr>
        <w:t>EU</w:t>
      </w:r>
      <w:r w:rsidR="000805DC" w:rsidRPr="000805DC">
        <w:rPr>
          <w:rFonts w:ascii="Times New Roman" w:hAnsi="Times New Roman"/>
          <w:sz w:val="24"/>
          <w:szCs w:val="24"/>
        </w:rPr>
        <w:t xml:space="preserve">, </w:t>
      </w:r>
      <w:r w:rsidRPr="00802429">
        <w:rPr>
          <w:rFonts w:ascii="Times New Roman" w:hAnsi="Times New Roman"/>
          <w:sz w:val="24"/>
          <w:szCs w:val="24"/>
          <w:lang w:val="pl-PL"/>
        </w:rPr>
        <w:t>a</w:t>
      </w:r>
      <w:r w:rsidR="000805DC" w:rsidRPr="000805DC">
        <w:rPr>
          <w:rFonts w:ascii="Times New Roman" w:hAnsi="Times New Roman"/>
          <w:sz w:val="24"/>
          <w:szCs w:val="24"/>
        </w:rPr>
        <w:t xml:space="preserve"> </w:t>
      </w:r>
      <w:r w:rsidRPr="00802429">
        <w:rPr>
          <w:rFonts w:ascii="Times New Roman" w:hAnsi="Times New Roman"/>
          <w:sz w:val="24"/>
          <w:szCs w:val="24"/>
          <w:lang w:val="pl-PL"/>
        </w:rPr>
        <w:t>poslu</w:t>
      </w:r>
      <w:r w:rsidR="000805DC" w:rsidRPr="000805DC">
        <w:rPr>
          <w:rFonts w:ascii="Times New Roman" w:hAnsi="Times New Roman"/>
          <w:sz w:val="24"/>
          <w:szCs w:val="24"/>
        </w:rPr>
        <w:t>ž</w:t>
      </w:r>
      <w:r w:rsidRPr="00802429">
        <w:rPr>
          <w:rFonts w:ascii="Times New Roman" w:hAnsi="Times New Roman"/>
          <w:sz w:val="24"/>
          <w:szCs w:val="24"/>
          <w:lang w:val="pl-PL"/>
        </w:rPr>
        <w:t>ila</w:t>
      </w:r>
      <w:r w:rsidR="000805DC" w:rsidRPr="000805DC">
        <w:rPr>
          <w:rFonts w:ascii="Times New Roman" w:hAnsi="Times New Roman"/>
          <w:sz w:val="24"/>
          <w:szCs w:val="24"/>
        </w:rPr>
        <w:t xml:space="preserve"> </w:t>
      </w:r>
      <w:r w:rsidRPr="00802429">
        <w:rPr>
          <w:rFonts w:ascii="Times New Roman" w:hAnsi="Times New Roman"/>
          <w:sz w:val="24"/>
          <w:szCs w:val="24"/>
          <w:lang w:val="pl-PL"/>
        </w:rPr>
        <w:t>je</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kao</w:t>
      </w:r>
      <w:r w:rsidR="000805DC" w:rsidRPr="000805DC">
        <w:rPr>
          <w:rFonts w:ascii="Times New Roman" w:hAnsi="Times New Roman"/>
          <w:sz w:val="24"/>
          <w:szCs w:val="24"/>
        </w:rPr>
        <w:t xml:space="preserve"> </w:t>
      </w:r>
      <w:r w:rsidRPr="00802429">
        <w:rPr>
          <w:rFonts w:ascii="Times New Roman" w:hAnsi="Times New Roman"/>
          <w:sz w:val="24"/>
          <w:szCs w:val="24"/>
          <w:lang w:val="pl-PL"/>
        </w:rPr>
        <w:t>osnov</w:t>
      </w:r>
      <w:r w:rsidR="000805DC" w:rsidRPr="000805DC">
        <w:rPr>
          <w:rFonts w:ascii="Times New Roman" w:hAnsi="Times New Roman"/>
          <w:sz w:val="24"/>
          <w:szCs w:val="24"/>
        </w:rPr>
        <w:t xml:space="preserve"> </w:t>
      </w:r>
      <w:r w:rsidRPr="00802429">
        <w:rPr>
          <w:rFonts w:ascii="Times New Roman" w:hAnsi="Times New Roman"/>
          <w:sz w:val="24"/>
          <w:szCs w:val="24"/>
          <w:lang w:val="pl-PL"/>
        </w:rPr>
        <w:t>za</w:t>
      </w:r>
      <w:r w:rsidR="000805DC" w:rsidRPr="000805DC">
        <w:rPr>
          <w:rFonts w:ascii="Times New Roman" w:hAnsi="Times New Roman"/>
          <w:sz w:val="24"/>
          <w:szCs w:val="24"/>
        </w:rPr>
        <w:t xml:space="preserve"> </w:t>
      </w:r>
      <w:r w:rsidRPr="00802429">
        <w:rPr>
          <w:rFonts w:ascii="Times New Roman" w:hAnsi="Times New Roman"/>
          <w:sz w:val="24"/>
          <w:szCs w:val="24"/>
          <w:lang w:val="pl-PL"/>
        </w:rPr>
        <w:t>izradu</w:t>
      </w:r>
      <w:r w:rsidR="000805DC" w:rsidRPr="000805DC">
        <w:rPr>
          <w:rFonts w:ascii="Times New Roman" w:hAnsi="Times New Roman"/>
          <w:sz w:val="24"/>
          <w:szCs w:val="24"/>
        </w:rPr>
        <w:t xml:space="preserve"> </w:t>
      </w:r>
      <w:r w:rsidRPr="00802429">
        <w:rPr>
          <w:rFonts w:ascii="Times New Roman" w:hAnsi="Times New Roman"/>
          <w:sz w:val="24"/>
          <w:szCs w:val="24"/>
          <w:lang w:val="pl-PL"/>
        </w:rPr>
        <w:t>Strategije</w:t>
      </w:r>
      <w:r w:rsidR="000805DC" w:rsidRPr="000805DC">
        <w:rPr>
          <w:rFonts w:ascii="Times New Roman" w:hAnsi="Times New Roman"/>
          <w:sz w:val="24"/>
          <w:szCs w:val="24"/>
        </w:rPr>
        <w:t xml:space="preserve"> </w:t>
      </w:r>
      <w:r w:rsidRPr="00802429">
        <w:rPr>
          <w:rFonts w:ascii="Times New Roman" w:hAnsi="Times New Roman"/>
          <w:sz w:val="24"/>
          <w:szCs w:val="24"/>
          <w:lang w:val="pl-PL"/>
        </w:rPr>
        <w:t>obrazovanja</w:t>
      </w:r>
      <w:r w:rsidR="000805DC" w:rsidRPr="000805DC">
        <w:rPr>
          <w:rFonts w:ascii="Times New Roman" w:hAnsi="Times New Roman"/>
          <w:sz w:val="24"/>
          <w:szCs w:val="24"/>
        </w:rPr>
        <w:t xml:space="preserve"> </w:t>
      </w:r>
      <w:r w:rsidRPr="00802429">
        <w:rPr>
          <w:rFonts w:ascii="Times New Roman" w:hAnsi="Times New Roman"/>
          <w:sz w:val="24"/>
          <w:szCs w:val="24"/>
          <w:lang w:val="pl-PL"/>
        </w:rPr>
        <w:t>odraslih</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Crnoj</w:t>
      </w:r>
      <w:r w:rsidR="000805DC" w:rsidRPr="000805DC">
        <w:rPr>
          <w:rFonts w:ascii="Times New Roman" w:hAnsi="Times New Roman"/>
          <w:sz w:val="24"/>
          <w:szCs w:val="24"/>
        </w:rPr>
        <w:t xml:space="preserve"> </w:t>
      </w:r>
      <w:r w:rsidRPr="00802429">
        <w:rPr>
          <w:rFonts w:ascii="Times New Roman" w:hAnsi="Times New Roman"/>
          <w:sz w:val="24"/>
          <w:szCs w:val="24"/>
          <w:lang w:val="pl-PL"/>
        </w:rPr>
        <w:t>Gori</w:t>
      </w:r>
      <w:r w:rsidR="000805DC" w:rsidRPr="000805DC">
        <w:rPr>
          <w:rFonts w:ascii="Times New Roman" w:hAnsi="Times New Roman"/>
          <w:sz w:val="24"/>
          <w:szCs w:val="24"/>
        </w:rPr>
        <w:t xml:space="preserve"> (2015-2025), </w:t>
      </w:r>
      <w:r w:rsidRPr="00802429">
        <w:rPr>
          <w:rFonts w:ascii="Times New Roman" w:hAnsi="Times New Roman"/>
          <w:sz w:val="24"/>
          <w:szCs w:val="24"/>
          <w:lang w:val="pl-PL"/>
        </w:rPr>
        <w:t>koju</w:t>
      </w:r>
      <w:r w:rsidR="000805DC" w:rsidRPr="000805DC">
        <w:rPr>
          <w:rFonts w:ascii="Times New Roman" w:hAnsi="Times New Roman"/>
          <w:sz w:val="24"/>
          <w:szCs w:val="24"/>
        </w:rPr>
        <w:t xml:space="preserve"> </w:t>
      </w:r>
      <w:r w:rsidRPr="00802429">
        <w:rPr>
          <w:rFonts w:ascii="Times New Roman" w:hAnsi="Times New Roman"/>
          <w:sz w:val="24"/>
          <w:szCs w:val="24"/>
          <w:lang w:val="pl-PL"/>
        </w:rPr>
        <w:t>je</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septembru</w:t>
      </w:r>
      <w:r w:rsidR="000805DC" w:rsidRPr="000805DC">
        <w:rPr>
          <w:rFonts w:ascii="Times New Roman" w:hAnsi="Times New Roman"/>
          <w:sz w:val="24"/>
          <w:szCs w:val="24"/>
        </w:rPr>
        <w:t xml:space="preserve"> 2014. </w:t>
      </w:r>
      <w:r w:rsidRPr="00802429">
        <w:rPr>
          <w:rFonts w:ascii="Times New Roman" w:hAnsi="Times New Roman"/>
          <w:sz w:val="24"/>
          <w:szCs w:val="24"/>
          <w:lang w:val="pl-PL"/>
        </w:rPr>
        <w:t>godine</w:t>
      </w:r>
      <w:r w:rsidR="000805DC" w:rsidRPr="000805DC">
        <w:rPr>
          <w:rFonts w:ascii="Times New Roman" w:hAnsi="Times New Roman"/>
          <w:sz w:val="24"/>
          <w:szCs w:val="24"/>
        </w:rPr>
        <w:t xml:space="preserve"> </w:t>
      </w:r>
      <w:r w:rsidRPr="00802429">
        <w:rPr>
          <w:rFonts w:ascii="Times New Roman" w:hAnsi="Times New Roman"/>
          <w:sz w:val="24"/>
          <w:szCs w:val="24"/>
          <w:lang w:val="pl-PL"/>
        </w:rPr>
        <w:t>usvojila</w:t>
      </w:r>
      <w:r w:rsidR="000805DC" w:rsidRPr="000805DC">
        <w:rPr>
          <w:rFonts w:ascii="Times New Roman" w:hAnsi="Times New Roman"/>
          <w:sz w:val="24"/>
          <w:szCs w:val="24"/>
        </w:rPr>
        <w:t xml:space="preserve"> </w:t>
      </w:r>
      <w:r w:rsidRPr="00802429">
        <w:rPr>
          <w:rFonts w:ascii="Times New Roman" w:hAnsi="Times New Roman"/>
          <w:sz w:val="24"/>
          <w:szCs w:val="24"/>
          <w:lang w:val="pl-PL"/>
        </w:rPr>
        <w:t>Vlada</w:t>
      </w:r>
      <w:r w:rsidR="000805DC" w:rsidRPr="000805DC">
        <w:rPr>
          <w:rFonts w:ascii="Times New Roman" w:hAnsi="Times New Roman"/>
          <w:sz w:val="24"/>
          <w:szCs w:val="24"/>
        </w:rPr>
        <w:t xml:space="preserve"> </w:t>
      </w:r>
      <w:r w:rsidRPr="00802429">
        <w:rPr>
          <w:rFonts w:ascii="Times New Roman" w:hAnsi="Times New Roman"/>
          <w:sz w:val="24"/>
          <w:szCs w:val="24"/>
          <w:lang w:val="pl-PL"/>
        </w:rPr>
        <w:t>Crne</w:t>
      </w:r>
      <w:r w:rsidR="000805DC" w:rsidRPr="000805DC">
        <w:rPr>
          <w:rFonts w:ascii="Times New Roman" w:hAnsi="Times New Roman"/>
          <w:sz w:val="24"/>
          <w:szCs w:val="24"/>
        </w:rPr>
        <w:t xml:space="preserve"> </w:t>
      </w:r>
      <w:r w:rsidRPr="00802429">
        <w:rPr>
          <w:rFonts w:ascii="Times New Roman" w:hAnsi="Times New Roman"/>
          <w:sz w:val="24"/>
          <w:szCs w:val="24"/>
          <w:lang w:val="pl-PL"/>
        </w:rPr>
        <w:t>Gore</w:t>
      </w:r>
      <w:r w:rsidR="00691887">
        <w:rPr>
          <w:rFonts w:ascii="Times New Roman" w:hAnsi="Times New Roman"/>
          <w:sz w:val="24"/>
          <w:szCs w:val="24"/>
        </w:rPr>
        <w:t>.</w:t>
      </w:r>
      <w:r w:rsidR="000805DC" w:rsidRPr="000805DC">
        <w:rPr>
          <w:rFonts w:ascii="Times New Roman" w:hAnsi="Times New Roman"/>
          <w:sz w:val="24"/>
          <w:szCs w:val="24"/>
        </w:rPr>
        <w:t xml:space="preserve"> </w:t>
      </w:r>
      <w:r w:rsidRPr="00802429">
        <w:rPr>
          <w:rFonts w:ascii="Times New Roman" w:hAnsi="Times New Roman"/>
          <w:sz w:val="24"/>
          <w:szCs w:val="24"/>
          <w:lang w:val="pl-PL"/>
        </w:rPr>
        <w:t>Shodno ovim dokumentima, učešće odraslih u cjeloživotnom učenju do 2020. godine treba da bude najmanje 15%.</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 xml:space="preserve">Podaci MONSTAT-a  koji se odnose na procentualno učešće građana Crne Gore, starosti od 25-64 godine, u programima cjeloživotnog učenja, koje je u 2010. godini iznosilo 2,40%, u 2011. 2,80%, 2012. 2,50% i 2013. 3,10%, jasno ukazuju da je potrebno dalje raditi na osnaživanju cjeloživotnog učenja, kako sa aspekta promocije, tako i praktične primjene, kako bi povećali učešće odraslih u programima cjeloživotnog učenja.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 xml:space="preserve">Za sprovođenje koncepta cjeloživotnog učenja za različite ciljne grupe veoma je važan i Zakon o nacionalnim stručnim kvalifikacijama usvojen 2008. godine. Zakonom o nacionalnim stručnim kvalifikacijama </w:t>
      </w:r>
      <w:r w:rsidR="0083630C">
        <w:rPr>
          <w:rFonts w:ascii="Times New Roman" w:hAnsi="Times New Roman"/>
          <w:sz w:val="24"/>
          <w:szCs w:val="24"/>
        </w:rPr>
        <w:t>stvara se mogućnost</w:t>
      </w:r>
      <w:r w:rsidRPr="00802429">
        <w:rPr>
          <w:rFonts w:ascii="Times New Roman" w:hAnsi="Times New Roman"/>
          <w:sz w:val="24"/>
          <w:szCs w:val="24"/>
        </w:rPr>
        <w:t xml:space="preserve"> priznavanja znanja, vještina i kompetencija koje pojedinac posjeduje, bez obzira na način njihovog sticanja, kao i potrebi da se sistem obrazovanja učini fleksibilnijim kako bi brže odgovorio na potrebe tržišta rada. </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Način implementacije strateškog cilja</w:t>
      </w:r>
    </w:p>
    <w:p w:rsidR="00B21EF9" w:rsidRPr="00AA6A3B" w:rsidRDefault="00B21EF9" w:rsidP="005A04CB">
      <w:pPr>
        <w:keepNext/>
        <w:keepLines/>
        <w:spacing w:after="0" w:line="240" w:lineRule="auto"/>
        <w:outlineLvl w:val="2"/>
        <w:rPr>
          <w:rFonts w:ascii="Times New Roman" w:hAnsi="Times New Roman"/>
          <w:sz w:val="24"/>
          <w:szCs w:val="24"/>
        </w:rPr>
      </w:pPr>
    </w:p>
    <w:p w:rsidR="00B21EF9" w:rsidRPr="00802429" w:rsidRDefault="00B21EF9" w:rsidP="002E20CA">
      <w:pPr>
        <w:spacing w:after="0" w:line="240" w:lineRule="auto"/>
        <w:jc w:val="both"/>
        <w:rPr>
          <w:rFonts w:ascii="Times New Roman" w:hAnsi="Times New Roman"/>
          <w:b/>
          <w:sz w:val="24"/>
          <w:szCs w:val="24"/>
          <w:lang w:val="pl-PL"/>
        </w:rPr>
      </w:pPr>
      <w:r w:rsidRPr="00802429">
        <w:rPr>
          <w:rFonts w:ascii="Times New Roman" w:hAnsi="Times New Roman"/>
          <w:sz w:val="24"/>
          <w:szCs w:val="24"/>
          <w:lang w:val="pl-PL"/>
        </w:rPr>
        <w:t>Jedna</w:t>
      </w:r>
      <w:r w:rsidR="000805DC" w:rsidRPr="000805DC">
        <w:rPr>
          <w:rFonts w:ascii="Times New Roman" w:hAnsi="Times New Roman"/>
          <w:sz w:val="24"/>
          <w:szCs w:val="24"/>
        </w:rPr>
        <w:t xml:space="preserve"> </w:t>
      </w:r>
      <w:r w:rsidRPr="00802429">
        <w:rPr>
          <w:rFonts w:ascii="Times New Roman" w:hAnsi="Times New Roman"/>
          <w:sz w:val="24"/>
          <w:szCs w:val="24"/>
          <w:lang w:val="pl-PL"/>
        </w:rPr>
        <w:t>od</w:t>
      </w:r>
      <w:r w:rsidR="000805DC" w:rsidRPr="000805DC">
        <w:rPr>
          <w:rFonts w:ascii="Times New Roman" w:hAnsi="Times New Roman"/>
          <w:sz w:val="24"/>
          <w:szCs w:val="24"/>
        </w:rPr>
        <w:t xml:space="preserve"> </w:t>
      </w:r>
      <w:r w:rsidRPr="00802429">
        <w:rPr>
          <w:rFonts w:ascii="Times New Roman" w:hAnsi="Times New Roman"/>
          <w:sz w:val="24"/>
          <w:szCs w:val="24"/>
          <w:lang w:val="pl-PL"/>
        </w:rPr>
        <w:t>klju</w:t>
      </w:r>
      <w:r w:rsidR="000805DC" w:rsidRPr="000805DC">
        <w:rPr>
          <w:rFonts w:ascii="Times New Roman" w:hAnsi="Times New Roman"/>
          <w:sz w:val="24"/>
          <w:szCs w:val="24"/>
        </w:rPr>
        <w:t>č</w:t>
      </w:r>
      <w:r w:rsidRPr="00802429">
        <w:rPr>
          <w:rFonts w:ascii="Times New Roman" w:hAnsi="Times New Roman"/>
          <w:sz w:val="24"/>
          <w:szCs w:val="24"/>
          <w:lang w:val="pl-PL"/>
        </w:rPr>
        <w:t>nih</w:t>
      </w:r>
      <w:r w:rsidR="000805DC" w:rsidRPr="000805DC">
        <w:rPr>
          <w:rFonts w:ascii="Times New Roman" w:hAnsi="Times New Roman"/>
          <w:sz w:val="24"/>
          <w:szCs w:val="24"/>
        </w:rPr>
        <w:t xml:space="preserve"> </w:t>
      </w:r>
      <w:r w:rsidRPr="00802429">
        <w:rPr>
          <w:rFonts w:ascii="Times New Roman" w:hAnsi="Times New Roman"/>
          <w:sz w:val="24"/>
          <w:szCs w:val="24"/>
          <w:lang w:val="pl-PL"/>
        </w:rPr>
        <w:t>mjera</w:t>
      </w:r>
      <w:r w:rsidR="000805DC" w:rsidRPr="000805DC">
        <w:rPr>
          <w:rFonts w:ascii="Times New Roman" w:hAnsi="Times New Roman"/>
          <w:sz w:val="24"/>
          <w:szCs w:val="24"/>
        </w:rPr>
        <w:t xml:space="preserve"> </w:t>
      </w:r>
      <w:r w:rsidRPr="00802429">
        <w:rPr>
          <w:rFonts w:ascii="Times New Roman" w:hAnsi="Times New Roman"/>
          <w:sz w:val="24"/>
          <w:szCs w:val="24"/>
          <w:lang w:val="pl-PL"/>
        </w:rPr>
        <w:t>je</w:t>
      </w:r>
      <w:r w:rsidR="000805DC" w:rsidRPr="000805DC">
        <w:rPr>
          <w:rFonts w:ascii="Times New Roman" w:hAnsi="Times New Roman"/>
          <w:sz w:val="24"/>
          <w:szCs w:val="24"/>
        </w:rPr>
        <w:t xml:space="preserve"> </w:t>
      </w:r>
      <w:r w:rsidRPr="00802429">
        <w:rPr>
          <w:rFonts w:ascii="Times New Roman" w:hAnsi="Times New Roman"/>
          <w:sz w:val="24"/>
          <w:szCs w:val="24"/>
          <w:lang w:val="pl-PL"/>
        </w:rPr>
        <w:t>promovisanje</w:t>
      </w:r>
      <w:r w:rsidR="000805DC" w:rsidRPr="000805DC">
        <w:rPr>
          <w:rFonts w:ascii="Times New Roman" w:hAnsi="Times New Roman"/>
          <w:sz w:val="24"/>
          <w:szCs w:val="24"/>
        </w:rPr>
        <w:t xml:space="preserve"> </w:t>
      </w:r>
      <w:r w:rsidRPr="00802429">
        <w:rPr>
          <w:rFonts w:ascii="Times New Roman" w:hAnsi="Times New Roman"/>
          <w:sz w:val="24"/>
          <w:szCs w:val="24"/>
          <w:lang w:val="pl-PL"/>
        </w:rPr>
        <w:t>cjelo</w:t>
      </w:r>
      <w:r w:rsidR="000805DC" w:rsidRPr="000805DC">
        <w:rPr>
          <w:rFonts w:ascii="Times New Roman" w:hAnsi="Times New Roman"/>
          <w:sz w:val="24"/>
          <w:szCs w:val="24"/>
        </w:rPr>
        <w:t>ž</w:t>
      </w:r>
      <w:r w:rsidRPr="00802429">
        <w:rPr>
          <w:rFonts w:ascii="Times New Roman" w:hAnsi="Times New Roman"/>
          <w:sz w:val="24"/>
          <w:szCs w:val="24"/>
          <w:lang w:val="pl-PL"/>
        </w:rPr>
        <w:t>ivotnog</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č</w:t>
      </w:r>
      <w:r w:rsidRPr="00802429">
        <w:rPr>
          <w:rFonts w:ascii="Times New Roman" w:hAnsi="Times New Roman"/>
          <w:sz w:val="24"/>
          <w:szCs w:val="24"/>
          <w:lang w:val="pl-PL"/>
        </w:rPr>
        <w:t>enja</w:t>
      </w:r>
      <w:r w:rsidR="000805DC" w:rsidRPr="000805DC">
        <w:rPr>
          <w:rFonts w:ascii="Times New Roman" w:hAnsi="Times New Roman"/>
          <w:sz w:val="24"/>
          <w:szCs w:val="24"/>
        </w:rPr>
        <w:t xml:space="preserve"> </w:t>
      </w:r>
      <w:r w:rsidRPr="00802429">
        <w:rPr>
          <w:rFonts w:ascii="Times New Roman" w:hAnsi="Times New Roman"/>
          <w:sz w:val="24"/>
          <w:szCs w:val="24"/>
          <w:lang w:val="pl-PL"/>
        </w:rPr>
        <w:t>kroz</w:t>
      </w:r>
      <w:r w:rsidR="000805DC" w:rsidRPr="000805DC">
        <w:rPr>
          <w:rFonts w:ascii="Times New Roman" w:hAnsi="Times New Roman"/>
          <w:sz w:val="24"/>
          <w:szCs w:val="24"/>
        </w:rPr>
        <w:t xml:space="preserve"> </w:t>
      </w:r>
      <w:r w:rsidRPr="00802429">
        <w:rPr>
          <w:rFonts w:ascii="Times New Roman" w:hAnsi="Times New Roman"/>
          <w:sz w:val="24"/>
          <w:szCs w:val="24"/>
          <w:lang w:val="pl-PL"/>
        </w:rPr>
        <w:t>postupnost</w:t>
      </w:r>
      <w:r w:rsidR="000805DC" w:rsidRPr="000805DC">
        <w:rPr>
          <w:rFonts w:ascii="Times New Roman" w:hAnsi="Times New Roman"/>
          <w:sz w:val="24"/>
          <w:szCs w:val="24"/>
        </w:rPr>
        <w:t xml:space="preserve"> </w:t>
      </w:r>
      <w:r w:rsidRPr="00802429">
        <w:rPr>
          <w:rFonts w:ascii="Times New Roman" w:hAnsi="Times New Roman"/>
          <w:sz w:val="24"/>
          <w:szCs w:val="24"/>
          <w:lang w:val="pl-PL"/>
        </w:rPr>
        <w:t>sticanja</w:t>
      </w:r>
      <w:r w:rsidR="000805DC" w:rsidRPr="000805DC">
        <w:rPr>
          <w:rFonts w:ascii="Times New Roman" w:hAnsi="Times New Roman"/>
          <w:sz w:val="24"/>
          <w:szCs w:val="24"/>
        </w:rPr>
        <w:t xml:space="preserve"> </w:t>
      </w:r>
      <w:r w:rsidRPr="00802429">
        <w:rPr>
          <w:rFonts w:ascii="Times New Roman" w:hAnsi="Times New Roman"/>
          <w:sz w:val="24"/>
          <w:szCs w:val="24"/>
          <w:lang w:val="pl-PL"/>
        </w:rPr>
        <w:t>kvalifikacija</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uva</w:t>
      </w:r>
      <w:r w:rsidR="000805DC" w:rsidRPr="000805DC">
        <w:rPr>
          <w:rFonts w:ascii="Times New Roman" w:hAnsi="Times New Roman"/>
          <w:sz w:val="24"/>
          <w:szCs w:val="24"/>
        </w:rPr>
        <w:t>ž</w:t>
      </w:r>
      <w:r w:rsidRPr="00802429">
        <w:rPr>
          <w:rFonts w:ascii="Times New Roman" w:hAnsi="Times New Roman"/>
          <w:sz w:val="24"/>
          <w:szCs w:val="24"/>
          <w:lang w:val="pl-PL"/>
        </w:rPr>
        <w:t>avanje</w:t>
      </w:r>
      <w:r w:rsidR="000805DC" w:rsidRPr="000805DC">
        <w:rPr>
          <w:rFonts w:ascii="Times New Roman" w:hAnsi="Times New Roman"/>
          <w:sz w:val="24"/>
          <w:szCs w:val="24"/>
        </w:rPr>
        <w:t xml:space="preserve"> </w:t>
      </w:r>
      <w:r w:rsidRPr="00802429">
        <w:rPr>
          <w:rFonts w:ascii="Times New Roman" w:hAnsi="Times New Roman"/>
          <w:sz w:val="24"/>
          <w:szCs w:val="24"/>
          <w:lang w:val="pl-PL"/>
        </w:rPr>
        <w:t>ste</w:t>
      </w:r>
      <w:r w:rsidR="000805DC" w:rsidRPr="000805DC">
        <w:rPr>
          <w:rFonts w:ascii="Times New Roman" w:hAnsi="Times New Roman"/>
          <w:sz w:val="24"/>
          <w:szCs w:val="24"/>
        </w:rPr>
        <w:t>č</w:t>
      </w:r>
      <w:r w:rsidRPr="00802429">
        <w:rPr>
          <w:rFonts w:ascii="Times New Roman" w:hAnsi="Times New Roman"/>
          <w:sz w:val="24"/>
          <w:szCs w:val="24"/>
          <w:lang w:val="pl-PL"/>
        </w:rPr>
        <w:t>enih</w:t>
      </w:r>
      <w:r w:rsidR="00FE425F">
        <w:rPr>
          <w:rFonts w:ascii="Times New Roman" w:hAnsi="Times New Roman"/>
          <w:sz w:val="24"/>
          <w:szCs w:val="24"/>
          <w:lang w:val="pl-PL"/>
        </w:rPr>
        <w:t xml:space="preserve"> </w:t>
      </w:r>
      <w:r w:rsidR="0083630C">
        <w:rPr>
          <w:rFonts w:ascii="Times New Roman" w:hAnsi="Times New Roman"/>
          <w:sz w:val="24"/>
          <w:szCs w:val="24"/>
          <w:lang w:val="pl-PL"/>
        </w:rPr>
        <w:t>znanja</w:t>
      </w:r>
      <w:r w:rsidR="000805DC" w:rsidRPr="000805DC">
        <w:rPr>
          <w:rFonts w:ascii="Times New Roman" w:hAnsi="Times New Roman"/>
          <w:sz w:val="24"/>
          <w:szCs w:val="24"/>
        </w:rPr>
        <w:t xml:space="preserve">, </w:t>
      </w:r>
      <w:r w:rsidR="0083630C">
        <w:rPr>
          <w:rFonts w:ascii="Times New Roman" w:hAnsi="Times New Roman"/>
          <w:sz w:val="24"/>
          <w:szCs w:val="24"/>
          <w:lang w:val="pl-PL"/>
        </w:rPr>
        <w:t>vje</w:t>
      </w:r>
      <w:r w:rsidR="000805DC" w:rsidRPr="000805DC">
        <w:rPr>
          <w:rFonts w:ascii="Times New Roman" w:hAnsi="Times New Roman"/>
          <w:sz w:val="24"/>
          <w:szCs w:val="24"/>
        </w:rPr>
        <w:t>š</w:t>
      </w:r>
      <w:r w:rsidR="0083630C">
        <w:rPr>
          <w:rFonts w:ascii="Times New Roman" w:hAnsi="Times New Roman"/>
          <w:sz w:val="24"/>
          <w:szCs w:val="24"/>
          <w:lang w:val="pl-PL"/>
        </w:rPr>
        <w:t>tina</w:t>
      </w:r>
      <w:r w:rsidR="000805DC" w:rsidRPr="000805DC">
        <w:rPr>
          <w:rFonts w:ascii="Times New Roman" w:hAnsi="Times New Roman"/>
          <w:sz w:val="24"/>
          <w:szCs w:val="24"/>
        </w:rPr>
        <w:t xml:space="preserve"> </w:t>
      </w:r>
      <w:r w:rsidR="0083630C">
        <w:rPr>
          <w:rFonts w:ascii="Times New Roman" w:hAnsi="Times New Roman"/>
          <w:sz w:val="24"/>
          <w:szCs w:val="24"/>
          <w:lang w:val="pl-PL"/>
        </w:rPr>
        <w:t>i</w:t>
      </w:r>
      <w:r w:rsidR="000805DC" w:rsidRPr="000805DC">
        <w:rPr>
          <w:rFonts w:ascii="Times New Roman" w:hAnsi="Times New Roman"/>
          <w:sz w:val="24"/>
          <w:szCs w:val="24"/>
        </w:rPr>
        <w:t xml:space="preserve"> </w:t>
      </w:r>
      <w:r w:rsidR="0083630C">
        <w:rPr>
          <w:rFonts w:ascii="Times New Roman" w:hAnsi="Times New Roman"/>
          <w:sz w:val="24"/>
          <w:szCs w:val="24"/>
          <w:lang w:val="pl-PL"/>
        </w:rPr>
        <w:t>kompetencija</w:t>
      </w:r>
      <w:r w:rsidR="000805DC" w:rsidRPr="000805DC">
        <w:rPr>
          <w:rFonts w:ascii="Times New Roman" w:hAnsi="Times New Roman"/>
          <w:sz w:val="24"/>
          <w:szCs w:val="24"/>
        </w:rPr>
        <w:t xml:space="preserve">, </w:t>
      </w:r>
      <w:r w:rsidRPr="00802429">
        <w:rPr>
          <w:rFonts w:ascii="Times New Roman" w:hAnsi="Times New Roman"/>
          <w:sz w:val="24"/>
          <w:szCs w:val="24"/>
          <w:lang w:val="pl-PL"/>
        </w:rPr>
        <w:t>odnosno</w:t>
      </w:r>
      <w:r w:rsidR="000805DC" w:rsidRPr="000805DC">
        <w:rPr>
          <w:rFonts w:ascii="Times New Roman" w:hAnsi="Times New Roman"/>
          <w:sz w:val="24"/>
          <w:szCs w:val="24"/>
        </w:rPr>
        <w:t xml:space="preserve"> </w:t>
      </w:r>
      <w:r w:rsidR="0083630C">
        <w:rPr>
          <w:rFonts w:ascii="Times New Roman" w:hAnsi="Times New Roman"/>
          <w:sz w:val="24"/>
          <w:szCs w:val="24"/>
          <w:lang w:val="pl-PL"/>
        </w:rPr>
        <w:t>priznavanje</w:t>
      </w:r>
      <w:r w:rsidR="000805DC" w:rsidRPr="000805DC">
        <w:rPr>
          <w:rFonts w:ascii="Times New Roman" w:hAnsi="Times New Roman"/>
          <w:sz w:val="24"/>
          <w:szCs w:val="24"/>
        </w:rPr>
        <w:t xml:space="preserve"> </w:t>
      </w:r>
      <w:r w:rsidRPr="00802429">
        <w:rPr>
          <w:rFonts w:ascii="Times New Roman" w:hAnsi="Times New Roman"/>
          <w:sz w:val="24"/>
          <w:szCs w:val="24"/>
          <w:lang w:val="pl-PL"/>
        </w:rPr>
        <w:t>neformalno</w:t>
      </w:r>
      <w:r w:rsidR="000805DC" w:rsidRPr="000805DC">
        <w:rPr>
          <w:rFonts w:ascii="Times New Roman" w:hAnsi="Times New Roman"/>
          <w:sz w:val="24"/>
          <w:szCs w:val="24"/>
        </w:rPr>
        <w:t xml:space="preserve"> </w:t>
      </w:r>
      <w:r w:rsidRPr="00802429">
        <w:rPr>
          <w:rFonts w:ascii="Times New Roman" w:hAnsi="Times New Roman"/>
          <w:sz w:val="24"/>
          <w:szCs w:val="24"/>
          <w:lang w:val="pl-PL"/>
        </w:rPr>
        <w:t>i</w:t>
      </w:r>
      <w:r w:rsidR="000805DC" w:rsidRPr="000805DC">
        <w:rPr>
          <w:rFonts w:ascii="Times New Roman" w:hAnsi="Times New Roman"/>
          <w:sz w:val="24"/>
          <w:szCs w:val="24"/>
        </w:rPr>
        <w:t xml:space="preserve"> </w:t>
      </w:r>
      <w:r w:rsidRPr="00802429">
        <w:rPr>
          <w:rFonts w:ascii="Times New Roman" w:hAnsi="Times New Roman"/>
          <w:sz w:val="24"/>
          <w:szCs w:val="24"/>
          <w:lang w:val="pl-PL"/>
        </w:rPr>
        <w:t>informalno</w:t>
      </w:r>
      <w:r w:rsidR="000805DC" w:rsidRPr="000805DC">
        <w:rPr>
          <w:rFonts w:ascii="Times New Roman" w:hAnsi="Times New Roman"/>
          <w:sz w:val="24"/>
          <w:szCs w:val="24"/>
        </w:rPr>
        <w:t xml:space="preserve"> </w:t>
      </w:r>
      <w:r w:rsidRPr="00802429">
        <w:rPr>
          <w:rFonts w:ascii="Times New Roman" w:hAnsi="Times New Roman"/>
          <w:sz w:val="24"/>
          <w:szCs w:val="24"/>
          <w:lang w:val="pl-PL"/>
        </w:rPr>
        <w:t>ste</w:t>
      </w:r>
      <w:r w:rsidR="000805DC" w:rsidRPr="000805DC">
        <w:rPr>
          <w:rFonts w:ascii="Times New Roman" w:hAnsi="Times New Roman"/>
          <w:sz w:val="24"/>
          <w:szCs w:val="24"/>
        </w:rPr>
        <w:t>č</w:t>
      </w:r>
      <w:r w:rsidRPr="00802429">
        <w:rPr>
          <w:rFonts w:ascii="Times New Roman" w:hAnsi="Times New Roman"/>
          <w:sz w:val="24"/>
          <w:szCs w:val="24"/>
          <w:lang w:val="pl-PL"/>
        </w:rPr>
        <w:t>enih</w:t>
      </w:r>
      <w:r w:rsidR="000805DC" w:rsidRPr="000805DC">
        <w:rPr>
          <w:rFonts w:ascii="Times New Roman" w:hAnsi="Times New Roman"/>
          <w:sz w:val="24"/>
          <w:szCs w:val="24"/>
        </w:rPr>
        <w:t xml:space="preserve"> </w:t>
      </w:r>
      <w:r w:rsidRPr="00802429">
        <w:rPr>
          <w:rFonts w:ascii="Times New Roman" w:hAnsi="Times New Roman"/>
          <w:sz w:val="24"/>
          <w:szCs w:val="24"/>
          <w:lang w:val="pl-PL"/>
        </w:rPr>
        <w:t>znanja</w:t>
      </w:r>
      <w:r w:rsidR="000805DC" w:rsidRPr="000805DC">
        <w:rPr>
          <w:rFonts w:ascii="Times New Roman" w:hAnsi="Times New Roman"/>
          <w:sz w:val="24"/>
          <w:szCs w:val="24"/>
        </w:rPr>
        <w:t xml:space="preserve"> </w:t>
      </w:r>
      <w:r w:rsidRPr="00802429">
        <w:rPr>
          <w:rFonts w:ascii="Times New Roman" w:hAnsi="Times New Roman"/>
          <w:sz w:val="24"/>
          <w:szCs w:val="24"/>
          <w:lang w:val="pl-PL"/>
        </w:rPr>
        <w:t>u</w:t>
      </w:r>
      <w:r w:rsidR="000805DC" w:rsidRPr="000805DC">
        <w:rPr>
          <w:rFonts w:ascii="Times New Roman" w:hAnsi="Times New Roman"/>
          <w:sz w:val="24"/>
          <w:szCs w:val="24"/>
        </w:rPr>
        <w:t xml:space="preserve"> </w:t>
      </w:r>
      <w:r w:rsidRPr="00802429">
        <w:rPr>
          <w:rFonts w:ascii="Times New Roman" w:hAnsi="Times New Roman"/>
          <w:sz w:val="24"/>
          <w:szCs w:val="24"/>
          <w:lang w:val="pl-PL"/>
        </w:rPr>
        <w:t>nastavku</w:t>
      </w:r>
      <w:r w:rsidR="000805DC" w:rsidRPr="000805DC">
        <w:rPr>
          <w:rFonts w:ascii="Times New Roman" w:hAnsi="Times New Roman"/>
          <w:sz w:val="24"/>
          <w:szCs w:val="24"/>
        </w:rPr>
        <w:t xml:space="preserve"> </w:t>
      </w:r>
      <w:r w:rsidRPr="00802429">
        <w:rPr>
          <w:rFonts w:ascii="Times New Roman" w:hAnsi="Times New Roman"/>
          <w:sz w:val="24"/>
          <w:szCs w:val="24"/>
          <w:lang w:val="pl-PL"/>
        </w:rPr>
        <w:t>obrazovanja</w:t>
      </w:r>
      <w:r w:rsidR="000805DC" w:rsidRPr="000805DC">
        <w:rPr>
          <w:rFonts w:ascii="Times New Roman" w:hAnsi="Times New Roman"/>
          <w:sz w:val="24"/>
          <w:szCs w:val="24"/>
        </w:rPr>
        <w:t xml:space="preserve">. </w:t>
      </w:r>
    </w:p>
    <w:p w:rsidR="00B21EF9" w:rsidRPr="00802429" w:rsidRDefault="00B21EF9" w:rsidP="005A04CB">
      <w:pPr>
        <w:spacing w:after="0" w:line="240" w:lineRule="auto"/>
        <w:ind w:left="720"/>
        <w:contextualSpacing/>
        <w:jc w:val="both"/>
        <w:rPr>
          <w:rFonts w:ascii="Times New Roman" w:hAnsi="Times New Roman"/>
          <w:b/>
          <w:sz w:val="24"/>
          <w:szCs w:val="24"/>
          <w:lang w:val="pl-PL"/>
        </w:rPr>
      </w:pPr>
    </w:p>
    <w:p w:rsidR="00B21EF9" w:rsidRDefault="00B21EF9" w:rsidP="002E20CA">
      <w:pPr>
        <w:spacing w:after="0" w:line="240" w:lineRule="auto"/>
        <w:jc w:val="both"/>
        <w:rPr>
          <w:rFonts w:ascii="Times New Roman" w:hAnsi="Times New Roman"/>
          <w:sz w:val="24"/>
          <w:szCs w:val="24"/>
          <w:lang w:val="pl-PL"/>
        </w:rPr>
      </w:pPr>
      <w:r w:rsidRPr="00802429">
        <w:rPr>
          <w:rFonts w:ascii="Times New Roman" w:hAnsi="Times New Roman"/>
          <w:sz w:val="24"/>
          <w:szCs w:val="24"/>
          <w:lang w:val="pl-PL"/>
        </w:rPr>
        <w:t>Takođe, potrebno je obogaćivanje obrazovne ponude programima različitog tipa, kako bi obrazovanje i učenje bilo dostupno što većem broju građana</w:t>
      </w:r>
      <w:r w:rsidR="002E20CA">
        <w:rPr>
          <w:rFonts w:ascii="Times New Roman" w:hAnsi="Times New Roman"/>
          <w:sz w:val="24"/>
          <w:szCs w:val="24"/>
          <w:lang w:val="pl-PL"/>
        </w:rPr>
        <w:t>.</w:t>
      </w:r>
    </w:p>
    <w:p w:rsidR="002E20CA" w:rsidRPr="00802429" w:rsidRDefault="002E20CA" w:rsidP="002E20CA">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Kao podrška cjeloživotnom učenju, obrazovni programi stručnog obrazovanja treba da se u većoj mjeri modularizuju, što osipnicima iz sistema omogućava da steknu određenu stručnu kvalifikaciju ukoliko su uspješno završili module propisane programom. To isto je moguće i odraslim polaznicima, koji mogu do diplome i kvalifikacije nivoa doći postupno, završetkom pojedinih modula.</w:t>
      </w:r>
      <w:r w:rsidR="0083630C" w:rsidRPr="0083630C">
        <w:rPr>
          <w:rFonts w:ascii="Times New Roman" w:hAnsi="Times New Roman"/>
          <w:sz w:val="24"/>
          <w:szCs w:val="24"/>
        </w:rPr>
        <w:t xml:space="preserve"> </w:t>
      </w:r>
      <w:r w:rsidR="0083630C">
        <w:rPr>
          <w:rFonts w:ascii="Times New Roman" w:hAnsi="Times New Roman"/>
          <w:sz w:val="24"/>
          <w:szCs w:val="24"/>
        </w:rPr>
        <w:t>Takođe je neophodno izvršiti i modularizaciju programa obrazovanja, u cilju postupnog sticanja stručne kvalifikacije odnosno sticanja dijela stručne kvalifikacije</w:t>
      </w:r>
      <w:r w:rsidR="006A3A44">
        <w:rPr>
          <w:rFonts w:ascii="Times New Roman" w:hAnsi="Times New Roman"/>
          <w:sz w:val="24"/>
          <w:szCs w:val="24"/>
        </w:rPr>
        <w:t>.</w:t>
      </w:r>
    </w:p>
    <w:p w:rsidR="00B21EF9" w:rsidRPr="00802429" w:rsidRDefault="00B21EF9" w:rsidP="005A04CB">
      <w:pPr>
        <w:spacing w:after="0"/>
        <w:jc w:val="both"/>
        <w:rPr>
          <w:rFonts w:ascii="Times New Roman" w:hAnsi="Times New Roman"/>
          <w:sz w:val="24"/>
          <w:szCs w:val="24"/>
        </w:rPr>
      </w:pPr>
    </w:p>
    <w:p w:rsidR="00B21EF9" w:rsidRPr="00E87CD8" w:rsidRDefault="00B21EF9" w:rsidP="00E87CD8">
      <w:pPr>
        <w:pStyle w:val="Heading3"/>
      </w:pPr>
      <w:bookmarkStart w:id="29" w:name="_Toc435454493"/>
      <w:r w:rsidRPr="00E87CD8">
        <w:t>Cilj 2:</w:t>
      </w:r>
      <w:r w:rsidR="00E87CD8" w:rsidRPr="00E87CD8">
        <w:t xml:space="preserve"> </w:t>
      </w:r>
      <w:r w:rsidRPr="00E87CD8">
        <w:t>Unapređenje kvaliteta obrazovanja na svim nivoima i usaglašavanje sa potrebama tržišta rada</w:t>
      </w:r>
      <w:bookmarkEnd w:id="29"/>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line="240" w:lineRule="auto"/>
        <w:jc w:val="both"/>
        <w:rPr>
          <w:rFonts w:ascii="Times New Roman" w:hAnsi="Times New Roman"/>
          <w:bCs/>
          <w:sz w:val="24"/>
          <w:szCs w:val="24"/>
        </w:rPr>
      </w:pPr>
    </w:p>
    <w:p w:rsidR="00B21EF9" w:rsidRPr="00802429" w:rsidRDefault="00B21EF9" w:rsidP="005A04CB">
      <w:pPr>
        <w:spacing w:after="0" w:line="240" w:lineRule="auto"/>
        <w:jc w:val="both"/>
        <w:rPr>
          <w:rFonts w:ascii="Times New Roman" w:hAnsi="Times New Roman"/>
          <w:bCs/>
          <w:sz w:val="24"/>
          <w:szCs w:val="24"/>
        </w:rPr>
      </w:pPr>
      <w:r w:rsidRPr="00802429">
        <w:rPr>
          <w:rFonts w:ascii="Times New Roman" w:hAnsi="Times New Roman"/>
          <w:bCs/>
          <w:sz w:val="24"/>
          <w:szCs w:val="24"/>
        </w:rPr>
        <w:t>U prethodnom p</w:t>
      </w:r>
      <w:r w:rsidR="00905EFE">
        <w:rPr>
          <w:rFonts w:ascii="Times New Roman" w:hAnsi="Times New Roman"/>
          <w:bCs/>
          <w:sz w:val="24"/>
          <w:szCs w:val="24"/>
        </w:rPr>
        <w:t>eriodu u Crnoj Gori došlo je do</w:t>
      </w:r>
      <w:r w:rsidRPr="00802429">
        <w:rPr>
          <w:rFonts w:ascii="Times New Roman" w:hAnsi="Times New Roman"/>
          <w:bCs/>
          <w:sz w:val="24"/>
          <w:szCs w:val="24"/>
        </w:rPr>
        <w:t xml:space="preserve"> prestrukturiranja privrede i do stranih ulaganja u određene sektore, ali i novog tehnološkog okruženja i razvoja informacionih tehnologija. S druge strane, postoji tendencija porasta interesovanja učenika i studenata za upis na programe koji pripadaju društvenim naukama i smanjenje interesovanja za upis na programe ko</w:t>
      </w:r>
      <w:r w:rsidR="00602CC7">
        <w:rPr>
          <w:rFonts w:ascii="Times New Roman" w:hAnsi="Times New Roman"/>
          <w:bCs/>
          <w:sz w:val="24"/>
          <w:szCs w:val="24"/>
        </w:rPr>
        <w:t>je traži tržište rada. Sve veći</w:t>
      </w:r>
      <w:r w:rsidRPr="00802429">
        <w:rPr>
          <w:rFonts w:ascii="Times New Roman" w:hAnsi="Times New Roman"/>
          <w:bCs/>
          <w:sz w:val="24"/>
          <w:szCs w:val="24"/>
        </w:rPr>
        <w:t xml:space="preserve"> broj učenika koji završavaju obrazovne programe u četvorogodišnjem trajanju nastavljaju visokoškolsko obrazovanje. Poslodavci sve češće ukazuju na neusklađenost vještina i znanja koje učenici stiču u obrazovnom sistemu sa onim koje traži tržište rada. Podaci Zavoda za zapošljavanje pokazuju da postoji  strukturna neusklađenost ponude i tražnje u dva osnovna oblika: postoji tražnja za radnom snagom određenih kvalifikacija, koje na tržištu rada nema i na tržištu rada postoji ponuda lica sa kvalifikacijama, ali ne postoji dovoljna tražnja za radnom snagom tih kvalifikacija.</w:t>
      </w:r>
    </w:p>
    <w:p w:rsidR="00B21EF9" w:rsidRPr="00802429" w:rsidRDefault="00B21EF9" w:rsidP="005A04CB">
      <w:pPr>
        <w:spacing w:after="0" w:line="240" w:lineRule="auto"/>
        <w:jc w:val="both"/>
        <w:rPr>
          <w:rFonts w:ascii="Times New Roman" w:hAnsi="Times New Roman"/>
          <w:bCs/>
          <w:sz w:val="24"/>
          <w:szCs w:val="24"/>
        </w:rPr>
      </w:pPr>
    </w:p>
    <w:p w:rsidR="00B21EF9" w:rsidRPr="00802429" w:rsidRDefault="00B21EF9" w:rsidP="005A04CB">
      <w:pPr>
        <w:spacing w:after="0" w:line="240" w:lineRule="auto"/>
        <w:jc w:val="both"/>
        <w:rPr>
          <w:rFonts w:ascii="Times New Roman" w:hAnsi="Times New Roman"/>
          <w:bCs/>
          <w:sz w:val="24"/>
          <w:szCs w:val="24"/>
        </w:rPr>
      </w:pPr>
      <w:r w:rsidRPr="00802429">
        <w:rPr>
          <w:rFonts w:ascii="Times New Roman" w:hAnsi="Times New Roman"/>
          <w:bCs/>
          <w:sz w:val="24"/>
          <w:szCs w:val="24"/>
        </w:rPr>
        <w:t>Pred stručnim obrazovanjem u Cr</w:t>
      </w:r>
      <w:r w:rsidR="00950892">
        <w:rPr>
          <w:rFonts w:ascii="Times New Roman" w:hAnsi="Times New Roman"/>
          <w:bCs/>
          <w:sz w:val="24"/>
          <w:szCs w:val="24"/>
        </w:rPr>
        <w:t>n</w:t>
      </w:r>
      <w:r w:rsidRPr="00802429">
        <w:rPr>
          <w:rFonts w:ascii="Times New Roman" w:hAnsi="Times New Roman"/>
          <w:bCs/>
          <w:sz w:val="24"/>
          <w:szCs w:val="24"/>
        </w:rPr>
        <w:t xml:space="preserve">oj Gori su izazovi: kako prevazići strukturnu neusklađenost ponude i potražnje radne snage i kako obezbijediti kvalitet, privlačnost i efikasnost u obrazovanju. Da bi obrazovanje na pravi način i pravovremeno odgovorilo na potrebe tržišta rada i društva u cjelini, ključni korak je predviđanje potreba za vještinama i kvalifikacijama. U skladu sa utvrđenim potrebama za vještinama, obrazovni sistem treba da omogući pojedincu, kroz inicijalno i kontinuirano obrazovanje i odgovarajuću obrazovnu ponudu, sticanje neophodnih vještina i sticanje ključnih kompetencija.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 xml:space="preserve">Ankete o radnoj snazi pokazuju da od ukupnog broja zaposlenih u Crnoj Gori oko 28% ima više ili visoko obrazovanje, dok 65% zaposlenih ima srednje obrazovanje. Gotovo polovina osoba sa visokim obrazovanjem rade kao stručnjaci (48%), a približno svaki četvrti kao stručni saradnik ili tehničar (25%). Svega 3% visokoobrazovanih radi na poslovima za koje su prekvalifikovani (zanatlije, kvalifikovani radnici i sl.). Lica sa završenim srednjim obrazovanjem uglavnom su zaposlena u uslužnim djelatnostima i trgovini (35%),  u svojstvu stručnih saradnika ili tehničara (15%) ili kao službenici (14%). Lica bez stručnih kvalifikacija (nezavršena ili završena osnovna škola) zaposlena su na jednostavnijim poslovima (29%) ili na pozicijama kvalifikovanog radnika u poljoprivredi i ribarstvu (29%). Evidentno je da se </w:t>
      </w:r>
      <w:r w:rsidRPr="00802429">
        <w:rPr>
          <w:rFonts w:ascii="Times New Roman" w:hAnsi="Times New Roman"/>
          <w:sz w:val="24"/>
          <w:szCs w:val="24"/>
        </w:rPr>
        <w:lastRenderedPageBreak/>
        <w:t xml:space="preserve">najveći rast nezaposlenih lica bilježi među onima sa stečenim  visokim  obrazovanjem, odnosno sa kvalifikacijama koje se smještaju u VI, VII1, VII2 i VIII referentni nivo Nacionalnog okvira kvalifikacija.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Upisnu politiku u Crnoj Gori karakteriše nedostatak kvalitetnije saradnje između ključnih aktera, odnosno samih ustanova visokog obrazovanja, ministarstava, Zavoda za zapošljavanje, poslodavaca i drugih relevantnih institucija. Postojeća saradnja je više formalna, a ne suš</w:t>
      </w:r>
      <w:r w:rsidR="00950892">
        <w:rPr>
          <w:rFonts w:ascii="Times New Roman" w:hAnsi="Times New Roman"/>
          <w:sz w:val="24"/>
          <w:szCs w:val="24"/>
        </w:rPr>
        <w:t>t</w:t>
      </w:r>
      <w:r w:rsidRPr="00802429">
        <w:rPr>
          <w:rFonts w:ascii="Times New Roman" w:hAnsi="Times New Roman"/>
          <w:sz w:val="24"/>
          <w:szCs w:val="24"/>
        </w:rPr>
        <w:t xml:space="preserve">inska. U sektorima poljoprivrede, elektronike, energetike, dijelom turizma i građevinarstva – još uvijek nisu uspostavljeni mehanizmi za popularizaciju studijskih programa iz ovih oblasti.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98252F">
      <w:pPr>
        <w:spacing w:after="0" w:line="240" w:lineRule="auto"/>
        <w:jc w:val="both"/>
        <w:rPr>
          <w:rFonts w:ascii="Times New Roman" w:hAnsi="Times New Roman"/>
          <w:sz w:val="24"/>
          <w:szCs w:val="24"/>
        </w:rPr>
      </w:pPr>
      <w:r w:rsidRPr="00802429">
        <w:rPr>
          <w:rFonts w:ascii="Times New Roman" w:hAnsi="Times New Roman"/>
          <w:sz w:val="24"/>
          <w:szCs w:val="24"/>
        </w:rPr>
        <w:t xml:space="preserve">Nedostaje veća uključenost poslodavaca u procesu donošenja studijskih programa i ne poklanja se dovoljno pažnje važnosti praktičnog obrazovanja, koje studenti treba da stiču u saradnji sa poslodavcima. Anketa poslodavaca 2013/2014, sprovedena od strane Zavoda za zapošljavanje, pokazala je da u Crnoj Gori čak trećina  poslodavaca smatra da je najveća mana sistema visokog obrazovanja nedostatak praktične nastave. Takođe, najveći broj poslodavaca smatra da je neophodno povećati broj predmeta koji nude praktično znanje. Trenutno, veoma mali broj ustanova visokog obrazovanja obezbjeđuje studentima praktičnu i kreativnu nastavu, što za posljedicu ima nedovoljne kapacitete studenata da stečeno znanje koriste za rješavanje praktičnih problema u privredi i za započinjanje sopstvenog biznisa.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Dinamične promjene na tržištu rada još uvijek adekvatno ne prati razvoj tzv. mekih vještina, bilo da se radi o formalnom ili neformalnom obrazovanju. Nedostaju istraživanja u svrhu boljeg predviđanja potreba za vještinama na tržištu rad</w:t>
      </w:r>
      <w:r w:rsidR="00293745">
        <w:rPr>
          <w:rFonts w:ascii="Times New Roman" w:hAnsi="Times New Roman"/>
          <w:sz w:val="24"/>
          <w:szCs w:val="24"/>
        </w:rPr>
        <w:t>a</w:t>
      </w:r>
      <w:r w:rsidRPr="00802429">
        <w:rPr>
          <w:rFonts w:ascii="Times New Roman" w:hAnsi="Times New Roman"/>
          <w:sz w:val="24"/>
          <w:szCs w:val="24"/>
        </w:rPr>
        <w:t xml:space="preserve"> i, shodno tome, razvoj kvalifikacija baziranih na ishodima učenja i podsticaji za cjeloživotno učenje kroz dodatne obuke. </w:t>
      </w:r>
    </w:p>
    <w:p w:rsidR="00114319" w:rsidRDefault="00114319" w:rsidP="005A04CB">
      <w:pPr>
        <w:spacing w:after="0" w:line="240" w:lineRule="auto"/>
        <w:jc w:val="both"/>
        <w:rPr>
          <w:rFonts w:ascii="Times New Roman" w:hAnsi="Times New Roman"/>
          <w:bCs/>
          <w:i/>
          <w:sz w:val="24"/>
          <w:szCs w:val="24"/>
        </w:rPr>
      </w:pPr>
    </w:p>
    <w:p w:rsidR="00B21EF9" w:rsidRPr="00091DB8" w:rsidRDefault="00B21EF9" w:rsidP="005A04CB">
      <w:pPr>
        <w:spacing w:after="0" w:line="240" w:lineRule="auto"/>
        <w:jc w:val="both"/>
        <w:rPr>
          <w:rFonts w:ascii="Times New Roman" w:hAnsi="Times New Roman"/>
          <w:bCs/>
          <w:i/>
          <w:sz w:val="24"/>
          <w:szCs w:val="24"/>
        </w:rPr>
      </w:pPr>
      <w:r w:rsidRPr="00091DB8">
        <w:rPr>
          <w:rFonts w:ascii="Times New Roman" w:hAnsi="Times New Roman"/>
          <w:bCs/>
          <w:i/>
          <w:sz w:val="24"/>
          <w:szCs w:val="24"/>
        </w:rPr>
        <w:t>Način implementacije strateškog cilja</w:t>
      </w:r>
    </w:p>
    <w:p w:rsidR="00B21EF9" w:rsidRDefault="00B21EF9" w:rsidP="005A04CB">
      <w:pPr>
        <w:spacing w:after="0" w:line="240" w:lineRule="auto"/>
        <w:jc w:val="both"/>
        <w:rPr>
          <w:rFonts w:ascii="Times New Roman" w:hAnsi="Times New Roman"/>
          <w:b/>
          <w:sz w:val="24"/>
          <w:szCs w:val="24"/>
        </w:rPr>
      </w:pPr>
    </w:p>
    <w:p w:rsidR="00346BE9" w:rsidRDefault="00346BE9" w:rsidP="00346BE9">
      <w:pPr>
        <w:spacing w:after="0"/>
        <w:jc w:val="both"/>
        <w:rPr>
          <w:rFonts w:ascii="Times New Roman" w:hAnsi="Times New Roman"/>
          <w:sz w:val="24"/>
          <w:szCs w:val="24"/>
        </w:rPr>
      </w:pPr>
      <w:r w:rsidRPr="00802429">
        <w:rPr>
          <w:rFonts w:ascii="Times New Roman" w:hAnsi="Times New Roman"/>
          <w:sz w:val="24"/>
          <w:szCs w:val="24"/>
        </w:rPr>
        <w:t>Da bi se ostvarila veća usklađenost sistema obrazovanja sa potrebama tržišta rada potrebno je uskladiti obrazovne programe sa Nacionalnim okvirom kvalifikacija, uspostaviti sistem praćenja lica nakon završetka obrazovnog, odnosno studijskog programa</w:t>
      </w:r>
      <w:r w:rsidRPr="000363EF">
        <w:rPr>
          <w:rFonts w:ascii="Times New Roman" w:hAnsi="Times New Roman"/>
          <w:sz w:val="24"/>
          <w:szCs w:val="24"/>
        </w:rPr>
        <w:t xml:space="preserve"> </w:t>
      </w:r>
      <w:r>
        <w:rPr>
          <w:rFonts w:ascii="Times New Roman" w:hAnsi="Times New Roman"/>
          <w:sz w:val="24"/>
          <w:szCs w:val="24"/>
        </w:rPr>
        <w:t>kao i programa obrazovanja</w:t>
      </w:r>
      <w:r w:rsidRPr="00802429">
        <w:rPr>
          <w:rFonts w:ascii="Times New Roman" w:hAnsi="Times New Roman"/>
          <w:sz w:val="24"/>
          <w:szCs w:val="24"/>
        </w:rPr>
        <w:t xml:space="preserve"> i promovisati obrazovanje i osposobljavanje za deficitarna zanimanja na tržištu rada.</w:t>
      </w:r>
    </w:p>
    <w:p w:rsidR="00346BE9" w:rsidRDefault="00346BE9" w:rsidP="00346BE9">
      <w:pPr>
        <w:spacing w:after="0"/>
        <w:jc w:val="both"/>
        <w:rPr>
          <w:rFonts w:ascii="Times New Roman" w:hAnsi="Times New Roman"/>
          <w:sz w:val="24"/>
          <w:szCs w:val="24"/>
        </w:rPr>
      </w:pPr>
    </w:p>
    <w:p w:rsidR="0067111A" w:rsidRDefault="007B40B1" w:rsidP="005A04CB">
      <w:pPr>
        <w:spacing w:after="0" w:line="240" w:lineRule="auto"/>
        <w:jc w:val="both"/>
        <w:rPr>
          <w:rFonts w:ascii="Times New Roman" w:hAnsi="Times New Roman"/>
          <w:sz w:val="24"/>
          <w:szCs w:val="24"/>
        </w:rPr>
      </w:pPr>
      <w:r>
        <w:rPr>
          <w:rFonts w:ascii="Times New Roman" w:hAnsi="Times New Roman"/>
          <w:sz w:val="24"/>
          <w:szCs w:val="24"/>
        </w:rPr>
        <w:t>O</w:t>
      </w:r>
      <w:r w:rsidR="00B21EF9" w:rsidRPr="00802429">
        <w:rPr>
          <w:rFonts w:ascii="Times New Roman" w:hAnsi="Times New Roman"/>
          <w:sz w:val="24"/>
          <w:szCs w:val="24"/>
        </w:rPr>
        <w:t>bezbjeđenj</w:t>
      </w:r>
      <w:r>
        <w:rPr>
          <w:rFonts w:ascii="Times New Roman" w:hAnsi="Times New Roman"/>
          <w:sz w:val="24"/>
          <w:szCs w:val="24"/>
        </w:rPr>
        <w:t>e</w:t>
      </w:r>
      <w:r w:rsidR="00B21EF9" w:rsidRPr="00802429">
        <w:rPr>
          <w:rFonts w:ascii="Times New Roman" w:hAnsi="Times New Roman"/>
          <w:sz w:val="24"/>
          <w:szCs w:val="24"/>
        </w:rPr>
        <w:t xml:space="preserve"> kvaliteta mora biti praćen</w:t>
      </w:r>
      <w:r>
        <w:rPr>
          <w:rFonts w:ascii="Times New Roman" w:hAnsi="Times New Roman"/>
          <w:sz w:val="24"/>
          <w:szCs w:val="24"/>
        </w:rPr>
        <w:t>o</w:t>
      </w:r>
      <w:r w:rsidR="00B21EF9" w:rsidRPr="00802429">
        <w:rPr>
          <w:rFonts w:ascii="Times New Roman" w:hAnsi="Times New Roman"/>
          <w:sz w:val="24"/>
          <w:szCs w:val="24"/>
        </w:rPr>
        <w:t xml:space="preserve"> daljim usavršavanjem i edukacijom svih zaposlenih u obrazovnoj djelatnosti, kako bi bili sposobni da prate i primjenjuju evropske standarde u obezbjeđenju kvaliteta, uz uspostavljanje dobrih mehanizama rukovođenja, administracije i obrazovne statistike. </w:t>
      </w:r>
    </w:p>
    <w:p w:rsidR="00B21EF9" w:rsidRPr="00802429" w:rsidRDefault="00B21EF9" w:rsidP="005A04CB">
      <w:pPr>
        <w:spacing w:after="0" w:line="240" w:lineRule="auto"/>
        <w:contextualSpacing/>
        <w:jc w:val="both"/>
        <w:rPr>
          <w:rFonts w:ascii="Times New Roman" w:hAnsi="Times New Roman"/>
          <w:sz w:val="24"/>
          <w:szCs w:val="24"/>
        </w:rPr>
      </w:pPr>
    </w:p>
    <w:p w:rsidR="00B21EF9" w:rsidRPr="00802429" w:rsidRDefault="00B21EF9" w:rsidP="00AD1946">
      <w:pPr>
        <w:spacing w:after="0" w:line="240" w:lineRule="auto"/>
        <w:jc w:val="both"/>
        <w:rPr>
          <w:rFonts w:ascii="Times New Roman" w:hAnsi="Times New Roman"/>
          <w:color w:val="000000"/>
          <w:sz w:val="24"/>
          <w:szCs w:val="24"/>
        </w:rPr>
      </w:pPr>
      <w:r w:rsidRPr="00802429">
        <w:rPr>
          <w:rFonts w:ascii="Times New Roman" w:hAnsi="Times New Roman"/>
          <w:color w:val="000000"/>
          <w:sz w:val="24"/>
          <w:szCs w:val="24"/>
        </w:rPr>
        <w:t xml:space="preserve">U svrhu jačanje sistema kontinuiranog monitoringa i evaluacije kvaliteta obrazovnog sistema </w:t>
      </w:r>
      <w:r w:rsidR="00AD1946">
        <w:rPr>
          <w:rFonts w:ascii="Times New Roman" w:hAnsi="Times New Roman"/>
          <w:color w:val="000000"/>
          <w:sz w:val="24"/>
          <w:szCs w:val="24"/>
        </w:rPr>
        <w:t>evidentna je potreba za u</w:t>
      </w:r>
      <w:r w:rsidRPr="00802429">
        <w:rPr>
          <w:rFonts w:ascii="Times New Roman" w:hAnsi="Times New Roman"/>
          <w:sz w:val="24"/>
          <w:szCs w:val="24"/>
        </w:rPr>
        <w:t>napređ</w:t>
      </w:r>
      <w:r w:rsidR="00AD1946">
        <w:rPr>
          <w:rFonts w:ascii="Times New Roman" w:hAnsi="Times New Roman"/>
          <w:sz w:val="24"/>
          <w:szCs w:val="24"/>
        </w:rPr>
        <w:t>enjem</w:t>
      </w:r>
      <w:r w:rsidRPr="00802429">
        <w:rPr>
          <w:rFonts w:ascii="Times New Roman" w:hAnsi="Times New Roman"/>
          <w:color w:val="000000"/>
          <w:sz w:val="24"/>
          <w:szCs w:val="24"/>
        </w:rPr>
        <w:t xml:space="preserve"> kapaciteta institucija </w:t>
      </w:r>
      <w:r w:rsidRPr="00802429">
        <w:rPr>
          <w:rFonts w:ascii="Times New Roman" w:hAnsi="Times New Roman"/>
          <w:sz w:val="24"/>
          <w:szCs w:val="24"/>
        </w:rPr>
        <w:t xml:space="preserve">i pojedinaca </w:t>
      </w:r>
      <w:r w:rsidRPr="00802429">
        <w:rPr>
          <w:rFonts w:ascii="Times New Roman" w:hAnsi="Times New Roman"/>
          <w:color w:val="000000"/>
          <w:sz w:val="24"/>
          <w:szCs w:val="24"/>
        </w:rPr>
        <w:t>koji učestvuju u procesu eksternog ocjenjivanja kvalite</w:t>
      </w:r>
      <w:r w:rsidR="00AD1946">
        <w:rPr>
          <w:rFonts w:ascii="Times New Roman" w:hAnsi="Times New Roman"/>
          <w:color w:val="000000"/>
          <w:sz w:val="24"/>
          <w:szCs w:val="24"/>
        </w:rPr>
        <w:t xml:space="preserve">ta, do nivoa visokog obrazovanja ali i </w:t>
      </w:r>
      <w:r w:rsidR="00AD1946">
        <w:rPr>
          <w:rFonts w:ascii="Times New Roman" w:hAnsi="Times New Roman"/>
          <w:sz w:val="24"/>
          <w:szCs w:val="24"/>
        </w:rPr>
        <w:t>unapređenjem</w:t>
      </w:r>
      <w:r w:rsidRPr="00802429">
        <w:rPr>
          <w:rFonts w:ascii="Times New Roman" w:hAnsi="Times New Roman"/>
          <w:color w:val="000000"/>
          <w:sz w:val="24"/>
          <w:szCs w:val="24"/>
        </w:rPr>
        <w:t xml:space="preserve"> kapaciteta institucija za sprovođenje mehanizama internog </w:t>
      </w:r>
      <w:r w:rsidRPr="00802429">
        <w:rPr>
          <w:rFonts w:ascii="Times New Roman" w:hAnsi="Times New Roman"/>
          <w:sz w:val="24"/>
          <w:szCs w:val="24"/>
        </w:rPr>
        <w:t>obezbjeđenja</w:t>
      </w:r>
      <w:r w:rsidRPr="00802429">
        <w:rPr>
          <w:rFonts w:ascii="Times New Roman" w:hAnsi="Times New Roman"/>
          <w:color w:val="000000"/>
          <w:sz w:val="24"/>
          <w:szCs w:val="24"/>
        </w:rPr>
        <w:t xml:space="preserve"> kvaliteta i sprovođenje revizije dokumenata u skladu sa kojima se realizuju procedure interne i eksterne evaluacije</w:t>
      </w:r>
      <w:r w:rsidR="00AD1946">
        <w:rPr>
          <w:rFonts w:ascii="Times New Roman" w:hAnsi="Times New Roman"/>
          <w:color w:val="000000"/>
          <w:sz w:val="24"/>
          <w:szCs w:val="24"/>
        </w:rPr>
        <w:t>. Takođe, a</w:t>
      </w:r>
      <w:r w:rsidRPr="00802429">
        <w:rPr>
          <w:rFonts w:ascii="Times New Roman" w:hAnsi="Times New Roman"/>
          <w:color w:val="000000"/>
          <w:sz w:val="24"/>
          <w:szCs w:val="24"/>
        </w:rPr>
        <w:t>naliza korisnosti, funkcionalnosti i primjenjivosti sadržaja obrazovnih programa</w:t>
      </w:r>
      <w:r w:rsidR="000363EF">
        <w:rPr>
          <w:rFonts w:ascii="Times New Roman" w:hAnsi="Times New Roman"/>
          <w:color w:val="000000"/>
          <w:sz w:val="24"/>
          <w:szCs w:val="24"/>
        </w:rPr>
        <w:t xml:space="preserve"> i programa obrazovanja</w:t>
      </w:r>
      <w:r w:rsidR="00AD1946">
        <w:rPr>
          <w:rFonts w:ascii="Times New Roman" w:hAnsi="Times New Roman"/>
          <w:color w:val="000000"/>
          <w:sz w:val="24"/>
          <w:szCs w:val="24"/>
        </w:rPr>
        <w:t>, predstavljaće dio pomenutog procesa jačanja monitoringa i evaluacije.</w:t>
      </w:r>
    </w:p>
    <w:p w:rsidR="00B21EF9" w:rsidRDefault="00B21EF9" w:rsidP="005A04CB">
      <w:pPr>
        <w:spacing w:after="0" w:line="240" w:lineRule="auto"/>
        <w:jc w:val="both"/>
        <w:rPr>
          <w:rFonts w:ascii="Times New Roman" w:hAnsi="Times New Roman"/>
          <w:sz w:val="24"/>
          <w:szCs w:val="24"/>
        </w:rPr>
      </w:pPr>
    </w:p>
    <w:p w:rsidR="00B21EF9" w:rsidRPr="001C07E6" w:rsidRDefault="001C07E6" w:rsidP="001C07E6">
      <w:pPr>
        <w:spacing w:after="0" w:line="240" w:lineRule="auto"/>
        <w:jc w:val="both"/>
        <w:rPr>
          <w:rFonts w:ascii="Times New Roman" w:hAnsi="Times New Roman"/>
          <w:sz w:val="24"/>
          <w:szCs w:val="24"/>
          <w:lang w:val="hr-HR"/>
        </w:rPr>
      </w:pPr>
      <w:r>
        <w:rPr>
          <w:rFonts w:ascii="Times New Roman" w:hAnsi="Times New Roman"/>
          <w:sz w:val="24"/>
          <w:szCs w:val="24"/>
          <w:lang w:val="hr-HR"/>
        </w:rPr>
        <w:t>Kada je riječ o razvoju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kvalifikacija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baziranih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ishodima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č</w:t>
      </w:r>
      <w:r w:rsidR="000805DC" w:rsidRPr="000805DC">
        <w:rPr>
          <w:rFonts w:ascii="Times New Roman" w:hAnsi="Times New Roman"/>
          <w:sz w:val="24"/>
          <w:szCs w:val="24"/>
          <w:lang w:val="hr-HR"/>
        </w:rPr>
        <w:t>enja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adekvatnih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potrebama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tr</w:t>
      </w:r>
      <w:r w:rsidR="00B21EF9" w:rsidRPr="00802429">
        <w:rPr>
          <w:rFonts w:ascii="Times New Roman" w:hAnsi="Times New Roman"/>
          <w:sz w:val="24"/>
          <w:szCs w:val="24"/>
          <w:lang w:val="hr-HR"/>
        </w:rPr>
        <w:t>ž</w:t>
      </w:r>
      <w:r w:rsidR="000805DC" w:rsidRPr="000805DC">
        <w:rPr>
          <w:rFonts w:ascii="Times New Roman" w:hAnsi="Times New Roman"/>
          <w:sz w:val="24"/>
          <w:szCs w:val="24"/>
          <w:lang w:val="hr-HR"/>
        </w:rPr>
        <w:t>i</w:t>
      </w:r>
      <w:r w:rsidR="00B21EF9" w:rsidRPr="00802429">
        <w:rPr>
          <w:rFonts w:ascii="Times New Roman" w:hAnsi="Times New Roman"/>
          <w:sz w:val="24"/>
          <w:szCs w:val="24"/>
          <w:lang w:val="hr-HR"/>
        </w:rPr>
        <w:t>š</w:t>
      </w:r>
      <w:r w:rsidR="000805DC" w:rsidRPr="000805DC">
        <w:rPr>
          <w:rFonts w:ascii="Times New Roman" w:hAnsi="Times New Roman"/>
          <w:sz w:val="24"/>
          <w:szCs w:val="24"/>
          <w:lang w:val="hr-HR"/>
        </w:rPr>
        <w:t>ta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rada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skladu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principima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Nacionalnog</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okvira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kvalifikacija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potrebno</w:t>
      </w:r>
      <w:r w:rsidR="00B21EF9" w:rsidRPr="00802429">
        <w:rPr>
          <w:rFonts w:ascii="Times New Roman" w:hAnsi="Times New Roman"/>
          <w:sz w:val="24"/>
          <w:szCs w:val="24"/>
          <w:lang w:val="hr-HR"/>
        </w:rPr>
        <w:t xml:space="preserve"> </w:t>
      </w:r>
      <w:r>
        <w:rPr>
          <w:rFonts w:ascii="Times New Roman" w:hAnsi="Times New Roman"/>
          <w:sz w:val="24"/>
          <w:szCs w:val="24"/>
          <w:lang w:val="hr-HR"/>
        </w:rPr>
        <w:t>oj</w:t>
      </w:r>
      <w:r w:rsidR="000805DC" w:rsidRPr="000805DC">
        <w:rPr>
          <w:rFonts w:ascii="Times New Roman" w:hAnsi="Times New Roman"/>
          <w:sz w:val="24"/>
          <w:szCs w:val="24"/>
          <w:lang w:val="hr-HR"/>
        </w:rPr>
        <w:t>a</w:t>
      </w:r>
      <w:r w:rsidR="00B21EF9" w:rsidRPr="00802429">
        <w:rPr>
          <w:rFonts w:ascii="Times New Roman" w:hAnsi="Times New Roman"/>
          <w:sz w:val="24"/>
          <w:szCs w:val="24"/>
          <w:lang w:val="hr-HR"/>
        </w:rPr>
        <w:t>č</w:t>
      </w:r>
      <w:r w:rsidR="000805DC" w:rsidRPr="000805DC">
        <w:rPr>
          <w:rFonts w:ascii="Times New Roman" w:hAnsi="Times New Roman"/>
          <w:sz w:val="24"/>
          <w:szCs w:val="24"/>
          <w:lang w:val="hr-HR"/>
        </w:rPr>
        <w:t>a</w:t>
      </w:r>
      <w:r>
        <w:rPr>
          <w:rFonts w:ascii="Times New Roman" w:hAnsi="Times New Roman"/>
          <w:sz w:val="24"/>
          <w:szCs w:val="24"/>
          <w:lang w:val="hr-HR"/>
        </w:rPr>
        <w:t>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lastRenderedPageBreak/>
        <w:t>kapacitet</w:t>
      </w:r>
      <w:r>
        <w:rPr>
          <w:rFonts w:ascii="Times New Roman" w:hAnsi="Times New Roman"/>
          <w:sz w:val="24"/>
          <w:szCs w:val="24"/>
          <w:lang w:val="hr-HR"/>
        </w:rPr>
        <w:t>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sektorskih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komisija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koje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predla</w:t>
      </w:r>
      <w:r w:rsidR="00B21EF9" w:rsidRPr="00802429">
        <w:rPr>
          <w:rFonts w:ascii="Times New Roman" w:hAnsi="Times New Roman"/>
          <w:sz w:val="24"/>
          <w:szCs w:val="24"/>
          <w:lang w:val="hr-HR"/>
        </w:rPr>
        <w:t>ž</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razvoj</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novih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ili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reviziju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postoje</w:t>
      </w:r>
      <w:r w:rsidR="00B21EF9" w:rsidRPr="00802429">
        <w:rPr>
          <w:rFonts w:ascii="Times New Roman" w:hAnsi="Times New Roman"/>
          <w:sz w:val="24"/>
          <w:szCs w:val="24"/>
          <w:lang w:val="hr-HR"/>
        </w:rPr>
        <w:t>ć</w:t>
      </w:r>
      <w:r w:rsidR="000805DC" w:rsidRPr="000805DC">
        <w:rPr>
          <w:rFonts w:ascii="Times New Roman" w:hAnsi="Times New Roman"/>
          <w:sz w:val="24"/>
          <w:szCs w:val="24"/>
          <w:lang w:val="hr-HR"/>
        </w:rPr>
        <w:t>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kvalifikacija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osnovu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potreba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tr</w:t>
      </w:r>
      <w:r w:rsidR="00B21EF9" w:rsidRPr="00802429">
        <w:rPr>
          <w:rFonts w:ascii="Times New Roman" w:hAnsi="Times New Roman"/>
          <w:sz w:val="24"/>
          <w:szCs w:val="24"/>
          <w:lang w:val="hr-HR"/>
        </w:rPr>
        <w:t>ž</w:t>
      </w:r>
      <w:r w:rsidR="000805DC" w:rsidRPr="000805DC">
        <w:rPr>
          <w:rFonts w:ascii="Times New Roman" w:hAnsi="Times New Roman"/>
          <w:sz w:val="24"/>
          <w:szCs w:val="24"/>
          <w:lang w:val="hr-HR"/>
        </w:rPr>
        <w:t>i</w:t>
      </w:r>
      <w:r w:rsidR="00B21EF9" w:rsidRPr="00802429">
        <w:rPr>
          <w:rFonts w:ascii="Times New Roman" w:hAnsi="Times New Roman"/>
          <w:sz w:val="24"/>
          <w:szCs w:val="24"/>
          <w:lang w:val="hr-HR"/>
        </w:rPr>
        <w:t>š</w:t>
      </w:r>
      <w:r w:rsidR="000805DC" w:rsidRPr="000805DC">
        <w:rPr>
          <w:rFonts w:ascii="Times New Roman" w:hAnsi="Times New Roman"/>
          <w:sz w:val="24"/>
          <w:szCs w:val="24"/>
          <w:lang w:val="hr-HR"/>
        </w:rPr>
        <w:t>ta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rada</w:t>
      </w:r>
      <w:r>
        <w:rPr>
          <w:rFonts w:ascii="Times New Roman" w:hAnsi="Times New Roman"/>
          <w:sz w:val="24"/>
          <w:szCs w:val="24"/>
          <w:lang w:val="hr-HR"/>
        </w:rPr>
        <w:t xml:space="preserve"> kao i ulagati u o</w:t>
      </w:r>
      <w:r w:rsidR="000805DC" w:rsidRPr="000805DC">
        <w:rPr>
          <w:rFonts w:ascii="Times New Roman" w:hAnsi="Times New Roman"/>
          <w:sz w:val="24"/>
          <w:szCs w:val="24"/>
          <w:lang w:val="hr-HR"/>
        </w:rPr>
        <w:t>savremenjavanje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softverske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aplikacije</w:t>
      </w:r>
      <w:r w:rsidR="00B21EF9" w:rsidRPr="00802429">
        <w:rPr>
          <w:rFonts w:ascii="Times New Roman" w:hAnsi="Times New Roman"/>
          <w:sz w:val="24"/>
          <w:szCs w:val="24"/>
          <w:lang w:val="hr-HR"/>
        </w:rPr>
        <w:t xml:space="preserve"> web </w:t>
      </w:r>
      <w:r w:rsidR="000805DC" w:rsidRPr="000805DC">
        <w:rPr>
          <w:rFonts w:ascii="Times New Roman" w:hAnsi="Times New Roman"/>
          <w:sz w:val="24"/>
          <w:szCs w:val="24"/>
          <w:lang w:val="hr-HR"/>
        </w:rPr>
        <w:t>sajta</w:t>
      </w:r>
      <w:r w:rsidR="00B21EF9" w:rsidRPr="00802429">
        <w:rPr>
          <w:rFonts w:ascii="Times New Roman" w:hAnsi="Times New Roman"/>
          <w:sz w:val="24"/>
          <w:szCs w:val="24"/>
          <w:lang w:val="hr-HR"/>
        </w:rPr>
        <w:t xml:space="preserve"> Crnogorskog kvalifikacionog okvira (</w:t>
      </w:r>
      <w:r w:rsidR="000805DC" w:rsidRPr="000805DC">
        <w:rPr>
          <w:rFonts w:ascii="Times New Roman" w:hAnsi="Times New Roman"/>
          <w:sz w:val="24"/>
          <w:szCs w:val="24"/>
          <w:lang w:val="hr-HR"/>
        </w:rPr>
        <w:t>CKO</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smislu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bolje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preglednosti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baze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podataka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Intenziviranje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promocije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CKO</w:t>
      </w:r>
      <w:r w:rsidR="00B21EF9" w:rsidRPr="00802429">
        <w:rPr>
          <w:rFonts w:ascii="Times New Roman" w:hAnsi="Times New Roman"/>
          <w:sz w:val="24"/>
          <w:szCs w:val="24"/>
          <w:lang w:val="hr-HR"/>
        </w:rPr>
        <w:t>-</w:t>
      </w:r>
      <w:r w:rsidR="000805DC" w:rsidRPr="000805DC">
        <w:rPr>
          <w:rFonts w:ascii="Times New Roman" w:hAnsi="Times New Roman"/>
          <w:sz w:val="24"/>
          <w:szCs w:val="24"/>
          <w:lang w:val="hr-HR"/>
        </w:rPr>
        <w:t>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njegovog</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zna</w:t>
      </w:r>
      <w:r w:rsidR="00B21EF9" w:rsidRPr="00802429">
        <w:rPr>
          <w:rFonts w:ascii="Times New Roman" w:hAnsi="Times New Roman"/>
          <w:sz w:val="24"/>
          <w:szCs w:val="24"/>
          <w:lang w:val="hr-HR"/>
        </w:rPr>
        <w:t>č</w:t>
      </w:r>
      <w:r w:rsidR="000805DC" w:rsidRPr="000805DC">
        <w:rPr>
          <w:rFonts w:ascii="Times New Roman" w:hAnsi="Times New Roman"/>
          <w:sz w:val="24"/>
          <w:szCs w:val="24"/>
          <w:lang w:val="hr-HR"/>
        </w:rPr>
        <w:t>aja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mogu</w:t>
      </w:r>
      <w:r w:rsidR="00B21EF9" w:rsidRPr="00802429">
        <w:rPr>
          <w:rFonts w:ascii="Times New Roman" w:hAnsi="Times New Roman"/>
          <w:sz w:val="24"/>
          <w:szCs w:val="24"/>
          <w:lang w:val="hr-HR"/>
        </w:rPr>
        <w:t>ć</w:t>
      </w:r>
      <w:r w:rsidR="000805DC" w:rsidRPr="000805DC">
        <w:rPr>
          <w:rFonts w:ascii="Times New Roman" w:hAnsi="Times New Roman"/>
          <w:sz w:val="24"/>
          <w:szCs w:val="24"/>
          <w:lang w:val="hr-HR"/>
        </w:rPr>
        <w:t>nosti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koje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pru</w:t>
      </w:r>
      <w:r w:rsidR="00B21EF9" w:rsidRPr="00802429">
        <w:rPr>
          <w:rFonts w:ascii="Times New Roman" w:hAnsi="Times New Roman"/>
          <w:sz w:val="24"/>
          <w:szCs w:val="24"/>
          <w:lang w:val="hr-HR"/>
        </w:rPr>
        <w:t>ž</w:t>
      </w:r>
      <w:r w:rsidR="000805DC" w:rsidRPr="000805DC">
        <w:rPr>
          <w:rFonts w:ascii="Times New Roman" w:hAnsi="Times New Roman"/>
          <w:sz w:val="24"/>
          <w:szCs w:val="24"/>
          <w:lang w:val="hr-HR"/>
        </w:rPr>
        <w:t>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svim</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partnerima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posebno</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poslodavcima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za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aktivno</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č</w:t>
      </w:r>
      <w:r w:rsidR="000805DC" w:rsidRPr="000805DC">
        <w:rPr>
          <w:rFonts w:ascii="Times New Roman" w:hAnsi="Times New Roman"/>
          <w:sz w:val="24"/>
          <w:szCs w:val="24"/>
          <w:lang w:val="hr-HR"/>
        </w:rPr>
        <w:t>e</w:t>
      </w:r>
      <w:r w:rsidR="00B21EF9" w:rsidRPr="00802429">
        <w:rPr>
          <w:rFonts w:ascii="Times New Roman" w:hAnsi="Times New Roman"/>
          <w:sz w:val="24"/>
          <w:szCs w:val="24"/>
          <w:lang w:val="hr-HR"/>
        </w:rPr>
        <w:t>šć</w:t>
      </w:r>
      <w:r w:rsidR="000805DC" w:rsidRPr="000805DC">
        <w:rPr>
          <w:rFonts w:ascii="Times New Roman" w:hAnsi="Times New Roman"/>
          <w:sz w:val="24"/>
          <w:szCs w:val="24"/>
          <w:lang w:val="hr-HR"/>
        </w:rPr>
        <w:t>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kreiranju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potrebnih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kvalifikacija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obrazovne</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ponude</w:t>
      </w:r>
      <w:r>
        <w:rPr>
          <w:rFonts w:ascii="Times New Roman" w:hAnsi="Times New Roman"/>
          <w:sz w:val="24"/>
          <w:szCs w:val="24"/>
          <w:lang w:val="hr-HR"/>
        </w:rPr>
        <w:t>. Takođe, potrebni su dodatni napori na u</w:t>
      </w:r>
      <w:r w:rsidR="000805DC" w:rsidRPr="000805DC">
        <w:rPr>
          <w:rFonts w:ascii="Times New Roman" w:hAnsi="Times New Roman"/>
          <w:sz w:val="24"/>
          <w:szCs w:val="24"/>
          <w:lang w:val="hr-HR"/>
        </w:rPr>
        <w:t>spostavljanj</w:t>
      </w:r>
      <w:r>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i</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unapre</w:t>
      </w:r>
      <w:r w:rsidR="00B21EF9" w:rsidRPr="00802429">
        <w:rPr>
          <w:rFonts w:ascii="Times New Roman" w:hAnsi="Times New Roman"/>
          <w:sz w:val="24"/>
          <w:szCs w:val="24"/>
          <w:lang w:val="hr-HR"/>
        </w:rPr>
        <w:t>đ</w:t>
      </w:r>
      <w:r>
        <w:rPr>
          <w:rFonts w:ascii="Times New Roman" w:hAnsi="Times New Roman"/>
          <w:sz w:val="24"/>
          <w:szCs w:val="24"/>
          <w:lang w:val="hr-HR"/>
        </w:rPr>
        <w:t>enju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karijernog</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savjetovanja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svim</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nivoima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obrazovanja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okviru</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obrazovnih</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ustanova</w:t>
      </w:r>
      <w:r w:rsidR="00B21EF9" w:rsidRPr="00802429">
        <w:rPr>
          <w:rFonts w:ascii="Times New Roman" w:hAnsi="Times New Roman"/>
          <w:sz w:val="24"/>
          <w:szCs w:val="24"/>
          <w:lang w:val="hr-HR"/>
        </w:rPr>
        <w:t xml:space="preserve">, </w:t>
      </w:r>
      <w:r w:rsidR="000805DC" w:rsidRPr="000805DC">
        <w:rPr>
          <w:rFonts w:ascii="Times New Roman" w:hAnsi="Times New Roman"/>
          <w:sz w:val="24"/>
          <w:szCs w:val="24"/>
          <w:lang w:val="hr-HR"/>
        </w:rPr>
        <w:t>sprovođenj</w:t>
      </w:r>
      <w:r>
        <w:rPr>
          <w:rFonts w:ascii="Times New Roman" w:hAnsi="Times New Roman"/>
          <w:sz w:val="24"/>
          <w:szCs w:val="24"/>
          <w:lang w:val="hr-HR"/>
        </w:rPr>
        <w:t>u</w:t>
      </w:r>
      <w:r w:rsidR="000805DC" w:rsidRPr="000805DC">
        <w:rPr>
          <w:rFonts w:ascii="Times New Roman" w:hAnsi="Times New Roman"/>
          <w:sz w:val="24"/>
          <w:szCs w:val="24"/>
          <w:lang w:val="hr-HR"/>
        </w:rPr>
        <w:t xml:space="preserve"> programa obuke za karijerne savjetnike, uspostavljanj</w:t>
      </w:r>
      <w:r>
        <w:rPr>
          <w:rFonts w:ascii="Times New Roman" w:hAnsi="Times New Roman"/>
          <w:sz w:val="24"/>
          <w:szCs w:val="24"/>
          <w:lang w:val="hr-HR"/>
        </w:rPr>
        <w:t>u</w:t>
      </w:r>
      <w:r w:rsidR="000805DC" w:rsidRPr="000805DC">
        <w:rPr>
          <w:rFonts w:ascii="Times New Roman" w:hAnsi="Times New Roman"/>
          <w:sz w:val="24"/>
          <w:szCs w:val="24"/>
          <w:lang w:val="hr-HR"/>
        </w:rPr>
        <w:t xml:space="preserve"> sistema praćenja i ocjenjivanja rada karijernih centara kroz anketiranje korisnika i oformljenu bazu podataka i promovisanje usluga karijernih centara (promo kampanje, ”s</w:t>
      </w:r>
      <w:r>
        <w:rPr>
          <w:rFonts w:ascii="Times New Roman" w:hAnsi="Times New Roman"/>
          <w:sz w:val="24"/>
          <w:szCs w:val="24"/>
          <w:lang w:val="hr-HR"/>
        </w:rPr>
        <w:t>usreti s roditeljima”, mediji). Važan segment predstavlja i j</w:t>
      </w:r>
      <w:r w:rsidR="00B21EF9" w:rsidRPr="00802429">
        <w:rPr>
          <w:rFonts w:ascii="Times New Roman" w:hAnsi="Times New Roman"/>
          <w:sz w:val="24"/>
          <w:szCs w:val="24"/>
          <w:lang w:val="pt-BR"/>
        </w:rPr>
        <w:t>ačanje kapaciteta obrazovnih ustanova za korišćenje ERASMUS+ programa EU kroz programe obuke i saradnju s Erasmus+ kancelarijom</w:t>
      </w:r>
      <w:r>
        <w:rPr>
          <w:rFonts w:ascii="Times New Roman" w:hAnsi="Times New Roman"/>
          <w:sz w:val="24"/>
          <w:szCs w:val="24"/>
          <w:lang w:val="pt-BR"/>
        </w:rPr>
        <w:t>.</w:t>
      </w:r>
    </w:p>
    <w:p w:rsidR="00B21EF9" w:rsidRPr="00802429" w:rsidRDefault="00B21EF9" w:rsidP="005A04CB">
      <w:pPr>
        <w:spacing w:after="0" w:line="240" w:lineRule="auto"/>
        <w:contextualSpacing/>
        <w:jc w:val="both"/>
        <w:rPr>
          <w:rFonts w:ascii="Times New Roman" w:hAnsi="Times New Roman"/>
          <w:sz w:val="24"/>
          <w:szCs w:val="24"/>
          <w:lang w:val="pt-BR"/>
        </w:rPr>
      </w:pPr>
    </w:p>
    <w:p w:rsidR="00B21EF9" w:rsidRPr="00394FB8" w:rsidRDefault="00B21EF9" w:rsidP="00394FB8">
      <w:pPr>
        <w:spacing w:after="0" w:line="240" w:lineRule="auto"/>
        <w:jc w:val="both"/>
        <w:rPr>
          <w:rFonts w:ascii="Times New Roman" w:hAnsi="Times New Roman"/>
          <w:sz w:val="24"/>
          <w:szCs w:val="24"/>
          <w:lang w:val="pt-BR"/>
        </w:rPr>
      </w:pPr>
      <w:r w:rsidRPr="00802429">
        <w:rPr>
          <w:rFonts w:ascii="Times New Roman" w:hAnsi="Times New Roman"/>
          <w:sz w:val="24"/>
          <w:szCs w:val="24"/>
          <w:lang w:val="pt-BR"/>
        </w:rPr>
        <w:t xml:space="preserve">U cilju </w:t>
      </w:r>
      <w:r w:rsidR="00394FB8">
        <w:rPr>
          <w:rFonts w:ascii="Times New Roman" w:hAnsi="Times New Roman"/>
          <w:sz w:val="24"/>
          <w:szCs w:val="24"/>
          <w:lang w:val="pt-BR"/>
        </w:rPr>
        <w:t>uspostavljanja sistema praćenja, potrebno je o</w:t>
      </w:r>
      <w:r w:rsidRPr="00802429">
        <w:rPr>
          <w:rFonts w:ascii="Times New Roman" w:hAnsi="Times New Roman"/>
          <w:sz w:val="24"/>
          <w:szCs w:val="24"/>
          <w:lang w:val="pt-BR"/>
        </w:rPr>
        <w:t>snivanje alumni mreža u ustanovama sred</w:t>
      </w:r>
      <w:r w:rsidR="00394FB8">
        <w:rPr>
          <w:rFonts w:ascii="Times New Roman" w:hAnsi="Times New Roman"/>
          <w:sz w:val="24"/>
          <w:szCs w:val="24"/>
          <w:lang w:val="pt-BR"/>
        </w:rPr>
        <w:t>njeg i visokog obrazovanja, u</w:t>
      </w:r>
      <w:r w:rsidRPr="00802429">
        <w:rPr>
          <w:rFonts w:ascii="Times New Roman" w:hAnsi="Times New Roman"/>
          <w:sz w:val="24"/>
          <w:szCs w:val="24"/>
          <w:lang w:val="pl-PL"/>
        </w:rPr>
        <w:t>spostavljenje baza podataka kroz pos</w:t>
      </w:r>
      <w:r w:rsidR="00394FB8">
        <w:rPr>
          <w:rFonts w:ascii="Times New Roman" w:hAnsi="Times New Roman"/>
          <w:sz w:val="24"/>
          <w:szCs w:val="24"/>
          <w:lang w:val="pl-PL"/>
        </w:rPr>
        <w:t>tojeći informacioni sistem kao i u</w:t>
      </w:r>
      <w:r w:rsidRPr="00802429">
        <w:rPr>
          <w:rFonts w:ascii="Times New Roman" w:hAnsi="Times New Roman"/>
          <w:sz w:val="24"/>
          <w:szCs w:val="24"/>
          <w:lang w:val="pl-PL"/>
        </w:rPr>
        <w:t>spostavljanje timova za izradu studija praćenja</w:t>
      </w:r>
      <w:r w:rsidR="00CD5125">
        <w:rPr>
          <w:rFonts w:ascii="Times New Roman" w:hAnsi="Times New Roman"/>
          <w:sz w:val="24"/>
          <w:szCs w:val="24"/>
          <w:lang w:val="pl-PL"/>
        </w:rPr>
        <w:t xml:space="preserve"> svršenih učenika i studenata</w:t>
      </w:r>
      <w:r w:rsidR="00394FB8">
        <w:rPr>
          <w:rFonts w:ascii="Times New Roman" w:hAnsi="Times New Roman"/>
          <w:sz w:val="24"/>
          <w:szCs w:val="24"/>
          <w:lang w:val="pl-PL"/>
        </w:rPr>
        <w:t xml:space="preserve"> u obrazovnim ustanovama. </w:t>
      </w:r>
    </w:p>
    <w:p w:rsidR="00B21EF9" w:rsidRPr="00802429" w:rsidRDefault="00B21EF9" w:rsidP="005A04CB">
      <w:pPr>
        <w:spacing w:after="0" w:line="240" w:lineRule="auto"/>
        <w:contextualSpacing/>
        <w:jc w:val="both"/>
        <w:rPr>
          <w:rFonts w:ascii="Times New Roman" w:hAnsi="Times New Roman"/>
          <w:sz w:val="24"/>
          <w:szCs w:val="24"/>
          <w:lang w:val="pl-PL"/>
        </w:rPr>
      </w:pPr>
    </w:p>
    <w:p w:rsidR="00B333DE" w:rsidRPr="00802429" w:rsidRDefault="00394FB8" w:rsidP="00394FB8">
      <w:pPr>
        <w:spacing w:after="0" w:line="240" w:lineRule="auto"/>
        <w:jc w:val="both"/>
        <w:rPr>
          <w:rFonts w:ascii="Times New Roman" w:hAnsi="Times New Roman"/>
          <w:sz w:val="24"/>
          <w:szCs w:val="24"/>
          <w:lang w:val="pl-PL"/>
        </w:rPr>
      </w:pPr>
      <w:r>
        <w:rPr>
          <w:rFonts w:ascii="Times New Roman" w:hAnsi="Times New Roman"/>
          <w:sz w:val="24"/>
          <w:szCs w:val="24"/>
          <w:lang w:val="pl-PL"/>
        </w:rPr>
        <w:t>Takođe, određene</w:t>
      </w:r>
      <w:r w:rsidR="00B21EF9" w:rsidRPr="00802429">
        <w:rPr>
          <w:rFonts w:ascii="Times New Roman" w:hAnsi="Times New Roman"/>
          <w:sz w:val="24"/>
          <w:szCs w:val="24"/>
          <w:lang w:val="pl-PL"/>
        </w:rPr>
        <w:t xml:space="preserve"> aktivnosti </w:t>
      </w:r>
      <w:r>
        <w:rPr>
          <w:rFonts w:ascii="Times New Roman" w:hAnsi="Times New Roman"/>
          <w:sz w:val="24"/>
          <w:szCs w:val="24"/>
          <w:lang w:val="pl-PL"/>
        </w:rPr>
        <w:t xml:space="preserve">neophodno je </w:t>
      </w:r>
      <w:r w:rsidR="00B21EF9" w:rsidRPr="00802429">
        <w:rPr>
          <w:rFonts w:ascii="Times New Roman" w:hAnsi="Times New Roman"/>
          <w:sz w:val="24"/>
          <w:szCs w:val="24"/>
          <w:lang w:val="pl-PL"/>
        </w:rPr>
        <w:t>usmjer</w:t>
      </w:r>
      <w:r>
        <w:rPr>
          <w:rFonts w:ascii="Times New Roman" w:hAnsi="Times New Roman"/>
          <w:sz w:val="24"/>
          <w:szCs w:val="24"/>
          <w:lang w:val="pl-PL"/>
        </w:rPr>
        <w:t>iti</w:t>
      </w:r>
      <w:r w:rsidR="00B21EF9" w:rsidRPr="00802429">
        <w:rPr>
          <w:rFonts w:ascii="Times New Roman" w:hAnsi="Times New Roman"/>
          <w:sz w:val="24"/>
          <w:szCs w:val="24"/>
          <w:lang w:val="pl-PL"/>
        </w:rPr>
        <w:t xml:space="preserve"> na promociju obrazovanja i osposobljavanja za  defici</w:t>
      </w:r>
      <w:r>
        <w:rPr>
          <w:rFonts w:ascii="Times New Roman" w:hAnsi="Times New Roman"/>
          <w:sz w:val="24"/>
          <w:szCs w:val="24"/>
          <w:lang w:val="pl-PL"/>
        </w:rPr>
        <w:t>tarna zanimanja na tržištu rada. U tom smislu, postoji potreba za p</w:t>
      </w:r>
      <w:r w:rsidR="00B21EF9" w:rsidRPr="00802429">
        <w:rPr>
          <w:rFonts w:ascii="Times New Roman" w:hAnsi="Times New Roman"/>
          <w:sz w:val="24"/>
          <w:szCs w:val="24"/>
          <w:lang w:val="pl-PL"/>
        </w:rPr>
        <w:t>ovećanje</w:t>
      </w:r>
      <w:r>
        <w:rPr>
          <w:rFonts w:ascii="Times New Roman" w:hAnsi="Times New Roman"/>
          <w:sz w:val="24"/>
          <w:szCs w:val="24"/>
          <w:lang w:val="pl-PL"/>
        </w:rPr>
        <w:t>m</w:t>
      </w:r>
      <w:r w:rsidR="00B21EF9" w:rsidRPr="00802429">
        <w:rPr>
          <w:rFonts w:ascii="Times New Roman" w:hAnsi="Times New Roman"/>
          <w:sz w:val="24"/>
          <w:szCs w:val="24"/>
          <w:lang w:val="pl-PL"/>
        </w:rPr>
        <w:t xml:space="preserve"> finansijskih kapaciteta Fonda za stipendiranje učenika koji se obrazuju za deficitarne kvalifikacije i  uključivanje poslodavaca u njegov rad</w:t>
      </w:r>
      <w:r>
        <w:rPr>
          <w:rFonts w:ascii="Times New Roman" w:hAnsi="Times New Roman"/>
          <w:sz w:val="24"/>
          <w:szCs w:val="24"/>
          <w:lang w:val="pl-PL"/>
        </w:rPr>
        <w:t xml:space="preserve"> kao i o mogućnosti p</w:t>
      </w:r>
      <w:r w:rsidR="00B21EF9" w:rsidRPr="00802429">
        <w:rPr>
          <w:rFonts w:ascii="Times New Roman" w:hAnsi="Times New Roman"/>
          <w:sz w:val="24"/>
          <w:szCs w:val="24"/>
          <w:lang w:val="pl-PL"/>
        </w:rPr>
        <w:t>reuzimanj</w:t>
      </w:r>
      <w:r>
        <w:rPr>
          <w:rFonts w:ascii="Times New Roman" w:hAnsi="Times New Roman"/>
          <w:sz w:val="24"/>
          <w:szCs w:val="24"/>
          <w:lang w:val="pl-PL"/>
        </w:rPr>
        <w:t>a</w:t>
      </w:r>
      <w:r w:rsidR="00B21EF9" w:rsidRPr="00802429">
        <w:rPr>
          <w:rFonts w:ascii="Times New Roman" w:hAnsi="Times New Roman"/>
          <w:sz w:val="24"/>
          <w:szCs w:val="24"/>
          <w:lang w:val="pl-PL"/>
        </w:rPr>
        <w:t xml:space="preserve"> plaćanja poreza i doprinosa za svakog novozaposlenog (do 30 godina starosti) nakon sticanja diplome iz oblasti deficitarnih zanimanja, u trajanju od 2 godine</w:t>
      </w:r>
      <w:r>
        <w:rPr>
          <w:rFonts w:ascii="Times New Roman" w:hAnsi="Times New Roman"/>
          <w:sz w:val="24"/>
          <w:szCs w:val="24"/>
          <w:lang w:val="pl-PL"/>
        </w:rPr>
        <w:t>. Osim toga, pažnju treba usmjeriti i  na podršku</w:t>
      </w:r>
      <w:r w:rsidR="00B21EF9" w:rsidRPr="00802429">
        <w:rPr>
          <w:rFonts w:ascii="Times New Roman" w:hAnsi="Times New Roman"/>
          <w:sz w:val="24"/>
          <w:szCs w:val="24"/>
          <w:lang w:val="pl-PL"/>
        </w:rPr>
        <w:t xml:space="preserve"> daljem uvođenju preduzetničkog učenja na svim nivoima obrazovanja i obuka nastavnog os</w:t>
      </w:r>
      <w:r>
        <w:rPr>
          <w:rFonts w:ascii="Times New Roman" w:hAnsi="Times New Roman"/>
          <w:sz w:val="24"/>
          <w:szCs w:val="24"/>
          <w:lang w:val="pl-PL"/>
        </w:rPr>
        <w:t>oblja za nastavu iz ove oblasti i unapređenju</w:t>
      </w:r>
      <w:r w:rsidR="00B333DE">
        <w:rPr>
          <w:rFonts w:ascii="Times New Roman" w:hAnsi="Times New Roman"/>
          <w:sz w:val="24"/>
          <w:szCs w:val="24"/>
          <w:lang w:val="pl-PL"/>
        </w:rPr>
        <w:t xml:space="preserve"> kvaliteta realizacije praktič</w:t>
      </w:r>
      <w:r>
        <w:rPr>
          <w:rFonts w:ascii="Times New Roman" w:hAnsi="Times New Roman"/>
          <w:sz w:val="24"/>
          <w:szCs w:val="24"/>
          <w:lang w:val="pl-PL"/>
        </w:rPr>
        <w:t>nog obrazovanja kod poslodavaca.</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pStyle w:val="Default"/>
        <w:jc w:val="both"/>
        <w:rPr>
          <w:rFonts w:ascii="Times New Roman" w:hAnsi="Times New Roman" w:cs="Times New Roman"/>
          <w:lang w:val="sr-Latn-CS"/>
        </w:rPr>
      </w:pPr>
      <w:r w:rsidRPr="00802429">
        <w:rPr>
          <w:rFonts w:ascii="Times New Roman" w:hAnsi="Times New Roman" w:cs="Times New Roman"/>
          <w:lang w:val="sr-Latn-CS"/>
        </w:rPr>
        <w:t xml:space="preserve">Problem </w:t>
      </w:r>
      <w:r w:rsidR="00F74327">
        <w:rPr>
          <w:rFonts w:ascii="Times New Roman" w:hAnsi="Times New Roman" w:cs="Times New Roman"/>
          <w:lang w:val="sr-Latn-CS"/>
        </w:rPr>
        <w:t xml:space="preserve">sezonskog karaktera </w:t>
      </w:r>
      <w:r w:rsidRPr="00802429">
        <w:rPr>
          <w:rFonts w:ascii="Times New Roman" w:hAnsi="Times New Roman" w:cs="Times New Roman"/>
          <w:lang w:val="sr-Latn-CS"/>
        </w:rPr>
        <w:t xml:space="preserve">pojedinih struka veliki je demotivirajući faktor pri odabiru zanimanja i upisa u srednju školu, pa su stoga i turistička i ugostiteljska zanimanja već godinama deficitarna zanimanja.  Potrebno je osmisliti program privlačenja što većeg broja učenika, kroz popravljanje imidža i popularizacije strukovnih djelatnosti, i podizanja ugleda i pozitivne percepcije tih zanimanja. Nedostatak kapaciteta za realizaciju praktične nastave učenika i studenata se javlja kao problem, s obzirom na sezonalnost rada turističkih i ugostiteljskih objekata. Važno je dalje usavršavanje strukovnih zanimanja (npr. gastronomski fakulteti, sommelieri) i napredovanja i cjeloživotnog obrazovanja. Potrebno je uvesti nove smjerove u srednje stručne škole iz oblasti turizma i u programe cjeloživotnog učenja kao npr.: turistički animator, dizajneri hrane, organizator wellnessa i dr. Potrebna je veća zastupljenost nastave stranih jezika u nastavnom planu i programu, kako u fondu sati, tako i u povećanom broju jezika zbog zahtjeve struke. </w:t>
      </w:r>
    </w:p>
    <w:p w:rsidR="00B21EF9" w:rsidRPr="00802429" w:rsidRDefault="00B21EF9" w:rsidP="00CD3E45">
      <w:pPr>
        <w:pStyle w:val="Heading2"/>
      </w:pPr>
      <w:bookmarkStart w:id="30" w:name="_Toc435454494"/>
      <w:r w:rsidRPr="00802429">
        <w:t>PRIORITET 4: Promovisanje socijalne inkluzije i  smanjenje siromaštva</w:t>
      </w:r>
      <w:bookmarkEnd w:id="30"/>
      <w:r w:rsidRPr="00802429">
        <w:t xml:space="preserve"> </w:t>
      </w:r>
    </w:p>
    <w:p w:rsidR="00B21EF9" w:rsidRPr="00802429" w:rsidRDefault="00B21EF9" w:rsidP="005A04CB">
      <w:pPr>
        <w:spacing w:after="0"/>
        <w:jc w:val="both"/>
        <w:rPr>
          <w:rFonts w:ascii="Times New Roman" w:hAnsi="Times New Roman"/>
          <w:b/>
          <w:sz w:val="24"/>
          <w:szCs w:val="24"/>
        </w:rPr>
      </w:pPr>
    </w:p>
    <w:p w:rsidR="00B21EF9" w:rsidRPr="00802429" w:rsidRDefault="00B21EF9" w:rsidP="005A04CB">
      <w:pPr>
        <w:spacing w:after="0"/>
        <w:jc w:val="both"/>
        <w:rPr>
          <w:rFonts w:ascii="Times New Roman" w:hAnsi="Times New Roman"/>
          <w:i/>
          <w:sz w:val="24"/>
          <w:szCs w:val="24"/>
        </w:rPr>
      </w:pPr>
      <w:r w:rsidRPr="00802429">
        <w:rPr>
          <w:rFonts w:ascii="Times New Roman" w:hAnsi="Times New Roman"/>
          <w:i/>
          <w:sz w:val="24"/>
          <w:szCs w:val="24"/>
        </w:rPr>
        <w:t>U sklopu ovog prioreta djelovaće se na unapređenje sistema socijalnih davanja i socijalnih usluga u cilju bolje pokrivenosti i aktivacije ranjivih grupa, integracije u obrazovanju i zapošljavanju lica sa invaliditetom, kao i na podsticanju uključivanja pripradnika ranjivih grupa na tržište rada.</w:t>
      </w:r>
    </w:p>
    <w:p w:rsidR="00B21EF9" w:rsidRPr="00802429" w:rsidRDefault="00B21EF9" w:rsidP="005A04CB">
      <w:pPr>
        <w:spacing w:after="0"/>
        <w:jc w:val="both"/>
        <w:rPr>
          <w:rFonts w:ascii="Times New Roman" w:hAnsi="Times New Roman"/>
          <w:sz w:val="24"/>
          <w:szCs w:val="24"/>
        </w:rPr>
      </w:pPr>
    </w:p>
    <w:p w:rsidR="00B21EF9" w:rsidRPr="00E87CD8" w:rsidRDefault="00B21EF9" w:rsidP="00E87CD8">
      <w:pPr>
        <w:pStyle w:val="Heading3"/>
      </w:pPr>
      <w:bookmarkStart w:id="31" w:name="_Toc435454495"/>
      <w:r w:rsidRPr="00E87CD8">
        <w:lastRenderedPageBreak/>
        <w:t>Cilj 1:</w:t>
      </w:r>
      <w:r w:rsidR="00E87CD8" w:rsidRPr="00E87CD8">
        <w:t xml:space="preserve"> </w:t>
      </w:r>
      <w:r w:rsidRPr="00E87CD8">
        <w:t xml:space="preserve">Unapređenje sistema socijalnih davanja i </w:t>
      </w:r>
      <w:r w:rsidR="00E87CD8">
        <w:t>socijalnih usluga</w:t>
      </w:r>
      <w:bookmarkEnd w:id="31"/>
      <w:r w:rsidR="00E87CD8">
        <w:t xml:space="preserve"> </w:t>
      </w:r>
    </w:p>
    <w:p w:rsidR="00B21EF9" w:rsidRPr="00802429" w:rsidRDefault="00B21EF9" w:rsidP="005A04CB">
      <w:pPr>
        <w:spacing w:after="0"/>
        <w:jc w:val="both"/>
        <w:rPr>
          <w:rFonts w:ascii="Times New Roman" w:hAnsi="Times New Roman"/>
          <w:b/>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r w:rsidRPr="00802429">
        <w:rPr>
          <w:rFonts w:ascii="Times New Roman" w:hAnsi="Times New Roman"/>
          <w:sz w:val="24"/>
          <w:szCs w:val="24"/>
          <w:lang w:eastAsia="hr-HR"/>
        </w:rPr>
        <w:t>Sadašnja mreža ustanova i stepen razvijenosti usluga u lokalnim zajednicama u Crnoj Gori ne omogućava korisnicima u sistemu socijalne i dječje zaštite da koriste usluge u neposrednom okruženju. Ovo se prvenstveno odnosi na usluge koje podržavaju ostanak korisnika u porodičnom okruženju: dnevni boravci i klubovi za stara lica, prihvatilišta i prihvatne stanice, sigurne kuće za žrtve zlostavljanja i trgovine ljudima, kapaciteti za privremeni smještaj starih, stanovanje uz podršku za odrasla lica sa invaliditetom i djecu i mlade bez roditeljskog staranja po prestanku smještaja. Veliki napredak je postignut kada su u pitanju dnevni boravci za djecu sa smetnjama u razvoju koji su organizovani u osam opština.</w:t>
      </w: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r w:rsidRPr="00802429">
        <w:rPr>
          <w:rFonts w:ascii="Times New Roman" w:hAnsi="Times New Roman"/>
          <w:sz w:val="24"/>
          <w:szCs w:val="24"/>
          <w:lang w:eastAsia="hr-HR"/>
        </w:rPr>
        <w:t xml:space="preserve">Decentralizacija sistema socijalne i dječje zaštite, koja je definisana kao jedan od osnovnih strateških pravaca razvoja Crne Gore, podrazumijeva uključivanje i drugih aktera, pored države, u pružanje usluga: nevladinih organizacija, privatnog sektora, kao i građana. Trenutno se sva prava iz socijalne i dječje zaštite finansiraju iz državnog budžeta, osim manjih sredstava koje obezbjeđuje lokalna samouprava za materijalna davanja i razvoj usluga u zajednici, ili sredstava koja se obezbjeđuju nevladinim organizacijama na projektnoj osnovi, što dovodi u pitanje njihov kontinuitet, kvalitet, kao i ograničen broj korisnika usluga. </w:t>
      </w: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p>
    <w:p w:rsidR="00B21EF9" w:rsidRPr="00802429" w:rsidRDefault="00B21EF9" w:rsidP="005A04CB">
      <w:pPr>
        <w:autoSpaceDE w:val="0"/>
        <w:autoSpaceDN w:val="0"/>
        <w:adjustRightInd w:val="0"/>
        <w:spacing w:after="0" w:line="240" w:lineRule="auto"/>
        <w:jc w:val="both"/>
        <w:rPr>
          <w:rFonts w:ascii="Times New Roman" w:hAnsi="Times New Roman"/>
          <w:sz w:val="24"/>
          <w:szCs w:val="24"/>
          <w:lang w:eastAsia="hr-HR"/>
        </w:rPr>
      </w:pPr>
      <w:r w:rsidRPr="00802429">
        <w:rPr>
          <w:rFonts w:ascii="Times New Roman" w:hAnsi="Times New Roman"/>
          <w:sz w:val="24"/>
          <w:szCs w:val="24"/>
          <w:lang w:eastAsia="hr-HR"/>
        </w:rPr>
        <w:t>Donošenjem Zakona o socijalnoj i dječjoj zaštiti iz 2013. godine, podstiče se rаzvoj postojećih i uvođenje novih usluga socijаlne i dječije zaštite i uključivаnje u sferu pružаnjа uslugа što više rаzličitih аkterа. Takođe, u okviru IPA 2010 projekta „Reforma sistema socijalne i dječje zaštite: unapređenje socijalne inkluzije“, koji su realizovali Ministarstvo rada i socijalnog staranja i Ministarstvo prosvjete, uz stručnu podršku UNDP-a i UNICEF-a i finansijsku podršku Evropske unije, razvijene su procedure i kriterijumi za finansijsku i stručnu podršku pružanju usluga na nivou lokalne zajednice i pilotirane su u devet crnogorskih opština. Kroz projekat su podržane 23 usluge socijalne zaštite, koje je koristilo gotovo 2.000 lica (starih lica, lica sa invaliditetom, žrtava nasilja, samohranih roditelja i zavisnika od psihoaktivnih supstanci).</w:t>
      </w:r>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Način implementacije strateškog cilja</w:t>
      </w:r>
    </w:p>
    <w:p w:rsidR="00B21EF9" w:rsidRPr="00802429" w:rsidRDefault="00B21EF9" w:rsidP="005A04CB">
      <w:pPr>
        <w:spacing w:after="0" w:line="240" w:lineRule="auto"/>
        <w:rPr>
          <w:rFonts w:ascii="Times New Roman" w:hAnsi="Times New Roman"/>
          <w:sz w:val="24"/>
          <w:szCs w:val="24"/>
        </w:rPr>
      </w:pPr>
    </w:p>
    <w:p w:rsidR="00B21EF9" w:rsidRPr="000E4422" w:rsidRDefault="000E4422" w:rsidP="000E4422">
      <w:pPr>
        <w:spacing w:after="0" w:line="240" w:lineRule="auto"/>
        <w:jc w:val="both"/>
        <w:rPr>
          <w:rFonts w:ascii="Times New Roman" w:hAnsi="Times New Roman"/>
          <w:sz w:val="24"/>
          <w:szCs w:val="24"/>
        </w:rPr>
      </w:pPr>
      <w:r>
        <w:rPr>
          <w:rFonts w:ascii="Times New Roman" w:hAnsi="Times New Roman"/>
          <w:sz w:val="24"/>
          <w:szCs w:val="24"/>
        </w:rPr>
        <w:t>U pogledu</w:t>
      </w:r>
      <w:r w:rsidR="00B21EF9" w:rsidRPr="00802429">
        <w:rPr>
          <w:rFonts w:ascii="Times New Roman" w:hAnsi="Times New Roman"/>
          <w:sz w:val="24"/>
          <w:szCs w:val="24"/>
        </w:rPr>
        <w:t xml:space="preserve"> dostupnosti informacija i pristupa uslugama socijalne i dječje zaštite</w:t>
      </w:r>
      <w:r>
        <w:rPr>
          <w:rFonts w:ascii="Times New Roman" w:hAnsi="Times New Roman"/>
          <w:sz w:val="24"/>
          <w:szCs w:val="24"/>
        </w:rPr>
        <w:t>, potrebno je raditi na umrežavanju</w:t>
      </w:r>
      <w:r w:rsidR="00B21EF9" w:rsidRPr="00802429">
        <w:rPr>
          <w:rFonts w:ascii="Times New Roman" w:hAnsi="Times New Roman"/>
          <w:sz w:val="24"/>
          <w:szCs w:val="24"/>
        </w:rPr>
        <w:t xml:space="preserve"> IT sistema centara za socijalni rad i ustanova socijalne i dječje zaštite sa institucijama zdravstvene zaštite, obrazovanja, zapošljavanja i penzijskog i invalidskog osiguranja kroz izradu I uspostavljanje Informacionog sistema socijalnog staranja</w:t>
      </w:r>
      <w:r>
        <w:rPr>
          <w:rFonts w:ascii="Times New Roman" w:hAnsi="Times New Roman"/>
          <w:sz w:val="24"/>
          <w:szCs w:val="24"/>
        </w:rPr>
        <w:t>. Takođe, poseban fokus treba da bude na p</w:t>
      </w:r>
      <w:r w:rsidR="00B21EF9" w:rsidRPr="00802429">
        <w:rPr>
          <w:rFonts w:ascii="Times New Roman" w:hAnsi="Times New Roman"/>
          <w:sz w:val="24"/>
          <w:szCs w:val="24"/>
        </w:rPr>
        <w:t>ojednostavljivanj</w:t>
      </w:r>
      <w:r>
        <w:rPr>
          <w:rFonts w:ascii="Times New Roman" w:hAnsi="Times New Roman"/>
          <w:sz w:val="24"/>
          <w:szCs w:val="24"/>
        </w:rPr>
        <w:t>u</w:t>
      </w:r>
      <w:r w:rsidR="00B21EF9" w:rsidRPr="00802429">
        <w:rPr>
          <w:rFonts w:ascii="Times New Roman" w:hAnsi="Times New Roman"/>
          <w:sz w:val="24"/>
          <w:szCs w:val="24"/>
        </w:rPr>
        <w:t xml:space="preserve"> administrativnih procedura za ostvarivanje prava iz so</w:t>
      </w:r>
      <w:r>
        <w:rPr>
          <w:rFonts w:ascii="Times New Roman" w:hAnsi="Times New Roman"/>
          <w:sz w:val="24"/>
          <w:szCs w:val="24"/>
        </w:rPr>
        <w:t>cijalne i dječje zaštite i unapređenju</w:t>
      </w:r>
      <w:r w:rsidR="00B21EF9" w:rsidRPr="00802429">
        <w:rPr>
          <w:rFonts w:ascii="Times New Roman" w:hAnsi="Times New Roman"/>
          <w:sz w:val="24"/>
          <w:szCs w:val="24"/>
        </w:rPr>
        <w:t xml:space="preserve"> informisanja javnosti o pravima iz socijalne i dječje zaštite radi povećanja dostupnosti prava sa posebnim akcentom na dostupnost i pristupačnost ovih informacija marginalizovanim grupama. </w:t>
      </w:r>
    </w:p>
    <w:p w:rsidR="00B21EF9" w:rsidRPr="00802429" w:rsidRDefault="00B21EF9" w:rsidP="005A04CB">
      <w:pPr>
        <w:spacing w:after="0" w:line="240" w:lineRule="auto"/>
        <w:rPr>
          <w:rFonts w:ascii="Times New Roman" w:hAnsi="Times New Roman"/>
          <w:b/>
          <w:sz w:val="24"/>
          <w:szCs w:val="24"/>
          <w:lang w:val="en-US"/>
        </w:rPr>
      </w:pPr>
    </w:p>
    <w:p w:rsidR="00B21EF9" w:rsidRPr="00802429" w:rsidRDefault="00B21EF9" w:rsidP="000E4422">
      <w:pPr>
        <w:spacing w:after="0" w:line="240" w:lineRule="auto"/>
        <w:jc w:val="both"/>
        <w:rPr>
          <w:rFonts w:ascii="Times New Roman" w:hAnsi="Times New Roman"/>
          <w:sz w:val="24"/>
          <w:szCs w:val="24"/>
          <w:lang w:val="en-US"/>
        </w:rPr>
      </w:pPr>
      <w:r w:rsidRPr="00802429">
        <w:rPr>
          <w:rFonts w:ascii="Times New Roman" w:hAnsi="Times New Roman"/>
          <w:sz w:val="24"/>
          <w:szCs w:val="24"/>
          <w:lang w:val="en-US"/>
        </w:rPr>
        <w:t xml:space="preserve">Razvoj usluga koje podržavaju život u zajednici </w:t>
      </w:r>
      <w:r w:rsidR="000E4422">
        <w:rPr>
          <w:rFonts w:ascii="Times New Roman" w:hAnsi="Times New Roman"/>
          <w:sz w:val="24"/>
          <w:szCs w:val="24"/>
          <w:lang w:val="en-US"/>
        </w:rPr>
        <w:t>predstavlja važan segment ovog cilja i podrazumijeva aktivnosti na p</w:t>
      </w:r>
      <w:r w:rsidR="000805DC" w:rsidRPr="000805DC">
        <w:rPr>
          <w:rFonts w:ascii="Times New Roman" w:hAnsi="Times New Roman"/>
          <w:sz w:val="24"/>
          <w:szCs w:val="24"/>
          <w:lang w:val="pl-PL"/>
        </w:rPr>
        <w:t>ropisivanj</w:t>
      </w:r>
      <w:r w:rsidR="000E4422">
        <w:rPr>
          <w:rFonts w:ascii="Times New Roman" w:hAnsi="Times New Roman"/>
          <w:sz w:val="24"/>
          <w:szCs w:val="24"/>
          <w:lang w:val="pl-PL"/>
        </w:rPr>
        <w:t>u</w:t>
      </w:r>
      <w:r w:rsidR="000805DC" w:rsidRPr="000805DC">
        <w:rPr>
          <w:rFonts w:ascii="Times New Roman" w:hAnsi="Times New Roman"/>
          <w:sz w:val="24"/>
          <w:szCs w:val="24"/>
          <w:lang w:val="pl-PL"/>
        </w:rPr>
        <w:t xml:space="preserve"> i sprovođenj</w:t>
      </w:r>
      <w:r w:rsidR="000E4422">
        <w:rPr>
          <w:rFonts w:ascii="Times New Roman" w:hAnsi="Times New Roman"/>
          <w:sz w:val="24"/>
          <w:szCs w:val="24"/>
          <w:lang w:val="pl-PL"/>
        </w:rPr>
        <w:t>u</w:t>
      </w:r>
      <w:r w:rsidR="000805DC" w:rsidRPr="000805DC">
        <w:rPr>
          <w:rFonts w:ascii="Times New Roman" w:hAnsi="Times New Roman"/>
          <w:sz w:val="24"/>
          <w:szCs w:val="24"/>
          <w:lang w:val="pl-PL"/>
        </w:rPr>
        <w:t xml:space="preserve"> minimalnih standarda za pružanje usluga socijalne i dječje zaštite</w:t>
      </w:r>
      <w:r w:rsidR="000E4422">
        <w:rPr>
          <w:rFonts w:ascii="Times New Roman" w:hAnsi="Times New Roman"/>
          <w:sz w:val="24"/>
          <w:szCs w:val="24"/>
          <w:lang w:val="pl-PL"/>
        </w:rPr>
        <w:t xml:space="preserve">. Osim toga, postoji potreba za daljim razvojem kapaciteta direkcije za razvoj socijalnih usluga kao i </w:t>
      </w:r>
      <w:r w:rsidR="000E4422">
        <w:rPr>
          <w:rFonts w:ascii="Times New Roman" w:hAnsi="Times New Roman"/>
          <w:sz w:val="24"/>
          <w:szCs w:val="24"/>
          <w:lang w:val="en-US"/>
        </w:rPr>
        <w:t>u</w:t>
      </w:r>
      <w:r w:rsidR="000805DC" w:rsidRPr="000805DC">
        <w:rPr>
          <w:rFonts w:ascii="Times New Roman" w:hAnsi="Times New Roman"/>
          <w:sz w:val="24"/>
          <w:szCs w:val="24"/>
          <w:lang w:val="pl-PL"/>
        </w:rPr>
        <w:t>svajanje</w:t>
      </w:r>
      <w:r w:rsidR="000E4422">
        <w:rPr>
          <w:rFonts w:ascii="Times New Roman" w:hAnsi="Times New Roman"/>
          <w:sz w:val="24"/>
          <w:szCs w:val="24"/>
          <w:lang w:val="pl-PL"/>
        </w:rPr>
        <w:t>m</w:t>
      </w:r>
      <w:r w:rsidR="000805DC" w:rsidRPr="000805DC">
        <w:rPr>
          <w:rFonts w:ascii="Times New Roman" w:hAnsi="Times New Roman"/>
          <w:sz w:val="24"/>
          <w:szCs w:val="24"/>
          <w:lang w:val="pl-PL"/>
        </w:rPr>
        <w:t xml:space="preserve"> i sprovođenje</w:t>
      </w:r>
      <w:r w:rsidR="000E4422">
        <w:rPr>
          <w:rFonts w:ascii="Times New Roman" w:hAnsi="Times New Roman"/>
          <w:sz w:val="24"/>
          <w:szCs w:val="24"/>
          <w:lang w:val="pl-PL"/>
        </w:rPr>
        <w:t>m</w:t>
      </w:r>
      <w:r w:rsidR="000805DC" w:rsidRPr="000805DC">
        <w:rPr>
          <w:rFonts w:ascii="Times New Roman" w:hAnsi="Times New Roman"/>
          <w:sz w:val="24"/>
          <w:szCs w:val="24"/>
          <w:lang w:val="pl-PL"/>
        </w:rPr>
        <w:t xml:space="preserve"> lokalnih akcionih planova socijalne inkluzije u svim lokalnim samoupravama</w:t>
      </w:r>
      <w:r w:rsidR="000E4422">
        <w:rPr>
          <w:rFonts w:ascii="Times New Roman" w:hAnsi="Times New Roman"/>
          <w:sz w:val="24"/>
          <w:szCs w:val="24"/>
          <w:lang w:val="pl-PL"/>
        </w:rPr>
        <w:t>. Takođe, s</w:t>
      </w:r>
      <w:r w:rsidRPr="00802429">
        <w:rPr>
          <w:rFonts w:ascii="Times New Roman" w:hAnsi="Times New Roman"/>
          <w:sz w:val="24"/>
          <w:szCs w:val="24"/>
          <w:lang w:val="es-ES"/>
        </w:rPr>
        <w:t xml:space="preserve">provođenje planova </w:t>
      </w:r>
      <w:r w:rsidRPr="00802429">
        <w:rPr>
          <w:rFonts w:ascii="Times New Roman" w:hAnsi="Times New Roman"/>
          <w:sz w:val="24"/>
          <w:szCs w:val="24"/>
          <w:lang w:val="es-ES"/>
        </w:rPr>
        <w:lastRenderedPageBreak/>
        <w:t>transformacije ustan</w:t>
      </w:r>
      <w:r w:rsidR="000E4422">
        <w:rPr>
          <w:rFonts w:ascii="Times New Roman" w:hAnsi="Times New Roman"/>
          <w:sz w:val="24"/>
          <w:szCs w:val="24"/>
          <w:lang w:val="es-ES"/>
        </w:rPr>
        <w:t>ova socijalne i dječje zaštite, jedan je od važnih elemenata razvoja usluga za život u zajednici.</w:t>
      </w:r>
      <w:r w:rsidRPr="00802429">
        <w:rPr>
          <w:rFonts w:ascii="Times New Roman" w:hAnsi="Times New Roman"/>
          <w:sz w:val="24"/>
          <w:szCs w:val="24"/>
          <w:lang w:val="en-US"/>
        </w:rPr>
        <w:t xml:space="preserve"> </w:t>
      </w:r>
    </w:p>
    <w:p w:rsidR="00B21EF9" w:rsidRPr="00802429" w:rsidRDefault="00B21EF9" w:rsidP="005A04CB">
      <w:pPr>
        <w:spacing w:after="0" w:line="240" w:lineRule="auto"/>
        <w:rPr>
          <w:rFonts w:ascii="Times New Roman" w:hAnsi="Times New Roman"/>
          <w:b/>
          <w:sz w:val="24"/>
          <w:szCs w:val="24"/>
          <w:lang w:val="en-US"/>
        </w:rPr>
      </w:pPr>
    </w:p>
    <w:p w:rsidR="00B21EF9" w:rsidRPr="000E4422" w:rsidRDefault="000E4422" w:rsidP="000E4422">
      <w:pPr>
        <w:spacing w:after="0" w:line="240" w:lineRule="auto"/>
        <w:jc w:val="both"/>
        <w:rPr>
          <w:rFonts w:ascii="Times New Roman" w:hAnsi="Times New Roman"/>
          <w:sz w:val="24"/>
          <w:szCs w:val="24"/>
          <w:lang w:val="pl-PL"/>
        </w:rPr>
      </w:pPr>
      <w:r>
        <w:rPr>
          <w:rFonts w:ascii="Times New Roman" w:hAnsi="Times New Roman"/>
          <w:sz w:val="24"/>
          <w:szCs w:val="24"/>
          <w:lang w:val="pl-PL"/>
        </w:rPr>
        <w:t>U pogledu u</w:t>
      </w:r>
      <w:r w:rsidR="000805DC" w:rsidRPr="000805DC">
        <w:rPr>
          <w:rFonts w:ascii="Times New Roman" w:hAnsi="Times New Roman"/>
          <w:sz w:val="24"/>
          <w:szCs w:val="24"/>
          <w:lang w:val="pl-PL"/>
        </w:rPr>
        <w:t>vođenj</w:t>
      </w:r>
      <w:r>
        <w:rPr>
          <w:rFonts w:ascii="Times New Roman" w:hAnsi="Times New Roman"/>
          <w:sz w:val="24"/>
          <w:szCs w:val="24"/>
          <w:lang w:val="pl-PL"/>
        </w:rPr>
        <w:t>a</w:t>
      </w:r>
      <w:r w:rsidR="000805DC" w:rsidRPr="000805DC">
        <w:rPr>
          <w:rFonts w:ascii="Times New Roman" w:hAnsi="Times New Roman"/>
          <w:sz w:val="24"/>
          <w:szCs w:val="24"/>
          <w:lang w:val="pl-PL"/>
        </w:rPr>
        <w:t xml:space="preserve"> sistema kvaliteta u ob</w:t>
      </w:r>
      <w:r>
        <w:rPr>
          <w:rFonts w:ascii="Times New Roman" w:hAnsi="Times New Roman"/>
          <w:sz w:val="24"/>
          <w:szCs w:val="24"/>
          <w:lang w:val="pl-PL"/>
        </w:rPr>
        <w:t>last socijalne i dječje zaštite, postoji prostor za j</w:t>
      </w:r>
      <w:r w:rsidR="000805DC" w:rsidRPr="000805DC">
        <w:rPr>
          <w:rFonts w:ascii="Times New Roman" w:hAnsi="Times New Roman"/>
          <w:sz w:val="24"/>
          <w:szCs w:val="24"/>
          <w:lang w:val="pl-PL"/>
        </w:rPr>
        <w:t>ačanje kapaciteta Zavoda za socijalnu i dječju zaštitu</w:t>
      </w:r>
      <w:r>
        <w:rPr>
          <w:rFonts w:ascii="Times New Roman" w:hAnsi="Times New Roman"/>
          <w:sz w:val="24"/>
          <w:szCs w:val="24"/>
          <w:lang w:val="pl-PL"/>
        </w:rPr>
        <w:t xml:space="preserve"> i u</w:t>
      </w:r>
      <w:r w:rsidR="000805DC" w:rsidRPr="000805DC">
        <w:rPr>
          <w:rFonts w:ascii="Times New Roman" w:hAnsi="Times New Roman"/>
          <w:sz w:val="24"/>
          <w:szCs w:val="24"/>
          <w:lang w:val="pl-PL"/>
        </w:rPr>
        <w:t>vođenje sistema licenciranja stručnih radnika i pružalaca usluga socijalne i dječje zaštite</w:t>
      </w:r>
      <w:r>
        <w:rPr>
          <w:rFonts w:ascii="Times New Roman" w:hAnsi="Times New Roman"/>
          <w:sz w:val="24"/>
          <w:szCs w:val="24"/>
          <w:lang w:val="pl-PL"/>
        </w:rPr>
        <w:t>. Takođe, f</w:t>
      </w:r>
      <w:r w:rsidR="000805DC" w:rsidRPr="000805DC">
        <w:rPr>
          <w:rFonts w:ascii="Times New Roman" w:hAnsi="Times New Roman"/>
          <w:sz w:val="24"/>
          <w:szCs w:val="24"/>
          <w:lang w:val="pl-PL"/>
        </w:rPr>
        <w:t>ormiranje i razvoj kapaciteta socijalne inspekcije</w:t>
      </w:r>
      <w:r>
        <w:rPr>
          <w:rFonts w:ascii="Times New Roman" w:hAnsi="Times New Roman"/>
          <w:sz w:val="24"/>
          <w:szCs w:val="24"/>
          <w:lang w:val="pl-PL"/>
        </w:rPr>
        <w:t xml:space="preserve"> i </w:t>
      </w:r>
      <w:r w:rsidR="00B21EF9" w:rsidRPr="00802429">
        <w:rPr>
          <w:rFonts w:ascii="Times New Roman" w:hAnsi="Times New Roman"/>
          <w:sz w:val="24"/>
          <w:szCs w:val="24"/>
          <w:lang w:val="es-ES"/>
        </w:rPr>
        <w:t>vođenje sistema supervizije stručnog ra</w:t>
      </w:r>
      <w:r>
        <w:rPr>
          <w:rFonts w:ascii="Times New Roman" w:hAnsi="Times New Roman"/>
          <w:sz w:val="24"/>
          <w:szCs w:val="24"/>
          <w:lang w:val="es-ES"/>
        </w:rPr>
        <w:t>da u centrima za socijalni rad, imali bi značajne efekte na proces podizanja kvaliteta u ovoj oblasti.</w:t>
      </w:r>
    </w:p>
    <w:p w:rsidR="00B21EF9" w:rsidRPr="00802429" w:rsidRDefault="00B21EF9" w:rsidP="00CD3E45">
      <w:pPr>
        <w:pStyle w:val="Heading3"/>
      </w:pPr>
    </w:p>
    <w:p w:rsidR="00B21EF9" w:rsidRPr="00E87CD8" w:rsidRDefault="00B21EF9" w:rsidP="00E87CD8">
      <w:pPr>
        <w:pStyle w:val="Heading3"/>
      </w:pPr>
      <w:bookmarkStart w:id="32" w:name="_Toc435454496"/>
      <w:r w:rsidRPr="00E87CD8">
        <w:t>Cilj 2:</w:t>
      </w:r>
      <w:r w:rsidR="00E87CD8" w:rsidRPr="00E87CD8">
        <w:t xml:space="preserve"> </w:t>
      </w:r>
      <w:r w:rsidRPr="00E87CD8">
        <w:t>Integracija u obrazovanju i zapošljavanju lica sa invaliditetom</w:t>
      </w:r>
      <w:bookmarkEnd w:id="32"/>
    </w:p>
    <w:p w:rsidR="00B21EF9" w:rsidRPr="00802429" w:rsidRDefault="00B21EF9" w:rsidP="005A04CB">
      <w:pPr>
        <w:spacing w:after="0"/>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r w:rsidRPr="00802429">
        <w:rPr>
          <w:rFonts w:ascii="Times New Roman" w:hAnsi="Times New Roman"/>
          <w:sz w:val="24"/>
          <w:szCs w:val="24"/>
        </w:rPr>
        <w:t>Sadašnje stanje</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 xml:space="preserve">Lica sa invaliditetom predstavljaju jednu od kategorija lica sa najvećim preprekama u zapošljavanju. Na evidenciji Zavoda za zapošljavanje 31.12.2014. godine nalazilo se 1.942 lica sa invaliditetom od kojih je invalida rada 1.364, a kategorisanih lica 578.  Na dan 31.12.2014. godine, ukupno 71 poslodavaca ostvaruje pravo na subvenciju zarade, za 89 zaposleno lice sa invaliditetom (43 žena). Od 89 zaposlena lica sa invaliditetom, 61 je zaposleno na neodređeno vrijeme.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Problemi kao što su: predrasude poslodavaca o radnim sposobnostima, neodgovarajuće obrazovanje, nedostatak znanja ili radnog iskustva, teškoće u prilagođavanju (neprilagođenost radnih mjesta i radne okoline, društvo)</w:t>
      </w:r>
      <w:r w:rsidR="008D5C80">
        <w:rPr>
          <w:rFonts w:ascii="Times New Roman" w:hAnsi="Times New Roman"/>
          <w:sz w:val="24"/>
          <w:szCs w:val="24"/>
        </w:rPr>
        <w:t>, nizak nivo socijalne podrške,</w:t>
      </w:r>
      <w:r w:rsidRPr="00802429">
        <w:rPr>
          <w:rFonts w:ascii="Times New Roman" w:hAnsi="Times New Roman"/>
          <w:sz w:val="24"/>
          <w:szCs w:val="24"/>
        </w:rPr>
        <w:t xml:space="preserve"> onemogućavaju licima sa invaliditetom da se ravnopravno uključuju u rad, tj. da budu konkurentna na tržištu rada i integrisana u društvo. </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t xml:space="preserve">Lica sa invaliditetom nisu dovoljno informisana o njihovim pravima vezanim za uključivanje na tržište rada. I pored postojanja pravnog okvira za realizaciju programa profesionalne rehabilitacije i podsticanje bržeg zapošljavanja lica sa invaliditetom i njihovo ravnopravno učešće na tržištu rada, njihov efekat u praksi, još uvijek je manji od očekivanog. </w:t>
      </w:r>
    </w:p>
    <w:p w:rsidR="00CB7D6C" w:rsidRPr="00802429" w:rsidRDefault="00CB7D6C" w:rsidP="005A04CB">
      <w:pPr>
        <w:spacing w:after="0" w:line="240" w:lineRule="auto"/>
        <w:jc w:val="both"/>
        <w:rPr>
          <w:rFonts w:ascii="Times New Roman" w:hAnsi="Times New Roman"/>
          <w:bCs/>
          <w:sz w:val="24"/>
          <w:szCs w:val="24"/>
          <w:lang w:val="pl-PL"/>
        </w:rPr>
      </w:pPr>
    </w:p>
    <w:p w:rsidR="00B21EF9" w:rsidRPr="006C663F" w:rsidRDefault="00B21EF9" w:rsidP="005A04CB">
      <w:pPr>
        <w:spacing w:after="0" w:line="240" w:lineRule="auto"/>
        <w:jc w:val="both"/>
        <w:rPr>
          <w:rFonts w:ascii="Times New Roman" w:hAnsi="Times New Roman"/>
          <w:bCs/>
          <w:sz w:val="24"/>
          <w:szCs w:val="24"/>
          <w:lang w:val="pl-PL"/>
        </w:rPr>
      </w:pPr>
      <w:r w:rsidRPr="00802429">
        <w:rPr>
          <w:rFonts w:ascii="Times New Roman" w:hAnsi="Times New Roman"/>
          <w:bCs/>
          <w:sz w:val="24"/>
          <w:szCs w:val="24"/>
          <w:lang w:val="pl-PL"/>
        </w:rPr>
        <w:t xml:space="preserve">Fizičke ili arhitektonske prepreke sprečavaju i otežavaju licima s invaliditetom (s posebnim obrazovnim potrebama) pristup obrazovnim ustanovama, a time i pohađanje nastave.  Osobe s invaliditetom često nisu, između ostalog, u mogućnosti da koriste javni prevoz, što ih onemogućava da aktivnije učestvuju u životu zajednice. Pristupačno okruženje je jedan od ključnih elemenata u ostvarivanju društva zasnovanog na ravnopravnosti, kao briga svih, a ne samo pogođene manjine. Problem pristupačnosti i ukidanje svih vrsta prepreka treba posmatrati kao problem koji se tiče ljudskih prava, ne samo osoba s invaliditetom, nego i cjelokupnog društva. Jednak pristup obrazovanju podrazumijeva da osobe s invaliditetom budu uključene u glavne obrazovne tokove. </w:t>
      </w:r>
      <w:r w:rsidRPr="00802429">
        <w:rPr>
          <w:rFonts w:ascii="Times New Roman" w:hAnsi="Times New Roman"/>
          <w:sz w:val="24"/>
          <w:szCs w:val="24"/>
        </w:rPr>
        <w:t>U narednom periodu je neophodno učiniti dodatne napore, imajući u vidu potrebe lica sa invaliditetom i neophodnost stvaranja pristupačnog okruženja za sve.</w:t>
      </w:r>
    </w:p>
    <w:p w:rsidR="00B21EF9" w:rsidRPr="00AA6A3B" w:rsidRDefault="00B21EF9" w:rsidP="005A04CB">
      <w:pPr>
        <w:spacing w:after="0" w:line="240" w:lineRule="auto"/>
        <w:jc w:val="both"/>
        <w:rPr>
          <w:rFonts w:ascii="Times New Roman" w:hAnsi="Times New Roman"/>
          <w:bCs/>
          <w:sz w:val="24"/>
          <w:szCs w:val="24"/>
        </w:rPr>
      </w:pPr>
    </w:p>
    <w:p w:rsidR="00B21EF9" w:rsidRPr="00AA6A3B" w:rsidRDefault="00B21EF9" w:rsidP="005A04CB">
      <w:pPr>
        <w:spacing w:after="0" w:line="240" w:lineRule="auto"/>
        <w:jc w:val="both"/>
        <w:rPr>
          <w:rFonts w:ascii="Times New Roman" w:hAnsi="Times New Roman"/>
          <w:bCs/>
          <w:sz w:val="24"/>
          <w:szCs w:val="24"/>
        </w:rPr>
      </w:pPr>
      <w:r w:rsidRPr="00802429">
        <w:rPr>
          <w:rFonts w:ascii="Times New Roman" w:hAnsi="Times New Roman"/>
          <w:bCs/>
          <w:sz w:val="24"/>
          <w:szCs w:val="24"/>
          <w:lang w:val="pl-PL"/>
        </w:rPr>
        <w:t>Zakonima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iz</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oblasti</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obrazovanja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predvi</w:t>
      </w:r>
      <w:r w:rsidR="000805DC" w:rsidRPr="000805DC">
        <w:rPr>
          <w:rFonts w:ascii="Times New Roman" w:hAnsi="Times New Roman"/>
          <w:bCs/>
          <w:sz w:val="24"/>
          <w:szCs w:val="24"/>
        </w:rPr>
        <w:t>đ</w:t>
      </w:r>
      <w:r w:rsidRPr="00802429">
        <w:rPr>
          <w:rFonts w:ascii="Times New Roman" w:hAnsi="Times New Roman"/>
          <w:bCs/>
          <w:sz w:val="24"/>
          <w:szCs w:val="24"/>
          <w:lang w:val="pl-PL"/>
        </w:rPr>
        <w:t>eno</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je</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uvo</w:t>
      </w:r>
      <w:r w:rsidR="000805DC" w:rsidRPr="000805DC">
        <w:rPr>
          <w:rFonts w:ascii="Times New Roman" w:hAnsi="Times New Roman"/>
          <w:bCs/>
          <w:sz w:val="24"/>
          <w:szCs w:val="24"/>
        </w:rPr>
        <w:t>đ</w:t>
      </w:r>
      <w:r w:rsidRPr="00802429">
        <w:rPr>
          <w:rFonts w:ascii="Times New Roman" w:hAnsi="Times New Roman"/>
          <w:bCs/>
          <w:sz w:val="24"/>
          <w:szCs w:val="24"/>
          <w:lang w:val="pl-PL"/>
        </w:rPr>
        <w:t>enje</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inkluzivnog</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obrazovanja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To</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podrazumijeva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da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kontinuitetu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treba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raditi</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na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uspostavljanju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servisa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podr</w:t>
      </w:r>
      <w:r w:rsidR="000805DC" w:rsidRPr="000805DC">
        <w:rPr>
          <w:rFonts w:ascii="Times New Roman" w:hAnsi="Times New Roman"/>
          <w:bCs/>
          <w:sz w:val="24"/>
          <w:szCs w:val="24"/>
        </w:rPr>
        <w:t>š</w:t>
      </w:r>
      <w:r w:rsidRPr="00802429">
        <w:rPr>
          <w:rFonts w:ascii="Times New Roman" w:hAnsi="Times New Roman"/>
          <w:bCs/>
          <w:sz w:val="24"/>
          <w:szCs w:val="24"/>
          <w:lang w:val="pl-PL"/>
        </w:rPr>
        <w:t>ke</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izgradnje</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pristupa</w:t>
      </w:r>
      <w:r w:rsidR="000805DC" w:rsidRPr="000805DC">
        <w:rPr>
          <w:rFonts w:ascii="Times New Roman" w:hAnsi="Times New Roman"/>
          <w:bCs/>
          <w:sz w:val="24"/>
          <w:szCs w:val="24"/>
        </w:rPr>
        <w:t>č</w:t>
      </w:r>
      <w:r w:rsidRPr="00802429">
        <w:rPr>
          <w:rFonts w:ascii="Times New Roman" w:hAnsi="Times New Roman"/>
          <w:bCs/>
          <w:sz w:val="24"/>
          <w:szCs w:val="24"/>
          <w:lang w:val="pl-PL"/>
        </w:rPr>
        <w:t>nog</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okru</w:t>
      </w:r>
      <w:r w:rsidR="000805DC" w:rsidRPr="000805DC">
        <w:rPr>
          <w:rFonts w:ascii="Times New Roman" w:hAnsi="Times New Roman"/>
          <w:bCs/>
          <w:sz w:val="24"/>
          <w:szCs w:val="24"/>
        </w:rPr>
        <w:t>ž</w:t>
      </w:r>
      <w:r w:rsidRPr="00802429">
        <w:rPr>
          <w:rFonts w:ascii="Times New Roman" w:hAnsi="Times New Roman"/>
          <w:bCs/>
          <w:sz w:val="24"/>
          <w:szCs w:val="24"/>
          <w:lang w:val="pl-PL"/>
        </w:rPr>
        <w:t>enja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i</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prevoza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prilago</w:t>
      </w:r>
      <w:r w:rsidR="000805DC" w:rsidRPr="000805DC">
        <w:rPr>
          <w:rFonts w:ascii="Times New Roman" w:hAnsi="Times New Roman"/>
          <w:bCs/>
          <w:sz w:val="24"/>
          <w:szCs w:val="24"/>
        </w:rPr>
        <w:t>đ</w:t>
      </w:r>
      <w:r w:rsidRPr="00802429">
        <w:rPr>
          <w:rFonts w:ascii="Times New Roman" w:hAnsi="Times New Roman"/>
          <w:bCs/>
          <w:sz w:val="24"/>
          <w:szCs w:val="24"/>
          <w:lang w:val="pl-PL"/>
        </w:rPr>
        <w:t>avanju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obrazovnih</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odnosno</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studijskih</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programa</w:t>
      </w:r>
      <w:r w:rsidR="000805DC" w:rsidRPr="00E829F2">
        <w:rPr>
          <w:rFonts w:ascii="Times New Roman" w:hAnsi="Times New Roman"/>
          <w:bCs/>
          <w:sz w:val="24"/>
          <w:szCs w:val="24"/>
          <w:lang w:val="pl-PL"/>
        </w:rPr>
        <w:t xml:space="preserve">, </w:t>
      </w:r>
      <w:r w:rsidRPr="00802429">
        <w:rPr>
          <w:rFonts w:ascii="Times New Roman" w:hAnsi="Times New Roman"/>
          <w:bCs/>
          <w:sz w:val="24"/>
          <w:szCs w:val="24"/>
          <w:lang w:val="pl-PL"/>
        </w:rPr>
        <w:t>postojanju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ud</w:t>
      </w:r>
      <w:r w:rsidR="000805DC" w:rsidRPr="000805DC">
        <w:rPr>
          <w:rFonts w:ascii="Times New Roman" w:hAnsi="Times New Roman"/>
          <w:bCs/>
          <w:sz w:val="24"/>
          <w:szCs w:val="24"/>
        </w:rPr>
        <w:t>ž</w:t>
      </w:r>
      <w:r w:rsidRPr="00802429">
        <w:rPr>
          <w:rFonts w:ascii="Times New Roman" w:hAnsi="Times New Roman"/>
          <w:bCs/>
          <w:sz w:val="24"/>
          <w:szCs w:val="24"/>
          <w:lang w:val="pl-PL"/>
        </w:rPr>
        <w:t>benika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u</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adekvatnim</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formatima</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i</w:t>
      </w:r>
      <w:r w:rsidR="000805DC" w:rsidRPr="000805DC">
        <w:rPr>
          <w:rFonts w:ascii="Times New Roman" w:hAnsi="Times New Roman"/>
          <w:bCs/>
          <w:sz w:val="24"/>
          <w:szCs w:val="24"/>
        </w:rPr>
        <w:t xml:space="preserve"> </w:t>
      </w:r>
      <w:r w:rsidRPr="00802429">
        <w:rPr>
          <w:rFonts w:ascii="Times New Roman" w:hAnsi="Times New Roman"/>
          <w:bCs/>
          <w:sz w:val="24"/>
          <w:szCs w:val="24"/>
          <w:lang w:val="pl-PL"/>
        </w:rPr>
        <w:t>sl</w:t>
      </w:r>
      <w:r w:rsidR="000805DC" w:rsidRPr="000805DC">
        <w:rPr>
          <w:rFonts w:ascii="Times New Roman" w:hAnsi="Times New Roman"/>
          <w:bCs/>
          <w:sz w:val="24"/>
          <w:szCs w:val="24"/>
        </w:rPr>
        <w:t>.</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line="240" w:lineRule="auto"/>
        <w:jc w:val="both"/>
        <w:rPr>
          <w:rFonts w:ascii="Times New Roman" w:hAnsi="Times New Roman"/>
          <w:sz w:val="24"/>
          <w:szCs w:val="24"/>
        </w:rPr>
      </w:pPr>
      <w:r w:rsidRPr="00802429">
        <w:rPr>
          <w:rFonts w:ascii="Times New Roman" w:hAnsi="Times New Roman"/>
          <w:sz w:val="24"/>
          <w:szCs w:val="24"/>
        </w:rPr>
        <w:lastRenderedPageBreak/>
        <w:t xml:space="preserve">Jedan od veoma izraženih problema u Crnoj Gori jeste i nedostupnost informacija licima sa invaliditetom, posebno onima sa oštećenjem vida i sluha: neprilagođenost sajtova državnih  institucija i, uopšte, velikog broja websajtova, portala i ostalih elektronskih sadržaja osobama koje koriste čitače ekrana, nepostojanje oglasnih tabli ispisanih na Brajevom pismu, itd. </w:t>
      </w:r>
    </w:p>
    <w:p w:rsidR="006C5F1E" w:rsidRPr="00802429" w:rsidRDefault="006C5F1E" w:rsidP="005A04CB">
      <w:pPr>
        <w:spacing w:after="0" w:line="240" w:lineRule="auto"/>
        <w:jc w:val="both"/>
        <w:rPr>
          <w:rFonts w:ascii="Times New Roman" w:hAnsi="Times New Roman"/>
          <w:sz w:val="24"/>
          <w:szCs w:val="24"/>
        </w:rPr>
      </w:pPr>
    </w:p>
    <w:p w:rsidR="00B21EF9" w:rsidRDefault="00B21EF9" w:rsidP="00D625E2">
      <w:pPr>
        <w:spacing w:after="120" w:line="240" w:lineRule="auto"/>
        <w:rPr>
          <w:rFonts w:ascii="Cambria" w:hAnsi="Cambria"/>
          <w:b/>
          <w:i/>
          <w:sz w:val="24"/>
          <w:szCs w:val="24"/>
        </w:rPr>
      </w:pPr>
      <w:r w:rsidRPr="007263AC">
        <w:rPr>
          <w:rFonts w:ascii="Times New Roman" w:hAnsi="Times New Roman"/>
          <w:i/>
          <w:sz w:val="24"/>
          <w:szCs w:val="24"/>
        </w:rPr>
        <w:t>Način implementacije strateškog cilja</w:t>
      </w:r>
      <w:r w:rsidRPr="007263AC">
        <w:rPr>
          <w:rFonts w:ascii="Cambria" w:hAnsi="Cambria"/>
          <w:b/>
          <w:i/>
          <w:sz w:val="24"/>
          <w:szCs w:val="24"/>
        </w:rPr>
        <w:t xml:space="preserve"> </w:t>
      </w:r>
    </w:p>
    <w:p w:rsidR="006C5F1E" w:rsidRPr="007263AC" w:rsidRDefault="006C5F1E" w:rsidP="00D625E2">
      <w:pPr>
        <w:spacing w:after="120" w:line="240" w:lineRule="auto"/>
        <w:rPr>
          <w:rFonts w:ascii="Cambria" w:hAnsi="Cambria"/>
          <w:b/>
          <w:i/>
          <w:sz w:val="24"/>
          <w:szCs w:val="24"/>
        </w:rPr>
      </w:pPr>
    </w:p>
    <w:p w:rsidR="00B21EF9" w:rsidRDefault="00B21EF9" w:rsidP="00D625E2">
      <w:pPr>
        <w:spacing w:after="120" w:line="240" w:lineRule="auto"/>
        <w:jc w:val="both"/>
        <w:rPr>
          <w:rFonts w:ascii="Times New Roman" w:hAnsi="Times New Roman"/>
          <w:bCs/>
          <w:sz w:val="24"/>
          <w:szCs w:val="24"/>
        </w:rPr>
      </w:pPr>
      <w:r w:rsidRPr="00802429">
        <w:rPr>
          <w:rFonts w:ascii="Times New Roman" w:hAnsi="Times New Roman"/>
          <w:sz w:val="24"/>
          <w:szCs w:val="24"/>
        </w:rPr>
        <w:t>U cilju</w:t>
      </w:r>
      <w:r w:rsidR="007263AC">
        <w:rPr>
          <w:rFonts w:ascii="Times New Roman" w:hAnsi="Times New Roman"/>
          <w:sz w:val="24"/>
          <w:szCs w:val="24"/>
        </w:rPr>
        <w:t xml:space="preserve"> unapr</w:t>
      </w:r>
      <w:r w:rsidRPr="00802429">
        <w:rPr>
          <w:rFonts w:ascii="Times New Roman" w:hAnsi="Times New Roman"/>
          <w:sz w:val="24"/>
          <w:szCs w:val="24"/>
        </w:rPr>
        <w:t>eđenja sprovođenje propisa u oblasti pristupačnosti za lica sa invaliditetom u skladu sa analizama postojećeg stanja i ak</w:t>
      </w:r>
      <w:r w:rsidR="00A7439A">
        <w:rPr>
          <w:rFonts w:ascii="Times New Roman" w:hAnsi="Times New Roman"/>
          <w:sz w:val="24"/>
          <w:szCs w:val="24"/>
        </w:rPr>
        <w:t>cionim planovima potrebno je o</w:t>
      </w:r>
      <w:r w:rsidRPr="00802429">
        <w:rPr>
          <w:rFonts w:ascii="Times New Roman" w:hAnsi="Times New Roman"/>
          <w:sz w:val="24"/>
          <w:szCs w:val="24"/>
        </w:rPr>
        <w:t>bezbijediti stalno uklanjanje arhitektonskih i ostalih barijera na javnim površinama, saobraćajnim komunikacijama, javnim objektima kao i stambenim objektima</w:t>
      </w:r>
      <w:r w:rsidR="00A7439A">
        <w:rPr>
          <w:rFonts w:ascii="Times New Roman" w:hAnsi="Times New Roman"/>
          <w:sz w:val="24"/>
          <w:szCs w:val="24"/>
        </w:rPr>
        <w:t xml:space="preserve"> </w:t>
      </w:r>
      <w:r w:rsidRPr="00802429">
        <w:rPr>
          <w:rFonts w:ascii="Times New Roman" w:hAnsi="Times New Roman"/>
          <w:sz w:val="24"/>
          <w:szCs w:val="24"/>
        </w:rPr>
        <w:t xml:space="preserve">kao i bezbijediti veći </w:t>
      </w:r>
      <w:r w:rsidRPr="00802429">
        <w:rPr>
          <w:rFonts w:ascii="Times New Roman" w:hAnsi="Times New Roman"/>
          <w:bCs/>
          <w:sz w:val="24"/>
          <w:szCs w:val="24"/>
        </w:rPr>
        <w:t>obim i vrste prava korišćenja medicinske rehabilitacije za sve kategorije lica sa invaliditetom bez participacije</w:t>
      </w:r>
      <w:r w:rsidR="00A7439A">
        <w:rPr>
          <w:rFonts w:ascii="Times New Roman" w:hAnsi="Times New Roman"/>
          <w:bCs/>
          <w:sz w:val="24"/>
          <w:szCs w:val="24"/>
        </w:rPr>
        <w:t>.</w:t>
      </w:r>
    </w:p>
    <w:p w:rsidR="006C5F1E" w:rsidRPr="006C5F1E" w:rsidRDefault="006C5F1E" w:rsidP="00D625E2">
      <w:pPr>
        <w:spacing w:after="120" w:line="240" w:lineRule="auto"/>
        <w:jc w:val="both"/>
        <w:rPr>
          <w:rFonts w:ascii="Times New Roman" w:hAnsi="Times New Roman"/>
          <w:sz w:val="24"/>
          <w:szCs w:val="24"/>
        </w:rPr>
      </w:pPr>
      <w:r w:rsidRPr="00802429">
        <w:rPr>
          <w:rFonts w:ascii="Times New Roman" w:hAnsi="Times New Roman"/>
          <w:sz w:val="24"/>
          <w:szCs w:val="24"/>
        </w:rPr>
        <w:t>Uključivanje lica sa invaliditetom na tržište rada ostvarivaće se kroz</w:t>
      </w:r>
      <w:r w:rsidR="00762274">
        <w:rPr>
          <w:rFonts w:ascii="Times New Roman" w:hAnsi="Times New Roman"/>
          <w:sz w:val="24"/>
          <w:szCs w:val="24"/>
        </w:rPr>
        <w:t xml:space="preserve"> implementaciju postojećeg pravnog okvira sa posebnim osvrtom na</w:t>
      </w:r>
      <w:r w:rsidRPr="00802429">
        <w:rPr>
          <w:rFonts w:ascii="Times New Roman" w:hAnsi="Times New Roman"/>
          <w:sz w:val="24"/>
          <w:szCs w:val="24"/>
        </w:rPr>
        <w:t xml:space="preserve"> finansiranje grant šeme za podsticanje zapoš</w:t>
      </w:r>
      <w:r w:rsidR="00762274">
        <w:rPr>
          <w:rFonts w:ascii="Times New Roman" w:hAnsi="Times New Roman"/>
          <w:sz w:val="24"/>
          <w:szCs w:val="24"/>
        </w:rPr>
        <w:t>ljavanja lica sa invaliditetom i</w:t>
      </w:r>
      <w:r w:rsidRPr="00802429">
        <w:rPr>
          <w:rFonts w:ascii="Times New Roman" w:hAnsi="Times New Roman"/>
          <w:sz w:val="24"/>
          <w:szCs w:val="24"/>
        </w:rPr>
        <w:t xml:space="preserve"> posebnim akcentom na projekte i aktivnosti organizacija osoba s invaliditetom u oblasti zapošljavanja OSI</w:t>
      </w:r>
      <w:r w:rsidR="00A7439A">
        <w:rPr>
          <w:rFonts w:ascii="Times New Roman" w:hAnsi="Times New Roman"/>
          <w:sz w:val="24"/>
          <w:szCs w:val="24"/>
        </w:rPr>
        <w:t xml:space="preserve">, </w:t>
      </w:r>
      <w:r w:rsidRPr="00802429">
        <w:rPr>
          <w:rFonts w:ascii="Times New Roman" w:hAnsi="Times New Roman"/>
          <w:sz w:val="24"/>
          <w:szCs w:val="24"/>
        </w:rPr>
        <w:t>kao i kroz organizovanje programe za sticanje prve kvalifikacije za zanimanje za lica sa invalidite</w:t>
      </w:r>
      <w:r w:rsidR="00A7439A">
        <w:rPr>
          <w:rFonts w:ascii="Times New Roman" w:hAnsi="Times New Roman"/>
          <w:sz w:val="24"/>
          <w:szCs w:val="24"/>
        </w:rPr>
        <w:t>tom koja nemaju stručnu spremu.</w:t>
      </w:r>
    </w:p>
    <w:p w:rsidR="002D35CB" w:rsidRPr="00802429" w:rsidRDefault="00B21EF9" w:rsidP="00D625E2">
      <w:pPr>
        <w:spacing w:after="120" w:line="240" w:lineRule="auto"/>
        <w:jc w:val="both"/>
        <w:rPr>
          <w:rFonts w:ascii="Times New Roman" w:hAnsi="Times New Roman"/>
          <w:sz w:val="24"/>
          <w:szCs w:val="24"/>
        </w:rPr>
      </w:pPr>
      <w:r w:rsidRPr="00802429">
        <w:rPr>
          <w:rFonts w:ascii="Times New Roman" w:hAnsi="Times New Roman"/>
          <w:sz w:val="24"/>
          <w:szCs w:val="24"/>
        </w:rPr>
        <w:t>Kako bi se obezbjedilo kontinuirano informisanje javnosti o pravima lica sa invaliditetom potrebno je kontinuirano sprovoditi informisanje i obuke o pravima lica sa invaliditetom i standardima pristupačnosti, osigurati finansijsku podršku portalima koji se bave licima sa invaliditetom u cilju njihove održivosti</w:t>
      </w:r>
      <w:r w:rsidR="00A7439A">
        <w:rPr>
          <w:rFonts w:ascii="Times New Roman" w:hAnsi="Times New Roman"/>
          <w:sz w:val="24"/>
          <w:szCs w:val="24"/>
        </w:rPr>
        <w:t>.</w:t>
      </w:r>
    </w:p>
    <w:p w:rsidR="00B21EF9" w:rsidRPr="00802429" w:rsidRDefault="00B21EF9" w:rsidP="005A04CB">
      <w:pPr>
        <w:spacing w:after="0" w:line="240" w:lineRule="auto"/>
        <w:jc w:val="both"/>
        <w:rPr>
          <w:rFonts w:ascii="Times New Roman" w:hAnsi="Times New Roman"/>
          <w:sz w:val="24"/>
          <w:szCs w:val="24"/>
        </w:rPr>
      </w:pPr>
    </w:p>
    <w:p w:rsidR="00B21EF9" w:rsidRPr="00802429" w:rsidRDefault="00B21EF9" w:rsidP="005A04CB">
      <w:pPr>
        <w:spacing w:after="0"/>
        <w:jc w:val="both"/>
        <w:rPr>
          <w:rFonts w:ascii="Times New Roman" w:hAnsi="Times New Roman"/>
          <w:sz w:val="24"/>
          <w:szCs w:val="24"/>
        </w:rPr>
      </w:pPr>
    </w:p>
    <w:p w:rsidR="00B21EF9" w:rsidRPr="00326EB4" w:rsidRDefault="00CD3E45" w:rsidP="00326EB4">
      <w:pPr>
        <w:pStyle w:val="Heading3"/>
      </w:pPr>
      <w:bookmarkStart w:id="33" w:name="_Toc412814546"/>
      <w:bookmarkStart w:id="34" w:name="_Toc435454497"/>
      <w:r w:rsidRPr="00326EB4">
        <w:t>Cilj 3:</w:t>
      </w:r>
      <w:r w:rsidR="00093FC5" w:rsidRPr="00326EB4">
        <w:t xml:space="preserve"> </w:t>
      </w:r>
      <w:r w:rsidR="00B21EF9" w:rsidRPr="00326EB4">
        <w:t>Uključivanje društveno ranjivih grupa na tržište rada</w:t>
      </w:r>
      <w:bookmarkEnd w:id="33"/>
      <w:bookmarkEnd w:id="34"/>
    </w:p>
    <w:p w:rsidR="00B21EF9" w:rsidRPr="00802429" w:rsidRDefault="00B21EF9" w:rsidP="005A04CB">
      <w:pPr>
        <w:keepNext/>
        <w:keepLines/>
        <w:spacing w:after="0" w:line="240" w:lineRule="auto"/>
        <w:outlineLvl w:val="2"/>
        <w:rPr>
          <w:rFonts w:ascii="Times New Roman" w:hAnsi="Times New Roman"/>
          <w:b/>
          <w:sz w:val="24"/>
          <w:szCs w:val="24"/>
        </w:rPr>
      </w:pPr>
    </w:p>
    <w:p w:rsidR="00F80557" w:rsidRDefault="00B21EF9" w:rsidP="00326EB4">
      <w:r w:rsidRPr="00802429">
        <w:t>Sadašnje stanje</w:t>
      </w:r>
    </w:p>
    <w:p w:rsidR="00F80557" w:rsidRPr="00AF7945" w:rsidRDefault="00F80557" w:rsidP="00F80557">
      <w:pPr>
        <w:spacing w:after="120" w:line="240" w:lineRule="auto"/>
        <w:jc w:val="both"/>
        <w:rPr>
          <w:rFonts w:ascii="Cambria" w:hAnsi="Cambria"/>
          <w:sz w:val="24"/>
          <w:szCs w:val="24"/>
        </w:rPr>
      </w:pPr>
      <w:r w:rsidRPr="00AF7945">
        <w:rPr>
          <w:rFonts w:ascii="Cambria" w:hAnsi="Cambria"/>
          <w:sz w:val="24"/>
          <w:szCs w:val="24"/>
        </w:rPr>
        <w:t>Analiza siromaštva u Crnoj Gori, koju objavljuje Zavod za statistiku Crne Gore – MONSTAT, pokazuje da je apsolutna linija siromaštva za Crnu Goru u 2013. godini iznosila 186,45€ po ekvivalentu odrasle osobe, što je za oko 4€ više nego 2012. godine. U 2013. godini, 8,6% stanovništva imalo je ekvivalentnu potrošnju ispod apsolutne linije siromaštva, što čini pad stope siromaštva od 2,7% u odnosu na 2012. godinu (stopa siromaštva je u 2012. godini je iznosila 11,3%).</w:t>
      </w:r>
    </w:p>
    <w:p w:rsidR="00F80557" w:rsidRPr="00AF7945" w:rsidRDefault="00F80557" w:rsidP="00F80557">
      <w:pPr>
        <w:spacing w:after="120" w:line="240" w:lineRule="auto"/>
        <w:jc w:val="both"/>
        <w:rPr>
          <w:rFonts w:ascii="Cambria" w:hAnsi="Cambria"/>
          <w:sz w:val="24"/>
          <w:szCs w:val="24"/>
        </w:rPr>
      </w:pPr>
      <w:r w:rsidRPr="00AF7945">
        <w:rPr>
          <w:rFonts w:ascii="Cambria" w:hAnsi="Cambria"/>
          <w:sz w:val="24"/>
          <w:szCs w:val="24"/>
        </w:rPr>
        <w:t xml:space="preserve">Prema podacima Ministarstva rada i socijalnog staranja, u septembru 2014. godine, pravo na materijalno obezbjeđenje ostvarivalo je 13.935 porodica sa 41.120 članova; pravo na ličnu invalidninu ostvarivalo je 1.888 lica; pravo na dodatak za njegu i pomoć ostvarivalo je 9.009 lica. </w:t>
      </w:r>
    </w:p>
    <w:p w:rsidR="005A7FDD" w:rsidRPr="00AF7945" w:rsidRDefault="005A7FDD" w:rsidP="005A7FDD">
      <w:pPr>
        <w:spacing w:after="0" w:line="240" w:lineRule="auto"/>
        <w:jc w:val="both"/>
        <w:rPr>
          <w:rFonts w:asciiTheme="majorHAnsi" w:hAnsiTheme="majorHAnsi"/>
          <w:sz w:val="24"/>
          <w:szCs w:val="24"/>
        </w:rPr>
      </w:pPr>
      <w:r w:rsidRPr="00AF7945">
        <w:rPr>
          <w:rFonts w:asciiTheme="majorHAnsi" w:hAnsiTheme="majorHAnsi"/>
          <w:sz w:val="24"/>
          <w:szCs w:val="24"/>
        </w:rPr>
        <w:t xml:space="preserve">Na evidenciji Zavoda za zapošljavanje prosječno se godišnje nalazi oko 1000 lica koja se deklarišu kao pripadnici romske i egipćanske populacije. Učešće žena među njima je oko 40%. U ukupnoj registrovanoj nezaposlenosti RE populacija učestvuje sa 3-4%. Preko 90% registrovanih pripadnika romske i egipćanske populacije čine lica bez zanimanja i stručne spreme. Oni, po pravilu, duže traže zaposlenje. Za najveći dio ove populacije dugoročna nezaposlenost je hronična, a mogućnost zapošljavanja veoma ograničena. </w:t>
      </w:r>
    </w:p>
    <w:p w:rsidR="005A7FDD" w:rsidRPr="00AF7945" w:rsidRDefault="005A7FDD" w:rsidP="005A7FDD">
      <w:pPr>
        <w:spacing w:after="0" w:line="240" w:lineRule="auto"/>
        <w:jc w:val="both"/>
        <w:rPr>
          <w:rFonts w:asciiTheme="majorHAnsi" w:hAnsiTheme="majorHAnsi"/>
          <w:sz w:val="24"/>
          <w:szCs w:val="24"/>
        </w:rPr>
      </w:pPr>
    </w:p>
    <w:p w:rsidR="005A7FDD" w:rsidRPr="00AF7945" w:rsidRDefault="005A7FDD" w:rsidP="005A7FDD">
      <w:pPr>
        <w:spacing w:after="0" w:line="240" w:lineRule="auto"/>
        <w:jc w:val="both"/>
        <w:rPr>
          <w:rFonts w:asciiTheme="majorHAnsi" w:hAnsiTheme="majorHAnsi"/>
          <w:sz w:val="24"/>
          <w:szCs w:val="24"/>
        </w:rPr>
      </w:pPr>
      <w:r w:rsidRPr="00AF7945">
        <w:rPr>
          <w:rFonts w:asciiTheme="majorHAnsi" w:hAnsiTheme="majorHAnsi"/>
          <w:sz w:val="24"/>
          <w:szCs w:val="24"/>
        </w:rPr>
        <w:lastRenderedPageBreak/>
        <w:t>Takođe, u posebno socijalno osjetljivoj situaciji su i žrtve nasilja, trgovine ljudima, kao i osobe koje su povratnici u zemlju po osnovu readmisije.</w:t>
      </w:r>
    </w:p>
    <w:p w:rsidR="00DE2165" w:rsidRPr="00AF7945" w:rsidRDefault="00DE2165" w:rsidP="00DE2165">
      <w:pPr>
        <w:spacing w:after="0" w:line="240" w:lineRule="auto"/>
        <w:jc w:val="both"/>
        <w:rPr>
          <w:rFonts w:asciiTheme="majorHAnsi" w:hAnsiTheme="majorHAnsi"/>
          <w:sz w:val="24"/>
          <w:szCs w:val="24"/>
        </w:rPr>
      </w:pPr>
    </w:p>
    <w:p w:rsidR="005A7FDD" w:rsidRPr="00AF7945" w:rsidRDefault="005A7FDD" w:rsidP="005A7FDD">
      <w:pPr>
        <w:spacing w:after="120" w:line="240" w:lineRule="auto"/>
        <w:jc w:val="both"/>
        <w:rPr>
          <w:rFonts w:asciiTheme="majorHAnsi" w:hAnsiTheme="majorHAnsi"/>
          <w:sz w:val="24"/>
          <w:szCs w:val="24"/>
        </w:rPr>
      </w:pPr>
      <w:r w:rsidRPr="00AF7945">
        <w:rPr>
          <w:rFonts w:asciiTheme="majorHAnsi" w:hAnsiTheme="majorHAnsi"/>
          <w:sz w:val="24"/>
          <w:szCs w:val="24"/>
        </w:rPr>
        <w:t xml:space="preserve">Pasivne politike na tržištu rada, koje imaju za cilj socijalnu sigurnost pokrivaju jednu trećinu nezaposlenih. Međutim, iako je novčana naknada po osnovu nezaposlenosti niska, relativno veliki broj korisnika tu naknadu prima duži vremenski period, ali među njima preovlađuju lica iz društveno ranjivih grupa. </w:t>
      </w:r>
    </w:p>
    <w:p w:rsidR="00B21EF9" w:rsidRPr="00AF7945" w:rsidRDefault="00B21EF9" w:rsidP="005A04CB">
      <w:pPr>
        <w:spacing w:after="0" w:line="240" w:lineRule="auto"/>
        <w:jc w:val="both"/>
        <w:rPr>
          <w:rFonts w:ascii="Times New Roman" w:hAnsi="Times New Roman"/>
          <w:sz w:val="24"/>
          <w:szCs w:val="24"/>
        </w:rPr>
      </w:pPr>
    </w:p>
    <w:p w:rsidR="005A7FDD" w:rsidRPr="005A7FDD" w:rsidRDefault="005A7FDD" w:rsidP="00522196">
      <w:pPr>
        <w:spacing w:after="0" w:line="240" w:lineRule="auto"/>
        <w:jc w:val="both"/>
        <w:rPr>
          <w:rFonts w:ascii="Times New Roman" w:hAnsi="Times New Roman"/>
          <w:sz w:val="24"/>
          <w:szCs w:val="24"/>
          <w:lang w:val="bs-Latn-BA"/>
        </w:rPr>
      </w:pPr>
      <w:r w:rsidRPr="00AF7945">
        <w:rPr>
          <w:rFonts w:ascii="Times New Roman" w:hAnsi="Times New Roman"/>
          <w:sz w:val="24"/>
          <w:szCs w:val="24"/>
          <w:lang w:val="bs-Latn-BA"/>
        </w:rPr>
        <w:t>Način implementacije strateškog cilja</w:t>
      </w:r>
    </w:p>
    <w:p w:rsidR="005A7FDD" w:rsidRDefault="005A7FDD" w:rsidP="00522196">
      <w:pPr>
        <w:spacing w:after="0" w:line="240" w:lineRule="auto"/>
        <w:jc w:val="both"/>
        <w:rPr>
          <w:rFonts w:ascii="Times New Roman" w:hAnsi="Times New Roman"/>
          <w:sz w:val="24"/>
          <w:szCs w:val="24"/>
        </w:rPr>
      </w:pPr>
    </w:p>
    <w:p w:rsidR="00B21EF9" w:rsidRDefault="00B21EF9" w:rsidP="00522196">
      <w:pPr>
        <w:spacing w:after="0" w:line="240" w:lineRule="auto"/>
        <w:jc w:val="both"/>
        <w:rPr>
          <w:rFonts w:ascii="Times New Roman" w:hAnsi="Times New Roman"/>
          <w:sz w:val="24"/>
          <w:szCs w:val="24"/>
        </w:rPr>
      </w:pPr>
      <w:r w:rsidRPr="00802429">
        <w:rPr>
          <w:rFonts w:ascii="Times New Roman" w:hAnsi="Times New Roman"/>
          <w:sz w:val="24"/>
          <w:szCs w:val="24"/>
        </w:rPr>
        <w:t xml:space="preserve">Ispunjenje ovog cilja podrazumijeva uključivanje </w:t>
      </w:r>
      <w:r w:rsidR="00E716C1">
        <w:rPr>
          <w:rFonts w:ascii="Times New Roman" w:hAnsi="Times New Roman"/>
          <w:sz w:val="24"/>
          <w:szCs w:val="24"/>
        </w:rPr>
        <w:t>društveno ranjivih grupa</w:t>
      </w:r>
      <w:r w:rsidRPr="00802429">
        <w:rPr>
          <w:rFonts w:ascii="Times New Roman" w:hAnsi="Times New Roman"/>
          <w:sz w:val="24"/>
          <w:szCs w:val="24"/>
        </w:rPr>
        <w:t xml:space="preserve"> na tržište rada,</w:t>
      </w:r>
      <w:r w:rsidR="00E716C1" w:rsidRPr="00E716C1">
        <w:rPr>
          <w:rFonts w:ascii="Times New Roman" w:hAnsi="Times New Roman"/>
          <w:sz w:val="24"/>
          <w:szCs w:val="24"/>
        </w:rPr>
        <w:t xml:space="preserve"> </w:t>
      </w:r>
      <w:r w:rsidR="00E716C1">
        <w:rPr>
          <w:rFonts w:ascii="Times New Roman" w:hAnsi="Times New Roman"/>
          <w:sz w:val="24"/>
          <w:szCs w:val="24"/>
        </w:rPr>
        <w:t xml:space="preserve">kroz </w:t>
      </w:r>
      <w:r w:rsidR="00E716C1" w:rsidRPr="00802429">
        <w:rPr>
          <w:rFonts w:ascii="Times New Roman" w:hAnsi="Times New Roman"/>
          <w:sz w:val="24"/>
          <w:szCs w:val="24"/>
        </w:rPr>
        <w:t>povećanj</w:t>
      </w:r>
      <w:r w:rsidR="00E716C1">
        <w:rPr>
          <w:rFonts w:ascii="Times New Roman" w:hAnsi="Times New Roman"/>
          <w:sz w:val="24"/>
          <w:szCs w:val="24"/>
        </w:rPr>
        <w:t>e</w:t>
      </w:r>
      <w:r w:rsidR="00E716C1" w:rsidRPr="00802429">
        <w:rPr>
          <w:rFonts w:ascii="Times New Roman" w:hAnsi="Times New Roman"/>
          <w:sz w:val="24"/>
          <w:szCs w:val="24"/>
        </w:rPr>
        <w:t xml:space="preserve"> zapošljivosti i u zapošljavanj</w:t>
      </w:r>
      <w:r w:rsidR="00E716C1">
        <w:rPr>
          <w:rFonts w:ascii="Times New Roman" w:hAnsi="Times New Roman"/>
          <w:sz w:val="24"/>
          <w:szCs w:val="24"/>
        </w:rPr>
        <w:t>e</w:t>
      </w:r>
      <w:r w:rsidR="00E716C1" w:rsidRPr="00802429">
        <w:rPr>
          <w:rFonts w:ascii="Times New Roman" w:hAnsi="Times New Roman"/>
          <w:sz w:val="24"/>
          <w:szCs w:val="24"/>
        </w:rPr>
        <w:t xml:space="preserve">, kako bi se na taj način smanjilo njihovo siromaštvo i socijalna isključenost i kako bi postali aktivni i punopravni članovi društva. </w:t>
      </w:r>
      <w:r w:rsidR="00E716C1">
        <w:rPr>
          <w:rFonts w:ascii="Times New Roman" w:hAnsi="Times New Roman"/>
          <w:sz w:val="24"/>
          <w:szCs w:val="24"/>
        </w:rPr>
        <w:t xml:space="preserve"> </w:t>
      </w:r>
      <w:r w:rsidR="005A7FDD" w:rsidRPr="0064746B">
        <w:rPr>
          <w:rFonts w:ascii="Times New Roman" w:hAnsi="Times New Roman"/>
          <w:sz w:val="24"/>
          <w:szCs w:val="24"/>
        </w:rPr>
        <w:t xml:space="preserve">Posebnu važnost u čitavom procesu ima </w:t>
      </w:r>
      <w:r w:rsidRPr="0064746B">
        <w:rPr>
          <w:rFonts w:ascii="Times New Roman" w:hAnsi="Times New Roman"/>
          <w:sz w:val="24"/>
          <w:szCs w:val="24"/>
        </w:rPr>
        <w:t xml:space="preserve">aktiviranje korisnika materijalnog obezbjeđenja koji su radno sposobni. </w:t>
      </w:r>
      <w:r w:rsidRPr="0064746B">
        <w:rPr>
          <w:rFonts w:ascii="Times New Roman" w:hAnsi="Times New Roman"/>
          <w:color w:val="000000"/>
          <w:sz w:val="24"/>
          <w:szCs w:val="24"/>
        </w:rPr>
        <w:t>Pojedinac</w:t>
      </w:r>
      <w:r w:rsidRPr="00802429">
        <w:rPr>
          <w:rFonts w:ascii="Times New Roman" w:hAnsi="Times New Roman"/>
          <w:color w:val="000000"/>
          <w:sz w:val="24"/>
          <w:szCs w:val="24"/>
        </w:rPr>
        <w:t xml:space="preserve"> koji je sposoban za rad ima pravo i dužnost da učestvuje u aktivnostima koje omogućavaju prevazilaženje njegove nepovoljne socijalne situacije, odnosno u sprovođenju mjera kojima se obezbjeđuje njegova socijalna uključenost. </w:t>
      </w:r>
      <w:r w:rsidRPr="00802429">
        <w:rPr>
          <w:rFonts w:ascii="Times New Roman" w:hAnsi="Times New Roman"/>
          <w:sz w:val="24"/>
          <w:szCs w:val="24"/>
        </w:rPr>
        <w:t>Centar za socijalni rad i Zavod za zapošljavanje dužni su da međusobno sarađuju u sprovođenju mjera socijalne uključenosti radno sposobnih korisnika materijalnog obezbjeđenja. Stoga, neophodno je unaprijediti saradnju između lokalnih biroa rada i centara za socijalni rad i ojačati njihove kapacitete, kako bi se olakšao proces aktivnog uključivanja radno sposobnih korisnika materijalnog obezbjeđenja na tržište rada.</w:t>
      </w:r>
    </w:p>
    <w:p w:rsidR="00E716C1" w:rsidRDefault="00E716C1" w:rsidP="00B75142">
      <w:pPr>
        <w:spacing w:after="0" w:line="240" w:lineRule="auto"/>
        <w:jc w:val="both"/>
        <w:rPr>
          <w:rFonts w:ascii="Times New Roman" w:hAnsi="Times New Roman"/>
          <w:sz w:val="24"/>
          <w:szCs w:val="24"/>
        </w:rPr>
      </w:pPr>
    </w:p>
    <w:p w:rsidR="00B75142" w:rsidRPr="00E716C1" w:rsidRDefault="00E716C1" w:rsidP="00B75142">
      <w:pPr>
        <w:spacing w:after="0" w:line="240" w:lineRule="auto"/>
        <w:jc w:val="both"/>
        <w:rPr>
          <w:rFonts w:ascii="Times New Roman" w:hAnsi="Times New Roman"/>
          <w:sz w:val="24"/>
          <w:szCs w:val="24"/>
        </w:rPr>
      </w:pPr>
      <w:r>
        <w:rPr>
          <w:rFonts w:ascii="Times New Roman" w:hAnsi="Times New Roman"/>
          <w:sz w:val="24"/>
          <w:szCs w:val="24"/>
        </w:rPr>
        <w:t>Sa druge strane</w:t>
      </w:r>
      <w:r w:rsidR="005A7FDD">
        <w:rPr>
          <w:rFonts w:ascii="Times New Roman" w:hAnsi="Times New Roman"/>
          <w:sz w:val="24"/>
          <w:szCs w:val="24"/>
        </w:rPr>
        <w:t xml:space="preserve">, </w:t>
      </w:r>
      <w:r w:rsidR="005A7FDD">
        <w:rPr>
          <w:rFonts w:ascii="Times New Roman" w:hAnsi="Times New Roman"/>
          <w:sz w:val="24"/>
          <w:szCs w:val="24"/>
          <w:lang w:val="bs-Latn-BA"/>
        </w:rPr>
        <w:t>a</w:t>
      </w:r>
      <w:r w:rsidR="00B75142" w:rsidRPr="00802429">
        <w:rPr>
          <w:rFonts w:ascii="Times New Roman" w:hAnsi="Times New Roman"/>
          <w:sz w:val="24"/>
          <w:szCs w:val="24"/>
          <w:lang w:val="bs-Latn-BA"/>
        </w:rPr>
        <w:t>ktivnosti koje će se razviti u okviru ovog cilja će podržati i projekte koji se odnose na uključivanje u mjere aktivne politike zapošljavanja izuzetno teško zapošljivih lica, uključujući korisnike socijalne pomoći, kao i projekte za opismenjavanje i osposobljavanje za zanimanja prihvatljiva na tržištu rada i zapošljavanje  pripadnika RE populacije.</w:t>
      </w:r>
    </w:p>
    <w:p w:rsidR="0018712B" w:rsidRDefault="0018712B" w:rsidP="00AF7945">
      <w:pPr>
        <w:spacing w:after="0" w:line="240" w:lineRule="auto"/>
        <w:jc w:val="both"/>
        <w:rPr>
          <w:rFonts w:ascii="Times New Roman" w:hAnsi="Times New Roman"/>
          <w:b/>
          <w:sz w:val="24"/>
          <w:szCs w:val="24"/>
          <w:lang w:val="bs-Latn-BA"/>
        </w:rPr>
      </w:pPr>
    </w:p>
    <w:p w:rsidR="00B21EF9" w:rsidRPr="00AF7945" w:rsidRDefault="000805DC" w:rsidP="009112F6">
      <w:pPr>
        <w:spacing w:after="0" w:line="240" w:lineRule="auto"/>
        <w:jc w:val="both"/>
        <w:rPr>
          <w:rFonts w:ascii="Times New Roman" w:hAnsi="Times New Roman"/>
          <w:sz w:val="24"/>
          <w:szCs w:val="24"/>
          <w:lang w:val="bs-Latn-BA"/>
        </w:rPr>
      </w:pPr>
      <w:r w:rsidRPr="000805DC">
        <w:rPr>
          <w:rFonts w:ascii="Times New Roman" w:hAnsi="Times New Roman"/>
          <w:sz w:val="24"/>
          <w:szCs w:val="24"/>
          <w:lang w:val="bs-Latn-BA"/>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cilju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uklju</w:t>
      </w:r>
      <w:r w:rsidR="00B21EF9" w:rsidRPr="00802429">
        <w:rPr>
          <w:rFonts w:ascii="Times New Roman" w:hAnsi="Times New Roman"/>
          <w:sz w:val="24"/>
          <w:szCs w:val="24"/>
          <w:lang w:val="bs-Latn-BA"/>
        </w:rPr>
        <w:t>č</w:t>
      </w:r>
      <w:r w:rsidRPr="000805DC">
        <w:rPr>
          <w:rFonts w:ascii="Times New Roman" w:hAnsi="Times New Roman"/>
          <w:sz w:val="24"/>
          <w:szCs w:val="24"/>
          <w:lang w:val="bs-Latn-BA"/>
        </w:rPr>
        <w:t>ivanja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radno</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sposobnih</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korisnika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materijalnog</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obezbje</w:t>
      </w:r>
      <w:r w:rsidR="00B21EF9" w:rsidRPr="00802429">
        <w:rPr>
          <w:rFonts w:ascii="Times New Roman" w:hAnsi="Times New Roman"/>
          <w:sz w:val="24"/>
          <w:szCs w:val="24"/>
          <w:lang w:val="bs-Latn-BA"/>
        </w:rPr>
        <w:t>đ</w:t>
      </w:r>
      <w:r w:rsidRPr="000805DC">
        <w:rPr>
          <w:rFonts w:ascii="Times New Roman" w:hAnsi="Times New Roman"/>
          <w:sz w:val="24"/>
          <w:szCs w:val="24"/>
          <w:lang w:val="bs-Latn-BA"/>
        </w:rPr>
        <w:t>enja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na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tr</w:t>
      </w:r>
      <w:r w:rsidR="00B21EF9" w:rsidRPr="00802429">
        <w:rPr>
          <w:rFonts w:ascii="Times New Roman" w:hAnsi="Times New Roman"/>
          <w:sz w:val="24"/>
          <w:szCs w:val="24"/>
          <w:lang w:val="bs-Latn-BA"/>
        </w:rPr>
        <w:t>ž</w:t>
      </w:r>
      <w:r w:rsidRPr="000805DC">
        <w:rPr>
          <w:rFonts w:ascii="Times New Roman" w:hAnsi="Times New Roman"/>
          <w:sz w:val="24"/>
          <w:szCs w:val="24"/>
          <w:lang w:val="bs-Latn-BA"/>
        </w:rPr>
        <w:t>i</w:t>
      </w:r>
      <w:r w:rsidR="00B21EF9" w:rsidRPr="00802429">
        <w:rPr>
          <w:rFonts w:ascii="Times New Roman" w:hAnsi="Times New Roman"/>
          <w:sz w:val="24"/>
          <w:szCs w:val="24"/>
          <w:lang w:val="bs-Latn-BA"/>
        </w:rPr>
        <w:t>š</w:t>
      </w:r>
      <w:r w:rsidRPr="000805DC">
        <w:rPr>
          <w:rFonts w:ascii="Times New Roman" w:hAnsi="Times New Roman"/>
          <w:sz w:val="24"/>
          <w:szCs w:val="24"/>
          <w:lang w:val="bs-Latn-BA"/>
        </w:rPr>
        <w:t>te</w:t>
      </w:r>
      <w:r w:rsidR="00AF7945">
        <w:rPr>
          <w:rFonts w:ascii="Times New Roman" w:hAnsi="Times New Roman"/>
          <w:sz w:val="24"/>
          <w:szCs w:val="24"/>
          <w:lang w:val="bs-Latn-BA"/>
        </w:rPr>
        <w:t xml:space="preserve">, potrebno je </w:t>
      </w:r>
      <w:r w:rsidR="00AF7945">
        <w:rPr>
          <w:rFonts w:ascii="Times New Roman" w:hAnsi="Times New Roman"/>
          <w:sz w:val="24"/>
          <w:szCs w:val="24"/>
          <w:lang w:val="pl-PL"/>
        </w:rPr>
        <w:t xml:space="preserve">unaprijediti </w:t>
      </w:r>
      <w:r w:rsidRPr="000805DC">
        <w:rPr>
          <w:rFonts w:ascii="Times New Roman" w:hAnsi="Times New Roman"/>
          <w:sz w:val="24"/>
          <w:szCs w:val="24"/>
          <w:lang w:val="pl-PL"/>
        </w:rPr>
        <w:t>saradnj</w:t>
      </w:r>
      <w:r w:rsidR="00AF7945">
        <w:rPr>
          <w:rFonts w:ascii="Times New Roman" w:hAnsi="Times New Roman"/>
          <w:sz w:val="24"/>
          <w:szCs w:val="24"/>
          <w:lang w:val="pl-PL"/>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razmjen</w:t>
      </w:r>
      <w:r w:rsidR="00AF7945">
        <w:rPr>
          <w:rFonts w:ascii="Times New Roman" w:hAnsi="Times New Roman"/>
          <w:sz w:val="24"/>
          <w:szCs w:val="24"/>
          <w:lang w:val="pl-PL"/>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podataka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izme</w:t>
      </w:r>
      <w:r w:rsidR="00B21EF9" w:rsidRPr="00802429">
        <w:rPr>
          <w:rFonts w:ascii="Times New Roman" w:hAnsi="Times New Roman"/>
          <w:sz w:val="24"/>
          <w:szCs w:val="24"/>
          <w:lang w:val="bs-Latn-BA"/>
        </w:rPr>
        <w:t>đ</w:t>
      </w:r>
      <w:r w:rsidRPr="000805DC">
        <w:rPr>
          <w:rFonts w:ascii="Times New Roman" w:hAnsi="Times New Roman"/>
          <w:sz w:val="24"/>
          <w:szCs w:val="24"/>
          <w:lang w:val="pl-PL"/>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centara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socijalni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rad</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Zavoda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zapo</w:t>
      </w:r>
      <w:r w:rsidR="00B21EF9" w:rsidRPr="00802429">
        <w:rPr>
          <w:rFonts w:ascii="Times New Roman" w:hAnsi="Times New Roman"/>
          <w:sz w:val="24"/>
          <w:szCs w:val="24"/>
          <w:lang w:val="bs-Latn-BA"/>
        </w:rPr>
        <w:t>š</w:t>
      </w:r>
      <w:r w:rsidRPr="000805DC">
        <w:rPr>
          <w:rFonts w:ascii="Times New Roman" w:hAnsi="Times New Roman"/>
          <w:sz w:val="24"/>
          <w:szCs w:val="24"/>
          <w:lang w:val="pl-PL"/>
        </w:rPr>
        <w:t>ljavanje</w:t>
      </w:r>
      <w:r w:rsidR="00AF7945">
        <w:rPr>
          <w:rFonts w:ascii="Times New Roman" w:hAnsi="Times New Roman"/>
          <w:sz w:val="24"/>
          <w:szCs w:val="24"/>
          <w:lang w:val="bs-Latn-BA"/>
        </w:rPr>
        <w:t xml:space="preserve"> i  </w:t>
      </w:r>
      <w:r w:rsidR="009112F6">
        <w:rPr>
          <w:rFonts w:ascii="Times New Roman" w:hAnsi="Times New Roman"/>
          <w:sz w:val="24"/>
          <w:szCs w:val="24"/>
          <w:lang w:val="bs-Latn-BA"/>
        </w:rPr>
        <w:t xml:space="preserve">sa ciljem sprovođenja </w:t>
      </w:r>
      <w:r w:rsidRPr="000805DC">
        <w:rPr>
          <w:rFonts w:ascii="Times New Roman" w:hAnsi="Times New Roman"/>
          <w:sz w:val="24"/>
          <w:szCs w:val="24"/>
          <w:lang w:val="bs-Latn-BA"/>
        </w:rPr>
        <w:t>individualnog</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plana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bs-Latn-BA"/>
        </w:rPr>
        <w:t>aktivacije</w:t>
      </w:r>
      <w:r w:rsidR="00AF7945">
        <w:rPr>
          <w:rFonts w:ascii="Times New Roman" w:hAnsi="Times New Roman"/>
          <w:sz w:val="24"/>
          <w:szCs w:val="24"/>
          <w:lang w:val="bs-Latn-BA"/>
        </w:rPr>
        <w:t xml:space="preserve">. Takođe, postoji prostor za </w:t>
      </w:r>
      <w:r w:rsidRPr="000805DC">
        <w:rPr>
          <w:rFonts w:ascii="Times New Roman" w:hAnsi="Times New Roman"/>
          <w:sz w:val="24"/>
          <w:szCs w:val="24"/>
          <w:lang w:val="pl-PL"/>
        </w:rPr>
        <w:t>napre</w:t>
      </w:r>
      <w:r w:rsidR="00B21EF9" w:rsidRPr="00802429">
        <w:rPr>
          <w:rFonts w:ascii="Times New Roman" w:hAnsi="Times New Roman"/>
          <w:sz w:val="24"/>
          <w:szCs w:val="24"/>
          <w:lang w:val="bs-Latn-BA"/>
        </w:rPr>
        <w:t>đ</w:t>
      </w:r>
      <w:r w:rsidRPr="000805DC">
        <w:rPr>
          <w:rFonts w:ascii="Times New Roman" w:hAnsi="Times New Roman"/>
          <w:sz w:val="24"/>
          <w:szCs w:val="24"/>
          <w:lang w:val="pl-PL"/>
        </w:rPr>
        <w:t>enje</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profesionalnih</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znanja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vje</w:t>
      </w:r>
      <w:r w:rsidR="00B21EF9" w:rsidRPr="00802429">
        <w:rPr>
          <w:rFonts w:ascii="Times New Roman" w:hAnsi="Times New Roman"/>
          <w:sz w:val="24"/>
          <w:szCs w:val="24"/>
          <w:lang w:val="bs-Latn-BA"/>
        </w:rPr>
        <w:t>š</w:t>
      </w:r>
      <w:r w:rsidRPr="000805DC">
        <w:rPr>
          <w:rFonts w:ascii="Times New Roman" w:hAnsi="Times New Roman"/>
          <w:sz w:val="24"/>
          <w:szCs w:val="24"/>
          <w:lang w:val="pl-PL"/>
        </w:rPr>
        <w:t>tina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stru</w:t>
      </w:r>
      <w:r w:rsidR="00B21EF9" w:rsidRPr="00802429">
        <w:rPr>
          <w:rFonts w:ascii="Times New Roman" w:hAnsi="Times New Roman"/>
          <w:sz w:val="24"/>
          <w:szCs w:val="24"/>
          <w:lang w:val="bs-Latn-BA"/>
        </w:rPr>
        <w:t>č</w:t>
      </w:r>
      <w:r w:rsidRPr="000805DC">
        <w:rPr>
          <w:rFonts w:ascii="Times New Roman" w:hAnsi="Times New Roman"/>
          <w:sz w:val="24"/>
          <w:szCs w:val="24"/>
          <w:lang w:val="pl-PL"/>
        </w:rPr>
        <w:t>nih</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radnika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centrima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socijalni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rad</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i</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lokalnim</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biroima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rada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kada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je</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pitanju</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uklju</w:t>
      </w:r>
      <w:r w:rsidR="00B21EF9" w:rsidRPr="00802429">
        <w:rPr>
          <w:rFonts w:ascii="Times New Roman" w:hAnsi="Times New Roman"/>
          <w:sz w:val="24"/>
          <w:szCs w:val="24"/>
          <w:lang w:val="bs-Latn-BA"/>
        </w:rPr>
        <w:t>č</w:t>
      </w:r>
      <w:r w:rsidRPr="000805DC">
        <w:rPr>
          <w:rFonts w:ascii="Times New Roman" w:hAnsi="Times New Roman"/>
          <w:sz w:val="24"/>
          <w:szCs w:val="24"/>
          <w:lang w:val="pl-PL"/>
        </w:rPr>
        <w:t>ivanje</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te</w:t>
      </w:r>
      <w:r w:rsidR="00B21EF9" w:rsidRPr="00802429">
        <w:rPr>
          <w:rFonts w:ascii="Times New Roman" w:hAnsi="Times New Roman"/>
          <w:sz w:val="24"/>
          <w:szCs w:val="24"/>
          <w:lang w:val="bs-Latn-BA"/>
        </w:rPr>
        <w:t>ž</w:t>
      </w:r>
      <w:r w:rsidRPr="000805DC">
        <w:rPr>
          <w:rFonts w:ascii="Times New Roman" w:hAnsi="Times New Roman"/>
          <w:sz w:val="24"/>
          <w:szCs w:val="24"/>
          <w:lang w:val="pl-PL"/>
        </w:rPr>
        <w:t>e</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zapo</w:t>
      </w:r>
      <w:r w:rsidR="00B21EF9" w:rsidRPr="00802429">
        <w:rPr>
          <w:rFonts w:ascii="Times New Roman" w:hAnsi="Times New Roman"/>
          <w:sz w:val="24"/>
          <w:szCs w:val="24"/>
          <w:lang w:val="bs-Latn-BA"/>
        </w:rPr>
        <w:t>š</w:t>
      </w:r>
      <w:r w:rsidRPr="000805DC">
        <w:rPr>
          <w:rFonts w:ascii="Times New Roman" w:hAnsi="Times New Roman"/>
          <w:sz w:val="24"/>
          <w:szCs w:val="24"/>
          <w:lang w:val="pl-PL"/>
        </w:rPr>
        <w:t>ljivih</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lica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na</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tr</w:t>
      </w:r>
      <w:r w:rsidR="00B21EF9" w:rsidRPr="00802429">
        <w:rPr>
          <w:rFonts w:ascii="Times New Roman" w:hAnsi="Times New Roman"/>
          <w:sz w:val="24"/>
          <w:szCs w:val="24"/>
          <w:lang w:val="bs-Latn-BA"/>
        </w:rPr>
        <w:t>ž</w:t>
      </w:r>
      <w:r w:rsidRPr="000805DC">
        <w:rPr>
          <w:rFonts w:ascii="Times New Roman" w:hAnsi="Times New Roman"/>
          <w:sz w:val="24"/>
          <w:szCs w:val="24"/>
          <w:lang w:val="pl-PL"/>
        </w:rPr>
        <w:t>i</w:t>
      </w:r>
      <w:r w:rsidR="00B21EF9" w:rsidRPr="00802429">
        <w:rPr>
          <w:rFonts w:ascii="Times New Roman" w:hAnsi="Times New Roman"/>
          <w:sz w:val="24"/>
          <w:szCs w:val="24"/>
          <w:lang w:val="bs-Latn-BA"/>
        </w:rPr>
        <w:t>š</w:t>
      </w:r>
      <w:r w:rsidRPr="000805DC">
        <w:rPr>
          <w:rFonts w:ascii="Times New Roman" w:hAnsi="Times New Roman"/>
          <w:sz w:val="24"/>
          <w:szCs w:val="24"/>
          <w:lang w:val="pl-PL"/>
        </w:rPr>
        <w:t>te</w:t>
      </w:r>
      <w:r w:rsidR="00B21EF9" w:rsidRPr="00802429">
        <w:rPr>
          <w:rFonts w:ascii="Times New Roman" w:hAnsi="Times New Roman"/>
          <w:sz w:val="24"/>
          <w:szCs w:val="24"/>
          <w:lang w:val="bs-Latn-BA"/>
        </w:rPr>
        <w:t xml:space="preserve"> </w:t>
      </w:r>
      <w:r w:rsidRPr="000805DC">
        <w:rPr>
          <w:rFonts w:ascii="Times New Roman" w:hAnsi="Times New Roman"/>
          <w:sz w:val="24"/>
          <w:szCs w:val="24"/>
          <w:lang w:val="pl-PL"/>
        </w:rPr>
        <w:t>rada</w:t>
      </w:r>
      <w:r w:rsidR="00AF7945">
        <w:rPr>
          <w:rFonts w:ascii="Times New Roman" w:hAnsi="Times New Roman"/>
          <w:sz w:val="24"/>
          <w:szCs w:val="24"/>
          <w:lang w:val="bs-Latn-BA"/>
        </w:rPr>
        <w:t>.</w:t>
      </w:r>
    </w:p>
    <w:p w:rsidR="00B21EF9" w:rsidRPr="00802429" w:rsidRDefault="00B21EF9" w:rsidP="009112F6">
      <w:pPr>
        <w:spacing w:after="0" w:line="240" w:lineRule="auto"/>
        <w:jc w:val="both"/>
        <w:rPr>
          <w:rFonts w:ascii="Times New Roman" w:hAnsi="Times New Roman"/>
          <w:b/>
          <w:sz w:val="24"/>
          <w:szCs w:val="24"/>
          <w:lang w:val="en-US"/>
        </w:rPr>
      </w:pPr>
    </w:p>
    <w:p w:rsidR="00B21EF9" w:rsidRPr="00802429" w:rsidRDefault="00AF7945" w:rsidP="009112F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Takođe, process </w:t>
      </w:r>
      <w:r w:rsidR="00B21EF9" w:rsidRPr="00802429">
        <w:rPr>
          <w:rFonts w:ascii="Times New Roman" w:hAnsi="Times New Roman"/>
          <w:sz w:val="24"/>
          <w:szCs w:val="24"/>
          <w:lang w:val="en-US"/>
        </w:rPr>
        <w:t>uključivanj</w:t>
      </w:r>
      <w:r>
        <w:rPr>
          <w:rFonts w:ascii="Times New Roman" w:hAnsi="Times New Roman"/>
          <w:sz w:val="24"/>
          <w:szCs w:val="24"/>
          <w:lang w:val="en-US"/>
        </w:rPr>
        <w:t>a</w:t>
      </w:r>
      <w:r w:rsidR="00B21EF9" w:rsidRPr="00802429">
        <w:rPr>
          <w:rFonts w:ascii="Times New Roman" w:hAnsi="Times New Roman"/>
          <w:sz w:val="24"/>
          <w:szCs w:val="24"/>
          <w:lang w:val="en-US"/>
        </w:rPr>
        <w:t xml:space="preserve"> teže zapošljivih lica na tržište rada </w:t>
      </w:r>
      <w:r>
        <w:rPr>
          <w:rFonts w:ascii="Times New Roman" w:hAnsi="Times New Roman"/>
          <w:sz w:val="24"/>
          <w:szCs w:val="24"/>
          <w:lang w:val="en-US"/>
        </w:rPr>
        <w:t>sprovodiće se kroz finansiranje</w:t>
      </w:r>
      <w:r w:rsidR="00B21EF9" w:rsidRPr="00802429">
        <w:rPr>
          <w:rFonts w:ascii="Times New Roman" w:hAnsi="Times New Roman"/>
          <w:sz w:val="24"/>
          <w:szCs w:val="24"/>
          <w:lang w:val="en-US"/>
        </w:rPr>
        <w:t xml:space="preserve"> grant šem</w:t>
      </w:r>
      <w:r>
        <w:rPr>
          <w:rFonts w:ascii="Times New Roman" w:hAnsi="Times New Roman"/>
          <w:sz w:val="24"/>
          <w:szCs w:val="24"/>
          <w:lang w:val="en-US"/>
        </w:rPr>
        <w:t>a</w:t>
      </w:r>
      <w:r w:rsidR="00B21EF9" w:rsidRPr="00802429">
        <w:rPr>
          <w:rFonts w:ascii="Times New Roman" w:hAnsi="Times New Roman"/>
          <w:sz w:val="24"/>
          <w:szCs w:val="24"/>
          <w:lang w:val="en-US"/>
        </w:rPr>
        <w:t xml:space="preserve"> za podsticanje zapošljavanja pripadnika RE populacije i drugih izrazito teško zapošljivih lica</w:t>
      </w:r>
      <w:r>
        <w:rPr>
          <w:rFonts w:ascii="Times New Roman" w:hAnsi="Times New Roman"/>
          <w:sz w:val="24"/>
          <w:szCs w:val="24"/>
          <w:lang w:val="en-US"/>
        </w:rPr>
        <w:t xml:space="preserve"> i o</w:t>
      </w:r>
      <w:r w:rsidR="000805DC" w:rsidRPr="000805DC">
        <w:rPr>
          <w:rFonts w:ascii="Times New Roman" w:hAnsi="Times New Roman"/>
          <w:sz w:val="24"/>
          <w:szCs w:val="24"/>
          <w:lang w:val="pl-PL"/>
        </w:rPr>
        <w:t>rganizovati programe za sticanje prve kvalifikacije za zanimanje za lica koja nemaju stručnu spremu</w:t>
      </w:r>
    </w:p>
    <w:p w:rsidR="00164469" w:rsidRDefault="00164469" w:rsidP="00B0540C">
      <w:pPr>
        <w:pStyle w:val="Heading1"/>
      </w:pPr>
    </w:p>
    <w:p w:rsidR="00164469" w:rsidRDefault="00164469" w:rsidP="00B0540C">
      <w:pPr>
        <w:pStyle w:val="Heading1"/>
      </w:pPr>
    </w:p>
    <w:p w:rsidR="00164469" w:rsidRDefault="00164469" w:rsidP="00164469"/>
    <w:p w:rsidR="00164469" w:rsidRDefault="00164469" w:rsidP="00164469"/>
    <w:p w:rsidR="00164469" w:rsidRDefault="00164469" w:rsidP="00164469"/>
    <w:p w:rsidR="00164469" w:rsidRDefault="00164469" w:rsidP="00164469"/>
    <w:p w:rsidR="00164469" w:rsidRDefault="00164469" w:rsidP="00164469">
      <w:pPr>
        <w:pStyle w:val="Heading1"/>
      </w:pPr>
      <w:bookmarkStart w:id="35" w:name="_Toc435454498"/>
      <w:r>
        <w:lastRenderedPageBreak/>
        <w:t xml:space="preserve">Dio IV: </w:t>
      </w:r>
      <w:r w:rsidR="009A532D">
        <w:t>Koordinacija i implementacija Strategije</w:t>
      </w:r>
      <w:bookmarkEnd w:id="35"/>
    </w:p>
    <w:p w:rsidR="00164469" w:rsidRDefault="00164469" w:rsidP="00164469"/>
    <w:p w:rsidR="00FF48FA" w:rsidRPr="008B43CD" w:rsidRDefault="00992DED" w:rsidP="00FF48FA">
      <w:pPr>
        <w:jc w:val="both"/>
        <w:rPr>
          <w:rFonts w:ascii="Times New Roman" w:hAnsi="Times New Roman"/>
          <w:sz w:val="24"/>
          <w:szCs w:val="24"/>
        </w:rPr>
      </w:pPr>
      <w:r w:rsidRPr="008B43CD">
        <w:rPr>
          <w:rFonts w:ascii="Times New Roman" w:hAnsi="Times New Roman"/>
          <w:sz w:val="24"/>
          <w:szCs w:val="24"/>
        </w:rPr>
        <w:t xml:space="preserve">Nacionalna </w:t>
      </w:r>
      <w:r w:rsidR="004A1636">
        <w:rPr>
          <w:rFonts w:ascii="Times New Roman" w:hAnsi="Times New Roman"/>
          <w:sz w:val="24"/>
          <w:szCs w:val="24"/>
        </w:rPr>
        <w:t>s</w:t>
      </w:r>
      <w:r w:rsidR="00FF48FA" w:rsidRPr="008B43CD">
        <w:rPr>
          <w:rFonts w:ascii="Times New Roman" w:hAnsi="Times New Roman"/>
          <w:sz w:val="24"/>
          <w:szCs w:val="24"/>
        </w:rPr>
        <w:t>trategija zapošljavanja i razvoja ljudskih resursa</w:t>
      </w:r>
      <w:r w:rsidRPr="008B43CD">
        <w:rPr>
          <w:rFonts w:ascii="Times New Roman" w:hAnsi="Times New Roman"/>
          <w:sz w:val="24"/>
          <w:szCs w:val="24"/>
        </w:rPr>
        <w:t xml:space="preserve"> 2016-2020</w:t>
      </w:r>
      <w:r w:rsidR="00FF48FA" w:rsidRPr="008B43CD">
        <w:rPr>
          <w:rFonts w:ascii="Times New Roman" w:hAnsi="Times New Roman"/>
          <w:sz w:val="24"/>
          <w:szCs w:val="24"/>
        </w:rPr>
        <w:t xml:space="preserve"> predstavlja </w:t>
      </w:r>
      <w:r w:rsidR="009270A5">
        <w:rPr>
          <w:rFonts w:ascii="Times New Roman" w:hAnsi="Times New Roman"/>
          <w:sz w:val="24"/>
          <w:szCs w:val="24"/>
        </w:rPr>
        <w:t>strateški okvir</w:t>
      </w:r>
      <w:r w:rsidR="00FF48FA" w:rsidRPr="008B43CD">
        <w:rPr>
          <w:rFonts w:ascii="Times New Roman" w:hAnsi="Times New Roman"/>
          <w:sz w:val="24"/>
          <w:szCs w:val="24"/>
        </w:rPr>
        <w:t xml:space="preserve"> za politiku </w:t>
      </w:r>
      <w:r w:rsidR="009A532D" w:rsidRPr="008B43CD">
        <w:rPr>
          <w:rFonts w:ascii="Times New Roman" w:hAnsi="Times New Roman"/>
          <w:sz w:val="24"/>
          <w:szCs w:val="24"/>
        </w:rPr>
        <w:t>zapošljavanja u Crnoj Gori</w:t>
      </w:r>
      <w:r w:rsidR="00FF48FA" w:rsidRPr="008B43CD">
        <w:rPr>
          <w:rFonts w:ascii="Times New Roman" w:hAnsi="Times New Roman"/>
          <w:sz w:val="24"/>
          <w:szCs w:val="24"/>
        </w:rPr>
        <w:t>, te je izradi ovog dokumenta pristupljeno sa posebnom pažnjom i u skladu sa potrebama procesa pristupanja i usaglašavanja sa konkretnim politikama EU u oblasti zapošljavanja. Prilikom izrade, u obzir su uzeti ključni nacionalni razvojni dokumenti kao i relevantni evropski strateški dokumenti.</w:t>
      </w:r>
    </w:p>
    <w:p w:rsidR="00FF48FA" w:rsidRPr="008B43CD" w:rsidRDefault="00FF48FA" w:rsidP="00FF48FA">
      <w:pPr>
        <w:jc w:val="both"/>
        <w:rPr>
          <w:rFonts w:ascii="Times New Roman" w:hAnsi="Times New Roman"/>
          <w:sz w:val="24"/>
          <w:szCs w:val="24"/>
        </w:rPr>
      </w:pPr>
      <w:r w:rsidRPr="008B43CD">
        <w:rPr>
          <w:rFonts w:ascii="Times New Roman" w:hAnsi="Times New Roman"/>
          <w:sz w:val="24"/>
          <w:szCs w:val="24"/>
        </w:rPr>
        <w:t>U procesu izrade Strategije učestvovali su predstavnici relevantnih državnih institucija, socijalnih partnera i civilnog sekora. Takođe,</w:t>
      </w:r>
      <w:r w:rsidR="004376EB" w:rsidRPr="008B43CD">
        <w:rPr>
          <w:rFonts w:ascii="Times New Roman" w:hAnsi="Times New Roman"/>
          <w:sz w:val="24"/>
          <w:szCs w:val="24"/>
        </w:rPr>
        <w:t xml:space="preserve"> posebnu podršku</w:t>
      </w:r>
      <w:r w:rsidRPr="008B43CD">
        <w:rPr>
          <w:rFonts w:ascii="Times New Roman" w:hAnsi="Times New Roman"/>
          <w:sz w:val="24"/>
          <w:szCs w:val="24"/>
        </w:rPr>
        <w:t xml:space="preserve"> u izradi dokumenta pružio je tim Svjetske banke </w:t>
      </w:r>
      <w:r w:rsidR="004376EB" w:rsidRPr="008B43CD">
        <w:rPr>
          <w:rFonts w:ascii="Times New Roman" w:hAnsi="Times New Roman"/>
          <w:sz w:val="24"/>
          <w:szCs w:val="24"/>
        </w:rPr>
        <w:t>kroz učešće eksperta prof dr Mihaila Arandarenka, čiji se doprinos ogleda u definisanju ključnih prioriteta i pojedinačnih ciljeva strategije.</w:t>
      </w:r>
    </w:p>
    <w:p w:rsidR="004A1636" w:rsidRDefault="009A532D" w:rsidP="009A532D">
      <w:pPr>
        <w:jc w:val="both"/>
        <w:rPr>
          <w:rFonts w:ascii="Times New Roman" w:hAnsi="Times New Roman"/>
          <w:sz w:val="24"/>
          <w:szCs w:val="24"/>
        </w:rPr>
      </w:pPr>
      <w:r w:rsidRPr="008B43CD">
        <w:rPr>
          <w:rFonts w:ascii="Times New Roman" w:hAnsi="Times New Roman"/>
          <w:sz w:val="24"/>
          <w:szCs w:val="24"/>
        </w:rPr>
        <w:t>Sprovođenje Nacionalne strategije zapošljavanja i razvoja ljudskih resursa 2016-2020  zasnivaće se na godišnjim akcionim planovima kojima se utvđuju mjere i aktivnosti za ostvarivanje ciljeva u okviru svakog od prioriteta.</w:t>
      </w:r>
      <w:r w:rsidR="00884D88" w:rsidRPr="008B43CD">
        <w:rPr>
          <w:rFonts w:ascii="Times New Roman" w:hAnsi="Times New Roman"/>
          <w:sz w:val="24"/>
          <w:szCs w:val="24"/>
        </w:rPr>
        <w:t xml:space="preserve"> </w:t>
      </w:r>
      <w:r w:rsidRPr="008B43CD">
        <w:rPr>
          <w:rFonts w:ascii="Times New Roman" w:hAnsi="Times New Roman"/>
          <w:sz w:val="24"/>
          <w:szCs w:val="24"/>
        </w:rPr>
        <w:t>Ovaj proces podrazumijeva poštovanje principa podjele nadležnosti između resornih instutucija i njihovu koordinaciju.</w:t>
      </w:r>
    </w:p>
    <w:p w:rsidR="009A532D" w:rsidRPr="008B43CD" w:rsidRDefault="00884D88" w:rsidP="009A532D">
      <w:pPr>
        <w:jc w:val="both"/>
        <w:rPr>
          <w:rFonts w:ascii="Times New Roman" w:hAnsi="Times New Roman"/>
          <w:sz w:val="24"/>
          <w:szCs w:val="24"/>
        </w:rPr>
      </w:pPr>
      <w:r w:rsidRPr="008B43CD">
        <w:rPr>
          <w:rFonts w:ascii="Times New Roman" w:hAnsi="Times New Roman"/>
          <w:sz w:val="24"/>
          <w:szCs w:val="24"/>
        </w:rPr>
        <w:t xml:space="preserve"> </w:t>
      </w:r>
      <w:r w:rsidR="009A532D" w:rsidRPr="008B43CD">
        <w:rPr>
          <w:rFonts w:ascii="Times New Roman" w:hAnsi="Times New Roman"/>
          <w:sz w:val="24"/>
          <w:szCs w:val="24"/>
        </w:rPr>
        <w:t>Ocjena uspješnosti realizacije Strategije, pored izvještaja o realizaciji godišnjih akcionih planova, oslanjaće se na zvanične statističke podatke i podatke sadržane u međunarodnim izvještajima, dok će se</w:t>
      </w:r>
      <w:r w:rsidRPr="008B43CD">
        <w:rPr>
          <w:rFonts w:ascii="Times New Roman" w:hAnsi="Times New Roman"/>
          <w:sz w:val="24"/>
          <w:szCs w:val="24"/>
        </w:rPr>
        <w:t xml:space="preserve"> pojedini indikatori pratiti kroz podatke iz administrativnih izvora.</w:t>
      </w:r>
    </w:p>
    <w:p w:rsidR="00164469" w:rsidRPr="008B43CD" w:rsidRDefault="00884D88" w:rsidP="00884D88">
      <w:pPr>
        <w:jc w:val="both"/>
        <w:rPr>
          <w:rFonts w:ascii="Times New Roman" w:hAnsi="Times New Roman"/>
          <w:sz w:val="24"/>
          <w:szCs w:val="24"/>
        </w:rPr>
      </w:pPr>
      <w:r w:rsidRPr="008B43CD">
        <w:rPr>
          <w:rFonts w:ascii="Times New Roman" w:hAnsi="Times New Roman"/>
          <w:sz w:val="24"/>
          <w:szCs w:val="24"/>
        </w:rPr>
        <w:t>Finansijski okvir, odnosno osnov za procjenu ukupnih sredstava opredijeljenih za realizaciju Strategije će biti procijenjen na osnovu godišnjih akcionih planova koji će obuhvatiti nacionalne i druge izvore finansiranja.</w:t>
      </w:r>
    </w:p>
    <w:p w:rsidR="00B0540C" w:rsidRPr="00B0540C" w:rsidRDefault="00B0540C" w:rsidP="005A04CB">
      <w:pPr>
        <w:spacing w:after="0"/>
        <w:jc w:val="both"/>
        <w:rPr>
          <w:rFonts w:ascii="Times New Roman" w:hAnsi="Times New Roman"/>
          <w:sz w:val="24"/>
          <w:szCs w:val="24"/>
        </w:rPr>
      </w:pPr>
    </w:p>
    <w:sectPr w:rsidR="00B0540C" w:rsidRPr="00B0540C" w:rsidSect="005A44D0">
      <w:footerReference w:type="default" r:id="rId9"/>
      <w:pgSz w:w="11906" w:h="16838" w:code="9"/>
      <w:pgMar w:top="1411" w:right="1138" w:bottom="1411" w:left="1699"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B4" w:rsidRDefault="00875BB4" w:rsidP="00C4429E">
      <w:pPr>
        <w:spacing w:after="0" w:line="240" w:lineRule="auto"/>
      </w:pPr>
      <w:r>
        <w:separator/>
      </w:r>
    </w:p>
  </w:endnote>
  <w:endnote w:type="continuationSeparator" w:id="1">
    <w:p w:rsidR="00875BB4" w:rsidRDefault="00875BB4" w:rsidP="00C44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Monotype Corsiva">
    <w:panose1 w:val="03010101010201010101"/>
    <w:charset w:val="00"/>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1985"/>
      <w:docPartObj>
        <w:docPartGallery w:val="Page Numbers (Bottom of Page)"/>
        <w:docPartUnique/>
      </w:docPartObj>
    </w:sdtPr>
    <w:sdtContent>
      <w:p w:rsidR="005A44D0" w:rsidRDefault="005A44D0">
        <w:pPr>
          <w:pStyle w:val="Footer"/>
          <w:jc w:val="center"/>
        </w:pPr>
        <w:fldSimple w:instr=" PAGE   \* MERGEFORMAT ">
          <w:r>
            <w:rPr>
              <w:noProof/>
            </w:rPr>
            <w:t>2</w:t>
          </w:r>
        </w:fldSimple>
      </w:p>
    </w:sdtContent>
  </w:sdt>
  <w:p w:rsidR="00960630" w:rsidRDefault="00960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B4" w:rsidRDefault="00875BB4" w:rsidP="00C4429E">
      <w:pPr>
        <w:spacing w:after="0" w:line="240" w:lineRule="auto"/>
      </w:pPr>
      <w:r>
        <w:separator/>
      </w:r>
    </w:p>
  </w:footnote>
  <w:footnote w:type="continuationSeparator" w:id="1">
    <w:p w:rsidR="00875BB4" w:rsidRDefault="00875BB4" w:rsidP="00C4429E">
      <w:pPr>
        <w:spacing w:after="0" w:line="240" w:lineRule="auto"/>
      </w:pPr>
      <w:r>
        <w:continuationSeparator/>
      </w:r>
    </w:p>
  </w:footnote>
  <w:footnote w:id="2">
    <w:p w:rsidR="00960630" w:rsidRPr="00AA6A3B" w:rsidRDefault="00960630" w:rsidP="002E2851">
      <w:pPr>
        <w:pStyle w:val="FootnoteText"/>
        <w:jc w:val="both"/>
        <w:rPr>
          <w:lang w:val="pl-PL"/>
        </w:rPr>
      </w:pPr>
      <w:r w:rsidRPr="000202EA">
        <w:rPr>
          <w:rStyle w:val="FootnoteReference"/>
          <w:rFonts w:ascii="Times New Roman" w:hAnsi="Times New Roman"/>
        </w:rPr>
        <w:footnoteRef/>
      </w:r>
      <w:r w:rsidRPr="00901384">
        <w:rPr>
          <w:rFonts w:ascii="Times New Roman" w:hAnsi="Times New Roman"/>
          <w:lang w:val="pl-PL"/>
        </w:rPr>
        <w:t xml:space="preserve"> Izvori podataka: ZZZCG – Godišnji izvještaj o radu 2011, 2012, 2013. i 2014; MONSTAT - Anketa o radnoj snazi 2011, 2012, 2013. i 2014; MONSTAT - Analiza siromastva u Crnoj Gori 2013. MONSTAT – Podaci o broju stanovnika i broju djece upisane u predškolske ustanove.</w:t>
      </w:r>
    </w:p>
  </w:footnote>
  <w:footnote w:id="3">
    <w:p w:rsidR="00960630" w:rsidRPr="00AA6A3B" w:rsidRDefault="00960630">
      <w:pPr>
        <w:pStyle w:val="FootnoteText"/>
        <w:rPr>
          <w:lang w:val="pl-PL"/>
        </w:rPr>
      </w:pPr>
      <w:r>
        <w:rPr>
          <w:rStyle w:val="FootnoteReference"/>
        </w:rPr>
        <w:footnoteRef/>
      </w:r>
      <w:r w:rsidRPr="00EC1415">
        <w:rPr>
          <w:lang w:val="es-ES"/>
        </w:rPr>
        <w:t xml:space="preserve"> </w:t>
      </w:r>
      <w:r>
        <w:rPr>
          <w:lang w:val="sr-Latn-CS"/>
        </w:rPr>
        <w:t>Rutkowski, J. 2013</w:t>
      </w:r>
    </w:p>
  </w:footnote>
  <w:footnote w:id="4">
    <w:p w:rsidR="00960630" w:rsidRPr="00537360" w:rsidRDefault="00960630">
      <w:pPr>
        <w:pStyle w:val="FootnoteText"/>
        <w:rPr>
          <w:lang w:val="sr-Latn-CS"/>
        </w:rPr>
      </w:pPr>
      <w:r>
        <w:rPr>
          <w:rStyle w:val="FootnoteReference"/>
        </w:rPr>
        <w:footnoteRef/>
      </w:r>
      <w:r>
        <w:t xml:space="preserve"> </w:t>
      </w:r>
      <w:r>
        <w:rPr>
          <w:lang w:val="sr-Latn-CS"/>
        </w:rPr>
        <w:t>Rutkowski, J. 2013</w:t>
      </w:r>
    </w:p>
  </w:footnote>
  <w:footnote w:id="5">
    <w:p w:rsidR="00960630" w:rsidRPr="00AA6A3B" w:rsidRDefault="00960630" w:rsidP="002E2851">
      <w:pPr>
        <w:pStyle w:val="FootnoteText"/>
        <w:rPr>
          <w:lang w:val="pl-PL"/>
        </w:rPr>
      </w:pPr>
      <w:r w:rsidRPr="00D9484F">
        <w:rPr>
          <w:rStyle w:val="FootnoteReference"/>
          <w:rFonts w:ascii="Times New Roman" w:hAnsi="Times New Roman"/>
        </w:rPr>
        <w:footnoteRef/>
      </w:r>
      <w:r w:rsidRPr="00EC1415">
        <w:rPr>
          <w:rFonts w:ascii="Times New Roman" w:hAnsi="Times New Roman"/>
          <w:lang w:val="es-ES"/>
        </w:rPr>
        <w:t xml:space="preserve"> Prema podacima MONSTAT-a.</w:t>
      </w:r>
    </w:p>
  </w:footnote>
  <w:footnote w:id="6">
    <w:p w:rsidR="00960630" w:rsidRPr="00E176D8" w:rsidRDefault="00960630">
      <w:pPr>
        <w:pStyle w:val="FootnoteText"/>
        <w:rPr>
          <w:rFonts w:ascii="Times New Roman" w:hAnsi="Times New Roman"/>
          <w:lang w:val="sr-Latn-CS"/>
        </w:rPr>
      </w:pPr>
      <w:r w:rsidRPr="00E176D8">
        <w:rPr>
          <w:rStyle w:val="FootnoteReference"/>
          <w:rFonts w:ascii="Times New Roman" w:hAnsi="Times New Roman"/>
        </w:rPr>
        <w:footnoteRef/>
      </w:r>
      <w:r w:rsidRPr="00E176D8">
        <w:rPr>
          <w:rFonts w:ascii="Times New Roman" w:hAnsi="Times New Roman"/>
          <w:lang w:val="pl-PL"/>
        </w:rPr>
        <w:t xml:space="preserve"> Vidjeti saopstenje na linku: http://www.monstat.org/userfiles/file/popis2011/saopstenje/Saop%20uporedno%202003-2011%2026%2011%202012%20PDF.pdf</w:t>
      </w:r>
    </w:p>
  </w:footnote>
  <w:footnote w:id="7">
    <w:p w:rsidR="00960630" w:rsidRPr="00AA6A3B" w:rsidRDefault="00960630" w:rsidP="0068693E">
      <w:pPr>
        <w:pStyle w:val="FootnoteText"/>
        <w:rPr>
          <w:lang w:val="sr-Latn-CS"/>
        </w:rPr>
      </w:pPr>
      <w:r w:rsidRPr="00E176D8">
        <w:rPr>
          <w:rStyle w:val="FootnoteReference"/>
          <w:rFonts w:ascii="Times New Roman" w:hAnsi="Times New Roman"/>
        </w:rPr>
        <w:footnoteRef/>
      </w:r>
      <w:r w:rsidRPr="00E176D8">
        <w:rPr>
          <w:rFonts w:ascii="Times New Roman" w:hAnsi="Times New Roman"/>
          <w:lang w:val="es-ES"/>
        </w:rPr>
        <w:t xml:space="preserve"> Stanovništvo starije od 15 godina.</w:t>
      </w:r>
    </w:p>
  </w:footnote>
  <w:footnote w:id="8">
    <w:p w:rsidR="00960630" w:rsidRPr="00E10E61" w:rsidRDefault="00960630" w:rsidP="0068693E">
      <w:pPr>
        <w:pStyle w:val="FootnoteText"/>
        <w:rPr>
          <w:lang w:val="pl-PL"/>
        </w:rPr>
      </w:pPr>
      <w:r w:rsidRPr="00005C02">
        <w:rPr>
          <w:rStyle w:val="FootnoteReference"/>
          <w:rFonts w:ascii="Times New Roman" w:hAnsi="Times New Roman"/>
        </w:rPr>
        <w:footnoteRef/>
      </w:r>
      <w:r w:rsidRPr="00EC1415">
        <w:rPr>
          <w:rFonts w:ascii="Times New Roman" w:hAnsi="Times New Roman"/>
          <w:lang w:val="es-ES"/>
        </w:rPr>
        <w:t xml:space="preserve"> Važno je napomenuti da od uslužnih djelatnosti sektor trgovina na veliko i malo zapošljava najveći broj radnika, pa tako ovaj sektor u ukupnoj zaposlenosti učestvuje sa 23,4%. (učešće ovog sektora u 2001. godini iznosilo je 8,9%, a u 2010. 22,5%).</w:t>
      </w:r>
    </w:p>
  </w:footnote>
  <w:footnote w:id="9">
    <w:p w:rsidR="00960630" w:rsidRDefault="00960630" w:rsidP="0068693E">
      <w:pPr>
        <w:autoSpaceDE w:val="0"/>
        <w:autoSpaceDN w:val="0"/>
        <w:adjustRightInd w:val="0"/>
        <w:spacing w:after="0" w:line="240" w:lineRule="auto"/>
        <w:jc w:val="both"/>
      </w:pPr>
      <w:r w:rsidRPr="005510EF">
        <w:rPr>
          <w:rStyle w:val="FootnoteReference"/>
          <w:rFonts w:ascii="Times New Roman" w:hAnsi="Times New Roman"/>
          <w:sz w:val="20"/>
          <w:szCs w:val="20"/>
        </w:rPr>
        <w:footnoteRef/>
      </w:r>
      <w:r w:rsidRPr="005510EF">
        <w:rPr>
          <w:rFonts w:ascii="Times New Roman" w:hAnsi="Times New Roman"/>
          <w:sz w:val="20"/>
          <w:szCs w:val="20"/>
        </w:rPr>
        <w:t xml:space="preserve"> </w:t>
      </w:r>
      <w:r w:rsidRPr="005510EF">
        <w:rPr>
          <w:rFonts w:ascii="Times New Roman" w:eastAsia="ArialMT" w:hAnsi="Times New Roman"/>
          <w:sz w:val="20"/>
          <w:szCs w:val="20"/>
          <w:lang w:val="pl-PL"/>
        </w:rPr>
        <w:t>Gini koeficijent je numerički pokazatelj neravnomjernosti raspodjele dohotka u druš</w:t>
      </w:r>
      <w:r>
        <w:rPr>
          <w:rFonts w:ascii="Times New Roman" w:eastAsia="ArialMT" w:hAnsi="Times New Roman"/>
          <w:sz w:val="20"/>
          <w:szCs w:val="20"/>
          <w:lang w:val="pl-PL"/>
        </w:rPr>
        <w:t xml:space="preserve">tvu. Koeficijent poprima vrijednost 0 i </w:t>
      </w:r>
      <w:r w:rsidRPr="005510EF">
        <w:rPr>
          <w:rFonts w:ascii="Times New Roman" w:eastAsia="ArialMT" w:hAnsi="Times New Roman"/>
          <w:sz w:val="20"/>
          <w:szCs w:val="20"/>
          <w:lang w:val="pl-PL"/>
        </w:rPr>
        <w:t xml:space="preserve">1 .Vrijednost 0 označava stanje potpune jednakosti </w:t>
      </w:r>
      <w:r>
        <w:rPr>
          <w:rFonts w:ascii="Times New Roman" w:eastAsia="ArialMT" w:hAnsi="Times New Roman"/>
          <w:sz w:val="20"/>
          <w:szCs w:val="20"/>
          <w:lang w:val="pl-PL"/>
        </w:rPr>
        <w:t xml:space="preserve"> dok </w:t>
      </w:r>
      <w:r w:rsidRPr="005510EF">
        <w:rPr>
          <w:rFonts w:ascii="Times New Roman" w:eastAsia="ArialMT" w:hAnsi="Times New Roman"/>
          <w:sz w:val="20"/>
          <w:szCs w:val="20"/>
          <w:lang w:val="pl-PL"/>
        </w:rPr>
        <w:t>vrijednost 1 označ</w:t>
      </w:r>
      <w:r>
        <w:rPr>
          <w:rFonts w:ascii="Times New Roman" w:eastAsia="ArialMT" w:hAnsi="Times New Roman"/>
          <w:sz w:val="20"/>
          <w:szCs w:val="20"/>
          <w:lang w:val="pl-PL"/>
        </w:rPr>
        <w:t xml:space="preserve">ava </w:t>
      </w:r>
      <w:r w:rsidRPr="005510EF">
        <w:rPr>
          <w:rFonts w:ascii="Times New Roman" w:eastAsia="ArialMT" w:hAnsi="Times New Roman"/>
          <w:sz w:val="20"/>
          <w:szCs w:val="20"/>
          <w:lang w:val="pl-PL"/>
        </w:rPr>
        <w:t>stanje pot</w:t>
      </w:r>
      <w:r>
        <w:rPr>
          <w:rFonts w:ascii="Times New Roman" w:eastAsia="ArialMT" w:hAnsi="Times New Roman"/>
          <w:sz w:val="20"/>
          <w:szCs w:val="20"/>
          <w:lang w:val="pl-PL"/>
        </w:rPr>
        <w:t>pune nejednakosti.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DD6"/>
    <w:multiLevelType w:val="hybridMultilevel"/>
    <w:tmpl w:val="2742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E7FDE"/>
    <w:multiLevelType w:val="hybridMultilevel"/>
    <w:tmpl w:val="5320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24244"/>
    <w:multiLevelType w:val="hybridMultilevel"/>
    <w:tmpl w:val="D13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A0F61"/>
    <w:multiLevelType w:val="hybridMultilevel"/>
    <w:tmpl w:val="77B6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64ADE"/>
    <w:multiLevelType w:val="hybridMultilevel"/>
    <w:tmpl w:val="DF6E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72DCA"/>
    <w:multiLevelType w:val="hybridMultilevel"/>
    <w:tmpl w:val="DADA7DA6"/>
    <w:lvl w:ilvl="0" w:tplc="B6D826F4">
      <w:start w:val="1"/>
      <w:numFmt w:val="bullet"/>
      <w:lvlText w:val="•"/>
      <w:lvlJc w:val="left"/>
      <w:pPr>
        <w:tabs>
          <w:tab w:val="num" w:pos="720"/>
        </w:tabs>
        <w:ind w:left="720" w:hanging="360"/>
      </w:pPr>
      <w:rPr>
        <w:rFonts w:ascii="Arial" w:hAnsi="Arial" w:hint="default"/>
      </w:rPr>
    </w:lvl>
    <w:lvl w:ilvl="1" w:tplc="AE34AB0C" w:tentative="1">
      <w:start w:val="1"/>
      <w:numFmt w:val="bullet"/>
      <w:lvlText w:val="•"/>
      <w:lvlJc w:val="left"/>
      <w:pPr>
        <w:tabs>
          <w:tab w:val="num" w:pos="1440"/>
        </w:tabs>
        <w:ind w:left="1440" w:hanging="360"/>
      </w:pPr>
      <w:rPr>
        <w:rFonts w:ascii="Arial" w:hAnsi="Arial" w:hint="default"/>
      </w:rPr>
    </w:lvl>
    <w:lvl w:ilvl="2" w:tplc="59B86F66" w:tentative="1">
      <w:start w:val="1"/>
      <w:numFmt w:val="bullet"/>
      <w:lvlText w:val="•"/>
      <w:lvlJc w:val="left"/>
      <w:pPr>
        <w:tabs>
          <w:tab w:val="num" w:pos="2160"/>
        </w:tabs>
        <w:ind w:left="2160" w:hanging="360"/>
      </w:pPr>
      <w:rPr>
        <w:rFonts w:ascii="Arial" w:hAnsi="Arial" w:hint="default"/>
      </w:rPr>
    </w:lvl>
    <w:lvl w:ilvl="3" w:tplc="3CA637F2" w:tentative="1">
      <w:start w:val="1"/>
      <w:numFmt w:val="bullet"/>
      <w:lvlText w:val="•"/>
      <w:lvlJc w:val="left"/>
      <w:pPr>
        <w:tabs>
          <w:tab w:val="num" w:pos="2880"/>
        </w:tabs>
        <w:ind w:left="2880" w:hanging="360"/>
      </w:pPr>
      <w:rPr>
        <w:rFonts w:ascii="Arial" w:hAnsi="Arial" w:hint="default"/>
      </w:rPr>
    </w:lvl>
    <w:lvl w:ilvl="4" w:tplc="B9C8B1DC" w:tentative="1">
      <w:start w:val="1"/>
      <w:numFmt w:val="bullet"/>
      <w:lvlText w:val="•"/>
      <w:lvlJc w:val="left"/>
      <w:pPr>
        <w:tabs>
          <w:tab w:val="num" w:pos="3600"/>
        </w:tabs>
        <w:ind w:left="3600" w:hanging="360"/>
      </w:pPr>
      <w:rPr>
        <w:rFonts w:ascii="Arial" w:hAnsi="Arial" w:hint="default"/>
      </w:rPr>
    </w:lvl>
    <w:lvl w:ilvl="5" w:tplc="F9388C04" w:tentative="1">
      <w:start w:val="1"/>
      <w:numFmt w:val="bullet"/>
      <w:lvlText w:val="•"/>
      <w:lvlJc w:val="left"/>
      <w:pPr>
        <w:tabs>
          <w:tab w:val="num" w:pos="4320"/>
        </w:tabs>
        <w:ind w:left="4320" w:hanging="360"/>
      </w:pPr>
      <w:rPr>
        <w:rFonts w:ascii="Arial" w:hAnsi="Arial" w:hint="default"/>
      </w:rPr>
    </w:lvl>
    <w:lvl w:ilvl="6" w:tplc="D660A5EE" w:tentative="1">
      <w:start w:val="1"/>
      <w:numFmt w:val="bullet"/>
      <w:lvlText w:val="•"/>
      <w:lvlJc w:val="left"/>
      <w:pPr>
        <w:tabs>
          <w:tab w:val="num" w:pos="5040"/>
        </w:tabs>
        <w:ind w:left="5040" w:hanging="360"/>
      </w:pPr>
      <w:rPr>
        <w:rFonts w:ascii="Arial" w:hAnsi="Arial" w:hint="default"/>
      </w:rPr>
    </w:lvl>
    <w:lvl w:ilvl="7" w:tplc="2A463586" w:tentative="1">
      <w:start w:val="1"/>
      <w:numFmt w:val="bullet"/>
      <w:lvlText w:val="•"/>
      <w:lvlJc w:val="left"/>
      <w:pPr>
        <w:tabs>
          <w:tab w:val="num" w:pos="5760"/>
        </w:tabs>
        <w:ind w:left="5760" w:hanging="360"/>
      </w:pPr>
      <w:rPr>
        <w:rFonts w:ascii="Arial" w:hAnsi="Arial" w:hint="default"/>
      </w:rPr>
    </w:lvl>
    <w:lvl w:ilvl="8" w:tplc="B1DE018C" w:tentative="1">
      <w:start w:val="1"/>
      <w:numFmt w:val="bullet"/>
      <w:lvlText w:val="•"/>
      <w:lvlJc w:val="left"/>
      <w:pPr>
        <w:tabs>
          <w:tab w:val="num" w:pos="6480"/>
        </w:tabs>
        <w:ind w:left="6480" w:hanging="360"/>
      </w:pPr>
      <w:rPr>
        <w:rFonts w:ascii="Arial" w:hAnsi="Arial" w:hint="default"/>
      </w:rPr>
    </w:lvl>
  </w:abstractNum>
  <w:abstractNum w:abstractNumId="6">
    <w:nsid w:val="1DA90610"/>
    <w:multiLevelType w:val="hybridMultilevel"/>
    <w:tmpl w:val="8420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7271"/>
    <w:multiLevelType w:val="hybridMultilevel"/>
    <w:tmpl w:val="65E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E5B0F"/>
    <w:multiLevelType w:val="hybridMultilevel"/>
    <w:tmpl w:val="2698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84946"/>
    <w:multiLevelType w:val="hybridMultilevel"/>
    <w:tmpl w:val="67B4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83C79"/>
    <w:multiLevelType w:val="hybridMultilevel"/>
    <w:tmpl w:val="544C3984"/>
    <w:lvl w:ilvl="0" w:tplc="002A86C0">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D7A81"/>
    <w:multiLevelType w:val="hybridMultilevel"/>
    <w:tmpl w:val="1186A6F8"/>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2">
    <w:nsid w:val="31507A8D"/>
    <w:multiLevelType w:val="hybridMultilevel"/>
    <w:tmpl w:val="8B40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238B5"/>
    <w:multiLevelType w:val="hybridMultilevel"/>
    <w:tmpl w:val="625E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65EC6"/>
    <w:multiLevelType w:val="hybridMultilevel"/>
    <w:tmpl w:val="452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A224A2"/>
    <w:multiLevelType w:val="hybridMultilevel"/>
    <w:tmpl w:val="065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D3223"/>
    <w:multiLevelType w:val="hybridMultilevel"/>
    <w:tmpl w:val="4B1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974CB"/>
    <w:multiLevelType w:val="hybridMultilevel"/>
    <w:tmpl w:val="B5E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03B18"/>
    <w:multiLevelType w:val="hybridMultilevel"/>
    <w:tmpl w:val="972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7423B5"/>
    <w:multiLevelType w:val="hybridMultilevel"/>
    <w:tmpl w:val="2B10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4363E"/>
    <w:multiLevelType w:val="hybridMultilevel"/>
    <w:tmpl w:val="68E4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B3B9A"/>
    <w:multiLevelType w:val="hybridMultilevel"/>
    <w:tmpl w:val="7800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BE5922"/>
    <w:multiLevelType w:val="hybridMultilevel"/>
    <w:tmpl w:val="84ECDC8C"/>
    <w:lvl w:ilvl="0" w:tplc="04090011">
      <w:start w:val="1"/>
      <w:numFmt w:val="decimal"/>
      <w:lvlText w:val="%1)"/>
      <w:lvlJc w:val="left"/>
      <w:pPr>
        <w:ind w:left="644"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633A61E1"/>
    <w:multiLevelType w:val="hybridMultilevel"/>
    <w:tmpl w:val="8EA25644"/>
    <w:lvl w:ilvl="0" w:tplc="EDB038F2">
      <w:start w:val="1"/>
      <w:numFmt w:val="bullet"/>
      <w:lvlText w:val=""/>
      <w:lvlJc w:val="left"/>
      <w:pPr>
        <w:tabs>
          <w:tab w:val="num" w:pos="720"/>
        </w:tabs>
        <w:ind w:left="720" w:hanging="360"/>
      </w:pPr>
      <w:rPr>
        <w:rFonts w:ascii="Wingdings" w:hAnsi="Wingdings" w:hint="default"/>
      </w:rPr>
    </w:lvl>
    <w:lvl w:ilvl="1" w:tplc="EAF68B0A">
      <w:numFmt w:val="bullet"/>
      <w:lvlText w:val=""/>
      <w:lvlJc w:val="left"/>
      <w:pPr>
        <w:tabs>
          <w:tab w:val="num" w:pos="1440"/>
        </w:tabs>
        <w:ind w:left="1440" w:hanging="360"/>
      </w:pPr>
      <w:rPr>
        <w:rFonts w:ascii="Wingdings 2" w:hAnsi="Wingdings 2" w:hint="default"/>
      </w:rPr>
    </w:lvl>
    <w:lvl w:ilvl="2" w:tplc="8A44DA22" w:tentative="1">
      <w:start w:val="1"/>
      <w:numFmt w:val="bullet"/>
      <w:lvlText w:val=""/>
      <w:lvlJc w:val="left"/>
      <w:pPr>
        <w:tabs>
          <w:tab w:val="num" w:pos="2160"/>
        </w:tabs>
        <w:ind w:left="2160" w:hanging="360"/>
      </w:pPr>
      <w:rPr>
        <w:rFonts w:ascii="Wingdings" w:hAnsi="Wingdings" w:hint="default"/>
      </w:rPr>
    </w:lvl>
    <w:lvl w:ilvl="3" w:tplc="FA289786" w:tentative="1">
      <w:start w:val="1"/>
      <w:numFmt w:val="bullet"/>
      <w:lvlText w:val=""/>
      <w:lvlJc w:val="left"/>
      <w:pPr>
        <w:tabs>
          <w:tab w:val="num" w:pos="2880"/>
        </w:tabs>
        <w:ind w:left="2880" w:hanging="360"/>
      </w:pPr>
      <w:rPr>
        <w:rFonts w:ascii="Wingdings" w:hAnsi="Wingdings" w:hint="default"/>
      </w:rPr>
    </w:lvl>
    <w:lvl w:ilvl="4" w:tplc="9C96A036" w:tentative="1">
      <w:start w:val="1"/>
      <w:numFmt w:val="bullet"/>
      <w:lvlText w:val=""/>
      <w:lvlJc w:val="left"/>
      <w:pPr>
        <w:tabs>
          <w:tab w:val="num" w:pos="3600"/>
        </w:tabs>
        <w:ind w:left="3600" w:hanging="360"/>
      </w:pPr>
      <w:rPr>
        <w:rFonts w:ascii="Wingdings" w:hAnsi="Wingdings" w:hint="default"/>
      </w:rPr>
    </w:lvl>
    <w:lvl w:ilvl="5" w:tplc="9E1E8722" w:tentative="1">
      <w:start w:val="1"/>
      <w:numFmt w:val="bullet"/>
      <w:lvlText w:val=""/>
      <w:lvlJc w:val="left"/>
      <w:pPr>
        <w:tabs>
          <w:tab w:val="num" w:pos="4320"/>
        </w:tabs>
        <w:ind w:left="4320" w:hanging="360"/>
      </w:pPr>
      <w:rPr>
        <w:rFonts w:ascii="Wingdings" w:hAnsi="Wingdings" w:hint="default"/>
      </w:rPr>
    </w:lvl>
    <w:lvl w:ilvl="6" w:tplc="B0DA32C4" w:tentative="1">
      <w:start w:val="1"/>
      <w:numFmt w:val="bullet"/>
      <w:lvlText w:val=""/>
      <w:lvlJc w:val="left"/>
      <w:pPr>
        <w:tabs>
          <w:tab w:val="num" w:pos="5040"/>
        </w:tabs>
        <w:ind w:left="5040" w:hanging="360"/>
      </w:pPr>
      <w:rPr>
        <w:rFonts w:ascii="Wingdings" w:hAnsi="Wingdings" w:hint="default"/>
      </w:rPr>
    </w:lvl>
    <w:lvl w:ilvl="7" w:tplc="09009312" w:tentative="1">
      <w:start w:val="1"/>
      <w:numFmt w:val="bullet"/>
      <w:lvlText w:val=""/>
      <w:lvlJc w:val="left"/>
      <w:pPr>
        <w:tabs>
          <w:tab w:val="num" w:pos="5760"/>
        </w:tabs>
        <w:ind w:left="5760" w:hanging="360"/>
      </w:pPr>
      <w:rPr>
        <w:rFonts w:ascii="Wingdings" w:hAnsi="Wingdings" w:hint="default"/>
      </w:rPr>
    </w:lvl>
    <w:lvl w:ilvl="8" w:tplc="89EED182" w:tentative="1">
      <w:start w:val="1"/>
      <w:numFmt w:val="bullet"/>
      <w:lvlText w:val=""/>
      <w:lvlJc w:val="left"/>
      <w:pPr>
        <w:tabs>
          <w:tab w:val="num" w:pos="6480"/>
        </w:tabs>
        <w:ind w:left="6480" w:hanging="360"/>
      </w:pPr>
      <w:rPr>
        <w:rFonts w:ascii="Wingdings" w:hAnsi="Wingdings" w:hint="default"/>
      </w:rPr>
    </w:lvl>
  </w:abstractNum>
  <w:abstractNum w:abstractNumId="24">
    <w:nsid w:val="6D663774"/>
    <w:multiLevelType w:val="hybridMultilevel"/>
    <w:tmpl w:val="2F2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72B4C"/>
    <w:multiLevelType w:val="hybridMultilevel"/>
    <w:tmpl w:val="83DC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026A9"/>
    <w:multiLevelType w:val="hybridMultilevel"/>
    <w:tmpl w:val="3612A97C"/>
    <w:lvl w:ilvl="0" w:tplc="714CD356">
      <w:start w:val="2"/>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397319B"/>
    <w:multiLevelType w:val="hybridMultilevel"/>
    <w:tmpl w:val="7C7C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702ABC"/>
    <w:multiLevelType w:val="hybridMultilevel"/>
    <w:tmpl w:val="5B4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D6822"/>
    <w:multiLevelType w:val="hybridMultilevel"/>
    <w:tmpl w:val="57C0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694F46"/>
    <w:multiLevelType w:val="hybridMultilevel"/>
    <w:tmpl w:val="EA1E34B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23"/>
  </w:num>
  <w:num w:numId="9">
    <w:abstractNumId w:val="11"/>
  </w:num>
  <w:num w:numId="10">
    <w:abstractNumId w:val="16"/>
  </w:num>
  <w:num w:numId="11">
    <w:abstractNumId w:val="6"/>
  </w:num>
  <w:num w:numId="12">
    <w:abstractNumId w:val="3"/>
  </w:num>
  <w:num w:numId="13">
    <w:abstractNumId w:val="12"/>
  </w:num>
  <w:num w:numId="14">
    <w:abstractNumId w:val="8"/>
  </w:num>
  <w:num w:numId="15">
    <w:abstractNumId w:val="28"/>
  </w:num>
  <w:num w:numId="16">
    <w:abstractNumId w:val="29"/>
  </w:num>
  <w:num w:numId="17">
    <w:abstractNumId w:val="13"/>
  </w:num>
  <w:num w:numId="18">
    <w:abstractNumId w:val="27"/>
  </w:num>
  <w:num w:numId="19">
    <w:abstractNumId w:val="24"/>
  </w:num>
  <w:num w:numId="20">
    <w:abstractNumId w:val="15"/>
  </w:num>
  <w:num w:numId="21">
    <w:abstractNumId w:val="0"/>
  </w:num>
  <w:num w:numId="22">
    <w:abstractNumId w:val="2"/>
  </w:num>
  <w:num w:numId="23">
    <w:abstractNumId w:val="20"/>
  </w:num>
  <w:num w:numId="24">
    <w:abstractNumId w:val="25"/>
  </w:num>
  <w:num w:numId="25">
    <w:abstractNumId w:val="4"/>
  </w:num>
  <w:num w:numId="26">
    <w:abstractNumId w:val="18"/>
  </w:num>
  <w:num w:numId="27">
    <w:abstractNumId w:val="7"/>
  </w:num>
  <w:num w:numId="28">
    <w:abstractNumId w:val="17"/>
  </w:num>
  <w:num w:numId="29">
    <w:abstractNumId w:val="14"/>
  </w:num>
  <w:num w:numId="30">
    <w:abstractNumId w:val="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F1232"/>
    <w:rsid w:val="000000A3"/>
    <w:rsid w:val="0000590E"/>
    <w:rsid w:val="00005C02"/>
    <w:rsid w:val="000141C5"/>
    <w:rsid w:val="0001797E"/>
    <w:rsid w:val="000202EA"/>
    <w:rsid w:val="0002321E"/>
    <w:rsid w:val="00024005"/>
    <w:rsid w:val="0002462B"/>
    <w:rsid w:val="00031595"/>
    <w:rsid w:val="00032CF4"/>
    <w:rsid w:val="00034C6E"/>
    <w:rsid w:val="00034FD6"/>
    <w:rsid w:val="000363EF"/>
    <w:rsid w:val="00037886"/>
    <w:rsid w:val="00037919"/>
    <w:rsid w:val="00040F79"/>
    <w:rsid w:val="000418D1"/>
    <w:rsid w:val="00045416"/>
    <w:rsid w:val="00047AF0"/>
    <w:rsid w:val="0005069C"/>
    <w:rsid w:val="00050E9F"/>
    <w:rsid w:val="000510CA"/>
    <w:rsid w:val="00052519"/>
    <w:rsid w:val="000526CA"/>
    <w:rsid w:val="00053771"/>
    <w:rsid w:val="0005726B"/>
    <w:rsid w:val="00060E14"/>
    <w:rsid w:val="000615B2"/>
    <w:rsid w:val="00064EFB"/>
    <w:rsid w:val="00065205"/>
    <w:rsid w:val="000654AA"/>
    <w:rsid w:val="000803CD"/>
    <w:rsid w:val="000805DC"/>
    <w:rsid w:val="00082B98"/>
    <w:rsid w:val="00083C7A"/>
    <w:rsid w:val="00090D5A"/>
    <w:rsid w:val="0009101E"/>
    <w:rsid w:val="00091DB8"/>
    <w:rsid w:val="00093FC5"/>
    <w:rsid w:val="00095E2A"/>
    <w:rsid w:val="00096D52"/>
    <w:rsid w:val="000A4262"/>
    <w:rsid w:val="000A4D06"/>
    <w:rsid w:val="000A4EA6"/>
    <w:rsid w:val="000A4FC9"/>
    <w:rsid w:val="000A6AA7"/>
    <w:rsid w:val="000A6DF8"/>
    <w:rsid w:val="000A76BA"/>
    <w:rsid w:val="000B3216"/>
    <w:rsid w:val="000B3ACB"/>
    <w:rsid w:val="000B5F03"/>
    <w:rsid w:val="000C0769"/>
    <w:rsid w:val="000C5B2F"/>
    <w:rsid w:val="000C69D7"/>
    <w:rsid w:val="000C7658"/>
    <w:rsid w:val="000D1F2C"/>
    <w:rsid w:val="000D34FA"/>
    <w:rsid w:val="000D53C9"/>
    <w:rsid w:val="000D6C30"/>
    <w:rsid w:val="000E23A8"/>
    <w:rsid w:val="000E29EC"/>
    <w:rsid w:val="000E436C"/>
    <w:rsid w:val="000E4422"/>
    <w:rsid w:val="000E64DA"/>
    <w:rsid w:val="000E6543"/>
    <w:rsid w:val="000F2F0C"/>
    <w:rsid w:val="000F3F89"/>
    <w:rsid w:val="000F43FF"/>
    <w:rsid w:val="000F45AB"/>
    <w:rsid w:val="000F4773"/>
    <w:rsid w:val="000F47F1"/>
    <w:rsid w:val="000F7A99"/>
    <w:rsid w:val="00104750"/>
    <w:rsid w:val="00112147"/>
    <w:rsid w:val="00114319"/>
    <w:rsid w:val="0011486C"/>
    <w:rsid w:val="00117919"/>
    <w:rsid w:val="0012552B"/>
    <w:rsid w:val="00127AED"/>
    <w:rsid w:val="00130DA2"/>
    <w:rsid w:val="0013392F"/>
    <w:rsid w:val="00135418"/>
    <w:rsid w:val="00140496"/>
    <w:rsid w:val="00141A2E"/>
    <w:rsid w:val="00141BC5"/>
    <w:rsid w:val="0014211D"/>
    <w:rsid w:val="00143D2B"/>
    <w:rsid w:val="001443A8"/>
    <w:rsid w:val="00145242"/>
    <w:rsid w:val="001532D0"/>
    <w:rsid w:val="0015339E"/>
    <w:rsid w:val="001558E5"/>
    <w:rsid w:val="00155992"/>
    <w:rsid w:val="00157068"/>
    <w:rsid w:val="00164469"/>
    <w:rsid w:val="0016458E"/>
    <w:rsid w:val="0016758D"/>
    <w:rsid w:val="0017022E"/>
    <w:rsid w:val="00172BC6"/>
    <w:rsid w:val="00175F41"/>
    <w:rsid w:val="001800F3"/>
    <w:rsid w:val="001802DB"/>
    <w:rsid w:val="00181E81"/>
    <w:rsid w:val="00186199"/>
    <w:rsid w:val="00186C28"/>
    <w:rsid w:val="00186F2D"/>
    <w:rsid w:val="0018712B"/>
    <w:rsid w:val="001872D8"/>
    <w:rsid w:val="00194B13"/>
    <w:rsid w:val="00195F5F"/>
    <w:rsid w:val="00195FE0"/>
    <w:rsid w:val="001A2B42"/>
    <w:rsid w:val="001A6F2D"/>
    <w:rsid w:val="001A70CD"/>
    <w:rsid w:val="001B2D6B"/>
    <w:rsid w:val="001B2F36"/>
    <w:rsid w:val="001B45DC"/>
    <w:rsid w:val="001C07E6"/>
    <w:rsid w:val="001C17D2"/>
    <w:rsid w:val="001C1C7F"/>
    <w:rsid w:val="001C2C01"/>
    <w:rsid w:val="001D24D0"/>
    <w:rsid w:val="001D7BFC"/>
    <w:rsid w:val="001E1C17"/>
    <w:rsid w:val="001E5980"/>
    <w:rsid w:val="001E6845"/>
    <w:rsid w:val="001F04A0"/>
    <w:rsid w:val="001F5579"/>
    <w:rsid w:val="001F5D40"/>
    <w:rsid w:val="001F72F8"/>
    <w:rsid w:val="00202CF5"/>
    <w:rsid w:val="002039E3"/>
    <w:rsid w:val="00211C0E"/>
    <w:rsid w:val="00211E80"/>
    <w:rsid w:val="00212AD6"/>
    <w:rsid w:val="00214885"/>
    <w:rsid w:val="00216558"/>
    <w:rsid w:val="0021695D"/>
    <w:rsid w:val="002174E5"/>
    <w:rsid w:val="002207D4"/>
    <w:rsid w:val="0022311C"/>
    <w:rsid w:val="002247E3"/>
    <w:rsid w:val="002327E4"/>
    <w:rsid w:val="002355A4"/>
    <w:rsid w:val="002372C9"/>
    <w:rsid w:val="00244369"/>
    <w:rsid w:val="0024695C"/>
    <w:rsid w:val="00250AA6"/>
    <w:rsid w:val="00253AC9"/>
    <w:rsid w:val="002541D5"/>
    <w:rsid w:val="00260C09"/>
    <w:rsid w:val="0026567A"/>
    <w:rsid w:val="002739AB"/>
    <w:rsid w:val="00274417"/>
    <w:rsid w:val="00276167"/>
    <w:rsid w:val="00280D83"/>
    <w:rsid w:val="002906B2"/>
    <w:rsid w:val="00290AAB"/>
    <w:rsid w:val="00291886"/>
    <w:rsid w:val="00293745"/>
    <w:rsid w:val="002947BE"/>
    <w:rsid w:val="00294CEC"/>
    <w:rsid w:val="00294EE7"/>
    <w:rsid w:val="002A1373"/>
    <w:rsid w:val="002A4D44"/>
    <w:rsid w:val="002A5A5C"/>
    <w:rsid w:val="002A62B5"/>
    <w:rsid w:val="002A7404"/>
    <w:rsid w:val="002B0A29"/>
    <w:rsid w:val="002B1846"/>
    <w:rsid w:val="002B4EE1"/>
    <w:rsid w:val="002B6413"/>
    <w:rsid w:val="002B6588"/>
    <w:rsid w:val="002B7A1A"/>
    <w:rsid w:val="002C0665"/>
    <w:rsid w:val="002C11CD"/>
    <w:rsid w:val="002C2FC1"/>
    <w:rsid w:val="002C3674"/>
    <w:rsid w:val="002C384B"/>
    <w:rsid w:val="002C5868"/>
    <w:rsid w:val="002D10AD"/>
    <w:rsid w:val="002D35CB"/>
    <w:rsid w:val="002D373A"/>
    <w:rsid w:val="002D3F08"/>
    <w:rsid w:val="002D62D9"/>
    <w:rsid w:val="002D6ED7"/>
    <w:rsid w:val="002E20CA"/>
    <w:rsid w:val="002E2851"/>
    <w:rsid w:val="002F1E93"/>
    <w:rsid w:val="002F6275"/>
    <w:rsid w:val="002F650E"/>
    <w:rsid w:val="0030348C"/>
    <w:rsid w:val="00305A25"/>
    <w:rsid w:val="00312BEF"/>
    <w:rsid w:val="00313C3E"/>
    <w:rsid w:val="00316540"/>
    <w:rsid w:val="00316597"/>
    <w:rsid w:val="003176DE"/>
    <w:rsid w:val="00317D03"/>
    <w:rsid w:val="00317FA5"/>
    <w:rsid w:val="00321673"/>
    <w:rsid w:val="00326EB4"/>
    <w:rsid w:val="00327DE8"/>
    <w:rsid w:val="0033069B"/>
    <w:rsid w:val="00331CEF"/>
    <w:rsid w:val="00332046"/>
    <w:rsid w:val="00333AEF"/>
    <w:rsid w:val="00340DD4"/>
    <w:rsid w:val="00341BF5"/>
    <w:rsid w:val="00342046"/>
    <w:rsid w:val="003431E1"/>
    <w:rsid w:val="00345533"/>
    <w:rsid w:val="00346BE9"/>
    <w:rsid w:val="003474EE"/>
    <w:rsid w:val="003516DA"/>
    <w:rsid w:val="0035254A"/>
    <w:rsid w:val="0035467B"/>
    <w:rsid w:val="00354763"/>
    <w:rsid w:val="003730BB"/>
    <w:rsid w:val="00373F2B"/>
    <w:rsid w:val="003764DE"/>
    <w:rsid w:val="00377D50"/>
    <w:rsid w:val="00380812"/>
    <w:rsid w:val="003810FD"/>
    <w:rsid w:val="00384E22"/>
    <w:rsid w:val="00385DEC"/>
    <w:rsid w:val="00385E8C"/>
    <w:rsid w:val="00386B1C"/>
    <w:rsid w:val="00390F69"/>
    <w:rsid w:val="00394FB8"/>
    <w:rsid w:val="00395E6C"/>
    <w:rsid w:val="003A188E"/>
    <w:rsid w:val="003A3F7F"/>
    <w:rsid w:val="003A75A3"/>
    <w:rsid w:val="003B197C"/>
    <w:rsid w:val="003C3004"/>
    <w:rsid w:val="003C42A6"/>
    <w:rsid w:val="003C61EE"/>
    <w:rsid w:val="003D0E01"/>
    <w:rsid w:val="003D5D11"/>
    <w:rsid w:val="003E07E8"/>
    <w:rsid w:val="003E0DA3"/>
    <w:rsid w:val="003E1A44"/>
    <w:rsid w:val="003E368F"/>
    <w:rsid w:val="003E4B3C"/>
    <w:rsid w:val="003F4C1C"/>
    <w:rsid w:val="003F4CE4"/>
    <w:rsid w:val="00400ABF"/>
    <w:rsid w:val="00403CAE"/>
    <w:rsid w:val="00406865"/>
    <w:rsid w:val="00407B91"/>
    <w:rsid w:val="00410E38"/>
    <w:rsid w:val="0041156E"/>
    <w:rsid w:val="004243D2"/>
    <w:rsid w:val="00430EC8"/>
    <w:rsid w:val="00431E4A"/>
    <w:rsid w:val="0043389A"/>
    <w:rsid w:val="00434D74"/>
    <w:rsid w:val="0043596D"/>
    <w:rsid w:val="004372AD"/>
    <w:rsid w:val="004376EB"/>
    <w:rsid w:val="0043770E"/>
    <w:rsid w:val="004427C7"/>
    <w:rsid w:val="00442F96"/>
    <w:rsid w:val="00447881"/>
    <w:rsid w:val="00464900"/>
    <w:rsid w:val="00473A7E"/>
    <w:rsid w:val="00477ADA"/>
    <w:rsid w:val="00484C14"/>
    <w:rsid w:val="00484F98"/>
    <w:rsid w:val="004962A4"/>
    <w:rsid w:val="004A029E"/>
    <w:rsid w:val="004A05DC"/>
    <w:rsid w:val="004A1636"/>
    <w:rsid w:val="004A4A71"/>
    <w:rsid w:val="004B3C7D"/>
    <w:rsid w:val="004C3726"/>
    <w:rsid w:val="004C3E75"/>
    <w:rsid w:val="004D19A6"/>
    <w:rsid w:val="004D6A92"/>
    <w:rsid w:val="004E05F9"/>
    <w:rsid w:val="004E1BBB"/>
    <w:rsid w:val="004E1DD1"/>
    <w:rsid w:val="004E7F10"/>
    <w:rsid w:val="004F15EB"/>
    <w:rsid w:val="0050301F"/>
    <w:rsid w:val="00503790"/>
    <w:rsid w:val="00505EBD"/>
    <w:rsid w:val="00510879"/>
    <w:rsid w:val="00512482"/>
    <w:rsid w:val="0051383E"/>
    <w:rsid w:val="00522196"/>
    <w:rsid w:val="00526E69"/>
    <w:rsid w:val="00527EA5"/>
    <w:rsid w:val="00531D32"/>
    <w:rsid w:val="005343B9"/>
    <w:rsid w:val="00534955"/>
    <w:rsid w:val="00537360"/>
    <w:rsid w:val="00544AC3"/>
    <w:rsid w:val="00545612"/>
    <w:rsid w:val="005457F9"/>
    <w:rsid w:val="005510EF"/>
    <w:rsid w:val="00553953"/>
    <w:rsid w:val="00553BB2"/>
    <w:rsid w:val="0055535E"/>
    <w:rsid w:val="00556337"/>
    <w:rsid w:val="00562EE3"/>
    <w:rsid w:val="00572DBA"/>
    <w:rsid w:val="00584B80"/>
    <w:rsid w:val="00584C12"/>
    <w:rsid w:val="00584DF8"/>
    <w:rsid w:val="00586FE2"/>
    <w:rsid w:val="00591112"/>
    <w:rsid w:val="00593CCF"/>
    <w:rsid w:val="005956A8"/>
    <w:rsid w:val="005958C8"/>
    <w:rsid w:val="00595A0C"/>
    <w:rsid w:val="00596FAD"/>
    <w:rsid w:val="005A04CB"/>
    <w:rsid w:val="005A0F17"/>
    <w:rsid w:val="005A33EB"/>
    <w:rsid w:val="005A44D0"/>
    <w:rsid w:val="005A7315"/>
    <w:rsid w:val="005A7FDD"/>
    <w:rsid w:val="005B0840"/>
    <w:rsid w:val="005B19E8"/>
    <w:rsid w:val="005B359C"/>
    <w:rsid w:val="005B5982"/>
    <w:rsid w:val="005B67C8"/>
    <w:rsid w:val="005C18D9"/>
    <w:rsid w:val="005C47DD"/>
    <w:rsid w:val="005C59F4"/>
    <w:rsid w:val="005E1564"/>
    <w:rsid w:val="005E4C72"/>
    <w:rsid w:val="005E7913"/>
    <w:rsid w:val="00601394"/>
    <w:rsid w:val="00601F09"/>
    <w:rsid w:val="00602CC7"/>
    <w:rsid w:val="00607195"/>
    <w:rsid w:val="00610137"/>
    <w:rsid w:val="0061443A"/>
    <w:rsid w:val="006171DE"/>
    <w:rsid w:val="00624F88"/>
    <w:rsid w:val="00635C5C"/>
    <w:rsid w:val="006414D9"/>
    <w:rsid w:val="00643A62"/>
    <w:rsid w:val="0064746B"/>
    <w:rsid w:val="00647583"/>
    <w:rsid w:val="0065566A"/>
    <w:rsid w:val="00662C23"/>
    <w:rsid w:val="0066459C"/>
    <w:rsid w:val="00665BEB"/>
    <w:rsid w:val="006663C4"/>
    <w:rsid w:val="0067111A"/>
    <w:rsid w:val="006718B0"/>
    <w:rsid w:val="00672998"/>
    <w:rsid w:val="00673D9C"/>
    <w:rsid w:val="006754D8"/>
    <w:rsid w:val="00675ACC"/>
    <w:rsid w:val="00682219"/>
    <w:rsid w:val="006827ED"/>
    <w:rsid w:val="0068693E"/>
    <w:rsid w:val="00691887"/>
    <w:rsid w:val="00692217"/>
    <w:rsid w:val="00692279"/>
    <w:rsid w:val="00692628"/>
    <w:rsid w:val="006935FB"/>
    <w:rsid w:val="006A26A1"/>
    <w:rsid w:val="006A327A"/>
    <w:rsid w:val="006A3A44"/>
    <w:rsid w:val="006A42B7"/>
    <w:rsid w:val="006B0446"/>
    <w:rsid w:val="006B5313"/>
    <w:rsid w:val="006B7510"/>
    <w:rsid w:val="006C5F1E"/>
    <w:rsid w:val="006C663F"/>
    <w:rsid w:val="006C7D59"/>
    <w:rsid w:val="006D3590"/>
    <w:rsid w:val="006E14FE"/>
    <w:rsid w:val="006E29E7"/>
    <w:rsid w:val="006F01D9"/>
    <w:rsid w:val="006F09B3"/>
    <w:rsid w:val="006F0C6E"/>
    <w:rsid w:val="006F0FE8"/>
    <w:rsid w:val="006F6FDF"/>
    <w:rsid w:val="007001EA"/>
    <w:rsid w:val="007007E9"/>
    <w:rsid w:val="007008E0"/>
    <w:rsid w:val="00710DC7"/>
    <w:rsid w:val="007127F4"/>
    <w:rsid w:val="00724A85"/>
    <w:rsid w:val="007263AC"/>
    <w:rsid w:val="007322E8"/>
    <w:rsid w:val="00735F21"/>
    <w:rsid w:val="007361A1"/>
    <w:rsid w:val="00743CEF"/>
    <w:rsid w:val="00746E58"/>
    <w:rsid w:val="007474AB"/>
    <w:rsid w:val="00751068"/>
    <w:rsid w:val="00754B56"/>
    <w:rsid w:val="007606B4"/>
    <w:rsid w:val="0076195D"/>
    <w:rsid w:val="00762274"/>
    <w:rsid w:val="00770302"/>
    <w:rsid w:val="00770974"/>
    <w:rsid w:val="00771B82"/>
    <w:rsid w:val="00772360"/>
    <w:rsid w:val="00773843"/>
    <w:rsid w:val="0077531A"/>
    <w:rsid w:val="00776B09"/>
    <w:rsid w:val="00777684"/>
    <w:rsid w:val="00777828"/>
    <w:rsid w:val="00787B97"/>
    <w:rsid w:val="00787BB5"/>
    <w:rsid w:val="00790CBC"/>
    <w:rsid w:val="00791A3C"/>
    <w:rsid w:val="00793F11"/>
    <w:rsid w:val="007A6E8A"/>
    <w:rsid w:val="007B066E"/>
    <w:rsid w:val="007B40B1"/>
    <w:rsid w:val="007B69D3"/>
    <w:rsid w:val="007B6C26"/>
    <w:rsid w:val="007B6CAF"/>
    <w:rsid w:val="007B7A81"/>
    <w:rsid w:val="007D0823"/>
    <w:rsid w:val="007E217B"/>
    <w:rsid w:val="007F03CC"/>
    <w:rsid w:val="007F1E10"/>
    <w:rsid w:val="007F4031"/>
    <w:rsid w:val="007F64F6"/>
    <w:rsid w:val="007F6F8F"/>
    <w:rsid w:val="007F7CFF"/>
    <w:rsid w:val="00802429"/>
    <w:rsid w:val="008065DE"/>
    <w:rsid w:val="00806F8D"/>
    <w:rsid w:val="00811D0B"/>
    <w:rsid w:val="00812BDA"/>
    <w:rsid w:val="00812FAC"/>
    <w:rsid w:val="00813A1E"/>
    <w:rsid w:val="00814163"/>
    <w:rsid w:val="00814FC0"/>
    <w:rsid w:val="0081599F"/>
    <w:rsid w:val="00815E33"/>
    <w:rsid w:val="00822C80"/>
    <w:rsid w:val="00823FF9"/>
    <w:rsid w:val="00830F8B"/>
    <w:rsid w:val="00833915"/>
    <w:rsid w:val="00833B72"/>
    <w:rsid w:val="00835D7C"/>
    <w:rsid w:val="0083630C"/>
    <w:rsid w:val="00843C69"/>
    <w:rsid w:val="00843F33"/>
    <w:rsid w:val="00843FB6"/>
    <w:rsid w:val="008533D6"/>
    <w:rsid w:val="0085354F"/>
    <w:rsid w:val="008568C8"/>
    <w:rsid w:val="0086329E"/>
    <w:rsid w:val="0086443B"/>
    <w:rsid w:val="00865A65"/>
    <w:rsid w:val="00866879"/>
    <w:rsid w:val="00867EB3"/>
    <w:rsid w:val="0087128A"/>
    <w:rsid w:val="00871FF5"/>
    <w:rsid w:val="00872F9B"/>
    <w:rsid w:val="00874A11"/>
    <w:rsid w:val="00875216"/>
    <w:rsid w:val="00875BB4"/>
    <w:rsid w:val="00884D88"/>
    <w:rsid w:val="008862B3"/>
    <w:rsid w:val="00891066"/>
    <w:rsid w:val="008A009D"/>
    <w:rsid w:val="008B0ADA"/>
    <w:rsid w:val="008B112E"/>
    <w:rsid w:val="008B43CD"/>
    <w:rsid w:val="008C2473"/>
    <w:rsid w:val="008C78AD"/>
    <w:rsid w:val="008D2D49"/>
    <w:rsid w:val="008D30BB"/>
    <w:rsid w:val="008D3B20"/>
    <w:rsid w:val="008D5C80"/>
    <w:rsid w:val="008E4D55"/>
    <w:rsid w:val="008E7ECC"/>
    <w:rsid w:val="008F4883"/>
    <w:rsid w:val="00901384"/>
    <w:rsid w:val="00902ED4"/>
    <w:rsid w:val="0090317A"/>
    <w:rsid w:val="00905407"/>
    <w:rsid w:val="00905EFE"/>
    <w:rsid w:val="0090781B"/>
    <w:rsid w:val="00907A3D"/>
    <w:rsid w:val="009112F6"/>
    <w:rsid w:val="009169F6"/>
    <w:rsid w:val="009201AD"/>
    <w:rsid w:val="009201DD"/>
    <w:rsid w:val="00920520"/>
    <w:rsid w:val="009220FF"/>
    <w:rsid w:val="009226AF"/>
    <w:rsid w:val="00924A68"/>
    <w:rsid w:val="00926817"/>
    <w:rsid w:val="009270A5"/>
    <w:rsid w:val="0094121F"/>
    <w:rsid w:val="00950892"/>
    <w:rsid w:val="00952C9F"/>
    <w:rsid w:val="00954092"/>
    <w:rsid w:val="00960630"/>
    <w:rsid w:val="0096352F"/>
    <w:rsid w:val="009667F8"/>
    <w:rsid w:val="009759D1"/>
    <w:rsid w:val="0098252F"/>
    <w:rsid w:val="00982BF2"/>
    <w:rsid w:val="00985973"/>
    <w:rsid w:val="00992DED"/>
    <w:rsid w:val="00993DC8"/>
    <w:rsid w:val="009946DF"/>
    <w:rsid w:val="0099472F"/>
    <w:rsid w:val="00996BA9"/>
    <w:rsid w:val="009A3713"/>
    <w:rsid w:val="009A532D"/>
    <w:rsid w:val="009A6EF2"/>
    <w:rsid w:val="009B0125"/>
    <w:rsid w:val="009B03F9"/>
    <w:rsid w:val="009B2A98"/>
    <w:rsid w:val="009C14A4"/>
    <w:rsid w:val="009C45AC"/>
    <w:rsid w:val="009C4CCF"/>
    <w:rsid w:val="009C5547"/>
    <w:rsid w:val="009C5658"/>
    <w:rsid w:val="009D09BB"/>
    <w:rsid w:val="009D0F49"/>
    <w:rsid w:val="009D13E6"/>
    <w:rsid w:val="009D5DC2"/>
    <w:rsid w:val="009E14DD"/>
    <w:rsid w:val="009F0272"/>
    <w:rsid w:val="009F1232"/>
    <w:rsid w:val="009F6876"/>
    <w:rsid w:val="009F74D8"/>
    <w:rsid w:val="00A00D18"/>
    <w:rsid w:val="00A02F18"/>
    <w:rsid w:val="00A03486"/>
    <w:rsid w:val="00A041F9"/>
    <w:rsid w:val="00A04DFB"/>
    <w:rsid w:val="00A066C7"/>
    <w:rsid w:val="00A067FD"/>
    <w:rsid w:val="00A13FF1"/>
    <w:rsid w:val="00A22D86"/>
    <w:rsid w:val="00A231D9"/>
    <w:rsid w:val="00A27F61"/>
    <w:rsid w:val="00A328BF"/>
    <w:rsid w:val="00A37619"/>
    <w:rsid w:val="00A43689"/>
    <w:rsid w:val="00A52254"/>
    <w:rsid w:val="00A540AE"/>
    <w:rsid w:val="00A54CDA"/>
    <w:rsid w:val="00A54D97"/>
    <w:rsid w:val="00A614B2"/>
    <w:rsid w:val="00A640E5"/>
    <w:rsid w:val="00A71C86"/>
    <w:rsid w:val="00A72E30"/>
    <w:rsid w:val="00A7439A"/>
    <w:rsid w:val="00A7549E"/>
    <w:rsid w:val="00A75A3E"/>
    <w:rsid w:val="00A763A4"/>
    <w:rsid w:val="00A81048"/>
    <w:rsid w:val="00A8338E"/>
    <w:rsid w:val="00A8356D"/>
    <w:rsid w:val="00A836B4"/>
    <w:rsid w:val="00A83B93"/>
    <w:rsid w:val="00A83C0E"/>
    <w:rsid w:val="00A854C9"/>
    <w:rsid w:val="00A85D49"/>
    <w:rsid w:val="00A906CD"/>
    <w:rsid w:val="00A9140A"/>
    <w:rsid w:val="00A956E5"/>
    <w:rsid w:val="00A97366"/>
    <w:rsid w:val="00AA3AD8"/>
    <w:rsid w:val="00AA4E03"/>
    <w:rsid w:val="00AA4EBA"/>
    <w:rsid w:val="00AA53E0"/>
    <w:rsid w:val="00AA6A3B"/>
    <w:rsid w:val="00AB1082"/>
    <w:rsid w:val="00AB7C61"/>
    <w:rsid w:val="00AB7EC1"/>
    <w:rsid w:val="00AC1379"/>
    <w:rsid w:val="00AC160A"/>
    <w:rsid w:val="00AC4935"/>
    <w:rsid w:val="00AC643A"/>
    <w:rsid w:val="00AC6C59"/>
    <w:rsid w:val="00AC7338"/>
    <w:rsid w:val="00AD1946"/>
    <w:rsid w:val="00AD1C2A"/>
    <w:rsid w:val="00AD2FA8"/>
    <w:rsid w:val="00AD37FC"/>
    <w:rsid w:val="00AE094D"/>
    <w:rsid w:val="00AE2CDA"/>
    <w:rsid w:val="00AE508C"/>
    <w:rsid w:val="00AE75F6"/>
    <w:rsid w:val="00AF3481"/>
    <w:rsid w:val="00AF447C"/>
    <w:rsid w:val="00AF4877"/>
    <w:rsid w:val="00AF7945"/>
    <w:rsid w:val="00B03849"/>
    <w:rsid w:val="00B0540C"/>
    <w:rsid w:val="00B10BDA"/>
    <w:rsid w:val="00B121C6"/>
    <w:rsid w:val="00B1233F"/>
    <w:rsid w:val="00B15301"/>
    <w:rsid w:val="00B1653B"/>
    <w:rsid w:val="00B16A7E"/>
    <w:rsid w:val="00B17660"/>
    <w:rsid w:val="00B21EF9"/>
    <w:rsid w:val="00B23B24"/>
    <w:rsid w:val="00B307A7"/>
    <w:rsid w:val="00B333DE"/>
    <w:rsid w:val="00B34C76"/>
    <w:rsid w:val="00B36624"/>
    <w:rsid w:val="00B3733B"/>
    <w:rsid w:val="00B45110"/>
    <w:rsid w:val="00B5212D"/>
    <w:rsid w:val="00B60161"/>
    <w:rsid w:val="00B60A77"/>
    <w:rsid w:val="00B61F94"/>
    <w:rsid w:val="00B73B6B"/>
    <w:rsid w:val="00B73E38"/>
    <w:rsid w:val="00B75142"/>
    <w:rsid w:val="00B826C5"/>
    <w:rsid w:val="00B82D22"/>
    <w:rsid w:val="00B94AF7"/>
    <w:rsid w:val="00B952FC"/>
    <w:rsid w:val="00B957CD"/>
    <w:rsid w:val="00B96BBF"/>
    <w:rsid w:val="00B97AD8"/>
    <w:rsid w:val="00BA258D"/>
    <w:rsid w:val="00BA282A"/>
    <w:rsid w:val="00BA29C6"/>
    <w:rsid w:val="00BA3389"/>
    <w:rsid w:val="00BA4744"/>
    <w:rsid w:val="00BA5DA2"/>
    <w:rsid w:val="00BB0805"/>
    <w:rsid w:val="00BB26AC"/>
    <w:rsid w:val="00BB361E"/>
    <w:rsid w:val="00BB3DDB"/>
    <w:rsid w:val="00BB499B"/>
    <w:rsid w:val="00BB5309"/>
    <w:rsid w:val="00BB572A"/>
    <w:rsid w:val="00BC0370"/>
    <w:rsid w:val="00BC462D"/>
    <w:rsid w:val="00BC505F"/>
    <w:rsid w:val="00BD23C4"/>
    <w:rsid w:val="00BD398D"/>
    <w:rsid w:val="00BD4907"/>
    <w:rsid w:val="00BD6D99"/>
    <w:rsid w:val="00BD7E4C"/>
    <w:rsid w:val="00BE06AF"/>
    <w:rsid w:val="00BE6D6B"/>
    <w:rsid w:val="00BE6F53"/>
    <w:rsid w:val="00BE705D"/>
    <w:rsid w:val="00BF0A5F"/>
    <w:rsid w:val="00BF6FD6"/>
    <w:rsid w:val="00C00790"/>
    <w:rsid w:val="00C04A02"/>
    <w:rsid w:val="00C12BDC"/>
    <w:rsid w:val="00C16CD2"/>
    <w:rsid w:val="00C17937"/>
    <w:rsid w:val="00C2791E"/>
    <w:rsid w:val="00C37F32"/>
    <w:rsid w:val="00C43935"/>
    <w:rsid w:val="00C440F0"/>
    <w:rsid w:val="00C4429E"/>
    <w:rsid w:val="00C45E96"/>
    <w:rsid w:val="00C55B5E"/>
    <w:rsid w:val="00C57113"/>
    <w:rsid w:val="00C60031"/>
    <w:rsid w:val="00C60101"/>
    <w:rsid w:val="00C60834"/>
    <w:rsid w:val="00C625B9"/>
    <w:rsid w:val="00C62785"/>
    <w:rsid w:val="00C62AC8"/>
    <w:rsid w:val="00C64677"/>
    <w:rsid w:val="00C715A3"/>
    <w:rsid w:val="00C72E96"/>
    <w:rsid w:val="00C757EB"/>
    <w:rsid w:val="00C75E83"/>
    <w:rsid w:val="00C81706"/>
    <w:rsid w:val="00C82368"/>
    <w:rsid w:val="00C94A9A"/>
    <w:rsid w:val="00C95697"/>
    <w:rsid w:val="00C970E6"/>
    <w:rsid w:val="00C97D92"/>
    <w:rsid w:val="00C97D98"/>
    <w:rsid w:val="00CA111E"/>
    <w:rsid w:val="00CA24D6"/>
    <w:rsid w:val="00CA3112"/>
    <w:rsid w:val="00CA71F3"/>
    <w:rsid w:val="00CB1A38"/>
    <w:rsid w:val="00CB1E90"/>
    <w:rsid w:val="00CB288C"/>
    <w:rsid w:val="00CB2F7F"/>
    <w:rsid w:val="00CB4E3F"/>
    <w:rsid w:val="00CB68AF"/>
    <w:rsid w:val="00CB7CC2"/>
    <w:rsid w:val="00CB7D6C"/>
    <w:rsid w:val="00CC2FD3"/>
    <w:rsid w:val="00CC5D33"/>
    <w:rsid w:val="00CD1E42"/>
    <w:rsid w:val="00CD3084"/>
    <w:rsid w:val="00CD3E45"/>
    <w:rsid w:val="00CD5125"/>
    <w:rsid w:val="00CE2363"/>
    <w:rsid w:val="00CF2EBE"/>
    <w:rsid w:val="00CF3121"/>
    <w:rsid w:val="00CF35DE"/>
    <w:rsid w:val="00CF362E"/>
    <w:rsid w:val="00CF453B"/>
    <w:rsid w:val="00CF7118"/>
    <w:rsid w:val="00D002C3"/>
    <w:rsid w:val="00D0093B"/>
    <w:rsid w:val="00D01143"/>
    <w:rsid w:val="00D0161C"/>
    <w:rsid w:val="00D11374"/>
    <w:rsid w:val="00D16B2B"/>
    <w:rsid w:val="00D17185"/>
    <w:rsid w:val="00D21F5B"/>
    <w:rsid w:val="00D22753"/>
    <w:rsid w:val="00D2292D"/>
    <w:rsid w:val="00D25F74"/>
    <w:rsid w:val="00D26B61"/>
    <w:rsid w:val="00D33447"/>
    <w:rsid w:val="00D40A19"/>
    <w:rsid w:val="00D42998"/>
    <w:rsid w:val="00D45461"/>
    <w:rsid w:val="00D472CA"/>
    <w:rsid w:val="00D47BFB"/>
    <w:rsid w:val="00D55D21"/>
    <w:rsid w:val="00D60277"/>
    <w:rsid w:val="00D60390"/>
    <w:rsid w:val="00D62190"/>
    <w:rsid w:val="00D625E2"/>
    <w:rsid w:val="00D640A8"/>
    <w:rsid w:val="00D66D32"/>
    <w:rsid w:val="00D66E16"/>
    <w:rsid w:val="00D75657"/>
    <w:rsid w:val="00D76B0F"/>
    <w:rsid w:val="00D77E6D"/>
    <w:rsid w:val="00D81928"/>
    <w:rsid w:val="00D83A8F"/>
    <w:rsid w:val="00D8455D"/>
    <w:rsid w:val="00D847AF"/>
    <w:rsid w:val="00D850D7"/>
    <w:rsid w:val="00D867EF"/>
    <w:rsid w:val="00D91CC7"/>
    <w:rsid w:val="00D928F6"/>
    <w:rsid w:val="00D94589"/>
    <w:rsid w:val="00D9484F"/>
    <w:rsid w:val="00D97139"/>
    <w:rsid w:val="00DA7EDB"/>
    <w:rsid w:val="00DB2ACA"/>
    <w:rsid w:val="00DC248E"/>
    <w:rsid w:val="00DC4DA7"/>
    <w:rsid w:val="00DC7423"/>
    <w:rsid w:val="00DD214B"/>
    <w:rsid w:val="00DD5184"/>
    <w:rsid w:val="00DD6683"/>
    <w:rsid w:val="00DE2165"/>
    <w:rsid w:val="00DE7A4A"/>
    <w:rsid w:val="00DF142A"/>
    <w:rsid w:val="00DF19BF"/>
    <w:rsid w:val="00DF3D3E"/>
    <w:rsid w:val="00DF76A3"/>
    <w:rsid w:val="00DF7C84"/>
    <w:rsid w:val="00E0240B"/>
    <w:rsid w:val="00E0658C"/>
    <w:rsid w:val="00E10E61"/>
    <w:rsid w:val="00E154A0"/>
    <w:rsid w:val="00E176D8"/>
    <w:rsid w:val="00E35B41"/>
    <w:rsid w:val="00E35C60"/>
    <w:rsid w:val="00E36A23"/>
    <w:rsid w:val="00E4542A"/>
    <w:rsid w:val="00E50269"/>
    <w:rsid w:val="00E51B20"/>
    <w:rsid w:val="00E61819"/>
    <w:rsid w:val="00E716C1"/>
    <w:rsid w:val="00E74406"/>
    <w:rsid w:val="00E75FE4"/>
    <w:rsid w:val="00E776A0"/>
    <w:rsid w:val="00E829F2"/>
    <w:rsid w:val="00E82EC5"/>
    <w:rsid w:val="00E87CD8"/>
    <w:rsid w:val="00E90284"/>
    <w:rsid w:val="00E92E77"/>
    <w:rsid w:val="00E960B5"/>
    <w:rsid w:val="00EA2F0C"/>
    <w:rsid w:val="00EA323C"/>
    <w:rsid w:val="00EA5DEB"/>
    <w:rsid w:val="00EA6415"/>
    <w:rsid w:val="00EB54D0"/>
    <w:rsid w:val="00EC072D"/>
    <w:rsid w:val="00EC13F8"/>
    <w:rsid w:val="00EC1415"/>
    <w:rsid w:val="00EC3C41"/>
    <w:rsid w:val="00EC4A97"/>
    <w:rsid w:val="00ED0000"/>
    <w:rsid w:val="00ED010A"/>
    <w:rsid w:val="00ED12D5"/>
    <w:rsid w:val="00ED1376"/>
    <w:rsid w:val="00ED1A3D"/>
    <w:rsid w:val="00ED34D5"/>
    <w:rsid w:val="00ED494C"/>
    <w:rsid w:val="00ED6396"/>
    <w:rsid w:val="00ED6C02"/>
    <w:rsid w:val="00EE1312"/>
    <w:rsid w:val="00EE571C"/>
    <w:rsid w:val="00EF2C71"/>
    <w:rsid w:val="00EF3604"/>
    <w:rsid w:val="00EF48A4"/>
    <w:rsid w:val="00EF75CC"/>
    <w:rsid w:val="00F05B8A"/>
    <w:rsid w:val="00F07D45"/>
    <w:rsid w:val="00F1375A"/>
    <w:rsid w:val="00F14331"/>
    <w:rsid w:val="00F16C60"/>
    <w:rsid w:val="00F17507"/>
    <w:rsid w:val="00F20B72"/>
    <w:rsid w:val="00F232F2"/>
    <w:rsid w:val="00F2525F"/>
    <w:rsid w:val="00F32641"/>
    <w:rsid w:val="00F32901"/>
    <w:rsid w:val="00F36D4A"/>
    <w:rsid w:val="00F41EE1"/>
    <w:rsid w:val="00F43E2D"/>
    <w:rsid w:val="00F45810"/>
    <w:rsid w:val="00F46EDD"/>
    <w:rsid w:val="00F46F59"/>
    <w:rsid w:val="00F54FA8"/>
    <w:rsid w:val="00F56C1D"/>
    <w:rsid w:val="00F641A4"/>
    <w:rsid w:val="00F64AA7"/>
    <w:rsid w:val="00F64B74"/>
    <w:rsid w:val="00F6710F"/>
    <w:rsid w:val="00F71D50"/>
    <w:rsid w:val="00F72703"/>
    <w:rsid w:val="00F7311A"/>
    <w:rsid w:val="00F74327"/>
    <w:rsid w:val="00F746C0"/>
    <w:rsid w:val="00F74C0D"/>
    <w:rsid w:val="00F76EE4"/>
    <w:rsid w:val="00F80557"/>
    <w:rsid w:val="00F920B3"/>
    <w:rsid w:val="00F94CE9"/>
    <w:rsid w:val="00F94CF7"/>
    <w:rsid w:val="00F95213"/>
    <w:rsid w:val="00F97BE6"/>
    <w:rsid w:val="00FA15AA"/>
    <w:rsid w:val="00FA15E7"/>
    <w:rsid w:val="00FA3602"/>
    <w:rsid w:val="00FA5142"/>
    <w:rsid w:val="00FB1CA1"/>
    <w:rsid w:val="00FB3028"/>
    <w:rsid w:val="00FB4CDA"/>
    <w:rsid w:val="00FC114B"/>
    <w:rsid w:val="00FC3F47"/>
    <w:rsid w:val="00FC5856"/>
    <w:rsid w:val="00FC67DA"/>
    <w:rsid w:val="00FC7B12"/>
    <w:rsid w:val="00FD12BF"/>
    <w:rsid w:val="00FD3796"/>
    <w:rsid w:val="00FD4A9F"/>
    <w:rsid w:val="00FE425F"/>
    <w:rsid w:val="00FE5DFF"/>
    <w:rsid w:val="00FF23F3"/>
    <w:rsid w:val="00FF2AE4"/>
    <w:rsid w:val="00FF48F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2E"/>
    <w:pPr>
      <w:spacing w:after="160" w:line="259" w:lineRule="auto"/>
    </w:pPr>
    <w:rPr>
      <w:sz w:val="22"/>
      <w:szCs w:val="22"/>
      <w:lang w:val="sr-Latn-CS"/>
    </w:rPr>
  </w:style>
  <w:style w:type="paragraph" w:styleId="Heading1">
    <w:name w:val="heading 1"/>
    <w:basedOn w:val="Normal"/>
    <w:next w:val="Normal"/>
    <w:link w:val="Heading1Char"/>
    <w:qFormat/>
    <w:locked/>
    <w:rsid w:val="00512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85D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85D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2785"/>
    <w:pPr>
      <w:autoSpaceDE w:val="0"/>
      <w:autoSpaceDN w:val="0"/>
      <w:adjustRightInd w:val="0"/>
    </w:pPr>
    <w:rPr>
      <w:rFonts w:cs="Calibri"/>
      <w:color w:val="000000"/>
      <w:sz w:val="24"/>
      <w:szCs w:val="24"/>
      <w:lang w:val="en-GB"/>
    </w:rPr>
  </w:style>
  <w:style w:type="paragraph" w:styleId="ListParagraph">
    <w:name w:val="List Paragraph"/>
    <w:basedOn w:val="Normal"/>
    <w:uiPriority w:val="99"/>
    <w:qFormat/>
    <w:rsid w:val="00C62785"/>
    <w:pPr>
      <w:spacing w:after="200" w:line="276" w:lineRule="auto"/>
      <w:ind w:left="720"/>
      <w:contextualSpacing/>
    </w:pPr>
  </w:style>
  <w:style w:type="paragraph" w:customStyle="1" w:styleId="yiv2203099428msonormal">
    <w:name w:val="yiv2203099428msonormal"/>
    <w:basedOn w:val="Normal"/>
    <w:uiPriority w:val="99"/>
    <w:rsid w:val="00C62785"/>
    <w:pPr>
      <w:spacing w:before="100" w:beforeAutospacing="1" w:after="100" w:afterAutospacing="1" w:line="240" w:lineRule="auto"/>
    </w:pPr>
    <w:rPr>
      <w:rFonts w:ascii="Times New Roman" w:eastAsia="Times New Roman" w:hAnsi="Times New Roman"/>
      <w:sz w:val="24"/>
      <w:szCs w:val="24"/>
      <w:lang w:eastAsia="sr-Latn-CS"/>
    </w:rPr>
  </w:style>
  <w:style w:type="character" w:customStyle="1" w:styleId="apple-converted-space">
    <w:name w:val="apple-converted-space"/>
    <w:uiPriority w:val="99"/>
    <w:rsid w:val="00C62785"/>
    <w:rPr>
      <w:rFonts w:cs="Times New Roman"/>
    </w:rPr>
  </w:style>
  <w:style w:type="paragraph" w:styleId="NoSpacing">
    <w:name w:val="No Spacing"/>
    <w:uiPriority w:val="99"/>
    <w:qFormat/>
    <w:rsid w:val="00F46EDD"/>
    <w:rPr>
      <w:rFonts w:eastAsia="Times New Roman" w:cs="Calibri"/>
      <w:sz w:val="22"/>
      <w:szCs w:val="22"/>
    </w:rPr>
  </w:style>
  <w:style w:type="paragraph" w:styleId="NormalWeb">
    <w:name w:val="Normal (Web)"/>
    <w:basedOn w:val="Normal"/>
    <w:uiPriority w:val="99"/>
    <w:semiHidden/>
    <w:rsid w:val="00F46EDD"/>
    <w:pPr>
      <w:spacing w:before="100" w:beforeAutospacing="1" w:after="100" w:afterAutospacing="1" w:line="240" w:lineRule="auto"/>
    </w:pPr>
    <w:rPr>
      <w:rFonts w:ascii="Times New Roman" w:eastAsia="Times New Roman" w:hAnsi="Times New Roman"/>
      <w:sz w:val="24"/>
      <w:szCs w:val="24"/>
      <w:lang w:eastAsia="sr-Latn-CS"/>
    </w:rPr>
  </w:style>
  <w:style w:type="table" w:styleId="TableGrid">
    <w:name w:val="Table Grid"/>
    <w:basedOn w:val="TableNormal"/>
    <w:uiPriority w:val="99"/>
    <w:locked/>
    <w:rsid w:val="002B6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4429E"/>
    <w:pPr>
      <w:spacing w:after="0" w:line="240" w:lineRule="auto"/>
    </w:pPr>
    <w:rPr>
      <w:rFonts w:eastAsia="Times New Roman"/>
      <w:sz w:val="20"/>
      <w:szCs w:val="20"/>
      <w:lang w:val="en-US"/>
    </w:rPr>
  </w:style>
  <w:style w:type="character" w:customStyle="1" w:styleId="FootnoteTextChar">
    <w:name w:val="Footnote Text Char"/>
    <w:link w:val="FootnoteText"/>
    <w:uiPriority w:val="99"/>
    <w:locked/>
    <w:rsid w:val="00C4429E"/>
    <w:rPr>
      <w:rFonts w:ascii="Calibri" w:hAnsi="Calibri" w:cs="Times New Roman"/>
      <w:sz w:val="20"/>
      <w:szCs w:val="20"/>
    </w:rPr>
  </w:style>
  <w:style w:type="character" w:styleId="FootnoteReference">
    <w:name w:val="footnote reference"/>
    <w:uiPriority w:val="99"/>
    <w:semiHidden/>
    <w:rsid w:val="00C4429E"/>
    <w:rPr>
      <w:rFonts w:cs="Times New Roman"/>
      <w:vertAlign w:val="superscript"/>
    </w:rPr>
  </w:style>
  <w:style w:type="character" w:customStyle="1" w:styleId="BodyTextChar">
    <w:name w:val="Body Text Char"/>
    <w:uiPriority w:val="99"/>
    <w:semiHidden/>
    <w:locked/>
    <w:rsid w:val="00DD214B"/>
    <w:rPr>
      <w:sz w:val="24"/>
      <w:lang w:val="sr-Cyrl-CS"/>
    </w:rPr>
  </w:style>
  <w:style w:type="paragraph" w:styleId="BodyText">
    <w:name w:val="Body Text"/>
    <w:basedOn w:val="Normal"/>
    <w:link w:val="BodyTextChar1"/>
    <w:uiPriority w:val="99"/>
    <w:semiHidden/>
    <w:rsid w:val="00DD214B"/>
    <w:pPr>
      <w:spacing w:after="0" w:line="240" w:lineRule="auto"/>
      <w:jc w:val="center"/>
    </w:pPr>
    <w:rPr>
      <w:sz w:val="24"/>
      <w:szCs w:val="20"/>
      <w:lang w:val="sr-Cyrl-CS"/>
    </w:rPr>
  </w:style>
  <w:style w:type="character" w:customStyle="1" w:styleId="BodyTextChar1">
    <w:name w:val="Body Text Char1"/>
    <w:link w:val="BodyText"/>
    <w:uiPriority w:val="99"/>
    <w:semiHidden/>
    <w:locked/>
    <w:rsid w:val="00DD214B"/>
    <w:rPr>
      <w:rFonts w:cs="Times New Roman"/>
      <w:lang w:val="sr-Latn-CS"/>
    </w:rPr>
  </w:style>
  <w:style w:type="paragraph" w:customStyle="1" w:styleId="1tekst">
    <w:name w:val="1tekst"/>
    <w:basedOn w:val="Normal"/>
    <w:uiPriority w:val="99"/>
    <w:rsid w:val="00DD214B"/>
    <w:pPr>
      <w:spacing w:after="0" w:line="240" w:lineRule="auto"/>
      <w:ind w:left="375" w:right="375" w:firstLine="240"/>
      <w:jc w:val="both"/>
    </w:pPr>
    <w:rPr>
      <w:rFonts w:ascii="Arial" w:eastAsia="Times New Roman" w:hAnsi="Arial" w:cs="Arial"/>
      <w:sz w:val="20"/>
      <w:szCs w:val="20"/>
      <w:lang w:eastAsia="sr-Latn-CS"/>
    </w:rPr>
  </w:style>
  <w:style w:type="character" w:styleId="CommentReference">
    <w:name w:val="annotation reference"/>
    <w:uiPriority w:val="99"/>
    <w:semiHidden/>
    <w:rsid w:val="002E2851"/>
    <w:rPr>
      <w:rFonts w:cs="Times New Roman"/>
      <w:sz w:val="16"/>
      <w:szCs w:val="16"/>
    </w:rPr>
  </w:style>
  <w:style w:type="paragraph" w:styleId="CommentText">
    <w:name w:val="annotation text"/>
    <w:basedOn w:val="Normal"/>
    <w:link w:val="CommentTextChar"/>
    <w:uiPriority w:val="99"/>
    <w:semiHidden/>
    <w:rsid w:val="00B957CD"/>
    <w:pPr>
      <w:spacing w:after="200" w:line="240" w:lineRule="auto"/>
    </w:pPr>
    <w:rPr>
      <w:noProof/>
      <w:sz w:val="20"/>
      <w:szCs w:val="20"/>
    </w:rPr>
  </w:style>
  <w:style w:type="character" w:customStyle="1" w:styleId="CommentTextChar">
    <w:name w:val="Comment Text Char"/>
    <w:link w:val="CommentText"/>
    <w:uiPriority w:val="99"/>
    <w:semiHidden/>
    <w:locked/>
    <w:rsid w:val="00B957CD"/>
    <w:rPr>
      <w:noProof/>
      <w:lang w:val="sr-Latn-CS"/>
    </w:rPr>
  </w:style>
  <w:style w:type="paragraph" w:styleId="BalloonText">
    <w:name w:val="Balloon Text"/>
    <w:basedOn w:val="Normal"/>
    <w:link w:val="BalloonTextChar"/>
    <w:uiPriority w:val="99"/>
    <w:semiHidden/>
    <w:rsid w:val="002E28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E2851"/>
    <w:rPr>
      <w:rFonts w:ascii="Segoe UI" w:hAnsi="Segoe UI" w:cs="Segoe UI"/>
      <w:sz w:val="18"/>
      <w:szCs w:val="18"/>
      <w:lang w:val="sr-Latn-CS"/>
    </w:rPr>
  </w:style>
  <w:style w:type="paragraph" w:styleId="Header">
    <w:name w:val="header"/>
    <w:basedOn w:val="Normal"/>
    <w:link w:val="HeaderChar"/>
    <w:rsid w:val="000C0769"/>
    <w:pPr>
      <w:tabs>
        <w:tab w:val="center" w:pos="4535"/>
        <w:tab w:val="right" w:pos="9071"/>
      </w:tabs>
      <w:spacing w:after="0" w:line="240" w:lineRule="auto"/>
    </w:pPr>
  </w:style>
  <w:style w:type="character" w:customStyle="1" w:styleId="HeaderChar">
    <w:name w:val="Header Char"/>
    <w:link w:val="Header"/>
    <w:locked/>
    <w:rsid w:val="000C0769"/>
    <w:rPr>
      <w:rFonts w:cs="Times New Roman"/>
      <w:lang w:val="sr-Latn-CS"/>
    </w:rPr>
  </w:style>
  <w:style w:type="paragraph" w:styleId="Footer">
    <w:name w:val="footer"/>
    <w:basedOn w:val="Normal"/>
    <w:link w:val="FooterChar"/>
    <w:uiPriority w:val="99"/>
    <w:rsid w:val="000C0769"/>
    <w:pPr>
      <w:tabs>
        <w:tab w:val="center" w:pos="4535"/>
        <w:tab w:val="right" w:pos="9071"/>
      </w:tabs>
      <w:spacing w:after="0" w:line="240" w:lineRule="auto"/>
    </w:pPr>
  </w:style>
  <w:style w:type="character" w:customStyle="1" w:styleId="FooterChar">
    <w:name w:val="Footer Char"/>
    <w:link w:val="Footer"/>
    <w:uiPriority w:val="99"/>
    <w:locked/>
    <w:rsid w:val="000C0769"/>
    <w:rPr>
      <w:rFonts w:cs="Times New Roman"/>
      <w:lang w:val="sr-Latn-CS"/>
    </w:rPr>
  </w:style>
  <w:style w:type="paragraph" w:styleId="CommentSubject">
    <w:name w:val="annotation subject"/>
    <w:basedOn w:val="CommentText"/>
    <w:next w:val="CommentText"/>
    <w:link w:val="CommentSubjectChar"/>
    <w:uiPriority w:val="99"/>
    <w:semiHidden/>
    <w:unhideWhenUsed/>
    <w:rsid w:val="00A71C86"/>
    <w:pPr>
      <w:spacing w:after="160" w:line="259" w:lineRule="auto"/>
    </w:pPr>
    <w:rPr>
      <w:b/>
      <w:bCs/>
      <w:noProof w:val="0"/>
    </w:rPr>
  </w:style>
  <w:style w:type="character" w:customStyle="1" w:styleId="CommentSubjectChar">
    <w:name w:val="Comment Subject Char"/>
    <w:link w:val="CommentSubject"/>
    <w:uiPriority w:val="99"/>
    <w:semiHidden/>
    <w:rsid w:val="00A71C86"/>
    <w:rPr>
      <w:rFonts w:ascii="Calibri" w:hAnsi="Calibri" w:cs="Times New Roman"/>
      <w:b/>
      <w:bCs/>
      <w:noProof/>
      <w:sz w:val="20"/>
      <w:szCs w:val="20"/>
      <w:lang w:val="sr-Latn-CS"/>
    </w:rPr>
  </w:style>
  <w:style w:type="paragraph" w:styleId="EndnoteText">
    <w:name w:val="endnote text"/>
    <w:basedOn w:val="Normal"/>
    <w:link w:val="EndnoteTextChar"/>
    <w:uiPriority w:val="99"/>
    <w:semiHidden/>
    <w:unhideWhenUsed/>
    <w:rsid w:val="00A906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6CD"/>
    <w:rPr>
      <w:lang w:val="sr-Latn-CS"/>
    </w:rPr>
  </w:style>
  <w:style w:type="character" w:styleId="EndnoteReference">
    <w:name w:val="endnote reference"/>
    <w:basedOn w:val="DefaultParagraphFont"/>
    <w:uiPriority w:val="99"/>
    <w:semiHidden/>
    <w:unhideWhenUsed/>
    <w:rsid w:val="00A906CD"/>
    <w:rPr>
      <w:vertAlign w:val="superscript"/>
    </w:rPr>
  </w:style>
  <w:style w:type="paragraph" w:styleId="TOC1">
    <w:name w:val="toc 1"/>
    <w:basedOn w:val="Normal"/>
    <w:next w:val="Normal"/>
    <w:autoRedefine/>
    <w:uiPriority w:val="39"/>
    <w:qFormat/>
    <w:locked/>
    <w:rsid w:val="00512482"/>
    <w:pPr>
      <w:spacing w:after="100"/>
    </w:pPr>
  </w:style>
  <w:style w:type="paragraph" w:styleId="TOC3">
    <w:name w:val="toc 3"/>
    <w:basedOn w:val="Normal"/>
    <w:next w:val="Normal"/>
    <w:autoRedefine/>
    <w:uiPriority w:val="39"/>
    <w:qFormat/>
    <w:locked/>
    <w:rsid w:val="00512482"/>
    <w:pPr>
      <w:spacing w:after="100"/>
      <w:ind w:left="440"/>
    </w:pPr>
  </w:style>
  <w:style w:type="character" w:styleId="Hyperlink">
    <w:name w:val="Hyperlink"/>
    <w:basedOn w:val="DefaultParagraphFont"/>
    <w:uiPriority w:val="99"/>
    <w:unhideWhenUsed/>
    <w:rsid w:val="00512482"/>
    <w:rPr>
      <w:color w:val="0000FF" w:themeColor="hyperlink"/>
      <w:u w:val="single"/>
    </w:rPr>
  </w:style>
  <w:style w:type="character" w:customStyle="1" w:styleId="Heading1Char">
    <w:name w:val="Heading 1 Char"/>
    <w:basedOn w:val="DefaultParagraphFont"/>
    <w:link w:val="Heading1"/>
    <w:rsid w:val="00512482"/>
    <w:rPr>
      <w:rFonts w:asciiTheme="majorHAnsi" w:eastAsiaTheme="majorEastAsia" w:hAnsiTheme="majorHAnsi" w:cstheme="majorBidi"/>
      <w:b/>
      <w:bCs/>
      <w:color w:val="365F91" w:themeColor="accent1" w:themeShade="BF"/>
      <w:sz w:val="28"/>
      <w:szCs w:val="28"/>
      <w:lang w:val="sr-Latn-CS"/>
    </w:rPr>
  </w:style>
  <w:style w:type="paragraph" w:styleId="TOCHeading">
    <w:name w:val="TOC Heading"/>
    <w:basedOn w:val="Heading1"/>
    <w:next w:val="Normal"/>
    <w:uiPriority w:val="39"/>
    <w:semiHidden/>
    <w:unhideWhenUsed/>
    <w:qFormat/>
    <w:rsid w:val="00512482"/>
    <w:pPr>
      <w:spacing w:line="276" w:lineRule="auto"/>
      <w:outlineLvl w:val="9"/>
    </w:pPr>
    <w:rPr>
      <w:lang w:val="en-US"/>
    </w:rPr>
  </w:style>
  <w:style w:type="character" w:customStyle="1" w:styleId="Heading2Char">
    <w:name w:val="Heading 2 Char"/>
    <w:basedOn w:val="DefaultParagraphFont"/>
    <w:link w:val="Heading2"/>
    <w:rsid w:val="00385DEC"/>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rsid w:val="00385DEC"/>
    <w:rPr>
      <w:rFonts w:asciiTheme="majorHAnsi" w:eastAsiaTheme="majorEastAsia" w:hAnsiTheme="majorHAnsi" w:cstheme="majorBidi"/>
      <w:b/>
      <w:bCs/>
      <w:color w:val="4F81BD" w:themeColor="accent1"/>
      <w:sz w:val="22"/>
      <w:szCs w:val="22"/>
      <w:lang w:val="sr-Latn-CS"/>
    </w:rPr>
  </w:style>
  <w:style w:type="paragraph" w:styleId="TOC2">
    <w:name w:val="toc 2"/>
    <w:basedOn w:val="Normal"/>
    <w:next w:val="Normal"/>
    <w:autoRedefine/>
    <w:uiPriority w:val="39"/>
    <w:qFormat/>
    <w:locked/>
    <w:rsid w:val="00830F8B"/>
    <w:pPr>
      <w:spacing w:after="100"/>
      <w:ind w:left="220"/>
    </w:pPr>
  </w:style>
  <w:style w:type="character" w:styleId="Emphasis">
    <w:name w:val="Emphasis"/>
    <w:basedOn w:val="DefaultParagraphFont"/>
    <w:qFormat/>
    <w:locked/>
    <w:rsid w:val="00A8338E"/>
    <w:rPr>
      <w:i/>
      <w:iCs/>
    </w:rPr>
  </w:style>
  <w:style w:type="paragraph" w:styleId="Title">
    <w:name w:val="Title"/>
    <w:basedOn w:val="Normal"/>
    <w:next w:val="Normal"/>
    <w:link w:val="TitleChar"/>
    <w:uiPriority w:val="10"/>
    <w:qFormat/>
    <w:locked/>
    <w:rsid w:val="00B0540C"/>
    <w:pPr>
      <w:pBdr>
        <w:top w:val="single" w:sz="6" w:space="8" w:color="9BBB59"/>
        <w:bottom w:val="single" w:sz="6" w:space="8" w:color="9BBB59"/>
      </w:pBdr>
      <w:spacing w:after="400" w:line="240" w:lineRule="auto"/>
      <w:contextualSpacing/>
      <w:jc w:val="center"/>
    </w:pPr>
    <w:rPr>
      <w:rFonts w:ascii="Cambria" w:eastAsia="Times New Roman" w:hAnsi="Cambria"/>
      <w:caps/>
      <w:color w:val="1F497D"/>
      <w:spacing w:val="30"/>
      <w:sz w:val="72"/>
      <w:szCs w:val="72"/>
      <w:lang w:val="en-US"/>
    </w:rPr>
  </w:style>
  <w:style w:type="character" w:customStyle="1" w:styleId="TitleChar">
    <w:name w:val="Title Char"/>
    <w:basedOn w:val="DefaultParagraphFont"/>
    <w:link w:val="Title"/>
    <w:uiPriority w:val="10"/>
    <w:rsid w:val="00B0540C"/>
    <w:rPr>
      <w:rFonts w:ascii="Cambria" w:eastAsia="Times New Roman" w:hAnsi="Cambria"/>
      <w:caps/>
      <w:color w:val="1F497D"/>
      <w:spacing w:val="30"/>
      <w:sz w:val="72"/>
      <w:szCs w:val="72"/>
    </w:rPr>
  </w:style>
  <w:style w:type="paragraph" w:styleId="Subtitle">
    <w:name w:val="Subtitle"/>
    <w:basedOn w:val="Normal"/>
    <w:next w:val="Normal"/>
    <w:link w:val="SubtitleChar"/>
    <w:uiPriority w:val="11"/>
    <w:qFormat/>
    <w:locked/>
    <w:rsid w:val="00B0540C"/>
    <w:pPr>
      <w:numPr>
        <w:ilvl w:val="1"/>
      </w:numPr>
      <w:spacing w:line="300" w:lineRule="auto"/>
      <w:jc w:val="center"/>
    </w:pPr>
    <w:rPr>
      <w:rFonts w:eastAsia="Times New Roman"/>
      <w:color w:val="1F497D"/>
      <w:sz w:val="28"/>
      <w:szCs w:val="28"/>
      <w:lang w:val="en-US"/>
    </w:rPr>
  </w:style>
  <w:style w:type="character" w:customStyle="1" w:styleId="SubtitleChar">
    <w:name w:val="Subtitle Char"/>
    <w:basedOn w:val="DefaultParagraphFont"/>
    <w:link w:val="Subtitle"/>
    <w:uiPriority w:val="11"/>
    <w:rsid w:val="00B0540C"/>
    <w:rPr>
      <w:rFonts w:eastAsia="Times New Roman"/>
      <w:color w:val="1F497D"/>
      <w:sz w:val="28"/>
      <w:szCs w:val="28"/>
    </w:rPr>
  </w:style>
</w:styles>
</file>

<file path=word/webSettings.xml><?xml version="1.0" encoding="utf-8"?>
<w:webSettings xmlns:r="http://schemas.openxmlformats.org/officeDocument/2006/relationships" xmlns:w="http://schemas.openxmlformats.org/wordprocessingml/2006/main">
  <w:divs>
    <w:div w:id="100541289">
      <w:bodyDiv w:val="1"/>
      <w:marLeft w:val="0"/>
      <w:marRight w:val="0"/>
      <w:marTop w:val="0"/>
      <w:marBottom w:val="0"/>
      <w:divBdr>
        <w:top w:val="none" w:sz="0" w:space="0" w:color="auto"/>
        <w:left w:val="none" w:sz="0" w:space="0" w:color="auto"/>
        <w:bottom w:val="none" w:sz="0" w:space="0" w:color="auto"/>
        <w:right w:val="none" w:sz="0" w:space="0" w:color="auto"/>
      </w:divBdr>
      <w:divsChild>
        <w:div w:id="1041369479">
          <w:marLeft w:val="547"/>
          <w:marRight w:val="0"/>
          <w:marTop w:val="0"/>
          <w:marBottom w:val="0"/>
          <w:divBdr>
            <w:top w:val="none" w:sz="0" w:space="0" w:color="auto"/>
            <w:left w:val="none" w:sz="0" w:space="0" w:color="auto"/>
            <w:bottom w:val="none" w:sz="0" w:space="0" w:color="auto"/>
            <w:right w:val="none" w:sz="0" w:space="0" w:color="auto"/>
          </w:divBdr>
        </w:div>
      </w:divsChild>
    </w:div>
    <w:div w:id="263421651">
      <w:bodyDiv w:val="1"/>
      <w:marLeft w:val="0"/>
      <w:marRight w:val="0"/>
      <w:marTop w:val="0"/>
      <w:marBottom w:val="0"/>
      <w:divBdr>
        <w:top w:val="none" w:sz="0" w:space="0" w:color="auto"/>
        <w:left w:val="none" w:sz="0" w:space="0" w:color="auto"/>
        <w:bottom w:val="none" w:sz="0" w:space="0" w:color="auto"/>
        <w:right w:val="none" w:sz="0" w:space="0" w:color="auto"/>
      </w:divBdr>
      <w:divsChild>
        <w:div w:id="1037000217">
          <w:marLeft w:val="547"/>
          <w:marRight w:val="0"/>
          <w:marTop w:val="0"/>
          <w:marBottom w:val="0"/>
          <w:divBdr>
            <w:top w:val="none" w:sz="0" w:space="0" w:color="auto"/>
            <w:left w:val="none" w:sz="0" w:space="0" w:color="auto"/>
            <w:bottom w:val="none" w:sz="0" w:space="0" w:color="auto"/>
            <w:right w:val="none" w:sz="0" w:space="0" w:color="auto"/>
          </w:divBdr>
        </w:div>
      </w:divsChild>
    </w:div>
    <w:div w:id="331373219">
      <w:bodyDiv w:val="1"/>
      <w:marLeft w:val="0"/>
      <w:marRight w:val="0"/>
      <w:marTop w:val="0"/>
      <w:marBottom w:val="0"/>
      <w:divBdr>
        <w:top w:val="none" w:sz="0" w:space="0" w:color="auto"/>
        <w:left w:val="none" w:sz="0" w:space="0" w:color="auto"/>
        <w:bottom w:val="none" w:sz="0" w:space="0" w:color="auto"/>
        <w:right w:val="none" w:sz="0" w:space="0" w:color="auto"/>
      </w:divBdr>
    </w:div>
    <w:div w:id="343212268">
      <w:bodyDiv w:val="1"/>
      <w:marLeft w:val="0"/>
      <w:marRight w:val="0"/>
      <w:marTop w:val="0"/>
      <w:marBottom w:val="0"/>
      <w:divBdr>
        <w:top w:val="none" w:sz="0" w:space="0" w:color="auto"/>
        <w:left w:val="none" w:sz="0" w:space="0" w:color="auto"/>
        <w:bottom w:val="none" w:sz="0" w:space="0" w:color="auto"/>
        <w:right w:val="none" w:sz="0" w:space="0" w:color="auto"/>
      </w:divBdr>
      <w:divsChild>
        <w:div w:id="1648247316">
          <w:marLeft w:val="547"/>
          <w:marRight w:val="0"/>
          <w:marTop w:val="0"/>
          <w:marBottom w:val="0"/>
          <w:divBdr>
            <w:top w:val="none" w:sz="0" w:space="0" w:color="auto"/>
            <w:left w:val="none" w:sz="0" w:space="0" w:color="auto"/>
            <w:bottom w:val="none" w:sz="0" w:space="0" w:color="auto"/>
            <w:right w:val="none" w:sz="0" w:space="0" w:color="auto"/>
          </w:divBdr>
        </w:div>
      </w:divsChild>
    </w:div>
    <w:div w:id="835269864">
      <w:marLeft w:val="0"/>
      <w:marRight w:val="0"/>
      <w:marTop w:val="0"/>
      <w:marBottom w:val="0"/>
      <w:divBdr>
        <w:top w:val="none" w:sz="0" w:space="0" w:color="auto"/>
        <w:left w:val="none" w:sz="0" w:space="0" w:color="auto"/>
        <w:bottom w:val="none" w:sz="0" w:space="0" w:color="auto"/>
        <w:right w:val="none" w:sz="0" w:space="0" w:color="auto"/>
      </w:divBdr>
    </w:div>
    <w:div w:id="835269865">
      <w:marLeft w:val="0"/>
      <w:marRight w:val="0"/>
      <w:marTop w:val="0"/>
      <w:marBottom w:val="0"/>
      <w:divBdr>
        <w:top w:val="none" w:sz="0" w:space="0" w:color="auto"/>
        <w:left w:val="none" w:sz="0" w:space="0" w:color="auto"/>
        <w:bottom w:val="none" w:sz="0" w:space="0" w:color="auto"/>
        <w:right w:val="none" w:sz="0" w:space="0" w:color="auto"/>
      </w:divBdr>
      <w:divsChild>
        <w:div w:id="835269861">
          <w:marLeft w:val="504"/>
          <w:marRight w:val="0"/>
          <w:marTop w:val="140"/>
          <w:marBottom w:val="0"/>
          <w:divBdr>
            <w:top w:val="none" w:sz="0" w:space="0" w:color="auto"/>
            <w:left w:val="none" w:sz="0" w:space="0" w:color="auto"/>
            <w:bottom w:val="none" w:sz="0" w:space="0" w:color="auto"/>
            <w:right w:val="none" w:sz="0" w:space="0" w:color="auto"/>
          </w:divBdr>
        </w:div>
        <w:div w:id="835269862">
          <w:marLeft w:val="1008"/>
          <w:marRight w:val="0"/>
          <w:marTop w:val="110"/>
          <w:marBottom w:val="0"/>
          <w:divBdr>
            <w:top w:val="none" w:sz="0" w:space="0" w:color="auto"/>
            <w:left w:val="none" w:sz="0" w:space="0" w:color="auto"/>
            <w:bottom w:val="none" w:sz="0" w:space="0" w:color="auto"/>
            <w:right w:val="none" w:sz="0" w:space="0" w:color="auto"/>
          </w:divBdr>
        </w:div>
        <w:div w:id="835269867">
          <w:marLeft w:val="504"/>
          <w:marRight w:val="0"/>
          <w:marTop w:val="140"/>
          <w:marBottom w:val="0"/>
          <w:divBdr>
            <w:top w:val="none" w:sz="0" w:space="0" w:color="auto"/>
            <w:left w:val="none" w:sz="0" w:space="0" w:color="auto"/>
            <w:bottom w:val="none" w:sz="0" w:space="0" w:color="auto"/>
            <w:right w:val="none" w:sz="0" w:space="0" w:color="auto"/>
          </w:divBdr>
        </w:div>
        <w:div w:id="835269870">
          <w:marLeft w:val="504"/>
          <w:marRight w:val="0"/>
          <w:marTop w:val="140"/>
          <w:marBottom w:val="0"/>
          <w:divBdr>
            <w:top w:val="none" w:sz="0" w:space="0" w:color="auto"/>
            <w:left w:val="none" w:sz="0" w:space="0" w:color="auto"/>
            <w:bottom w:val="none" w:sz="0" w:space="0" w:color="auto"/>
            <w:right w:val="none" w:sz="0" w:space="0" w:color="auto"/>
          </w:divBdr>
        </w:div>
      </w:divsChild>
    </w:div>
    <w:div w:id="835269866">
      <w:marLeft w:val="0"/>
      <w:marRight w:val="0"/>
      <w:marTop w:val="0"/>
      <w:marBottom w:val="0"/>
      <w:divBdr>
        <w:top w:val="none" w:sz="0" w:space="0" w:color="auto"/>
        <w:left w:val="none" w:sz="0" w:space="0" w:color="auto"/>
        <w:bottom w:val="none" w:sz="0" w:space="0" w:color="auto"/>
        <w:right w:val="none" w:sz="0" w:space="0" w:color="auto"/>
      </w:divBdr>
      <w:divsChild>
        <w:div w:id="835269863">
          <w:marLeft w:val="547"/>
          <w:marRight w:val="0"/>
          <w:marTop w:val="400"/>
          <w:marBottom w:val="0"/>
          <w:divBdr>
            <w:top w:val="none" w:sz="0" w:space="0" w:color="auto"/>
            <w:left w:val="none" w:sz="0" w:space="0" w:color="auto"/>
            <w:bottom w:val="none" w:sz="0" w:space="0" w:color="auto"/>
            <w:right w:val="none" w:sz="0" w:space="0" w:color="auto"/>
          </w:divBdr>
        </w:div>
        <w:div w:id="835269869">
          <w:marLeft w:val="547"/>
          <w:marRight w:val="0"/>
          <w:marTop w:val="400"/>
          <w:marBottom w:val="0"/>
          <w:divBdr>
            <w:top w:val="none" w:sz="0" w:space="0" w:color="auto"/>
            <w:left w:val="none" w:sz="0" w:space="0" w:color="auto"/>
            <w:bottom w:val="none" w:sz="0" w:space="0" w:color="auto"/>
            <w:right w:val="none" w:sz="0" w:space="0" w:color="auto"/>
          </w:divBdr>
        </w:div>
      </w:divsChild>
    </w:div>
    <w:div w:id="835269868">
      <w:marLeft w:val="0"/>
      <w:marRight w:val="0"/>
      <w:marTop w:val="0"/>
      <w:marBottom w:val="0"/>
      <w:divBdr>
        <w:top w:val="none" w:sz="0" w:space="0" w:color="auto"/>
        <w:left w:val="none" w:sz="0" w:space="0" w:color="auto"/>
        <w:bottom w:val="none" w:sz="0" w:space="0" w:color="auto"/>
        <w:right w:val="none" w:sz="0" w:space="0" w:color="auto"/>
      </w:divBdr>
    </w:div>
    <w:div w:id="1264418293">
      <w:bodyDiv w:val="1"/>
      <w:marLeft w:val="0"/>
      <w:marRight w:val="0"/>
      <w:marTop w:val="0"/>
      <w:marBottom w:val="0"/>
      <w:divBdr>
        <w:top w:val="none" w:sz="0" w:space="0" w:color="auto"/>
        <w:left w:val="none" w:sz="0" w:space="0" w:color="auto"/>
        <w:bottom w:val="none" w:sz="0" w:space="0" w:color="auto"/>
        <w:right w:val="none" w:sz="0" w:space="0" w:color="auto"/>
      </w:divBdr>
      <w:divsChild>
        <w:div w:id="502356343">
          <w:marLeft w:val="547"/>
          <w:marRight w:val="0"/>
          <w:marTop w:val="0"/>
          <w:marBottom w:val="0"/>
          <w:divBdr>
            <w:top w:val="none" w:sz="0" w:space="0" w:color="auto"/>
            <w:left w:val="none" w:sz="0" w:space="0" w:color="auto"/>
            <w:bottom w:val="none" w:sz="0" w:space="0" w:color="auto"/>
            <w:right w:val="none" w:sz="0" w:space="0" w:color="auto"/>
          </w:divBdr>
        </w:div>
      </w:divsChild>
    </w:div>
    <w:div w:id="1945382717">
      <w:bodyDiv w:val="1"/>
      <w:marLeft w:val="0"/>
      <w:marRight w:val="0"/>
      <w:marTop w:val="0"/>
      <w:marBottom w:val="0"/>
      <w:divBdr>
        <w:top w:val="none" w:sz="0" w:space="0" w:color="auto"/>
        <w:left w:val="none" w:sz="0" w:space="0" w:color="auto"/>
        <w:bottom w:val="none" w:sz="0" w:space="0" w:color="auto"/>
        <w:right w:val="none" w:sz="0" w:space="0" w:color="auto"/>
      </w:divBdr>
      <w:divsChild>
        <w:div w:id="6068169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32A0-3156-49C9-BBC1-1383CCC9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16535</Words>
  <Characters>94251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Nacionalna strategija zapošljavanja i razvoja ljudskih resursa 2016-2020</vt:lpstr>
    </vt:vector>
  </TitlesOfParts>
  <Company>Hewlett-Packard Company</Company>
  <LinksUpToDate>false</LinksUpToDate>
  <CharactersWithSpaces>110565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strategija zapošljavanja i razvoja ljudskih resursa 2016-2020</dc:title>
  <dc:subject/>
  <dc:creator>MisaA</dc:creator>
  <cp:keywords/>
  <dc:description/>
  <cp:lastModifiedBy>boban.gledovic</cp:lastModifiedBy>
  <cp:revision>3</cp:revision>
  <cp:lastPrinted>2015-11-16T11:33:00Z</cp:lastPrinted>
  <dcterms:created xsi:type="dcterms:W3CDTF">2015-11-16T14:25:00Z</dcterms:created>
  <dcterms:modified xsi:type="dcterms:W3CDTF">2015-11-16T15:28:00Z</dcterms:modified>
</cp:coreProperties>
</file>