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62A79">
      <w:pPr>
        <w:pStyle w:val="2zakon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>Pravilnik o načinu ostvarivanja prava na oslobađanje od plaćanja akcize i poreza na dodatu vrijednost za diplomatska i konzularna predstavništva i međunarodne organizacije</w:t>
      </w:r>
    </w:p>
    <w:p w:rsidR="00000000" w:rsidRDefault="00F62A79">
      <w:pPr>
        <w:pStyle w:val="3mesto"/>
        <w:rPr>
          <w:rFonts w:ascii="Tahoma" w:hAnsi="Tahoma" w:cs="Tahoma"/>
        </w:rPr>
      </w:pPr>
      <w:r>
        <w:rPr>
          <w:rFonts w:ascii="Tahoma" w:hAnsi="Tahoma" w:cs="Tahoma"/>
        </w:rPr>
        <w:t xml:space="preserve">Pravilnik je objavljen u "Službenom listu CG", br. </w:t>
      </w:r>
      <w:hyperlink r:id="rId4" w:history="1">
        <w:r>
          <w:rPr>
            <w:rStyle w:val="Hyperlink"/>
            <w:rFonts w:ascii="Tahoma" w:hAnsi="Tahoma" w:cs="Tahoma"/>
            <w:color w:val="CC0000"/>
          </w:rPr>
          <w:t>34/2010</w:t>
        </w:r>
      </w:hyperlink>
      <w:r>
        <w:rPr>
          <w:rFonts w:ascii="Tahoma" w:hAnsi="Tahoma" w:cs="Tahoma"/>
        </w:rPr>
        <w:t xml:space="preserve">, </w:t>
      </w:r>
      <w:hyperlink r:id="rId5" w:history="1">
        <w:r>
          <w:rPr>
            <w:rStyle w:val="Hyperlink"/>
            <w:rFonts w:ascii="Tahoma" w:hAnsi="Tahoma" w:cs="Tahoma"/>
          </w:rPr>
          <w:t>52/2013</w:t>
        </w:r>
      </w:hyperlink>
      <w:r>
        <w:rPr>
          <w:rFonts w:ascii="Tahoma" w:hAnsi="Tahoma" w:cs="Tahoma"/>
        </w:rPr>
        <w:t xml:space="preserve">, </w:t>
      </w:r>
      <w:hyperlink r:id="rId6" w:history="1">
        <w:r>
          <w:rPr>
            <w:rStyle w:val="Hyperlink"/>
            <w:rFonts w:ascii="Tahoma" w:hAnsi="Tahoma" w:cs="Tahoma"/>
          </w:rPr>
          <w:t>68/2015</w:t>
        </w:r>
      </w:hyperlink>
      <w:r>
        <w:rPr>
          <w:rFonts w:ascii="Tahoma" w:hAnsi="Tahoma" w:cs="Tahoma"/>
        </w:rPr>
        <w:t xml:space="preserve">  </w:t>
      </w:r>
      <w:hyperlink r:id="rId7" w:history="1">
        <w:r>
          <w:rPr>
            <w:rStyle w:val="Hyperlink"/>
            <w:rFonts w:ascii="Tahoma" w:hAnsi="Tahoma" w:cs="Tahoma"/>
          </w:rPr>
          <w:t>53/2017</w:t>
        </w:r>
      </w:hyperlink>
      <w:r>
        <w:rPr>
          <w:rFonts w:ascii="Tahoma" w:hAnsi="Tahoma" w:cs="Tahoma"/>
        </w:rPr>
        <w:t xml:space="preserve"> i </w:t>
      </w:r>
      <w:hyperlink r:id="rId8" w:history="1">
        <w:r>
          <w:rPr>
            <w:rStyle w:val="Hyperlink"/>
            <w:rFonts w:ascii="Tahoma" w:hAnsi="Tahoma" w:cs="Tahoma"/>
          </w:rPr>
          <w:t>65/2017</w:t>
        </w:r>
      </w:hyperlink>
      <w:r>
        <w:rPr>
          <w:rFonts w:ascii="Tahoma" w:hAnsi="Tahoma" w:cs="Tahoma"/>
        </w:rPr>
        <w:t xml:space="preserve"> - ispravka.</w:t>
      </w:r>
    </w:p>
    <w:p w:rsidR="00000000" w:rsidRDefault="00F62A79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Opšte odredbe</w:t>
      </w:r>
    </w:p>
    <w:p w:rsidR="00000000" w:rsidRDefault="00F62A79">
      <w:pPr>
        <w:jc w:val="center"/>
        <w:divId w:val="1389107598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</w:t>
      </w:r>
    </w:p>
    <w:p w:rsidR="00000000" w:rsidRDefault="00F62A79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Ovim pravilnikom propisuje se način</w:t>
      </w:r>
      <w:r>
        <w:rPr>
          <w:rFonts w:ascii="Tahoma" w:hAnsi="Tahoma" w:cs="Tahoma"/>
        </w:rPr>
        <w:t xml:space="preserve"> ostvarivanja prava na oslobađanje od plaćanja akcize i poreza na dodatu vrijednost (u daljem tekstu: porezi) za proizvode i usluge koje nosioci prava, utvrđeni ovim pravilnikom, nabavljaju za službene i lične potrebe za vrijeme svog djelovanja, odnosno bo</w:t>
      </w:r>
      <w:r>
        <w:rPr>
          <w:rFonts w:ascii="Tahoma" w:hAnsi="Tahoma" w:cs="Tahoma"/>
        </w:rPr>
        <w:t>ravka u Crnoj Gori.</w:t>
      </w:r>
    </w:p>
    <w:p w:rsidR="00000000" w:rsidRDefault="00F62A79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Nosioci prava za službene potrebe</w:t>
      </w:r>
    </w:p>
    <w:p w:rsidR="00000000" w:rsidRDefault="00F62A79">
      <w:pPr>
        <w:jc w:val="center"/>
        <w:divId w:val="1485052559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2 ﻿</w:t>
      </w:r>
    </w:p>
    <w:p w:rsidR="00000000" w:rsidRDefault="00F62A79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Oslobađanje od plaćanja poreza, za službene potrebe, mogu ostvarivati:</w:t>
      </w:r>
    </w:p>
    <w:p w:rsidR="00000000" w:rsidRDefault="00F62A79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1. diplomatska i konzularna predstavništva koja djeluju u Crnoj Gori, sa izuzetkom konzulata kojima rukovode počasni konzu</w:t>
      </w:r>
      <w:r>
        <w:rPr>
          <w:rFonts w:ascii="Tahoma" w:hAnsi="Tahoma" w:cs="Tahoma"/>
        </w:rPr>
        <w:t>larni funkcioneri, uz uslov uzajamnosti.</w:t>
      </w:r>
    </w:p>
    <w:p w:rsidR="00000000" w:rsidRDefault="00F62A79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2. međunarodne organizacije, odnosno predstavništva međunarodnih organizacija koje djeluju u Crnoj Gori, ako je to predviđeno međunarodnim ugovorom.</w:t>
      </w:r>
    </w:p>
    <w:p w:rsidR="00000000" w:rsidRDefault="00F62A79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3. oružane snage država koje su članice Organizacije Sjevernoatlan</w:t>
      </w:r>
      <w:r>
        <w:rPr>
          <w:rFonts w:ascii="Tahoma" w:hAnsi="Tahoma" w:cs="Tahoma"/>
        </w:rPr>
        <w:t>tskog saveza (u daljem tekstu: NATO-a).</w:t>
      </w:r>
    </w:p>
    <w:p w:rsidR="00000000" w:rsidRDefault="00F62A79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Nosioci prava za lične potrebe</w:t>
      </w:r>
    </w:p>
    <w:p w:rsidR="00000000" w:rsidRDefault="00F62A79">
      <w:pPr>
        <w:jc w:val="center"/>
        <w:divId w:val="1994483859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3 ﻿</w:t>
      </w:r>
    </w:p>
    <w:p w:rsidR="00000000" w:rsidRDefault="00F62A79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(1) Oslobađanje od plaćanja poreza, za lične potrebe, mogu uz uslov uzajamnosti, ostvarivati:</w:t>
      </w:r>
    </w:p>
    <w:p w:rsidR="00000000" w:rsidRDefault="00F62A79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1. diplomatski agent i članovi njegove porodice koji žive u istom domaćinstvu, ak</w:t>
      </w:r>
      <w:r>
        <w:rPr>
          <w:rFonts w:ascii="Tahoma" w:hAnsi="Tahoma" w:cs="Tahoma"/>
        </w:rPr>
        <w:t>o nijesu državljani Crne Gore ili u Crnoj Gori nemaju stalno prebivalište;</w:t>
      </w:r>
    </w:p>
    <w:p w:rsidR="00000000" w:rsidRDefault="00F62A79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2. konzularni funkcioner i članovi njegove porodice koji žive u istom domaćinstvu, ako nijesu državljani Crne Gore ili nemaju u Crnoj Gori stalno prebivalište, sa izuzetkom počasnih</w:t>
      </w:r>
      <w:r>
        <w:rPr>
          <w:rFonts w:ascii="Tahoma" w:hAnsi="Tahoma" w:cs="Tahoma"/>
        </w:rPr>
        <w:t xml:space="preserve"> konzularnih funkcionera;</w:t>
      </w:r>
    </w:p>
    <w:p w:rsidR="00000000" w:rsidRDefault="00F62A79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3. članovi administrativnog i tehničkog osoblja diplomatskih predstavništava i članovi njihove porodice koji žive u istom domaćinstvu, ako nijesu državljani Crne Gore ili nemaju u Crnoj Gori stalno prebivalište.</w:t>
      </w:r>
    </w:p>
    <w:p w:rsidR="00000000" w:rsidRDefault="00F62A79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4. konzularni služ</w:t>
      </w:r>
      <w:r>
        <w:rPr>
          <w:rFonts w:ascii="Tahoma" w:hAnsi="Tahoma" w:cs="Tahoma"/>
        </w:rPr>
        <w:t>benici ako nijesu državljani Crne Gore ili nemaju u Crnoj Gori stalno prebivalište u konzulatima kojima rukovode počasni konzularni funkcioneri.</w:t>
      </w:r>
    </w:p>
    <w:p w:rsidR="00000000" w:rsidRDefault="00F62A79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(2) Oslobađanje od plaćanja poreza, za lične potrebe, mogu ostvarivati:</w:t>
      </w:r>
    </w:p>
    <w:p w:rsidR="00000000" w:rsidRDefault="00F62A79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1. članovi diplomatskog osoblja međunar</w:t>
      </w:r>
      <w:r>
        <w:rPr>
          <w:rFonts w:ascii="Tahoma" w:hAnsi="Tahoma" w:cs="Tahoma"/>
        </w:rPr>
        <w:t xml:space="preserve">odnih organizacija, odnosno predstavništava međunarodnih organizacija i članovi njihovih porodica, koji žive u zajedničkom domaćinstvu, ako nijesu državljani Crne Gore ili nemaju u Crnoj Gori stalno prebivalište, ako takvo oslobađanje određuju međunarodni </w:t>
      </w:r>
      <w:r>
        <w:rPr>
          <w:rFonts w:ascii="Tahoma" w:hAnsi="Tahoma" w:cs="Tahoma"/>
        </w:rPr>
        <w:t>ugovori koji važe za Crnu Goru i</w:t>
      </w:r>
    </w:p>
    <w:p w:rsidR="00000000" w:rsidRDefault="00F62A79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2. članovi administrativnog, tehničkog osoblja, kao i eksperti međunarodnih organizacija, odnosno predstavništava međunarodnih organizacija i članovi njihovih porodica koji žive u zajedničkom domaćinstvu, ako nijesu državlj</w:t>
      </w:r>
      <w:r>
        <w:rPr>
          <w:rFonts w:ascii="Tahoma" w:hAnsi="Tahoma" w:cs="Tahoma"/>
        </w:rPr>
        <w:t>ani Crne Gore ili nemaju u Crnoj Gori stalno prebivalište.</w:t>
      </w:r>
    </w:p>
    <w:p w:rsidR="00000000" w:rsidRDefault="00F62A79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3. prateće civilno osoblje, koje prati oružane snage država članica NATO-a za snabdijevanje njihovih menzi, ako te snage učestvuju u zajedničkim odbrambenim aktivnostima i vojnim akcijama odnosno v</w:t>
      </w:r>
      <w:r>
        <w:rPr>
          <w:rFonts w:ascii="Tahoma" w:hAnsi="Tahoma" w:cs="Tahoma"/>
        </w:rPr>
        <w:t>ojnim vježbama ili obuci, konferencijama, seminarima i drugim sličnim aktivnostima.</w:t>
      </w:r>
    </w:p>
    <w:p w:rsidR="00000000" w:rsidRDefault="00F62A79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 xml:space="preserve">Vrste proizvoda, odnosno usluga </w:t>
      </w:r>
    </w:p>
    <w:p w:rsidR="00000000" w:rsidRDefault="00F62A79">
      <w:pPr>
        <w:jc w:val="center"/>
        <w:divId w:val="1034766008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4</w:t>
      </w:r>
    </w:p>
    <w:p w:rsidR="00000000" w:rsidRDefault="00F62A79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Oslobađanje od poreza može se ostvarivati za sve vrste proizvoda, odnosno usluga, bez obzira da li su nabavljeni na domaćem tržištu</w:t>
      </w:r>
      <w:r>
        <w:rPr>
          <w:rFonts w:ascii="Tahoma" w:hAnsi="Tahoma" w:cs="Tahoma"/>
        </w:rPr>
        <w:t xml:space="preserve"> ili su uvezeni iz inostranstva na područje Crne Gore, ako su ispunjeni uslovi u pogledu nosilaca prava i ako su priložena zahtijevana dokumenta.</w:t>
      </w:r>
    </w:p>
    <w:p w:rsidR="00000000" w:rsidRDefault="00F62A79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Ograničenje oslobođenja od plaćanja poreza</w:t>
      </w:r>
    </w:p>
    <w:p w:rsidR="00000000" w:rsidRDefault="00F62A79">
      <w:pPr>
        <w:jc w:val="center"/>
        <w:divId w:val="657657727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5 ﻿</w:t>
      </w:r>
    </w:p>
    <w:p w:rsidR="00000000" w:rsidRDefault="00F62A79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(1) Oslobođenje od plaćanja poreza može se ostvarivati ako</w:t>
      </w:r>
      <w:r>
        <w:rPr>
          <w:rFonts w:ascii="Tahoma" w:hAnsi="Tahoma" w:cs="Tahoma"/>
        </w:rPr>
        <w:t xml:space="preserve"> je vrijednost kupljenih proizvoda, odnosno usluga po pojedinačnom računu (sa uključenim PDV) veća od 50 €.</w:t>
      </w:r>
    </w:p>
    <w:p w:rsidR="00000000" w:rsidRDefault="00F62A79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(2) Izuzetno od stava 1 ovog člana, oslobođenje od plaćanja poreza bez ograničenja može se ostvariti uz uslov uzajamnosti.</w:t>
      </w:r>
    </w:p>
    <w:p w:rsidR="00000000" w:rsidRDefault="00F62A79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(3) Izuzetno od stava 1 ovog člana, oslobođenje od plaćanja poreza bez ograničenja može se ostvariti ako se radi o nabavci goriva za prevozna sredstva nosilaca prava.</w:t>
      </w:r>
    </w:p>
    <w:p w:rsidR="00000000" w:rsidRDefault="00F62A79">
      <w:pPr>
        <w:pStyle w:val="1tekst"/>
        <w:spacing w:after="240"/>
        <w:rPr>
          <w:rFonts w:ascii="Tahoma" w:hAnsi="Tahoma" w:cs="Tahoma"/>
        </w:rPr>
      </w:pPr>
      <w:r>
        <w:rPr>
          <w:rFonts w:ascii="Tahoma" w:hAnsi="Tahoma" w:cs="Tahoma"/>
        </w:rPr>
        <w:t>(4) Ograničenja vrijednosti iz stava 1 ovog člana ne važe za oslobođenja od plaćanja pore</w:t>
      </w:r>
      <w:r>
        <w:rPr>
          <w:rFonts w:ascii="Tahoma" w:hAnsi="Tahoma" w:cs="Tahoma"/>
        </w:rPr>
        <w:t>za pri uvozu proizvoda.</w:t>
      </w:r>
      <w:r>
        <w:rPr>
          <w:rFonts w:ascii="Tahoma" w:hAnsi="Tahoma" w:cs="Tahoma"/>
        </w:rPr>
        <w:br/>
      </w:r>
    </w:p>
    <w:p w:rsidR="00000000" w:rsidRDefault="00F62A79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Raspolaganje proizvodima, odnosno uslugama</w:t>
      </w:r>
    </w:p>
    <w:p w:rsidR="00000000" w:rsidRDefault="00F62A79">
      <w:pPr>
        <w:jc w:val="center"/>
        <w:divId w:val="622082079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6</w:t>
      </w:r>
    </w:p>
    <w:p w:rsidR="00000000" w:rsidRDefault="00F62A79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(1) Ukoliko nosioci prava proizvode, odnosno usluge daju na raspolaganje drugim licima (preprodaja, poklon i dr.) prije isteka roka od tri godin</w:t>
      </w:r>
      <w:r>
        <w:rPr>
          <w:rFonts w:ascii="Tahoma" w:hAnsi="Tahoma" w:cs="Tahoma"/>
        </w:rPr>
        <w:t>e, odnosno isteka roka o uzajamnosti od dana nabavke tih proizvoda, odnosno usluga, nosilac prava uplaćuje poreze koji nijesu naplaćeni prilikom nabavke tih proizvoda, odnosno usluga.</w:t>
      </w:r>
    </w:p>
    <w:p w:rsidR="00000000" w:rsidRDefault="00F62A79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(2) Drugim licima, iz stava 1 ovog člana, ne smatraju se članovi porodic</w:t>
      </w:r>
      <w:r>
        <w:rPr>
          <w:rFonts w:ascii="Tahoma" w:hAnsi="Tahoma" w:cs="Tahoma"/>
        </w:rPr>
        <w:t>a nosilaca prava koji sa njima žive u zajedničkom domaćinstvu.</w:t>
      </w:r>
    </w:p>
    <w:p w:rsidR="00000000" w:rsidRDefault="00F62A79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(3) Raspolaganjem, iz stava 1 ovog člana, ne smatra se davanje poklona u vrijednosti do 50 €, koje nosioci prava daju drugim licima, u skladu sa njihovim funkcijama.</w:t>
      </w:r>
    </w:p>
    <w:p w:rsidR="00000000" w:rsidRDefault="00F62A79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Način ostvarivanja prava ma</w:t>
      </w:r>
      <w:r>
        <w:rPr>
          <w:rFonts w:ascii="Tahoma" w:hAnsi="Tahoma" w:cs="Tahoma"/>
        </w:rPr>
        <w:t xml:space="preserve"> oslobađanje od plaćanja poreza</w:t>
      </w:r>
    </w:p>
    <w:p w:rsidR="00000000" w:rsidRDefault="00F62A79">
      <w:pPr>
        <w:jc w:val="center"/>
        <w:divId w:val="1283731685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7 ﻿</w:t>
      </w:r>
    </w:p>
    <w:p w:rsidR="00000000" w:rsidRDefault="00F62A79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(1) Nosioci prava, pravo na oslobađanje od plaćanja poreza ostvaruju na osnovu poreske identifikacione kartice, koju izdaje Poreska uprava (Centrala).</w:t>
      </w:r>
    </w:p>
    <w:p w:rsidR="00000000" w:rsidRDefault="00F62A79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(2) Poreska identifikaciona kartica izdaje se na osnovu liste no</w:t>
      </w:r>
      <w:r>
        <w:rPr>
          <w:rFonts w:ascii="Tahoma" w:hAnsi="Tahoma" w:cs="Tahoma"/>
        </w:rPr>
        <w:t>silaca prava, koju Poreskoj upravi dostavlja organ državne uprave nadležan za vanjske poslove (u daljem tekstu: Ministarstvo).</w:t>
      </w:r>
    </w:p>
    <w:p w:rsidR="00000000" w:rsidRDefault="00F62A79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(3) Lista, iz stava 2 ovog člana, sadrži naročito: naziv diplomatskog i konzularnog predstavništva, odnosno međunarodne organizac</w:t>
      </w:r>
      <w:r>
        <w:rPr>
          <w:rFonts w:ascii="Tahoma" w:hAnsi="Tahoma" w:cs="Tahoma"/>
        </w:rPr>
        <w:t>ije ili njenog predstavništva, ime i prezime nosioca prava, broj diplomatskog pasoša i njegov svojeručni potpis, naziv države članice NATO-a, podatke o zajedničkoj aktivnosti koje sprovode, predviđeno vrijeme trajanja te aktivnosti i specifikaciju proizvod</w:t>
      </w:r>
      <w:r>
        <w:rPr>
          <w:rFonts w:ascii="Tahoma" w:hAnsi="Tahoma" w:cs="Tahoma"/>
        </w:rPr>
        <w:t>a koji se nabavljaju ili usluga koje se koriste za potrebe države članice NATO-a.</w:t>
      </w:r>
    </w:p>
    <w:p w:rsidR="00000000" w:rsidRDefault="00F62A79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(4) Ministarstvo obavještava Poresku upravu o promjenama, koje se odnose na listu nosilaca prava, kao i o ograničenjima u pogledu uzajamnosti iz čl. 2 i 3 ovog pravilnika.</w:t>
      </w:r>
    </w:p>
    <w:p w:rsidR="00000000" w:rsidRDefault="00F62A79">
      <w:pPr>
        <w:jc w:val="center"/>
        <w:divId w:val="512301039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</w:t>
      </w:r>
      <w:r>
        <w:rPr>
          <w:rFonts w:ascii="Tahoma" w:eastAsia="Times New Roman" w:hAnsi="Tahoma" w:cs="Tahoma"/>
          <w:b/>
          <w:bCs/>
        </w:rPr>
        <w:t>lan 8</w:t>
      </w:r>
    </w:p>
    <w:p w:rsidR="00000000" w:rsidRDefault="00F62A79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Poreska identifikaciona kartica je formata 8,5 cm h 5,4 cm i sadrži naročito: grb Crne Gore, naziv - Crna Gora, Vlada Crne Gore, Poreska uprava, broj kartice, fotografiju formata 2 cm h 2 cm, naziv, odnosno ime i prezime nosioca prava i napomenu da j</w:t>
      </w:r>
      <w:r>
        <w:rPr>
          <w:rFonts w:ascii="Tahoma" w:hAnsi="Tahoma" w:cs="Tahoma"/>
        </w:rPr>
        <w:t>e imalac kartice izuzet od plaćanja poreza u Crnoj Gori.</w:t>
      </w:r>
    </w:p>
    <w:p w:rsidR="00000000" w:rsidRDefault="00F62A79">
      <w:pPr>
        <w:jc w:val="center"/>
        <w:divId w:val="661662463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9</w:t>
      </w:r>
    </w:p>
    <w:p w:rsidR="00000000" w:rsidRDefault="00F62A79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(1) Nosioci prava, oslobađanje od plaćanja poreza, ostvaruju u trenutku isporuke proizvoda, odnosno usluga.</w:t>
      </w:r>
    </w:p>
    <w:p w:rsidR="00000000" w:rsidRDefault="00F62A79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(2) Nabavku proizvoda, odnosno usluga, bez plaćanja poreza, nosilac prava potvrđuje </w:t>
      </w:r>
      <w:r>
        <w:rPr>
          <w:rFonts w:ascii="Tahoma" w:hAnsi="Tahoma" w:cs="Tahoma"/>
        </w:rPr>
        <w:t>poreskom identifikacionom karticom.</w:t>
      </w:r>
    </w:p>
    <w:p w:rsidR="00000000" w:rsidRDefault="00F62A79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(3) U slučaju nabavke proizvoda, odnosno usluga za službene potrebe, kupac isporučiocu proizvoda, odnosno usluga, pored poreske identifikacione kartice, dostavlja i ovlašćenje sa specifikacijom proizvoda, odnosno usluga </w:t>
      </w:r>
      <w:r>
        <w:rPr>
          <w:rFonts w:ascii="Tahoma" w:hAnsi="Tahoma" w:cs="Tahoma"/>
        </w:rPr>
        <w:t>ovjereno od strane odgovornog lica.</w:t>
      </w:r>
    </w:p>
    <w:p w:rsidR="00000000" w:rsidRDefault="00F62A79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(4) Isporučilac proizvoda, odnosno usluga, nosiocu prava za isporučene proizvode, odnosno usluge izdaje račun i upisuje broj poreske identifikacione kartice i napomenu da isporuka ne podliježe plaćanju poreza. Kod malopr</w:t>
      </w:r>
      <w:r>
        <w:rPr>
          <w:rFonts w:ascii="Tahoma" w:hAnsi="Tahoma" w:cs="Tahoma"/>
        </w:rPr>
        <w:t>odaje na računu se obezbjeđuje i svojeručni potpis nosioca prava.</w:t>
      </w:r>
    </w:p>
    <w:p w:rsidR="00000000" w:rsidRDefault="00F62A79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(5) Isporučilac, izvođač, odnosno podizvođač koji vrši isporuku proizvoda, odnosno usluga na teritoriji diplomatskog predstavništva, za isporučene proizvode, odnosno usluge izdaje račun i up</w:t>
      </w:r>
      <w:r>
        <w:rPr>
          <w:rFonts w:ascii="Tahoma" w:hAnsi="Tahoma" w:cs="Tahoma"/>
        </w:rPr>
        <w:t>isuje broj poreske identifikacione kartice tog diplomatskog predstavništva i napomenu da isporuka ne podliježe plaćanju poreza.</w:t>
      </w:r>
    </w:p>
    <w:p w:rsidR="00000000" w:rsidRDefault="00F62A79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(6) Obveznik PDV iz stava 5 ovog člana, ostvaruje pravo na oslobođenje od plaćanja PDV na osnovu dokumenta (ugovor, izjava, potv</w:t>
      </w:r>
      <w:r>
        <w:rPr>
          <w:rFonts w:ascii="Tahoma" w:hAnsi="Tahoma" w:cs="Tahoma"/>
        </w:rPr>
        <w:t>rda) dobijenog od nosioca prava, kojim dokazuje da ima status isporučioca, izvođača, odnosno podizvođača proizvoda, odnosno usluga na teritoriji tog diplomatskog predstavništva.</w:t>
      </w:r>
    </w:p>
    <w:p w:rsidR="00000000" w:rsidRDefault="00F62A79">
      <w:pPr>
        <w:jc w:val="center"/>
        <w:divId w:val="1094475560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10</w:t>
      </w:r>
    </w:p>
    <w:p w:rsidR="00000000" w:rsidRDefault="00F62A79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Obveznici poreza vode posebnu evidenciju o proizvodima, odnosno usluga</w:t>
      </w:r>
      <w:r>
        <w:rPr>
          <w:rFonts w:ascii="Tahoma" w:hAnsi="Tahoma" w:cs="Tahoma"/>
        </w:rPr>
        <w:t>ma isporučenim za namjene utvrđene ovim pravilnikom.</w:t>
      </w:r>
    </w:p>
    <w:p w:rsidR="00000000" w:rsidRDefault="00F62A79">
      <w:pPr>
        <w:jc w:val="center"/>
        <w:divId w:val="383021584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11 ﻿</w:t>
      </w:r>
    </w:p>
    <w:p w:rsidR="00000000" w:rsidRDefault="00F62A79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(1) Obveznici PDV, kod mjesečnog obračuna PDV-a, za proizvode, odnosno usluge isporučene za namjene utvrđene ovim pravilnikom, primjenjuju nultu stopu (0%).</w:t>
      </w:r>
    </w:p>
    <w:p w:rsidR="00000000" w:rsidRDefault="00F62A79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(2) Poreski odnosno akcizni obveznic</w:t>
      </w:r>
      <w:r>
        <w:rPr>
          <w:rFonts w:ascii="Tahoma" w:hAnsi="Tahoma" w:cs="Tahoma"/>
        </w:rPr>
        <w:t>i koji vrše prodaju akciznih proizvoda na koje je plaćena akciza, imaju pravo na povraćaj akcize u iznosu za koji je nosilac prava oslobođen, na osnovu priložene dokumentacije i zahtjeva koji podnosi nadležnom carinskom organu.</w:t>
      </w:r>
    </w:p>
    <w:p w:rsidR="00000000" w:rsidRDefault="00F62A79">
      <w:pPr>
        <w:pStyle w:val="1tekst"/>
        <w:spacing w:after="240"/>
        <w:rPr>
          <w:rFonts w:ascii="Tahoma" w:hAnsi="Tahoma" w:cs="Tahoma"/>
        </w:rPr>
      </w:pPr>
      <w:r>
        <w:rPr>
          <w:rFonts w:ascii="Tahoma" w:hAnsi="Tahoma" w:cs="Tahoma"/>
        </w:rPr>
        <w:t>(3) Obveznici PDV-a, koji promet iskazuju preko poreske registar kase, u svojoj knjigovodstvenoj evidenciji vrše umanjenje izlaznog PDV-a, za iznos PDV-a koji je sadržan na odsječku kasene trake za proizvode, odnosno usluge isporučene za namjene utvrđene o</w:t>
      </w:r>
      <w:r>
        <w:rPr>
          <w:rFonts w:ascii="Tahoma" w:hAnsi="Tahoma" w:cs="Tahoma"/>
        </w:rPr>
        <w:t>vim pravilnikom.</w:t>
      </w:r>
      <w:r>
        <w:rPr>
          <w:rFonts w:ascii="Tahoma" w:hAnsi="Tahoma" w:cs="Tahoma"/>
        </w:rPr>
        <w:br/>
      </w:r>
    </w:p>
    <w:p w:rsidR="00000000" w:rsidRDefault="00F62A79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Završne odredbe</w:t>
      </w:r>
    </w:p>
    <w:p w:rsidR="00000000" w:rsidRDefault="00F62A79">
      <w:pPr>
        <w:jc w:val="center"/>
        <w:divId w:val="552469977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12</w:t>
      </w:r>
    </w:p>
    <w:p w:rsidR="00000000" w:rsidRDefault="00F62A79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Danom stupanja na snagu ovog pravilnika, prestaje da važi Pravilnik o načinu ostvarivanja prava na oslobađanje od plaćanja akcize i poreza na dodatu vrijednost za diplomatska i </w:t>
      </w:r>
      <w:r>
        <w:rPr>
          <w:rFonts w:ascii="Tahoma" w:hAnsi="Tahoma" w:cs="Tahoma"/>
        </w:rPr>
        <w:t>konzularna predstavništva i međunarodne organizacije ("Službeni list RCG", broj 74/04).</w:t>
      </w:r>
    </w:p>
    <w:p w:rsidR="00000000" w:rsidRDefault="00F62A79">
      <w:pPr>
        <w:jc w:val="center"/>
        <w:divId w:val="1163157380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13</w:t>
      </w:r>
    </w:p>
    <w:p w:rsidR="00F62A79" w:rsidRDefault="00F62A79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Ovaj pravilnik stupa na snagu osmog dana od dana objavljivanja u "Službenom listu Crne Gore".</w:t>
      </w:r>
    </w:p>
    <w:sectPr w:rsidR="00F62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3A5"/>
    <w:rsid w:val="00CA43A5"/>
    <w:rsid w:val="00F6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8B938E-EE9D-42B3-B769-858A753F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1tekst">
    <w:name w:val="_1tekst"/>
    <w:basedOn w:val="Normal"/>
    <w:pPr>
      <w:ind w:left="150" w:right="150" w:firstLine="240"/>
      <w:jc w:val="both"/>
    </w:pPr>
    <w:rPr>
      <w:sz w:val="23"/>
      <w:szCs w:val="23"/>
    </w:rPr>
  </w:style>
  <w:style w:type="paragraph" w:customStyle="1" w:styleId="osnovnitekst">
    <w:name w:val="osnovnitekst"/>
    <w:basedOn w:val="Normal"/>
    <w:pPr>
      <w:spacing w:before="100" w:beforeAutospacing="1" w:after="100" w:afterAutospacing="1"/>
      <w:ind w:left="240" w:right="240"/>
    </w:pPr>
    <w:rPr>
      <w:b/>
      <w:bCs/>
      <w:color w:val="FF0000"/>
      <w:sz w:val="36"/>
      <w:szCs w:val="36"/>
    </w:rPr>
  </w:style>
  <w:style w:type="paragraph" w:customStyle="1" w:styleId="rasir">
    <w:name w:val="rasir"/>
    <w:basedOn w:val="Normal"/>
    <w:pPr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obrazac">
    <w:name w:val="obrazac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izmene">
    <w:name w:val="izmene"/>
    <w:basedOn w:val="Normal"/>
    <w:pPr>
      <w:shd w:val="clear" w:color="auto" w:fill="FFCCCC"/>
      <w:spacing w:before="100" w:beforeAutospacing="1" w:after="100" w:afterAutospacing="1"/>
      <w:ind w:firstLine="240"/>
    </w:pPr>
    <w:rPr>
      <w:b/>
      <w:bCs/>
      <w:color w:val="000080"/>
      <w:sz w:val="36"/>
      <w:szCs w:val="36"/>
    </w:rPr>
  </w:style>
  <w:style w:type="paragraph" w:customStyle="1" w:styleId="napomena">
    <w:name w:val="napomena"/>
    <w:basedOn w:val="Normal"/>
    <w:pPr>
      <w:shd w:val="clear" w:color="auto" w:fill="FFCCCC"/>
      <w:spacing w:before="100" w:beforeAutospacing="1" w:after="100" w:afterAutospacing="1"/>
      <w:ind w:firstLine="240"/>
    </w:pPr>
    <w:rPr>
      <w:b/>
      <w:bCs/>
      <w:color w:val="008080"/>
      <w:sz w:val="36"/>
      <w:szCs w:val="36"/>
    </w:rPr>
  </w:style>
  <w:style w:type="paragraph" w:customStyle="1" w:styleId="2zakon">
    <w:name w:val="_2zakon"/>
    <w:basedOn w:val="Normal"/>
    <w:pPr>
      <w:spacing w:before="100" w:beforeAutospacing="1" w:after="100" w:afterAutospacing="1"/>
      <w:jc w:val="center"/>
    </w:pPr>
    <w:rPr>
      <w:color w:val="0033CC"/>
      <w:sz w:val="42"/>
      <w:szCs w:val="42"/>
    </w:rPr>
  </w:style>
  <w:style w:type="paragraph" w:customStyle="1" w:styleId="6naslov">
    <w:name w:val="_6naslov"/>
    <w:basedOn w:val="Normal"/>
    <w:pPr>
      <w:spacing w:before="60" w:after="30"/>
      <w:jc w:val="center"/>
    </w:pPr>
    <w:rPr>
      <w:sz w:val="32"/>
      <w:szCs w:val="32"/>
    </w:rPr>
  </w:style>
  <w:style w:type="paragraph" w:customStyle="1" w:styleId="5nadnaslov">
    <w:name w:val="_5nadnaslov"/>
    <w:basedOn w:val="Normal"/>
    <w:pPr>
      <w:spacing w:before="240"/>
      <w:jc w:val="center"/>
    </w:pPr>
    <w:rPr>
      <w:b/>
      <w:bCs/>
      <w:sz w:val="33"/>
      <w:szCs w:val="33"/>
    </w:rPr>
  </w:style>
  <w:style w:type="paragraph" w:customStyle="1" w:styleId="7podnas">
    <w:name w:val="_7podnas"/>
    <w:basedOn w:val="Normal"/>
    <w:pPr>
      <w:spacing w:before="60"/>
      <w:jc w:val="center"/>
    </w:pPr>
    <w:rPr>
      <w:b/>
      <w:bCs/>
      <w:sz w:val="27"/>
      <w:szCs w:val="27"/>
    </w:rPr>
  </w:style>
  <w:style w:type="paragraph" w:customStyle="1" w:styleId="8podpodnas">
    <w:name w:val="_8podpodnas"/>
    <w:basedOn w:val="Normal"/>
    <w:pPr>
      <w:spacing w:before="240" w:after="240"/>
      <w:jc w:val="center"/>
    </w:pPr>
    <w:rPr>
      <w:i/>
      <w:iCs/>
      <w:sz w:val="27"/>
      <w:szCs w:val="27"/>
    </w:rPr>
  </w:style>
  <w:style w:type="paragraph" w:customStyle="1" w:styleId="odeljak">
    <w:name w:val="odeljak"/>
    <w:basedOn w:val="Normal"/>
    <w:pPr>
      <w:spacing w:before="240" w:after="240"/>
      <w:jc w:val="center"/>
    </w:pPr>
  </w:style>
  <w:style w:type="paragraph" w:customStyle="1" w:styleId="3mesto">
    <w:name w:val="_3mesto"/>
    <w:basedOn w:val="Normal"/>
    <w:pPr>
      <w:spacing w:before="100" w:beforeAutospacing="1" w:after="100" w:afterAutospacing="1"/>
      <w:ind w:left="375" w:right="375"/>
      <w:jc w:val="center"/>
    </w:pPr>
  </w:style>
  <w:style w:type="paragraph" w:customStyle="1" w:styleId="4clan">
    <w:name w:val="_4clan"/>
    <w:basedOn w:val="Normal"/>
    <w:pPr>
      <w:spacing w:before="240" w:after="240"/>
      <w:jc w:val="center"/>
    </w:pPr>
    <w:rPr>
      <w:b/>
      <w:bCs/>
    </w:rPr>
  </w:style>
  <w:style w:type="paragraph" w:customStyle="1" w:styleId="medjclan">
    <w:name w:val="medjclan"/>
    <w:basedOn w:val="Normal"/>
    <w:pPr>
      <w:spacing w:before="240" w:after="240"/>
      <w:jc w:val="center"/>
    </w:pPr>
    <w:rPr>
      <w:b/>
      <w:bCs/>
      <w:sz w:val="29"/>
      <w:szCs w:val="29"/>
    </w:rPr>
  </w:style>
  <w:style w:type="paragraph" w:customStyle="1" w:styleId="medjtekst">
    <w:name w:val="medjtekst"/>
    <w:basedOn w:val="Normal"/>
    <w:pPr>
      <w:ind w:left="525" w:right="525" w:firstLine="240"/>
      <w:jc w:val="both"/>
    </w:pPr>
    <w:rPr>
      <w:sz w:val="27"/>
      <w:szCs w:val="27"/>
    </w:rPr>
  </w:style>
  <w:style w:type="paragraph" w:customStyle="1" w:styleId="glava">
    <w:name w:val="glava"/>
    <w:basedOn w:val="Normal"/>
    <w:pPr>
      <w:spacing w:before="240" w:after="240"/>
      <w:jc w:val="center"/>
    </w:pPr>
    <w:rPr>
      <w:b/>
      <w:bCs/>
      <w:i/>
      <w:iCs/>
      <w:sz w:val="36"/>
      <w:szCs w:val="36"/>
    </w:rPr>
  </w:style>
  <w:style w:type="paragraph" w:customStyle="1" w:styleId="deo">
    <w:name w:val="deo"/>
    <w:basedOn w:val="Normal"/>
    <w:pPr>
      <w:spacing w:before="240" w:after="240"/>
      <w:jc w:val="center"/>
    </w:pPr>
    <w:rPr>
      <w:b/>
      <w:bCs/>
      <w:sz w:val="33"/>
      <w:szCs w:val="33"/>
    </w:rPr>
  </w:style>
  <w:style w:type="paragraph" w:customStyle="1" w:styleId="vidi">
    <w:name w:val="vidi"/>
    <w:basedOn w:val="Normal"/>
    <w:pPr>
      <w:ind w:right="1650"/>
    </w:pPr>
    <w:rPr>
      <w:b/>
      <w:bCs/>
      <w:color w:val="800000"/>
      <w:sz w:val="20"/>
      <w:szCs w:val="20"/>
    </w:rPr>
  </w:style>
  <w:style w:type="paragraph" w:customStyle="1" w:styleId="vidividi">
    <w:name w:val="vidi_vidi"/>
    <w:basedOn w:val="Normal"/>
    <w:rPr>
      <w:b/>
      <w:bCs/>
      <w:color w:val="800000"/>
      <w:sz w:val="20"/>
      <w:szCs w:val="20"/>
    </w:rPr>
  </w:style>
  <w:style w:type="paragraph" w:customStyle="1" w:styleId="nodis">
    <w:name w:val="nodis"/>
    <w:basedOn w:val="Normal"/>
    <w:pPr>
      <w:spacing w:before="100" w:beforeAutospacing="1" w:after="100" w:afterAutospacing="1"/>
    </w:pPr>
    <w:rPr>
      <w:vanish/>
    </w:rPr>
  </w:style>
  <w:style w:type="paragraph" w:customStyle="1" w:styleId="vlinkovi">
    <w:name w:val="vlinkovi"/>
    <w:basedOn w:val="Normal"/>
    <w:pPr>
      <w:ind w:left="375" w:right="375"/>
    </w:pPr>
    <w:rPr>
      <w:sz w:val="20"/>
      <w:szCs w:val="20"/>
    </w:rPr>
  </w:style>
  <w:style w:type="paragraph" w:customStyle="1" w:styleId="vlb">
    <w:name w:val="vlb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vlnowrap">
    <w:name w:val="vlnowrap"/>
    <w:basedOn w:val="Normal"/>
    <w:pPr>
      <w:spacing w:before="100" w:beforeAutospacing="1" w:after="100" w:afterAutospacing="1"/>
    </w:pPr>
    <w:rPr>
      <w:color w:val="000080"/>
    </w:rPr>
  </w:style>
  <w:style w:type="paragraph" w:customStyle="1" w:styleId="vlf">
    <w:name w:val="vlf"/>
    <w:basedOn w:val="Normal"/>
    <w:pPr>
      <w:shd w:val="clear" w:color="auto" w:fill="FFFFFF"/>
      <w:spacing w:before="75"/>
      <w:ind w:right="225"/>
    </w:pPr>
    <w:rPr>
      <w:b/>
      <w:bCs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93820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3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76031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76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856626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585062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5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154714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2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337632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03883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9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259621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7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32852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021005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3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6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22292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13194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0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5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615143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5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void(0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načinu ostvarivanja prava na oslobađanje od plaćanja akcize i poreza na dodatu vrijednost za diplomatska i konzularna predstavništva i međunarodne organizacije</vt:lpstr>
    </vt:vector>
  </TitlesOfParts>
  <Company/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načinu ostvarivanja prava na oslobađanje od plaćanja akcize i poreza na dodatu vrijednost za diplomatska i konzularna predstavništva i međunarodne organizacije</dc:title>
  <dc:subject/>
  <dc:creator>Danijela Pejovic</dc:creator>
  <cp:keywords/>
  <dc:description/>
  <cp:lastModifiedBy>Danijela Pejovic</cp:lastModifiedBy>
  <cp:revision>2</cp:revision>
  <dcterms:created xsi:type="dcterms:W3CDTF">2026-03-24T06:33:00Z</dcterms:created>
  <dcterms:modified xsi:type="dcterms:W3CDTF">2026-03-24T06:33:00Z</dcterms:modified>
</cp:coreProperties>
</file>