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45" w:rsidRPr="00B77B45" w:rsidRDefault="00B77B45" w:rsidP="00B77B45">
      <w:pPr>
        <w:spacing w:after="0"/>
        <w:jc w:val="center"/>
        <w:rPr>
          <w:rFonts w:ascii="Arial" w:hAnsi="Arial" w:cs="Arial"/>
          <w:b/>
          <w:sz w:val="24"/>
          <w:lang w:val="sr-Latn-CS"/>
        </w:rPr>
      </w:pPr>
      <w:r w:rsidRPr="00B77B45">
        <w:rPr>
          <w:rFonts w:ascii="Arial" w:hAnsi="Arial" w:cs="Arial"/>
          <w:b/>
          <w:sz w:val="24"/>
          <w:lang w:val="sr-Latn-CS"/>
        </w:rPr>
        <w:t>CRNA GORA</w:t>
      </w:r>
    </w:p>
    <w:p w:rsidR="00B77B45" w:rsidRDefault="00B77B45" w:rsidP="00B77B45">
      <w:pPr>
        <w:spacing w:after="0"/>
        <w:jc w:val="center"/>
        <w:rPr>
          <w:rFonts w:ascii="Arial" w:hAnsi="Arial" w:cs="Arial"/>
          <w:b/>
          <w:sz w:val="24"/>
          <w:lang w:val="sr-Latn-CS"/>
        </w:rPr>
      </w:pPr>
      <w:r w:rsidRPr="00B77B45">
        <w:rPr>
          <w:rFonts w:ascii="Arial" w:hAnsi="Arial" w:cs="Arial"/>
          <w:b/>
          <w:sz w:val="24"/>
          <w:lang w:val="sr-Latn-CS"/>
        </w:rPr>
        <w:t>MINISTARSTVO FINANSIJA</w:t>
      </w:r>
    </w:p>
    <w:p w:rsidR="006277BC" w:rsidRPr="00B77B45" w:rsidRDefault="006277BC" w:rsidP="00B77B45">
      <w:pPr>
        <w:spacing w:after="0"/>
        <w:jc w:val="center"/>
        <w:rPr>
          <w:rFonts w:ascii="Arial" w:hAnsi="Arial" w:cs="Arial"/>
          <w:b/>
          <w:sz w:val="24"/>
          <w:lang w:val="sr-Latn-CS"/>
        </w:rPr>
      </w:pPr>
      <w:r>
        <w:rPr>
          <w:rFonts w:ascii="Arial" w:hAnsi="Arial" w:cs="Arial"/>
          <w:b/>
          <w:sz w:val="24"/>
          <w:lang w:val="sr-Latn-CS"/>
        </w:rPr>
        <w:t>I SOCIJALNOG STARANJA</w:t>
      </w:r>
    </w:p>
    <w:p w:rsidR="00B77B45" w:rsidRPr="0018592F" w:rsidRDefault="00B77B45" w:rsidP="00B77B45">
      <w:pPr>
        <w:jc w:val="center"/>
        <w:rPr>
          <w:b/>
        </w:rPr>
      </w:pPr>
    </w:p>
    <w:p w:rsidR="00B77B45" w:rsidRPr="0018592F" w:rsidRDefault="00B77B45" w:rsidP="00B77B45">
      <w:pPr>
        <w:jc w:val="center"/>
        <w:rPr>
          <w:b/>
        </w:rPr>
      </w:pPr>
    </w:p>
    <w:p w:rsidR="00B77B45" w:rsidRPr="0018592F" w:rsidRDefault="00B77B45" w:rsidP="00B77B45">
      <w:pPr>
        <w:jc w:val="center"/>
        <w:rPr>
          <w:b/>
        </w:rPr>
      </w:pPr>
    </w:p>
    <w:p w:rsidR="00B77B45" w:rsidRPr="0018592F" w:rsidRDefault="00B77B45" w:rsidP="00B77B45">
      <w:pPr>
        <w:jc w:val="center"/>
        <w:rPr>
          <w:b/>
        </w:rPr>
      </w:pPr>
    </w:p>
    <w:p w:rsidR="00B77B45" w:rsidRPr="0018592F" w:rsidRDefault="00B77B45" w:rsidP="00B77B45">
      <w:pPr>
        <w:jc w:val="center"/>
        <w:rPr>
          <w:b/>
        </w:rPr>
      </w:pPr>
    </w:p>
    <w:p w:rsidR="00B77B45" w:rsidRPr="0018592F" w:rsidRDefault="00B77B45" w:rsidP="00B77B45">
      <w:pPr>
        <w:jc w:val="center"/>
        <w:rPr>
          <w:b/>
        </w:rPr>
      </w:pPr>
    </w:p>
    <w:p w:rsidR="00B77B45" w:rsidRPr="0018592F" w:rsidRDefault="00B77B45" w:rsidP="00B77B45">
      <w:pPr>
        <w:jc w:val="center"/>
        <w:rPr>
          <w:b/>
        </w:rPr>
      </w:pPr>
    </w:p>
    <w:p w:rsidR="00B77B45" w:rsidRDefault="00B77B45" w:rsidP="00B77B4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77B45" w:rsidRDefault="00B77B45" w:rsidP="00B77B4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77B45" w:rsidRDefault="00B77B45" w:rsidP="00B77B4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B77B45" w:rsidRDefault="00B77B45" w:rsidP="00B77B45">
      <w:pPr>
        <w:spacing w:after="0"/>
        <w:jc w:val="center"/>
        <w:rPr>
          <w:rFonts w:ascii="Arial" w:hAnsi="Arial" w:cs="Arial"/>
          <w:b/>
          <w:sz w:val="24"/>
        </w:rPr>
      </w:pPr>
    </w:p>
    <w:p w:rsidR="009A7F0C" w:rsidRDefault="009A7F0C" w:rsidP="009A7F0C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B77B45">
        <w:rPr>
          <w:rFonts w:ascii="Arial" w:hAnsi="Arial" w:cs="Arial"/>
          <w:b/>
          <w:sz w:val="28"/>
        </w:rPr>
        <w:t>P</w:t>
      </w:r>
      <w:r w:rsidR="008451F7" w:rsidRPr="00B77B45">
        <w:rPr>
          <w:rFonts w:ascii="Arial" w:hAnsi="Arial" w:cs="Arial"/>
          <w:b/>
          <w:sz w:val="28"/>
        </w:rPr>
        <w:t xml:space="preserve">lan kontrole društava za reviziju i ovlašćenih revizora koje sprovodi </w:t>
      </w:r>
      <w:r w:rsidR="008451F7">
        <w:rPr>
          <w:rFonts w:ascii="Arial" w:hAnsi="Arial" w:cs="Arial"/>
          <w:b/>
          <w:sz w:val="28"/>
        </w:rPr>
        <w:t>M</w:t>
      </w:r>
      <w:r w:rsidR="008451F7" w:rsidRPr="00B77B45">
        <w:rPr>
          <w:rFonts w:ascii="Arial" w:hAnsi="Arial" w:cs="Arial"/>
          <w:b/>
          <w:sz w:val="28"/>
        </w:rPr>
        <w:t>inistarstvo finansija</w:t>
      </w:r>
      <w:r w:rsidR="008451F7">
        <w:rPr>
          <w:rFonts w:ascii="Arial" w:hAnsi="Arial" w:cs="Arial"/>
          <w:b/>
          <w:sz w:val="28"/>
        </w:rPr>
        <w:t xml:space="preserve"> i socijalnog staranja</w:t>
      </w:r>
    </w:p>
    <w:p w:rsidR="009A7F0C" w:rsidRPr="00B77B45" w:rsidRDefault="008451F7" w:rsidP="009A7F0C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</w:t>
      </w:r>
      <w:r w:rsidRPr="00B77B45">
        <w:rPr>
          <w:rFonts w:ascii="Arial" w:hAnsi="Arial" w:cs="Arial"/>
          <w:b/>
          <w:sz w:val="28"/>
        </w:rPr>
        <w:t xml:space="preserve">za </w:t>
      </w:r>
      <w:r>
        <w:rPr>
          <w:rFonts w:ascii="Arial" w:hAnsi="Arial" w:cs="Arial"/>
          <w:b/>
          <w:sz w:val="28"/>
        </w:rPr>
        <w:t xml:space="preserve">2021. </w:t>
      </w:r>
      <w:r w:rsidRPr="00B77B45">
        <w:rPr>
          <w:rFonts w:ascii="Arial" w:hAnsi="Arial" w:cs="Arial"/>
          <w:b/>
          <w:sz w:val="28"/>
        </w:rPr>
        <w:t>godin</w:t>
      </w:r>
      <w:r>
        <w:rPr>
          <w:rFonts w:ascii="Arial" w:hAnsi="Arial" w:cs="Arial"/>
          <w:b/>
          <w:sz w:val="28"/>
        </w:rPr>
        <w:t>u</w:t>
      </w:r>
    </w:p>
    <w:p w:rsidR="00B77B45" w:rsidRPr="0018592F" w:rsidRDefault="00B77B45" w:rsidP="00B77B45">
      <w:pPr>
        <w:pStyle w:val="Header"/>
        <w:jc w:val="both"/>
        <w:rPr>
          <w:i/>
          <w:sz w:val="28"/>
          <w:szCs w:val="28"/>
          <w:lang w:val="sr-Latn-CS"/>
        </w:rPr>
      </w:pPr>
    </w:p>
    <w:p w:rsidR="00B77B45" w:rsidRPr="0018592F" w:rsidRDefault="00B77B45" w:rsidP="00B77B45">
      <w:pPr>
        <w:pStyle w:val="Header"/>
        <w:jc w:val="both"/>
        <w:rPr>
          <w:i/>
          <w:lang w:val="sr-Latn-CS"/>
        </w:rPr>
      </w:pPr>
    </w:p>
    <w:p w:rsidR="00B77B45" w:rsidRPr="0018592F" w:rsidRDefault="00B77B45" w:rsidP="00B77B45"/>
    <w:p w:rsidR="00B77B45" w:rsidRPr="0018592F" w:rsidRDefault="00B77B45" w:rsidP="00B77B45"/>
    <w:p w:rsidR="00B77B45" w:rsidRPr="0018592F" w:rsidRDefault="00B77B45" w:rsidP="00B77B45"/>
    <w:p w:rsidR="00B77B45" w:rsidRPr="0018592F" w:rsidRDefault="00B77B45" w:rsidP="00B77B45"/>
    <w:p w:rsidR="00B77B45" w:rsidRPr="0018592F" w:rsidRDefault="00B77B45" w:rsidP="00B77B45"/>
    <w:p w:rsidR="00B77B45" w:rsidRPr="0018592F" w:rsidRDefault="00B77B45" w:rsidP="00B77B45"/>
    <w:p w:rsidR="00B77B45" w:rsidRDefault="00B77B45" w:rsidP="00B77B45"/>
    <w:p w:rsidR="00B77B45" w:rsidRDefault="00B77B45" w:rsidP="00B77B45"/>
    <w:p w:rsidR="00B77B45" w:rsidRDefault="00B77B45" w:rsidP="00B77B45"/>
    <w:p w:rsidR="00B77B45" w:rsidRDefault="00B77B45" w:rsidP="00B77B45"/>
    <w:p w:rsidR="00B77B45" w:rsidRDefault="00B77B45" w:rsidP="00B77B45"/>
    <w:p w:rsidR="00B77B45" w:rsidRPr="00B77B45" w:rsidRDefault="00B77B45" w:rsidP="00B77B45">
      <w:pPr>
        <w:jc w:val="center"/>
        <w:rPr>
          <w:rFonts w:ascii="Arial" w:hAnsi="Arial" w:cs="Arial"/>
          <w:sz w:val="24"/>
        </w:rPr>
      </w:pPr>
      <w:r w:rsidRPr="00B77B45">
        <w:rPr>
          <w:rFonts w:ascii="Arial" w:hAnsi="Arial" w:cs="Arial"/>
          <w:sz w:val="24"/>
        </w:rPr>
        <w:t xml:space="preserve">Podgorica, </w:t>
      </w:r>
      <w:r w:rsidR="005B4020">
        <w:rPr>
          <w:rFonts w:ascii="Arial" w:hAnsi="Arial" w:cs="Arial"/>
          <w:sz w:val="24"/>
        </w:rPr>
        <w:t>febru</w:t>
      </w:r>
      <w:r w:rsidR="00A334FC">
        <w:rPr>
          <w:rFonts w:ascii="Arial" w:hAnsi="Arial" w:cs="Arial"/>
          <w:sz w:val="24"/>
        </w:rPr>
        <w:t>ar</w:t>
      </w:r>
      <w:r w:rsidRPr="00B77B45">
        <w:rPr>
          <w:rFonts w:ascii="Arial" w:hAnsi="Arial" w:cs="Arial"/>
          <w:sz w:val="24"/>
        </w:rPr>
        <w:t xml:space="preserve"> 20</w:t>
      </w:r>
      <w:r w:rsidR="005B4020">
        <w:rPr>
          <w:rFonts w:ascii="Arial" w:hAnsi="Arial" w:cs="Arial"/>
          <w:sz w:val="24"/>
        </w:rPr>
        <w:t>21</w:t>
      </w:r>
      <w:r w:rsidRPr="00B77B45">
        <w:rPr>
          <w:rFonts w:ascii="Arial" w:hAnsi="Arial" w:cs="Arial"/>
          <w:sz w:val="24"/>
        </w:rPr>
        <w:t>. godine</w:t>
      </w:r>
    </w:p>
    <w:p w:rsidR="00DD1436" w:rsidRPr="00DD1436" w:rsidRDefault="00DD1436" w:rsidP="00DD1436">
      <w:pPr>
        <w:spacing w:after="0" w:line="240" w:lineRule="auto"/>
        <w:rPr>
          <w:rFonts w:ascii="Arial" w:hAnsi="Arial" w:cs="Arial"/>
          <w:b/>
          <w:sz w:val="24"/>
        </w:rPr>
      </w:pPr>
      <w:r w:rsidRPr="00DD1436">
        <w:rPr>
          <w:rFonts w:ascii="Arial" w:hAnsi="Arial" w:cs="Arial"/>
          <w:b/>
          <w:sz w:val="24"/>
        </w:rPr>
        <w:lastRenderedPageBreak/>
        <w:t>Zakonodavni okvir</w:t>
      </w:r>
    </w:p>
    <w:p w:rsidR="00DD1436" w:rsidRP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</w:p>
    <w:p w:rsidR="00DD1436" w:rsidRPr="00DD1436" w:rsidRDefault="00DD1436" w:rsidP="00DD14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 xml:space="preserve">U skladu sa članom 42 Zakona o reviziji (Sl. list CG br. 001/17), nadzor nad sprovođenjem Zakona o reviziji i propisa donijetih na osnovu ovog Zakona vrši Ministarstvo </w:t>
      </w:r>
      <w:r>
        <w:rPr>
          <w:rFonts w:ascii="Arial" w:hAnsi="Arial" w:cs="Arial"/>
          <w:sz w:val="24"/>
        </w:rPr>
        <w:t xml:space="preserve">finansija </w:t>
      </w:r>
      <w:r w:rsidR="0074703A">
        <w:rPr>
          <w:rFonts w:ascii="Arial" w:hAnsi="Arial" w:cs="Arial"/>
          <w:sz w:val="24"/>
        </w:rPr>
        <w:t xml:space="preserve">i socijalnog staranja </w:t>
      </w:r>
      <w:r w:rsidRPr="00DD1436">
        <w:rPr>
          <w:rFonts w:ascii="Arial" w:hAnsi="Arial" w:cs="Arial"/>
          <w:sz w:val="24"/>
        </w:rPr>
        <w:t>(Direkcija za nadzor nad revizijom</w:t>
      </w:r>
      <w:r>
        <w:rPr>
          <w:rFonts w:ascii="Arial" w:hAnsi="Arial" w:cs="Arial"/>
          <w:sz w:val="24"/>
        </w:rPr>
        <w:t>)</w:t>
      </w:r>
      <w:r w:rsidRPr="00DD1436">
        <w:rPr>
          <w:rFonts w:ascii="Arial" w:hAnsi="Arial" w:cs="Arial"/>
          <w:sz w:val="24"/>
        </w:rPr>
        <w:t xml:space="preserve">. </w:t>
      </w:r>
    </w:p>
    <w:p w:rsidR="00DD1436" w:rsidRDefault="00DD1436" w:rsidP="00DD14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D1436" w:rsidRPr="00DD1436" w:rsidRDefault="00DD1436" w:rsidP="00DD14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Poslove inspekcijskog nadzora vrš</w:t>
      </w:r>
      <w:r>
        <w:rPr>
          <w:rFonts w:ascii="Arial" w:hAnsi="Arial" w:cs="Arial"/>
          <w:sz w:val="24"/>
        </w:rPr>
        <w:t xml:space="preserve">e dva </w:t>
      </w:r>
      <w:r w:rsidRPr="00DD1436">
        <w:rPr>
          <w:rFonts w:ascii="Arial" w:hAnsi="Arial" w:cs="Arial"/>
          <w:sz w:val="24"/>
        </w:rPr>
        <w:t>ovlašćen</w:t>
      </w:r>
      <w:r>
        <w:rPr>
          <w:rFonts w:ascii="Arial" w:hAnsi="Arial" w:cs="Arial"/>
          <w:sz w:val="24"/>
        </w:rPr>
        <w:t>a</w:t>
      </w:r>
      <w:r w:rsidRPr="00DD1436">
        <w:rPr>
          <w:rFonts w:ascii="Arial" w:hAnsi="Arial" w:cs="Arial"/>
          <w:sz w:val="24"/>
        </w:rPr>
        <w:t xml:space="preserve"> služben</w:t>
      </w:r>
      <w:r>
        <w:rPr>
          <w:rFonts w:ascii="Arial" w:hAnsi="Arial" w:cs="Arial"/>
          <w:sz w:val="24"/>
        </w:rPr>
        <w:t>a</w:t>
      </w:r>
      <w:r w:rsidRPr="00DD1436">
        <w:rPr>
          <w:rFonts w:ascii="Arial" w:hAnsi="Arial" w:cs="Arial"/>
          <w:sz w:val="24"/>
        </w:rPr>
        <w:t xml:space="preserve"> lice Ministarstva u skladu sa Zakon</w:t>
      </w:r>
      <w:r>
        <w:rPr>
          <w:rFonts w:ascii="Arial" w:hAnsi="Arial" w:cs="Arial"/>
          <w:sz w:val="24"/>
        </w:rPr>
        <w:t>om</w:t>
      </w:r>
      <w:r w:rsidRPr="00DD1436">
        <w:rPr>
          <w:rFonts w:ascii="Arial" w:hAnsi="Arial" w:cs="Arial"/>
          <w:sz w:val="24"/>
        </w:rPr>
        <w:t xml:space="preserve"> o reviziji i zakonom kojim se uređuje inspekcijski nadzor.</w:t>
      </w:r>
    </w:p>
    <w:p w:rsid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</w:p>
    <w:p w:rsidR="00DD1436" w:rsidRP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Pored obaveza i ovlašćenja utvrđenih zakonom kojim se uređuje inspekcijski nadzor, ovlašćeno službeno lice ima obavezu i ovlašćenje da naročito kontroliše da li društvo za reviziju, odnosno ovlašćeni revizor:</w:t>
      </w:r>
    </w:p>
    <w:p w:rsidR="00DD1436" w:rsidRPr="00DD1436" w:rsidRDefault="00DD1436" w:rsidP="00DD1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obavlja reviziju u skladu sa ovim zakonom, Međunarodnim standardima revizije i pravilima revizorske struke;</w:t>
      </w:r>
    </w:p>
    <w:p w:rsidR="00DD1436" w:rsidRPr="00DD1436" w:rsidRDefault="00DD1436" w:rsidP="00DD1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ispunjava zahtjeve nezavisnosti;</w:t>
      </w:r>
    </w:p>
    <w:p w:rsidR="00DD1436" w:rsidRPr="00DD1436" w:rsidRDefault="00DD1436" w:rsidP="00DD1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ima kvantitet i kvalitet angažovanih resursa u skladu sa standardima revizije;</w:t>
      </w:r>
    </w:p>
    <w:p w:rsidR="00DD1436" w:rsidRPr="00DD1436" w:rsidRDefault="00DD1436" w:rsidP="00DD1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ispunjava uslove za izdavanje dozvola za obavljanje revizije, odnosno za dobijanje licence;</w:t>
      </w:r>
    </w:p>
    <w:p w:rsidR="00DD1436" w:rsidRPr="00DD1436" w:rsidRDefault="00DD1436" w:rsidP="00DD1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poštuje etičke zahtjeve propisane Kodeksom etike za profesionalne računovođe; i</w:t>
      </w:r>
    </w:p>
    <w:p w:rsidR="00DD1436" w:rsidRPr="00DD1436" w:rsidRDefault="00DD1436" w:rsidP="00DD143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kontroliše način na koji obračunavaju naknade za usluge revizije.</w:t>
      </w:r>
    </w:p>
    <w:p w:rsid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</w:p>
    <w:p w:rsidR="00DD1436" w:rsidRDefault="00DD1436" w:rsidP="00DD14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 xml:space="preserve">Kontrola </w:t>
      </w:r>
      <w:r>
        <w:rPr>
          <w:rFonts w:ascii="Arial" w:hAnsi="Arial" w:cs="Arial"/>
          <w:sz w:val="24"/>
        </w:rPr>
        <w:t>se sprovodi</w:t>
      </w:r>
      <w:r w:rsidRPr="00DD1436">
        <w:rPr>
          <w:rFonts w:ascii="Arial" w:hAnsi="Arial" w:cs="Arial"/>
          <w:sz w:val="24"/>
        </w:rPr>
        <w:t xml:space="preserve"> na objektivan način i po postupku koji isključuje sukob interesa između ovlašćenog službenog lica i društva za reviziju, odnosno ovlašćenog revizora koji je predmet kontrole. </w:t>
      </w:r>
    </w:p>
    <w:p w:rsidR="00DD1436" w:rsidRPr="00DD1436" w:rsidRDefault="00DD1436" w:rsidP="00DD143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D1436" w:rsidRDefault="00DD1436" w:rsidP="00DD1436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>Ovlašćeno službeno lice u postupku kontrole dužno je da pregleda dovoljan broj revizorskih dokumenata, odnosno uzoraka za testiranje radi obezbjeđenja kvalitetne i cjelovite kontrole primjenjujući Međunarodne standarde revizije i zahtjeve vezane za nezavisnost njihovog rada.</w:t>
      </w:r>
    </w:p>
    <w:p w:rsid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</w:p>
    <w:p w:rsidR="00DD1436" w:rsidRDefault="00947DFC" w:rsidP="00947DFC">
      <w:p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Ovlašćeno službeno lice sačinjava izvještaj koji sadrži naročito nalaze i zaključke i dostavlja ga društvu za reviziju, odnosno ovlašćenom revizoru koji je predmet kontrole.</w:t>
      </w:r>
      <w:r>
        <w:rPr>
          <w:rFonts w:ascii="Arial" w:hAnsi="Arial" w:cs="Arial"/>
          <w:sz w:val="24"/>
        </w:rPr>
        <w:t xml:space="preserve"> Ovaj izvještaj se </w:t>
      </w:r>
      <w:r w:rsidRPr="00947DFC">
        <w:rPr>
          <w:rFonts w:ascii="Arial" w:hAnsi="Arial" w:cs="Arial"/>
          <w:sz w:val="24"/>
        </w:rPr>
        <w:t>dostavlja i Savjetu za reviziju</w:t>
      </w:r>
    </w:p>
    <w:p w:rsid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</w:p>
    <w:p w:rsidR="00947DFC" w:rsidRPr="00947DFC" w:rsidRDefault="00947DFC" w:rsidP="00947DFC">
      <w:p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 xml:space="preserve">Ovlašćeno službeno lice, kada utvrdi da društvo za reviziju ili ovlašćeni revizor ne postupa u skladu sa odredbama </w:t>
      </w:r>
      <w:r>
        <w:rPr>
          <w:rFonts w:ascii="Arial" w:hAnsi="Arial" w:cs="Arial"/>
          <w:sz w:val="24"/>
        </w:rPr>
        <w:t>Z</w:t>
      </w:r>
      <w:r w:rsidRPr="00947DFC">
        <w:rPr>
          <w:rFonts w:ascii="Arial" w:hAnsi="Arial" w:cs="Arial"/>
          <w:sz w:val="24"/>
        </w:rPr>
        <w:t>akona i pravilima revizorske struke, predlaže sljedeće mjere:</w:t>
      </w:r>
    </w:p>
    <w:p w:rsidR="00947DFC" w:rsidRPr="00947DFC" w:rsidRDefault="00947DFC" w:rsidP="00947D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otklanjanje utvrđenih nepravilnosti;</w:t>
      </w:r>
    </w:p>
    <w:p w:rsidR="00947DFC" w:rsidRPr="00947DFC" w:rsidRDefault="00947DFC" w:rsidP="00947D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izricanje dodatnih mjera potrebnih za otklanjanje nepravilnosti;</w:t>
      </w:r>
    </w:p>
    <w:p w:rsidR="00947DFC" w:rsidRPr="00947DFC" w:rsidRDefault="00947DFC" w:rsidP="00947D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privremenu zabranu rada društvu za reviziju odnosno ovlašćenom revizoru;</w:t>
      </w:r>
    </w:p>
    <w:p w:rsidR="00DD1436" w:rsidRPr="00947DFC" w:rsidRDefault="00947DFC" w:rsidP="00947D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oduzimanje licence ovlašćenom revizoru odnosno dozvole za obavljanje revizije društvu za reviziju.</w:t>
      </w:r>
    </w:p>
    <w:p w:rsidR="00DD1436" w:rsidRDefault="00DD1436" w:rsidP="00DD1436">
      <w:pPr>
        <w:spacing w:after="0" w:line="240" w:lineRule="auto"/>
        <w:rPr>
          <w:rFonts w:ascii="Arial" w:hAnsi="Arial" w:cs="Arial"/>
          <w:sz w:val="24"/>
        </w:rPr>
      </w:pPr>
    </w:p>
    <w:p w:rsidR="00947DFC" w:rsidRPr="00947DFC" w:rsidRDefault="00947DFC" w:rsidP="00947DFC">
      <w:pPr>
        <w:spacing w:after="0" w:line="240" w:lineRule="auto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Ovlašćeno službeno lice će naložiti otklanjanje utvrđenih nepravilnosti društvu za reviziju, odnosno ovlašćenom revizoru ako:</w:t>
      </w:r>
    </w:p>
    <w:p w:rsidR="00947DFC" w:rsidRPr="00947DFC" w:rsidRDefault="00947DFC" w:rsidP="00947D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vlasnička i upravljačka struktura društva za reviziju nije u skladu sa zakonom;</w:t>
      </w:r>
    </w:p>
    <w:p w:rsidR="00947DFC" w:rsidRPr="00947DFC" w:rsidRDefault="00947DFC" w:rsidP="00947D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 xml:space="preserve">društvo za reviziju, odnosno ovlašćeni revizor obavlja djelatnost revizije suprotno odredbama </w:t>
      </w:r>
      <w:r>
        <w:rPr>
          <w:rFonts w:ascii="Arial" w:hAnsi="Arial" w:cs="Arial"/>
          <w:sz w:val="24"/>
        </w:rPr>
        <w:t>Z</w:t>
      </w:r>
      <w:r w:rsidRPr="00947DFC">
        <w:rPr>
          <w:rFonts w:ascii="Arial" w:hAnsi="Arial" w:cs="Arial"/>
          <w:sz w:val="24"/>
        </w:rPr>
        <w:t>akona</w:t>
      </w:r>
      <w:r>
        <w:rPr>
          <w:rFonts w:ascii="Arial" w:hAnsi="Arial" w:cs="Arial"/>
          <w:sz w:val="24"/>
        </w:rPr>
        <w:t xml:space="preserve"> o reviziji</w:t>
      </w:r>
      <w:r w:rsidRPr="00947DFC">
        <w:rPr>
          <w:rFonts w:ascii="Arial" w:hAnsi="Arial" w:cs="Arial"/>
          <w:sz w:val="24"/>
        </w:rPr>
        <w:t>;</w:t>
      </w:r>
    </w:p>
    <w:p w:rsidR="00947DFC" w:rsidRPr="00947DFC" w:rsidRDefault="00947DFC" w:rsidP="00947D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lastRenderedPageBreak/>
        <w:t xml:space="preserve">društvo za reviziju, odnosno ovlašćeni revizor ne sačini izvještaj o transparentnosti u skladu sa članom 26 </w:t>
      </w:r>
      <w:r>
        <w:rPr>
          <w:rFonts w:ascii="Arial" w:hAnsi="Arial" w:cs="Arial"/>
          <w:sz w:val="24"/>
        </w:rPr>
        <w:t>Z</w:t>
      </w:r>
      <w:r w:rsidRPr="00947DFC">
        <w:rPr>
          <w:rFonts w:ascii="Arial" w:hAnsi="Arial" w:cs="Arial"/>
          <w:sz w:val="24"/>
        </w:rPr>
        <w:t>akona</w:t>
      </w:r>
      <w:r>
        <w:rPr>
          <w:rFonts w:ascii="Arial" w:hAnsi="Arial" w:cs="Arial"/>
          <w:sz w:val="24"/>
        </w:rPr>
        <w:t xml:space="preserve"> o reviziji</w:t>
      </w:r>
      <w:r w:rsidRPr="00947DFC">
        <w:rPr>
          <w:rFonts w:ascii="Arial" w:hAnsi="Arial" w:cs="Arial"/>
          <w:sz w:val="24"/>
        </w:rPr>
        <w:t xml:space="preserve"> i ne dostavi ga Savjetu za reviziju radi objavljivanja;</w:t>
      </w:r>
    </w:p>
    <w:p w:rsidR="00947DFC" w:rsidRDefault="00947DFC" w:rsidP="00947D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947DFC">
        <w:rPr>
          <w:rFonts w:ascii="Arial" w:hAnsi="Arial" w:cs="Arial"/>
          <w:sz w:val="24"/>
        </w:rPr>
        <w:t>društvo za reviziju, odnosno ovlašćeni revizor ne ispunjavaju uslove za dobijanje dozvole za obavljanje revizije</w:t>
      </w:r>
      <w:r>
        <w:rPr>
          <w:rFonts w:ascii="Arial" w:hAnsi="Arial" w:cs="Arial"/>
          <w:sz w:val="24"/>
        </w:rPr>
        <w:t>,</w:t>
      </w:r>
      <w:r w:rsidRPr="00947DFC">
        <w:rPr>
          <w:rFonts w:ascii="Arial" w:hAnsi="Arial" w:cs="Arial"/>
          <w:sz w:val="24"/>
        </w:rPr>
        <w:t xml:space="preserve"> odnosno licence.</w:t>
      </w:r>
    </w:p>
    <w:p w:rsidR="00947DFC" w:rsidRDefault="00947DFC" w:rsidP="00947DF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6A8A" w:rsidRDefault="00676A8A" w:rsidP="00947DFC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947DFC" w:rsidRPr="00916357" w:rsidRDefault="00916357" w:rsidP="00947DFC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916357">
        <w:rPr>
          <w:rFonts w:ascii="Arial" w:hAnsi="Arial" w:cs="Arial"/>
          <w:b/>
          <w:sz w:val="24"/>
        </w:rPr>
        <w:t>Cilj kontrole</w:t>
      </w:r>
    </w:p>
    <w:p w:rsidR="00947DFC" w:rsidRDefault="00947DFC" w:rsidP="001366E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47DFC" w:rsidRDefault="00947DFC" w:rsidP="001366E6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853683" w:rsidRDefault="00DD1436" w:rsidP="00916357">
      <w:pPr>
        <w:spacing w:after="0" w:line="240" w:lineRule="auto"/>
        <w:jc w:val="both"/>
        <w:rPr>
          <w:rFonts w:ascii="Arial" w:hAnsi="Arial" w:cs="Arial"/>
          <w:sz w:val="24"/>
        </w:rPr>
      </w:pPr>
      <w:r w:rsidRPr="00DD1436">
        <w:rPr>
          <w:rFonts w:ascii="Arial" w:hAnsi="Arial" w:cs="Arial"/>
          <w:sz w:val="24"/>
        </w:rPr>
        <w:t xml:space="preserve">Cilj </w:t>
      </w:r>
      <w:r w:rsidR="00916357">
        <w:rPr>
          <w:rFonts w:ascii="Arial" w:hAnsi="Arial" w:cs="Arial"/>
          <w:sz w:val="24"/>
        </w:rPr>
        <w:t xml:space="preserve">kontrole je utrvđivanje da li su društva za reviziju </w:t>
      </w:r>
      <w:r w:rsidRPr="00DD1436">
        <w:rPr>
          <w:rFonts w:ascii="Arial" w:hAnsi="Arial" w:cs="Arial"/>
          <w:sz w:val="24"/>
        </w:rPr>
        <w:t>uve</w:t>
      </w:r>
      <w:r w:rsidR="00916357">
        <w:rPr>
          <w:rFonts w:ascii="Arial" w:hAnsi="Arial" w:cs="Arial"/>
          <w:sz w:val="24"/>
        </w:rPr>
        <w:t>la</w:t>
      </w:r>
      <w:r w:rsidRPr="00DD1436">
        <w:rPr>
          <w:rFonts w:ascii="Arial" w:hAnsi="Arial" w:cs="Arial"/>
          <w:sz w:val="24"/>
        </w:rPr>
        <w:t xml:space="preserve"> i održa</w:t>
      </w:r>
      <w:r w:rsidR="00916357">
        <w:rPr>
          <w:rFonts w:ascii="Arial" w:hAnsi="Arial" w:cs="Arial"/>
          <w:sz w:val="24"/>
        </w:rPr>
        <w:t>vaju sistem kontrole kvaliteta</w:t>
      </w:r>
      <w:r w:rsidRPr="00DD1436">
        <w:rPr>
          <w:rFonts w:ascii="Arial" w:hAnsi="Arial" w:cs="Arial"/>
          <w:sz w:val="24"/>
        </w:rPr>
        <w:t xml:space="preserve"> koji uključuje</w:t>
      </w:r>
      <w:r w:rsidR="00916357">
        <w:rPr>
          <w:rFonts w:ascii="Arial" w:hAnsi="Arial" w:cs="Arial"/>
          <w:sz w:val="24"/>
        </w:rPr>
        <w:t xml:space="preserve"> </w:t>
      </w:r>
      <w:r w:rsidRPr="00DD1436">
        <w:rPr>
          <w:rFonts w:ascii="Arial" w:hAnsi="Arial" w:cs="Arial"/>
          <w:sz w:val="24"/>
        </w:rPr>
        <w:t xml:space="preserve">politike i procedure koje se bave svakim od šest </w:t>
      </w:r>
      <w:r w:rsidR="00916357">
        <w:rPr>
          <w:rFonts w:ascii="Arial" w:hAnsi="Arial" w:cs="Arial"/>
          <w:sz w:val="24"/>
        </w:rPr>
        <w:t xml:space="preserve">sledećih </w:t>
      </w:r>
      <w:r w:rsidRPr="00DD1436">
        <w:rPr>
          <w:rFonts w:ascii="Arial" w:hAnsi="Arial" w:cs="Arial"/>
          <w:sz w:val="24"/>
        </w:rPr>
        <w:t>elemenata</w:t>
      </w:r>
      <w:r w:rsidR="00916357">
        <w:rPr>
          <w:rFonts w:ascii="Arial" w:hAnsi="Arial" w:cs="Arial"/>
          <w:sz w:val="24"/>
        </w:rPr>
        <w:t>:</w:t>
      </w:r>
    </w:p>
    <w:p w:rsidR="00916357" w:rsidRPr="00BB4751" w:rsidRDefault="00916357" w:rsidP="00231F64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Arial" w:hAnsi="Arial" w:cs="Arial"/>
          <w:i/>
          <w:iCs/>
          <w:sz w:val="24"/>
        </w:rPr>
      </w:pPr>
      <w:r w:rsidRPr="00BB4751">
        <w:rPr>
          <w:rFonts w:ascii="Arial" w:hAnsi="Arial" w:cs="Arial"/>
          <w:sz w:val="24"/>
        </w:rPr>
        <w:t xml:space="preserve">Da li revizor dokumentuje usklađenost sa zahtjevima Međunarodnog </w:t>
      </w:r>
      <w:r w:rsidR="006708BC">
        <w:rPr>
          <w:rFonts w:ascii="Arial" w:hAnsi="Arial" w:cs="Arial"/>
          <w:sz w:val="24"/>
        </w:rPr>
        <w:t>standarda</w:t>
      </w:r>
      <w:r w:rsidRPr="00BB4751">
        <w:rPr>
          <w:rFonts w:ascii="Arial" w:hAnsi="Arial" w:cs="Arial"/>
          <w:sz w:val="24"/>
        </w:rPr>
        <w:t xml:space="preserve"> kontrole kvaliteta</w:t>
      </w:r>
      <w:r w:rsidR="006708BC">
        <w:rPr>
          <w:rFonts w:ascii="Arial" w:hAnsi="Arial" w:cs="Arial"/>
          <w:sz w:val="24"/>
        </w:rPr>
        <w:t xml:space="preserve"> (MSKK 1)</w:t>
      </w:r>
      <w:r w:rsidRPr="00BB4751">
        <w:rPr>
          <w:rFonts w:ascii="Arial" w:hAnsi="Arial" w:cs="Arial"/>
          <w:sz w:val="24"/>
        </w:rPr>
        <w:t xml:space="preserve">, a posebno vezano za </w:t>
      </w:r>
      <w:r w:rsidR="006708BC">
        <w:rPr>
          <w:rFonts w:ascii="Arial" w:hAnsi="Arial" w:cs="Arial"/>
          <w:i/>
          <w:iCs/>
          <w:sz w:val="24"/>
        </w:rPr>
        <w:t>e</w:t>
      </w:r>
      <w:r w:rsidRPr="00BB4751">
        <w:rPr>
          <w:rFonts w:ascii="Arial" w:hAnsi="Arial" w:cs="Arial"/>
          <w:i/>
          <w:iCs/>
          <w:sz w:val="24"/>
        </w:rPr>
        <w:t>lement</w:t>
      </w:r>
      <w:r w:rsidR="006708BC">
        <w:rPr>
          <w:rFonts w:ascii="Arial" w:hAnsi="Arial" w:cs="Arial"/>
          <w:i/>
          <w:iCs/>
          <w:sz w:val="24"/>
        </w:rPr>
        <w:t>e</w:t>
      </w:r>
      <w:r w:rsidRPr="00BB4751">
        <w:rPr>
          <w:rFonts w:ascii="Arial" w:hAnsi="Arial" w:cs="Arial"/>
          <w:i/>
          <w:iCs/>
          <w:sz w:val="24"/>
        </w:rPr>
        <w:t xml:space="preserve"> sistema kontrole kvaliteta</w:t>
      </w:r>
      <w:r w:rsidR="006708BC">
        <w:rPr>
          <w:rFonts w:ascii="Arial" w:hAnsi="Arial" w:cs="Arial"/>
          <w:i/>
          <w:iCs/>
          <w:sz w:val="24"/>
        </w:rPr>
        <w:t>:</w:t>
      </w:r>
    </w:p>
    <w:p w:rsidR="00916357" w:rsidRPr="00231F64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="00916357" w:rsidRPr="00231F64">
        <w:rPr>
          <w:rFonts w:ascii="Arial" w:hAnsi="Arial" w:cs="Arial"/>
          <w:sz w:val="24"/>
        </w:rPr>
        <w:t xml:space="preserve">dgovornost rukovodstva za kvalitet unutar </w:t>
      </w:r>
      <w:r>
        <w:rPr>
          <w:rFonts w:ascii="Arial" w:hAnsi="Arial" w:cs="Arial"/>
          <w:sz w:val="24"/>
        </w:rPr>
        <w:t>društva za reviziju;</w:t>
      </w:r>
    </w:p>
    <w:p w:rsidR="00916357" w:rsidRPr="00231F64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</w:t>
      </w:r>
      <w:r w:rsidR="00916357" w:rsidRPr="00231F64">
        <w:rPr>
          <w:rFonts w:ascii="Arial" w:hAnsi="Arial" w:cs="Arial"/>
          <w:sz w:val="24"/>
        </w:rPr>
        <w:t>elevantn</w:t>
      </w:r>
      <w:r>
        <w:rPr>
          <w:rFonts w:ascii="Arial" w:hAnsi="Arial" w:cs="Arial"/>
          <w:sz w:val="24"/>
        </w:rPr>
        <w:t>e etičke</w:t>
      </w:r>
      <w:r w:rsidR="00916357" w:rsidRPr="00231F64">
        <w:rPr>
          <w:rFonts w:ascii="Arial" w:hAnsi="Arial" w:cs="Arial"/>
          <w:sz w:val="24"/>
        </w:rPr>
        <w:t xml:space="preserve"> zahtjev</w:t>
      </w:r>
      <w:r>
        <w:rPr>
          <w:rFonts w:ascii="Arial" w:hAnsi="Arial" w:cs="Arial"/>
          <w:sz w:val="24"/>
        </w:rPr>
        <w:t>e;</w:t>
      </w:r>
    </w:p>
    <w:p w:rsidR="00916357" w:rsidRPr="00231F64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</w:t>
      </w:r>
      <w:r w:rsidR="00916357" w:rsidRPr="00231F64">
        <w:rPr>
          <w:rFonts w:ascii="Arial" w:hAnsi="Arial" w:cs="Arial"/>
          <w:sz w:val="24"/>
        </w:rPr>
        <w:t>rihvatanje i nastavak odnosa sa klijent</w:t>
      </w:r>
      <w:r>
        <w:rPr>
          <w:rFonts w:ascii="Arial" w:hAnsi="Arial" w:cs="Arial"/>
          <w:sz w:val="24"/>
        </w:rPr>
        <w:t>ima</w:t>
      </w:r>
      <w:r w:rsidR="00916357" w:rsidRPr="00231F64">
        <w:rPr>
          <w:rFonts w:ascii="Arial" w:hAnsi="Arial" w:cs="Arial"/>
          <w:sz w:val="24"/>
        </w:rPr>
        <w:t xml:space="preserve"> i posebn</w:t>
      </w:r>
      <w:r>
        <w:rPr>
          <w:rFonts w:ascii="Arial" w:hAnsi="Arial" w:cs="Arial"/>
          <w:sz w:val="24"/>
        </w:rPr>
        <w:t>ih</w:t>
      </w:r>
      <w:r w:rsidR="00916357" w:rsidRPr="00231F64">
        <w:rPr>
          <w:rFonts w:ascii="Arial" w:hAnsi="Arial" w:cs="Arial"/>
          <w:sz w:val="24"/>
        </w:rPr>
        <w:t xml:space="preserve"> angaž</w:t>
      </w:r>
      <w:r>
        <w:rPr>
          <w:rFonts w:ascii="Arial" w:hAnsi="Arial" w:cs="Arial"/>
          <w:sz w:val="24"/>
        </w:rPr>
        <w:t>mana</w:t>
      </w:r>
      <w:r w:rsidR="005B4020">
        <w:rPr>
          <w:rFonts w:ascii="Arial" w:hAnsi="Arial" w:cs="Arial"/>
          <w:sz w:val="24"/>
        </w:rPr>
        <w:t>;</w:t>
      </w:r>
    </w:p>
    <w:p w:rsidR="00916357" w:rsidRPr="00231F64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ljudske</w:t>
      </w:r>
      <w:r w:rsidR="00916357" w:rsidRPr="00231F64">
        <w:rPr>
          <w:rFonts w:ascii="Arial" w:hAnsi="Arial" w:cs="Arial"/>
          <w:sz w:val="24"/>
        </w:rPr>
        <w:t xml:space="preserve"> resurs</w:t>
      </w:r>
      <w:r>
        <w:rPr>
          <w:rFonts w:ascii="Arial" w:hAnsi="Arial" w:cs="Arial"/>
          <w:sz w:val="24"/>
        </w:rPr>
        <w:t>e</w:t>
      </w:r>
      <w:r w:rsidR="005B4020">
        <w:rPr>
          <w:rFonts w:ascii="Arial" w:hAnsi="Arial" w:cs="Arial"/>
          <w:sz w:val="24"/>
        </w:rPr>
        <w:t>;</w:t>
      </w:r>
    </w:p>
    <w:p w:rsidR="006708BC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 w:rsidRPr="006708BC">
        <w:rPr>
          <w:rFonts w:ascii="Arial" w:hAnsi="Arial" w:cs="Arial"/>
          <w:sz w:val="24"/>
        </w:rPr>
        <w:t>obavljanje angažmana</w:t>
      </w:r>
      <w:r w:rsidR="005B4020">
        <w:rPr>
          <w:rFonts w:ascii="Arial" w:hAnsi="Arial" w:cs="Arial"/>
          <w:sz w:val="24"/>
        </w:rPr>
        <w:t>;</w:t>
      </w:r>
    </w:p>
    <w:p w:rsidR="00916357" w:rsidRPr="00231F64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monitoring</w:t>
      </w:r>
      <w:r w:rsidR="005B4020">
        <w:rPr>
          <w:rFonts w:ascii="Arial" w:hAnsi="Arial" w:cs="Arial"/>
          <w:sz w:val="24"/>
        </w:rPr>
        <w:t>.</w:t>
      </w:r>
    </w:p>
    <w:p w:rsidR="00231F64" w:rsidRDefault="00231F64" w:rsidP="006708BC">
      <w:pPr>
        <w:pStyle w:val="ListParagraph"/>
        <w:spacing w:after="0" w:line="240" w:lineRule="auto"/>
        <w:ind w:left="567"/>
        <w:jc w:val="both"/>
        <w:rPr>
          <w:rFonts w:ascii="Arial" w:hAnsi="Arial" w:cs="Arial"/>
          <w:sz w:val="24"/>
        </w:rPr>
      </w:pPr>
    </w:p>
    <w:p w:rsidR="006708BC" w:rsidRDefault="00916357" w:rsidP="00916357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916357">
        <w:rPr>
          <w:rFonts w:ascii="Arial" w:hAnsi="Arial" w:cs="Arial"/>
          <w:sz w:val="24"/>
        </w:rPr>
        <w:t>Da li trenutni sistem kontrole kvaliteta zadovoljavaja sve zahtjeve MSKK 1?</w:t>
      </w:r>
    </w:p>
    <w:p w:rsidR="00916357" w:rsidRPr="006708BC" w:rsidRDefault="00916357" w:rsidP="00916357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6708BC">
        <w:rPr>
          <w:rFonts w:ascii="Arial" w:hAnsi="Arial" w:cs="Arial"/>
          <w:sz w:val="24"/>
        </w:rPr>
        <w:t xml:space="preserve">Da li </w:t>
      </w:r>
      <w:r w:rsidR="006708BC">
        <w:rPr>
          <w:rFonts w:ascii="Arial" w:hAnsi="Arial" w:cs="Arial"/>
          <w:sz w:val="24"/>
        </w:rPr>
        <w:t xml:space="preserve">se </w:t>
      </w:r>
      <w:r w:rsidR="006708BC" w:rsidRPr="006708BC">
        <w:rPr>
          <w:rFonts w:ascii="Arial" w:hAnsi="Arial" w:cs="Arial"/>
          <w:sz w:val="24"/>
        </w:rPr>
        <w:t>adekvatno dokumentuj</w:t>
      </w:r>
      <w:r w:rsidR="006708BC">
        <w:rPr>
          <w:rFonts w:ascii="Arial" w:hAnsi="Arial" w:cs="Arial"/>
          <w:sz w:val="24"/>
        </w:rPr>
        <w:t>u</w:t>
      </w:r>
      <w:r w:rsidR="006708BC" w:rsidRPr="006708BC">
        <w:rPr>
          <w:rFonts w:ascii="Arial" w:hAnsi="Arial" w:cs="Arial"/>
          <w:sz w:val="24"/>
        </w:rPr>
        <w:t xml:space="preserve"> politike i procedure </w:t>
      </w:r>
      <w:r w:rsidR="006708BC">
        <w:rPr>
          <w:rFonts w:ascii="Arial" w:hAnsi="Arial" w:cs="Arial"/>
          <w:sz w:val="24"/>
        </w:rPr>
        <w:t xml:space="preserve">kontrole kvaliteta u skladu sa </w:t>
      </w:r>
      <w:r w:rsidRPr="006708BC">
        <w:rPr>
          <w:rFonts w:ascii="Arial" w:hAnsi="Arial" w:cs="Arial"/>
          <w:sz w:val="24"/>
        </w:rPr>
        <w:t>MSKK 1?</w:t>
      </w:r>
    </w:p>
    <w:p w:rsidR="00916357" w:rsidRPr="00916357" w:rsidRDefault="00916357" w:rsidP="00916357">
      <w:pPr>
        <w:spacing w:after="0" w:line="240" w:lineRule="auto"/>
        <w:jc w:val="both"/>
        <w:rPr>
          <w:rFonts w:ascii="Arial" w:hAnsi="Arial" w:cs="Arial"/>
          <w:sz w:val="24"/>
        </w:rPr>
      </w:pPr>
      <w:r w:rsidRPr="00916357">
        <w:rPr>
          <w:rFonts w:ascii="Arial" w:hAnsi="Arial" w:cs="Arial"/>
          <w:sz w:val="24"/>
        </w:rPr>
        <w:t>Gdje je to primjenljivo, da li je urađen</w:t>
      </w:r>
      <w:r w:rsidR="006708BC">
        <w:rPr>
          <w:rFonts w:ascii="Arial" w:hAnsi="Arial" w:cs="Arial"/>
          <w:sz w:val="24"/>
        </w:rPr>
        <w:t>a</w:t>
      </w:r>
      <w:r w:rsidRPr="00916357">
        <w:rPr>
          <w:rFonts w:ascii="Arial" w:hAnsi="Arial" w:cs="Arial"/>
          <w:sz w:val="24"/>
        </w:rPr>
        <w:t xml:space="preserve"> </w:t>
      </w:r>
      <w:r w:rsidR="006708BC">
        <w:rPr>
          <w:rFonts w:ascii="Arial" w:hAnsi="Arial" w:cs="Arial"/>
          <w:sz w:val="24"/>
        </w:rPr>
        <w:t>analiza</w:t>
      </w:r>
      <w:r w:rsidRPr="00916357">
        <w:rPr>
          <w:rFonts w:ascii="Arial" w:hAnsi="Arial" w:cs="Arial"/>
          <w:sz w:val="24"/>
        </w:rPr>
        <w:t xml:space="preserve"> dokumentovanih politika i</w:t>
      </w:r>
      <w:r w:rsidR="006708BC">
        <w:rPr>
          <w:rFonts w:ascii="Arial" w:hAnsi="Arial" w:cs="Arial"/>
          <w:sz w:val="24"/>
        </w:rPr>
        <w:t xml:space="preserve"> </w:t>
      </w:r>
      <w:r w:rsidRPr="00916357">
        <w:rPr>
          <w:rFonts w:ascii="Arial" w:hAnsi="Arial" w:cs="Arial"/>
          <w:sz w:val="24"/>
        </w:rPr>
        <w:t>procedura sa zahtjevima standarda:</w:t>
      </w:r>
    </w:p>
    <w:p w:rsidR="00916357" w:rsidRPr="006708BC" w:rsidRDefault="00916357" w:rsidP="00676A8A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 w:rsidRPr="006708BC">
        <w:rPr>
          <w:rFonts w:ascii="Arial" w:hAnsi="Arial" w:cs="Arial"/>
          <w:sz w:val="24"/>
        </w:rPr>
        <w:t>poređenjem svakog zahtjeva unutar standarda sa postojećim politikama i procedurama;</w:t>
      </w:r>
    </w:p>
    <w:p w:rsidR="00916357" w:rsidRPr="006708BC" w:rsidRDefault="00916357" w:rsidP="00676A8A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 w:rsidRPr="006708BC">
        <w:rPr>
          <w:rFonts w:ascii="Arial" w:hAnsi="Arial" w:cs="Arial"/>
          <w:sz w:val="24"/>
        </w:rPr>
        <w:t>isticanjem onih zahtjeva koji nisu trenutno ispunjeni; i</w:t>
      </w:r>
    </w:p>
    <w:p w:rsidR="00916357" w:rsidRPr="006708BC" w:rsidRDefault="00916357" w:rsidP="00676A8A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Arial" w:hAnsi="Arial" w:cs="Arial"/>
          <w:sz w:val="24"/>
        </w:rPr>
      </w:pPr>
      <w:r w:rsidRPr="006708BC">
        <w:rPr>
          <w:rFonts w:ascii="Arial" w:hAnsi="Arial" w:cs="Arial"/>
          <w:sz w:val="24"/>
        </w:rPr>
        <w:t>utvrđivanjem promjena koje treba napraviti</w:t>
      </w:r>
      <w:r w:rsidR="005B4020">
        <w:rPr>
          <w:rFonts w:ascii="Arial" w:hAnsi="Arial" w:cs="Arial"/>
          <w:sz w:val="24"/>
        </w:rPr>
        <w:t>.</w:t>
      </w:r>
    </w:p>
    <w:p w:rsidR="00916357" w:rsidRPr="006708BC" w:rsidRDefault="00916357" w:rsidP="006708BC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916357">
        <w:rPr>
          <w:rFonts w:ascii="Arial" w:hAnsi="Arial" w:cs="Arial"/>
          <w:sz w:val="24"/>
        </w:rPr>
        <w:t xml:space="preserve">Da li </w:t>
      </w:r>
      <w:r w:rsidR="00676A8A">
        <w:rPr>
          <w:rFonts w:ascii="Arial" w:hAnsi="Arial" w:cs="Arial"/>
          <w:sz w:val="24"/>
        </w:rPr>
        <w:t xml:space="preserve">su </w:t>
      </w:r>
      <w:r w:rsidRPr="00916357">
        <w:rPr>
          <w:rFonts w:ascii="Arial" w:hAnsi="Arial" w:cs="Arial"/>
          <w:sz w:val="24"/>
        </w:rPr>
        <w:t xml:space="preserve">politike i procedure </w:t>
      </w:r>
      <w:r w:rsidR="006708BC">
        <w:rPr>
          <w:rFonts w:ascii="Arial" w:hAnsi="Arial" w:cs="Arial"/>
          <w:sz w:val="24"/>
        </w:rPr>
        <w:t>kontrole kvaliteta</w:t>
      </w:r>
      <w:r w:rsidR="00676A8A">
        <w:rPr>
          <w:rFonts w:ascii="Arial" w:hAnsi="Arial" w:cs="Arial"/>
          <w:sz w:val="24"/>
        </w:rPr>
        <w:t xml:space="preserve"> </w:t>
      </w:r>
      <w:r w:rsidR="006708BC">
        <w:rPr>
          <w:rFonts w:ascii="Arial" w:hAnsi="Arial" w:cs="Arial"/>
          <w:sz w:val="24"/>
        </w:rPr>
        <w:t>propisane (npr.</w:t>
      </w:r>
      <w:r w:rsidRPr="006708BC">
        <w:rPr>
          <w:rFonts w:ascii="Arial" w:hAnsi="Arial" w:cs="Arial"/>
          <w:sz w:val="24"/>
        </w:rPr>
        <w:t xml:space="preserve"> u uputstvu kontrole kvaliteta</w:t>
      </w:r>
      <w:r w:rsidR="00676A8A">
        <w:rPr>
          <w:rFonts w:ascii="Arial" w:hAnsi="Arial" w:cs="Arial"/>
          <w:sz w:val="24"/>
        </w:rPr>
        <w:t>?</w:t>
      </w:r>
    </w:p>
    <w:p w:rsidR="00916357" w:rsidRPr="006708BC" w:rsidRDefault="00916357" w:rsidP="006708BC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916357">
        <w:rPr>
          <w:rFonts w:ascii="Arial" w:hAnsi="Arial" w:cs="Arial"/>
          <w:sz w:val="24"/>
        </w:rPr>
        <w:t>Da li su politike</w:t>
      </w:r>
      <w:r w:rsidR="006708BC">
        <w:rPr>
          <w:rFonts w:ascii="Arial" w:hAnsi="Arial" w:cs="Arial"/>
          <w:sz w:val="24"/>
        </w:rPr>
        <w:t xml:space="preserve"> </w:t>
      </w:r>
      <w:r w:rsidRPr="00916357">
        <w:rPr>
          <w:rFonts w:ascii="Arial" w:hAnsi="Arial" w:cs="Arial"/>
          <w:sz w:val="24"/>
        </w:rPr>
        <w:t xml:space="preserve">i procedure </w:t>
      </w:r>
      <w:r w:rsidR="006708BC">
        <w:rPr>
          <w:rFonts w:ascii="Arial" w:hAnsi="Arial" w:cs="Arial"/>
          <w:sz w:val="24"/>
        </w:rPr>
        <w:t>kontrole kvaliteta</w:t>
      </w:r>
      <w:r w:rsidR="006708BC" w:rsidRPr="00916357">
        <w:rPr>
          <w:rFonts w:ascii="Arial" w:hAnsi="Arial" w:cs="Arial"/>
          <w:sz w:val="24"/>
        </w:rPr>
        <w:t xml:space="preserve"> </w:t>
      </w:r>
      <w:r w:rsidRPr="00916357">
        <w:rPr>
          <w:rFonts w:ascii="Arial" w:hAnsi="Arial" w:cs="Arial"/>
          <w:sz w:val="24"/>
        </w:rPr>
        <w:t xml:space="preserve">oblikovane na način da odražavaju veličinu </w:t>
      </w:r>
      <w:r w:rsidR="005B4020">
        <w:rPr>
          <w:rFonts w:ascii="Arial" w:hAnsi="Arial" w:cs="Arial"/>
          <w:sz w:val="24"/>
        </w:rPr>
        <w:t>društva za reviziju</w:t>
      </w:r>
      <w:r w:rsidRPr="00916357">
        <w:rPr>
          <w:rFonts w:ascii="Arial" w:hAnsi="Arial" w:cs="Arial"/>
          <w:sz w:val="24"/>
        </w:rPr>
        <w:t xml:space="preserve"> (npr. u malim</w:t>
      </w:r>
      <w:r w:rsidR="006708BC">
        <w:rPr>
          <w:rFonts w:ascii="Arial" w:hAnsi="Arial" w:cs="Arial"/>
          <w:sz w:val="24"/>
        </w:rPr>
        <w:t xml:space="preserve"> </w:t>
      </w:r>
      <w:r w:rsidR="00676A8A">
        <w:rPr>
          <w:rFonts w:ascii="Arial" w:hAnsi="Arial" w:cs="Arial"/>
          <w:sz w:val="24"/>
        </w:rPr>
        <w:t>društvima za reviziju</w:t>
      </w:r>
      <w:r w:rsidRPr="006708BC">
        <w:rPr>
          <w:rFonts w:ascii="Arial" w:hAnsi="Arial" w:cs="Arial"/>
          <w:sz w:val="24"/>
        </w:rPr>
        <w:t xml:space="preserve"> sistemi mogu biti jednostavni, </w:t>
      </w:r>
      <w:r w:rsidR="00676A8A">
        <w:rPr>
          <w:rFonts w:ascii="Arial" w:hAnsi="Arial" w:cs="Arial"/>
          <w:sz w:val="24"/>
        </w:rPr>
        <w:t>kod ovlašćenih</w:t>
      </w:r>
      <w:r w:rsidRPr="006708BC">
        <w:rPr>
          <w:rFonts w:ascii="Arial" w:hAnsi="Arial" w:cs="Arial"/>
          <w:sz w:val="24"/>
        </w:rPr>
        <w:t xml:space="preserve"> revizora još jednostavniji)?</w:t>
      </w:r>
    </w:p>
    <w:p w:rsidR="00916357" w:rsidRDefault="00916357" w:rsidP="006708BC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Arial" w:hAnsi="Arial" w:cs="Arial"/>
          <w:sz w:val="24"/>
        </w:rPr>
      </w:pPr>
      <w:r w:rsidRPr="00916357">
        <w:rPr>
          <w:rFonts w:ascii="Arial" w:hAnsi="Arial" w:cs="Arial"/>
          <w:sz w:val="24"/>
        </w:rPr>
        <w:t xml:space="preserve">U slučaju malih </w:t>
      </w:r>
      <w:r w:rsidR="006708BC">
        <w:rPr>
          <w:rFonts w:ascii="Arial" w:hAnsi="Arial" w:cs="Arial"/>
          <w:sz w:val="24"/>
        </w:rPr>
        <w:t>društava za reviziju</w:t>
      </w:r>
      <w:r w:rsidRPr="00916357">
        <w:rPr>
          <w:rFonts w:ascii="Arial" w:hAnsi="Arial" w:cs="Arial"/>
          <w:sz w:val="24"/>
        </w:rPr>
        <w:t xml:space="preserve"> i </w:t>
      </w:r>
      <w:r w:rsidR="00676A8A">
        <w:rPr>
          <w:rFonts w:ascii="Arial" w:hAnsi="Arial" w:cs="Arial"/>
          <w:sz w:val="24"/>
        </w:rPr>
        <w:t>ovlašćenih</w:t>
      </w:r>
      <w:r w:rsidR="00676A8A" w:rsidRPr="006708BC">
        <w:rPr>
          <w:rFonts w:ascii="Arial" w:hAnsi="Arial" w:cs="Arial"/>
          <w:sz w:val="24"/>
        </w:rPr>
        <w:t xml:space="preserve"> revizora</w:t>
      </w:r>
      <w:r w:rsidRPr="00916357">
        <w:rPr>
          <w:rFonts w:ascii="Arial" w:hAnsi="Arial" w:cs="Arial"/>
          <w:sz w:val="24"/>
        </w:rPr>
        <w:t>, da li je eksterna stručna pomoć korišćena ili</w:t>
      </w:r>
      <w:r w:rsidR="006708BC">
        <w:rPr>
          <w:rFonts w:ascii="Arial" w:hAnsi="Arial" w:cs="Arial"/>
          <w:sz w:val="24"/>
        </w:rPr>
        <w:t xml:space="preserve"> </w:t>
      </w:r>
      <w:r w:rsidRPr="006708BC">
        <w:rPr>
          <w:rFonts w:ascii="Arial" w:hAnsi="Arial" w:cs="Arial"/>
          <w:sz w:val="24"/>
        </w:rPr>
        <w:t xml:space="preserve">razmatrana pri projekovanju </w:t>
      </w:r>
      <w:r w:rsidR="006708BC">
        <w:rPr>
          <w:rFonts w:ascii="Arial" w:hAnsi="Arial" w:cs="Arial"/>
          <w:sz w:val="24"/>
        </w:rPr>
        <w:t>Sistema kontrole kvaliteta</w:t>
      </w:r>
      <w:r w:rsidRPr="006708BC">
        <w:rPr>
          <w:rFonts w:ascii="Arial" w:hAnsi="Arial" w:cs="Arial"/>
          <w:sz w:val="24"/>
        </w:rPr>
        <w:t>?</w:t>
      </w:r>
    </w:p>
    <w:p w:rsidR="00676A8A" w:rsidRDefault="00676A8A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6A8A" w:rsidRDefault="00676A8A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iCs/>
          <w:sz w:val="24"/>
        </w:rPr>
        <w:t>Cilj</w:t>
      </w:r>
      <w:r w:rsidRPr="00676A8A">
        <w:rPr>
          <w:rFonts w:ascii="Arial" w:hAnsi="Arial" w:cs="Arial"/>
          <w:iCs/>
          <w:sz w:val="24"/>
        </w:rPr>
        <w:t xml:space="preserve"> proces</w:t>
      </w:r>
      <w:r>
        <w:rPr>
          <w:rFonts w:ascii="Arial" w:hAnsi="Arial" w:cs="Arial"/>
          <w:iCs/>
          <w:sz w:val="24"/>
        </w:rPr>
        <w:t>a kontrole je</w:t>
      </w:r>
      <w:r w:rsidRPr="00676A8A">
        <w:rPr>
          <w:rFonts w:ascii="Arial" w:hAnsi="Arial" w:cs="Arial"/>
          <w:iCs/>
          <w:sz w:val="24"/>
        </w:rPr>
        <w:t xml:space="preserve"> i njegov uticaj na revizore,</w:t>
      </w:r>
      <w:r>
        <w:rPr>
          <w:rFonts w:ascii="Arial" w:hAnsi="Arial" w:cs="Arial"/>
          <w:iCs/>
          <w:sz w:val="24"/>
        </w:rPr>
        <w:t xml:space="preserve"> u smislu razvijanja</w:t>
      </w:r>
      <w:r w:rsidRPr="00676A8A">
        <w:rPr>
          <w:rFonts w:ascii="Arial" w:hAnsi="Arial" w:cs="Arial"/>
          <w:iCs/>
          <w:sz w:val="24"/>
        </w:rPr>
        <w:t xml:space="preserve"> okruženj</w:t>
      </w:r>
      <w:r>
        <w:rPr>
          <w:rFonts w:ascii="Arial" w:hAnsi="Arial" w:cs="Arial"/>
          <w:iCs/>
          <w:sz w:val="24"/>
        </w:rPr>
        <w:t>a</w:t>
      </w:r>
      <w:r w:rsidRPr="00676A8A">
        <w:rPr>
          <w:rFonts w:ascii="Arial" w:hAnsi="Arial" w:cs="Arial"/>
          <w:iCs/>
          <w:sz w:val="24"/>
        </w:rPr>
        <w:t xml:space="preserve"> u kojem se revizorski</w:t>
      </w:r>
      <w:r>
        <w:rPr>
          <w:rFonts w:ascii="Arial" w:hAnsi="Arial" w:cs="Arial"/>
          <w:iCs/>
          <w:sz w:val="24"/>
        </w:rPr>
        <w:t xml:space="preserve"> </w:t>
      </w:r>
      <w:r w:rsidRPr="00676A8A">
        <w:rPr>
          <w:rFonts w:ascii="Arial" w:hAnsi="Arial" w:cs="Arial"/>
          <w:iCs/>
          <w:sz w:val="24"/>
        </w:rPr>
        <w:t>izvještaj</w:t>
      </w:r>
      <w:r>
        <w:rPr>
          <w:rFonts w:ascii="Arial" w:hAnsi="Arial" w:cs="Arial"/>
          <w:iCs/>
          <w:sz w:val="24"/>
        </w:rPr>
        <w:t>i</w:t>
      </w:r>
      <w:r w:rsidRPr="00676A8A">
        <w:rPr>
          <w:rFonts w:ascii="Arial" w:hAnsi="Arial" w:cs="Arial"/>
          <w:iCs/>
          <w:sz w:val="24"/>
        </w:rPr>
        <w:t xml:space="preserve"> smatra</w:t>
      </w:r>
      <w:r>
        <w:rPr>
          <w:rFonts w:ascii="Arial" w:hAnsi="Arial" w:cs="Arial"/>
          <w:iCs/>
          <w:sz w:val="24"/>
        </w:rPr>
        <w:t>ju</w:t>
      </w:r>
      <w:r w:rsidRPr="00676A8A">
        <w:rPr>
          <w:rFonts w:ascii="Arial" w:hAnsi="Arial" w:cs="Arial"/>
          <w:iCs/>
          <w:sz w:val="24"/>
        </w:rPr>
        <w:t xml:space="preserve"> </w:t>
      </w:r>
      <w:r>
        <w:rPr>
          <w:rFonts w:ascii="Arial" w:hAnsi="Arial" w:cs="Arial"/>
          <w:iCs/>
          <w:sz w:val="24"/>
        </w:rPr>
        <w:t>relevantnim izvorom informacija, odnosno s</w:t>
      </w:r>
      <w:r w:rsidRPr="00676A8A">
        <w:rPr>
          <w:rFonts w:ascii="Arial" w:hAnsi="Arial" w:cs="Arial"/>
          <w:sz w:val="24"/>
        </w:rPr>
        <w:t>tv</w:t>
      </w:r>
      <w:r>
        <w:rPr>
          <w:rFonts w:ascii="Arial" w:hAnsi="Arial" w:cs="Arial"/>
          <w:sz w:val="24"/>
        </w:rPr>
        <w:t>aranje</w:t>
      </w:r>
      <w:r w:rsidRPr="00676A8A">
        <w:rPr>
          <w:rFonts w:ascii="Arial" w:hAnsi="Arial" w:cs="Arial"/>
          <w:sz w:val="24"/>
        </w:rPr>
        <w:t xml:space="preserve"> okruženj</w:t>
      </w:r>
      <w:r>
        <w:rPr>
          <w:rFonts w:ascii="Arial" w:hAnsi="Arial" w:cs="Arial"/>
          <w:sz w:val="24"/>
        </w:rPr>
        <w:t>a</w:t>
      </w:r>
      <w:r w:rsidRPr="00676A8A">
        <w:rPr>
          <w:rFonts w:ascii="Arial" w:hAnsi="Arial" w:cs="Arial"/>
          <w:sz w:val="24"/>
        </w:rPr>
        <w:t>, putem sprovođenja</w:t>
      </w:r>
      <w:r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>profesionalnih standarda, u kojem zainteresovana i racionalno edukovana javnost smatra</w:t>
      </w:r>
      <w:r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>revizorsk</w:t>
      </w:r>
      <w:r>
        <w:rPr>
          <w:rFonts w:ascii="Arial" w:hAnsi="Arial" w:cs="Arial"/>
          <w:sz w:val="24"/>
        </w:rPr>
        <w:t>e</w:t>
      </w:r>
      <w:r w:rsidRPr="00676A8A">
        <w:rPr>
          <w:rFonts w:ascii="Arial" w:hAnsi="Arial" w:cs="Arial"/>
          <w:sz w:val="24"/>
        </w:rPr>
        <w:t xml:space="preserve"> izvještaj</w:t>
      </w:r>
      <w:r>
        <w:rPr>
          <w:rFonts w:ascii="Arial" w:hAnsi="Arial" w:cs="Arial"/>
          <w:sz w:val="24"/>
        </w:rPr>
        <w:t>e</w:t>
      </w:r>
      <w:r w:rsidRPr="00676A8A">
        <w:rPr>
          <w:rFonts w:ascii="Arial" w:hAnsi="Arial" w:cs="Arial"/>
          <w:sz w:val="24"/>
        </w:rPr>
        <w:t xml:space="preserve"> smislenim i pouzdanim izvorom informacija.</w:t>
      </w:r>
    </w:p>
    <w:p w:rsidR="00676A8A" w:rsidRDefault="00676A8A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6A8A" w:rsidRDefault="00676A8A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Kontrole </w:t>
      </w:r>
      <w:r w:rsidRPr="00676A8A">
        <w:rPr>
          <w:rFonts w:ascii="Arial" w:hAnsi="Arial" w:cs="Arial"/>
          <w:sz w:val="24"/>
        </w:rPr>
        <w:t>pojedinačnih revizija će se fokusirati na dovoljnosti i svrsishodnosti revizorskih</w:t>
      </w:r>
      <w:r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>dokaza prikupljenih u svojstvu potkrepljujućih dokaza za ključne revizorske procjene do kojih</w:t>
      </w:r>
      <w:r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>se došlo prilikom formiranja revizorskog mišljenja</w:t>
      </w:r>
      <w:r w:rsidR="008451F7">
        <w:rPr>
          <w:rFonts w:ascii="Arial" w:hAnsi="Arial" w:cs="Arial"/>
          <w:sz w:val="24"/>
        </w:rPr>
        <w:t>, u skladu sa Međunarodnim standardima revizije</w:t>
      </w:r>
      <w:r w:rsidRPr="00676A8A">
        <w:rPr>
          <w:rFonts w:ascii="Arial" w:hAnsi="Arial" w:cs="Arial"/>
          <w:sz w:val="24"/>
        </w:rPr>
        <w:t>.</w:t>
      </w:r>
    </w:p>
    <w:p w:rsidR="00676A8A" w:rsidRDefault="00676A8A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76A8A" w:rsidRDefault="00676A8A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 w:rsidRPr="00676A8A">
        <w:rPr>
          <w:rFonts w:ascii="Arial" w:hAnsi="Arial" w:cs="Arial"/>
          <w:sz w:val="24"/>
        </w:rPr>
        <w:t>Inicijalna ocjena pojedinačnog revizorskog angažmana će se zasnivati prvenstveno na</w:t>
      </w:r>
      <w:r w:rsidR="00737518"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>dokaz</w:t>
      </w:r>
      <w:r w:rsidR="008451F7">
        <w:rPr>
          <w:rFonts w:ascii="Arial" w:hAnsi="Arial" w:cs="Arial"/>
          <w:sz w:val="24"/>
        </w:rPr>
        <w:t>ima</w:t>
      </w:r>
      <w:r w:rsidRPr="00676A8A">
        <w:rPr>
          <w:rFonts w:ascii="Arial" w:hAnsi="Arial" w:cs="Arial"/>
          <w:sz w:val="24"/>
        </w:rPr>
        <w:t xml:space="preserve"> u revizorskim fajlovima obezbijeđen</w:t>
      </w:r>
      <w:r w:rsidR="008451F7">
        <w:rPr>
          <w:rFonts w:ascii="Arial" w:hAnsi="Arial" w:cs="Arial"/>
          <w:sz w:val="24"/>
        </w:rPr>
        <w:t>i</w:t>
      </w:r>
      <w:r w:rsidRPr="00676A8A">
        <w:rPr>
          <w:rFonts w:ascii="Arial" w:hAnsi="Arial" w:cs="Arial"/>
          <w:sz w:val="24"/>
        </w:rPr>
        <w:t>m od strane</w:t>
      </w:r>
      <w:r w:rsidR="008451F7">
        <w:rPr>
          <w:rFonts w:ascii="Arial" w:hAnsi="Arial" w:cs="Arial"/>
          <w:sz w:val="24"/>
        </w:rPr>
        <w:t xml:space="preserve"> društava, odnosno ovlašćenih </w:t>
      </w:r>
      <w:r w:rsidRPr="00676A8A">
        <w:rPr>
          <w:rFonts w:ascii="Arial" w:hAnsi="Arial" w:cs="Arial"/>
          <w:sz w:val="24"/>
        </w:rPr>
        <w:t>revizora. Međutim, prilikom</w:t>
      </w:r>
      <w:r w:rsidR="00737518"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 xml:space="preserve">izvođenja zaključaka, </w:t>
      </w:r>
      <w:r w:rsidR="00737518">
        <w:rPr>
          <w:rFonts w:ascii="Arial" w:hAnsi="Arial" w:cs="Arial"/>
          <w:sz w:val="24"/>
        </w:rPr>
        <w:t>mogu se</w:t>
      </w:r>
      <w:r w:rsidRPr="00676A8A">
        <w:rPr>
          <w:rFonts w:ascii="Arial" w:hAnsi="Arial" w:cs="Arial"/>
          <w:sz w:val="24"/>
        </w:rPr>
        <w:t>, po potrebi</w:t>
      </w:r>
      <w:r w:rsidR="00737518">
        <w:rPr>
          <w:rFonts w:ascii="Arial" w:hAnsi="Arial" w:cs="Arial"/>
          <w:sz w:val="24"/>
        </w:rPr>
        <w:t xml:space="preserve"> </w:t>
      </w:r>
      <w:r w:rsidR="00737518" w:rsidRPr="00676A8A">
        <w:rPr>
          <w:rFonts w:ascii="Arial" w:hAnsi="Arial" w:cs="Arial"/>
          <w:sz w:val="24"/>
        </w:rPr>
        <w:t>razmatrati</w:t>
      </w:r>
      <w:r w:rsidRPr="00676A8A">
        <w:rPr>
          <w:rFonts w:ascii="Arial" w:hAnsi="Arial" w:cs="Arial"/>
          <w:sz w:val="24"/>
        </w:rPr>
        <w:t>, sva objašnjenja koja je pružio</w:t>
      </w:r>
      <w:r w:rsidR="00737518">
        <w:rPr>
          <w:rFonts w:ascii="Arial" w:hAnsi="Arial" w:cs="Arial"/>
          <w:sz w:val="24"/>
        </w:rPr>
        <w:t xml:space="preserve"> </w:t>
      </w:r>
      <w:r w:rsidRPr="00676A8A">
        <w:rPr>
          <w:rFonts w:ascii="Arial" w:hAnsi="Arial" w:cs="Arial"/>
          <w:sz w:val="24"/>
        </w:rPr>
        <w:t>revizorski tim kao dopunu dokazima u revizorskim fajlovima.</w:t>
      </w:r>
    </w:p>
    <w:p w:rsidR="00737518" w:rsidRDefault="00737518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7518" w:rsidRPr="00A67BE5" w:rsidRDefault="00A67BE5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67BE5">
        <w:rPr>
          <w:rFonts w:ascii="Arial" w:hAnsi="Arial" w:cs="Arial"/>
          <w:b/>
          <w:sz w:val="24"/>
        </w:rPr>
        <w:t xml:space="preserve">Pregled društava </w:t>
      </w:r>
      <w:r w:rsidR="00737518" w:rsidRPr="00A67BE5">
        <w:rPr>
          <w:rFonts w:ascii="Arial" w:hAnsi="Arial" w:cs="Arial"/>
          <w:b/>
          <w:sz w:val="24"/>
        </w:rPr>
        <w:t xml:space="preserve">za reviziju koja </w:t>
      </w:r>
      <w:r w:rsidRPr="00A67BE5">
        <w:rPr>
          <w:rFonts w:ascii="Arial" w:hAnsi="Arial" w:cs="Arial"/>
          <w:b/>
          <w:sz w:val="24"/>
        </w:rPr>
        <w:t>imaju dozvolu za rad Crnoj Gori</w:t>
      </w:r>
    </w:p>
    <w:p w:rsidR="00737518" w:rsidRDefault="00737518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37518" w:rsidRDefault="00737518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 Crnoj Gori dozvolu za rad imaju sledeća društva:</w:t>
      </w:r>
    </w:p>
    <w:p w:rsidR="00737518" w:rsidRDefault="00737518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W w:w="6060" w:type="dxa"/>
        <w:jc w:val="center"/>
        <w:tblLook w:val="04A0" w:firstRow="1" w:lastRow="0" w:firstColumn="1" w:lastColumn="0" w:noHBand="0" w:noVBand="1"/>
      </w:tblPr>
      <w:tblGrid>
        <w:gridCol w:w="1780"/>
        <w:gridCol w:w="4280"/>
      </w:tblGrid>
      <w:tr w:rsidR="00F71A92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71A92" w:rsidRPr="00F71A92" w:rsidRDefault="00F71A92" w:rsidP="00F71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71A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Redni broj</w:t>
            </w:r>
          </w:p>
        </w:tc>
        <w:tc>
          <w:tcPr>
            <w:tcW w:w="4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71A92" w:rsidRPr="00F71A92" w:rsidRDefault="00F71A92" w:rsidP="00F71A9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F71A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Naziv društva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4167E8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67E8" w:rsidRPr="00B526C0" w:rsidRDefault="004167E8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ABC Global Financial Services Group DOO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4167E8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E8" w:rsidRPr="00B526C0" w:rsidRDefault="004167E8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AUDIT COM DOO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4167E8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E8" w:rsidRPr="00B526C0" w:rsidRDefault="004167E8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AUDITING-MONT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4167E8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E8" w:rsidRPr="00B526C0" w:rsidRDefault="004167E8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AUDITOR DOO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4167E8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E8" w:rsidRPr="00B526C0" w:rsidRDefault="004167E8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BDO DOO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4167E8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E8" w:rsidRPr="00B526C0" w:rsidRDefault="004167E8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CATTARO AUDIT DOO</w:t>
            </w:r>
          </w:p>
        </w:tc>
      </w:tr>
      <w:tr w:rsidR="004167E8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67E8" w:rsidRPr="00B526C0" w:rsidRDefault="004167E8" w:rsidP="004167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167E8" w:rsidRPr="00B526C0" w:rsidRDefault="005B4020" w:rsidP="004167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CROWE MNE</w:t>
            </w:r>
          </w:p>
        </w:tc>
      </w:tr>
      <w:tr w:rsidR="005B4020" w:rsidRPr="00F71A92" w:rsidTr="00A17EF6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70B15">
              <w:rPr>
                <w:rFonts w:ascii="Arial" w:eastAsia="Times New Roman" w:hAnsi="Arial" w:cs="Arial"/>
                <w:sz w:val="20"/>
                <w:szCs w:val="20"/>
              </w:rPr>
              <w:t>CERTITUDO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DELOITTE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ERC SYSTEM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ERNST &amp; YOUNG MONTENEGRO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EUROREV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HLB MONT AUDIT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M.S.MIHALJEVIĆ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MNA MONTENEGRO AUDIT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MV KONSALT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NORMA FIX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OMEGA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PRICEWATERHOUSE </w:t>
            </w:r>
            <w:r w:rsidRPr="00B526C0">
              <w:rPr>
                <w:rFonts w:ascii="Arial" w:eastAsia="Times New Roman" w:hAnsi="Arial" w:cs="Arial"/>
                <w:sz w:val="20"/>
                <w:szCs w:val="20"/>
              </w:rPr>
              <w:t xml:space="preserve">COOPERS DOO 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R&amp;P AUDITING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RACIO-MONT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RAČUNOVODSTVO I REVIZIJA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REVIKO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SPIN OFF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TPA AUDIT TAX &amp; ACCOUNTING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VM KOD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XL AUDIT DOO</w:t>
            </w:r>
          </w:p>
        </w:tc>
      </w:tr>
      <w:tr w:rsidR="005B4020" w:rsidRPr="00F71A92" w:rsidTr="005B4020">
        <w:trPr>
          <w:trHeight w:val="300"/>
          <w:jc w:val="center"/>
        </w:trPr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4020" w:rsidRPr="00B526C0" w:rsidRDefault="005B4020" w:rsidP="005B40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B4020" w:rsidRPr="00B526C0" w:rsidRDefault="005B4020" w:rsidP="005B402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526C0">
              <w:rPr>
                <w:rFonts w:ascii="Arial" w:eastAsia="Times New Roman" w:hAnsi="Arial" w:cs="Arial"/>
                <w:sz w:val="20"/>
                <w:szCs w:val="20"/>
              </w:rPr>
              <w:t>ZIREX-REVIZOR DOO</w:t>
            </w:r>
          </w:p>
        </w:tc>
      </w:tr>
    </w:tbl>
    <w:p w:rsidR="00F71A92" w:rsidRDefault="00F71A92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71A92" w:rsidRDefault="00737518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/>
      </w:r>
    </w:p>
    <w:p w:rsidR="00F71A92" w:rsidRDefault="00F71A92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8451F7" w:rsidRDefault="008451F7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737518" w:rsidRPr="00A67BE5" w:rsidRDefault="00A67BE5" w:rsidP="00676A8A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A67BE5">
        <w:rPr>
          <w:rFonts w:ascii="Arial" w:hAnsi="Arial" w:cs="Arial"/>
          <w:b/>
          <w:sz w:val="24"/>
        </w:rPr>
        <w:lastRenderedPageBreak/>
        <w:t>Način odabira društava za reviziju za kontrolu</w:t>
      </w:r>
    </w:p>
    <w:p w:rsidR="00A67BE5" w:rsidRDefault="00A67BE5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242DE" w:rsidRDefault="00737518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Analizom upitnika o</w:t>
      </w:r>
      <w:r w:rsidR="007242DE">
        <w:rPr>
          <w:rFonts w:ascii="Arial" w:hAnsi="Arial" w:cs="Arial"/>
          <w:sz w:val="24"/>
        </w:rPr>
        <w:t>d strane Ministarstva finansija</w:t>
      </w:r>
      <w:r w:rsidR="000B1C59">
        <w:rPr>
          <w:rFonts w:ascii="Arial" w:hAnsi="Arial" w:cs="Arial"/>
          <w:sz w:val="24"/>
        </w:rPr>
        <w:t xml:space="preserve"> i socijalnog staranja</w:t>
      </w:r>
      <w:r w:rsidR="007242DE">
        <w:rPr>
          <w:rFonts w:ascii="Arial" w:hAnsi="Arial" w:cs="Arial"/>
          <w:sz w:val="24"/>
        </w:rPr>
        <w:t>, uz podršku Centra za reform</w:t>
      </w:r>
      <w:r w:rsidR="00DB1170">
        <w:rPr>
          <w:rFonts w:ascii="Arial" w:hAnsi="Arial" w:cs="Arial"/>
          <w:sz w:val="24"/>
        </w:rPr>
        <w:t>u</w:t>
      </w:r>
      <w:r w:rsidR="007242DE">
        <w:rPr>
          <w:rFonts w:ascii="Arial" w:hAnsi="Arial" w:cs="Arial"/>
          <w:sz w:val="24"/>
        </w:rPr>
        <w:t xml:space="preserve"> finansijskog izvještavanja razvili smo </w:t>
      </w:r>
      <w:r w:rsidR="00036C60">
        <w:rPr>
          <w:rFonts w:ascii="Arial" w:hAnsi="Arial" w:cs="Arial"/>
          <w:sz w:val="24"/>
        </w:rPr>
        <w:t xml:space="preserve">sledeće </w:t>
      </w:r>
      <w:r w:rsidR="007242DE">
        <w:rPr>
          <w:rFonts w:ascii="Arial" w:hAnsi="Arial" w:cs="Arial"/>
          <w:sz w:val="24"/>
        </w:rPr>
        <w:t xml:space="preserve">indikatore </w:t>
      </w:r>
      <w:r w:rsidR="004C7630">
        <w:rPr>
          <w:rFonts w:ascii="Arial" w:hAnsi="Arial" w:cs="Arial"/>
          <w:sz w:val="24"/>
        </w:rPr>
        <w:t>kako bi odredili koja društva za reviziju trebaju biti kontrolisana i kojim redosledom</w:t>
      </w:r>
      <w:r w:rsidR="007242DE">
        <w:rPr>
          <w:rFonts w:ascii="Arial" w:hAnsi="Arial" w:cs="Arial"/>
          <w:sz w:val="24"/>
        </w:rPr>
        <w:t>:</w:t>
      </w:r>
    </w:p>
    <w:p w:rsidR="00565A66" w:rsidRDefault="00565A66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439EB" w:rsidRDefault="00E70B15" w:rsidP="00565A6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Nije dostavljen</w:t>
      </w:r>
      <w:r w:rsidR="00F439EB">
        <w:rPr>
          <w:rFonts w:ascii="Arial" w:hAnsi="Arial" w:cs="Arial"/>
          <w:sz w:val="24"/>
        </w:rPr>
        <w:t xml:space="preserve"> izvještaj o transparentnosti i/ili upitnik o revizorskim angažmanima;</w:t>
      </w:r>
    </w:p>
    <w:p w:rsidR="00565A66" w:rsidRPr="00565A66" w:rsidRDefault="00565A66" w:rsidP="00565A6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65A66">
        <w:rPr>
          <w:rFonts w:ascii="Arial" w:hAnsi="Arial" w:cs="Arial"/>
          <w:sz w:val="24"/>
        </w:rPr>
        <w:t>Broj revizorskih angažmana društva za reviziju u odnosu na ukupan broj revizorskih angažmana svih duštava u Crnoj Gori</w:t>
      </w:r>
      <w:r w:rsidR="00F439EB">
        <w:rPr>
          <w:rFonts w:ascii="Arial" w:hAnsi="Arial" w:cs="Arial"/>
          <w:sz w:val="24"/>
        </w:rPr>
        <w:t>;</w:t>
      </w:r>
    </w:p>
    <w:p w:rsidR="00565A66" w:rsidRDefault="00565A66" w:rsidP="00565A6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65A66">
        <w:rPr>
          <w:rFonts w:ascii="Arial" w:hAnsi="Arial" w:cs="Arial"/>
          <w:sz w:val="24"/>
        </w:rPr>
        <w:t>Broj revizorskih angažmana u odnosu na broj osoblja u reviziji</w:t>
      </w:r>
      <w:r w:rsidR="00F439EB">
        <w:rPr>
          <w:rFonts w:ascii="Arial" w:hAnsi="Arial" w:cs="Arial"/>
          <w:sz w:val="24"/>
        </w:rPr>
        <w:t>;</w:t>
      </w:r>
    </w:p>
    <w:p w:rsidR="00565A66" w:rsidRPr="00565A66" w:rsidRDefault="00565A66" w:rsidP="00565A66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565A66">
        <w:rPr>
          <w:rFonts w:ascii="Arial" w:hAnsi="Arial" w:cs="Arial"/>
          <w:sz w:val="24"/>
        </w:rPr>
        <w:t>Indikator za „naknadu</w:t>
      </w:r>
      <w:r w:rsidR="00F439EB">
        <w:rPr>
          <w:rFonts w:ascii="Arial" w:hAnsi="Arial" w:cs="Arial"/>
          <w:sz w:val="24"/>
        </w:rPr>
        <w:t xml:space="preserve"> po </w:t>
      </w:r>
      <w:proofErr w:type="gramStart"/>
      <w:r w:rsidR="00F439EB">
        <w:rPr>
          <w:rFonts w:ascii="Arial" w:hAnsi="Arial" w:cs="Arial"/>
          <w:sz w:val="24"/>
        </w:rPr>
        <w:t>satu“</w:t>
      </w:r>
      <w:proofErr w:type="gramEnd"/>
      <w:r w:rsidR="00F439EB">
        <w:rPr>
          <w:rFonts w:ascii="Arial" w:hAnsi="Arial" w:cs="Arial"/>
          <w:sz w:val="24"/>
        </w:rPr>
        <w:t>;</w:t>
      </w:r>
    </w:p>
    <w:p w:rsidR="00565A66" w:rsidRPr="00565A66" w:rsidRDefault="00565A66" w:rsidP="00565A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</w:rPr>
      </w:pPr>
      <w:r w:rsidRPr="00565A66">
        <w:rPr>
          <w:rFonts w:ascii="Arial" w:hAnsi="Arial" w:cs="Arial"/>
          <w:sz w:val="24"/>
        </w:rPr>
        <w:t>Broj revizija subjekata od javnog interesa</w:t>
      </w:r>
      <w:r w:rsidR="00F439EB">
        <w:rPr>
          <w:rFonts w:ascii="Arial" w:hAnsi="Arial" w:cs="Arial"/>
          <w:sz w:val="24"/>
        </w:rPr>
        <w:t>;</w:t>
      </w:r>
    </w:p>
    <w:p w:rsidR="00565A66" w:rsidRDefault="00565A66" w:rsidP="00F439E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</w:rPr>
      </w:pPr>
      <w:r w:rsidRPr="00565A66">
        <w:rPr>
          <w:rFonts w:ascii="Arial" w:hAnsi="Arial" w:cs="Arial"/>
          <w:sz w:val="24"/>
        </w:rPr>
        <w:t>Indikator koji se odnosi na broj časova partnera u reviziji</w:t>
      </w:r>
      <w:r w:rsidR="00F439EB">
        <w:rPr>
          <w:rFonts w:ascii="Arial" w:hAnsi="Arial" w:cs="Arial"/>
          <w:sz w:val="24"/>
        </w:rPr>
        <w:t xml:space="preserve"> sa ukopnim časovima angažmana;</w:t>
      </w:r>
    </w:p>
    <w:p w:rsidR="00565A66" w:rsidRPr="00565A66" w:rsidRDefault="00565A66" w:rsidP="00565A66">
      <w:pPr>
        <w:pStyle w:val="ListParagraph"/>
        <w:numPr>
          <w:ilvl w:val="0"/>
          <w:numId w:val="19"/>
        </w:numPr>
        <w:rPr>
          <w:rFonts w:ascii="Arial" w:hAnsi="Arial" w:cs="Arial"/>
          <w:sz w:val="24"/>
        </w:rPr>
      </w:pPr>
      <w:r w:rsidRPr="00565A66">
        <w:rPr>
          <w:rFonts w:ascii="Arial" w:hAnsi="Arial" w:cs="Arial"/>
          <w:sz w:val="24"/>
        </w:rPr>
        <w:t xml:space="preserve">drugi faktori kao npr: </w:t>
      </w:r>
    </w:p>
    <w:p w:rsidR="00565A66" w:rsidRDefault="00565A66" w:rsidP="00565A66">
      <w:pPr>
        <w:pStyle w:val="ListParagraph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broj i vrste revizorskih mišljenja izdatih od strane društava za reviziju;</w:t>
      </w:r>
    </w:p>
    <w:p w:rsidR="00565A66" w:rsidRPr="008451F7" w:rsidRDefault="00565A66" w:rsidP="008451F7">
      <w:pPr>
        <w:pStyle w:val="ListParagraph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ostale dostupne informacije.</w:t>
      </w:r>
    </w:p>
    <w:p w:rsidR="00C53828" w:rsidRDefault="00C53828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34B52" w:rsidRDefault="00E70B15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Sva </w:t>
      </w:r>
      <w:r w:rsidR="00C53828">
        <w:rPr>
          <w:rFonts w:ascii="Arial" w:hAnsi="Arial" w:cs="Arial"/>
          <w:sz w:val="24"/>
        </w:rPr>
        <w:t xml:space="preserve">aktivna </w:t>
      </w:r>
      <w:r>
        <w:rPr>
          <w:rFonts w:ascii="Arial" w:hAnsi="Arial" w:cs="Arial"/>
          <w:sz w:val="24"/>
        </w:rPr>
        <w:t xml:space="preserve">društva za revizju su dostavila izvještaj o transparentnosti i upitnik o revizorskim angažmanima. </w:t>
      </w:r>
    </w:p>
    <w:p w:rsidR="00C53828" w:rsidRDefault="00C53828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3828" w:rsidRDefault="0074703A" w:rsidP="00C53828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GB"/>
        </w:rPr>
        <w:drawing>
          <wp:inline distT="0" distB="0" distL="0" distR="0">
            <wp:extent cx="4810125" cy="2162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upitnici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057" b="23567"/>
                    <a:stretch/>
                  </pic:blipFill>
                  <pic:spPr bwMode="auto">
                    <a:xfrm>
                      <a:off x="0" y="0"/>
                      <a:ext cx="4856367" cy="2182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70B15" w:rsidRDefault="00E70B15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53828" w:rsidRDefault="00C53828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Društvo za reviziju XL Audit je 16.01.2020. godine obavijestilo Ministarstvo finansija da prestaje sa obavljanjem revizorskih poslova</w:t>
      </w:r>
      <w:r w:rsidR="00C46559">
        <w:rPr>
          <w:rFonts w:ascii="Arial" w:hAnsi="Arial" w:cs="Arial"/>
          <w:sz w:val="24"/>
        </w:rPr>
        <w:t>, međutim nije dostavilo zahtjev za oduzimanje dozvole za rad</w:t>
      </w:r>
      <w:r>
        <w:rPr>
          <w:rFonts w:ascii="Arial" w:hAnsi="Arial" w:cs="Arial"/>
          <w:sz w:val="24"/>
        </w:rPr>
        <w:t xml:space="preserve">, dok za društvo za reviziju </w:t>
      </w:r>
      <w:r w:rsidRPr="00C53828">
        <w:rPr>
          <w:rFonts w:ascii="Arial" w:hAnsi="Arial" w:cs="Arial"/>
          <w:sz w:val="24"/>
        </w:rPr>
        <w:t>AUDITING-MONT</w:t>
      </w:r>
      <w:r>
        <w:rPr>
          <w:rFonts w:ascii="Arial" w:hAnsi="Arial" w:cs="Arial"/>
          <w:sz w:val="24"/>
        </w:rPr>
        <w:t xml:space="preserve"> upitnik nije dostavljen zbog smrti ovlašćenog revizora u društvu.</w:t>
      </w:r>
    </w:p>
    <w:p w:rsidR="00C53828" w:rsidRDefault="00C53828" w:rsidP="00176135">
      <w:pPr>
        <w:tabs>
          <w:tab w:val="left" w:pos="6855"/>
        </w:tabs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176135">
        <w:rPr>
          <w:rFonts w:ascii="Arial" w:hAnsi="Arial" w:cs="Arial"/>
          <w:sz w:val="24"/>
        </w:rPr>
        <w:tab/>
      </w:r>
    </w:p>
    <w:p w:rsidR="00C52775" w:rsidRPr="00C53828" w:rsidRDefault="00C52775" w:rsidP="00C5382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C53828">
        <w:rPr>
          <w:rFonts w:ascii="Arial" w:hAnsi="Arial" w:cs="Arial"/>
          <w:b/>
          <w:sz w:val="24"/>
        </w:rPr>
        <w:t>Broj revizorskih angažmana društva za reviziju u odnosu na ukupan broj revizorskih angažmana sv</w:t>
      </w:r>
      <w:r w:rsidR="00DB1170" w:rsidRPr="00C53828">
        <w:rPr>
          <w:rFonts w:ascii="Arial" w:hAnsi="Arial" w:cs="Arial"/>
          <w:b/>
          <w:sz w:val="24"/>
        </w:rPr>
        <w:t>i</w:t>
      </w:r>
      <w:r w:rsidR="000B1C59">
        <w:rPr>
          <w:rFonts w:ascii="Arial" w:hAnsi="Arial" w:cs="Arial"/>
          <w:b/>
          <w:sz w:val="24"/>
        </w:rPr>
        <w:t>h duštava u Crnoj Gori</w:t>
      </w:r>
    </w:p>
    <w:p w:rsidR="001572EF" w:rsidRDefault="001572EF" w:rsidP="00565A66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572EF" w:rsidRDefault="001572EF" w:rsidP="001572E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Utvrđeno je da za društva koja su imala više revizorskih angažmana postoji i veći rizik da nijesu ispoštovana sva </w:t>
      </w:r>
      <w:r w:rsidRPr="00DB1170">
        <w:rPr>
          <w:rFonts w:ascii="Arial" w:hAnsi="Arial" w:cs="Arial"/>
          <w:sz w:val="24"/>
        </w:rPr>
        <w:t>pravi</w:t>
      </w:r>
      <w:r w:rsidR="0074703A">
        <w:rPr>
          <w:rFonts w:ascii="Arial" w:hAnsi="Arial" w:cs="Arial"/>
          <w:sz w:val="24"/>
        </w:rPr>
        <w:t>l</w:t>
      </w:r>
      <w:r w:rsidRPr="00DB1170">
        <w:rPr>
          <w:rFonts w:ascii="Arial" w:hAnsi="Arial" w:cs="Arial"/>
          <w:sz w:val="24"/>
        </w:rPr>
        <w:t>a revizorske struke</w:t>
      </w:r>
      <w:r>
        <w:rPr>
          <w:rFonts w:ascii="Arial" w:hAnsi="Arial" w:cs="Arial"/>
          <w:sz w:val="24"/>
        </w:rPr>
        <w:t xml:space="preserve">. Prosječan broj revizija koje su izvršila društva za reviziju je </w:t>
      </w:r>
      <w:r w:rsidR="005B4020">
        <w:rPr>
          <w:rFonts w:ascii="Arial" w:hAnsi="Arial" w:cs="Arial"/>
          <w:sz w:val="24"/>
        </w:rPr>
        <w:t>21</w:t>
      </w:r>
      <w:r>
        <w:rPr>
          <w:rFonts w:ascii="Arial" w:hAnsi="Arial" w:cs="Arial"/>
          <w:sz w:val="24"/>
        </w:rPr>
        <w:t xml:space="preserve">. Društva koja su izvršila više od ovog iznosa ulaze u rizičniju grupu, odnosno </w:t>
      </w:r>
      <w:r w:rsidR="00D938C8">
        <w:rPr>
          <w:rFonts w:ascii="Arial" w:hAnsi="Arial" w:cs="Arial"/>
          <w:sz w:val="24"/>
        </w:rPr>
        <w:t>12</w:t>
      </w:r>
      <w:r>
        <w:rPr>
          <w:rFonts w:ascii="Arial" w:hAnsi="Arial" w:cs="Arial"/>
          <w:sz w:val="24"/>
        </w:rPr>
        <w:t xml:space="preserve"> društava je imalo više </w:t>
      </w:r>
      <w:r w:rsidR="00AB0B63">
        <w:rPr>
          <w:rFonts w:ascii="Arial" w:hAnsi="Arial" w:cs="Arial"/>
          <w:sz w:val="24"/>
        </w:rPr>
        <w:t xml:space="preserve">od </w:t>
      </w:r>
      <w:r w:rsidR="005B4020">
        <w:rPr>
          <w:rFonts w:ascii="Arial" w:hAnsi="Arial" w:cs="Arial"/>
          <w:sz w:val="24"/>
        </w:rPr>
        <w:t>21</w:t>
      </w:r>
      <w:r>
        <w:rPr>
          <w:rFonts w:ascii="Arial" w:hAnsi="Arial" w:cs="Arial"/>
          <w:sz w:val="24"/>
        </w:rPr>
        <w:t xml:space="preserve"> angažmana u toku godine.</w:t>
      </w:r>
    </w:p>
    <w:p w:rsidR="001572EF" w:rsidRPr="00565A66" w:rsidRDefault="001572EF" w:rsidP="00565A66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34B52" w:rsidRDefault="00134B52" w:rsidP="00057EDF">
      <w:pPr>
        <w:spacing w:after="0" w:line="240" w:lineRule="auto"/>
        <w:ind w:left="709"/>
        <w:jc w:val="both"/>
        <w:rPr>
          <w:rFonts w:ascii="Arial" w:hAnsi="Arial" w:cs="Arial"/>
          <w:sz w:val="24"/>
        </w:rPr>
      </w:pPr>
    </w:p>
    <w:p w:rsidR="00057EDF" w:rsidRPr="00C53828" w:rsidRDefault="00A67BE5" w:rsidP="00C5382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C53828">
        <w:rPr>
          <w:rFonts w:ascii="Arial" w:hAnsi="Arial" w:cs="Arial"/>
          <w:b/>
          <w:sz w:val="24"/>
        </w:rPr>
        <w:lastRenderedPageBreak/>
        <w:t>Broj revizorskih angažmana u odnosu na broj osoblja u reviziji</w:t>
      </w:r>
    </w:p>
    <w:p w:rsidR="001572EF" w:rsidRDefault="001572EF" w:rsidP="00565A66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572EF" w:rsidRPr="00F439EB" w:rsidRDefault="001572EF" w:rsidP="001572EF">
      <w:pPr>
        <w:spacing w:after="0" w:line="240" w:lineRule="auto"/>
        <w:jc w:val="both"/>
        <w:rPr>
          <w:rFonts w:ascii="Arial" w:hAnsi="Arial" w:cs="Arial"/>
          <w:sz w:val="24"/>
        </w:rPr>
      </w:pPr>
      <w:r w:rsidRPr="00F439EB">
        <w:rPr>
          <w:rFonts w:ascii="Arial" w:hAnsi="Arial" w:cs="Arial"/>
          <w:sz w:val="24"/>
        </w:rPr>
        <w:t xml:space="preserve">Prosječna vijednost ovog indikatora je </w:t>
      </w:r>
      <w:r w:rsidR="00C53828">
        <w:rPr>
          <w:rFonts w:ascii="Arial" w:hAnsi="Arial" w:cs="Arial"/>
          <w:sz w:val="24"/>
        </w:rPr>
        <w:t>4</w:t>
      </w:r>
      <w:r w:rsidR="00C46559">
        <w:rPr>
          <w:rFonts w:ascii="Arial" w:hAnsi="Arial" w:cs="Arial"/>
          <w:sz w:val="24"/>
        </w:rPr>
        <w:t>,05</w:t>
      </w:r>
      <w:r w:rsidRPr="00F439EB">
        <w:rPr>
          <w:rFonts w:ascii="Arial" w:hAnsi="Arial" w:cs="Arial"/>
          <w:sz w:val="24"/>
        </w:rPr>
        <w:t xml:space="preserve">. Sva društva </w:t>
      </w:r>
      <w:r w:rsidR="00A42DE1">
        <w:rPr>
          <w:rFonts w:ascii="Arial" w:hAnsi="Arial" w:cs="Arial"/>
          <w:sz w:val="24"/>
        </w:rPr>
        <w:t>(</w:t>
      </w:r>
      <w:r w:rsidR="00A42DE1" w:rsidRPr="008451F7">
        <w:rPr>
          <w:rFonts w:ascii="Arial" w:hAnsi="Arial" w:cs="Arial"/>
          <w:sz w:val="24"/>
        </w:rPr>
        <w:t>njih 10</w:t>
      </w:r>
      <w:r w:rsidR="00A42DE1">
        <w:rPr>
          <w:rFonts w:ascii="Arial" w:hAnsi="Arial" w:cs="Arial"/>
          <w:sz w:val="24"/>
        </w:rPr>
        <w:t xml:space="preserve">) </w:t>
      </w:r>
      <w:r w:rsidRPr="00F439EB">
        <w:rPr>
          <w:rFonts w:ascii="Arial" w:hAnsi="Arial" w:cs="Arial"/>
          <w:sz w:val="24"/>
        </w:rPr>
        <w:t xml:space="preserve">koja su imala indikator u iznosu većem od </w:t>
      </w:r>
      <w:r w:rsidR="00C46559">
        <w:rPr>
          <w:rFonts w:ascii="Arial" w:hAnsi="Arial" w:cs="Arial"/>
          <w:sz w:val="24"/>
        </w:rPr>
        <w:t>4</w:t>
      </w:r>
      <w:r w:rsidR="00A42DE1">
        <w:rPr>
          <w:rFonts w:ascii="Arial" w:hAnsi="Arial" w:cs="Arial"/>
          <w:sz w:val="24"/>
        </w:rPr>
        <w:t>,05</w:t>
      </w:r>
      <w:r w:rsidRPr="00F439EB">
        <w:rPr>
          <w:rFonts w:ascii="Arial" w:hAnsi="Arial" w:cs="Arial"/>
          <w:sz w:val="24"/>
        </w:rPr>
        <w:t xml:space="preserve"> ulaze u zonu rizika da ne mogu adekvatno odgovoriti na sve zahtjeve MSR i relevantne etičke zahtjeve, sa postojećim brojem angažovanog osoblja. </w:t>
      </w:r>
    </w:p>
    <w:p w:rsidR="00A42DE1" w:rsidRDefault="00A42DE1" w:rsidP="00F439EB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4143FA" w:rsidRPr="00C53828" w:rsidRDefault="000B1C59" w:rsidP="00C5382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Indikator za „naknadu po </w:t>
      </w:r>
      <w:proofErr w:type="gramStart"/>
      <w:r>
        <w:rPr>
          <w:rFonts w:ascii="Arial" w:hAnsi="Arial" w:cs="Arial"/>
          <w:b/>
          <w:sz w:val="24"/>
        </w:rPr>
        <w:t>satu“</w:t>
      </w:r>
      <w:proofErr w:type="gramEnd"/>
    </w:p>
    <w:p w:rsidR="004143FA" w:rsidRDefault="004143FA" w:rsidP="004143FA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1D3EAF" w:rsidRPr="00F439EB" w:rsidRDefault="007242DE" w:rsidP="00F439EB">
      <w:pPr>
        <w:spacing w:after="0" w:line="240" w:lineRule="auto"/>
        <w:jc w:val="both"/>
        <w:rPr>
          <w:rFonts w:ascii="Arial" w:hAnsi="Arial" w:cs="Arial"/>
          <w:sz w:val="24"/>
        </w:rPr>
      </w:pPr>
      <w:r w:rsidRPr="00F439EB">
        <w:rPr>
          <w:rFonts w:ascii="Arial" w:hAnsi="Arial" w:cs="Arial"/>
          <w:sz w:val="24"/>
        </w:rPr>
        <w:t>Ovaj indik</w:t>
      </w:r>
      <w:r w:rsidR="001D3EAF" w:rsidRPr="00F439EB">
        <w:rPr>
          <w:rFonts w:ascii="Arial" w:hAnsi="Arial" w:cs="Arial"/>
          <w:sz w:val="24"/>
        </w:rPr>
        <w:t>ator</w:t>
      </w:r>
      <w:r w:rsidRPr="00F439EB">
        <w:rPr>
          <w:rFonts w:ascii="Arial" w:hAnsi="Arial" w:cs="Arial"/>
          <w:sz w:val="24"/>
        </w:rPr>
        <w:t xml:space="preserve"> ukazuje na to da</w:t>
      </w:r>
      <w:r w:rsidR="001D3EAF" w:rsidRPr="00F439EB">
        <w:rPr>
          <w:rFonts w:ascii="Arial" w:hAnsi="Arial" w:cs="Arial"/>
          <w:sz w:val="24"/>
        </w:rPr>
        <w:t xml:space="preserve"> </w:t>
      </w:r>
      <w:r w:rsidRPr="00F439EB">
        <w:rPr>
          <w:rFonts w:ascii="Arial" w:hAnsi="Arial" w:cs="Arial"/>
          <w:sz w:val="24"/>
        </w:rPr>
        <w:t>li je bilo rea</w:t>
      </w:r>
      <w:r w:rsidR="001D3EAF" w:rsidRPr="00F439EB">
        <w:rPr>
          <w:rFonts w:ascii="Arial" w:hAnsi="Arial" w:cs="Arial"/>
          <w:sz w:val="24"/>
        </w:rPr>
        <w:t>l</w:t>
      </w:r>
      <w:r w:rsidRPr="00F439EB">
        <w:rPr>
          <w:rFonts w:ascii="Arial" w:hAnsi="Arial" w:cs="Arial"/>
          <w:sz w:val="24"/>
        </w:rPr>
        <w:t xml:space="preserve">no da se </w:t>
      </w:r>
      <w:r w:rsidR="001D3EAF" w:rsidRPr="00F439EB">
        <w:rPr>
          <w:rFonts w:ascii="Arial" w:hAnsi="Arial" w:cs="Arial"/>
          <w:sz w:val="24"/>
        </w:rPr>
        <w:t>adekvatno sprovede revizorski angažman</w:t>
      </w:r>
      <w:r w:rsidRPr="00F439EB">
        <w:rPr>
          <w:rFonts w:ascii="Arial" w:hAnsi="Arial" w:cs="Arial"/>
          <w:sz w:val="24"/>
        </w:rPr>
        <w:t xml:space="preserve"> sa resurs</w:t>
      </w:r>
      <w:r w:rsidR="001D3EAF" w:rsidRPr="00F439EB">
        <w:rPr>
          <w:rFonts w:ascii="Arial" w:hAnsi="Arial" w:cs="Arial"/>
          <w:sz w:val="24"/>
        </w:rPr>
        <w:t>ima</w:t>
      </w:r>
      <w:r w:rsidRPr="00F439EB">
        <w:rPr>
          <w:rFonts w:ascii="Arial" w:hAnsi="Arial" w:cs="Arial"/>
          <w:sz w:val="24"/>
        </w:rPr>
        <w:t xml:space="preserve"> koje su bili na rapolaganju. </w:t>
      </w:r>
      <w:r w:rsidR="001D3EAF" w:rsidRPr="00F439EB">
        <w:rPr>
          <w:rFonts w:ascii="Arial" w:hAnsi="Arial" w:cs="Arial"/>
          <w:sz w:val="24"/>
        </w:rPr>
        <w:t>Indikator</w:t>
      </w:r>
      <w:r w:rsidRPr="00F439EB">
        <w:rPr>
          <w:rFonts w:ascii="Arial" w:hAnsi="Arial" w:cs="Arial"/>
          <w:sz w:val="24"/>
        </w:rPr>
        <w:t xml:space="preserve"> ukazuje na mogu</w:t>
      </w:r>
      <w:r w:rsidR="001D3EAF" w:rsidRPr="00F439EB">
        <w:rPr>
          <w:rFonts w:ascii="Arial" w:hAnsi="Arial" w:cs="Arial"/>
          <w:sz w:val="24"/>
        </w:rPr>
        <w:t>ć</w:t>
      </w:r>
      <w:r w:rsidRPr="00F439EB">
        <w:rPr>
          <w:rFonts w:ascii="Arial" w:hAnsi="Arial" w:cs="Arial"/>
          <w:sz w:val="24"/>
        </w:rPr>
        <w:t xml:space="preserve">i problem </w:t>
      </w:r>
      <w:r w:rsidR="001D3EAF" w:rsidRPr="00F439EB">
        <w:rPr>
          <w:rFonts w:ascii="Arial" w:hAnsi="Arial" w:cs="Arial"/>
          <w:sz w:val="24"/>
        </w:rPr>
        <w:t>ukoliko je naknada po satu ili preniska ili previsoka u odnosnu na prosječnu cijenu revizije po satu (</w:t>
      </w:r>
      <w:r w:rsidR="005B4020">
        <w:rPr>
          <w:rFonts w:ascii="Arial" w:hAnsi="Arial" w:cs="Arial"/>
          <w:sz w:val="24"/>
        </w:rPr>
        <w:t>32</w:t>
      </w:r>
      <w:r w:rsidR="00C46559">
        <w:rPr>
          <w:rFonts w:ascii="Arial" w:hAnsi="Arial" w:cs="Arial"/>
          <w:sz w:val="24"/>
        </w:rPr>
        <w:t xml:space="preserve"> €</w:t>
      </w:r>
      <w:r w:rsidR="001D3EAF" w:rsidRPr="00F439EB">
        <w:rPr>
          <w:rFonts w:ascii="Arial" w:hAnsi="Arial" w:cs="Arial"/>
          <w:sz w:val="24"/>
        </w:rPr>
        <w:t>)</w:t>
      </w:r>
      <w:r w:rsidRPr="00F439EB">
        <w:rPr>
          <w:rFonts w:ascii="Arial" w:hAnsi="Arial" w:cs="Arial"/>
          <w:sz w:val="24"/>
        </w:rPr>
        <w:t xml:space="preserve">. </w:t>
      </w:r>
      <w:r w:rsidR="004C7630" w:rsidRPr="00F439EB">
        <w:rPr>
          <w:rFonts w:ascii="Arial" w:hAnsi="Arial" w:cs="Arial"/>
          <w:sz w:val="24"/>
        </w:rPr>
        <w:t>U obzir su uzete i specifičnosti pojedinih društava koje većinom rade revizije subjekata od javnog interesa.</w:t>
      </w:r>
    </w:p>
    <w:p w:rsidR="00D32105" w:rsidRDefault="00D32105" w:rsidP="00F439EB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DB39DE" w:rsidRPr="00C53828" w:rsidRDefault="00DB39DE" w:rsidP="00C5382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C53828">
        <w:rPr>
          <w:rFonts w:ascii="Arial" w:hAnsi="Arial" w:cs="Arial"/>
          <w:b/>
          <w:sz w:val="24"/>
        </w:rPr>
        <w:t>Broj revizija subjekata od javnog interesa</w:t>
      </w:r>
    </w:p>
    <w:p w:rsidR="001572EF" w:rsidRDefault="001572EF" w:rsidP="00F439EB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:rsidR="001572EF" w:rsidRPr="001572EF" w:rsidRDefault="001572EF" w:rsidP="001572EF">
      <w:pPr>
        <w:spacing w:after="0" w:line="240" w:lineRule="auto"/>
        <w:jc w:val="both"/>
        <w:rPr>
          <w:rFonts w:ascii="Arial" w:hAnsi="Arial" w:cs="Arial"/>
          <w:sz w:val="24"/>
        </w:rPr>
      </w:pPr>
      <w:r w:rsidRPr="001572EF">
        <w:rPr>
          <w:rFonts w:ascii="Arial" w:hAnsi="Arial" w:cs="Arial"/>
          <w:sz w:val="24"/>
        </w:rPr>
        <w:t>S obzirom da su revizije subjekata od javnog interesa kompleksnije u odnosu na revizije drugih pravnih lica postoji veći rizik da nijesu ispoštovana sva pravila revizorske struke kod društava za reviziju kojima su klijenti bili dominantno subjekti od javnog interesa.</w:t>
      </w:r>
    </w:p>
    <w:p w:rsidR="00DB39DE" w:rsidRDefault="00DB39DE" w:rsidP="00134B52">
      <w:pPr>
        <w:pStyle w:val="ListParagraph"/>
        <w:spacing w:after="0" w:line="240" w:lineRule="auto"/>
        <w:jc w:val="both"/>
        <w:rPr>
          <w:rFonts w:ascii="Arial" w:hAnsi="Arial" w:cs="Arial"/>
          <w:sz w:val="24"/>
        </w:rPr>
      </w:pPr>
    </w:p>
    <w:p w:rsidR="004143FA" w:rsidRPr="00C53828" w:rsidRDefault="00057EDF" w:rsidP="00C53828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lang w:val="en-US"/>
        </w:rPr>
      </w:pPr>
      <w:r w:rsidRPr="00C53828">
        <w:rPr>
          <w:rFonts w:ascii="Arial" w:hAnsi="Arial" w:cs="Arial"/>
          <w:b/>
          <w:sz w:val="24"/>
        </w:rPr>
        <w:t>I</w:t>
      </w:r>
      <w:r w:rsidR="001D3EAF" w:rsidRPr="00C53828">
        <w:rPr>
          <w:rFonts w:ascii="Arial" w:hAnsi="Arial" w:cs="Arial"/>
          <w:b/>
          <w:sz w:val="24"/>
        </w:rPr>
        <w:t>ndik</w:t>
      </w:r>
      <w:r w:rsidR="007242DE" w:rsidRPr="00C53828">
        <w:rPr>
          <w:rFonts w:ascii="Arial" w:hAnsi="Arial" w:cs="Arial"/>
          <w:b/>
          <w:sz w:val="24"/>
        </w:rPr>
        <w:t xml:space="preserve">ator </w:t>
      </w:r>
      <w:r w:rsidRPr="00C53828">
        <w:rPr>
          <w:rFonts w:ascii="Arial" w:hAnsi="Arial" w:cs="Arial"/>
          <w:b/>
          <w:sz w:val="24"/>
        </w:rPr>
        <w:t>koji se</w:t>
      </w:r>
      <w:r w:rsidR="001D3EAF" w:rsidRPr="00C53828">
        <w:rPr>
          <w:rFonts w:ascii="Arial" w:hAnsi="Arial" w:cs="Arial"/>
          <w:b/>
          <w:sz w:val="24"/>
        </w:rPr>
        <w:t xml:space="preserve"> odnos</w:t>
      </w:r>
      <w:r w:rsidRPr="00C53828">
        <w:rPr>
          <w:rFonts w:ascii="Arial" w:hAnsi="Arial" w:cs="Arial"/>
          <w:b/>
          <w:sz w:val="24"/>
        </w:rPr>
        <w:t>i</w:t>
      </w:r>
      <w:r w:rsidR="001D3EAF" w:rsidRPr="00C53828">
        <w:rPr>
          <w:rFonts w:ascii="Arial" w:hAnsi="Arial" w:cs="Arial"/>
          <w:b/>
          <w:sz w:val="24"/>
        </w:rPr>
        <w:t xml:space="preserve"> </w:t>
      </w:r>
      <w:r w:rsidRPr="00C53828">
        <w:rPr>
          <w:rFonts w:ascii="Arial" w:hAnsi="Arial" w:cs="Arial"/>
          <w:b/>
          <w:sz w:val="24"/>
        </w:rPr>
        <w:t xml:space="preserve">na </w:t>
      </w:r>
      <w:r w:rsidR="001D3EAF" w:rsidRPr="00C53828">
        <w:rPr>
          <w:rFonts w:ascii="Arial" w:hAnsi="Arial" w:cs="Arial"/>
          <w:b/>
          <w:sz w:val="24"/>
        </w:rPr>
        <w:t>broj ča</w:t>
      </w:r>
      <w:r w:rsidR="007242DE" w:rsidRPr="00C53828">
        <w:rPr>
          <w:rFonts w:ascii="Arial" w:hAnsi="Arial" w:cs="Arial"/>
          <w:b/>
          <w:sz w:val="24"/>
        </w:rPr>
        <w:t>sova partner</w:t>
      </w:r>
      <w:r w:rsidR="004C7630" w:rsidRPr="00C53828">
        <w:rPr>
          <w:rFonts w:ascii="Arial" w:hAnsi="Arial" w:cs="Arial"/>
          <w:b/>
          <w:sz w:val="24"/>
        </w:rPr>
        <w:t>a</w:t>
      </w:r>
      <w:r w:rsidR="007242DE" w:rsidRPr="00C53828">
        <w:rPr>
          <w:rFonts w:ascii="Arial" w:hAnsi="Arial" w:cs="Arial"/>
          <w:b/>
          <w:sz w:val="24"/>
        </w:rPr>
        <w:t xml:space="preserve"> </w:t>
      </w:r>
      <w:r w:rsidR="001D3EAF" w:rsidRPr="00C53828">
        <w:rPr>
          <w:rFonts w:ascii="Arial" w:hAnsi="Arial" w:cs="Arial"/>
          <w:b/>
          <w:sz w:val="24"/>
        </w:rPr>
        <w:t xml:space="preserve">u reviziji </w:t>
      </w:r>
      <w:r w:rsidR="007242DE" w:rsidRPr="00C53828">
        <w:rPr>
          <w:rFonts w:ascii="Arial" w:hAnsi="Arial" w:cs="Arial"/>
          <w:b/>
          <w:sz w:val="24"/>
        </w:rPr>
        <w:t>sa ukopn</w:t>
      </w:r>
      <w:r w:rsidR="001D3EAF" w:rsidRPr="00C53828">
        <w:rPr>
          <w:rFonts w:ascii="Arial" w:hAnsi="Arial" w:cs="Arial"/>
          <w:b/>
          <w:sz w:val="24"/>
        </w:rPr>
        <w:t>im</w:t>
      </w:r>
      <w:r w:rsidR="007242DE" w:rsidRPr="00C53828">
        <w:rPr>
          <w:rFonts w:ascii="Arial" w:hAnsi="Arial" w:cs="Arial"/>
          <w:b/>
          <w:sz w:val="24"/>
        </w:rPr>
        <w:t xml:space="preserve"> </w:t>
      </w:r>
      <w:r w:rsidR="001D3EAF" w:rsidRPr="00C53828">
        <w:rPr>
          <w:rFonts w:ascii="Arial" w:hAnsi="Arial" w:cs="Arial"/>
          <w:b/>
          <w:sz w:val="24"/>
        </w:rPr>
        <w:t xml:space="preserve">časovima </w:t>
      </w:r>
      <w:r w:rsidR="007242DE" w:rsidRPr="00C53828">
        <w:rPr>
          <w:rFonts w:ascii="Arial" w:hAnsi="Arial" w:cs="Arial"/>
          <w:b/>
          <w:sz w:val="24"/>
        </w:rPr>
        <w:t>anga</w:t>
      </w:r>
      <w:r w:rsidR="004C7630" w:rsidRPr="00C53828">
        <w:rPr>
          <w:rFonts w:ascii="Arial" w:hAnsi="Arial" w:cs="Arial"/>
          <w:b/>
          <w:sz w:val="24"/>
        </w:rPr>
        <w:t>ž</w:t>
      </w:r>
      <w:r w:rsidR="007242DE" w:rsidRPr="00C53828">
        <w:rPr>
          <w:rFonts w:ascii="Arial" w:hAnsi="Arial" w:cs="Arial"/>
          <w:b/>
          <w:sz w:val="24"/>
        </w:rPr>
        <w:t>mana</w:t>
      </w:r>
    </w:p>
    <w:p w:rsidR="004143FA" w:rsidRPr="004143FA" w:rsidRDefault="004143FA" w:rsidP="004143FA">
      <w:pPr>
        <w:pStyle w:val="ListParagraph"/>
        <w:spacing w:after="0" w:line="240" w:lineRule="auto"/>
        <w:jc w:val="both"/>
        <w:rPr>
          <w:lang w:val="en-US"/>
        </w:rPr>
      </w:pPr>
    </w:p>
    <w:p w:rsidR="007242DE" w:rsidRPr="001572EF" w:rsidRDefault="007242DE" w:rsidP="001572EF">
      <w:pPr>
        <w:spacing w:after="0" w:line="240" w:lineRule="auto"/>
        <w:jc w:val="both"/>
        <w:rPr>
          <w:rFonts w:ascii="Arial" w:hAnsi="Arial" w:cs="Arial"/>
          <w:sz w:val="24"/>
        </w:rPr>
      </w:pPr>
      <w:r w:rsidRPr="001572EF">
        <w:rPr>
          <w:rFonts w:ascii="Arial" w:hAnsi="Arial" w:cs="Arial"/>
          <w:sz w:val="24"/>
        </w:rPr>
        <w:t>Ova</w:t>
      </w:r>
      <w:r w:rsidR="001D3EAF" w:rsidRPr="001572EF">
        <w:rPr>
          <w:rFonts w:ascii="Arial" w:hAnsi="Arial" w:cs="Arial"/>
          <w:sz w:val="24"/>
        </w:rPr>
        <w:t>j</w:t>
      </w:r>
      <w:r w:rsidRPr="001572EF">
        <w:rPr>
          <w:rFonts w:ascii="Arial" w:hAnsi="Arial" w:cs="Arial"/>
          <w:sz w:val="24"/>
        </w:rPr>
        <w:t xml:space="preserve"> </w:t>
      </w:r>
      <w:r w:rsidR="001D3EAF" w:rsidRPr="001572EF">
        <w:rPr>
          <w:rFonts w:ascii="Arial" w:hAnsi="Arial" w:cs="Arial"/>
          <w:sz w:val="24"/>
        </w:rPr>
        <w:t>indikator</w:t>
      </w:r>
      <w:r w:rsidRPr="001572EF">
        <w:rPr>
          <w:rFonts w:ascii="Arial" w:hAnsi="Arial" w:cs="Arial"/>
          <w:sz w:val="24"/>
        </w:rPr>
        <w:t xml:space="preserve"> </w:t>
      </w:r>
      <w:r w:rsidR="001D3EAF" w:rsidRPr="001572EF">
        <w:rPr>
          <w:rFonts w:ascii="Arial" w:hAnsi="Arial" w:cs="Arial"/>
          <w:sz w:val="24"/>
        </w:rPr>
        <w:t>treba da bude u opsegu od</w:t>
      </w:r>
      <w:r w:rsidRPr="001572EF">
        <w:rPr>
          <w:rFonts w:ascii="Arial" w:hAnsi="Arial" w:cs="Arial"/>
          <w:sz w:val="24"/>
        </w:rPr>
        <w:t xml:space="preserve"> 5-10% za manje anga</w:t>
      </w:r>
      <w:r w:rsidR="004C7630" w:rsidRPr="001572EF">
        <w:rPr>
          <w:rFonts w:ascii="Arial" w:hAnsi="Arial" w:cs="Arial"/>
          <w:sz w:val="24"/>
        </w:rPr>
        <w:t>ž</w:t>
      </w:r>
      <w:r w:rsidRPr="001572EF">
        <w:rPr>
          <w:rFonts w:ascii="Arial" w:hAnsi="Arial" w:cs="Arial"/>
          <w:sz w:val="24"/>
        </w:rPr>
        <w:t xml:space="preserve">mane </w:t>
      </w:r>
      <w:r w:rsidR="001D3EAF" w:rsidRPr="001572EF">
        <w:rPr>
          <w:rFonts w:ascii="Arial" w:hAnsi="Arial" w:cs="Arial"/>
          <w:sz w:val="24"/>
        </w:rPr>
        <w:t>i</w:t>
      </w:r>
      <w:r w:rsidRPr="001572EF">
        <w:rPr>
          <w:rFonts w:ascii="Arial" w:hAnsi="Arial" w:cs="Arial"/>
          <w:sz w:val="24"/>
        </w:rPr>
        <w:t xml:space="preserve"> izme</w:t>
      </w:r>
      <w:r w:rsidR="001D3EAF" w:rsidRPr="001572EF">
        <w:rPr>
          <w:rFonts w:ascii="Arial" w:hAnsi="Arial" w:cs="Arial"/>
          <w:sz w:val="24"/>
        </w:rPr>
        <w:t>đ</w:t>
      </w:r>
      <w:r w:rsidRPr="001572EF">
        <w:rPr>
          <w:rFonts w:ascii="Arial" w:hAnsi="Arial" w:cs="Arial"/>
          <w:sz w:val="24"/>
        </w:rPr>
        <w:t>u 10%-15% za kompleksne revizije</w:t>
      </w:r>
      <w:r w:rsidR="001D3EAF" w:rsidRPr="001572EF">
        <w:rPr>
          <w:rFonts w:ascii="Arial" w:hAnsi="Arial" w:cs="Arial"/>
          <w:sz w:val="24"/>
        </w:rPr>
        <w:t xml:space="preserve"> (subjekti od javnog interesa i sl.)</w:t>
      </w:r>
      <w:r w:rsidRPr="001572EF">
        <w:rPr>
          <w:rFonts w:ascii="Arial" w:hAnsi="Arial" w:cs="Arial"/>
          <w:sz w:val="24"/>
        </w:rPr>
        <w:t xml:space="preserve">. </w:t>
      </w:r>
    </w:p>
    <w:p w:rsidR="00DB39DE" w:rsidRPr="00DB39DE" w:rsidRDefault="00DB39DE" w:rsidP="00DB39DE">
      <w:pPr>
        <w:pStyle w:val="ListParagraph"/>
        <w:spacing w:after="0" w:line="240" w:lineRule="auto"/>
        <w:jc w:val="both"/>
        <w:rPr>
          <w:lang w:val="en-US"/>
        </w:rPr>
      </w:pPr>
    </w:p>
    <w:p w:rsidR="007242DE" w:rsidRDefault="004C7630" w:rsidP="004C7630">
      <w:pPr>
        <w:spacing w:after="0" w:line="240" w:lineRule="auto"/>
        <w:jc w:val="both"/>
        <w:rPr>
          <w:rFonts w:ascii="Arial" w:hAnsi="Arial" w:cs="Arial"/>
          <w:sz w:val="24"/>
        </w:rPr>
      </w:pPr>
      <w:r w:rsidRPr="004C7630">
        <w:rPr>
          <w:rFonts w:ascii="Arial" w:hAnsi="Arial" w:cs="Arial"/>
          <w:sz w:val="24"/>
        </w:rPr>
        <w:t>Prilikom analize korišćeni su i drugi faktori kao npr</w:t>
      </w:r>
      <w:r w:rsidR="007242DE" w:rsidRPr="004C7630">
        <w:rPr>
          <w:rFonts w:ascii="Arial" w:hAnsi="Arial" w:cs="Arial"/>
          <w:sz w:val="24"/>
        </w:rPr>
        <w:t xml:space="preserve">: </w:t>
      </w:r>
    </w:p>
    <w:p w:rsidR="004C7630" w:rsidRDefault="004C7630" w:rsidP="00676A8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broj i vrste revizorskih mišljenja izdatih od strane društava za reviziju;</w:t>
      </w:r>
    </w:p>
    <w:p w:rsidR="004C7630" w:rsidRPr="004C7630" w:rsidRDefault="004C7630" w:rsidP="00676A8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ostale dostupne informacije.</w:t>
      </w:r>
    </w:p>
    <w:p w:rsidR="00737518" w:rsidRDefault="004C7630" w:rsidP="00676A8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7242DE">
        <w:rPr>
          <w:rFonts w:ascii="Arial" w:hAnsi="Arial" w:cs="Arial"/>
          <w:sz w:val="24"/>
        </w:rPr>
        <w:t xml:space="preserve"> </w:t>
      </w:r>
    </w:p>
    <w:tbl>
      <w:tblPr>
        <w:tblW w:w="8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1195"/>
        <w:gridCol w:w="1195"/>
        <w:gridCol w:w="1195"/>
        <w:gridCol w:w="1195"/>
        <w:gridCol w:w="1195"/>
        <w:gridCol w:w="1195"/>
      </w:tblGrid>
      <w:tr w:rsidR="00952E3E" w:rsidRPr="00C53828" w:rsidTr="00952E3E">
        <w:trPr>
          <w:trHeight w:val="1575"/>
          <w:jc w:val="center"/>
        </w:trPr>
        <w:tc>
          <w:tcPr>
            <w:tcW w:w="1195" w:type="dxa"/>
            <w:shd w:val="clear" w:color="auto" w:fill="auto"/>
            <w:vAlign w:val="center"/>
            <w:hideMark/>
          </w:tcPr>
          <w:p w:rsidR="00952E3E" w:rsidRPr="00C46559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 w:rsidRPr="00C4655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Redni broj</w:t>
            </w:r>
          </w:p>
        </w:tc>
        <w:tc>
          <w:tcPr>
            <w:tcW w:w="1195" w:type="dxa"/>
            <w:shd w:val="clear" w:color="auto" w:fill="auto"/>
            <w:textDirection w:val="btLr"/>
            <w:vAlign w:val="center"/>
            <w:hideMark/>
          </w:tcPr>
          <w:p w:rsidR="00952E3E" w:rsidRPr="00C53828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Indikator 1</w:t>
            </w:r>
          </w:p>
        </w:tc>
        <w:tc>
          <w:tcPr>
            <w:tcW w:w="1195" w:type="dxa"/>
            <w:shd w:val="clear" w:color="auto" w:fill="auto"/>
            <w:textDirection w:val="btLr"/>
            <w:vAlign w:val="center"/>
            <w:hideMark/>
          </w:tcPr>
          <w:p w:rsidR="00952E3E" w:rsidRPr="00C53828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Indikator 2</w:t>
            </w:r>
          </w:p>
        </w:tc>
        <w:tc>
          <w:tcPr>
            <w:tcW w:w="1195" w:type="dxa"/>
            <w:shd w:val="clear" w:color="auto" w:fill="auto"/>
            <w:textDirection w:val="btLr"/>
            <w:vAlign w:val="center"/>
          </w:tcPr>
          <w:p w:rsidR="00952E3E" w:rsidRPr="00C53828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Indikator 3</w:t>
            </w:r>
          </w:p>
        </w:tc>
        <w:tc>
          <w:tcPr>
            <w:tcW w:w="1195" w:type="dxa"/>
            <w:shd w:val="clear" w:color="auto" w:fill="auto"/>
            <w:textDirection w:val="btLr"/>
            <w:vAlign w:val="center"/>
          </w:tcPr>
          <w:p w:rsidR="00952E3E" w:rsidRPr="00C53828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>I</w:t>
            </w:r>
            <w:r w:rsidRPr="00C46559">
              <w:rPr>
                <w:rFonts w:ascii="Arial" w:eastAsia="Times New Roman" w:hAnsi="Arial" w:cs="Arial"/>
                <w:b/>
                <w:color w:val="000000"/>
                <w:lang w:eastAsia="en-GB"/>
              </w:rPr>
              <w:t>indikator 4</w:t>
            </w:r>
          </w:p>
        </w:tc>
        <w:tc>
          <w:tcPr>
            <w:tcW w:w="1195" w:type="dxa"/>
            <w:shd w:val="clear" w:color="auto" w:fill="auto"/>
            <w:textDirection w:val="btLr"/>
            <w:vAlign w:val="center"/>
            <w:hideMark/>
          </w:tcPr>
          <w:p w:rsidR="00952E3E" w:rsidRPr="00C53828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Indikator 5</w:t>
            </w:r>
          </w:p>
        </w:tc>
        <w:tc>
          <w:tcPr>
            <w:tcW w:w="1195" w:type="dxa"/>
            <w:shd w:val="clear" w:color="auto" w:fill="auto"/>
            <w:textDirection w:val="btLr"/>
            <w:vAlign w:val="center"/>
            <w:hideMark/>
          </w:tcPr>
          <w:p w:rsidR="00952E3E" w:rsidRPr="00C53828" w:rsidRDefault="00952E3E" w:rsidP="00E43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Ukupno rizikl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3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854118">
              <w:rPr>
                <w:rFonts w:ascii="Arial" w:eastAsia="Times New Roman" w:hAnsi="Arial" w:cs="Arial"/>
                <w:color w:val="000000" w:themeColor="text1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5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6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655879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655879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655879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655879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lastRenderedPageBreak/>
              <w:t>8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10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11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12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13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14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15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17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18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19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20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713EE0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visok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21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713EE0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22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713EE0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23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Default="00952E3E" w:rsidP="00952E3E">
            <w:pPr>
              <w:spacing w:after="0" w:line="240" w:lineRule="auto"/>
              <w:jc w:val="center"/>
            </w:pPr>
            <w:r w:rsidRPr="00713EE0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24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25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nizak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26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2D69B" w:themeFill="accent3" w:themeFillTint="99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shd w:val="clear" w:color="auto" w:fill="C0504D" w:themeFill="accent2"/>
            <w:noWrap/>
            <w:vAlign w:val="center"/>
            <w:hideMark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  <w:tr w:rsidR="00952E3E" w:rsidRPr="00C53828" w:rsidTr="00952E3E">
        <w:trPr>
          <w:trHeight w:val="457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27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YES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C53828">
              <w:rPr>
                <w:rFonts w:ascii="Arial" w:eastAsia="Times New Roman" w:hAnsi="Arial" w:cs="Arial"/>
                <w:color w:val="000000"/>
                <w:lang w:eastAsia="en-GB"/>
              </w:rPr>
              <w:t>NO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52E3E" w:rsidRPr="00C53828" w:rsidRDefault="00952E3E" w:rsidP="00952E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srednji</w:t>
            </w:r>
          </w:p>
        </w:tc>
      </w:tr>
    </w:tbl>
    <w:p w:rsidR="00C653A3" w:rsidRDefault="00C653A3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C653A3" w:rsidRDefault="00C653A3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tbl>
      <w:tblPr>
        <w:tblW w:w="7748" w:type="dxa"/>
        <w:jc w:val="center"/>
        <w:tblLook w:val="04A0" w:firstRow="1" w:lastRow="0" w:firstColumn="1" w:lastColumn="0" w:noHBand="0" w:noVBand="1"/>
      </w:tblPr>
      <w:tblGrid>
        <w:gridCol w:w="921"/>
        <w:gridCol w:w="1417"/>
        <w:gridCol w:w="1134"/>
        <w:gridCol w:w="1559"/>
        <w:gridCol w:w="1134"/>
        <w:gridCol w:w="1583"/>
      </w:tblGrid>
      <w:tr w:rsidR="006D2BF5" w:rsidRPr="00365FF2" w:rsidTr="0074703A">
        <w:trPr>
          <w:trHeight w:val="387"/>
          <w:jc w:val="center"/>
        </w:trPr>
        <w:tc>
          <w:tcPr>
            <w:tcW w:w="921" w:type="dxa"/>
            <w:shd w:val="clear" w:color="auto" w:fill="92D050"/>
            <w:noWrap/>
            <w:vAlign w:val="center"/>
          </w:tcPr>
          <w:p w:rsidR="006D2BF5" w:rsidRPr="00365FF2" w:rsidRDefault="00E43186" w:rsidP="000C304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D2BF5" w:rsidRPr="00365FF2" w:rsidRDefault="006D2BF5" w:rsidP="006D2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65FF2">
              <w:rPr>
                <w:rFonts w:ascii="Arial" w:eastAsia="Times New Roman" w:hAnsi="Arial" w:cs="Arial"/>
                <w:color w:val="000000"/>
                <w:lang w:eastAsia="en-GB"/>
              </w:rPr>
              <w:t>- nizak rizik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6D2BF5" w:rsidRPr="00365FF2" w:rsidRDefault="000C304C" w:rsidP="009854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  <w:r w:rsidR="009854B0">
              <w:rPr>
                <w:rFonts w:ascii="Arial" w:eastAsia="Times New Roman" w:hAnsi="Arial" w:cs="Arial"/>
                <w:color w:val="000000"/>
                <w:lang w:eastAsia="en-GB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D2BF5" w:rsidRPr="00365FF2" w:rsidRDefault="006D2BF5" w:rsidP="006D2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65FF2">
              <w:rPr>
                <w:rFonts w:ascii="Arial" w:eastAsia="Times New Roman" w:hAnsi="Arial" w:cs="Arial"/>
                <w:color w:val="000000"/>
                <w:lang w:eastAsia="en-GB"/>
              </w:rPr>
              <w:t>- srednji rizik</w:t>
            </w:r>
          </w:p>
        </w:tc>
        <w:tc>
          <w:tcPr>
            <w:tcW w:w="1134" w:type="dxa"/>
            <w:shd w:val="clear" w:color="auto" w:fill="C0504D" w:themeFill="accent2"/>
            <w:vAlign w:val="center"/>
          </w:tcPr>
          <w:p w:rsidR="006D2BF5" w:rsidRPr="0074703A" w:rsidRDefault="009854B0" w:rsidP="006D2B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7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6D2BF5" w:rsidRPr="00365FF2" w:rsidRDefault="006D2BF5" w:rsidP="006D2B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365FF2">
              <w:rPr>
                <w:rFonts w:ascii="Arial" w:eastAsia="Times New Roman" w:hAnsi="Arial" w:cs="Arial"/>
                <w:color w:val="000000"/>
                <w:lang w:eastAsia="en-GB"/>
              </w:rPr>
              <w:t>- visok rizik</w:t>
            </w:r>
          </w:p>
        </w:tc>
      </w:tr>
    </w:tbl>
    <w:p w:rsidR="00C653A3" w:rsidRDefault="00C653A3" w:rsidP="00676A8A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844D0" w:rsidRPr="00952E3E" w:rsidRDefault="008451F7" w:rsidP="003844D0">
      <w:pPr>
        <w:spacing w:after="0" w:line="240" w:lineRule="auto"/>
        <w:jc w:val="both"/>
        <w:rPr>
          <w:rFonts w:ascii="Arial" w:hAnsi="Arial" w:cs="Arial"/>
          <w:sz w:val="24"/>
        </w:rPr>
        <w:sectPr w:rsidR="003844D0" w:rsidRPr="00952E3E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</w:rPr>
        <w:t>Predlažemo da u toku 2021. godine bud</w:t>
      </w:r>
      <w:r w:rsidR="00952E3E">
        <w:rPr>
          <w:rFonts w:ascii="Arial" w:hAnsi="Arial" w:cs="Arial"/>
          <w:sz w:val="24"/>
        </w:rPr>
        <w:t>e</w:t>
      </w:r>
      <w:r>
        <w:rPr>
          <w:rFonts w:ascii="Arial" w:hAnsi="Arial" w:cs="Arial"/>
          <w:sz w:val="24"/>
        </w:rPr>
        <w:t xml:space="preserve"> sproveden</w:t>
      </w:r>
      <w:r w:rsidR="00952E3E">
        <w:rPr>
          <w:rFonts w:ascii="Arial" w:hAnsi="Arial" w:cs="Arial"/>
          <w:sz w:val="24"/>
        </w:rPr>
        <w:t>o 10</w:t>
      </w:r>
      <w:r>
        <w:rPr>
          <w:rFonts w:ascii="Arial" w:hAnsi="Arial" w:cs="Arial"/>
          <w:sz w:val="24"/>
        </w:rPr>
        <w:t xml:space="preserve"> kontrol</w:t>
      </w:r>
      <w:r w:rsidR="00952E3E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društava za reviziju</w:t>
      </w:r>
      <w:r w:rsidR="00952E3E">
        <w:rPr>
          <w:rFonts w:ascii="Arial" w:hAnsi="Arial" w:cs="Arial"/>
          <w:sz w:val="24"/>
        </w:rPr>
        <w:t xml:space="preserve"> sa visokim i srednjim rizikom koj</w:t>
      </w:r>
      <w:r w:rsidR="000B1C59">
        <w:rPr>
          <w:rFonts w:ascii="Arial" w:hAnsi="Arial" w:cs="Arial"/>
          <w:sz w:val="24"/>
        </w:rPr>
        <w:t>a</w:t>
      </w:r>
      <w:r w:rsidR="00952E3E">
        <w:rPr>
          <w:rFonts w:ascii="Arial" w:hAnsi="Arial" w:cs="Arial"/>
          <w:sz w:val="24"/>
        </w:rPr>
        <w:t xml:space="preserve"> nijesu kontrolisan</w:t>
      </w:r>
      <w:r w:rsidR="000B1C59">
        <w:rPr>
          <w:rFonts w:ascii="Arial" w:hAnsi="Arial" w:cs="Arial"/>
          <w:sz w:val="24"/>
        </w:rPr>
        <w:t>a</w:t>
      </w:r>
      <w:r w:rsidR="00952E3E">
        <w:rPr>
          <w:rFonts w:ascii="Arial" w:hAnsi="Arial" w:cs="Arial"/>
          <w:sz w:val="24"/>
        </w:rPr>
        <w:t xml:space="preserve"> u toku 2019. i 2020. godine.</w:t>
      </w:r>
    </w:p>
    <w:p w:rsidR="00C653A3" w:rsidRPr="00952E3E" w:rsidRDefault="00C653A3" w:rsidP="00952E3E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sectPr w:rsidR="00C653A3" w:rsidRPr="00952E3E" w:rsidSect="003844D0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498" w:rsidRDefault="00336498" w:rsidP="00B77B45">
      <w:pPr>
        <w:spacing w:after="0" w:line="240" w:lineRule="auto"/>
      </w:pPr>
      <w:r>
        <w:separator/>
      </w:r>
    </w:p>
  </w:endnote>
  <w:endnote w:type="continuationSeparator" w:id="0">
    <w:p w:rsidR="00336498" w:rsidRDefault="00336498" w:rsidP="00B7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498" w:rsidRDefault="00336498" w:rsidP="00B77B45">
      <w:pPr>
        <w:spacing w:after="0" w:line="240" w:lineRule="auto"/>
      </w:pPr>
      <w:r>
        <w:separator/>
      </w:r>
    </w:p>
  </w:footnote>
  <w:footnote w:type="continuationSeparator" w:id="0">
    <w:p w:rsidR="00336498" w:rsidRDefault="00336498" w:rsidP="00B7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3828" w:rsidRDefault="00C53828" w:rsidP="00B77B4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90A"/>
    <w:multiLevelType w:val="multilevel"/>
    <w:tmpl w:val="44C4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F6AE5"/>
    <w:multiLevelType w:val="hybridMultilevel"/>
    <w:tmpl w:val="9AD8000E"/>
    <w:lvl w:ilvl="0" w:tplc="599637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3C5"/>
    <w:multiLevelType w:val="multilevel"/>
    <w:tmpl w:val="1A467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63CBD"/>
    <w:multiLevelType w:val="hybridMultilevel"/>
    <w:tmpl w:val="9C481D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11BEF"/>
    <w:multiLevelType w:val="hybridMultilevel"/>
    <w:tmpl w:val="B1B4EBEE"/>
    <w:lvl w:ilvl="0" w:tplc="F60CD3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805782"/>
    <w:multiLevelType w:val="hybridMultilevel"/>
    <w:tmpl w:val="951E22FA"/>
    <w:lvl w:ilvl="0" w:tplc="F60CD3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B5268"/>
    <w:multiLevelType w:val="hybridMultilevel"/>
    <w:tmpl w:val="3C8632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3250A"/>
    <w:multiLevelType w:val="hybridMultilevel"/>
    <w:tmpl w:val="53BCC1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14B0"/>
    <w:multiLevelType w:val="hybridMultilevel"/>
    <w:tmpl w:val="BCAA61CC"/>
    <w:lvl w:ilvl="0" w:tplc="B7744C1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292D"/>
    <w:multiLevelType w:val="multilevel"/>
    <w:tmpl w:val="AC8CF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B1EB9"/>
    <w:multiLevelType w:val="hybridMultilevel"/>
    <w:tmpl w:val="247E4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C35BB"/>
    <w:multiLevelType w:val="hybridMultilevel"/>
    <w:tmpl w:val="2B12B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F7CA9"/>
    <w:multiLevelType w:val="hybridMultilevel"/>
    <w:tmpl w:val="01569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17012"/>
    <w:multiLevelType w:val="multilevel"/>
    <w:tmpl w:val="48D0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8619A5"/>
    <w:multiLevelType w:val="hybridMultilevel"/>
    <w:tmpl w:val="735AE2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55D8C"/>
    <w:multiLevelType w:val="hybridMultilevel"/>
    <w:tmpl w:val="0F56D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B2C0C"/>
    <w:multiLevelType w:val="hybridMultilevel"/>
    <w:tmpl w:val="D0060F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C449D"/>
    <w:multiLevelType w:val="hybridMultilevel"/>
    <w:tmpl w:val="D8000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B3858"/>
    <w:multiLevelType w:val="hybridMultilevel"/>
    <w:tmpl w:val="A05801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82A5B"/>
    <w:multiLevelType w:val="hybridMultilevel"/>
    <w:tmpl w:val="33B2AD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C20C0D"/>
    <w:multiLevelType w:val="hybridMultilevel"/>
    <w:tmpl w:val="243ECA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8"/>
  </w:num>
  <w:num w:numId="5">
    <w:abstractNumId w:val="20"/>
  </w:num>
  <w:num w:numId="6">
    <w:abstractNumId w:val="6"/>
  </w:num>
  <w:num w:numId="7">
    <w:abstractNumId w:val="10"/>
  </w:num>
  <w:num w:numId="8">
    <w:abstractNumId w:val="15"/>
  </w:num>
  <w:num w:numId="9">
    <w:abstractNumId w:val="16"/>
  </w:num>
  <w:num w:numId="10">
    <w:abstractNumId w:val="12"/>
  </w:num>
  <w:num w:numId="11">
    <w:abstractNumId w:val="3"/>
  </w:num>
  <w:num w:numId="12">
    <w:abstractNumId w:val="7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7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36"/>
    <w:rsid w:val="00036C60"/>
    <w:rsid w:val="00057EDF"/>
    <w:rsid w:val="000A3727"/>
    <w:rsid w:val="000B1C59"/>
    <w:rsid w:val="000C304C"/>
    <w:rsid w:val="00134B52"/>
    <w:rsid w:val="001366E6"/>
    <w:rsid w:val="001572EF"/>
    <w:rsid w:val="00176135"/>
    <w:rsid w:val="001D3EAF"/>
    <w:rsid w:val="00231F64"/>
    <w:rsid w:val="0028101A"/>
    <w:rsid w:val="002F2122"/>
    <w:rsid w:val="00336498"/>
    <w:rsid w:val="00365FF2"/>
    <w:rsid w:val="003844D0"/>
    <w:rsid w:val="003B0948"/>
    <w:rsid w:val="003D3E11"/>
    <w:rsid w:val="004143FA"/>
    <w:rsid w:val="004167E8"/>
    <w:rsid w:val="00486079"/>
    <w:rsid w:val="004B0759"/>
    <w:rsid w:val="004C7630"/>
    <w:rsid w:val="0052594F"/>
    <w:rsid w:val="00565A66"/>
    <w:rsid w:val="005B4020"/>
    <w:rsid w:val="005C45AD"/>
    <w:rsid w:val="005C5E61"/>
    <w:rsid w:val="005E7ABA"/>
    <w:rsid w:val="005F188E"/>
    <w:rsid w:val="006277BC"/>
    <w:rsid w:val="006708BC"/>
    <w:rsid w:val="00676A8A"/>
    <w:rsid w:val="006D2BF5"/>
    <w:rsid w:val="007175D9"/>
    <w:rsid w:val="007242DE"/>
    <w:rsid w:val="00733D30"/>
    <w:rsid w:val="00737518"/>
    <w:rsid w:val="0074703A"/>
    <w:rsid w:val="0078228F"/>
    <w:rsid w:val="008451F7"/>
    <w:rsid w:val="00853683"/>
    <w:rsid w:val="00854118"/>
    <w:rsid w:val="008641FF"/>
    <w:rsid w:val="008E5A7B"/>
    <w:rsid w:val="00916250"/>
    <w:rsid w:val="00916357"/>
    <w:rsid w:val="00947DFC"/>
    <w:rsid w:val="00952E3E"/>
    <w:rsid w:val="009854B0"/>
    <w:rsid w:val="009A7F0C"/>
    <w:rsid w:val="009C5F1B"/>
    <w:rsid w:val="00A17EF6"/>
    <w:rsid w:val="00A334FC"/>
    <w:rsid w:val="00A42DE1"/>
    <w:rsid w:val="00A67BE5"/>
    <w:rsid w:val="00AB0B63"/>
    <w:rsid w:val="00B77B45"/>
    <w:rsid w:val="00BB4751"/>
    <w:rsid w:val="00BD77C4"/>
    <w:rsid w:val="00C46559"/>
    <w:rsid w:val="00C52775"/>
    <w:rsid w:val="00C53828"/>
    <w:rsid w:val="00C653A3"/>
    <w:rsid w:val="00C8009B"/>
    <w:rsid w:val="00C9246A"/>
    <w:rsid w:val="00CC4834"/>
    <w:rsid w:val="00D312F0"/>
    <w:rsid w:val="00D32105"/>
    <w:rsid w:val="00D938C8"/>
    <w:rsid w:val="00DB1170"/>
    <w:rsid w:val="00DB39DE"/>
    <w:rsid w:val="00DD1436"/>
    <w:rsid w:val="00E065F4"/>
    <w:rsid w:val="00E17639"/>
    <w:rsid w:val="00E43186"/>
    <w:rsid w:val="00E530CB"/>
    <w:rsid w:val="00E70B15"/>
    <w:rsid w:val="00F439EB"/>
    <w:rsid w:val="00F71A92"/>
    <w:rsid w:val="00F7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2BB5D"/>
  <w15:docId w15:val="{88CE969E-90AC-47FA-B0B3-2AF67B57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7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77B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Vlahovic</dc:creator>
  <cp:lastModifiedBy>Mladen Vlahovic</cp:lastModifiedBy>
  <cp:revision>12</cp:revision>
  <cp:lastPrinted>2021-02-19T12:04:00Z</cp:lastPrinted>
  <dcterms:created xsi:type="dcterms:W3CDTF">2021-02-18T13:01:00Z</dcterms:created>
  <dcterms:modified xsi:type="dcterms:W3CDTF">2021-02-19T12:06:00Z</dcterms:modified>
</cp:coreProperties>
</file>