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92" w:rsidRPr="00AD1B16" w:rsidRDefault="00D61692" w:rsidP="00D6169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AD1B16">
        <w:rPr>
          <w:rFonts w:ascii="Cambria" w:hAnsi="Cambria" w:cs="Cambria"/>
          <w:noProof/>
        </w:rPr>
        <w:drawing>
          <wp:inline distT="0" distB="0" distL="0" distR="0">
            <wp:extent cx="672998" cy="82658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9" cy="82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CRNA GORA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MINISTARSTVO FINANSIJA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Sektor</w:t>
      </w:r>
      <w:r w:rsidR="005A231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za</w:t>
      </w:r>
      <w:r w:rsidR="005A231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ekonomsku</w:t>
      </w:r>
      <w:r w:rsidR="005A231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politiku</w:t>
      </w:r>
      <w:r w:rsidR="005A231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5A231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razvoj</w:t>
      </w:r>
    </w:p>
    <w:p w:rsidR="00D61692" w:rsidRPr="00AD1B16" w:rsidRDefault="00D61692" w:rsidP="00D61692">
      <w:pPr>
        <w:rPr>
          <w:rFonts w:cstheme="minorHAnsi"/>
        </w:rPr>
      </w:pPr>
    </w:p>
    <w:p w:rsidR="00D61692" w:rsidRPr="00AD1B16" w:rsidRDefault="00D61692" w:rsidP="00D61692">
      <w:pPr>
        <w:jc w:val="center"/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4F7F71" w:rsidRPr="00AD1B16" w:rsidRDefault="004F7F71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D61692">
      <w:pPr>
        <w:spacing w:line="240" w:lineRule="auto"/>
        <w:jc w:val="center"/>
        <w:rPr>
          <w:rFonts w:cstheme="minorHAnsi"/>
          <w:b/>
          <w:bCs/>
          <w:iCs/>
          <w:sz w:val="52"/>
          <w:szCs w:val="52"/>
        </w:rPr>
      </w:pPr>
      <w:r w:rsidRPr="00AD1B16">
        <w:rPr>
          <w:rFonts w:cstheme="minorHAnsi"/>
          <w:b/>
          <w:bCs/>
          <w:iCs/>
          <w:sz w:val="52"/>
          <w:szCs w:val="52"/>
        </w:rPr>
        <w:t>MJESEČNI MAKROEKONOMSKI INDIKATORI</w:t>
      </w:r>
    </w:p>
    <w:p w:rsidR="00D61692" w:rsidRPr="00AD1B16" w:rsidRDefault="007618B8" w:rsidP="00D6169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Decembar</w:t>
      </w:r>
      <w:r w:rsidR="00DC3690" w:rsidRPr="00AD1B16">
        <w:rPr>
          <w:rFonts w:cstheme="minorHAnsi"/>
          <w:b/>
          <w:bCs/>
          <w:sz w:val="32"/>
          <w:szCs w:val="32"/>
        </w:rPr>
        <w:t xml:space="preserve"> 2012</w:t>
      </w:r>
      <w:r w:rsidR="00D61692" w:rsidRPr="00AD1B16">
        <w:rPr>
          <w:rFonts w:cstheme="minorHAnsi"/>
          <w:b/>
          <w:bCs/>
          <w:sz w:val="32"/>
          <w:szCs w:val="32"/>
        </w:rPr>
        <w:t>.</w:t>
      </w:r>
    </w:p>
    <w:p w:rsidR="00D61692" w:rsidRPr="00AD1B16" w:rsidRDefault="00D61692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D20CDA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0A06F2" w:rsidP="00D20CDA">
      <w:pPr>
        <w:spacing w:after="0" w:line="240" w:lineRule="auto"/>
        <w:rPr>
          <w:rFonts w:cstheme="minorHAnsi"/>
          <w:bCs/>
          <w:sz w:val="28"/>
          <w:szCs w:val="28"/>
        </w:rPr>
      </w:pPr>
      <w:r w:rsidRPr="000A06F2">
        <w:rPr>
          <w:rFonts w:cstheme="minorHAnsi"/>
          <w:b/>
          <w:bCs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4pt;margin-top:5in;width:249.65pt;height:266.25pt;rotation:-360;z-index:-251658240;mso-position-horizontal-relative:margin;mso-position-vertical-relative:margin;mso-width-relative:margin;mso-height-relative:margin" wrapcoords="1181 -93 506 93 -169 466 -169 21088 591 21507 1012 21647 1181 21647 20334 21647 21178 21507 21769 20902 21769 466 20841 0 20334 -93 1181 -93" o:allowincell="f" adj="1739" fillcolor="#943634 [2405]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395416" w:rsidRPr="00BE47BD" w:rsidRDefault="00395416" w:rsidP="00BE47B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BE47B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395416" w:rsidRDefault="00395416" w:rsidP="00395416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</w:pPr>
                  <w:r w:rsidRPr="0039541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  <w:t xml:space="preserve">Kompozitni indikator ekonomskog sentimenta u EU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  <w:t>ukazuje na očekivanja blagog oporavka u prvom kvartalu 2013.</w:t>
                  </w:r>
                </w:p>
                <w:p w:rsidR="00395416" w:rsidRDefault="00395416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</w:pPr>
                </w:p>
                <w:p w:rsidR="00395416" w:rsidRDefault="00395416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  <w:t>Inflacija pokazuje znake stabilizacije pa je stopa u novembru bila na nivou oktobra i iznosila je 5,2%.</w:t>
                  </w:r>
                </w:p>
                <w:p w:rsidR="00395416" w:rsidRDefault="00395416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</w:pPr>
                </w:p>
                <w:p w:rsidR="00395416" w:rsidRPr="00395416" w:rsidRDefault="00395416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8"/>
                      <w:szCs w:val="32"/>
                      <w:lang w:val="pl-PL"/>
                    </w:rPr>
                    <w:t>Neto strane investicije su u periodu januar-novembar dostigle nivo od 12,4% BDP-a.</w:t>
                  </w:r>
                </w:p>
              </w:txbxContent>
            </v:textbox>
            <w10:wrap type="tight" anchorx="margin" anchory="margin"/>
          </v:shape>
        </w:pict>
      </w:r>
      <w:r w:rsidR="004F7F71" w:rsidRPr="00AD1B16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40640</wp:posOffset>
            </wp:positionV>
            <wp:extent cx="5528945" cy="5076190"/>
            <wp:effectExtent l="19050" t="0" r="0" b="0"/>
            <wp:wrapNone/>
            <wp:docPr id="11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507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692" w:rsidRPr="00AD1B16" w:rsidRDefault="00D61692" w:rsidP="00D20CDA">
      <w:pPr>
        <w:spacing w:after="0" w:line="240" w:lineRule="auto"/>
        <w:rPr>
          <w:rFonts w:cstheme="minorHAnsi"/>
          <w:bCs/>
          <w:iCs/>
          <w:sz w:val="26"/>
          <w:szCs w:val="26"/>
        </w:rPr>
      </w:pPr>
    </w:p>
    <w:p w:rsidR="00D61692" w:rsidRPr="00AD1B16" w:rsidRDefault="00D61692" w:rsidP="00D61692">
      <w:pPr>
        <w:pStyle w:val="NoSpacing"/>
        <w:rPr>
          <w:rFonts w:asciiTheme="minorHAnsi" w:hAnsiTheme="minorHAnsi" w:cstheme="minorHAnsi"/>
          <w:bCs/>
          <w:iCs/>
          <w:sz w:val="26"/>
          <w:szCs w:val="26"/>
        </w:rPr>
      </w:pPr>
    </w:p>
    <w:p w:rsidR="00694445" w:rsidRPr="00AD1B16" w:rsidRDefault="00694445" w:rsidP="00694445">
      <w:pPr>
        <w:pStyle w:val="NoSpacing"/>
        <w:rPr>
          <w:rFonts w:asciiTheme="minorHAnsi" w:hAnsiTheme="minorHAnsi" w:cstheme="minorHAnsi"/>
          <w:bCs/>
          <w:sz w:val="28"/>
          <w:szCs w:val="20"/>
        </w:rPr>
      </w:pPr>
    </w:p>
    <w:p w:rsidR="00694445" w:rsidRPr="00AD1B16" w:rsidRDefault="00694445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</w:pPr>
    </w:p>
    <w:p w:rsidR="003324D9" w:rsidRPr="00AD1B16" w:rsidRDefault="003324D9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777134" w:rsidRPr="00AD1B16" w:rsidRDefault="00777134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4F7F71" w:rsidRPr="00AD1B16" w:rsidRDefault="004F7F71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0F756E" w:rsidRPr="00AD1B16" w:rsidRDefault="000F756E" w:rsidP="003324D9">
      <w:pPr>
        <w:pStyle w:val="NoSpacing"/>
        <w:rPr>
          <w:bCs/>
          <w:color w:val="000000"/>
          <w:sz w:val="16"/>
          <w:szCs w:val="16"/>
        </w:rPr>
      </w:pPr>
      <w:r w:rsidRPr="00AD1B16">
        <w:rPr>
          <w:b/>
          <w:bCs/>
          <w:color w:val="000000"/>
          <w:sz w:val="16"/>
          <w:szCs w:val="16"/>
        </w:rPr>
        <w:t>Tim autora:</w:t>
      </w:r>
      <w:r w:rsidRPr="00AD1B16">
        <w:rPr>
          <w:bCs/>
          <w:color w:val="000000"/>
          <w:sz w:val="16"/>
          <w:szCs w:val="16"/>
        </w:rPr>
        <w:t>Radojka</w:t>
      </w:r>
      <w:r w:rsidR="00E13E29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 xml:space="preserve">Martinović, OljaTomanović, , </w:t>
      </w:r>
      <w:r w:rsidR="001F69DD" w:rsidRPr="00AD1B16">
        <w:rPr>
          <w:bCs/>
          <w:color w:val="000000"/>
          <w:sz w:val="16"/>
          <w:szCs w:val="16"/>
        </w:rPr>
        <w:t>Marija</w:t>
      </w:r>
      <w:r w:rsidR="00F45849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Novosel</w:t>
      </w:r>
      <w:r w:rsidR="0069141C">
        <w:rPr>
          <w:bCs/>
          <w:color w:val="000000"/>
          <w:sz w:val="16"/>
          <w:szCs w:val="16"/>
        </w:rPr>
        <w:t xml:space="preserve"> i </w:t>
      </w:r>
      <w:r w:rsidR="00E13E29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ZdenkaDabović</w:t>
      </w:r>
    </w:p>
    <w:p w:rsidR="00B40133" w:rsidRPr="00AD1B16" w:rsidRDefault="000F756E" w:rsidP="004F7F71">
      <w:pPr>
        <w:pStyle w:val="NoSpacing"/>
      </w:pPr>
      <w:r w:rsidRPr="00AD1B16">
        <w:rPr>
          <w:b/>
          <w:bCs/>
          <w:color w:val="000000"/>
          <w:sz w:val="16"/>
          <w:szCs w:val="16"/>
        </w:rPr>
        <w:t>Tim recezenata:</w:t>
      </w:r>
      <w:r w:rsidR="0069141C">
        <w:rPr>
          <w:b/>
          <w:bCs/>
          <w:color w:val="000000"/>
          <w:sz w:val="16"/>
          <w:szCs w:val="16"/>
        </w:rPr>
        <w:t xml:space="preserve"> </w:t>
      </w:r>
      <w:r w:rsidR="0095708D" w:rsidRPr="00AD1B16">
        <w:rPr>
          <w:bCs/>
          <w:color w:val="000000"/>
          <w:sz w:val="16"/>
          <w:szCs w:val="16"/>
        </w:rPr>
        <w:t>mr</w:t>
      </w:r>
      <w:r w:rsidR="00E13E29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TijanaStanković, Radovan Živković</w:t>
      </w:r>
      <w:r w:rsidR="00E13E29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 xml:space="preserve">i </w:t>
      </w:r>
      <w:r w:rsidR="00E13E29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Iva Vuković</w:t>
      </w:r>
      <w:r w:rsidR="00B40133" w:rsidRPr="00AD1B16">
        <w:br w:type="page"/>
      </w:r>
    </w:p>
    <w:tbl>
      <w:tblPr>
        <w:tblStyle w:val="TableGrid"/>
        <w:tblW w:w="10740" w:type="dxa"/>
        <w:tblBorders>
          <w:top w:val="thinThickSmallGap" w:sz="18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3629"/>
        <w:gridCol w:w="57"/>
      </w:tblGrid>
      <w:tr w:rsidR="00716A7D" w:rsidRPr="00AD1B16" w:rsidTr="00F2683C">
        <w:trPr>
          <w:gridAfter w:val="1"/>
          <w:wAfter w:w="57" w:type="dxa"/>
        </w:trPr>
        <w:tc>
          <w:tcPr>
            <w:tcW w:w="7054" w:type="dxa"/>
            <w:tcBorders>
              <w:bottom w:val="single" w:sz="4" w:space="0" w:color="auto"/>
            </w:tcBorders>
          </w:tcPr>
          <w:p w:rsidR="00716A7D" w:rsidRPr="00AD1B16" w:rsidRDefault="00716A7D" w:rsidP="00D26E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D1B16"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</w:rPr>
              <w:br w:type="page"/>
            </w:r>
            <w:bookmarkStart w:id="0" w:name="OLE_LINK3"/>
            <w:r w:rsidRPr="00AD1B16">
              <w:rPr>
                <w:b/>
                <w:bCs/>
                <w:sz w:val="20"/>
                <w:szCs w:val="20"/>
              </w:rPr>
              <w:t>Međunarodno</w:t>
            </w:r>
            <w:r w:rsidR="00F2683C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okruženje</w:t>
            </w:r>
            <w:bookmarkEnd w:id="0"/>
          </w:p>
        </w:tc>
        <w:tc>
          <w:tcPr>
            <w:tcW w:w="3629" w:type="dxa"/>
            <w:vMerge w:val="restart"/>
          </w:tcPr>
          <w:p w:rsidR="00D01C27" w:rsidRPr="00AD1B16" w:rsidRDefault="00952BDA" w:rsidP="00EB64B9">
            <w:pPr>
              <w:ind w:left="-108"/>
              <w:rPr>
                <w:sz w:val="14"/>
                <w:szCs w:val="14"/>
              </w:rPr>
            </w:pPr>
            <w:r w:rsidRPr="00952BDA">
              <w:rPr>
                <w:noProof/>
                <w:sz w:val="14"/>
                <w:szCs w:val="14"/>
              </w:rPr>
              <w:drawing>
                <wp:inline distT="0" distB="0" distL="0" distR="0">
                  <wp:extent cx="2088000" cy="2052000"/>
                  <wp:effectExtent l="0" t="0" r="0" b="0"/>
                  <wp:docPr id="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F6B9D" w:rsidRPr="00AD1B16" w:rsidTr="00F2683C">
        <w:trPr>
          <w:gridAfter w:val="1"/>
          <w:wAfter w:w="57" w:type="dxa"/>
          <w:trHeight w:val="2872"/>
        </w:trPr>
        <w:tc>
          <w:tcPr>
            <w:tcW w:w="7054" w:type="dxa"/>
            <w:tcBorders>
              <w:top w:val="single" w:sz="4" w:space="0" w:color="auto"/>
            </w:tcBorders>
          </w:tcPr>
          <w:p w:rsidR="00E13E29" w:rsidRPr="00E13E29" w:rsidRDefault="00E13E29" w:rsidP="00E13E29">
            <w:pPr>
              <w:jc w:val="both"/>
              <w:rPr>
                <w:sz w:val="18"/>
              </w:rPr>
            </w:pPr>
            <w:r w:rsidRPr="00E13E29">
              <w:rPr>
                <w:b/>
                <w:sz w:val="18"/>
              </w:rPr>
              <w:t>Kompozitni Indikator ekonomskog sentimenta eurozone je porastao u decembru  za 1,2 poena na 87,8</w:t>
            </w:r>
            <w:r w:rsidRPr="00E13E29">
              <w:rPr>
                <w:sz w:val="18"/>
              </w:rPr>
              <w:t xml:space="preserve">  i isto toliko u EU (na 89,2). Ovaj indeks mjeri Industrijsku proizvodnju , građevinarstvo, promet u maloprodaji , usluge i povjerenje potrošača sa različitim ponderima kako po ovim sektorima tako i po zemljama zavisno od ekonomske snage i broja stanovnika . Uzorak pokriva 125.000 kompanija i 40.000 potrošača a sprovodi se mjesečno. Pitanja pokrivaju period od 3 mjeseca unazad i 3 mjeseca unaprijed, a za povjerenje potrošača period je jedna godina. Ovaj indikator je u korelaciji s kretanjem BDP-a, a svaka vrijednost ispod 100 (prosjek od 1990-2011)  ukazuje na negativna kretanja i očekivanja. Grafik </w:t>
            </w:r>
            <w:r>
              <w:rPr>
                <w:sz w:val="18"/>
              </w:rPr>
              <w:t>u</w:t>
            </w:r>
            <w:r w:rsidRPr="00E13E29">
              <w:rPr>
                <w:sz w:val="18"/>
              </w:rPr>
              <w:t xml:space="preserve">kazuje </w:t>
            </w:r>
            <w:r>
              <w:rPr>
                <w:sz w:val="18"/>
              </w:rPr>
              <w:t xml:space="preserve">na </w:t>
            </w:r>
            <w:r w:rsidRPr="00E13E29">
              <w:rPr>
                <w:sz w:val="18"/>
              </w:rPr>
              <w:t xml:space="preserve">trend negativnih očekivanja u prva tri kvartala i pad povjerenja (negativne stope BDP-a u 2012) dok rast u četvrtom kvartalu ukazuje na očekivanja menadžera i porošača  u pravcu izvjesnog oporavka u prvom kvartalu 2013. godine , s tim što </w:t>
            </w:r>
            <w:r>
              <w:rPr>
                <w:sz w:val="18"/>
              </w:rPr>
              <w:t>komponenta prometa u maloprodaji</w:t>
            </w:r>
            <w:r w:rsidRPr="00E13E29">
              <w:rPr>
                <w:sz w:val="18"/>
              </w:rPr>
              <w:t xml:space="preserve"> pokazuje pad u novembru i decembru.</w:t>
            </w:r>
          </w:p>
          <w:p w:rsidR="00974320" w:rsidRPr="00AD1B16" w:rsidRDefault="00E13E29" w:rsidP="00E13E29">
            <w:pPr>
              <w:jc w:val="both"/>
              <w:rPr>
                <w:sz w:val="17"/>
                <w:szCs w:val="17"/>
              </w:rPr>
            </w:pPr>
            <w:r w:rsidRPr="00E13E29">
              <w:rPr>
                <w:sz w:val="18"/>
              </w:rPr>
              <w:t>Cijena aluminijuma je u decembru porasla na 2.087 $/T. Cijena brent sirove nafte je porasla na 111 $/Barel, a kurs eura je  1,31USD=1EUR.</w:t>
            </w:r>
          </w:p>
        </w:tc>
        <w:tc>
          <w:tcPr>
            <w:tcW w:w="3629" w:type="dxa"/>
            <w:vMerge/>
            <w:vAlign w:val="center"/>
          </w:tcPr>
          <w:p w:rsidR="00DF6B9D" w:rsidRPr="00AD1B16" w:rsidRDefault="00DF6B9D" w:rsidP="001C6750">
            <w:pPr>
              <w:ind w:left="34" w:hanging="34"/>
              <w:rPr>
                <w:sz w:val="17"/>
                <w:szCs w:val="17"/>
              </w:rPr>
            </w:pPr>
          </w:p>
        </w:tc>
      </w:tr>
      <w:tr w:rsidR="00DF6B9D" w:rsidRPr="00AD1B16" w:rsidTr="00F2683C">
        <w:trPr>
          <w:gridAfter w:val="1"/>
          <w:wAfter w:w="57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DF6B9D" w:rsidRPr="00AD1B16" w:rsidRDefault="00DF6B9D" w:rsidP="00FE641C">
            <w:pPr>
              <w:pStyle w:val="ListParagraph"/>
              <w:numPr>
                <w:ilvl w:val="0"/>
                <w:numId w:val="1"/>
              </w:numPr>
              <w:rPr>
                <w:rStyle w:val="CaptionChar"/>
              </w:rPr>
            </w:pPr>
            <w:r w:rsidRPr="00AD1B16">
              <w:rPr>
                <w:rStyle w:val="CaptionChar"/>
              </w:rPr>
              <w:t>Realni</w:t>
            </w:r>
            <w:r w:rsidR="005A2310">
              <w:rPr>
                <w:rStyle w:val="CaptionChar"/>
              </w:rPr>
              <w:t xml:space="preserve"> </w:t>
            </w:r>
            <w:r w:rsidRPr="00AD1B16">
              <w:rPr>
                <w:rStyle w:val="CaptionChar"/>
              </w:rPr>
              <w:t>sektor</w:t>
            </w:r>
          </w:p>
        </w:tc>
        <w:tc>
          <w:tcPr>
            <w:tcW w:w="3629" w:type="dxa"/>
            <w:vMerge w:val="restart"/>
            <w:vAlign w:val="center"/>
          </w:tcPr>
          <w:p w:rsidR="00DF6B9D" w:rsidRPr="00AD1B16" w:rsidRDefault="0004400E" w:rsidP="00157601">
            <w:pPr>
              <w:ind w:left="-250"/>
              <w:jc w:val="center"/>
            </w:pPr>
            <w:r w:rsidRPr="0004400E">
              <w:rPr>
                <w:noProof/>
              </w:rPr>
              <w:drawing>
                <wp:inline distT="0" distB="0" distL="0" distR="0">
                  <wp:extent cx="2088000" cy="205200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2E6C4E" w:rsidRPr="00AD1B16" w:rsidTr="00F2683C">
        <w:trPr>
          <w:gridAfter w:val="1"/>
          <w:wAfter w:w="57" w:type="dxa"/>
          <w:trHeight w:val="3006"/>
        </w:trPr>
        <w:tc>
          <w:tcPr>
            <w:tcW w:w="7054" w:type="dxa"/>
            <w:tcBorders>
              <w:top w:val="single" w:sz="4" w:space="0" w:color="auto"/>
            </w:tcBorders>
          </w:tcPr>
          <w:p w:rsidR="002E6C4E" w:rsidRPr="005A2310" w:rsidRDefault="002E6C4E" w:rsidP="005A2310">
            <w:pPr>
              <w:pStyle w:val="NormalWeb"/>
              <w:jc w:val="both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  <w:r w:rsidRPr="005A2310">
              <w:rPr>
                <w:rFonts w:ascii="Calibri" w:hAnsi="Calibri" w:cs="Calibri"/>
                <w:b/>
                <w:sz w:val="18"/>
                <w:szCs w:val="22"/>
                <w:lang w:val="en-US" w:eastAsia="en-US"/>
              </w:rPr>
              <w:t xml:space="preserve">Indikatori aktivnosti  realnog sektora u novembru  2012 godine ukazuju na  nastavak trenda blagog rasta u turizmu i maloprodaji i nešto blaži godišnji pad industrijske proizvodnje nego prethodnih mjeseci. 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>U novembru je registrovano 1,6% više dolazaka i 1,8% više noćenja turista nego u istom mjesecu prošle godine , dok je za jedanaest mjeseci Crnu Goru posjetilo 1,423 mil.turista i ostvareno 9,103 mil.noćenja , što je rast od 3,5 i 4,3% u odnosu na isti period 2011.godine.Industrijska proizvodnja u novembru bilježi godišnji pad od 6,0%,koji je opredijeljen padom u sektorima “vađenje rude i kamena” 30,5% i “prerađivačka industrija “ 28,1%, dok sektor “snabdijevanje el.energijom, gasom i parom” bilježi godišnji rast od 60,8%.</w:t>
            </w:r>
            <w:r w:rsid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 xml:space="preserve"> 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>Godišnji pad prerađivačke industrije  od 28,1%,</w:t>
            </w:r>
            <w:r w:rsid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 xml:space="preserve"> 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 xml:space="preserve">opredijeljen </w:t>
            </w:r>
            <w:r w:rsid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>je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 xml:space="preserve"> padom proizvodnje metala od 57,5%</w:t>
            </w:r>
            <w:r w:rsid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 xml:space="preserve"> 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 xml:space="preserve">(pad proizvodnje aliminijuma i prekid proizvodnje čelika. Proizvodnja električne energije se povećava i u novembru bilježi godišnji rast od 65,9%, usljed visokog rasta proizvodnje u hidroelektranama, dok je u periodu januar-novembar zabilježen pad proizvodnje od 6,0%, usljed pada proizvodnje TE Pljevlja od 14,8% , </w:t>
            </w:r>
            <w:r w:rsid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>(godišnji remont)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>. Promet u maloprodaji u novembru( tekuće cijene) bilježi  rast od 2,1% u odnosu na novembar prošle godine , dok je u periodu januar-novembar ostvaren rast prometa od 7,1%, u odnosu na uporedni period 2011.godine.</w:t>
            </w:r>
          </w:p>
        </w:tc>
        <w:tc>
          <w:tcPr>
            <w:tcW w:w="3629" w:type="dxa"/>
            <w:vMerge/>
            <w:vAlign w:val="center"/>
          </w:tcPr>
          <w:p w:rsidR="002E6C4E" w:rsidRPr="00AD1B16" w:rsidRDefault="002E6C4E" w:rsidP="00FE641C">
            <w:pPr>
              <w:spacing w:after="119"/>
              <w:jc w:val="center"/>
              <w:rPr>
                <w:noProof/>
              </w:rPr>
            </w:pPr>
          </w:p>
        </w:tc>
      </w:tr>
      <w:tr w:rsidR="002E6C4E" w:rsidRPr="00AD1B16" w:rsidTr="00F2683C">
        <w:trPr>
          <w:gridAfter w:val="1"/>
          <w:wAfter w:w="57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2E6C4E" w:rsidRPr="00AD1B16" w:rsidRDefault="002E6C4E" w:rsidP="00FE641C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D1B1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Cijene</w:t>
            </w:r>
          </w:p>
        </w:tc>
        <w:tc>
          <w:tcPr>
            <w:tcW w:w="3629" w:type="dxa"/>
            <w:vMerge w:val="restart"/>
            <w:vAlign w:val="center"/>
          </w:tcPr>
          <w:p w:rsidR="002E6C4E" w:rsidRPr="00AD1B16" w:rsidRDefault="00F45849" w:rsidP="00676A4B">
            <w:pPr>
              <w:ind w:left="-250"/>
              <w:jc w:val="center"/>
              <w:rPr>
                <w:b/>
                <w:noProof/>
              </w:rPr>
            </w:pPr>
            <w:r w:rsidRPr="00F45849">
              <w:rPr>
                <w:b/>
                <w:noProof/>
              </w:rPr>
              <w:drawing>
                <wp:inline distT="0" distB="0" distL="0" distR="0">
                  <wp:extent cx="2088000" cy="2079500"/>
                  <wp:effectExtent l="0" t="0" r="0" b="0"/>
                  <wp:docPr id="4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2E6C4E" w:rsidRPr="00AD1B16" w:rsidTr="00F2683C">
        <w:trPr>
          <w:gridAfter w:val="1"/>
          <w:wAfter w:w="57" w:type="dxa"/>
          <w:trHeight w:val="3122"/>
        </w:trPr>
        <w:tc>
          <w:tcPr>
            <w:tcW w:w="7054" w:type="dxa"/>
            <w:tcBorders>
              <w:top w:val="single" w:sz="4" w:space="0" w:color="auto"/>
            </w:tcBorders>
          </w:tcPr>
          <w:p w:rsidR="00E70E32" w:rsidRPr="00E70E32" w:rsidRDefault="00257733" w:rsidP="005A2310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A2310">
              <w:rPr>
                <w:rFonts w:ascii="Calibri" w:hAnsi="Calibri" w:cs="Calibri"/>
                <w:b/>
                <w:sz w:val="18"/>
                <w:szCs w:val="22"/>
                <w:lang w:val="en-US" w:eastAsia="en-US"/>
              </w:rPr>
              <w:t xml:space="preserve">Nakon naglog skoka cijena u oktobru 2012 godine, u novembru je došlo do stabilizacije i godišnja stopa inflacije se zadržala na nivou od 5,2%, kao i prethodnog mjeseca. 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>Indeks potrošačkih cijena u novembru 2012 godine bilježi godišnji rast od 5,2%, što je opredijeljeno rastom cijena hrane(6,8%), električne energije(17,6%),duvana(16,5%),odjeće(9,4%) i goriva i maziva(4,0%).Inflacija,mjerena harmonizovanim indeksom potrošačkih cijena,u novembru bilježi godišnju stopu rasta od 4,8%, pri čemu su najveći uticaj na izmjerenu inflaciju imali rast cijena hrane 8,9%( ulja i masti 17,8%;voće 26,5%;povrće 34,0%), duvana 16,1%, električne energije 17,7%,odjeće 9,4% i goriva i maziva 3,7%. Cijene proizvođača industrijskih proizvoda u novembru bilježe godišnji rast od 4,5%, što je rezultat rasta cijena u sektoru “snabdijevanje električnom energijom,gasom i parom” od 18,7%. Godišnja stopa inflacija u EU zoni u novembru  bilježi pad u odnosu na oktobar(-0,3p.p) i iznosi 2,2.</w:t>
            </w:r>
            <w:r w:rsid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 xml:space="preserve"> 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>U zemljama regiona godišnja stopa inflacije u novembru  kretala se od 11,9% u Srbiji  do 1,9% u Bosni I Hercegovini.</w:t>
            </w:r>
            <w:r w:rsidRPr="005A2310">
              <w:rPr>
                <w:rFonts w:ascii="Calibri" w:hAnsi="Calibri" w:cs="Calibri"/>
                <w:sz w:val="18"/>
                <w:szCs w:val="22"/>
              </w:rPr>
              <w:t xml:space="preserve"> Iako je makroekonomskim projekcijama Ministrstva finansija iz oktobra projektovana inflacija na kraju 2012 godine iznosila 4,0%, izvjesno je  da će ona biti viša zbog naglog skoka cijena u oktobru. Prema poslednjim prognozama Centralne banke za kraj 2012 godine,</w:t>
            </w:r>
            <w:r w:rsidRPr="005A2310">
              <w:rPr>
                <w:rFonts w:ascii="Calibri" w:hAnsi="Calibri" w:cs="Calibri"/>
                <w:sz w:val="18"/>
                <w:szCs w:val="22"/>
                <w:lang w:val="en-US" w:eastAsia="en-US"/>
              </w:rPr>
              <w:t>predviđa se inflacija u rasponu od 4,7% do 6,0%.</w:t>
            </w:r>
          </w:p>
        </w:tc>
        <w:tc>
          <w:tcPr>
            <w:tcW w:w="3629" w:type="dxa"/>
            <w:vMerge/>
            <w:vAlign w:val="center"/>
          </w:tcPr>
          <w:p w:rsidR="002E6C4E" w:rsidRPr="00AD1B16" w:rsidRDefault="002E6C4E" w:rsidP="00480082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17"/>
                <w:szCs w:val="17"/>
              </w:rPr>
            </w:pPr>
          </w:p>
        </w:tc>
      </w:tr>
      <w:tr w:rsidR="002E6C4E" w:rsidRPr="00AD1B16" w:rsidTr="00F2683C">
        <w:trPr>
          <w:gridAfter w:val="1"/>
          <w:wAfter w:w="57" w:type="dxa"/>
          <w:trHeight w:val="255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2E6C4E" w:rsidRPr="00AD1B16" w:rsidRDefault="002E6C4E" w:rsidP="00A3386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Zaposlenost</w:t>
            </w:r>
            <w:r>
              <w:rPr>
                <w:b/>
                <w:bCs/>
                <w:sz w:val="20"/>
                <w:szCs w:val="20"/>
              </w:rPr>
              <w:t xml:space="preserve"> i </w:t>
            </w:r>
            <w:r w:rsidRPr="00AD1B16">
              <w:rPr>
                <w:b/>
                <w:bCs/>
                <w:sz w:val="20"/>
                <w:szCs w:val="20"/>
              </w:rPr>
              <w:t>zarade</w:t>
            </w:r>
          </w:p>
        </w:tc>
        <w:tc>
          <w:tcPr>
            <w:tcW w:w="3629" w:type="dxa"/>
            <w:vMerge w:val="restart"/>
            <w:vAlign w:val="center"/>
          </w:tcPr>
          <w:p w:rsidR="002E6C4E" w:rsidRPr="00AD1B16" w:rsidRDefault="00F45849" w:rsidP="00905F6A">
            <w:pPr>
              <w:ind w:left="-250"/>
              <w:jc w:val="center"/>
            </w:pPr>
            <w:r w:rsidRPr="00F45849">
              <w:rPr>
                <w:noProof/>
              </w:rPr>
              <w:drawing>
                <wp:inline distT="0" distB="0" distL="0" distR="0">
                  <wp:extent cx="2124000" cy="2052000"/>
                  <wp:effectExtent l="0" t="0" r="0" b="0"/>
                  <wp:docPr id="5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2E6C4E" w:rsidRPr="00AD1B16" w:rsidTr="00F2683C">
        <w:trPr>
          <w:gridAfter w:val="1"/>
          <w:wAfter w:w="57" w:type="dxa"/>
          <w:trHeight w:val="1986"/>
        </w:trPr>
        <w:tc>
          <w:tcPr>
            <w:tcW w:w="7054" w:type="dxa"/>
            <w:tcBorders>
              <w:top w:val="single" w:sz="4" w:space="0" w:color="auto"/>
            </w:tcBorders>
          </w:tcPr>
          <w:p w:rsidR="002E6C4E" w:rsidRPr="00E13E29" w:rsidRDefault="002E6C4E" w:rsidP="00F7546F">
            <w:pPr>
              <w:jc w:val="both"/>
              <w:rPr>
                <w:sz w:val="18"/>
                <w:szCs w:val="20"/>
              </w:rPr>
            </w:pPr>
            <w:r w:rsidRPr="00E13E29">
              <w:rPr>
                <w:b/>
                <w:sz w:val="18"/>
                <w:szCs w:val="20"/>
              </w:rPr>
              <w:t xml:space="preserve">Trend povećanja zaposlenosti i smanjenja nezaposlenosti se nastavlja </w:t>
            </w:r>
            <w:r w:rsidRPr="00E13E29">
              <w:rPr>
                <w:sz w:val="18"/>
                <w:szCs w:val="20"/>
              </w:rPr>
              <w:t>, tako da se tokom perioda broj zaposlenih povećao za 2,0%, a broj nezaposlenih se smanjio za 2,6%. U novembru 2012. godine broj zaposlenih je iznosio 168</w:t>
            </w:r>
            <w:r w:rsidR="005A2310" w:rsidRPr="00E13E29">
              <w:rPr>
                <w:sz w:val="18"/>
                <w:szCs w:val="20"/>
              </w:rPr>
              <w:t>.</w:t>
            </w:r>
            <w:r w:rsidRPr="00E13E29">
              <w:rPr>
                <w:sz w:val="18"/>
                <w:szCs w:val="20"/>
              </w:rPr>
              <w:t>589, a broj nezaposlenih 30</w:t>
            </w:r>
            <w:r w:rsidR="005A2310" w:rsidRPr="00E13E29">
              <w:rPr>
                <w:sz w:val="18"/>
                <w:szCs w:val="20"/>
              </w:rPr>
              <w:t>.</w:t>
            </w:r>
            <w:r w:rsidRPr="00E13E29">
              <w:rPr>
                <w:sz w:val="18"/>
                <w:szCs w:val="20"/>
              </w:rPr>
              <w:t>718.</w:t>
            </w:r>
            <w:r w:rsidR="00E13E29" w:rsidRPr="00E13E29">
              <w:rPr>
                <w:sz w:val="18"/>
                <w:szCs w:val="20"/>
              </w:rPr>
              <w:t xml:space="preserve"> U novembru </w:t>
            </w:r>
            <w:r w:rsidR="00E13E29">
              <w:rPr>
                <w:sz w:val="18"/>
                <w:szCs w:val="20"/>
              </w:rPr>
              <w:t xml:space="preserve">2012 stopa nezaposlenosti je iznosila </w:t>
            </w:r>
            <w:r w:rsidRPr="00E13E29">
              <w:rPr>
                <w:sz w:val="18"/>
                <w:szCs w:val="20"/>
              </w:rPr>
              <w:t xml:space="preserve"> 13,</w:t>
            </w:r>
            <w:r w:rsidR="00742B3A">
              <w:rPr>
                <w:sz w:val="18"/>
                <w:szCs w:val="20"/>
              </w:rPr>
              <w:t>24</w:t>
            </w:r>
            <w:r w:rsidRPr="00E13E29">
              <w:rPr>
                <w:sz w:val="18"/>
                <w:szCs w:val="20"/>
              </w:rPr>
              <w:t xml:space="preserve">% u. </w:t>
            </w:r>
            <w:r w:rsidRPr="00E13E29">
              <w:rPr>
                <w:b/>
                <w:sz w:val="18"/>
                <w:szCs w:val="20"/>
              </w:rPr>
              <w:t>Stopa nezaposlenosti po Anketi o radnoj snazi je u trećem kvartalu 2012 iznosila 18,8%, dok je u prethodnom kvartalu iznosila 20,0%.</w:t>
            </w:r>
            <w:r w:rsidRPr="00E13E29">
              <w:rPr>
                <w:sz w:val="18"/>
                <w:szCs w:val="20"/>
              </w:rPr>
              <w:t xml:space="preserve"> I dalje se povećava broj nezaposlenih lica koja prvi put traže zaposlenje (5,9% za čitav period), a u okviru njih najviše je visokoškolovanih lica ( 51,5% više u novembru 2012. nego u istom mjesecu prethodne godine). Za čitav period </w:t>
            </w:r>
            <w:r w:rsidRPr="00E13E29">
              <w:rPr>
                <w:b/>
                <w:sz w:val="18"/>
                <w:szCs w:val="20"/>
              </w:rPr>
              <w:t>povećan je broj lica koja se zapošljavaju posredstvom Zavoda za zapošljavanje za 18,2%.</w:t>
            </w:r>
            <w:r w:rsidRPr="00E13E29">
              <w:rPr>
                <w:sz w:val="18"/>
                <w:szCs w:val="20"/>
              </w:rPr>
              <w:t xml:space="preserve"> Slobodnih radnih mjesta u periodu od jedanaest mjeseci je bilo 23</w:t>
            </w:r>
            <w:r w:rsidR="00E13E29" w:rsidRPr="00E13E29">
              <w:rPr>
                <w:sz w:val="18"/>
                <w:szCs w:val="20"/>
              </w:rPr>
              <w:t>.</w:t>
            </w:r>
            <w:r w:rsidRPr="00E13E29">
              <w:rPr>
                <w:sz w:val="18"/>
                <w:szCs w:val="20"/>
              </w:rPr>
              <w:t>714, a stranaca sa radnom dozvolom 19</w:t>
            </w:r>
            <w:r w:rsidR="00E13E29" w:rsidRPr="00E13E29">
              <w:rPr>
                <w:sz w:val="18"/>
                <w:szCs w:val="20"/>
              </w:rPr>
              <w:t>.</w:t>
            </w:r>
            <w:r w:rsidRPr="00E13E29">
              <w:rPr>
                <w:sz w:val="18"/>
                <w:szCs w:val="20"/>
              </w:rPr>
              <w:t>266. Prosječne bruto zarade u novembru 2012. godine su iznosile 713€, dok su prosječne neto zarade iznosile 478€, a za čitav period su obje povećane po istoj stopi od 0,4%.</w:t>
            </w:r>
            <w:r w:rsidRPr="00E13E29">
              <w:rPr>
                <w:b/>
                <w:sz w:val="18"/>
                <w:szCs w:val="20"/>
              </w:rPr>
              <w:t xml:space="preserve"> Zarade bez poreza i doprinosa su u periodu januar-novembar 2012. u odnosu na januar-novembar 2011. god. realno smanjene za 3,6%,</w:t>
            </w:r>
            <w:r w:rsidRPr="00E13E29">
              <w:rPr>
                <w:sz w:val="18"/>
                <w:szCs w:val="20"/>
              </w:rPr>
              <w:t xml:space="preserve"> na što je u najvećoj mjeri uticao rast potrošačkih cijena od 4,1%.</w:t>
            </w:r>
          </w:p>
          <w:p w:rsidR="002E6C4E" w:rsidRPr="00AD1B16" w:rsidRDefault="002E6C4E" w:rsidP="00F7546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29" w:type="dxa"/>
            <w:vMerge/>
            <w:vAlign w:val="center"/>
          </w:tcPr>
          <w:p w:rsidR="002E6C4E" w:rsidRPr="00AD1B16" w:rsidRDefault="002E6C4E" w:rsidP="00CD1303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716A7D" w:rsidRPr="00AD1B16" w:rsidTr="00F2683C">
        <w:trPr>
          <w:trHeight w:val="236"/>
        </w:trPr>
        <w:tc>
          <w:tcPr>
            <w:tcW w:w="705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16A7D" w:rsidRPr="00AD1B16" w:rsidRDefault="00716A7D" w:rsidP="00D26EB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Javne</w:t>
            </w:r>
            <w:r w:rsidR="0069141C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finansije</w:t>
            </w:r>
          </w:p>
        </w:tc>
        <w:tc>
          <w:tcPr>
            <w:tcW w:w="3686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487296" w:rsidRPr="00AD1B16" w:rsidRDefault="0077299A" w:rsidP="00F70CC9">
            <w:pPr>
              <w:ind w:left="-250"/>
              <w:jc w:val="center"/>
            </w:pPr>
            <w:r w:rsidRPr="0077299A">
              <w:rPr>
                <w:noProof/>
              </w:rPr>
              <w:drawing>
                <wp:inline distT="0" distB="0" distL="0" distR="0">
                  <wp:extent cx="2415496" cy="1834085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D0474" w:rsidRPr="00AD1B16" w:rsidTr="00F2683C">
        <w:trPr>
          <w:trHeight w:val="2472"/>
        </w:trPr>
        <w:tc>
          <w:tcPr>
            <w:tcW w:w="7054" w:type="dxa"/>
            <w:tcBorders>
              <w:top w:val="single" w:sz="4" w:space="0" w:color="auto"/>
            </w:tcBorders>
          </w:tcPr>
          <w:p w:rsidR="00F2683C" w:rsidRDefault="00F2683C" w:rsidP="0081020F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:rsidR="0088092D" w:rsidRDefault="00167F3F" w:rsidP="0081020F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BD7A42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Budžet Crne Gore u novembru karakteriše ostvarenje prihoda na nivou prošle godine, uz značajno negativno odstupanje u odnosu na plan od 6,6%. Rashodi budžeta bilježe rast u odnosu na prošlu od 5,6%, </w:t>
            </w:r>
            <w:r w:rsidR="00A6334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dok su</w:t>
            </w:r>
            <w:r w:rsidRPr="00BD7A42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u odnosu na plan za novembar, rashodi su porasli 0,5%.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D7A4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Izvorni prihodi budžeta u novembru ostvareni su u iznosu od 85,3 mil €. </w:t>
            </w:r>
            <w:r w:rsidR="0088092D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Iako je naplata PDV u prethodnom mjesecu ostvarila pozitivna odstupanja u odnosu na plan i prošlu, u novembru je ponovo vidljiv blagi pad. Akcize bilježe blagi rast u odnosu na novembar prošle</w:t>
            </w:r>
            <w:r w:rsidR="0081020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 (5,8%)</w:t>
            </w:r>
            <w:r w:rsidR="0088092D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81020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međutim, nedovoljno da bi dostigli plan (-13,8%). Pad je usled usklađivanja sa CEFTA sporazumom ostvaren i kod poreza na međunarodnu trgovinu i transakcije (54,7% u odnosu na plan i 49,5% u odnosu na prošlu).</w:t>
            </w:r>
            <w:r w:rsidR="0088092D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 Pad indirektnih prihoda, djelimično je kompenzovan rastom direktnih prihoda –poreza i doprinosa na zarade, nastalih kao posljedica rasta zaposlenosti. Rashodi budžeta iznosili su 109,4 mil €, što je uz očekivano nizak nivo prihoda u novembru, doprinijelo deficitu budžeta od 24 mil €. </w:t>
            </w:r>
            <w:r w:rsidR="00703116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Državni dug na kraju novembra</w:t>
            </w:r>
            <w:r w:rsidR="00A63349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 se smanjio i</w:t>
            </w:r>
            <w:r w:rsidR="00703116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 iznosio je </w:t>
            </w:r>
            <w:r w:rsidR="00A63349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1,700.2 mil € ili 51,1 % BDP-a.</w:t>
            </w:r>
          </w:p>
          <w:p w:rsidR="00F2683C" w:rsidRPr="00A63349" w:rsidRDefault="00F2683C" w:rsidP="0081020F">
            <w:pPr>
              <w:pStyle w:val="NormalWeb"/>
              <w:spacing w:before="0" w:beforeAutospacing="0" w:after="0"/>
              <w:jc w:val="both"/>
            </w:pPr>
          </w:p>
        </w:tc>
        <w:tc>
          <w:tcPr>
            <w:tcW w:w="3686" w:type="dxa"/>
            <w:gridSpan w:val="2"/>
            <w:vMerge/>
            <w:tcBorders>
              <w:top w:val="nil"/>
            </w:tcBorders>
            <w:vAlign w:val="center"/>
          </w:tcPr>
          <w:p w:rsidR="00AD0474" w:rsidRPr="00AD1B16" w:rsidRDefault="00AD0474" w:rsidP="00461324">
            <w:pPr>
              <w:jc w:val="center"/>
              <w:rPr>
                <w:noProof/>
              </w:rPr>
            </w:pPr>
          </w:p>
        </w:tc>
      </w:tr>
      <w:tr w:rsidR="00ED66A9" w:rsidRPr="00AD1B16" w:rsidTr="00F2683C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ED66A9" w:rsidRPr="00AD1B16" w:rsidRDefault="00ED66A9" w:rsidP="00461324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Bankarski</w:t>
            </w:r>
            <w:r w:rsidR="00740037">
              <w:rPr>
                <w:b/>
                <w:bCs/>
                <w:sz w:val="20"/>
                <w:szCs w:val="20"/>
              </w:rPr>
              <w:t xml:space="preserve">  </w:t>
            </w:r>
            <w:r w:rsidRPr="00AD1B16">
              <w:rPr>
                <w:b/>
                <w:bCs/>
                <w:sz w:val="20"/>
                <w:szCs w:val="20"/>
              </w:rPr>
              <w:t>sektor</w:t>
            </w:r>
            <w:r w:rsidR="00740037">
              <w:rPr>
                <w:b/>
                <w:bCs/>
                <w:sz w:val="20"/>
                <w:szCs w:val="20"/>
              </w:rPr>
              <w:t xml:space="preserve">  I </w:t>
            </w:r>
            <w:r w:rsidRPr="00AD1B16">
              <w:rPr>
                <w:b/>
                <w:bCs/>
                <w:sz w:val="20"/>
                <w:szCs w:val="20"/>
              </w:rPr>
              <w:t>likvidnost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ED66A9" w:rsidRPr="00AD1B16" w:rsidRDefault="00F45849" w:rsidP="00B74947">
            <w:pPr>
              <w:ind w:left="-250"/>
              <w:jc w:val="center"/>
            </w:pPr>
            <w:r w:rsidRPr="00F45849">
              <w:rPr>
                <w:noProof/>
              </w:rPr>
              <w:drawing>
                <wp:inline distT="0" distB="0" distL="0" distR="0">
                  <wp:extent cx="2088000" cy="2060660"/>
                  <wp:effectExtent l="0" t="0" r="7500" b="0"/>
                  <wp:docPr id="6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A46C9C" w:rsidRPr="00AD1B16" w:rsidTr="00F2683C">
        <w:trPr>
          <w:trHeight w:val="4232"/>
        </w:trPr>
        <w:tc>
          <w:tcPr>
            <w:tcW w:w="7054" w:type="dxa"/>
            <w:tcBorders>
              <w:top w:val="single" w:sz="4" w:space="0" w:color="auto"/>
            </w:tcBorders>
          </w:tcPr>
          <w:p w:rsidR="00F2683C" w:rsidRDefault="00F2683C" w:rsidP="00447221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sz w:val="16"/>
                <w:szCs w:val="17"/>
              </w:rPr>
            </w:pPr>
          </w:p>
          <w:p w:rsidR="00A46C9C" w:rsidRPr="00AD1B16" w:rsidRDefault="00F9211F" w:rsidP="00447221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Monetarna kretanja u novembru karakteriše rast depozita i ukupnih kredita i poboljšanje svih parametara aktive. </w:t>
            </w:r>
            <w:r w:rsidRPr="00B82E07"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>Ukupni depoziti</w:t>
            </w:r>
            <w:r w:rsidRPr="00B82E07"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 su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 xml:space="preserve"> </w:t>
            </w:r>
            <w:r w:rsidRPr="00B82E07">
              <w:rPr>
                <w:rFonts w:asciiTheme="minorHAnsi" w:hAnsiTheme="minorHAnsi" w:cstheme="minorHAnsi"/>
                <w:bCs/>
                <w:sz w:val="16"/>
                <w:szCs w:val="17"/>
              </w:rPr>
              <w:t>ostvarili rast od 0,9 %</w:t>
            </w: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 na mjesečnom i 8,3 % na godišnjem nivou. Od  avgusta mjeseca nivo depozita je veći od ostvarenog iznosa kredita. Sektorski posmatrano,najveće učešće u ukupnim depozitima imaju depoziti stanovništva , koji sa iznosom od 1134,7 mil .€ čine 57,2 % i ostvarenim rastom od  10,6 %  u odnosu na isti mjesec prethodne godine. Vrijednost </w:t>
            </w:r>
            <w:r w:rsidRPr="00B82E07"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>ukupnih kredita</w:t>
            </w:r>
            <w:r w:rsidRPr="002F0269"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 je</w:t>
            </w: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 1866,1 mil. €, što je za 0,4 % više u odnosu na prethodni mjesec,dok je na godišnjem nivou ostvaren pad od 3,7 %. Kreditno zaduženje sektora </w:t>
            </w:r>
            <w:r w:rsidRPr="002F0269"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>privrede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 xml:space="preserve"> </w:t>
            </w:r>
            <w:r w:rsidRPr="002F0269">
              <w:rPr>
                <w:rFonts w:asciiTheme="minorHAnsi" w:hAnsiTheme="minorHAnsi" w:cstheme="minorHAnsi"/>
                <w:bCs/>
                <w:sz w:val="16"/>
                <w:szCs w:val="17"/>
              </w:rPr>
              <w:t>je</w:t>
            </w: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 iznosilo 905,0 mil. €,što u odnosu na prethodni mjesec predstavlja povećanje od 1,5 %, dok krediti stanovništva bilježe pad od 0,4 % u posmatranom periodu. Pri tome,dug po glavi stanovnika mjeren odnosom ukupnih kredita i broja stanovnika je iznosio 1319  €, dok  je dug po zaposlenom bio 4852 €. Aktivne efektivne </w:t>
            </w:r>
            <w:r w:rsidRPr="00F60F1B"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>kamatne stope</w:t>
            </w: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 na  kredite su iznosile 9,49 % što predstavlja blago sniženje u odnosu na oktobar, dok su pasivne kamatne stope iznosile 3,24 % i bile na nivou  prethodnog mjeseca. Kvalitet aktive je poboljšan , tako da je učešće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 xml:space="preserve">kredita koji kasne sa otplatom </w:t>
            </w:r>
            <w:r w:rsidRPr="002A3F27">
              <w:rPr>
                <w:rFonts w:asciiTheme="minorHAnsi" w:hAnsiTheme="minorHAnsi" w:cstheme="minorHAnsi"/>
                <w:bCs/>
                <w:sz w:val="16"/>
                <w:szCs w:val="17"/>
              </w:rPr>
              <w:t>smanjeno</w:t>
            </w: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 sa 25,46 % u oktobru na 22,38 % u novembru .Pri tome ,</w:t>
            </w:r>
            <w:r w:rsidRPr="006653EE"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>nekvalitetni krediti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 xml:space="preserve"> </w:t>
            </w:r>
            <w:r w:rsidRPr="006653EE">
              <w:rPr>
                <w:rFonts w:asciiTheme="minorHAnsi" w:hAnsiTheme="minorHAnsi" w:cstheme="minorHAnsi"/>
                <w:bCs/>
                <w:sz w:val="16"/>
                <w:szCs w:val="17"/>
              </w:rPr>
              <w:t>ko</w:t>
            </w: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ji su iznosili 329,4 mil.€  su smanjeni za 0,3 % u odnosu na prethodni mjesec i 3,5 % na godišnjem nivou. </w:t>
            </w:r>
            <w:r w:rsidRPr="005C74EB"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>Nelikvidnost privrede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7"/>
              </w:rPr>
              <w:t xml:space="preserve"> </w:t>
            </w:r>
            <w:r w:rsidRPr="005C74EB">
              <w:rPr>
                <w:rFonts w:asciiTheme="minorHAnsi" w:hAnsiTheme="minorHAnsi" w:cstheme="minorHAnsi"/>
                <w:bCs/>
                <w:sz w:val="16"/>
                <w:szCs w:val="17"/>
              </w:rPr>
              <w:t>se dalje produbljuje</w:t>
            </w: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>, tako da  je u blokadi bilo 12.083 firmi  u novembru ,odnosno 1 % više u odnosu na prethodni mjesec.Ukupan dug po osnovu koga je izvršeno blokiranje računa je iznosio   434,9  mil. € ,ili 9,1 %  više na mjesečnom ,  ili 19,2 % na godišnjem nivou.</w:t>
            </w:r>
          </w:p>
        </w:tc>
        <w:tc>
          <w:tcPr>
            <w:tcW w:w="3686" w:type="dxa"/>
            <w:gridSpan w:val="2"/>
            <w:vMerge/>
            <w:vAlign w:val="center"/>
          </w:tcPr>
          <w:p w:rsidR="00A46C9C" w:rsidRPr="00AD1B16" w:rsidRDefault="00A46C9C" w:rsidP="00FE641C">
            <w:pPr>
              <w:spacing w:after="119"/>
              <w:jc w:val="center"/>
              <w:rPr>
                <w:noProof/>
              </w:rPr>
            </w:pPr>
          </w:p>
        </w:tc>
      </w:tr>
      <w:tr w:rsidR="00A46C9C" w:rsidRPr="00AD1B16" w:rsidTr="00F2683C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A46C9C" w:rsidRPr="00AD1B16" w:rsidRDefault="00A46C9C" w:rsidP="00734688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Spoljnotrgovinska</w:t>
            </w:r>
            <w:r w:rsidR="00553E61">
              <w:rPr>
                <w:b/>
                <w:bCs/>
                <w:sz w:val="20"/>
                <w:szCs w:val="20"/>
              </w:rPr>
              <w:t xml:space="preserve">  </w:t>
            </w:r>
            <w:r w:rsidRPr="00AD1B16">
              <w:rPr>
                <w:b/>
                <w:bCs/>
                <w:sz w:val="20"/>
                <w:szCs w:val="20"/>
              </w:rPr>
              <w:t>razmjena</w:t>
            </w:r>
            <w:r w:rsidR="00553E61">
              <w:rPr>
                <w:b/>
                <w:bCs/>
                <w:sz w:val="20"/>
                <w:szCs w:val="20"/>
              </w:rPr>
              <w:t xml:space="preserve"> </w:t>
            </w:r>
            <w:r w:rsidR="00734688">
              <w:rPr>
                <w:b/>
                <w:bCs/>
                <w:sz w:val="20"/>
                <w:szCs w:val="20"/>
              </w:rPr>
              <w:t xml:space="preserve"> i</w:t>
            </w:r>
            <w:r w:rsidR="00553E61">
              <w:rPr>
                <w:b/>
                <w:bCs/>
                <w:sz w:val="20"/>
                <w:szCs w:val="20"/>
              </w:rPr>
              <w:t xml:space="preserve">  </w:t>
            </w:r>
            <w:r w:rsidRPr="00AD1B16">
              <w:rPr>
                <w:b/>
                <w:bCs/>
                <w:sz w:val="20"/>
                <w:szCs w:val="20"/>
              </w:rPr>
              <w:t>investicije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A46C9C" w:rsidRPr="00AD1B16" w:rsidRDefault="00F45849" w:rsidP="00B74947">
            <w:pPr>
              <w:ind w:left="-250"/>
              <w:jc w:val="center"/>
              <w:rPr>
                <w:sz w:val="17"/>
                <w:szCs w:val="17"/>
              </w:rPr>
            </w:pPr>
            <w:r w:rsidRPr="00F45849">
              <w:rPr>
                <w:noProof/>
                <w:sz w:val="17"/>
                <w:szCs w:val="17"/>
              </w:rPr>
              <w:drawing>
                <wp:inline distT="0" distB="0" distL="0" distR="0">
                  <wp:extent cx="2132818" cy="1958272"/>
                  <wp:effectExtent l="0" t="0" r="0" b="0"/>
                  <wp:docPr id="7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46C9C" w:rsidRPr="00AD1B16" w:rsidTr="00F2683C">
        <w:trPr>
          <w:trHeight w:val="4461"/>
        </w:trPr>
        <w:tc>
          <w:tcPr>
            <w:tcW w:w="7054" w:type="dxa"/>
            <w:tcBorders>
              <w:top w:val="single" w:sz="4" w:space="0" w:color="auto"/>
            </w:tcBorders>
          </w:tcPr>
          <w:p w:rsidR="00553E61" w:rsidRPr="009F7BAD" w:rsidRDefault="00553E61" w:rsidP="00553E61">
            <w:pPr>
              <w:jc w:val="both"/>
              <w:rPr>
                <w:sz w:val="17"/>
                <w:szCs w:val="17"/>
              </w:rPr>
            </w:pPr>
            <w:r w:rsidRPr="00D16DFD">
              <w:rPr>
                <w:rFonts w:cstheme="minorHAnsi"/>
                <w:b/>
                <w:sz w:val="17"/>
                <w:szCs w:val="17"/>
              </w:rPr>
              <w:t xml:space="preserve">Neto strane direktne investicije za </w:t>
            </w:r>
            <w:r>
              <w:rPr>
                <w:rFonts w:cstheme="minorHAnsi"/>
                <w:b/>
                <w:sz w:val="17"/>
                <w:szCs w:val="17"/>
              </w:rPr>
              <w:t>jedanaest</w:t>
            </w:r>
            <w:r w:rsidRPr="00D16DFD">
              <w:rPr>
                <w:rFonts w:cstheme="minorHAnsi"/>
                <w:b/>
                <w:sz w:val="17"/>
                <w:szCs w:val="17"/>
              </w:rPr>
              <w:t xml:space="preserve"> mjeseci 2012. bilježe oporavak  i rast od 1</w:t>
            </w:r>
            <w:r>
              <w:rPr>
                <w:rFonts w:cstheme="minorHAnsi"/>
                <w:b/>
                <w:sz w:val="17"/>
                <w:szCs w:val="17"/>
              </w:rPr>
              <w:t>5</w:t>
            </w:r>
            <w:r w:rsidRPr="00D16DFD">
              <w:rPr>
                <w:rFonts w:cstheme="minorHAnsi"/>
                <w:b/>
                <w:sz w:val="17"/>
                <w:szCs w:val="17"/>
              </w:rPr>
              <w:t>,</w:t>
            </w:r>
            <w:r>
              <w:rPr>
                <w:rFonts w:cstheme="minorHAnsi"/>
                <w:b/>
                <w:sz w:val="17"/>
                <w:szCs w:val="17"/>
              </w:rPr>
              <w:t>5</w:t>
            </w:r>
            <w:r w:rsidRPr="00D16DFD">
              <w:rPr>
                <w:rFonts w:cstheme="minorHAnsi"/>
                <w:b/>
                <w:sz w:val="17"/>
                <w:szCs w:val="17"/>
              </w:rPr>
              <w:t xml:space="preserve">%, dostižući </w:t>
            </w:r>
            <w:r>
              <w:rPr>
                <w:rFonts w:cstheme="minorHAnsi"/>
                <w:b/>
                <w:sz w:val="17"/>
                <w:szCs w:val="17"/>
              </w:rPr>
              <w:t>12,4</w:t>
            </w:r>
            <w:r w:rsidRPr="00D16DFD">
              <w:rPr>
                <w:rFonts w:cstheme="minorHAnsi"/>
                <w:b/>
                <w:sz w:val="17"/>
                <w:szCs w:val="17"/>
              </w:rPr>
              <w:t>% procijenjenog BDP-a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="003A143C">
              <w:rPr>
                <w:rFonts w:cstheme="minorHAnsi"/>
                <w:sz w:val="17"/>
                <w:szCs w:val="17"/>
              </w:rPr>
              <w:t xml:space="preserve"> Na drugoj strani, i</w:t>
            </w:r>
            <w:r w:rsidR="003A143C">
              <w:rPr>
                <w:rFonts w:cstheme="minorHAnsi"/>
                <w:sz w:val="17"/>
                <w:szCs w:val="17"/>
                <w:lang w:val="sr-Latn-CS"/>
              </w:rPr>
              <w:t>zvoz roba bilježi pad uz istovremeni blagi rast uvoza usljed pada ekonomske aktivnosti, smanjenja domaće i inostrane  tražnje i negativnih eksternih faktora (smanjenje cijene metala).</w:t>
            </w:r>
            <w:r w:rsidR="003A143C" w:rsidRPr="00156485">
              <w:rPr>
                <w:rFonts w:cstheme="minorHAnsi"/>
                <w:sz w:val="17"/>
                <w:szCs w:val="17"/>
              </w:rPr>
              <w:t xml:space="preserve"> Ukup</w:t>
            </w:r>
            <w:r w:rsidR="003A143C">
              <w:rPr>
                <w:rFonts w:cstheme="minorHAnsi"/>
                <w:sz w:val="17"/>
                <w:szCs w:val="17"/>
              </w:rPr>
              <w:t>an</w:t>
            </w:r>
            <w:r w:rsidR="003A143C" w:rsidRPr="00156485">
              <w:rPr>
                <w:rFonts w:cstheme="minorHAnsi"/>
                <w:sz w:val="17"/>
                <w:szCs w:val="17"/>
              </w:rPr>
              <w:t xml:space="preserve"> </w:t>
            </w:r>
            <w:r w:rsidR="003A143C">
              <w:rPr>
                <w:rFonts w:cstheme="minorHAnsi"/>
                <w:sz w:val="17"/>
                <w:szCs w:val="17"/>
              </w:rPr>
              <w:t>obim robne razmjene u period januar-novembar 2012.  iznosio je 2.015,3mil.€, što je za  3,0% manje, dok je istovremeno spoljnotrgovinski deficit iznosio 1.346,5 mil.€ i za 8,4% je veći nego u istom periodu 2011. godine.</w:t>
            </w:r>
            <w:r w:rsidR="003A143C" w:rsidRPr="00156485">
              <w:rPr>
                <w:rFonts w:cstheme="minorHAnsi"/>
                <w:sz w:val="17"/>
                <w:szCs w:val="17"/>
              </w:rPr>
              <w:t xml:space="preserve"> </w:t>
            </w:r>
            <w:r w:rsidR="003A143C">
              <w:rPr>
                <w:rFonts w:cstheme="minorHAnsi"/>
                <w:sz w:val="17"/>
                <w:szCs w:val="17"/>
              </w:rPr>
              <w:t xml:space="preserve"> Spoljnotrgovinski deficit Crne Gore odražava trend ekonomske stagnacije i zavisnost od u</w:t>
            </w:r>
            <w:r w:rsidR="003A143C">
              <w:rPr>
                <w:rFonts w:cstheme="minorHAnsi"/>
                <w:sz w:val="17"/>
                <w:szCs w:val="17"/>
                <w:lang w:val="sr-Latn-CS"/>
              </w:rPr>
              <w:t>voza finalnih proizvoda.</w:t>
            </w:r>
            <w:r w:rsidR="003A143C">
              <w:rPr>
                <w:rFonts w:cstheme="minorHAnsi"/>
                <w:sz w:val="17"/>
                <w:szCs w:val="17"/>
              </w:rPr>
              <w:t xml:space="preserve"> Takođe, p</w:t>
            </w:r>
            <w:r w:rsidR="003A143C">
              <w:rPr>
                <w:rFonts w:cstheme="minorHAnsi"/>
                <w:sz w:val="17"/>
                <w:szCs w:val="17"/>
                <w:lang w:val="sr-Latn-CS"/>
              </w:rPr>
              <w:t>risutna  spoljnotrgovinska neravnoteža je pod uticajem pada industrijske proizvodnje koji je za navedeni period iznosio  9,1 %, kao i pada prozvodnje električne energije od  6,4 %.</w:t>
            </w:r>
            <w:r w:rsidR="003A143C" w:rsidRPr="00156485">
              <w:rPr>
                <w:rFonts w:cstheme="minorHAnsi"/>
                <w:sz w:val="17"/>
                <w:szCs w:val="17"/>
              </w:rPr>
              <w:t xml:space="preserve"> </w:t>
            </w:r>
            <w:r w:rsidR="003A143C">
              <w:rPr>
                <w:rFonts w:cstheme="minorHAnsi"/>
                <w:sz w:val="17"/>
                <w:szCs w:val="17"/>
              </w:rPr>
              <w:t xml:space="preserve"> </w:t>
            </w:r>
            <w:r w:rsidR="003A143C" w:rsidRPr="00156485">
              <w:rPr>
                <w:rFonts w:cstheme="minorHAnsi"/>
                <w:sz w:val="17"/>
                <w:szCs w:val="17"/>
              </w:rPr>
              <w:t>Izvozeno</w:t>
            </w:r>
            <w:r w:rsidR="003A143C">
              <w:rPr>
                <w:rFonts w:cstheme="minorHAnsi"/>
                <w:sz w:val="17"/>
                <w:szCs w:val="17"/>
              </w:rPr>
              <w:t xml:space="preserve"> je </w:t>
            </w:r>
            <w:r w:rsidR="003A143C" w:rsidRPr="00D84595">
              <w:rPr>
                <w:rFonts w:cstheme="minorHAnsi"/>
                <w:sz w:val="17"/>
                <w:szCs w:val="17"/>
              </w:rPr>
              <w:t xml:space="preserve">robe </w:t>
            </w:r>
            <w:r w:rsidR="003A143C">
              <w:rPr>
                <w:rFonts w:cstheme="minorHAnsi"/>
                <w:sz w:val="17"/>
                <w:szCs w:val="17"/>
              </w:rPr>
              <w:t>u vrijednosti od  334,4</w:t>
            </w:r>
            <w:r w:rsidR="003A143C" w:rsidRPr="00D84595">
              <w:rPr>
                <w:rFonts w:cstheme="minorHAnsi"/>
                <w:sz w:val="17"/>
                <w:szCs w:val="17"/>
              </w:rPr>
              <w:t>mil.€ ili</w:t>
            </w:r>
            <w:r w:rsidR="003A143C">
              <w:rPr>
                <w:rFonts w:cstheme="minorHAnsi"/>
                <w:sz w:val="17"/>
                <w:szCs w:val="17"/>
              </w:rPr>
              <w:t xml:space="preserve"> 20,0</w:t>
            </w:r>
            <w:r w:rsidR="003A143C" w:rsidRPr="00D84595">
              <w:rPr>
                <w:rFonts w:cstheme="minorHAnsi"/>
                <w:sz w:val="17"/>
                <w:szCs w:val="17"/>
              </w:rPr>
              <w:t>% manje, a uv</w:t>
            </w:r>
            <w:r w:rsidR="003A143C">
              <w:rPr>
                <w:rFonts w:cstheme="minorHAnsi"/>
                <w:sz w:val="17"/>
                <w:szCs w:val="17"/>
              </w:rPr>
              <w:t>e</w:t>
            </w:r>
            <w:r w:rsidR="003A143C" w:rsidRPr="00D84595">
              <w:rPr>
                <w:rFonts w:cstheme="minorHAnsi"/>
                <w:sz w:val="17"/>
                <w:szCs w:val="17"/>
              </w:rPr>
              <w:t>z</w:t>
            </w:r>
            <w:r w:rsidR="003A143C">
              <w:rPr>
                <w:rFonts w:cstheme="minorHAnsi"/>
                <w:sz w:val="17"/>
                <w:szCs w:val="17"/>
              </w:rPr>
              <w:t>eno 1.680,9</w:t>
            </w:r>
            <w:r w:rsidR="003A143C" w:rsidRPr="00D84595">
              <w:rPr>
                <w:rFonts w:cstheme="minorHAnsi"/>
                <w:sz w:val="17"/>
                <w:szCs w:val="17"/>
              </w:rPr>
              <w:t>mil.€ ili 1,</w:t>
            </w:r>
            <w:r w:rsidR="003A143C">
              <w:rPr>
                <w:rFonts w:cstheme="minorHAnsi"/>
                <w:sz w:val="17"/>
                <w:szCs w:val="17"/>
              </w:rPr>
              <w:t>3</w:t>
            </w:r>
            <w:r w:rsidR="003A143C" w:rsidRPr="00D84595">
              <w:rPr>
                <w:rFonts w:cstheme="minorHAnsi"/>
                <w:sz w:val="17"/>
                <w:szCs w:val="17"/>
              </w:rPr>
              <w:t xml:space="preserve">% više u odnosu na isti period prethodne godine.  Stepen pokrivenosti izvoza uvozom robe smanjen je </w:t>
            </w:r>
            <w:r w:rsidR="003A143C">
              <w:rPr>
                <w:rFonts w:cstheme="minorHAnsi"/>
                <w:sz w:val="17"/>
                <w:szCs w:val="17"/>
              </w:rPr>
              <w:t xml:space="preserve">za 5,3% p.p i iznosi 19,9%. </w:t>
            </w:r>
            <w:r w:rsidR="00512CBD">
              <w:rPr>
                <w:rFonts w:cstheme="minorHAnsi"/>
                <w:sz w:val="17"/>
                <w:szCs w:val="17"/>
              </w:rPr>
              <w:t>P</w:t>
            </w:r>
            <w:r w:rsidR="003A143C">
              <w:rPr>
                <w:rFonts w:cstheme="minorHAnsi"/>
                <w:sz w:val="17"/>
                <w:szCs w:val="17"/>
              </w:rPr>
              <w:t xml:space="preserve">ad </w:t>
            </w:r>
            <w:r w:rsidR="003A143C" w:rsidRPr="00D84595">
              <w:rPr>
                <w:rFonts w:cstheme="minorHAnsi"/>
                <w:b/>
                <w:sz w:val="17"/>
                <w:szCs w:val="17"/>
              </w:rPr>
              <w:t>izvoza</w:t>
            </w:r>
            <w:r w:rsidR="003A143C" w:rsidRPr="00D84595">
              <w:rPr>
                <w:rFonts w:cstheme="minorHAnsi"/>
                <w:sz w:val="17"/>
                <w:szCs w:val="17"/>
              </w:rPr>
              <w:t xml:space="preserve"> </w:t>
            </w:r>
            <w:r w:rsidR="003A143C">
              <w:rPr>
                <w:rFonts w:cstheme="minorHAnsi"/>
                <w:sz w:val="17"/>
                <w:szCs w:val="17"/>
              </w:rPr>
              <w:t xml:space="preserve">rezultat je smanjenja </w:t>
            </w:r>
            <w:r w:rsidR="003A143C" w:rsidRPr="00D84595">
              <w:rPr>
                <w:rFonts w:cstheme="minorHAnsi"/>
                <w:sz w:val="17"/>
                <w:szCs w:val="17"/>
              </w:rPr>
              <w:t>izvoza aluminijuma za 2</w:t>
            </w:r>
            <w:r w:rsidR="003A143C">
              <w:rPr>
                <w:rFonts w:cstheme="minorHAnsi"/>
                <w:sz w:val="17"/>
                <w:szCs w:val="17"/>
              </w:rPr>
              <w:t>6</w:t>
            </w:r>
            <w:r w:rsidR="003A143C" w:rsidRPr="00D84595">
              <w:rPr>
                <w:rFonts w:cstheme="minorHAnsi"/>
                <w:sz w:val="17"/>
                <w:szCs w:val="17"/>
              </w:rPr>
              <w:t>,0%,  na koji se odnosi 38,</w:t>
            </w:r>
            <w:r w:rsidR="003A143C">
              <w:rPr>
                <w:rFonts w:cstheme="minorHAnsi"/>
                <w:sz w:val="17"/>
                <w:szCs w:val="17"/>
              </w:rPr>
              <w:t>1</w:t>
            </w:r>
            <w:r w:rsidR="003A143C" w:rsidRPr="00D84595">
              <w:rPr>
                <w:rFonts w:cstheme="minorHAnsi"/>
                <w:sz w:val="17"/>
                <w:szCs w:val="17"/>
              </w:rPr>
              <w:t>%  ukupnog izvoza</w:t>
            </w:r>
            <w:r w:rsidR="003A143C">
              <w:rPr>
                <w:rFonts w:cstheme="minorHAnsi"/>
                <w:sz w:val="17"/>
                <w:szCs w:val="17"/>
              </w:rPr>
              <w:t xml:space="preserve">, i </w:t>
            </w:r>
            <w:r w:rsidR="003A143C" w:rsidRPr="00D84595">
              <w:rPr>
                <w:rFonts w:cstheme="minorHAnsi"/>
                <w:sz w:val="17"/>
                <w:szCs w:val="17"/>
              </w:rPr>
              <w:t xml:space="preserve">u velikoj mjeri </w:t>
            </w:r>
            <w:r w:rsidR="003A143C">
              <w:rPr>
                <w:rFonts w:cstheme="minorHAnsi"/>
                <w:sz w:val="17"/>
                <w:szCs w:val="17"/>
              </w:rPr>
              <w:t xml:space="preserve">je </w:t>
            </w:r>
            <w:r w:rsidR="003A143C" w:rsidRPr="00D84595">
              <w:rPr>
                <w:rFonts w:cstheme="minorHAnsi"/>
                <w:sz w:val="17"/>
                <w:szCs w:val="17"/>
              </w:rPr>
              <w:t xml:space="preserve">pod uticajem </w:t>
            </w:r>
            <w:r w:rsidR="003A143C">
              <w:rPr>
                <w:rFonts w:cstheme="minorHAnsi"/>
                <w:sz w:val="17"/>
                <w:szCs w:val="17"/>
              </w:rPr>
              <w:t xml:space="preserve">smanjenja proizvodnje u KAP-u. </w:t>
            </w:r>
            <w:r w:rsidR="00512CBD">
              <w:rPr>
                <w:rFonts w:cstheme="minorHAnsi"/>
                <w:sz w:val="17"/>
                <w:szCs w:val="17"/>
              </w:rPr>
              <w:t xml:space="preserve"> </w:t>
            </w:r>
            <w:r w:rsidR="003A143C">
              <w:rPr>
                <w:rFonts w:cstheme="minorHAnsi"/>
                <w:sz w:val="17"/>
                <w:szCs w:val="17"/>
              </w:rPr>
              <w:t xml:space="preserve">Izvoz aluminijuma i proizvoda od aluminijuma u zemlje EU-27, koje predstavljaju glavno izvozno tržište, manji je za 56,3% u odnosu na isti period 2011. U strukturi </w:t>
            </w:r>
            <w:r w:rsidR="003A143C" w:rsidRPr="007A12D4">
              <w:rPr>
                <w:rFonts w:cstheme="minorHAnsi"/>
                <w:b/>
                <w:sz w:val="17"/>
                <w:szCs w:val="17"/>
              </w:rPr>
              <w:t>uvoza</w:t>
            </w:r>
            <w:r w:rsidR="003A143C">
              <w:rPr>
                <w:rFonts w:cstheme="minorHAnsi"/>
                <w:sz w:val="17"/>
                <w:szCs w:val="17"/>
              </w:rPr>
              <w:t xml:space="preserve"> najviše su zastupljeni hrana i žive životinje (19,4% ukupnog uvoza) i proizvodi sektora mineralna goriva i maziva (19,0% ukupnog uvoza). Povećanje </w:t>
            </w:r>
            <w:r w:rsidR="003A143C" w:rsidRPr="00C32DA1">
              <w:rPr>
                <w:rFonts w:cstheme="minorHAnsi"/>
                <w:b/>
                <w:sz w:val="17"/>
                <w:szCs w:val="17"/>
              </w:rPr>
              <w:t>uvoza</w:t>
            </w:r>
            <w:r w:rsidR="003A143C">
              <w:rPr>
                <w:rFonts w:cstheme="minorHAnsi"/>
                <w:sz w:val="17"/>
                <w:szCs w:val="17"/>
              </w:rPr>
              <w:t xml:space="preserve">, većim dijelom je posljedica rasta cijena prehrambenih proizvoda i energenata na svjetskom tržištu.Najveći spoljnotrgovinski partner  bile </w:t>
            </w:r>
            <w:r w:rsidR="003A143C" w:rsidRPr="00095AEB">
              <w:rPr>
                <w:rFonts w:cstheme="minorHAnsi"/>
                <w:sz w:val="17"/>
                <w:szCs w:val="17"/>
              </w:rPr>
              <w:t>su</w:t>
            </w:r>
            <w:r w:rsidR="003A143C" w:rsidRPr="00095AEB">
              <w:rPr>
                <w:rFonts w:cstheme="minorHAnsi"/>
                <w:b/>
                <w:sz w:val="17"/>
                <w:szCs w:val="17"/>
              </w:rPr>
              <w:t xml:space="preserve"> zemlje CEFTA</w:t>
            </w:r>
            <w:r w:rsidR="003A143C">
              <w:rPr>
                <w:rFonts w:cstheme="minorHAnsi"/>
                <w:sz w:val="17"/>
                <w:szCs w:val="17"/>
              </w:rPr>
              <w:t xml:space="preserve">, na koje se odnosilo  61,9% ukupnog izvoza i 44,8% ukupnog uvoza. Pojedinačno najviše robe je </w:t>
            </w:r>
            <w:r w:rsidR="003A143C" w:rsidRPr="00095AEB">
              <w:rPr>
                <w:rFonts w:cstheme="minorHAnsi"/>
                <w:b/>
                <w:sz w:val="17"/>
                <w:szCs w:val="17"/>
              </w:rPr>
              <w:t>izvezeno</w:t>
            </w:r>
            <w:r w:rsidR="003A143C">
              <w:rPr>
                <w:rFonts w:cstheme="minorHAnsi"/>
                <w:sz w:val="17"/>
                <w:szCs w:val="17"/>
              </w:rPr>
              <w:t xml:space="preserve"> u Hrvatsku, Srbiju i Sloveniju (54,2% ukupnog izvoza), dok se na </w:t>
            </w:r>
            <w:r w:rsidR="003A143C" w:rsidRPr="00095AEB">
              <w:rPr>
                <w:rFonts w:cstheme="minorHAnsi"/>
                <w:b/>
                <w:sz w:val="17"/>
                <w:szCs w:val="17"/>
              </w:rPr>
              <w:t>uvoz</w:t>
            </w:r>
            <w:r w:rsidR="003A143C">
              <w:rPr>
                <w:rFonts w:cstheme="minorHAnsi"/>
                <w:sz w:val="17"/>
                <w:szCs w:val="17"/>
              </w:rPr>
              <w:t xml:space="preserve"> iz Srbije,Grčke i BiH odnosi 45,1% ukupnog  uvoza</w:t>
            </w:r>
            <w:r w:rsidRPr="00FB2354">
              <w:rPr>
                <w:b/>
                <w:sz w:val="17"/>
                <w:szCs w:val="17"/>
              </w:rPr>
              <w:t xml:space="preserve"> </w:t>
            </w:r>
            <w:r w:rsidRPr="009F7BAD">
              <w:rPr>
                <w:b/>
                <w:sz w:val="17"/>
                <w:szCs w:val="17"/>
              </w:rPr>
              <w:t>Prema preliminarnim podacima za period januar–</w:t>
            </w:r>
            <w:r>
              <w:rPr>
                <w:b/>
                <w:sz w:val="17"/>
                <w:szCs w:val="17"/>
              </w:rPr>
              <w:t>novembar</w:t>
            </w:r>
            <w:r w:rsidRPr="009F7BAD">
              <w:rPr>
                <w:b/>
                <w:sz w:val="17"/>
                <w:szCs w:val="17"/>
              </w:rPr>
              <w:t xml:space="preserve"> 2012. ostvaren je neto priliv stranih direktnih investicija u iznosu </w:t>
            </w:r>
            <w:r>
              <w:rPr>
                <w:b/>
                <w:sz w:val="17"/>
                <w:szCs w:val="17"/>
              </w:rPr>
              <w:t>421,5</w:t>
            </w:r>
            <w:r w:rsidRPr="009F7BAD">
              <w:rPr>
                <w:b/>
                <w:sz w:val="17"/>
                <w:szCs w:val="17"/>
              </w:rPr>
              <w:t xml:space="preserve"> mil. €,</w:t>
            </w:r>
            <w:r w:rsidRPr="009F7BAD">
              <w:rPr>
                <w:sz w:val="17"/>
                <w:szCs w:val="17"/>
              </w:rPr>
              <w:t xml:space="preserve"> što je za 1</w:t>
            </w:r>
            <w:r>
              <w:rPr>
                <w:sz w:val="17"/>
                <w:szCs w:val="17"/>
              </w:rPr>
              <w:t>5</w:t>
            </w:r>
            <w:r w:rsidRPr="009F7BAD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>5</w:t>
            </w:r>
            <w:r w:rsidRPr="009F7BAD">
              <w:rPr>
                <w:sz w:val="17"/>
                <w:szCs w:val="17"/>
              </w:rPr>
              <w:t>% više nego u istom periodu 2011.</w:t>
            </w:r>
            <w:r w:rsidRPr="009F7BAD">
              <w:rPr>
                <w:b/>
                <w:sz w:val="17"/>
                <w:szCs w:val="17"/>
              </w:rPr>
              <w:t xml:space="preserve"> </w:t>
            </w:r>
            <w:r w:rsidRPr="009F7BAD">
              <w:rPr>
                <w:sz w:val="17"/>
                <w:szCs w:val="17"/>
              </w:rPr>
              <w:t xml:space="preserve">Ukupan priliv SDI iznosio je </w:t>
            </w:r>
            <w:r>
              <w:rPr>
                <w:sz w:val="17"/>
                <w:szCs w:val="17"/>
              </w:rPr>
              <w:t>526,4</w:t>
            </w:r>
            <w:r w:rsidRPr="009F7BAD">
              <w:rPr>
                <w:sz w:val="17"/>
                <w:szCs w:val="17"/>
              </w:rPr>
              <w:t xml:space="preserve"> mil. €. Struktura SDI: vlasnička ulaganja 6</w:t>
            </w:r>
            <w:r>
              <w:rPr>
                <w:sz w:val="17"/>
                <w:szCs w:val="17"/>
              </w:rPr>
              <w:t>6,4</w:t>
            </w:r>
            <w:r w:rsidRPr="009F7BAD">
              <w:rPr>
                <w:sz w:val="17"/>
                <w:szCs w:val="17"/>
              </w:rPr>
              <w:t xml:space="preserve">%, od čega, ulaganja u nekretnine </w:t>
            </w:r>
            <w:r>
              <w:rPr>
                <w:sz w:val="17"/>
                <w:szCs w:val="17"/>
              </w:rPr>
              <w:t>39,5</w:t>
            </w:r>
            <w:r w:rsidRPr="009F7BAD">
              <w:rPr>
                <w:sz w:val="17"/>
                <w:szCs w:val="17"/>
              </w:rPr>
              <w:t xml:space="preserve">% (veće za </w:t>
            </w:r>
            <w:r>
              <w:rPr>
                <w:sz w:val="17"/>
                <w:szCs w:val="17"/>
              </w:rPr>
              <w:t>26,0</w:t>
            </w:r>
            <w:r w:rsidRPr="009F7BAD">
              <w:rPr>
                <w:sz w:val="17"/>
                <w:szCs w:val="17"/>
              </w:rPr>
              <w:t>%</w:t>
            </w:r>
            <w:r>
              <w:rPr>
                <w:sz w:val="17"/>
                <w:szCs w:val="17"/>
                <w:lang w:val="sr-Latn-CS"/>
              </w:rPr>
              <w:t>)</w:t>
            </w:r>
            <w:r>
              <w:rPr>
                <w:sz w:val="17"/>
                <w:szCs w:val="17"/>
              </w:rPr>
              <w:t xml:space="preserve"> </w:t>
            </w:r>
            <w:r w:rsidRPr="009F7BAD">
              <w:rPr>
                <w:sz w:val="17"/>
                <w:szCs w:val="17"/>
              </w:rPr>
              <w:t xml:space="preserve"> i investicije u preduzeća i banke 2</w:t>
            </w:r>
            <w:r>
              <w:rPr>
                <w:sz w:val="17"/>
                <w:szCs w:val="17"/>
              </w:rPr>
              <w:t>6,9</w:t>
            </w:r>
            <w:r w:rsidRPr="009F7BAD">
              <w:rPr>
                <w:sz w:val="17"/>
                <w:szCs w:val="17"/>
              </w:rPr>
              <w:t>% (manj</w:t>
            </w:r>
            <w:r w:rsidR="00E20800">
              <w:rPr>
                <w:sz w:val="17"/>
                <w:szCs w:val="17"/>
              </w:rPr>
              <w:t>e</w:t>
            </w:r>
            <w:r w:rsidRPr="009F7BAD">
              <w:rPr>
                <w:sz w:val="17"/>
                <w:szCs w:val="17"/>
              </w:rPr>
              <w:t xml:space="preserve"> za </w:t>
            </w:r>
            <w:r>
              <w:rPr>
                <w:sz w:val="17"/>
                <w:szCs w:val="17"/>
              </w:rPr>
              <w:t>7,6</w:t>
            </w:r>
            <w:r w:rsidRPr="009F7BAD">
              <w:rPr>
                <w:sz w:val="17"/>
                <w:szCs w:val="17"/>
              </w:rPr>
              <w:t>%); interkompanijski dug 2</w:t>
            </w:r>
            <w:r>
              <w:rPr>
                <w:sz w:val="17"/>
                <w:szCs w:val="17"/>
              </w:rPr>
              <w:t>7</w:t>
            </w:r>
            <w:r w:rsidRPr="009F7BAD">
              <w:rPr>
                <w:sz w:val="17"/>
                <w:szCs w:val="17"/>
              </w:rPr>
              <w:t xml:space="preserve">,5% (veće za </w:t>
            </w:r>
            <w:r>
              <w:rPr>
                <w:sz w:val="17"/>
                <w:szCs w:val="17"/>
              </w:rPr>
              <w:t>20,7</w:t>
            </w:r>
            <w:r w:rsidRPr="009F7BAD">
              <w:rPr>
                <w:sz w:val="17"/>
                <w:szCs w:val="17"/>
              </w:rPr>
              <w:t xml:space="preserve">%) i ostalo </w:t>
            </w:r>
            <w:r>
              <w:rPr>
                <w:sz w:val="17"/>
                <w:szCs w:val="17"/>
              </w:rPr>
              <w:t>6,1</w:t>
            </w:r>
            <w:r w:rsidRPr="009F7BAD">
              <w:rPr>
                <w:sz w:val="17"/>
                <w:szCs w:val="17"/>
              </w:rPr>
              <w:t>%.</w:t>
            </w:r>
          </w:p>
          <w:p w:rsidR="00A46C9C" w:rsidRPr="002A4910" w:rsidRDefault="00A46C9C" w:rsidP="00447221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A46C9C" w:rsidRPr="00AD1B16" w:rsidRDefault="00A46C9C" w:rsidP="00CD1303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CD1303" w:rsidRPr="00AD1B16" w:rsidRDefault="00CD1303" w:rsidP="00D51C00">
      <w:pPr>
        <w:sectPr w:rsidR="00CD1303" w:rsidRPr="00AD1B16" w:rsidSect="008D4618">
          <w:pgSz w:w="11907" w:h="16839" w:code="9"/>
          <w:pgMar w:top="720" w:right="720" w:bottom="567" w:left="720" w:header="720" w:footer="720" w:gutter="0"/>
          <w:cols w:space="720"/>
          <w:docGrid w:linePitch="360"/>
        </w:sectPr>
      </w:pPr>
    </w:p>
    <w:p w:rsidR="004866EC" w:rsidRDefault="00D61692" w:rsidP="004866EC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t xml:space="preserve">Tabela 1: </w:t>
      </w:r>
      <w:r w:rsidRPr="00AD1B16">
        <w:rPr>
          <w:b/>
          <w:bCs/>
          <w:sz w:val="17"/>
          <w:szCs w:val="16"/>
        </w:rPr>
        <w:t>MAKROEKONOMSKI INDIKATORI</w:t>
      </w:r>
      <w:r w:rsidRPr="00AD1B16">
        <w:rPr>
          <w:sz w:val="17"/>
          <w:szCs w:val="16"/>
        </w:rPr>
        <w:t xml:space="preserve"> – </w:t>
      </w:r>
      <w:r w:rsidR="005A2310">
        <w:rPr>
          <w:sz w:val="17"/>
          <w:szCs w:val="16"/>
        </w:rPr>
        <w:t>novembar</w:t>
      </w:r>
      <w:r w:rsidRPr="00AD1B16">
        <w:rPr>
          <w:sz w:val="17"/>
          <w:szCs w:val="16"/>
        </w:rPr>
        <w:t xml:space="preserve"> 201</w:t>
      </w:r>
      <w:r w:rsidR="00DE7609" w:rsidRPr="00AD1B16">
        <w:rPr>
          <w:sz w:val="17"/>
          <w:szCs w:val="16"/>
        </w:rPr>
        <w:t>2</w:t>
      </w:r>
      <w:r w:rsidR="000F5B09" w:rsidRPr="00AD1B16">
        <w:rPr>
          <w:sz w:val="17"/>
          <w:szCs w:val="16"/>
        </w:rPr>
        <w:t>.</w:t>
      </w:r>
      <w:bookmarkStart w:id="1" w:name="_GoBack"/>
      <w:bookmarkEnd w:id="1"/>
    </w:p>
    <w:p w:rsidR="004866EC" w:rsidRDefault="008D6E96" w:rsidP="004866EC">
      <w:pPr>
        <w:jc w:val="center"/>
        <w:rPr>
          <w:i/>
          <w:iCs/>
          <w:sz w:val="12"/>
          <w:szCs w:val="12"/>
        </w:rPr>
      </w:pPr>
      <w:r w:rsidRPr="00AD1B16">
        <w:rPr>
          <w:b/>
          <w:i/>
          <w:sz w:val="16"/>
          <w:szCs w:val="16"/>
        </w:rPr>
        <w:t>Izvor: Monstat, Centralna Banka, Zavod</w:t>
      </w:r>
      <w:r w:rsidR="005A2310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</w:t>
      </w:r>
      <w:r w:rsidR="005A2310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zapošljavanje</w:t>
      </w:r>
      <w:r w:rsidR="005A2310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Crne Gor</w:t>
      </w:r>
      <w:r w:rsidR="005D751B" w:rsidRPr="00AD1B16">
        <w:rPr>
          <w:b/>
          <w:i/>
          <w:sz w:val="16"/>
          <w:szCs w:val="16"/>
        </w:rPr>
        <w:t>e</w:t>
      </w:r>
      <w:r w:rsidR="004866EC">
        <w:rPr>
          <w:b/>
          <w:i/>
          <w:sz w:val="16"/>
          <w:szCs w:val="16"/>
        </w:rPr>
        <w:t xml:space="preserve"> </w:t>
      </w:r>
      <w:r w:rsidR="005D751B" w:rsidRPr="00AD1B16">
        <w:rPr>
          <w:i/>
          <w:iCs/>
          <w:sz w:val="12"/>
          <w:szCs w:val="12"/>
        </w:rPr>
        <w:t>Svi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indikatori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su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prikazani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kao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godišnje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stope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rasta (stopa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promjene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indikatora u posmatranom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mjesecu u odnosuna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isti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mjesec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prethodne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godine u %) ukoliko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nije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drugačije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naznačeno u nazivu</w:t>
      </w:r>
      <w:r w:rsidR="004866EC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M-n-M označava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mjesečnu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promjenu (stopa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promjene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indikatora u posmatrano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mmjesecu u odnosu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na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prethodni</w:t>
      </w:r>
      <w:r w:rsidR="005A2310">
        <w:rPr>
          <w:i/>
          <w:iCs/>
          <w:sz w:val="12"/>
          <w:szCs w:val="12"/>
        </w:rPr>
        <w:t xml:space="preserve"> </w:t>
      </w:r>
      <w:r w:rsidR="005D751B" w:rsidRPr="00AD1B16">
        <w:rPr>
          <w:i/>
          <w:iCs/>
          <w:sz w:val="12"/>
          <w:szCs w:val="12"/>
        </w:rPr>
        <w:t>mjesec u %)</w:t>
      </w:r>
    </w:p>
    <w:tbl>
      <w:tblPr>
        <w:tblW w:w="5000" w:type="pct"/>
        <w:tblLook w:val="04A0"/>
      </w:tblPr>
      <w:tblGrid>
        <w:gridCol w:w="3956"/>
        <w:gridCol w:w="802"/>
        <w:gridCol w:w="802"/>
        <w:gridCol w:w="802"/>
        <w:gridCol w:w="802"/>
        <w:gridCol w:w="803"/>
        <w:gridCol w:w="803"/>
        <w:gridCol w:w="803"/>
        <w:gridCol w:w="823"/>
        <w:gridCol w:w="743"/>
        <w:gridCol w:w="743"/>
        <w:gridCol w:w="743"/>
        <w:gridCol w:w="743"/>
        <w:gridCol w:w="743"/>
        <w:gridCol w:w="738"/>
        <w:gridCol w:w="726"/>
        <w:gridCol w:w="800"/>
      </w:tblGrid>
      <w:tr w:rsidR="004866EC" w:rsidRPr="004866EC" w:rsidTr="004866EC">
        <w:trPr>
          <w:trHeight w:hRule="exact" w:val="227"/>
        </w:trPr>
        <w:tc>
          <w:tcPr>
            <w:tcW w:w="121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2557" w:type="pct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71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nov 2012</w:t>
            </w:r>
          </w:p>
        </w:tc>
      </w:tr>
      <w:tr w:rsidR="004866EC" w:rsidRPr="004866EC" w:rsidTr="004866EC">
        <w:trPr>
          <w:trHeight w:hRule="exact" w:val="874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Indikatori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M-n-M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nov 2012 / nov 2011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jan - nov 2012 /  2011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REALNI SEKTOR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Industrijska proizvodnja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-15,9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-37,1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-24,5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-14,7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-4,10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20,80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-19,60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-16,10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-5,50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-16,10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-24,40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-6,00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-6,0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-9,1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Prerađivačka industrija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-8,3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-4,40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33,10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3,60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-18,50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-20,40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-20,40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-40,50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-28,10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23,2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-28,1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-9,2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Noćenja u turizmu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-7,10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14,80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6,20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6,90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1,80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-49,0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4,3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Promet u maloprodaji (stopa rasta)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24,4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37,3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21,3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16,30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18,60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3,30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2,10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-9,1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7,1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Vrijednost radova u gradjevinarstvu (stopa rasta)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-2,6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1,7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-23,7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-28,2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 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INFLACIJA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Indeks potrošačkih cijena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5,2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4,1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Harmonizovani indeks potrošačkih cijena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4,8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n/d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Indeks proizvodjačkih cijena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-0,6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4,5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1,5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ZAPOSLENOST I ZARADE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Zaposlenost (broj, kraj perioda)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162.712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162.450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160.880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162.035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162.569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163.744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165.776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162.567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169.877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173.024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169.877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168.701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168.589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1,7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Broj nezaposlenih (broj, kraj perioda)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30.576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30.552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31.339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31.495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31.562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31.320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30.126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29.411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28.272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28.549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28.272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29.540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30.718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-3,0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Stopa nezaposlenosti (%)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12,2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12,3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12,2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13,2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-3,2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Stopa nezaposlenosti (ARS) (%)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18,1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20,7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20,0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18,8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1,0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Oglašena radna mjesta (broj)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1.049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734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1.942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3.003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3.685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4.146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1.081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2.005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2.766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38,0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163,7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-3,9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Prosječna mjesečna bruto zarada (u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754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727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722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721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717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713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0,8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Prosječna mjesečna neto zarada (u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478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0,8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MONETARNI SEKTOR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Ukupni krediti (kumulativ, u mil. €)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1.937,7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1.955,7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1.945,7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1.943,0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1.963,9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1.971,5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1.963,3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1.958,4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1.891,8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1.905,6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1.891,8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1.859,4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1.866,1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-6,0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Ukupni krediti (stopa rasta) 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-13,0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-9,4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-9,7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-6,1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-5,8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-6,5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-4,3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-7,0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-5,1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-4,1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-3,7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-3,7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Nekvalitetni krediti (kumulativ, mil €)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341,4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288,3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292,2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297,3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305,1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287,5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309,8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335,4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350,5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342,7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350,5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330,4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329,4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-3,5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Udio nekvalitetnih kredita u ukupnim kreditima (u %)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17,6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14,7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15,0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15,3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15,5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14,6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15,8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17,1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18,5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18,0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18,5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17,7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Ukupni depoziti (kumulativ, u mil €)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1.831,1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1.817,2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1.784,3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1.796,1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1.792,6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1.809,3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1.818,9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1.843,4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2.001,1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1.954,4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2.001,1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1.965,5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1.982,9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3,0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Ukupni depoziti (stopa rasta)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8,8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5,2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8,3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3,0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Krediti privredi (kumulativ, 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959,7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944,6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931,1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934,7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945,6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951,0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948,3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942,6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909,2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918,3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909,2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891,8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905,0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-5,7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-21,6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Krediti domaćinstvima (kumulativ, 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840,5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833,7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832,3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826,2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828,8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829,6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830,3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831,7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825,2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824,6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825,2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821,6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818,1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-11,0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Depoziti privrede (kumulativ, 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489,1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477,8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460,1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465,0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453,8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465,8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480,7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569,2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552,1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569,2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549,5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546,4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-2,2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Lična štednja (kumulativ, 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1026,4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1033,4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1024,7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1.034,1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1.034,0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1.044,8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1.043,3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1.051,4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1.113,7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1.108,3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1.113,7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1.114,7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1.134,7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-0,9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Kamatna stopa na kredite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9,78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9,73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9,64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9,61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9,49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-0,29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-1,1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Kamatna stopa na depozite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3,08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 xml:space="preserve">3,32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3,27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3,19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3,24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0,16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EKSTERNI SEKTOR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Izvoz roba (u mil.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37,9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36,3</w:t>
            </w:r>
          </w:p>
        </w:tc>
        <w:tc>
          <w:tcPr>
            <w:tcW w:w="2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27,5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23,9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33,4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31,2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31,9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26,5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32,4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22,2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-14,6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-20,3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Uvoz roba (u mil.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143,6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163,5</w:t>
            </w:r>
          </w:p>
        </w:tc>
        <w:tc>
          <w:tcPr>
            <w:tcW w:w="2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99,9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106,5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191,5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151,0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167,7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170,8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147,7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173,4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147,7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158,6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136,5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-13,9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-4,9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-0,5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Spoljnotrgovinski bilans (u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-105,7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-127,1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-72,5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-82,6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-158,1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-119,7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-133,2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-138,9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-117,6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-141,6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-117,6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-106,8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-104,2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4,1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Strane direktne investicije (mil.€)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49,6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24,2</w:t>
            </w:r>
          </w:p>
        </w:tc>
        <w:tc>
          <w:tcPr>
            <w:tcW w:w="254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15,5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30,2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20,8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25,9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25,8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18,3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21,5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77,4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260,4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56,0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24,8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MEĐUNARODNO OKRUŽENJE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Brent crude oil (u US$)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110,5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107,4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122,2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122,9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119,5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101,7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97,6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111,9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114,7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111,9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108,5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108,2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-2,0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-0,8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Aluminijum (u US$)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2.080,0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2.024,4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2.151,3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2.207,9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2.184,2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2.048,5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2.002,5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1.885,5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2.064,1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1.843,3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2.064,1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1.974,3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1.948,8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-6,3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-16,5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Euribor (12 mjeseci)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1,2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0,6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-1,5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-0,8</w:t>
            </w:r>
          </w:p>
        </w:tc>
      </w:tr>
      <w:tr w:rsidR="004866EC" w:rsidRPr="004866EC" w:rsidTr="004866EC">
        <w:trPr>
          <w:trHeight w:hRule="exact" w:val="198"/>
        </w:trPr>
        <w:tc>
          <w:tcPr>
            <w:tcW w:w="1217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Inflacija u Eurozoni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3,0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2,6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2,4</w:t>
            </w:r>
          </w:p>
        </w:tc>
        <w:tc>
          <w:tcPr>
            <w:tcW w:w="26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2,4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2,6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2,4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2,6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2,5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2,2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866EC" w:rsidRPr="004866EC" w:rsidRDefault="004866EC" w:rsidP="00486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66EC">
              <w:rPr>
                <w:rFonts w:ascii="Calibri" w:eastAsia="Times New Roman" w:hAnsi="Calibri" w:cs="Calibri"/>
                <w:sz w:val="16"/>
                <w:szCs w:val="16"/>
              </w:rPr>
              <w:t>-0,2</w:t>
            </w:r>
          </w:p>
        </w:tc>
      </w:tr>
    </w:tbl>
    <w:p w:rsidR="003A1150" w:rsidRPr="00AD1B16" w:rsidRDefault="003A1150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br w:type="page"/>
      </w:r>
    </w:p>
    <w:p w:rsidR="0097377E" w:rsidRPr="00AD1B16" w:rsidRDefault="0097377E" w:rsidP="003A1150">
      <w:pPr>
        <w:spacing w:after="0" w:line="240" w:lineRule="auto"/>
        <w:jc w:val="both"/>
        <w:rPr>
          <w:i/>
          <w:iCs/>
          <w:sz w:val="12"/>
          <w:szCs w:val="12"/>
        </w:rPr>
      </w:pPr>
    </w:p>
    <w:p w:rsidR="00690A2B" w:rsidRDefault="00D61692" w:rsidP="00DA35C2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t xml:space="preserve">Tabela 2: </w:t>
      </w:r>
      <w:r w:rsidRPr="00AD1B16">
        <w:rPr>
          <w:b/>
          <w:bCs/>
          <w:sz w:val="17"/>
          <w:szCs w:val="16"/>
        </w:rPr>
        <w:t>BUDŽET CRNE GORE</w:t>
      </w:r>
      <w:r w:rsidRPr="00AD1B16">
        <w:rPr>
          <w:sz w:val="17"/>
          <w:szCs w:val="16"/>
        </w:rPr>
        <w:t xml:space="preserve"> – </w:t>
      </w:r>
      <w:r w:rsidR="0069141C">
        <w:rPr>
          <w:sz w:val="17"/>
          <w:szCs w:val="16"/>
        </w:rPr>
        <w:t>novembar</w:t>
      </w:r>
      <w:r w:rsidRPr="00AD1B16">
        <w:rPr>
          <w:sz w:val="17"/>
          <w:szCs w:val="16"/>
        </w:rPr>
        <w:t xml:space="preserve"> 201</w:t>
      </w:r>
      <w:r w:rsidR="00DE7609" w:rsidRPr="00AD1B16">
        <w:rPr>
          <w:sz w:val="17"/>
          <w:szCs w:val="16"/>
        </w:rPr>
        <w:t>2</w:t>
      </w:r>
      <w:r w:rsidR="000F5B09" w:rsidRPr="00AD1B16">
        <w:rPr>
          <w:sz w:val="17"/>
          <w:szCs w:val="16"/>
        </w:rPr>
        <w:t>.</w:t>
      </w:r>
    </w:p>
    <w:tbl>
      <w:tblPr>
        <w:tblW w:w="4979" w:type="pct"/>
        <w:tblLayout w:type="fixed"/>
        <w:tblLook w:val="04A0"/>
      </w:tblPr>
      <w:tblGrid>
        <w:gridCol w:w="2266"/>
        <w:gridCol w:w="756"/>
        <w:gridCol w:w="681"/>
        <w:gridCol w:w="759"/>
        <w:gridCol w:w="806"/>
        <w:gridCol w:w="760"/>
        <w:gridCol w:w="806"/>
        <w:gridCol w:w="760"/>
        <w:gridCol w:w="806"/>
        <w:gridCol w:w="760"/>
        <w:gridCol w:w="701"/>
        <w:gridCol w:w="737"/>
        <w:gridCol w:w="695"/>
        <w:gridCol w:w="727"/>
        <w:gridCol w:w="783"/>
        <w:gridCol w:w="760"/>
        <w:gridCol w:w="783"/>
        <w:gridCol w:w="587"/>
        <w:gridCol w:w="701"/>
        <w:gridCol w:w="672"/>
      </w:tblGrid>
      <w:tr w:rsidR="002E6B45" w:rsidRPr="0069141C" w:rsidTr="00016616">
        <w:trPr>
          <w:trHeight w:val="330"/>
        </w:trPr>
        <w:tc>
          <w:tcPr>
            <w:tcW w:w="695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BUDŽET CRNE GORE</w:t>
            </w:r>
          </w:p>
        </w:tc>
        <w:tc>
          <w:tcPr>
            <w:tcW w:w="232" w:type="pct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Učešće u uk ostv Prihod/Rashod/Dug                                             X (u %)</w:t>
            </w:r>
          </w:p>
        </w:tc>
        <w:tc>
          <w:tcPr>
            <w:tcW w:w="209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2010 (jan-dec)</w:t>
            </w:r>
          </w:p>
        </w:tc>
        <w:tc>
          <w:tcPr>
            <w:tcW w:w="233" w:type="pct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2011 (jan -dec)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2011</w:t>
            </w:r>
          </w:p>
        </w:tc>
        <w:tc>
          <w:tcPr>
            <w:tcW w:w="2310" w:type="pct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2012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 </w:t>
            </w:r>
          </w:p>
        </w:tc>
        <w:tc>
          <w:tcPr>
            <w:tcW w:w="24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2012 plan</w:t>
            </w:r>
          </w:p>
        </w:tc>
        <w:tc>
          <w:tcPr>
            <w:tcW w:w="601" w:type="pct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Analitika</w:t>
            </w:r>
          </w:p>
        </w:tc>
      </w:tr>
      <w:tr w:rsidR="002E6B45" w:rsidRPr="0069141C" w:rsidTr="00016616">
        <w:trPr>
          <w:trHeight w:val="1140"/>
        </w:trPr>
        <w:tc>
          <w:tcPr>
            <w:tcW w:w="695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209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XI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I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II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III</w:t>
            </w:r>
          </w:p>
        </w:tc>
        <w:tc>
          <w:tcPr>
            <w:tcW w:w="2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IV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VI</w:t>
            </w:r>
          </w:p>
        </w:tc>
        <w:tc>
          <w:tcPr>
            <w:tcW w:w="22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VII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VIII</w:t>
            </w:r>
          </w:p>
        </w:tc>
        <w:tc>
          <w:tcPr>
            <w:tcW w:w="2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IX</w:t>
            </w:r>
          </w:p>
        </w:tc>
        <w:tc>
          <w:tcPr>
            <w:tcW w:w="2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XI</w:t>
            </w:r>
          </w:p>
        </w:tc>
        <w:tc>
          <w:tcPr>
            <w:tcW w:w="2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XI</w:t>
            </w:r>
          </w:p>
        </w:tc>
        <w:tc>
          <w:tcPr>
            <w:tcW w:w="180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nov 2012 / nov 2011    (%)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jan - nov 2012 / jan - nov 2011</w:t>
            </w:r>
          </w:p>
        </w:tc>
        <w:tc>
          <w:tcPr>
            <w:tcW w:w="20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nov 2012 / nov 2012 plan</w:t>
            </w:r>
          </w:p>
        </w:tc>
      </w:tr>
      <w:tr w:rsidR="002E6B45" w:rsidRPr="0069141C" w:rsidTr="00016616">
        <w:trPr>
          <w:trHeight w:val="330"/>
        </w:trPr>
        <w:tc>
          <w:tcPr>
            <w:tcW w:w="695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IZVORNI PRIHODI, od čega: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1140.07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1129.14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85.34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48.73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67.73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76.28</w:t>
            </w:r>
          </w:p>
        </w:tc>
        <w:tc>
          <w:tcPr>
            <w:tcW w:w="2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98.71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86.82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95.94</w:t>
            </w:r>
          </w:p>
        </w:tc>
        <w:tc>
          <w:tcPr>
            <w:tcW w:w="22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130.89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108.52</w:t>
            </w:r>
          </w:p>
        </w:tc>
        <w:tc>
          <w:tcPr>
            <w:tcW w:w="2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95.84</w:t>
            </w:r>
          </w:p>
        </w:tc>
        <w:tc>
          <w:tcPr>
            <w:tcW w:w="2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98.50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85.29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91.30</w:t>
            </w:r>
          </w:p>
        </w:tc>
        <w:tc>
          <w:tcPr>
            <w:tcW w:w="1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-0.06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-1.26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-6.59</w:t>
            </w:r>
          </w:p>
        </w:tc>
      </w:tr>
      <w:tr w:rsidR="002E6B45" w:rsidRPr="0069141C" w:rsidTr="00016616">
        <w:trPr>
          <w:trHeight w:val="330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Porezi i doprinosi na  zarade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43.48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469.51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435.22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33.90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12.32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30.47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33.23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39.30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34.83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32.63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41.77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48.37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32.88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42.82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35.50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34.49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4.71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2.08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2.91</w:t>
            </w:r>
          </w:p>
        </w:tc>
      </w:tr>
      <w:tr w:rsidR="002E6B45" w:rsidRPr="0069141C" w:rsidTr="00016616">
        <w:trPr>
          <w:trHeight w:val="315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Porez na dobit pravnih lica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1.57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20.27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36.10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0.41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4.55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13.49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28.54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1.54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2.21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-16.38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84.94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-64.17</w:t>
            </w:r>
          </w:p>
        </w:tc>
      </w:tr>
      <w:tr w:rsidR="002E6B45" w:rsidRPr="0069141C" w:rsidTr="00016616">
        <w:trPr>
          <w:trHeight w:val="300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Porez na dodatu vrijednost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34.40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364.18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392.24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29.55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21.20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21.32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23.76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27.71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30.99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37.82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37.35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32.21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33.59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33.88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29.08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29.80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-1.59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-7.86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-2.39</w:t>
            </w:r>
          </w:p>
        </w:tc>
      </w:tr>
      <w:tr w:rsidR="002E6B45" w:rsidRPr="0069141C" w:rsidTr="00016616">
        <w:trPr>
          <w:trHeight w:val="300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Akcize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12.01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134.26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143.38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11.76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9.27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9.08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6.38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9.98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10.09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14.77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13.19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17.42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19.43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11.83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12.45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14.43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5.83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2.01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-13.76</w:t>
            </w:r>
          </w:p>
        </w:tc>
      </w:tr>
      <w:tr w:rsidR="002E6B45" w:rsidRPr="0069141C" w:rsidTr="00016616">
        <w:trPr>
          <w:trHeight w:val="315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Porez na medj trgovinu i transak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2.30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50.81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45.33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3.38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2.41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1.99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1.69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3.73</w:t>
            </w:r>
          </w:p>
        </w:tc>
        <w:tc>
          <w:tcPr>
            <w:tcW w:w="18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-49.51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-34.29</w:t>
            </w:r>
          </w:p>
        </w:tc>
        <w:tc>
          <w:tcPr>
            <w:tcW w:w="20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-54.67</w:t>
            </w:r>
          </w:p>
        </w:tc>
      </w:tr>
      <w:tr w:rsidR="002E6B45" w:rsidRPr="0069141C" w:rsidTr="00016616">
        <w:trPr>
          <w:trHeight w:val="330"/>
        </w:trPr>
        <w:tc>
          <w:tcPr>
            <w:tcW w:w="69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IZDACI BUDŽETA, od čega :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1252.60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1318.82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103.57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53.05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99.61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81.37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166.24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98.30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100.62</w:t>
            </w:r>
          </w:p>
        </w:tc>
        <w:tc>
          <w:tcPr>
            <w:tcW w:w="22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108.61</w:t>
            </w:r>
          </w:p>
        </w:tc>
        <w:tc>
          <w:tcPr>
            <w:tcW w:w="21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101.57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107.51</w:t>
            </w:r>
          </w:p>
        </w:tc>
        <w:tc>
          <w:tcPr>
            <w:tcW w:w="2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104.08</w:t>
            </w:r>
          </w:p>
        </w:tc>
        <w:tc>
          <w:tcPr>
            <w:tcW w:w="233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109.41</w:t>
            </w:r>
          </w:p>
        </w:tc>
        <w:tc>
          <w:tcPr>
            <w:tcW w:w="2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108.80</w:t>
            </w:r>
          </w:p>
        </w:tc>
        <w:tc>
          <w:tcPr>
            <w:tcW w:w="18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5.63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1.51</w:t>
            </w:r>
          </w:p>
        </w:tc>
        <w:tc>
          <w:tcPr>
            <w:tcW w:w="20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0.56</w:t>
            </w:r>
          </w:p>
        </w:tc>
      </w:tr>
      <w:tr w:rsidR="002E6B45" w:rsidRPr="0069141C" w:rsidTr="00016616">
        <w:trPr>
          <w:trHeight w:val="375"/>
        </w:trPr>
        <w:tc>
          <w:tcPr>
            <w:tcW w:w="69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Bruto zarade i doprinosi na teret posl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30.04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283.66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371.26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31.39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31.28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27.71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47.40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26.80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32.15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35.53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35.06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21.07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31.27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40.13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34.92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27.85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3.88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14.90</w:t>
            </w:r>
          </w:p>
        </w:tc>
      </w:tr>
      <w:tr w:rsidR="002E6B45" w:rsidRPr="0069141C" w:rsidTr="00016616">
        <w:trPr>
          <w:trHeight w:val="315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Rashodi za materijal i usluge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12.66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112.68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110.49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9.63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12.46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6.66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21.04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14.12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10.19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16.20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10.52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13.03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13.17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12.39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12.29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28.68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48.44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0.76</w:t>
            </w:r>
          </w:p>
        </w:tc>
      </w:tr>
      <w:tr w:rsidR="002E6B45" w:rsidRPr="0069141C" w:rsidTr="00016616">
        <w:trPr>
          <w:trHeight w:val="300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Kamate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0.50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30.26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45.09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1.06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3.64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1.66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14.13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4.87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1.23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18.18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4.40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-24.59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33.48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-81.81</w:t>
            </w:r>
          </w:p>
        </w:tc>
      </w:tr>
      <w:tr w:rsidR="002E6B45" w:rsidRPr="0069141C" w:rsidTr="00016616">
        <w:trPr>
          <w:trHeight w:val="300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Transferi za socijalnu zaštitu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38.97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423.15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454.76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38.24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37.23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40.40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35.63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43.78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40.87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39.07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40.98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39.99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40.35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40.56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40.34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5.50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6.30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0.86</w:t>
            </w:r>
          </w:p>
        </w:tc>
      </w:tr>
      <w:tr w:rsidR="002E6B45" w:rsidRPr="0069141C" w:rsidTr="00016616">
        <w:trPr>
          <w:trHeight w:val="300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Transferi instit, pojed i NVO sektoru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2.86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174.64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87.91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6.42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0.99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4.07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2.47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2.43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-68.35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-64.81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-22.23</w:t>
            </w:r>
          </w:p>
        </w:tc>
      </w:tr>
      <w:tr w:rsidR="002E6B45" w:rsidRPr="0069141C" w:rsidTr="00016616">
        <w:trPr>
          <w:trHeight w:val="315"/>
        </w:trPr>
        <w:tc>
          <w:tcPr>
            <w:tcW w:w="69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Kapitalni izdaci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5.62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82.62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77.64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7.57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2.00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3.39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1.27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4.32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5.50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4.11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6.14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7.88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4.64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5.85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6.17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8.46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-18.55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-6.47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-27.04</w:t>
            </w:r>
          </w:p>
        </w:tc>
      </w:tr>
      <w:tr w:rsidR="002E6B45" w:rsidRPr="0069141C" w:rsidTr="00016616">
        <w:trPr>
          <w:trHeight w:val="330"/>
        </w:trPr>
        <w:tc>
          <w:tcPr>
            <w:tcW w:w="69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Suficit / Deficit budžeta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-112.24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-189.67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-18.24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-4.33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-31.88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-5.09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-67.52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-11.48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-4.68</w:t>
            </w:r>
          </w:p>
        </w:tc>
        <w:tc>
          <w:tcPr>
            <w:tcW w:w="22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22.28</w:t>
            </w:r>
          </w:p>
        </w:tc>
        <w:tc>
          <w:tcPr>
            <w:tcW w:w="21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6.95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-11.67</w:t>
            </w:r>
          </w:p>
        </w:tc>
        <w:tc>
          <w:tcPr>
            <w:tcW w:w="2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-5.57</w:t>
            </w:r>
          </w:p>
        </w:tc>
        <w:tc>
          <w:tcPr>
            <w:tcW w:w="233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-24.12</w:t>
            </w:r>
          </w:p>
        </w:tc>
        <w:tc>
          <w:tcPr>
            <w:tcW w:w="2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-17.50</w:t>
            </w:r>
          </w:p>
        </w:tc>
        <w:tc>
          <w:tcPr>
            <w:tcW w:w="180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27.39</w:t>
            </w:r>
          </w:p>
        </w:tc>
        <w:tc>
          <w:tcPr>
            <w:tcW w:w="20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-</w:t>
            </w:r>
          </w:p>
        </w:tc>
      </w:tr>
      <w:tr w:rsidR="002E6B45" w:rsidRPr="0069141C" w:rsidTr="00016616">
        <w:trPr>
          <w:trHeight w:val="330"/>
        </w:trPr>
        <w:tc>
          <w:tcPr>
            <w:tcW w:w="695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Primarni deficit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-81.99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-144.58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-17.18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-0.69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-30.22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-2.44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-53.39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-9.46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0.19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23.51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9.55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6.51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-5.06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-23.32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-13.10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23.90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</w:t>
            </w:r>
          </w:p>
        </w:tc>
      </w:tr>
      <w:tr w:rsidR="002E6B45" w:rsidRPr="0069141C" w:rsidTr="00016616">
        <w:trPr>
          <w:trHeight w:val="330"/>
        </w:trPr>
        <w:tc>
          <w:tcPr>
            <w:tcW w:w="695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B45" w:rsidRPr="0069141C" w:rsidRDefault="002E6B45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Otplata dugova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186.01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161.96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5.29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15.70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11.94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8.03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11.89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12.12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22.12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23.07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22.68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16.35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5.24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4.44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6.95</w:t>
            </w:r>
          </w:p>
        </w:tc>
        <w:tc>
          <w:tcPr>
            <w:tcW w:w="18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9.55</w:t>
            </w:r>
          </w:p>
        </w:tc>
        <w:tc>
          <w:tcPr>
            <w:tcW w:w="20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2E6B45" w:rsidRPr="0069141C" w:rsidRDefault="002E6B45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</w:t>
            </w:r>
          </w:p>
        </w:tc>
      </w:tr>
      <w:tr w:rsidR="00016616" w:rsidRPr="0069141C" w:rsidTr="00016616">
        <w:trPr>
          <w:trHeight w:val="330"/>
        </w:trPr>
        <w:tc>
          <w:tcPr>
            <w:tcW w:w="695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16616" w:rsidRPr="0069141C" w:rsidRDefault="00016616" w:rsidP="00691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Državni dug (stanje duga)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1270.70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1483.50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1457.50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1473.20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1540.30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1534.80</w:t>
            </w:r>
          </w:p>
        </w:tc>
        <w:tc>
          <w:tcPr>
            <w:tcW w:w="24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1638.60</w:t>
            </w:r>
          </w:p>
        </w:tc>
        <w:tc>
          <w:tcPr>
            <w:tcW w:w="2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1634.50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1629.60</w:t>
            </w:r>
          </w:p>
        </w:tc>
        <w:tc>
          <w:tcPr>
            <w:tcW w:w="22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1718.80</w:t>
            </w:r>
          </w:p>
        </w:tc>
        <w:tc>
          <w:tcPr>
            <w:tcW w:w="21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1703.20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1707.20</w:t>
            </w:r>
          </w:p>
        </w:tc>
        <w:tc>
          <w:tcPr>
            <w:tcW w:w="2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016616" w:rsidRDefault="00016616" w:rsidP="00016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016616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1709.40</w:t>
            </w:r>
          </w:p>
        </w:tc>
        <w:tc>
          <w:tcPr>
            <w:tcW w:w="233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1700.20</w:t>
            </w:r>
          </w:p>
        </w:tc>
        <w:tc>
          <w:tcPr>
            <w:tcW w:w="2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16.65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016616" w:rsidRDefault="00016616" w:rsidP="00016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016616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17.44</w:t>
            </w:r>
          </w:p>
        </w:tc>
        <w:tc>
          <w:tcPr>
            <w:tcW w:w="20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-</w:t>
            </w:r>
          </w:p>
        </w:tc>
      </w:tr>
      <w:tr w:rsidR="00016616" w:rsidRPr="0069141C" w:rsidTr="00016616">
        <w:trPr>
          <w:trHeight w:val="330"/>
        </w:trPr>
        <w:tc>
          <w:tcPr>
            <w:tcW w:w="695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16" w:rsidRPr="0069141C" w:rsidRDefault="00016616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Domaći dug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23.12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358.30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419.80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388.10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419.00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431.30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426.50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432.60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424.10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424.10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411.20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395.40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399.60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016616" w:rsidRDefault="00016616" w:rsidP="00016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016616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401.30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393.10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1.29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16616" w:rsidRPr="00016616" w:rsidRDefault="00016616" w:rsidP="00016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016616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12.54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</w:t>
            </w:r>
          </w:p>
        </w:tc>
      </w:tr>
      <w:tr w:rsidR="00016616" w:rsidRPr="0069141C" w:rsidTr="00016616">
        <w:trPr>
          <w:trHeight w:val="330"/>
        </w:trPr>
        <w:tc>
          <w:tcPr>
            <w:tcW w:w="695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16" w:rsidRPr="0069141C" w:rsidRDefault="00016616" w:rsidP="0069141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Inostrani dug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76.88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912.40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1063.70</w:t>
            </w:r>
          </w:p>
        </w:tc>
        <w:tc>
          <w:tcPr>
            <w:tcW w:w="24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1069.40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1054.20</w:t>
            </w:r>
          </w:p>
        </w:tc>
        <w:tc>
          <w:tcPr>
            <w:tcW w:w="2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1109.00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1108.30</w:t>
            </w:r>
          </w:p>
        </w:tc>
        <w:tc>
          <w:tcPr>
            <w:tcW w:w="2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1206.00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1210.40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1205.50</w:t>
            </w:r>
          </w:p>
        </w:tc>
        <w:tc>
          <w:tcPr>
            <w:tcW w:w="22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1307.60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1307.80</w:t>
            </w:r>
          </w:p>
        </w:tc>
        <w:tc>
          <w:tcPr>
            <w:tcW w:w="2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1307.60</w:t>
            </w:r>
          </w:p>
        </w:tc>
        <w:tc>
          <w:tcPr>
            <w:tcW w:w="2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016616" w:rsidRDefault="00016616" w:rsidP="00016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  <w:r w:rsidRPr="00016616"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  <w:t>1308.10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1307.10</w:t>
            </w:r>
          </w:p>
        </w:tc>
        <w:tc>
          <w:tcPr>
            <w:tcW w:w="2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sz w:val="14"/>
                <w:szCs w:val="14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22.23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16616" w:rsidRPr="00016616" w:rsidRDefault="00016616" w:rsidP="00016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</w:pPr>
            <w:r w:rsidRPr="00016616">
              <w:rPr>
                <w:rFonts w:ascii="Calibri" w:eastAsia="Times New Roman" w:hAnsi="Calibri" w:cs="Times New Roman"/>
                <w:b/>
                <w:bCs/>
                <w:i/>
                <w:iCs/>
                <w:sz w:val="14"/>
                <w:szCs w:val="14"/>
              </w:rPr>
              <w:t>19.20</w:t>
            </w:r>
          </w:p>
        </w:tc>
        <w:tc>
          <w:tcPr>
            <w:tcW w:w="20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AF1DD"/>
            <w:noWrap/>
            <w:vAlign w:val="center"/>
            <w:hideMark/>
          </w:tcPr>
          <w:p w:rsidR="00016616" w:rsidRPr="0069141C" w:rsidRDefault="00016616" w:rsidP="0069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</w:pPr>
            <w:r w:rsidRPr="0069141C">
              <w:rPr>
                <w:rFonts w:ascii="Calibri" w:eastAsia="Times New Roman" w:hAnsi="Calibri" w:cs="Times New Roman"/>
                <w:i/>
                <w:iCs/>
                <w:sz w:val="14"/>
                <w:szCs w:val="14"/>
              </w:rPr>
              <w:t>-</w:t>
            </w:r>
          </w:p>
        </w:tc>
      </w:tr>
    </w:tbl>
    <w:p w:rsidR="009472A1" w:rsidRPr="00AD1B16" w:rsidRDefault="008D6E96" w:rsidP="00805844">
      <w:pPr>
        <w:rPr>
          <w:b/>
          <w:i/>
          <w:sz w:val="14"/>
          <w:szCs w:val="14"/>
        </w:rPr>
      </w:pPr>
      <w:r w:rsidRPr="00AD1B16">
        <w:rPr>
          <w:b/>
          <w:i/>
          <w:sz w:val="14"/>
          <w:szCs w:val="14"/>
        </w:rPr>
        <w:t>Izvor: Ministarstvo</w:t>
      </w:r>
      <w:r w:rsidR="0069141C">
        <w:rPr>
          <w:b/>
          <w:i/>
          <w:sz w:val="14"/>
          <w:szCs w:val="14"/>
        </w:rPr>
        <w:t xml:space="preserve"> </w:t>
      </w:r>
      <w:r w:rsidRPr="00AD1B16">
        <w:rPr>
          <w:b/>
          <w:i/>
          <w:sz w:val="14"/>
          <w:szCs w:val="14"/>
        </w:rPr>
        <w:t>finansija</w:t>
      </w:r>
      <w:r w:rsidR="0069141C">
        <w:rPr>
          <w:b/>
          <w:i/>
          <w:sz w:val="14"/>
          <w:szCs w:val="14"/>
        </w:rPr>
        <w:t xml:space="preserve"> </w:t>
      </w:r>
      <w:r w:rsidRPr="00AD1B16">
        <w:rPr>
          <w:b/>
          <w:i/>
          <w:sz w:val="14"/>
          <w:szCs w:val="14"/>
        </w:rPr>
        <w:t>Crne Gore</w:t>
      </w:r>
    </w:p>
    <w:p w:rsidR="00A2480A" w:rsidRPr="00AD1B16" w:rsidRDefault="00A2480A" w:rsidP="0069141C">
      <w:pPr>
        <w:ind w:left="-142"/>
        <w:jc w:val="both"/>
        <w:rPr>
          <w:sz w:val="14"/>
          <w:szCs w:val="14"/>
        </w:rPr>
      </w:pPr>
      <w:r w:rsidRPr="00AD1B16">
        <w:rPr>
          <w:rFonts w:cstheme="minorHAnsi"/>
          <w:bCs/>
          <w:sz w:val="14"/>
          <w:szCs w:val="14"/>
        </w:rPr>
        <w:t>*Povećanje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rashoda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za</w:t>
      </w:r>
      <w:r w:rsidR="0069141C">
        <w:rPr>
          <w:rFonts w:cstheme="minorHAnsi"/>
          <w:bCs/>
          <w:sz w:val="14"/>
          <w:szCs w:val="14"/>
        </w:rPr>
        <w:t xml:space="preserve"> material I </w:t>
      </w:r>
      <w:r w:rsidRPr="00AD1B16">
        <w:rPr>
          <w:rFonts w:cstheme="minorHAnsi"/>
          <w:bCs/>
          <w:sz w:val="14"/>
          <w:szCs w:val="14"/>
        </w:rPr>
        <w:t>usluge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rezultat je tehničke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izmjene u državnom</w:t>
      </w:r>
      <w:r w:rsidR="0069141C">
        <w:rPr>
          <w:rFonts w:cstheme="minorHAnsi"/>
          <w:bCs/>
          <w:sz w:val="14"/>
          <w:szCs w:val="14"/>
        </w:rPr>
        <w:t xml:space="preserve"> b</w:t>
      </w:r>
      <w:r w:rsidRPr="00AD1B16">
        <w:rPr>
          <w:rFonts w:cstheme="minorHAnsi"/>
          <w:bCs/>
          <w:sz w:val="14"/>
          <w:szCs w:val="14"/>
        </w:rPr>
        <w:t>udžetu, čime se sredstva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koja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su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ranije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knjižena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na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poziciji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i/>
          <w:sz w:val="14"/>
          <w:szCs w:val="14"/>
        </w:rPr>
        <w:t>transferi</w:t>
      </w:r>
      <w:r w:rsidR="0069141C">
        <w:rPr>
          <w:rFonts w:cstheme="minorHAnsi"/>
          <w:bCs/>
          <w:i/>
          <w:sz w:val="14"/>
          <w:szCs w:val="14"/>
        </w:rPr>
        <w:t xml:space="preserve"> </w:t>
      </w:r>
      <w:r w:rsidRPr="00AD1B16">
        <w:rPr>
          <w:rFonts w:cstheme="minorHAnsi"/>
          <w:bCs/>
          <w:i/>
          <w:sz w:val="14"/>
          <w:szCs w:val="14"/>
        </w:rPr>
        <w:t>institucijama, pojedincim</w:t>
      </w:r>
      <w:r w:rsidR="0069141C">
        <w:rPr>
          <w:rFonts w:cstheme="minorHAnsi"/>
          <w:bCs/>
          <w:i/>
          <w:sz w:val="14"/>
          <w:szCs w:val="14"/>
        </w:rPr>
        <w:t xml:space="preserve"> I </w:t>
      </w:r>
      <w:r w:rsidRPr="00AD1B16">
        <w:rPr>
          <w:rFonts w:cstheme="minorHAnsi"/>
          <w:bCs/>
          <w:i/>
          <w:sz w:val="14"/>
          <w:szCs w:val="14"/>
        </w:rPr>
        <w:t xml:space="preserve"> NVO sektoru</w:t>
      </w:r>
      <w:r w:rsidR="0069141C">
        <w:rPr>
          <w:rFonts w:cstheme="minorHAnsi"/>
          <w:bCs/>
          <w:i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sada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bilježe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na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poziciji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i/>
          <w:sz w:val="14"/>
          <w:szCs w:val="14"/>
        </w:rPr>
        <w:t>transferi</w:t>
      </w:r>
      <w:r w:rsidR="0069141C">
        <w:rPr>
          <w:rFonts w:cstheme="minorHAnsi"/>
          <w:bCs/>
          <w:i/>
          <w:sz w:val="14"/>
          <w:szCs w:val="14"/>
        </w:rPr>
        <w:t xml:space="preserve"> </w:t>
      </w:r>
      <w:r w:rsidRPr="00AD1B16">
        <w:rPr>
          <w:rFonts w:cstheme="minorHAnsi"/>
          <w:bCs/>
          <w:i/>
          <w:sz w:val="14"/>
          <w:szCs w:val="14"/>
        </w:rPr>
        <w:t>za</w:t>
      </w:r>
      <w:r w:rsidR="0069141C">
        <w:rPr>
          <w:rFonts w:cstheme="minorHAnsi"/>
          <w:bCs/>
          <w:i/>
          <w:sz w:val="14"/>
          <w:szCs w:val="14"/>
        </w:rPr>
        <w:t xml:space="preserve"> material I </w:t>
      </w:r>
      <w:r w:rsidRPr="00AD1B16">
        <w:rPr>
          <w:rFonts w:cstheme="minorHAnsi"/>
          <w:bCs/>
          <w:i/>
          <w:sz w:val="14"/>
          <w:szCs w:val="14"/>
        </w:rPr>
        <w:t>usluge</w:t>
      </w:r>
      <w:r w:rsidR="0069141C">
        <w:rPr>
          <w:rFonts w:cstheme="minorHAnsi"/>
          <w:bCs/>
          <w:sz w:val="14"/>
          <w:szCs w:val="14"/>
        </w:rPr>
        <w:t xml:space="preserve">. Time se </w:t>
      </w:r>
      <w:r w:rsidR="005025EC" w:rsidRPr="00AD1B16">
        <w:rPr>
          <w:rFonts w:cstheme="minorHAnsi"/>
          <w:bCs/>
          <w:sz w:val="14"/>
          <w:szCs w:val="14"/>
        </w:rPr>
        <w:t>podstiče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="005025EC" w:rsidRPr="00AD1B16">
        <w:rPr>
          <w:rFonts w:cstheme="minorHAnsi"/>
          <w:bCs/>
          <w:sz w:val="14"/>
          <w:szCs w:val="14"/>
        </w:rPr>
        <w:t>transparentnost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trošenja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budžetskih</w:t>
      </w:r>
      <w:r w:rsidR="0069141C">
        <w:rPr>
          <w:rFonts w:cstheme="minorHAnsi"/>
          <w:bCs/>
          <w:sz w:val="14"/>
          <w:szCs w:val="14"/>
        </w:rPr>
        <w:t xml:space="preserve"> </w:t>
      </w:r>
      <w:r w:rsidRPr="00AD1B16">
        <w:rPr>
          <w:rFonts w:cstheme="minorHAnsi"/>
          <w:bCs/>
          <w:sz w:val="14"/>
          <w:szCs w:val="14"/>
        </w:rPr>
        <w:t>sredstava.</w:t>
      </w:r>
    </w:p>
    <w:sectPr w:rsidR="00A2480A" w:rsidRPr="00AD1B16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EDA" w:rsidRDefault="008F0EDA" w:rsidP="00965FCD">
      <w:pPr>
        <w:spacing w:after="0" w:line="240" w:lineRule="auto"/>
      </w:pPr>
      <w:r>
        <w:separator/>
      </w:r>
    </w:p>
  </w:endnote>
  <w:endnote w:type="continuationSeparator" w:id="1">
    <w:p w:rsidR="008F0EDA" w:rsidRDefault="008F0EDA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EDA" w:rsidRDefault="008F0EDA" w:rsidP="00965FCD">
      <w:pPr>
        <w:spacing w:after="0" w:line="240" w:lineRule="auto"/>
      </w:pPr>
      <w:r>
        <w:separator/>
      </w:r>
    </w:p>
  </w:footnote>
  <w:footnote w:type="continuationSeparator" w:id="1">
    <w:p w:rsidR="008F0EDA" w:rsidRDefault="008F0EDA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97970"/>
    <w:multiLevelType w:val="hybridMultilevel"/>
    <w:tmpl w:val="530A2D48"/>
    <w:lvl w:ilvl="0" w:tplc="901E3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500118"/>
    <w:multiLevelType w:val="hybridMultilevel"/>
    <w:tmpl w:val="5080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1692"/>
    <w:rsid w:val="000000CB"/>
    <w:rsid w:val="000010A3"/>
    <w:rsid w:val="00003D78"/>
    <w:rsid w:val="00004B56"/>
    <w:rsid w:val="00014AAB"/>
    <w:rsid w:val="00014D0B"/>
    <w:rsid w:val="00014E6A"/>
    <w:rsid w:val="00016616"/>
    <w:rsid w:val="00021033"/>
    <w:rsid w:val="000224B4"/>
    <w:rsid w:val="00022789"/>
    <w:rsid w:val="000263A4"/>
    <w:rsid w:val="000341DE"/>
    <w:rsid w:val="00034923"/>
    <w:rsid w:val="0003544A"/>
    <w:rsid w:val="000369E1"/>
    <w:rsid w:val="000421A3"/>
    <w:rsid w:val="0004400E"/>
    <w:rsid w:val="000449CD"/>
    <w:rsid w:val="00044CB0"/>
    <w:rsid w:val="00045654"/>
    <w:rsid w:val="00046C9E"/>
    <w:rsid w:val="00050EAB"/>
    <w:rsid w:val="00052DC4"/>
    <w:rsid w:val="00054068"/>
    <w:rsid w:val="00055E5C"/>
    <w:rsid w:val="00055F78"/>
    <w:rsid w:val="00056E43"/>
    <w:rsid w:val="000601A4"/>
    <w:rsid w:val="00061391"/>
    <w:rsid w:val="000645F3"/>
    <w:rsid w:val="00067726"/>
    <w:rsid w:val="000734AF"/>
    <w:rsid w:val="00073786"/>
    <w:rsid w:val="00074378"/>
    <w:rsid w:val="000747AC"/>
    <w:rsid w:val="00074C3E"/>
    <w:rsid w:val="0007530C"/>
    <w:rsid w:val="00080AEE"/>
    <w:rsid w:val="000812E2"/>
    <w:rsid w:val="00085B67"/>
    <w:rsid w:val="00090FDD"/>
    <w:rsid w:val="000915D3"/>
    <w:rsid w:val="000917D8"/>
    <w:rsid w:val="000945C9"/>
    <w:rsid w:val="0009548F"/>
    <w:rsid w:val="00097E38"/>
    <w:rsid w:val="000A06F2"/>
    <w:rsid w:val="000A1159"/>
    <w:rsid w:val="000A2F52"/>
    <w:rsid w:val="000A43CE"/>
    <w:rsid w:val="000A47FF"/>
    <w:rsid w:val="000A4E37"/>
    <w:rsid w:val="000A787A"/>
    <w:rsid w:val="000B1DD7"/>
    <w:rsid w:val="000B502D"/>
    <w:rsid w:val="000B67B1"/>
    <w:rsid w:val="000B7AE2"/>
    <w:rsid w:val="000C06C5"/>
    <w:rsid w:val="000C1965"/>
    <w:rsid w:val="000C36DB"/>
    <w:rsid w:val="000C6818"/>
    <w:rsid w:val="000D1A0B"/>
    <w:rsid w:val="000D52CF"/>
    <w:rsid w:val="000D5D48"/>
    <w:rsid w:val="000D5ED7"/>
    <w:rsid w:val="000D6DF1"/>
    <w:rsid w:val="000E13EB"/>
    <w:rsid w:val="000E2251"/>
    <w:rsid w:val="000E2351"/>
    <w:rsid w:val="000E3987"/>
    <w:rsid w:val="000E6096"/>
    <w:rsid w:val="000E77A4"/>
    <w:rsid w:val="000F4D73"/>
    <w:rsid w:val="000F5B09"/>
    <w:rsid w:val="000F6C6B"/>
    <w:rsid w:val="000F756E"/>
    <w:rsid w:val="00100371"/>
    <w:rsid w:val="0010339D"/>
    <w:rsid w:val="00107128"/>
    <w:rsid w:val="00112853"/>
    <w:rsid w:val="00114109"/>
    <w:rsid w:val="00115519"/>
    <w:rsid w:val="00116365"/>
    <w:rsid w:val="001164A1"/>
    <w:rsid w:val="00120A3A"/>
    <w:rsid w:val="00131185"/>
    <w:rsid w:val="001326B7"/>
    <w:rsid w:val="00134816"/>
    <w:rsid w:val="00134C6C"/>
    <w:rsid w:val="00136E70"/>
    <w:rsid w:val="00144C86"/>
    <w:rsid w:val="0014607D"/>
    <w:rsid w:val="00147278"/>
    <w:rsid w:val="00152E4F"/>
    <w:rsid w:val="001530CE"/>
    <w:rsid w:val="0015515C"/>
    <w:rsid w:val="00156E33"/>
    <w:rsid w:val="00157601"/>
    <w:rsid w:val="001610BD"/>
    <w:rsid w:val="001613FC"/>
    <w:rsid w:val="001627A3"/>
    <w:rsid w:val="00163041"/>
    <w:rsid w:val="001644C7"/>
    <w:rsid w:val="00165DE6"/>
    <w:rsid w:val="001678F1"/>
    <w:rsid w:val="00167F3F"/>
    <w:rsid w:val="00170C82"/>
    <w:rsid w:val="00170CCE"/>
    <w:rsid w:val="00172D59"/>
    <w:rsid w:val="00174836"/>
    <w:rsid w:val="0017540F"/>
    <w:rsid w:val="00181309"/>
    <w:rsid w:val="0018289E"/>
    <w:rsid w:val="0018592D"/>
    <w:rsid w:val="00186BEF"/>
    <w:rsid w:val="00186F09"/>
    <w:rsid w:val="00187C66"/>
    <w:rsid w:val="00190285"/>
    <w:rsid w:val="001942BA"/>
    <w:rsid w:val="001A2829"/>
    <w:rsid w:val="001A392F"/>
    <w:rsid w:val="001A594D"/>
    <w:rsid w:val="001A65F4"/>
    <w:rsid w:val="001A7319"/>
    <w:rsid w:val="001C1F7E"/>
    <w:rsid w:val="001C23DD"/>
    <w:rsid w:val="001C264C"/>
    <w:rsid w:val="001C2751"/>
    <w:rsid w:val="001C51EC"/>
    <w:rsid w:val="001C5CE9"/>
    <w:rsid w:val="001C6698"/>
    <w:rsid w:val="001C6750"/>
    <w:rsid w:val="001D0A32"/>
    <w:rsid w:val="001D4E81"/>
    <w:rsid w:val="001E29D1"/>
    <w:rsid w:val="001E2BC7"/>
    <w:rsid w:val="001E33FE"/>
    <w:rsid w:val="001E4EAE"/>
    <w:rsid w:val="001E5BE3"/>
    <w:rsid w:val="001F1378"/>
    <w:rsid w:val="001F2B57"/>
    <w:rsid w:val="001F4C02"/>
    <w:rsid w:val="001F69DD"/>
    <w:rsid w:val="001F7C33"/>
    <w:rsid w:val="002000E5"/>
    <w:rsid w:val="0020246C"/>
    <w:rsid w:val="00203447"/>
    <w:rsid w:val="00205D15"/>
    <w:rsid w:val="00206062"/>
    <w:rsid w:val="00207613"/>
    <w:rsid w:val="00207B53"/>
    <w:rsid w:val="0021042E"/>
    <w:rsid w:val="00212126"/>
    <w:rsid w:val="00212633"/>
    <w:rsid w:val="0021614C"/>
    <w:rsid w:val="00220834"/>
    <w:rsid w:val="002210E9"/>
    <w:rsid w:val="00223E45"/>
    <w:rsid w:val="002251C3"/>
    <w:rsid w:val="00225F74"/>
    <w:rsid w:val="0022695C"/>
    <w:rsid w:val="00227682"/>
    <w:rsid w:val="00227D75"/>
    <w:rsid w:val="00230FA2"/>
    <w:rsid w:val="00231268"/>
    <w:rsid w:val="00236B99"/>
    <w:rsid w:val="00240136"/>
    <w:rsid w:val="002402CA"/>
    <w:rsid w:val="00240CF4"/>
    <w:rsid w:val="002417C5"/>
    <w:rsid w:val="002427AE"/>
    <w:rsid w:val="00243419"/>
    <w:rsid w:val="00245A6C"/>
    <w:rsid w:val="00245B04"/>
    <w:rsid w:val="0025102C"/>
    <w:rsid w:val="0025137D"/>
    <w:rsid w:val="00253ECF"/>
    <w:rsid w:val="00253F71"/>
    <w:rsid w:val="00256550"/>
    <w:rsid w:val="0025757E"/>
    <w:rsid w:val="00257733"/>
    <w:rsid w:val="00257D9D"/>
    <w:rsid w:val="00260EF0"/>
    <w:rsid w:val="00265023"/>
    <w:rsid w:val="002650CF"/>
    <w:rsid w:val="00265406"/>
    <w:rsid w:val="00265A3D"/>
    <w:rsid w:val="00270FD9"/>
    <w:rsid w:val="002717A8"/>
    <w:rsid w:val="002723A7"/>
    <w:rsid w:val="00274EBC"/>
    <w:rsid w:val="00282488"/>
    <w:rsid w:val="002827A7"/>
    <w:rsid w:val="00282DBE"/>
    <w:rsid w:val="00294586"/>
    <w:rsid w:val="00296127"/>
    <w:rsid w:val="00297AC4"/>
    <w:rsid w:val="002A046A"/>
    <w:rsid w:val="002A0D49"/>
    <w:rsid w:val="002A10A8"/>
    <w:rsid w:val="002A1B2B"/>
    <w:rsid w:val="002A1DC4"/>
    <w:rsid w:val="002A235B"/>
    <w:rsid w:val="002A4910"/>
    <w:rsid w:val="002B10AE"/>
    <w:rsid w:val="002B318C"/>
    <w:rsid w:val="002B552A"/>
    <w:rsid w:val="002C1A52"/>
    <w:rsid w:val="002C1FBF"/>
    <w:rsid w:val="002C6888"/>
    <w:rsid w:val="002C78FB"/>
    <w:rsid w:val="002D170B"/>
    <w:rsid w:val="002D2E80"/>
    <w:rsid w:val="002D3B0F"/>
    <w:rsid w:val="002D5865"/>
    <w:rsid w:val="002E6B45"/>
    <w:rsid w:val="002E6C4E"/>
    <w:rsid w:val="002E6CB0"/>
    <w:rsid w:val="002F184C"/>
    <w:rsid w:val="002F19E7"/>
    <w:rsid w:val="002F323A"/>
    <w:rsid w:val="002F5002"/>
    <w:rsid w:val="002F567B"/>
    <w:rsid w:val="002F6AB2"/>
    <w:rsid w:val="003004B8"/>
    <w:rsid w:val="003022A7"/>
    <w:rsid w:val="00303D85"/>
    <w:rsid w:val="00307F4D"/>
    <w:rsid w:val="0031558E"/>
    <w:rsid w:val="003217C9"/>
    <w:rsid w:val="00321CA6"/>
    <w:rsid w:val="00327AC3"/>
    <w:rsid w:val="00330832"/>
    <w:rsid w:val="00330C13"/>
    <w:rsid w:val="00331520"/>
    <w:rsid w:val="00331C0E"/>
    <w:rsid w:val="00331D9F"/>
    <w:rsid w:val="003324D9"/>
    <w:rsid w:val="00333C49"/>
    <w:rsid w:val="00337648"/>
    <w:rsid w:val="00340752"/>
    <w:rsid w:val="003409C9"/>
    <w:rsid w:val="00341583"/>
    <w:rsid w:val="00344581"/>
    <w:rsid w:val="00350CFE"/>
    <w:rsid w:val="0035139C"/>
    <w:rsid w:val="003568F4"/>
    <w:rsid w:val="00357182"/>
    <w:rsid w:val="00360100"/>
    <w:rsid w:val="00360197"/>
    <w:rsid w:val="003625F1"/>
    <w:rsid w:val="00364D14"/>
    <w:rsid w:val="00365311"/>
    <w:rsid w:val="00365E46"/>
    <w:rsid w:val="00366F41"/>
    <w:rsid w:val="0037726C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257B"/>
    <w:rsid w:val="0039441A"/>
    <w:rsid w:val="00395416"/>
    <w:rsid w:val="00396D7E"/>
    <w:rsid w:val="00396FDF"/>
    <w:rsid w:val="003A0776"/>
    <w:rsid w:val="003A0F73"/>
    <w:rsid w:val="003A1150"/>
    <w:rsid w:val="003A143C"/>
    <w:rsid w:val="003A1E5E"/>
    <w:rsid w:val="003B1992"/>
    <w:rsid w:val="003B1A29"/>
    <w:rsid w:val="003B2900"/>
    <w:rsid w:val="003B3299"/>
    <w:rsid w:val="003B436A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757E"/>
    <w:rsid w:val="003F0052"/>
    <w:rsid w:val="003F0EA8"/>
    <w:rsid w:val="003F5183"/>
    <w:rsid w:val="003F5A35"/>
    <w:rsid w:val="00400C11"/>
    <w:rsid w:val="004010A8"/>
    <w:rsid w:val="00406097"/>
    <w:rsid w:val="00406C7B"/>
    <w:rsid w:val="00407FE4"/>
    <w:rsid w:val="0041311D"/>
    <w:rsid w:val="00415806"/>
    <w:rsid w:val="004159BE"/>
    <w:rsid w:val="00417DAC"/>
    <w:rsid w:val="00420CBC"/>
    <w:rsid w:val="00421432"/>
    <w:rsid w:val="00421CD5"/>
    <w:rsid w:val="00425EC2"/>
    <w:rsid w:val="00427696"/>
    <w:rsid w:val="00435D37"/>
    <w:rsid w:val="00436469"/>
    <w:rsid w:val="0044465C"/>
    <w:rsid w:val="004471B9"/>
    <w:rsid w:val="00447221"/>
    <w:rsid w:val="00455227"/>
    <w:rsid w:val="0045620A"/>
    <w:rsid w:val="00461324"/>
    <w:rsid w:val="0046148B"/>
    <w:rsid w:val="004634E4"/>
    <w:rsid w:val="004655E7"/>
    <w:rsid w:val="004725CB"/>
    <w:rsid w:val="0047278D"/>
    <w:rsid w:val="00475763"/>
    <w:rsid w:val="00480082"/>
    <w:rsid w:val="004848E8"/>
    <w:rsid w:val="004865CE"/>
    <w:rsid w:val="004866EC"/>
    <w:rsid w:val="004868F5"/>
    <w:rsid w:val="00487296"/>
    <w:rsid w:val="00493B63"/>
    <w:rsid w:val="004940E0"/>
    <w:rsid w:val="00496861"/>
    <w:rsid w:val="004A02D2"/>
    <w:rsid w:val="004A1113"/>
    <w:rsid w:val="004A382B"/>
    <w:rsid w:val="004A3894"/>
    <w:rsid w:val="004A38D1"/>
    <w:rsid w:val="004A55B1"/>
    <w:rsid w:val="004A56BE"/>
    <w:rsid w:val="004A5717"/>
    <w:rsid w:val="004A62DA"/>
    <w:rsid w:val="004B1C2A"/>
    <w:rsid w:val="004B41B2"/>
    <w:rsid w:val="004B7800"/>
    <w:rsid w:val="004B7883"/>
    <w:rsid w:val="004C0135"/>
    <w:rsid w:val="004C16F3"/>
    <w:rsid w:val="004C373F"/>
    <w:rsid w:val="004C3C31"/>
    <w:rsid w:val="004C659C"/>
    <w:rsid w:val="004D49A0"/>
    <w:rsid w:val="004D4E0F"/>
    <w:rsid w:val="004E7676"/>
    <w:rsid w:val="004F288B"/>
    <w:rsid w:val="004F3817"/>
    <w:rsid w:val="004F50B8"/>
    <w:rsid w:val="004F7D2D"/>
    <w:rsid w:val="004F7F71"/>
    <w:rsid w:val="005025EC"/>
    <w:rsid w:val="005027D6"/>
    <w:rsid w:val="005070CF"/>
    <w:rsid w:val="005078B9"/>
    <w:rsid w:val="00512CBD"/>
    <w:rsid w:val="00516264"/>
    <w:rsid w:val="00517175"/>
    <w:rsid w:val="00522282"/>
    <w:rsid w:val="00524587"/>
    <w:rsid w:val="0052531F"/>
    <w:rsid w:val="005253D1"/>
    <w:rsid w:val="00532B88"/>
    <w:rsid w:val="005331BD"/>
    <w:rsid w:val="0053621B"/>
    <w:rsid w:val="00536525"/>
    <w:rsid w:val="0053722D"/>
    <w:rsid w:val="00541131"/>
    <w:rsid w:val="00541D70"/>
    <w:rsid w:val="005429A2"/>
    <w:rsid w:val="00543A1F"/>
    <w:rsid w:val="00546FBC"/>
    <w:rsid w:val="00547212"/>
    <w:rsid w:val="005523CF"/>
    <w:rsid w:val="0055364A"/>
    <w:rsid w:val="00553E61"/>
    <w:rsid w:val="0055409D"/>
    <w:rsid w:val="0055507E"/>
    <w:rsid w:val="00555A5E"/>
    <w:rsid w:val="0055713F"/>
    <w:rsid w:val="00560529"/>
    <w:rsid w:val="00561992"/>
    <w:rsid w:val="00564436"/>
    <w:rsid w:val="005644BB"/>
    <w:rsid w:val="00565662"/>
    <w:rsid w:val="00570EEF"/>
    <w:rsid w:val="00571A37"/>
    <w:rsid w:val="0057438A"/>
    <w:rsid w:val="00580172"/>
    <w:rsid w:val="00581749"/>
    <w:rsid w:val="005829D9"/>
    <w:rsid w:val="00583591"/>
    <w:rsid w:val="005852DA"/>
    <w:rsid w:val="005916D5"/>
    <w:rsid w:val="00593B25"/>
    <w:rsid w:val="00595DA2"/>
    <w:rsid w:val="005A2310"/>
    <w:rsid w:val="005A23F2"/>
    <w:rsid w:val="005A4AB8"/>
    <w:rsid w:val="005A5064"/>
    <w:rsid w:val="005A5229"/>
    <w:rsid w:val="005B0DB1"/>
    <w:rsid w:val="005B18F4"/>
    <w:rsid w:val="005B25F8"/>
    <w:rsid w:val="005B5CB7"/>
    <w:rsid w:val="005C19AB"/>
    <w:rsid w:val="005C3915"/>
    <w:rsid w:val="005C4CBE"/>
    <w:rsid w:val="005C5F38"/>
    <w:rsid w:val="005D4BC4"/>
    <w:rsid w:val="005D751B"/>
    <w:rsid w:val="005E038B"/>
    <w:rsid w:val="005E150E"/>
    <w:rsid w:val="005E2852"/>
    <w:rsid w:val="005E35C9"/>
    <w:rsid w:val="005E3989"/>
    <w:rsid w:val="005E4CD1"/>
    <w:rsid w:val="005E5941"/>
    <w:rsid w:val="005E6D35"/>
    <w:rsid w:val="005F50EA"/>
    <w:rsid w:val="005F568D"/>
    <w:rsid w:val="006006C6"/>
    <w:rsid w:val="006050EA"/>
    <w:rsid w:val="006071F2"/>
    <w:rsid w:val="00607217"/>
    <w:rsid w:val="00607500"/>
    <w:rsid w:val="0061084D"/>
    <w:rsid w:val="006127E9"/>
    <w:rsid w:val="00612F5E"/>
    <w:rsid w:val="00613676"/>
    <w:rsid w:val="00616B6E"/>
    <w:rsid w:val="00620FA4"/>
    <w:rsid w:val="0062271A"/>
    <w:rsid w:val="00623BC4"/>
    <w:rsid w:val="00624C12"/>
    <w:rsid w:val="00634C0F"/>
    <w:rsid w:val="0063610A"/>
    <w:rsid w:val="00645ED4"/>
    <w:rsid w:val="00647B12"/>
    <w:rsid w:val="006509EE"/>
    <w:rsid w:val="0065108A"/>
    <w:rsid w:val="006534C5"/>
    <w:rsid w:val="00653CF3"/>
    <w:rsid w:val="00654A8A"/>
    <w:rsid w:val="0065775B"/>
    <w:rsid w:val="00661339"/>
    <w:rsid w:val="00661C7E"/>
    <w:rsid w:val="00662D7F"/>
    <w:rsid w:val="00663690"/>
    <w:rsid w:val="00664DEB"/>
    <w:rsid w:val="00666EFC"/>
    <w:rsid w:val="00670373"/>
    <w:rsid w:val="00671844"/>
    <w:rsid w:val="006723F0"/>
    <w:rsid w:val="00672DCB"/>
    <w:rsid w:val="006751BF"/>
    <w:rsid w:val="006756E9"/>
    <w:rsid w:val="006760A4"/>
    <w:rsid w:val="00676A4B"/>
    <w:rsid w:val="00681351"/>
    <w:rsid w:val="00684902"/>
    <w:rsid w:val="00690A2B"/>
    <w:rsid w:val="00690EA9"/>
    <w:rsid w:val="006910F4"/>
    <w:rsid w:val="0069141C"/>
    <w:rsid w:val="00692810"/>
    <w:rsid w:val="0069282E"/>
    <w:rsid w:val="0069434B"/>
    <w:rsid w:val="00694445"/>
    <w:rsid w:val="00695141"/>
    <w:rsid w:val="00695AC5"/>
    <w:rsid w:val="006971AF"/>
    <w:rsid w:val="00697A91"/>
    <w:rsid w:val="006A0B4A"/>
    <w:rsid w:val="006A290B"/>
    <w:rsid w:val="006A5DE6"/>
    <w:rsid w:val="006B2866"/>
    <w:rsid w:val="006B3579"/>
    <w:rsid w:val="006B4777"/>
    <w:rsid w:val="006B7725"/>
    <w:rsid w:val="006C15C6"/>
    <w:rsid w:val="006C2906"/>
    <w:rsid w:val="006C3C84"/>
    <w:rsid w:val="006C5F17"/>
    <w:rsid w:val="006C7BA4"/>
    <w:rsid w:val="006C7EA3"/>
    <w:rsid w:val="006D3727"/>
    <w:rsid w:val="006D4A5C"/>
    <w:rsid w:val="006D53D7"/>
    <w:rsid w:val="006D74DB"/>
    <w:rsid w:val="006E11AC"/>
    <w:rsid w:val="006E4B91"/>
    <w:rsid w:val="006E6751"/>
    <w:rsid w:val="006F2861"/>
    <w:rsid w:val="006F4309"/>
    <w:rsid w:val="006F5E1B"/>
    <w:rsid w:val="006F6B2B"/>
    <w:rsid w:val="006F6D5E"/>
    <w:rsid w:val="00701093"/>
    <w:rsid w:val="007027D1"/>
    <w:rsid w:val="00703116"/>
    <w:rsid w:val="007055C9"/>
    <w:rsid w:val="00710BC7"/>
    <w:rsid w:val="00712271"/>
    <w:rsid w:val="00713AA0"/>
    <w:rsid w:val="00715597"/>
    <w:rsid w:val="00716A7D"/>
    <w:rsid w:val="00716B14"/>
    <w:rsid w:val="00717FE8"/>
    <w:rsid w:val="00721DCD"/>
    <w:rsid w:val="00722A4C"/>
    <w:rsid w:val="00725D07"/>
    <w:rsid w:val="007307C9"/>
    <w:rsid w:val="00734688"/>
    <w:rsid w:val="00734729"/>
    <w:rsid w:val="00736E76"/>
    <w:rsid w:val="00737DB4"/>
    <w:rsid w:val="00740037"/>
    <w:rsid w:val="007406F2"/>
    <w:rsid w:val="00742B3A"/>
    <w:rsid w:val="00742C04"/>
    <w:rsid w:val="007452A1"/>
    <w:rsid w:val="00745BCE"/>
    <w:rsid w:val="007469F9"/>
    <w:rsid w:val="007515DA"/>
    <w:rsid w:val="00753C0A"/>
    <w:rsid w:val="00754F86"/>
    <w:rsid w:val="0075551E"/>
    <w:rsid w:val="00756761"/>
    <w:rsid w:val="007579F4"/>
    <w:rsid w:val="00757A6C"/>
    <w:rsid w:val="00761287"/>
    <w:rsid w:val="0076182F"/>
    <w:rsid w:val="007618B8"/>
    <w:rsid w:val="00771538"/>
    <w:rsid w:val="007722BC"/>
    <w:rsid w:val="0077299A"/>
    <w:rsid w:val="00772A01"/>
    <w:rsid w:val="00772F45"/>
    <w:rsid w:val="00777134"/>
    <w:rsid w:val="00781377"/>
    <w:rsid w:val="00784166"/>
    <w:rsid w:val="0078476D"/>
    <w:rsid w:val="00784BF8"/>
    <w:rsid w:val="00785339"/>
    <w:rsid w:val="00786F50"/>
    <w:rsid w:val="00791DC2"/>
    <w:rsid w:val="007941BB"/>
    <w:rsid w:val="00794B8C"/>
    <w:rsid w:val="00796ED1"/>
    <w:rsid w:val="00797B66"/>
    <w:rsid w:val="007A1882"/>
    <w:rsid w:val="007A2838"/>
    <w:rsid w:val="007A299E"/>
    <w:rsid w:val="007A33EE"/>
    <w:rsid w:val="007B0888"/>
    <w:rsid w:val="007B5C2E"/>
    <w:rsid w:val="007B7DBE"/>
    <w:rsid w:val="007C1EE8"/>
    <w:rsid w:val="007C2107"/>
    <w:rsid w:val="007C2827"/>
    <w:rsid w:val="007D0956"/>
    <w:rsid w:val="007D4C9D"/>
    <w:rsid w:val="007D4EE7"/>
    <w:rsid w:val="007D5AB1"/>
    <w:rsid w:val="007E0203"/>
    <w:rsid w:val="007E056C"/>
    <w:rsid w:val="007E081D"/>
    <w:rsid w:val="007E293C"/>
    <w:rsid w:val="007E36EB"/>
    <w:rsid w:val="007E7DDD"/>
    <w:rsid w:val="007F33E9"/>
    <w:rsid w:val="007F388B"/>
    <w:rsid w:val="007F61AF"/>
    <w:rsid w:val="007F775F"/>
    <w:rsid w:val="00802B7F"/>
    <w:rsid w:val="00804F0B"/>
    <w:rsid w:val="00805844"/>
    <w:rsid w:val="00806B4B"/>
    <w:rsid w:val="0081020F"/>
    <w:rsid w:val="00810837"/>
    <w:rsid w:val="00810CDD"/>
    <w:rsid w:val="0081184B"/>
    <w:rsid w:val="00811DF5"/>
    <w:rsid w:val="00813F13"/>
    <w:rsid w:val="00815A2F"/>
    <w:rsid w:val="00817A6A"/>
    <w:rsid w:val="0082070B"/>
    <w:rsid w:val="00822F67"/>
    <w:rsid w:val="008251C2"/>
    <w:rsid w:val="0082721B"/>
    <w:rsid w:val="008343BA"/>
    <w:rsid w:val="00836A00"/>
    <w:rsid w:val="00845320"/>
    <w:rsid w:val="00845675"/>
    <w:rsid w:val="00847B5B"/>
    <w:rsid w:val="00854098"/>
    <w:rsid w:val="008573C7"/>
    <w:rsid w:val="00860BDB"/>
    <w:rsid w:val="00861096"/>
    <w:rsid w:val="00861D85"/>
    <w:rsid w:val="00861F52"/>
    <w:rsid w:val="00864891"/>
    <w:rsid w:val="00873808"/>
    <w:rsid w:val="00875C4F"/>
    <w:rsid w:val="008770B1"/>
    <w:rsid w:val="00877642"/>
    <w:rsid w:val="00880646"/>
    <w:rsid w:val="0088092D"/>
    <w:rsid w:val="00882650"/>
    <w:rsid w:val="00883754"/>
    <w:rsid w:val="008842AB"/>
    <w:rsid w:val="008844C7"/>
    <w:rsid w:val="008855BC"/>
    <w:rsid w:val="00886930"/>
    <w:rsid w:val="0089243B"/>
    <w:rsid w:val="0089368B"/>
    <w:rsid w:val="0089702D"/>
    <w:rsid w:val="008A1B88"/>
    <w:rsid w:val="008A1FE3"/>
    <w:rsid w:val="008A20BC"/>
    <w:rsid w:val="008A30DD"/>
    <w:rsid w:val="008A3BC7"/>
    <w:rsid w:val="008A3F44"/>
    <w:rsid w:val="008A68EC"/>
    <w:rsid w:val="008A73B0"/>
    <w:rsid w:val="008B2B3C"/>
    <w:rsid w:val="008B47C5"/>
    <w:rsid w:val="008C01EB"/>
    <w:rsid w:val="008C15C8"/>
    <w:rsid w:val="008C2299"/>
    <w:rsid w:val="008C3941"/>
    <w:rsid w:val="008D0998"/>
    <w:rsid w:val="008D2C8B"/>
    <w:rsid w:val="008D4618"/>
    <w:rsid w:val="008D6E96"/>
    <w:rsid w:val="008D6F6A"/>
    <w:rsid w:val="008D6F78"/>
    <w:rsid w:val="008E0E90"/>
    <w:rsid w:val="008E6D00"/>
    <w:rsid w:val="008E7183"/>
    <w:rsid w:val="008F0415"/>
    <w:rsid w:val="008F0EDA"/>
    <w:rsid w:val="008F195C"/>
    <w:rsid w:val="008F34CB"/>
    <w:rsid w:val="008F3986"/>
    <w:rsid w:val="008F4F59"/>
    <w:rsid w:val="008F7755"/>
    <w:rsid w:val="00902289"/>
    <w:rsid w:val="009022BB"/>
    <w:rsid w:val="0090493D"/>
    <w:rsid w:val="00904C72"/>
    <w:rsid w:val="00905430"/>
    <w:rsid w:val="00905BF5"/>
    <w:rsid w:val="00905F6A"/>
    <w:rsid w:val="00907FE0"/>
    <w:rsid w:val="00910CBD"/>
    <w:rsid w:val="0091144B"/>
    <w:rsid w:val="009126D6"/>
    <w:rsid w:val="00915576"/>
    <w:rsid w:val="00916A0F"/>
    <w:rsid w:val="0092368D"/>
    <w:rsid w:val="0092403C"/>
    <w:rsid w:val="0092474C"/>
    <w:rsid w:val="009271A2"/>
    <w:rsid w:val="0093484E"/>
    <w:rsid w:val="00941C71"/>
    <w:rsid w:val="00941E99"/>
    <w:rsid w:val="0094299F"/>
    <w:rsid w:val="009472A1"/>
    <w:rsid w:val="00947E4E"/>
    <w:rsid w:val="00951A56"/>
    <w:rsid w:val="00952BDA"/>
    <w:rsid w:val="009543FD"/>
    <w:rsid w:val="0095708D"/>
    <w:rsid w:val="00957325"/>
    <w:rsid w:val="00962341"/>
    <w:rsid w:val="009647DB"/>
    <w:rsid w:val="00965B35"/>
    <w:rsid w:val="00965FCD"/>
    <w:rsid w:val="00966CC3"/>
    <w:rsid w:val="009707F3"/>
    <w:rsid w:val="00972F5D"/>
    <w:rsid w:val="0097377E"/>
    <w:rsid w:val="00974320"/>
    <w:rsid w:val="00974F42"/>
    <w:rsid w:val="0098296F"/>
    <w:rsid w:val="009836D7"/>
    <w:rsid w:val="009860B5"/>
    <w:rsid w:val="00992B90"/>
    <w:rsid w:val="00994D96"/>
    <w:rsid w:val="009A0736"/>
    <w:rsid w:val="009A24E1"/>
    <w:rsid w:val="009A4C61"/>
    <w:rsid w:val="009A792A"/>
    <w:rsid w:val="009B1C0A"/>
    <w:rsid w:val="009B320B"/>
    <w:rsid w:val="009B5779"/>
    <w:rsid w:val="009B65AF"/>
    <w:rsid w:val="009B6603"/>
    <w:rsid w:val="009C162D"/>
    <w:rsid w:val="009C42D7"/>
    <w:rsid w:val="009C756D"/>
    <w:rsid w:val="009D04AF"/>
    <w:rsid w:val="009D198A"/>
    <w:rsid w:val="009D2F97"/>
    <w:rsid w:val="009D36B4"/>
    <w:rsid w:val="009D3E8D"/>
    <w:rsid w:val="009D64D9"/>
    <w:rsid w:val="009D7885"/>
    <w:rsid w:val="009E58AC"/>
    <w:rsid w:val="009E5D48"/>
    <w:rsid w:val="009E70C1"/>
    <w:rsid w:val="009E7177"/>
    <w:rsid w:val="009F1090"/>
    <w:rsid w:val="009F18E0"/>
    <w:rsid w:val="009F3CF9"/>
    <w:rsid w:val="009F3DA9"/>
    <w:rsid w:val="00A00218"/>
    <w:rsid w:val="00A0035B"/>
    <w:rsid w:val="00A060B3"/>
    <w:rsid w:val="00A06C70"/>
    <w:rsid w:val="00A07539"/>
    <w:rsid w:val="00A119B4"/>
    <w:rsid w:val="00A11CDE"/>
    <w:rsid w:val="00A14996"/>
    <w:rsid w:val="00A16685"/>
    <w:rsid w:val="00A17447"/>
    <w:rsid w:val="00A22776"/>
    <w:rsid w:val="00A22911"/>
    <w:rsid w:val="00A233F2"/>
    <w:rsid w:val="00A2480A"/>
    <w:rsid w:val="00A25D5F"/>
    <w:rsid w:val="00A33860"/>
    <w:rsid w:val="00A34E49"/>
    <w:rsid w:val="00A34E9D"/>
    <w:rsid w:val="00A35C10"/>
    <w:rsid w:val="00A4482B"/>
    <w:rsid w:val="00A44F75"/>
    <w:rsid w:val="00A4692E"/>
    <w:rsid w:val="00A46C9C"/>
    <w:rsid w:val="00A46DEF"/>
    <w:rsid w:val="00A52BC0"/>
    <w:rsid w:val="00A55764"/>
    <w:rsid w:val="00A559ED"/>
    <w:rsid w:val="00A55AB0"/>
    <w:rsid w:val="00A5642C"/>
    <w:rsid w:val="00A57868"/>
    <w:rsid w:val="00A578E8"/>
    <w:rsid w:val="00A6220E"/>
    <w:rsid w:val="00A62711"/>
    <w:rsid w:val="00A63167"/>
    <w:rsid w:val="00A63349"/>
    <w:rsid w:val="00A66994"/>
    <w:rsid w:val="00A67103"/>
    <w:rsid w:val="00A73828"/>
    <w:rsid w:val="00A74590"/>
    <w:rsid w:val="00A75004"/>
    <w:rsid w:val="00A76BD3"/>
    <w:rsid w:val="00A80523"/>
    <w:rsid w:val="00A85322"/>
    <w:rsid w:val="00A919D2"/>
    <w:rsid w:val="00A94105"/>
    <w:rsid w:val="00A965E6"/>
    <w:rsid w:val="00AA1568"/>
    <w:rsid w:val="00AA4C9B"/>
    <w:rsid w:val="00AA53FC"/>
    <w:rsid w:val="00AA57C2"/>
    <w:rsid w:val="00AB1AAD"/>
    <w:rsid w:val="00AB3700"/>
    <w:rsid w:val="00AB47EB"/>
    <w:rsid w:val="00AB4C24"/>
    <w:rsid w:val="00AB4C79"/>
    <w:rsid w:val="00AC41A8"/>
    <w:rsid w:val="00AC7CE7"/>
    <w:rsid w:val="00AD02E0"/>
    <w:rsid w:val="00AD0474"/>
    <w:rsid w:val="00AD1B16"/>
    <w:rsid w:val="00AD1CF2"/>
    <w:rsid w:val="00AD677F"/>
    <w:rsid w:val="00AD6C85"/>
    <w:rsid w:val="00AD6E0C"/>
    <w:rsid w:val="00AD725A"/>
    <w:rsid w:val="00AE3B29"/>
    <w:rsid w:val="00AE46D2"/>
    <w:rsid w:val="00AF16EF"/>
    <w:rsid w:val="00AF39C0"/>
    <w:rsid w:val="00AF6471"/>
    <w:rsid w:val="00AF71DC"/>
    <w:rsid w:val="00B02D66"/>
    <w:rsid w:val="00B0449D"/>
    <w:rsid w:val="00B063C0"/>
    <w:rsid w:val="00B10371"/>
    <w:rsid w:val="00B12E31"/>
    <w:rsid w:val="00B12FFF"/>
    <w:rsid w:val="00B144B8"/>
    <w:rsid w:val="00B215A7"/>
    <w:rsid w:val="00B2447D"/>
    <w:rsid w:val="00B2654F"/>
    <w:rsid w:val="00B27D61"/>
    <w:rsid w:val="00B30BC0"/>
    <w:rsid w:val="00B36004"/>
    <w:rsid w:val="00B36D48"/>
    <w:rsid w:val="00B40133"/>
    <w:rsid w:val="00B41E7A"/>
    <w:rsid w:val="00B46ABF"/>
    <w:rsid w:val="00B47CAB"/>
    <w:rsid w:val="00B50CF4"/>
    <w:rsid w:val="00B53433"/>
    <w:rsid w:val="00B6394D"/>
    <w:rsid w:val="00B63FBA"/>
    <w:rsid w:val="00B6519A"/>
    <w:rsid w:val="00B663B8"/>
    <w:rsid w:val="00B71665"/>
    <w:rsid w:val="00B71C0B"/>
    <w:rsid w:val="00B74947"/>
    <w:rsid w:val="00B7591E"/>
    <w:rsid w:val="00B81BD0"/>
    <w:rsid w:val="00B82794"/>
    <w:rsid w:val="00B862AF"/>
    <w:rsid w:val="00B90D97"/>
    <w:rsid w:val="00B91241"/>
    <w:rsid w:val="00B92D47"/>
    <w:rsid w:val="00BA0B65"/>
    <w:rsid w:val="00BA1F78"/>
    <w:rsid w:val="00BB24C2"/>
    <w:rsid w:val="00BB40F6"/>
    <w:rsid w:val="00BB60B2"/>
    <w:rsid w:val="00BB785F"/>
    <w:rsid w:val="00BB7D3F"/>
    <w:rsid w:val="00BC2E39"/>
    <w:rsid w:val="00BC4BB9"/>
    <w:rsid w:val="00BC6076"/>
    <w:rsid w:val="00BC6E86"/>
    <w:rsid w:val="00BC76FE"/>
    <w:rsid w:val="00BD0C9A"/>
    <w:rsid w:val="00BD30D2"/>
    <w:rsid w:val="00BD7A42"/>
    <w:rsid w:val="00BE2E1E"/>
    <w:rsid w:val="00BE47BD"/>
    <w:rsid w:val="00BE5B52"/>
    <w:rsid w:val="00BE6E6D"/>
    <w:rsid w:val="00BF0ACC"/>
    <w:rsid w:val="00BF1F70"/>
    <w:rsid w:val="00BF2B93"/>
    <w:rsid w:val="00BF301B"/>
    <w:rsid w:val="00BF43FA"/>
    <w:rsid w:val="00BF7150"/>
    <w:rsid w:val="00C00FED"/>
    <w:rsid w:val="00C0135E"/>
    <w:rsid w:val="00C01F4F"/>
    <w:rsid w:val="00C04C33"/>
    <w:rsid w:val="00C0788A"/>
    <w:rsid w:val="00C131FA"/>
    <w:rsid w:val="00C14571"/>
    <w:rsid w:val="00C1491F"/>
    <w:rsid w:val="00C157D1"/>
    <w:rsid w:val="00C20E5A"/>
    <w:rsid w:val="00C22E55"/>
    <w:rsid w:val="00C25367"/>
    <w:rsid w:val="00C26844"/>
    <w:rsid w:val="00C2734A"/>
    <w:rsid w:val="00C321B7"/>
    <w:rsid w:val="00C34AC1"/>
    <w:rsid w:val="00C35CAA"/>
    <w:rsid w:val="00C37B69"/>
    <w:rsid w:val="00C41BAB"/>
    <w:rsid w:val="00C41D78"/>
    <w:rsid w:val="00C42122"/>
    <w:rsid w:val="00C46235"/>
    <w:rsid w:val="00C50494"/>
    <w:rsid w:val="00C51BC7"/>
    <w:rsid w:val="00C53A70"/>
    <w:rsid w:val="00C565D2"/>
    <w:rsid w:val="00C576EA"/>
    <w:rsid w:val="00C57CD2"/>
    <w:rsid w:val="00C6164F"/>
    <w:rsid w:val="00C62171"/>
    <w:rsid w:val="00C6348A"/>
    <w:rsid w:val="00C6406C"/>
    <w:rsid w:val="00C64636"/>
    <w:rsid w:val="00C652CE"/>
    <w:rsid w:val="00C701AF"/>
    <w:rsid w:val="00C72651"/>
    <w:rsid w:val="00C72C89"/>
    <w:rsid w:val="00C74B05"/>
    <w:rsid w:val="00C75F0D"/>
    <w:rsid w:val="00C75F73"/>
    <w:rsid w:val="00C81007"/>
    <w:rsid w:val="00C85EA2"/>
    <w:rsid w:val="00C86D66"/>
    <w:rsid w:val="00C9152B"/>
    <w:rsid w:val="00C93DA1"/>
    <w:rsid w:val="00C9626E"/>
    <w:rsid w:val="00CA44ED"/>
    <w:rsid w:val="00CA7C68"/>
    <w:rsid w:val="00CB0013"/>
    <w:rsid w:val="00CB04AC"/>
    <w:rsid w:val="00CB0D35"/>
    <w:rsid w:val="00CB2C84"/>
    <w:rsid w:val="00CB311F"/>
    <w:rsid w:val="00CB4452"/>
    <w:rsid w:val="00CB4560"/>
    <w:rsid w:val="00CB47DE"/>
    <w:rsid w:val="00CB7966"/>
    <w:rsid w:val="00CC199B"/>
    <w:rsid w:val="00CC53C4"/>
    <w:rsid w:val="00CC577F"/>
    <w:rsid w:val="00CC67DD"/>
    <w:rsid w:val="00CC6A54"/>
    <w:rsid w:val="00CD1303"/>
    <w:rsid w:val="00CD16E6"/>
    <w:rsid w:val="00CD3371"/>
    <w:rsid w:val="00CD4B5D"/>
    <w:rsid w:val="00CD68CA"/>
    <w:rsid w:val="00CF5FA3"/>
    <w:rsid w:val="00D0131E"/>
    <w:rsid w:val="00D01C27"/>
    <w:rsid w:val="00D0344E"/>
    <w:rsid w:val="00D0409E"/>
    <w:rsid w:val="00D0655B"/>
    <w:rsid w:val="00D06D66"/>
    <w:rsid w:val="00D0711F"/>
    <w:rsid w:val="00D17067"/>
    <w:rsid w:val="00D20419"/>
    <w:rsid w:val="00D20CDA"/>
    <w:rsid w:val="00D20D4C"/>
    <w:rsid w:val="00D26B12"/>
    <w:rsid w:val="00D26EB8"/>
    <w:rsid w:val="00D31577"/>
    <w:rsid w:val="00D31748"/>
    <w:rsid w:val="00D32131"/>
    <w:rsid w:val="00D322B0"/>
    <w:rsid w:val="00D32FC1"/>
    <w:rsid w:val="00D333BF"/>
    <w:rsid w:val="00D33EDE"/>
    <w:rsid w:val="00D34181"/>
    <w:rsid w:val="00D35983"/>
    <w:rsid w:val="00D3631D"/>
    <w:rsid w:val="00D44ED9"/>
    <w:rsid w:val="00D45256"/>
    <w:rsid w:val="00D50FD4"/>
    <w:rsid w:val="00D51C00"/>
    <w:rsid w:val="00D51E0A"/>
    <w:rsid w:val="00D55775"/>
    <w:rsid w:val="00D564C8"/>
    <w:rsid w:val="00D61692"/>
    <w:rsid w:val="00D710FD"/>
    <w:rsid w:val="00D733AC"/>
    <w:rsid w:val="00D73AA8"/>
    <w:rsid w:val="00D75F50"/>
    <w:rsid w:val="00D76A94"/>
    <w:rsid w:val="00D7718A"/>
    <w:rsid w:val="00D803C1"/>
    <w:rsid w:val="00D8295D"/>
    <w:rsid w:val="00D85C94"/>
    <w:rsid w:val="00D8651E"/>
    <w:rsid w:val="00D91904"/>
    <w:rsid w:val="00D92C91"/>
    <w:rsid w:val="00D96B77"/>
    <w:rsid w:val="00DA35C2"/>
    <w:rsid w:val="00DA372E"/>
    <w:rsid w:val="00DB0D61"/>
    <w:rsid w:val="00DB2EE2"/>
    <w:rsid w:val="00DB3E5E"/>
    <w:rsid w:val="00DB55E7"/>
    <w:rsid w:val="00DC1184"/>
    <w:rsid w:val="00DC3690"/>
    <w:rsid w:val="00DD230D"/>
    <w:rsid w:val="00DD351E"/>
    <w:rsid w:val="00DE0595"/>
    <w:rsid w:val="00DE1A7C"/>
    <w:rsid w:val="00DE2C31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1F45"/>
    <w:rsid w:val="00E02E82"/>
    <w:rsid w:val="00E03367"/>
    <w:rsid w:val="00E05C49"/>
    <w:rsid w:val="00E06855"/>
    <w:rsid w:val="00E13E29"/>
    <w:rsid w:val="00E143F2"/>
    <w:rsid w:val="00E20800"/>
    <w:rsid w:val="00E237D9"/>
    <w:rsid w:val="00E27F19"/>
    <w:rsid w:val="00E30184"/>
    <w:rsid w:val="00E30F05"/>
    <w:rsid w:val="00E318AD"/>
    <w:rsid w:val="00E32169"/>
    <w:rsid w:val="00E328B1"/>
    <w:rsid w:val="00E35767"/>
    <w:rsid w:val="00E35BCC"/>
    <w:rsid w:val="00E36E18"/>
    <w:rsid w:val="00E37149"/>
    <w:rsid w:val="00E40915"/>
    <w:rsid w:val="00E41355"/>
    <w:rsid w:val="00E453FC"/>
    <w:rsid w:val="00E456CD"/>
    <w:rsid w:val="00E4745C"/>
    <w:rsid w:val="00E47481"/>
    <w:rsid w:val="00E523EF"/>
    <w:rsid w:val="00E565C1"/>
    <w:rsid w:val="00E56648"/>
    <w:rsid w:val="00E56E69"/>
    <w:rsid w:val="00E57695"/>
    <w:rsid w:val="00E57725"/>
    <w:rsid w:val="00E610DC"/>
    <w:rsid w:val="00E70E32"/>
    <w:rsid w:val="00E72541"/>
    <w:rsid w:val="00E72F93"/>
    <w:rsid w:val="00E734B7"/>
    <w:rsid w:val="00E73E27"/>
    <w:rsid w:val="00E75796"/>
    <w:rsid w:val="00E82901"/>
    <w:rsid w:val="00E82C42"/>
    <w:rsid w:val="00E83DA8"/>
    <w:rsid w:val="00E83E92"/>
    <w:rsid w:val="00E842DE"/>
    <w:rsid w:val="00E84A41"/>
    <w:rsid w:val="00E8523D"/>
    <w:rsid w:val="00E87BA7"/>
    <w:rsid w:val="00E91311"/>
    <w:rsid w:val="00E92380"/>
    <w:rsid w:val="00E95A95"/>
    <w:rsid w:val="00EA2FB5"/>
    <w:rsid w:val="00EA43D5"/>
    <w:rsid w:val="00EA60A7"/>
    <w:rsid w:val="00EB3658"/>
    <w:rsid w:val="00EB39B5"/>
    <w:rsid w:val="00EB39E1"/>
    <w:rsid w:val="00EB405A"/>
    <w:rsid w:val="00EB568C"/>
    <w:rsid w:val="00EB6068"/>
    <w:rsid w:val="00EB64B9"/>
    <w:rsid w:val="00EB6F66"/>
    <w:rsid w:val="00EB7CD3"/>
    <w:rsid w:val="00EC0C1D"/>
    <w:rsid w:val="00EC0D33"/>
    <w:rsid w:val="00EC3691"/>
    <w:rsid w:val="00EC70BD"/>
    <w:rsid w:val="00ED05BC"/>
    <w:rsid w:val="00ED0E4C"/>
    <w:rsid w:val="00ED21BB"/>
    <w:rsid w:val="00ED2422"/>
    <w:rsid w:val="00ED3FE9"/>
    <w:rsid w:val="00ED4AD3"/>
    <w:rsid w:val="00ED4E43"/>
    <w:rsid w:val="00ED66A9"/>
    <w:rsid w:val="00EE0860"/>
    <w:rsid w:val="00EE096D"/>
    <w:rsid w:val="00EE2019"/>
    <w:rsid w:val="00EE337A"/>
    <w:rsid w:val="00EE4F3A"/>
    <w:rsid w:val="00EE5F9C"/>
    <w:rsid w:val="00EE725A"/>
    <w:rsid w:val="00EE7773"/>
    <w:rsid w:val="00EF0EF4"/>
    <w:rsid w:val="00EF3CD5"/>
    <w:rsid w:val="00EF490F"/>
    <w:rsid w:val="00EF5EA4"/>
    <w:rsid w:val="00EF668F"/>
    <w:rsid w:val="00EF6D1A"/>
    <w:rsid w:val="00F01200"/>
    <w:rsid w:val="00F04386"/>
    <w:rsid w:val="00F04AF5"/>
    <w:rsid w:val="00F064DC"/>
    <w:rsid w:val="00F10750"/>
    <w:rsid w:val="00F1270D"/>
    <w:rsid w:val="00F21847"/>
    <w:rsid w:val="00F21D60"/>
    <w:rsid w:val="00F231BA"/>
    <w:rsid w:val="00F24232"/>
    <w:rsid w:val="00F24992"/>
    <w:rsid w:val="00F2683C"/>
    <w:rsid w:val="00F27924"/>
    <w:rsid w:val="00F31BCD"/>
    <w:rsid w:val="00F3219F"/>
    <w:rsid w:val="00F32E78"/>
    <w:rsid w:val="00F36375"/>
    <w:rsid w:val="00F4195C"/>
    <w:rsid w:val="00F45849"/>
    <w:rsid w:val="00F52271"/>
    <w:rsid w:val="00F54342"/>
    <w:rsid w:val="00F550CB"/>
    <w:rsid w:val="00F5720E"/>
    <w:rsid w:val="00F5737B"/>
    <w:rsid w:val="00F6365F"/>
    <w:rsid w:val="00F653CD"/>
    <w:rsid w:val="00F65D2D"/>
    <w:rsid w:val="00F67252"/>
    <w:rsid w:val="00F70CC9"/>
    <w:rsid w:val="00F737D1"/>
    <w:rsid w:val="00F74097"/>
    <w:rsid w:val="00F743B0"/>
    <w:rsid w:val="00F7546F"/>
    <w:rsid w:val="00F81AF7"/>
    <w:rsid w:val="00F81F17"/>
    <w:rsid w:val="00F8629D"/>
    <w:rsid w:val="00F911BE"/>
    <w:rsid w:val="00F9211F"/>
    <w:rsid w:val="00F93E6F"/>
    <w:rsid w:val="00F943E3"/>
    <w:rsid w:val="00F94653"/>
    <w:rsid w:val="00F967FC"/>
    <w:rsid w:val="00FA053C"/>
    <w:rsid w:val="00FA1BE2"/>
    <w:rsid w:val="00FA2AA4"/>
    <w:rsid w:val="00FB03D2"/>
    <w:rsid w:val="00FB0828"/>
    <w:rsid w:val="00FB6B92"/>
    <w:rsid w:val="00FC09B5"/>
    <w:rsid w:val="00FC1555"/>
    <w:rsid w:val="00FC39C8"/>
    <w:rsid w:val="00FC3AFD"/>
    <w:rsid w:val="00FC4259"/>
    <w:rsid w:val="00FD004E"/>
    <w:rsid w:val="00FD0116"/>
    <w:rsid w:val="00FD0297"/>
    <w:rsid w:val="00FD0AB9"/>
    <w:rsid w:val="00FE0243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3DED"/>
    <w:rsid w:val="00FF5D0A"/>
    <w:rsid w:val="00FF614F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pPr>
      <w:spacing w:after="0" w:line="240" w:lineRule="auto"/>
    </w:pPr>
    <w:rPr>
      <w:rFonts w:ascii="Calibri" w:eastAsia="PMingLiU" w:hAnsi="Calibri" w:cs="Calibri"/>
      <w:lang w:eastAsia="zh-TW"/>
    </w:rPr>
  </w:style>
  <w:style w:type="character" w:customStyle="1" w:styleId="NoSpacingChar">
    <w:name w:val="No Spacing Char"/>
    <w:basedOn w:val="DefaultParagraphFont"/>
    <w:link w:val="NoSpacing"/>
    <w:locked/>
    <w:rsid w:val="00D61692"/>
    <w:rPr>
      <w:rFonts w:ascii="Calibri" w:eastAsia="PMingLiU" w:hAnsi="Calibri" w:cs="Calibri"/>
      <w:lang w:eastAsia="zh-TW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ascii="Calibri" w:eastAsia="PMingLiU" w:hAnsi="Calibri" w:cs="Calibri"/>
      <w:lang w:eastAsia="zh-TW"/>
    </w:rPr>
  </w:style>
  <w:style w:type="paragraph" w:styleId="Caption">
    <w:name w:val="caption"/>
    <w:basedOn w:val="Normal"/>
    <w:next w:val="Normal"/>
    <w:link w:val="CaptionChar"/>
    <w:qFormat/>
    <w:rsid w:val="00D61692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21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1A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69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FCD"/>
  </w:style>
  <w:style w:type="paragraph" w:styleId="Footer">
    <w:name w:val="footer"/>
    <w:basedOn w:val="Normal"/>
    <w:link w:val="Foot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FCD"/>
  </w:style>
  <w:style w:type="paragraph" w:customStyle="1" w:styleId="msonospacing0">
    <w:name w:val="msonospacing"/>
    <w:rsid w:val="0055364A"/>
    <w:pPr>
      <w:spacing w:after="0" w:line="240" w:lineRule="auto"/>
    </w:pPr>
    <w:rPr>
      <w:rFonts w:ascii="PMingLiU" w:eastAsia="PMingLiU" w:hAnsi="Times New Roman" w:cs="Times New Roman" w:hint="eastAsia"/>
      <w:lang w:eastAsia="zh-TW"/>
    </w:rPr>
  </w:style>
  <w:style w:type="table" w:styleId="TableGrid">
    <w:name w:val="Table Grid"/>
    <w:basedOn w:val="TableNormal"/>
    <w:uiPriority w:val="59"/>
    <w:rsid w:val="00CD1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84D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61A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1A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61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esktop\esi_nace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MMI\MMI_2012_12\mmi_sirovi%20podaci_12_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MMI\MMI_2012_12\mmi_sirovi%20podaci_12_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MMI\MMI_2012_12\mmi_sirovi%20podaci_12_1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va.vukovic\Dropbox\MINISTARSTVO%20FINANSIJA%20(1)\SEP\MMI\MMI_2012_12\mmi_sirovi%20podaci_12_1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MMI\MMI_2012_12\mmi_sirovi%20podaci_12_1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MMI\MMI_2012_12\mmi_sirovi%20podaci_12_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900" b="0"/>
              <a:t>Indikatori</a:t>
            </a:r>
            <a:r>
              <a:rPr lang="sr-Latn-RS" sz="900" b="0" baseline="0"/>
              <a:t> ekonomskog sentimenta</a:t>
            </a:r>
            <a:endParaRPr lang="en-US" sz="900" b="0"/>
          </a:p>
        </c:rich>
      </c:tx>
      <c:layout>
        <c:manualLayout>
          <c:xMode val="edge"/>
          <c:yMode val="edge"/>
          <c:x val="0.36577681992337252"/>
          <c:y val="0"/>
        </c:manualLayout>
      </c:layout>
      <c:overlay val="1"/>
    </c:title>
    <c:plotArea>
      <c:layout/>
      <c:lineChart>
        <c:grouping val="standard"/>
        <c:ser>
          <c:idx val="0"/>
          <c:order val="0"/>
          <c:marker>
            <c:symbol val="none"/>
          </c:marker>
          <c:dLbls>
            <c:dLbl>
              <c:idx val="10"/>
              <c:layout>
                <c:manualLayout>
                  <c:x val="-0.10340038314176245"/>
                  <c:y val="-3.0945419103313845E-2"/>
                </c:manualLayout>
              </c:layout>
              <c:tx>
                <c:rich>
                  <a:bodyPr/>
                  <a:lstStyle/>
                  <a:p>
                    <a:r>
                      <a:rPr lang="sr-Latn-RS" sz="600"/>
                      <a:t>EU</a:t>
                    </a:r>
                    <a:endParaRPr lang="en-US" sz="600"/>
                  </a:p>
                </c:rich>
              </c:tx>
              <c:showVal val="1"/>
            </c:dLbl>
            <c:delete val="1"/>
          </c:dLbls>
          <c:cat>
            <c:numRef>
              <c:f>'ESI MONTHLY'!$A$326:$A$337</c:f>
              <c:numCache>
                <c:formatCode>mmm/yy</c:formatCode>
                <c:ptCount val="12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  <c:pt idx="11">
                  <c:v>41274</c:v>
                </c:pt>
              </c:numCache>
            </c:numRef>
          </c:cat>
          <c:val>
            <c:numRef>
              <c:f>'ESI MONTHLY'!$H$326:$H$337</c:f>
              <c:numCache>
                <c:formatCode>0.0</c:formatCode>
                <c:ptCount val="12"/>
                <c:pt idx="0">
                  <c:v>93.6</c:v>
                </c:pt>
                <c:pt idx="1">
                  <c:v>94.8</c:v>
                </c:pt>
                <c:pt idx="2">
                  <c:v>93.9</c:v>
                </c:pt>
                <c:pt idx="3">
                  <c:v>94</c:v>
                </c:pt>
                <c:pt idx="4">
                  <c:v>91.3</c:v>
                </c:pt>
                <c:pt idx="5">
                  <c:v>91.2</c:v>
                </c:pt>
                <c:pt idx="6">
                  <c:v>89.7</c:v>
                </c:pt>
                <c:pt idx="7">
                  <c:v>87.7</c:v>
                </c:pt>
                <c:pt idx="8">
                  <c:v>86.9</c:v>
                </c:pt>
                <c:pt idx="9">
                  <c:v>86.9</c:v>
                </c:pt>
                <c:pt idx="10">
                  <c:v>88.9</c:v>
                </c:pt>
                <c:pt idx="11">
                  <c:v>89.2</c:v>
                </c:pt>
              </c:numCache>
            </c:numRef>
          </c:val>
        </c:ser>
        <c:ser>
          <c:idx val="1"/>
          <c:order val="1"/>
          <c:marker>
            <c:symbol val="none"/>
          </c:marker>
          <c:dLbls>
            <c:dLbl>
              <c:idx val="7"/>
              <c:layout>
                <c:manualLayout>
                  <c:x val="-0.23113026819923371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 sz="700"/>
                      <a:t>Eurozona</a:t>
                    </a:r>
                    <a:endParaRPr lang="en-US" sz="700"/>
                  </a:p>
                </c:rich>
              </c:tx>
              <c:showVal val="1"/>
            </c:dLbl>
            <c:delete val="1"/>
          </c:dLbls>
          <c:cat>
            <c:numRef>
              <c:f>'ESI MONTHLY'!$A$326:$A$337</c:f>
              <c:numCache>
                <c:formatCode>mmm/yy</c:formatCode>
                <c:ptCount val="12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  <c:pt idx="11">
                  <c:v>41274</c:v>
                </c:pt>
              </c:numCache>
            </c:numRef>
          </c:cat>
          <c:val>
            <c:numRef>
              <c:f>'ESI MONTHLY'!$O$326:$O$337</c:f>
              <c:numCache>
                <c:formatCode>0.0</c:formatCode>
                <c:ptCount val="12"/>
                <c:pt idx="0">
                  <c:v>94.3</c:v>
                </c:pt>
                <c:pt idx="1">
                  <c:v>95.3</c:v>
                </c:pt>
                <c:pt idx="2">
                  <c:v>95.2</c:v>
                </c:pt>
                <c:pt idx="3">
                  <c:v>93.7</c:v>
                </c:pt>
                <c:pt idx="4">
                  <c:v>91.4</c:v>
                </c:pt>
                <c:pt idx="5">
                  <c:v>90.7</c:v>
                </c:pt>
                <c:pt idx="6">
                  <c:v>88.7</c:v>
                </c:pt>
                <c:pt idx="7">
                  <c:v>86.9</c:v>
                </c:pt>
                <c:pt idx="8">
                  <c:v>86</c:v>
                </c:pt>
                <c:pt idx="9">
                  <c:v>85.2</c:v>
                </c:pt>
                <c:pt idx="10">
                  <c:v>86.6</c:v>
                </c:pt>
                <c:pt idx="11">
                  <c:v>87.8</c:v>
                </c:pt>
              </c:numCache>
            </c:numRef>
          </c:val>
        </c:ser>
        <c:marker val="1"/>
        <c:axId val="257450752"/>
        <c:axId val="257452288"/>
      </c:lineChart>
      <c:dateAx>
        <c:axId val="257450752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600"/>
            </a:pPr>
            <a:endParaRPr lang="en-US"/>
          </a:p>
        </c:txPr>
        <c:crossAx val="257452288"/>
        <c:crosses val="autoZero"/>
        <c:auto val="1"/>
        <c:lblOffset val="100"/>
      </c:dateAx>
      <c:valAx>
        <c:axId val="257452288"/>
        <c:scaling>
          <c:orientation val="minMax"/>
          <c:max val="96"/>
          <c:min val="84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" sourceLinked="0"/>
        <c:tickLblPos val="nextTo"/>
        <c:txPr>
          <a:bodyPr/>
          <a:lstStyle/>
          <a:p>
            <a:pPr>
              <a:defRPr sz="600"/>
            </a:pPr>
            <a:endParaRPr lang="en-US"/>
          </a:p>
        </c:txPr>
        <c:crossAx val="25745075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850"/>
            </a:pPr>
            <a:r>
              <a:rPr lang="x-none" sz="850"/>
              <a:t>Stope</a:t>
            </a:r>
            <a:r>
              <a:rPr lang="x-none" sz="850" baseline="0"/>
              <a:t> rasta u prerađivačkoj industriji i promet u maloprodaji</a:t>
            </a:r>
            <a:endParaRPr lang="en-US" sz="850"/>
          </a:p>
        </c:rich>
      </c:tx>
      <c:layout>
        <c:manualLayout>
          <c:xMode val="edge"/>
          <c:yMode val="edge"/>
          <c:x val="0.15672886166248301"/>
          <c:y val="1.1265384647246936E-2"/>
        </c:manualLayout>
      </c:layout>
    </c:title>
    <c:plotArea>
      <c:layout>
        <c:manualLayout>
          <c:layoutTarget val="inner"/>
          <c:xMode val="edge"/>
          <c:yMode val="edge"/>
          <c:x val="0.15919475407321146"/>
          <c:y val="0.30850819661747464"/>
          <c:w val="0.85094714429304674"/>
          <c:h val="0.55059555280935368"/>
        </c:manualLayout>
      </c:layout>
      <c:lineChart>
        <c:grouping val="standard"/>
        <c:ser>
          <c:idx val="0"/>
          <c:order val="0"/>
          <c:tx>
            <c:strRef>
              <c:f>'Makroekonomski indikatori'!$C$13</c:f>
              <c:strCache>
                <c:ptCount val="1"/>
                <c:pt idx="0">
                  <c:v>Prerađivačka industrija (stopa rasta)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strRef>
              <c:f>'Makroekonomski indikatori'!$N$60:$Z$60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'Makroekonomski indikatori'!$N$13:$Z$13</c:f>
              <c:numCache>
                <c:formatCode>0.0</c:formatCode>
                <c:ptCount val="13"/>
                <c:pt idx="0">
                  <c:v>4.5999999999999996</c:v>
                </c:pt>
                <c:pt idx="1">
                  <c:v>-8.3000000000000007</c:v>
                </c:pt>
                <c:pt idx="2">
                  <c:v>5</c:v>
                </c:pt>
                <c:pt idx="3" formatCode="0.00">
                  <c:v>-4.4000000000000004</c:v>
                </c:pt>
                <c:pt idx="4" formatCode="0.00">
                  <c:v>11.6</c:v>
                </c:pt>
                <c:pt idx="5" formatCode="0.00">
                  <c:v>33.1</c:v>
                </c:pt>
                <c:pt idx="6" formatCode="0.00">
                  <c:v>3.6</c:v>
                </c:pt>
                <c:pt idx="7" formatCode="0.00">
                  <c:v>-18.5</c:v>
                </c:pt>
                <c:pt idx="8" formatCode="0.00">
                  <c:v>-20.399999999999999</c:v>
                </c:pt>
                <c:pt idx="9" formatCode="0.00">
                  <c:v>-13</c:v>
                </c:pt>
                <c:pt idx="10" formatCode="0.00">
                  <c:v>-20.399999999999999</c:v>
                </c:pt>
                <c:pt idx="11" formatCode="0.00">
                  <c:v>-40.5</c:v>
                </c:pt>
                <c:pt idx="12" formatCode="0.00">
                  <c:v>-28.1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indikatori'!$C$15</c:f>
              <c:strCache>
                <c:ptCount val="1"/>
                <c:pt idx="0">
                  <c:v>Promet u maloprodaji (stopa rasta)</c:v>
                </c:pt>
              </c:strCache>
            </c:strRef>
          </c:tx>
          <c:spPr>
            <a:ln>
              <a:solidFill>
                <a:srgbClr val="C00000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indikatori'!$N$60:$Z$60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'Makroekonomski indikatori'!$N$15:$Z$15</c:f>
              <c:numCache>
                <c:formatCode>0.0</c:formatCode>
                <c:ptCount val="13"/>
                <c:pt idx="0">
                  <c:v>24.4</c:v>
                </c:pt>
                <c:pt idx="1">
                  <c:v>37.300000000000004</c:v>
                </c:pt>
                <c:pt idx="2">
                  <c:v>21.3</c:v>
                </c:pt>
                <c:pt idx="3" formatCode="0.00">
                  <c:v>16.3</c:v>
                </c:pt>
                <c:pt idx="4" formatCode="0.00">
                  <c:v>8</c:v>
                </c:pt>
                <c:pt idx="5" formatCode="0.00">
                  <c:v>18.600000000000001</c:v>
                </c:pt>
                <c:pt idx="6" formatCode="0.00">
                  <c:v>9.8000000000000007</c:v>
                </c:pt>
                <c:pt idx="7" formatCode="0.00">
                  <c:v>3.3</c:v>
                </c:pt>
                <c:pt idx="8" formatCode="0.00">
                  <c:v>4.4000000000000004</c:v>
                </c:pt>
                <c:pt idx="9" formatCode="0.00">
                  <c:v>1.1000000000000001</c:v>
                </c:pt>
                <c:pt idx="10" formatCode="0.00">
                  <c:v>4.4000000000000004</c:v>
                </c:pt>
                <c:pt idx="11" formatCode="0.00">
                  <c:v>3.5</c:v>
                </c:pt>
                <c:pt idx="12" formatCode="0.00">
                  <c:v>2.1</c:v>
                </c:pt>
              </c:numCache>
            </c:numRef>
          </c:val>
          <c:smooth val="1"/>
        </c:ser>
        <c:marker val="1"/>
        <c:axId val="264712192"/>
        <c:axId val="264714112"/>
      </c:lineChart>
      <c:catAx>
        <c:axId val="26471219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en-US" sz="700"/>
            </a:pPr>
            <a:endParaRPr lang="en-US"/>
          </a:p>
        </c:txPr>
        <c:crossAx val="264714112"/>
        <c:crosses val="autoZero"/>
        <c:auto val="1"/>
        <c:lblAlgn val="ctr"/>
        <c:lblOffset val="100"/>
        <c:tickLblSkip val="3"/>
      </c:catAx>
      <c:valAx>
        <c:axId val="264714112"/>
        <c:scaling>
          <c:orientation val="minMax"/>
          <c:max val="50"/>
          <c:min val="-45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64712192"/>
        <c:crosses val="autoZero"/>
        <c:crossBetween val="between"/>
        <c:majorUnit val="2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745558081397984"/>
          <c:y val="0.19366930019438391"/>
          <c:w val="0.81747514931331577"/>
          <c:h val="0.10989085958130272"/>
        </c:manualLayout>
      </c:layout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900"/>
            </a:pPr>
            <a:r>
              <a:rPr lang="x-none" sz="900"/>
              <a:t>Inflacija</a:t>
            </a:r>
            <a:endParaRPr lang="en-US" sz="900"/>
          </a:p>
        </c:rich>
      </c:tx>
      <c:layout>
        <c:manualLayout>
          <c:xMode val="edge"/>
          <c:yMode val="edge"/>
          <c:x val="0.39504802970510638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4472443932408641"/>
          <c:y val="0.21560991377708871"/>
          <c:w val="0.81557945361102235"/>
          <c:h val="0.62317337198521827"/>
        </c:manualLayout>
      </c:layout>
      <c:lineChart>
        <c:grouping val="standard"/>
        <c:ser>
          <c:idx val="0"/>
          <c:order val="0"/>
          <c:tx>
            <c:strRef>
              <c:f>'Makroekonomski indikatori'!$C$19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'Makroekonomski indikatori'!$L$60:$AA$60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'Makroekonomski indikatori'!$J$19:$AA$19</c:f>
              <c:numCache>
                <c:formatCode>0.0</c:formatCode>
                <c:ptCount val="13"/>
                <c:pt idx="0">
                  <c:v>3.5</c:v>
                </c:pt>
                <c:pt idx="1">
                  <c:v>3</c:v>
                </c:pt>
                <c:pt idx="2" formatCode="#,##0.0">
                  <c:v>3.1</c:v>
                </c:pt>
                <c:pt idx="3" formatCode="#,##0.0">
                  <c:v>3.1</c:v>
                </c:pt>
                <c:pt idx="4" formatCode="#,##0.0">
                  <c:v>2.1</c:v>
                </c:pt>
                <c:pt idx="5" formatCode="#,##0.0">
                  <c:v>2.9</c:v>
                </c:pt>
                <c:pt idx="6" formatCode="#,##0.0">
                  <c:v>3.6</c:v>
                </c:pt>
                <c:pt idx="7" formatCode="#,##0.0">
                  <c:v>4.4000000000000004</c:v>
                </c:pt>
                <c:pt idx="8" formatCode="#,##0.0">
                  <c:v>4.5999999999999996</c:v>
                </c:pt>
                <c:pt idx="9" formatCode="#,##0.0">
                  <c:v>5</c:v>
                </c:pt>
                <c:pt idx="10" formatCode="#,##0.0">
                  <c:v>4.5999999999999996</c:v>
                </c:pt>
                <c:pt idx="11" formatCode="#,##0.0">
                  <c:v>4.9000000000000004</c:v>
                </c:pt>
                <c:pt idx="12" formatCode="#,##0.0">
                  <c:v>4.8</c:v>
                </c:pt>
              </c:numCache>
            </c:numRef>
          </c:val>
          <c:smooth val="1"/>
        </c:ser>
        <c:marker val="1"/>
        <c:axId val="212109184"/>
        <c:axId val="212110720"/>
      </c:lineChart>
      <c:catAx>
        <c:axId val="2121091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12110720"/>
        <c:crosses val="autoZero"/>
        <c:auto val="1"/>
        <c:lblAlgn val="ctr"/>
        <c:lblOffset val="100"/>
        <c:tickLblSkip val="3"/>
      </c:catAx>
      <c:valAx>
        <c:axId val="212110720"/>
        <c:scaling>
          <c:orientation val="minMax"/>
          <c:max val="5.5"/>
          <c:min val="1.5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12109184"/>
        <c:crosses val="autoZero"/>
        <c:crossBetween val="between"/>
        <c:majorUnit val="1"/>
      </c:valAx>
    </c:plotArea>
    <c:legend>
      <c:legendPos val="b"/>
      <c:layout>
        <c:manualLayout>
          <c:xMode val="edge"/>
          <c:yMode val="edge"/>
          <c:x val="0.21509450621780479"/>
          <c:y val="0.15390528459473277"/>
          <c:w val="0.6104256843398127"/>
          <c:h val="0.20311502302089121"/>
        </c:manualLayout>
      </c:layout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900"/>
            </a:pPr>
            <a:r>
              <a:rPr lang="x-none" sz="900"/>
              <a:t>Broj nezaposlenih i oglašena radna mjesta</a:t>
            </a:r>
            <a:endParaRPr lang="en-US" sz="900"/>
          </a:p>
        </c:rich>
      </c:tx>
      <c:layout>
        <c:manualLayout>
          <c:xMode val="edge"/>
          <c:yMode val="edge"/>
          <c:x val="0.14831555150670142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21252724581605578"/>
          <c:y val="0.28751151041537043"/>
          <c:w val="0.59730853174599963"/>
          <c:h val="0.5599848186954276"/>
        </c:manualLayout>
      </c:layout>
      <c:barChart>
        <c:barDir val="col"/>
        <c:grouping val="clustered"/>
        <c:ser>
          <c:idx val="0"/>
          <c:order val="1"/>
          <c:tx>
            <c:strRef>
              <c:f>'Makroekonomski indikatori'!$C$26</c:f>
              <c:strCache>
                <c:ptCount val="1"/>
                <c:pt idx="0">
                  <c:v>Oglašena radna mjesta (broj)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indikatori'!$K$60:$W$60</c:f>
              <c:strCache>
                <c:ptCount val="10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</c:strCache>
            </c:strRef>
          </c:cat>
          <c:val>
            <c:numRef>
              <c:f>'Makroekonomski indikatori'!$J$26:$AA$26</c:f>
              <c:numCache>
                <c:formatCode>#,##0</c:formatCode>
                <c:ptCount val="13"/>
                <c:pt idx="0">
                  <c:v>1049</c:v>
                </c:pt>
                <c:pt idx="1">
                  <c:v>876</c:v>
                </c:pt>
                <c:pt idx="2">
                  <c:v>734</c:v>
                </c:pt>
                <c:pt idx="3">
                  <c:v>976</c:v>
                </c:pt>
                <c:pt idx="4">
                  <c:v>1942</c:v>
                </c:pt>
                <c:pt idx="5">
                  <c:v>3003</c:v>
                </c:pt>
                <c:pt idx="6">
                  <c:v>3685</c:v>
                </c:pt>
                <c:pt idx="7">
                  <c:v>4146</c:v>
                </c:pt>
                <c:pt idx="8">
                  <c:v>725</c:v>
                </c:pt>
                <c:pt idx="9">
                  <c:v>1081</c:v>
                </c:pt>
                <c:pt idx="10">
                  <c:v>725</c:v>
                </c:pt>
                <c:pt idx="11">
                  <c:v>2005</c:v>
                </c:pt>
                <c:pt idx="12">
                  <c:v>2766</c:v>
                </c:pt>
              </c:numCache>
            </c:numRef>
          </c:val>
        </c:ser>
        <c:gapWidth val="92"/>
        <c:overlap val="-57"/>
        <c:axId val="215607168"/>
        <c:axId val="215605632"/>
      </c:barChart>
      <c:lineChart>
        <c:grouping val="standard"/>
        <c:ser>
          <c:idx val="1"/>
          <c:order val="0"/>
          <c:tx>
            <c:strRef>
              <c:f>'Makroekonomski indikatori'!$C$23</c:f>
              <c:strCache>
                <c:ptCount val="1"/>
                <c:pt idx="0">
                  <c:v>Broj nezaposlenih (broj, kraj perioda)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'Makroekonomski indikatori'!$J$60:$AA$60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'Makroekonomski indikatori'!$J$23:$AA$23</c:f>
              <c:numCache>
                <c:formatCode>#,##0</c:formatCode>
                <c:ptCount val="13"/>
                <c:pt idx="0">
                  <c:v>30576</c:v>
                </c:pt>
                <c:pt idx="1">
                  <c:v>30552</c:v>
                </c:pt>
                <c:pt idx="2">
                  <c:v>31339</c:v>
                </c:pt>
                <c:pt idx="3">
                  <c:v>31495</c:v>
                </c:pt>
                <c:pt idx="4">
                  <c:v>31562</c:v>
                </c:pt>
                <c:pt idx="5">
                  <c:v>31320</c:v>
                </c:pt>
                <c:pt idx="6">
                  <c:v>30126</c:v>
                </c:pt>
                <c:pt idx="7">
                  <c:v>29411</c:v>
                </c:pt>
                <c:pt idx="8">
                  <c:v>28272</c:v>
                </c:pt>
                <c:pt idx="9">
                  <c:v>28549</c:v>
                </c:pt>
                <c:pt idx="10">
                  <c:v>28272</c:v>
                </c:pt>
                <c:pt idx="11">
                  <c:v>29540</c:v>
                </c:pt>
                <c:pt idx="12">
                  <c:v>30718</c:v>
                </c:pt>
              </c:numCache>
            </c:numRef>
          </c:val>
          <c:smooth val="1"/>
        </c:ser>
        <c:marker val="1"/>
        <c:axId val="215594112"/>
        <c:axId val="215595648"/>
      </c:lineChart>
      <c:catAx>
        <c:axId val="2155941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215595648"/>
        <c:crosses val="autoZero"/>
        <c:auto val="1"/>
        <c:lblAlgn val="ctr"/>
        <c:lblOffset val="100"/>
        <c:tickLblSkip val="3"/>
      </c:catAx>
      <c:valAx>
        <c:axId val="215595648"/>
        <c:scaling>
          <c:orientation val="minMax"/>
          <c:min val="25000"/>
        </c:scaling>
        <c:axPos val="l"/>
        <c:numFmt formatCode="#,##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15594112"/>
        <c:crosses val="autoZero"/>
        <c:crossBetween val="between"/>
        <c:majorUnit val="5000"/>
      </c:valAx>
      <c:valAx>
        <c:axId val="215605632"/>
        <c:scaling>
          <c:orientation val="minMax"/>
          <c:min val="0"/>
        </c:scaling>
        <c:axPos val="r"/>
        <c:numFmt formatCode="#,##0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15607168"/>
        <c:crosses val="max"/>
        <c:crossBetween val="between"/>
        <c:majorUnit val="2000"/>
      </c:valAx>
      <c:catAx>
        <c:axId val="215607168"/>
        <c:scaling>
          <c:orientation val="minMax"/>
        </c:scaling>
        <c:delete val="1"/>
        <c:axPos val="b"/>
        <c:tickLblPos val="none"/>
        <c:crossAx val="21560563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"/>
          <c:y val="0.16010428533168114"/>
          <c:w val="0.99546329365079367"/>
          <c:h val="0.12953713989651391"/>
        </c:manualLayout>
      </c:layout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ctr">
              <a:defRPr lang="en-US" sz="800"/>
            </a:pPr>
            <a:r>
              <a:rPr lang="en-US" sz="800"/>
              <a:t>Prihodi i rashodi budžeta Crne Gore </a:t>
            </a:r>
            <a:r>
              <a:rPr lang="sr-Latn-CS" sz="800"/>
              <a:t> u mil € </a:t>
            </a:r>
            <a:r>
              <a:rPr lang="x-none" sz="800"/>
              <a:t>(jan-</a:t>
            </a:r>
            <a:r>
              <a:rPr lang="en-US" sz="800"/>
              <a:t>nov</a:t>
            </a:r>
            <a:r>
              <a:rPr lang="en-US" sz="800" baseline="0"/>
              <a:t> </a:t>
            </a:r>
            <a:r>
              <a:rPr lang="x-none" sz="800" baseline="0"/>
              <a:t>2011 i jan-</a:t>
            </a:r>
            <a:r>
              <a:rPr lang="en-US" sz="800" baseline="0"/>
              <a:t>nov </a:t>
            </a:r>
            <a:r>
              <a:rPr lang="x-none" sz="800" baseline="0"/>
              <a:t>2012</a:t>
            </a:r>
            <a:r>
              <a:rPr lang="en-US" sz="800"/>
              <a:t>)</a:t>
            </a:r>
          </a:p>
        </c:rich>
      </c:tx>
      <c:layout>
        <c:manualLayout>
          <c:xMode val="edge"/>
          <c:yMode val="edge"/>
          <c:x val="0.15795659277711269"/>
          <c:y val="1.3403076685518038E-2"/>
        </c:manualLayout>
      </c:layout>
    </c:title>
    <c:plotArea>
      <c:layout>
        <c:manualLayout>
          <c:layoutTarget val="inner"/>
          <c:xMode val="edge"/>
          <c:yMode val="edge"/>
          <c:x val="0.13669920297651761"/>
          <c:y val="0.21396984377933731"/>
          <c:w val="0.83708597481209701"/>
          <c:h val="0.55447719683663066"/>
        </c:manualLayout>
      </c:layout>
      <c:barChart>
        <c:barDir val="col"/>
        <c:grouping val="clustered"/>
        <c:ser>
          <c:idx val="0"/>
          <c:order val="0"/>
          <c:tx>
            <c:v>2011</c:v>
          </c:tx>
          <c:spPr>
            <a:solidFill>
              <a:schemeClr val="tx2">
                <a:lumMod val="75000"/>
              </a:schemeClr>
            </a:solidFill>
            <a:ln w="25400" cap="rnd" cmpd="sng">
              <a:solidFill>
                <a:schemeClr val="tx2">
                  <a:lumMod val="75000"/>
                </a:schemeClr>
              </a:solidFill>
              <a:prstDash val="solid"/>
            </a:ln>
          </c:spPr>
          <c:dLbls>
            <c:numFmt formatCode="0.00,," sourceLinked="0"/>
            <c:txPr>
              <a:bodyPr/>
              <a:lstStyle/>
              <a:p>
                <a:pPr>
                  <a:defRPr lang="en-US" sz="700"/>
                </a:pPr>
                <a:endParaRPr lang="en-US"/>
              </a:p>
            </c:txPr>
            <c:showVal val="1"/>
          </c:dLbls>
          <c:cat>
            <c:strRef>
              <c:f>'Fiskalni indikatori'!$C$27:$C$28</c:f>
              <c:strCache>
                <c:ptCount val="2"/>
                <c:pt idx="0">
                  <c:v>Prihodi</c:v>
                </c:pt>
                <c:pt idx="1">
                  <c:v>Rashodi</c:v>
                </c:pt>
              </c:strCache>
            </c:strRef>
          </c:cat>
          <c:val>
            <c:numRef>
              <c:f>'Fiskalni indikatori'!$AQ$28:$AQ$29</c:f>
              <c:numCache>
                <c:formatCode>0.00,,</c:formatCode>
                <c:ptCount val="2"/>
                <c:pt idx="0">
                  <c:v>1005955422.0599989</c:v>
                </c:pt>
                <c:pt idx="1">
                  <c:v>1113590875.3400002</c:v>
                </c:pt>
              </c:numCache>
            </c:numRef>
          </c:val>
        </c:ser>
        <c:ser>
          <c:idx val="1"/>
          <c:order val="1"/>
          <c:tx>
            <c:v>2012</c:v>
          </c:tx>
          <c:spPr>
            <a:solidFill>
              <a:srgbClr val="C00000"/>
            </a:solidFill>
            <a:ln w="25400">
              <a:solidFill>
                <a:srgbClr val="C00000"/>
              </a:solidFill>
            </a:ln>
          </c:spPr>
          <c:dLbls>
            <c:numFmt formatCode="0.00,," sourceLinked="0"/>
            <c:txPr>
              <a:bodyPr/>
              <a:lstStyle/>
              <a:p>
                <a:pPr>
                  <a:defRPr lang="en-US" sz="700"/>
                </a:pPr>
                <a:endParaRPr lang="en-US"/>
              </a:p>
            </c:txPr>
            <c:showVal val="1"/>
          </c:dLbls>
          <c:cat>
            <c:strRef>
              <c:f>'Fiskalni indikatori'!$C$27:$C$28</c:f>
              <c:strCache>
                <c:ptCount val="2"/>
                <c:pt idx="0">
                  <c:v>Prihodi</c:v>
                </c:pt>
                <c:pt idx="1">
                  <c:v>Rashodi</c:v>
                </c:pt>
              </c:strCache>
            </c:strRef>
          </c:cat>
          <c:val>
            <c:numRef>
              <c:f>'Fiskalni indikatori'!$AR$28:$AR$29</c:f>
              <c:numCache>
                <c:formatCode>0.00,,</c:formatCode>
                <c:ptCount val="2"/>
                <c:pt idx="0">
                  <c:v>993248091.31999898</c:v>
                </c:pt>
                <c:pt idx="1">
                  <c:v>1130361536.9100001</c:v>
                </c:pt>
              </c:numCache>
            </c:numRef>
          </c:val>
        </c:ser>
        <c:dLbls>
          <c:showVal val="1"/>
        </c:dLbls>
        <c:gapWidth val="75"/>
        <c:overlap val="-3"/>
        <c:axId val="215673856"/>
        <c:axId val="215679744"/>
      </c:barChart>
      <c:catAx>
        <c:axId val="2156738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15679744"/>
        <c:crosses val="autoZero"/>
        <c:auto val="1"/>
        <c:lblAlgn val="ctr"/>
        <c:lblOffset val="100"/>
      </c:catAx>
      <c:valAx>
        <c:axId val="215679744"/>
        <c:scaling>
          <c:orientation val="minMax"/>
        </c:scaling>
        <c:axPos val="l"/>
        <c:numFmt formatCode="#,##0.0,," sourceLinked="0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215673856"/>
        <c:crosses val="autoZero"/>
        <c:crossBetween val="between"/>
      </c:valAx>
    </c:plotArea>
    <c:legend>
      <c:legendPos val="t"/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800"/>
            </a:pPr>
            <a:r>
              <a:rPr lang="x-none" sz="800">
                <a:latin typeface="+mn-lt"/>
              </a:rPr>
              <a:t>Ukupni krediti i depoziti (mil.</a:t>
            </a:r>
            <a:r>
              <a:rPr lang="x-none" sz="800">
                <a:latin typeface="+mn-lt"/>
                <a:cs typeface="Times New Roman"/>
              </a:rPr>
              <a:t>€)</a:t>
            </a:r>
            <a:endParaRPr lang="en-US" sz="800">
              <a:latin typeface="+mn-lt"/>
            </a:endParaRPr>
          </a:p>
        </c:rich>
      </c:tx>
      <c:layout>
        <c:manualLayout>
          <c:xMode val="edge"/>
          <c:yMode val="edge"/>
          <c:x val="0.16559434865900391"/>
          <c:y val="1.2356150793650785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832300149592994"/>
          <c:y val="0.20223469778876274"/>
          <c:w val="0.8157151894474729"/>
          <c:h val="0.63735838779956422"/>
        </c:manualLayout>
      </c:layout>
      <c:lineChart>
        <c:grouping val="standard"/>
        <c:ser>
          <c:idx val="1"/>
          <c:order val="0"/>
          <c:tx>
            <c:v>Krediti u kašnjenju</c:v>
          </c:tx>
          <c:cat>
            <c:strRef>
              <c:f>'Makroekonomski indikatori'!$N$60:$Z$60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'Makroekonomski indikatori'!$D$33:$P$33</c:f>
            </c:numRef>
          </c:val>
        </c:ser>
        <c:ser>
          <c:idx val="0"/>
          <c:order val="1"/>
          <c:tx>
            <c:strRef>
              <c:f>'Makroekonomski indikatori'!$C$30</c:f>
              <c:strCache>
                <c:ptCount val="1"/>
                <c:pt idx="0">
                  <c:v>Ukupni krediti (kumulativ, u mil. €)</c:v>
                </c:pt>
              </c:strCache>
            </c:strRef>
          </c:tx>
          <c:spPr>
            <a:ln>
              <a:solidFill>
                <a:srgbClr val="C00000"/>
              </a:solidFill>
              <a:prstDash val="dash"/>
            </a:ln>
          </c:spPr>
          <c:marker>
            <c:symbol val="none"/>
          </c:marker>
          <c:cat>
            <c:strRef>
              <c:f>'Makroekonomski indikatori'!$N$60:$Z$60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'Makroekonomski indikatori'!$N$30:$Z$30</c:f>
              <c:numCache>
                <c:formatCode>0,000.0,,</c:formatCode>
                <c:ptCount val="13"/>
                <c:pt idx="0">
                  <c:v>1937700000</c:v>
                </c:pt>
                <c:pt idx="1">
                  <c:v>1955700000</c:v>
                </c:pt>
                <c:pt idx="2">
                  <c:v>1945732000</c:v>
                </c:pt>
                <c:pt idx="3">
                  <c:v>1943001000</c:v>
                </c:pt>
                <c:pt idx="4">
                  <c:v>1963878000</c:v>
                </c:pt>
                <c:pt idx="5" formatCode="#,##0.0,,">
                  <c:v>1971518000</c:v>
                </c:pt>
                <c:pt idx="6" formatCode="#,##0.0,,">
                  <c:v>1963286000</c:v>
                </c:pt>
                <c:pt idx="7" formatCode="#,##0.0,,">
                  <c:v>1958443000</c:v>
                </c:pt>
                <c:pt idx="8" formatCode="#,##0.0,,">
                  <c:v>1891846000</c:v>
                </c:pt>
                <c:pt idx="9" formatCode="#,##0.0,,">
                  <c:v>1905553000</c:v>
                </c:pt>
                <c:pt idx="10" formatCode="#,##0.0,,">
                  <c:v>1891846000</c:v>
                </c:pt>
                <c:pt idx="11" formatCode="#,##0.0,,">
                  <c:v>1859350000</c:v>
                </c:pt>
                <c:pt idx="12" formatCode="#,##0.0,,">
                  <c:v>1866122000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'Makroekonomski indikatori'!$C$36</c:f>
              <c:strCache>
                <c:ptCount val="1"/>
                <c:pt idx="0">
                  <c:v>Ukupni depoziti (kumulativ, u mil €)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'Makroekonomski indikatori'!$N$60:$Z$60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'Makroekonomski indikatori'!$N$36:$Z$36</c:f>
              <c:numCache>
                <c:formatCode>0,000.0,,</c:formatCode>
                <c:ptCount val="13"/>
                <c:pt idx="0">
                  <c:v>1831100000</c:v>
                </c:pt>
                <c:pt idx="1">
                  <c:v>1817200000</c:v>
                </c:pt>
                <c:pt idx="2">
                  <c:v>1784319000</c:v>
                </c:pt>
                <c:pt idx="3">
                  <c:v>1796141000</c:v>
                </c:pt>
                <c:pt idx="4">
                  <c:v>1792598000</c:v>
                </c:pt>
                <c:pt idx="5" formatCode="#,##0.0,,">
                  <c:v>1809321000</c:v>
                </c:pt>
                <c:pt idx="6" formatCode="#,##0.0,,">
                  <c:v>1818885000</c:v>
                </c:pt>
                <c:pt idx="7" formatCode="#,##0.0,,">
                  <c:v>1843392000</c:v>
                </c:pt>
                <c:pt idx="8" formatCode="#,##0.0,,">
                  <c:v>2001119000</c:v>
                </c:pt>
                <c:pt idx="9" formatCode="#,##0.0,,">
                  <c:v>1954383000</c:v>
                </c:pt>
                <c:pt idx="10" formatCode="#,##0.0,,">
                  <c:v>2001119000</c:v>
                </c:pt>
                <c:pt idx="11" formatCode="#,##0.0,,">
                  <c:v>1965523000</c:v>
                </c:pt>
                <c:pt idx="12" formatCode="#,##0.0,,">
                  <c:v>1982935000</c:v>
                </c:pt>
              </c:numCache>
            </c:numRef>
          </c:val>
          <c:smooth val="1"/>
        </c:ser>
        <c:marker val="1"/>
        <c:axId val="215652224"/>
        <c:axId val="215653760"/>
      </c:lineChart>
      <c:catAx>
        <c:axId val="215652224"/>
        <c:scaling>
          <c:orientation val="minMax"/>
        </c:scaling>
        <c:axPos val="b"/>
        <c:numFmt formatCode="0.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15653760"/>
        <c:crosses val="autoZero"/>
        <c:auto val="1"/>
        <c:lblAlgn val="ctr"/>
        <c:lblOffset val="100"/>
        <c:tickLblSkip val="3"/>
      </c:catAx>
      <c:valAx>
        <c:axId val="215653760"/>
        <c:scaling>
          <c:orientation val="minMax"/>
          <c:min val="1700000000"/>
        </c:scaling>
        <c:axPos val="l"/>
        <c:numFmt formatCode="0,000.0,,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15652224"/>
        <c:crosses val="autoZero"/>
        <c:crossBetween val="between"/>
        <c:majorUnit val="200000000"/>
      </c:valAx>
    </c:plotArea>
    <c:legend>
      <c:legendPos val="b"/>
      <c:layout>
        <c:manualLayout>
          <c:xMode val="edge"/>
          <c:yMode val="edge"/>
          <c:x val="0.19171934865900411"/>
          <c:y val="8.6974171539961023E-2"/>
          <c:w val="0.80786111111111114"/>
          <c:h val="0.1696978557504874"/>
        </c:manualLayout>
      </c:layout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800"/>
            </a:pPr>
            <a:r>
              <a:rPr lang="x-none" sz="800"/>
              <a:t>Spoljnotrgovinski bilans i strane direktne investicije</a:t>
            </a:r>
            <a:endParaRPr lang="en-US" sz="800"/>
          </a:p>
        </c:rich>
      </c:tx>
      <c:layout>
        <c:manualLayout>
          <c:xMode val="edge"/>
          <c:yMode val="edge"/>
          <c:x val="0.1294866071428572"/>
          <c:y val="7.4711328976039158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531881720051368"/>
          <c:y val="0.17984222825021243"/>
          <c:w val="0.74772956018073911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indikatori'!$C$47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indikatori'!$L$60:$AA$60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'Makroekonomski indikatori'!$J$47:$AA$47</c:f>
              <c:numCache>
                <c:formatCode>0.0,,</c:formatCode>
                <c:ptCount val="13"/>
                <c:pt idx="0">
                  <c:v>-105680000</c:v>
                </c:pt>
                <c:pt idx="1">
                  <c:v>-127140000</c:v>
                </c:pt>
                <c:pt idx="2">
                  <c:v>-72458000</c:v>
                </c:pt>
                <c:pt idx="3">
                  <c:v>-82625000</c:v>
                </c:pt>
                <c:pt idx="4">
                  <c:v>-158078000</c:v>
                </c:pt>
                <c:pt idx="5" formatCode="#,##0.0,,">
                  <c:v>-119730000</c:v>
                </c:pt>
                <c:pt idx="6" formatCode="#,##0.0,,">
                  <c:v>-133225000</c:v>
                </c:pt>
                <c:pt idx="7" formatCode="#,##0.0,,">
                  <c:v>-138890000</c:v>
                </c:pt>
                <c:pt idx="8" formatCode="#,##0.0,,">
                  <c:v>-117584000</c:v>
                </c:pt>
                <c:pt idx="9" formatCode="#,##0.0,,">
                  <c:v>-141577000</c:v>
                </c:pt>
                <c:pt idx="10" formatCode="#,##0.0,,">
                  <c:v>-117584000</c:v>
                </c:pt>
                <c:pt idx="11" formatCode="#,##0.0,,">
                  <c:v>-106785000</c:v>
                </c:pt>
                <c:pt idx="12" formatCode="#,##0.0,,">
                  <c:v>-104165000</c:v>
                </c:pt>
              </c:numCache>
            </c:numRef>
          </c:val>
        </c:ser>
        <c:gapWidth val="75"/>
        <c:axId val="255026304"/>
        <c:axId val="255027840"/>
      </c:barChart>
      <c:lineChart>
        <c:grouping val="standard"/>
        <c:ser>
          <c:idx val="1"/>
          <c:order val="1"/>
          <c:tx>
            <c:strRef>
              <c:f>'Makroekonomski indikatori'!$C$48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'Makroekonomski indikatori'!$K$60:$W$60</c:f>
              <c:strCache>
                <c:ptCount val="10"/>
                <c:pt idx="0">
                  <c:v>XI</c:v>
                </c:pt>
                <c:pt idx="1">
                  <c:v>XII</c:v>
                </c:pt>
                <c:pt idx="2">
                  <c:v>2012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</c:strCache>
            </c:strRef>
          </c:cat>
          <c:val>
            <c:numRef>
              <c:f>'Makroekonomski indikatori'!$H$48:$X$48</c:f>
              <c:numCache>
                <c:formatCode>0.0,,</c:formatCode>
                <c:ptCount val="11"/>
                <c:pt idx="0">
                  <c:v>49604775.20000001</c:v>
                </c:pt>
                <c:pt idx="1">
                  <c:v>24169568.349999998</c:v>
                </c:pt>
                <c:pt idx="2">
                  <c:v>15505062</c:v>
                </c:pt>
                <c:pt idx="3">
                  <c:v>30182414</c:v>
                </c:pt>
                <c:pt idx="4">
                  <c:v>20830023</c:v>
                </c:pt>
                <c:pt idx="5">
                  <c:v>25905819</c:v>
                </c:pt>
                <c:pt idx="6">
                  <c:v>25793157</c:v>
                </c:pt>
                <c:pt idx="7">
                  <c:v>34428175</c:v>
                </c:pt>
                <c:pt idx="8">
                  <c:v>92710259</c:v>
                </c:pt>
                <c:pt idx="9">
                  <c:v>18342439</c:v>
                </c:pt>
                <c:pt idx="10">
                  <c:v>92710259</c:v>
                </c:pt>
              </c:numCache>
            </c:numRef>
          </c:val>
          <c:smooth val="1"/>
        </c:ser>
        <c:marker val="1"/>
        <c:axId val="255121280"/>
        <c:axId val="255119744"/>
      </c:lineChart>
      <c:catAx>
        <c:axId val="25502630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en-US" sz="600">
                <a:solidFill>
                  <a:schemeClr val="tx1"/>
                </a:solidFill>
              </a:defRPr>
            </a:pPr>
            <a:endParaRPr lang="en-US"/>
          </a:p>
        </c:txPr>
        <c:crossAx val="255027840"/>
        <c:crosses val="autoZero"/>
        <c:auto val="1"/>
        <c:lblAlgn val="ctr"/>
        <c:lblOffset val="100"/>
        <c:tickLblSkip val="3"/>
      </c:catAx>
      <c:valAx>
        <c:axId val="255027840"/>
        <c:scaling>
          <c:orientation val="minMax"/>
          <c:max val="160000000"/>
        </c:scaling>
        <c:axPos val="l"/>
        <c:numFmt formatCode="0.0,,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255026304"/>
        <c:crosses val="autoZero"/>
        <c:crossBetween val="between"/>
      </c:valAx>
      <c:valAx>
        <c:axId val="255119744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255121280"/>
        <c:crosses val="max"/>
        <c:crossBetween val="between"/>
      </c:valAx>
      <c:catAx>
        <c:axId val="255121280"/>
        <c:scaling>
          <c:orientation val="minMax"/>
        </c:scaling>
        <c:delete val="1"/>
        <c:axPos val="b"/>
        <c:tickLblPos val="none"/>
        <c:crossAx val="25511974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7181165950399893"/>
          <c:y val="0.86936441924308938"/>
          <c:w val="0.66177232142860065"/>
          <c:h val="0.1247826797385667"/>
        </c:manualLayout>
      </c:layout>
      <c:txPr>
        <a:bodyPr/>
        <a:lstStyle/>
        <a:p>
          <a:pPr>
            <a:defRPr lang="en-US" sz="600"/>
          </a:pPr>
          <a:endParaRPr lang="en-U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2CF2-EC2A-4C69-BC74-F09860A3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tijana.stankovic</cp:lastModifiedBy>
  <cp:revision>2</cp:revision>
  <cp:lastPrinted>2012-11-12T09:08:00Z</cp:lastPrinted>
  <dcterms:created xsi:type="dcterms:W3CDTF">2013-03-01T11:34:00Z</dcterms:created>
  <dcterms:modified xsi:type="dcterms:W3CDTF">2013-03-01T11:34:00Z</dcterms:modified>
</cp:coreProperties>
</file>